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724EE" w14:textId="20E9D938" w:rsidR="00A54A98" w:rsidRPr="00AC50FA" w:rsidRDefault="00A54A98" w:rsidP="00AC50FA">
      <w:pPr>
        <w:adjustRightInd w:val="0"/>
        <w:snapToGrid w:val="0"/>
        <w:spacing w:after="0" w:line="360" w:lineRule="auto"/>
        <w:jc w:val="both"/>
        <w:rPr>
          <w:rFonts w:ascii="Book Antiqua" w:hAnsi="Book Antiqua" w:cs="Arial"/>
          <w:b/>
          <w:color w:val="000000" w:themeColor="text1"/>
          <w:sz w:val="24"/>
          <w:szCs w:val="24"/>
          <w:shd w:val="clear" w:color="auto" w:fill="FFFFFF"/>
        </w:rPr>
      </w:pPr>
      <w:r w:rsidRPr="00AC50FA">
        <w:rPr>
          <w:rFonts w:ascii="Book Antiqua" w:hAnsi="Book Antiqua" w:cs="Arial"/>
          <w:b/>
          <w:color w:val="000000" w:themeColor="text1"/>
          <w:sz w:val="24"/>
          <w:szCs w:val="24"/>
          <w:shd w:val="clear" w:color="auto" w:fill="FFFFFF"/>
        </w:rPr>
        <w:t xml:space="preserve">Name of Journal: </w:t>
      </w:r>
      <w:r w:rsidRPr="00AC50FA">
        <w:rPr>
          <w:rFonts w:ascii="Book Antiqua" w:hAnsi="Book Antiqua" w:cs="Arial"/>
          <w:i/>
          <w:color w:val="000000" w:themeColor="text1"/>
          <w:sz w:val="24"/>
          <w:szCs w:val="24"/>
          <w:shd w:val="clear" w:color="auto" w:fill="FFFFFF"/>
        </w:rPr>
        <w:t xml:space="preserve">World Journal of </w:t>
      </w:r>
      <w:r w:rsidRPr="00AC50FA">
        <w:rPr>
          <w:rFonts w:ascii="Book Antiqua" w:hAnsi="Book Antiqua" w:cs="Arial"/>
          <w:i/>
          <w:color w:val="000000" w:themeColor="text1"/>
          <w:sz w:val="24"/>
          <w:szCs w:val="24"/>
          <w:shd w:val="clear" w:color="auto" w:fill="FFFFFF"/>
          <w:lang w:eastAsia="zh-CN"/>
        </w:rPr>
        <w:t>Clinical Cases</w:t>
      </w:r>
    </w:p>
    <w:p w14:paraId="2F3096CE" w14:textId="3A98CBF6" w:rsidR="00A54A98" w:rsidRPr="00AC50FA" w:rsidRDefault="00A54A98" w:rsidP="00AC50FA">
      <w:pPr>
        <w:adjustRightInd w:val="0"/>
        <w:snapToGrid w:val="0"/>
        <w:spacing w:after="0" w:line="360" w:lineRule="auto"/>
        <w:jc w:val="both"/>
        <w:rPr>
          <w:rFonts w:ascii="Book Antiqua" w:hAnsi="Book Antiqua" w:cs="Arial"/>
          <w:b/>
          <w:color w:val="000000" w:themeColor="text1"/>
          <w:sz w:val="24"/>
          <w:szCs w:val="24"/>
          <w:shd w:val="clear" w:color="auto" w:fill="FFFFFF"/>
          <w:lang w:eastAsia="zh-CN"/>
        </w:rPr>
      </w:pPr>
      <w:r w:rsidRPr="00AC50FA">
        <w:rPr>
          <w:rFonts w:ascii="Book Antiqua" w:hAnsi="Book Antiqua" w:cs="Arial"/>
          <w:b/>
          <w:color w:val="000000" w:themeColor="text1"/>
          <w:sz w:val="24"/>
          <w:szCs w:val="24"/>
          <w:shd w:val="clear" w:color="auto" w:fill="FFFFFF"/>
        </w:rPr>
        <w:t xml:space="preserve">Manuscript NO: </w:t>
      </w:r>
      <w:r w:rsidRPr="00AC50FA">
        <w:rPr>
          <w:rFonts w:ascii="Book Antiqua" w:hAnsi="Book Antiqua" w:cs="Arial"/>
          <w:color w:val="000000" w:themeColor="text1"/>
          <w:sz w:val="24"/>
          <w:szCs w:val="24"/>
          <w:shd w:val="clear" w:color="auto" w:fill="FFFFFF"/>
          <w:lang w:eastAsia="zh-CN"/>
        </w:rPr>
        <w:t>52692</w:t>
      </w:r>
    </w:p>
    <w:p w14:paraId="7616163A" w14:textId="77777777" w:rsidR="00A54A98" w:rsidRPr="00AC50FA" w:rsidRDefault="00A54A98" w:rsidP="00AC50FA">
      <w:pPr>
        <w:adjustRightInd w:val="0"/>
        <w:snapToGrid w:val="0"/>
        <w:spacing w:after="0" w:line="360" w:lineRule="auto"/>
        <w:jc w:val="both"/>
        <w:rPr>
          <w:rFonts w:ascii="Book Antiqua" w:eastAsia="幼圆" w:hAnsi="Book Antiqua"/>
          <w:color w:val="000000" w:themeColor="text1"/>
          <w:sz w:val="24"/>
          <w:szCs w:val="24"/>
          <w:lang w:eastAsia="zh-CN"/>
        </w:rPr>
      </w:pPr>
      <w:bookmarkStart w:id="0" w:name="OLE_LINK3"/>
      <w:bookmarkStart w:id="1" w:name="OLE_LINK4"/>
      <w:r w:rsidRPr="00AC50FA">
        <w:rPr>
          <w:rFonts w:ascii="Book Antiqua" w:hAnsi="Book Antiqua"/>
          <w:b/>
          <w:color w:val="000000" w:themeColor="text1"/>
          <w:sz w:val="24"/>
          <w:szCs w:val="24"/>
          <w:shd w:val="clear" w:color="auto" w:fill="FFFFFF"/>
        </w:rPr>
        <w:t>Manuscript Type</w:t>
      </w:r>
      <w:r w:rsidRPr="00AC50FA">
        <w:rPr>
          <w:rFonts w:ascii="Book Antiqua" w:hAnsi="Book Antiqua"/>
          <w:b/>
          <w:color w:val="000000" w:themeColor="text1"/>
          <w:sz w:val="24"/>
          <w:szCs w:val="24"/>
        </w:rPr>
        <w:t>:</w:t>
      </w:r>
      <w:bookmarkEnd w:id="0"/>
      <w:bookmarkEnd w:id="1"/>
      <w:r w:rsidRPr="00AC50FA">
        <w:rPr>
          <w:rFonts w:ascii="Book Antiqua" w:hAnsi="Book Antiqua" w:cs="Arial"/>
          <w:b/>
          <w:color w:val="000000" w:themeColor="text1"/>
          <w:sz w:val="24"/>
          <w:szCs w:val="24"/>
          <w:shd w:val="clear" w:color="auto" w:fill="FFFFFF"/>
          <w:lang w:eastAsia="zh-CN"/>
        </w:rPr>
        <w:t xml:space="preserve"> </w:t>
      </w:r>
      <w:r w:rsidRPr="00AC50FA">
        <w:rPr>
          <w:rFonts w:ascii="Book Antiqua" w:hAnsi="Book Antiqua"/>
          <w:color w:val="000000" w:themeColor="text1"/>
          <w:sz w:val="24"/>
          <w:szCs w:val="24"/>
        </w:rPr>
        <w:t>ORIGINAL ARTICLE</w:t>
      </w:r>
      <w:r w:rsidRPr="00AC50FA">
        <w:rPr>
          <w:rFonts w:ascii="Book Antiqua" w:eastAsia="幼圆" w:hAnsi="Book Antiqua"/>
          <w:color w:val="000000" w:themeColor="text1"/>
          <w:sz w:val="24"/>
          <w:szCs w:val="24"/>
        </w:rPr>
        <w:t xml:space="preserve"> </w:t>
      </w:r>
    </w:p>
    <w:p w14:paraId="485FB484" w14:textId="77777777" w:rsidR="00A54A98" w:rsidRPr="00AC50FA" w:rsidRDefault="00A54A98" w:rsidP="00AC50FA">
      <w:pPr>
        <w:adjustRightInd w:val="0"/>
        <w:snapToGrid w:val="0"/>
        <w:spacing w:after="0" w:line="360" w:lineRule="auto"/>
        <w:jc w:val="both"/>
        <w:rPr>
          <w:rFonts w:ascii="Book Antiqua" w:eastAsia="幼圆" w:hAnsi="Book Antiqua"/>
          <w:b/>
          <w:i/>
          <w:color w:val="000000" w:themeColor="text1"/>
          <w:sz w:val="24"/>
          <w:szCs w:val="24"/>
          <w:lang w:eastAsia="zh-CN"/>
        </w:rPr>
      </w:pPr>
    </w:p>
    <w:p w14:paraId="1A9D1920" w14:textId="77777777" w:rsidR="00A54A98" w:rsidRPr="00AC50FA" w:rsidRDefault="00A54A98" w:rsidP="00AC50FA">
      <w:pPr>
        <w:adjustRightInd w:val="0"/>
        <w:snapToGrid w:val="0"/>
        <w:spacing w:after="0" w:line="360" w:lineRule="auto"/>
        <w:jc w:val="both"/>
        <w:rPr>
          <w:rFonts w:ascii="Book Antiqua" w:eastAsia="幼圆" w:hAnsi="Book Antiqua"/>
          <w:b/>
          <w:i/>
          <w:color w:val="000000" w:themeColor="text1"/>
          <w:sz w:val="24"/>
          <w:szCs w:val="24"/>
        </w:rPr>
      </w:pPr>
      <w:r w:rsidRPr="00AC50FA">
        <w:rPr>
          <w:rFonts w:ascii="Book Antiqua" w:eastAsia="幼圆" w:hAnsi="Book Antiqua"/>
          <w:b/>
          <w:i/>
          <w:color w:val="000000" w:themeColor="text1"/>
          <w:sz w:val="24"/>
          <w:szCs w:val="24"/>
        </w:rPr>
        <w:t>Retrospective Study</w:t>
      </w:r>
    </w:p>
    <w:p w14:paraId="5D15A172" w14:textId="18F67F90" w:rsidR="00BE6904" w:rsidRPr="00AC50FA" w:rsidRDefault="005760F6"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t xml:space="preserve">Initial </w:t>
      </w:r>
      <w:r w:rsidR="00CF2C01" w:rsidRPr="00AC50FA">
        <w:rPr>
          <w:rFonts w:ascii="Book Antiqua" w:hAnsi="Book Antiqua"/>
          <w:b/>
          <w:color w:val="000000" w:themeColor="text1"/>
          <w:sz w:val="24"/>
          <w:szCs w:val="24"/>
          <w:lang w:val="en-GB"/>
        </w:rPr>
        <w:t xml:space="preserve">experience with stereotactic body radiotherapy for intrahepatic hepatocellular carcinoma recurrence after liver transplantation </w:t>
      </w:r>
    </w:p>
    <w:p w14:paraId="79578BB4" w14:textId="2E977F90"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050584DE" w14:textId="1013A3C7" w:rsidR="00A54A98" w:rsidRPr="00AC50FA" w:rsidRDefault="00A54A98" w:rsidP="00AC50FA">
      <w:pPr>
        <w:snapToGrid w:val="0"/>
        <w:spacing w:after="0" w:line="360" w:lineRule="auto"/>
        <w:jc w:val="both"/>
        <w:rPr>
          <w:rFonts w:ascii="Book Antiqua" w:hAnsi="Book Antiqua"/>
          <w:bCs/>
          <w:color w:val="000000" w:themeColor="text1"/>
          <w:sz w:val="24"/>
          <w:szCs w:val="24"/>
          <w:lang w:val="en-GB" w:eastAsia="zh-CN"/>
        </w:rPr>
      </w:pPr>
      <w:r w:rsidRPr="00AC50FA">
        <w:rPr>
          <w:rFonts w:ascii="Book Antiqua" w:hAnsi="Book Antiqua"/>
          <w:bCs/>
          <w:color w:val="000000" w:themeColor="text1"/>
          <w:sz w:val="24"/>
          <w:szCs w:val="24"/>
          <w:lang w:val="en-GB" w:eastAsia="zh-CN"/>
        </w:rPr>
        <w:t xml:space="preserve">Au KP </w:t>
      </w:r>
      <w:r w:rsidRPr="00AC50FA">
        <w:rPr>
          <w:rFonts w:ascii="Book Antiqua" w:hAnsi="Book Antiqua"/>
          <w:bCs/>
          <w:i/>
          <w:iCs/>
          <w:color w:val="000000" w:themeColor="text1"/>
          <w:sz w:val="24"/>
          <w:szCs w:val="24"/>
          <w:lang w:val="en-GB" w:eastAsia="zh-CN"/>
        </w:rPr>
        <w:t>et al</w:t>
      </w:r>
      <w:r w:rsidRPr="00AC50FA">
        <w:rPr>
          <w:rFonts w:ascii="Book Antiqua" w:hAnsi="Book Antiqua"/>
          <w:bCs/>
          <w:color w:val="000000" w:themeColor="text1"/>
          <w:sz w:val="24"/>
          <w:szCs w:val="24"/>
          <w:lang w:val="en-GB" w:eastAsia="zh-CN"/>
        </w:rPr>
        <w:t>. SBRT for liver graft HCC recurrence</w:t>
      </w:r>
    </w:p>
    <w:p w14:paraId="5C7EC9E1"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18D1976B" w14:textId="38FC755D" w:rsidR="00A54A98" w:rsidRPr="0081325E" w:rsidRDefault="00BE6904" w:rsidP="00AC50FA">
      <w:pPr>
        <w:snapToGrid w:val="0"/>
        <w:spacing w:after="0" w:line="360" w:lineRule="auto"/>
        <w:jc w:val="both"/>
        <w:rPr>
          <w:rFonts w:ascii="Book Antiqua" w:hAnsi="Book Antiqua"/>
          <w:bCs/>
          <w:color w:val="000000" w:themeColor="text1"/>
          <w:sz w:val="24"/>
          <w:szCs w:val="24"/>
          <w:lang w:val="en-GB"/>
        </w:rPr>
      </w:pPr>
      <w:r w:rsidRPr="0081325E">
        <w:rPr>
          <w:rFonts w:ascii="Book Antiqua" w:hAnsi="Book Antiqua"/>
          <w:bCs/>
          <w:color w:val="000000" w:themeColor="text1"/>
          <w:sz w:val="24"/>
          <w:szCs w:val="24"/>
          <w:lang w:val="en-GB"/>
        </w:rPr>
        <w:t>K</w:t>
      </w:r>
      <w:r w:rsidR="00027708" w:rsidRPr="0081325E">
        <w:rPr>
          <w:rFonts w:ascii="Book Antiqua" w:hAnsi="Book Antiqua"/>
          <w:bCs/>
          <w:color w:val="000000" w:themeColor="text1"/>
          <w:sz w:val="24"/>
          <w:szCs w:val="24"/>
          <w:lang w:val="en-GB"/>
        </w:rPr>
        <w:t xml:space="preserve">in </w:t>
      </w:r>
      <w:r w:rsidRPr="0081325E">
        <w:rPr>
          <w:rFonts w:ascii="Book Antiqua" w:hAnsi="Book Antiqua"/>
          <w:bCs/>
          <w:color w:val="000000" w:themeColor="text1"/>
          <w:sz w:val="24"/>
          <w:szCs w:val="24"/>
          <w:lang w:val="en-GB"/>
        </w:rPr>
        <w:t>P</w:t>
      </w:r>
      <w:r w:rsidR="00027708" w:rsidRPr="0081325E">
        <w:rPr>
          <w:rFonts w:ascii="Book Antiqua" w:hAnsi="Book Antiqua"/>
          <w:bCs/>
          <w:color w:val="000000" w:themeColor="text1"/>
          <w:sz w:val="24"/>
          <w:szCs w:val="24"/>
          <w:lang w:val="en-GB"/>
        </w:rPr>
        <w:t>an</w:t>
      </w:r>
      <w:r w:rsidRPr="0081325E">
        <w:rPr>
          <w:rFonts w:ascii="Book Antiqua" w:hAnsi="Book Antiqua"/>
          <w:bCs/>
          <w:color w:val="000000" w:themeColor="text1"/>
          <w:sz w:val="24"/>
          <w:szCs w:val="24"/>
          <w:lang w:val="en-GB"/>
        </w:rPr>
        <w:t xml:space="preserve"> Au, </w:t>
      </w:r>
      <w:r w:rsidR="003B1BFC" w:rsidRPr="0081325E">
        <w:rPr>
          <w:rFonts w:ascii="Book Antiqua" w:hAnsi="Book Antiqua"/>
          <w:bCs/>
          <w:color w:val="000000" w:themeColor="text1"/>
          <w:sz w:val="24"/>
          <w:szCs w:val="24"/>
          <w:lang w:val="en-GB"/>
        </w:rPr>
        <w:t>C</w:t>
      </w:r>
      <w:r w:rsidR="00916FC8" w:rsidRPr="0081325E">
        <w:rPr>
          <w:rFonts w:ascii="Book Antiqua" w:hAnsi="Book Antiqua"/>
          <w:bCs/>
          <w:color w:val="000000" w:themeColor="text1"/>
          <w:sz w:val="24"/>
          <w:szCs w:val="24"/>
          <w:lang w:val="en-GB"/>
        </w:rPr>
        <w:t xml:space="preserve">hi </w:t>
      </w:r>
      <w:r w:rsidR="003B1BFC" w:rsidRPr="0081325E">
        <w:rPr>
          <w:rFonts w:ascii="Book Antiqua" w:hAnsi="Book Antiqua"/>
          <w:bCs/>
          <w:color w:val="000000" w:themeColor="text1"/>
          <w:sz w:val="24"/>
          <w:szCs w:val="24"/>
          <w:lang w:val="en-GB"/>
        </w:rPr>
        <w:t>L</w:t>
      </w:r>
      <w:r w:rsidR="00916FC8" w:rsidRPr="0081325E">
        <w:rPr>
          <w:rFonts w:ascii="Book Antiqua" w:hAnsi="Book Antiqua"/>
          <w:bCs/>
          <w:color w:val="000000" w:themeColor="text1"/>
          <w:sz w:val="24"/>
          <w:szCs w:val="24"/>
          <w:lang w:val="en-GB"/>
        </w:rPr>
        <w:t>eung</w:t>
      </w:r>
      <w:r w:rsidR="003B1BFC" w:rsidRPr="0081325E">
        <w:rPr>
          <w:rFonts w:ascii="Book Antiqua" w:hAnsi="Book Antiqua"/>
          <w:bCs/>
          <w:color w:val="000000" w:themeColor="text1"/>
          <w:sz w:val="24"/>
          <w:szCs w:val="24"/>
          <w:lang w:val="en-GB"/>
        </w:rPr>
        <w:t xml:space="preserve"> Chiang, </w:t>
      </w:r>
      <w:r w:rsidR="00355DE4" w:rsidRPr="0081325E">
        <w:rPr>
          <w:rFonts w:ascii="Book Antiqua" w:hAnsi="Book Antiqua"/>
          <w:bCs/>
          <w:color w:val="000000" w:themeColor="text1"/>
          <w:sz w:val="24"/>
          <w:szCs w:val="24"/>
          <w:lang w:val="en-GB"/>
        </w:rPr>
        <w:t>A</w:t>
      </w:r>
      <w:r w:rsidR="00916FC8" w:rsidRPr="0081325E">
        <w:rPr>
          <w:rFonts w:ascii="Book Antiqua" w:hAnsi="Book Antiqua"/>
          <w:bCs/>
          <w:color w:val="000000" w:themeColor="text1"/>
          <w:sz w:val="24"/>
          <w:szCs w:val="24"/>
          <w:lang w:val="en-GB"/>
        </w:rPr>
        <w:t xml:space="preserve">lbert </w:t>
      </w:r>
      <w:r w:rsidR="00355DE4" w:rsidRPr="0081325E">
        <w:rPr>
          <w:rFonts w:ascii="Book Antiqua" w:hAnsi="Book Antiqua"/>
          <w:bCs/>
          <w:color w:val="000000" w:themeColor="text1"/>
          <w:sz w:val="24"/>
          <w:szCs w:val="24"/>
          <w:lang w:val="en-GB"/>
        </w:rPr>
        <w:t>C</w:t>
      </w:r>
      <w:r w:rsidR="00916FC8" w:rsidRPr="0081325E">
        <w:rPr>
          <w:rFonts w:ascii="Book Antiqua" w:hAnsi="Book Antiqua"/>
          <w:bCs/>
          <w:color w:val="000000" w:themeColor="text1"/>
          <w:sz w:val="24"/>
          <w:szCs w:val="24"/>
          <w:lang w:val="en-GB"/>
        </w:rPr>
        <w:t xml:space="preserve">hi </w:t>
      </w:r>
      <w:r w:rsidR="00355DE4" w:rsidRPr="0081325E">
        <w:rPr>
          <w:rFonts w:ascii="Book Antiqua" w:hAnsi="Book Antiqua"/>
          <w:bCs/>
          <w:color w:val="000000" w:themeColor="text1"/>
          <w:sz w:val="24"/>
          <w:szCs w:val="24"/>
          <w:lang w:val="en-GB"/>
        </w:rPr>
        <w:t>Y</w:t>
      </w:r>
      <w:r w:rsidR="00916FC8" w:rsidRPr="0081325E">
        <w:rPr>
          <w:rFonts w:ascii="Book Antiqua" w:hAnsi="Book Antiqua"/>
          <w:bCs/>
          <w:color w:val="000000" w:themeColor="text1"/>
          <w:sz w:val="24"/>
          <w:szCs w:val="24"/>
          <w:lang w:val="en-GB"/>
        </w:rPr>
        <w:t>an</w:t>
      </w:r>
      <w:r w:rsidR="00355DE4" w:rsidRPr="0081325E">
        <w:rPr>
          <w:rFonts w:ascii="Book Antiqua" w:hAnsi="Book Antiqua"/>
          <w:bCs/>
          <w:color w:val="000000" w:themeColor="text1"/>
          <w:sz w:val="24"/>
          <w:szCs w:val="24"/>
          <w:lang w:val="en-GB"/>
        </w:rPr>
        <w:t xml:space="preserve"> Chan, T</w:t>
      </w:r>
      <w:r w:rsidR="00916FC8" w:rsidRPr="0081325E">
        <w:rPr>
          <w:rFonts w:ascii="Book Antiqua" w:hAnsi="Book Antiqua"/>
          <w:bCs/>
          <w:color w:val="000000" w:themeColor="text1"/>
          <w:sz w:val="24"/>
          <w:szCs w:val="24"/>
          <w:lang w:val="en-GB"/>
        </w:rPr>
        <w:t xml:space="preserve">an </w:t>
      </w:r>
      <w:r w:rsidR="00355DE4" w:rsidRPr="0081325E">
        <w:rPr>
          <w:rFonts w:ascii="Book Antiqua" w:hAnsi="Book Antiqua"/>
          <w:bCs/>
          <w:color w:val="000000" w:themeColor="text1"/>
          <w:sz w:val="24"/>
          <w:szCs w:val="24"/>
          <w:lang w:val="en-GB"/>
        </w:rPr>
        <w:t>T</w:t>
      </w:r>
      <w:r w:rsidR="00916FC8" w:rsidRPr="0081325E">
        <w:rPr>
          <w:rFonts w:ascii="Book Antiqua" w:hAnsi="Book Antiqua"/>
          <w:bCs/>
          <w:color w:val="000000" w:themeColor="text1"/>
          <w:sz w:val="24"/>
          <w:szCs w:val="24"/>
          <w:lang w:val="en-GB"/>
        </w:rPr>
        <w:t>o</w:t>
      </w:r>
      <w:r w:rsidR="00355DE4" w:rsidRPr="0081325E">
        <w:rPr>
          <w:rFonts w:ascii="Book Antiqua" w:hAnsi="Book Antiqua"/>
          <w:bCs/>
          <w:color w:val="000000" w:themeColor="text1"/>
          <w:sz w:val="24"/>
          <w:szCs w:val="24"/>
          <w:lang w:val="en-GB"/>
        </w:rPr>
        <w:t xml:space="preserve"> Cheung, C</w:t>
      </w:r>
      <w:r w:rsidR="00916FC8" w:rsidRPr="0081325E">
        <w:rPr>
          <w:rFonts w:ascii="Book Antiqua" w:hAnsi="Book Antiqua"/>
          <w:bCs/>
          <w:color w:val="000000" w:themeColor="text1"/>
          <w:sz w:val="24"/>
          <w:szCs w:val="24"/>
          <w:lang w:val="en-GB"/>
        </w:rPr>
        <w:t xml:space="preserve">hung </w:t>
      </w:r>
      <w:r w:rsidR="00355DE4" w:rsidRPr="0081325E">
        <w:rPr>
          <w:rFonts w:ascii="Book Antiqua" w:hAnsi="Book Antiqua"/>
          <w:bCs/>
          <w:color w:val="000000" w:themeColor="text1"/>
          <w:sz w:val="24"/>
          <w:szCs w:val="24"/>
          <w:lang w:val="en-GB"/>
        </w:rPr>
        <w:t>M</w:t>
      </w:r>
      <w:r w:rsidR="00916FC8" w:rsidRPr="0081325E">
        <w:rPr>
          <w:rFonts w:ascii="Book Antiqua" w:hAnsi="Book Antiqua"/>
          <w:bCs/>
          <w:color w:val="000000" w:themeColor="text1"/>
          <w:sz w:val="24"/>
          <w:szCs w:val="24"/>
          <w:lang w:val="en-GB"/>
        </w:rPr>
        <w:t>au</w:t>
      </w:r>
      <w:r w:rsidR="00355DE4" w:rsidRPr="0081325E">
        <w:rPr>
          <w:rFonts w:ascii="Book Antiqua" w:hAnsi="Book Antiqua"/>
          <w:bCs/>
          <w:color w:val="000000" w:themeColor="text1"/>
          <w:sz w:val="24"/>
          <w:szCs w:val="24"/>
          <w:lang w:val="en-GB"/>
        </w:rPr>
        <w:t xml:space="preserve"> Lo, </w:t>
      </w:r>
      <w:r w:rsidRPr="0081325E">
        <w:rPr>
          <w:rFonts w:ascii="Book Antiqua" w:hAnsi="Book Antiqua"/>
          <w:bCs/>
          <w:color w:val="000000" w:themeColor="text1"/>
          <w:sz w:val="24"/>
          <w:szCs w:val="24"/>
          <w:lang w:val="en-GB"/>
        </w:rPr>
        <w:t>K</w:t>
      </w:r>
      <w:r w:rsidR="00916FC8" w:rsidRPr="0081325E">
        <w:rPr>
          <w:rFonts w:ascii="Book Antiqua" w:hAnsi="Book Antiqua"/>
          <w:bCs/>
          <w:color w:val="000000" w:themeColor="text1"/>
          <w:sz w:val="24"/>
          <w:szCs w:val="24"/>
          <w:lang w:val="en-GB"/>
        </w:rPr>
        <w:t xml:space="preserve">enneth </w:t>
      </w:r>
      <w:r w:rsidRPr="0081325E">
        <w:rPr>
          <w:rFonts w:ascii="Book Antiqua" w:hAnsi="Book Antiqua"/>
          <w:bCs/>
          <w:color w:val="000000" w:themeColor="text1"/>
          <w:sz w:val="24"/>
          <w:szCs w:val="24"/>
          <w:lang w:val="en-GB"/>
        </w:rPr>
        <w:t>S</w:t>
      </w:r>
      <w:r w:rsidR="00916FC8" w:rsidRPr="0081325E">
        <w:rPr>
          <w:rFonts w:ascii="Book Antiqua" w:hAnsi="Book Antiqua"/>
          <w:bCs/>
          <w:color w:val="000000" w:themeColor="text1"/>
          <w:sz w:val="24"/>
          <w:szCs w:val="24"/>
          <w:lang w:val="en-GB"/>
        </w:rPr>
        <w:t xml:space="preserve">iu </w:t>
      </w:r>
      <w:r w:rsidRPr="0081325E">
        <w:rPr>
          <w:rFonts w:ascii="Book Antiqua" w:hAnsi="Book Antiqua"/>
          <w:bCs/>
          <w:color w:val="000000" w:themeColor="text1"/>
          <w:sz w:val="24"/>
          <w:szCs w:val="24"/>
          <w:lang w:val="en-GB"/>
        </w:rPr>
        <w:t>H</w:t>
      </w:r>
      <w:r w:rsidR="00916FC8" w:rsidRPr="0081325E">
        <w:rPr>
          <w:rFonts w:ascii="Book Antiqua" w:hAnsi="Book Antiqua"/>
          <w:bCs/>
          <w:color w:val="000000" w:themeColor="text1"/>
          <w:sz w:val="24"/>
          <w:szCs w:val="24"/>
          <w:lang w:val="en-GB"/>
        </w:rPr>
        <w:t>o</w:t>
      </w:r>
      <w:r w:rsidRPr="0081325E">
        <w:rPr>
          <w:rFonts w:ascii="Book Antiqua" w:hAnsi="Book Antiqua"/>
          <w:bCs/>
          <w:color w:val="000000" w:themeColor="text1"/>
          <w:sz w:val="24"/>
          <w:szCs w:val="24"/>
          <w:lang w:val="en-GB"/>
        </w:rPr>
        <w:t xml:space="preserve"> </w:t>
      </w:r>
      <w:proofErr w:type="spellStart"/>
      <w:r w:rsidRPr="0081325E">
        <w:rPr>
          <w:rFonts w:ascii="Book Antiqua" w:hAnsi="Book Antiqua"/>
          <w:bCs/>
          <w:color w:val="000000" w:themeColor="text1"/>
          <w:sz w:val="24"/>
          <w:szCs w:val="24"/>
          <w:lang w:val="en-GB"/>
        </w:rPr>
        <w:t>Chok</w:t>
      </w:r>
      <w:proofErr w:type="spellEnd"/>
    </w:p>
    <w:p w14:paraId="1CD2E81B"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7425B15F" w14:textId="79DF9FAE" w:rsidR="00115119" w:rsidRPr="00AC50FA" w:rsidRDefault="00CF2C01" w:rsidP="00AC50FA">
      <w:pPr>
        <w:snapToGrid w:val="0"/>
        <w:spacing w:after="0" w:line="360" w:lineRule="auto"/>
        <w:jc w:val="both"/>
        <w:rPr>
          <w:rFonts w:ascii="Book Antiqua" w:hAnsi="Book Antiqua"/>
          <w:color w:val="000000" w:themeColor="text1"/>
          <w:sz w:val="24"/>
          <w:szCs w:val="24"/>
        </w:rPr>
      </w:pPr>
      <w:bookmarkStart w:id="2" w:name="_Hlk15551983"/>
      <w:bookmarkStart w:id="3" w:name="_Hlk18337965"/>
      <w:r w:rsidRPr="00AC50FA">
        <w:rPr>
          <w:rFonts w:ascii="Book Antiqua" w:hAnsi="Book Antiqua"/>
          <w:b/>
          <w:color w:val="000000" w:themeColor="text1"/>
          <w:sz w:val="24"/>
          <w:szCs w:val="24"/>
          <w:lang w:val="en-GB"/>
        </w:rPr>
        <w:t xml:space="preserve">Kin Pan Au, Albert Chi Yan Chan, Tan To Cheung, Chung Mau Lo, Kenneth Siu Ho </w:t>
      </w:r>
      <w:proofErr w:type="spellStart"/>
      <w:r w:rsidRPr="00AC50FA">
        <w:rPr>
          <w:rFonts w:ascii="Book Antiqua" w:hAnsi="Book Antiqua"/>
          <w:b/>
          <w:color w:val="000000" w:themeColor="text1"/>
          <w:sz w:val="24"/>
          <w:szCs w:val="24"/>
          <w:lang w:val="en-GB"/>
        </w:rPr>
        <w:t>Chok</w:t>
      </w:r>
      <w:proofErr w:type="spellEnd"/>
      <w:r w:rsidRPr="00AC50FA">
        <w:rPr>
          <w:rFonts w:ascii="Book Antiqua" w:hAnsi="Book Antiqua"/>
          <w:b/>
          <w:color w:val="000000" w:themeColor="text1"/>
          <w:sz w:val="24"/>
          <w:szCs w:val="24"/>
          <w:lang w:val="en-GB" w:eastAsia="zh-CN"/>
        </w:rPr>
        <w:t xml:space="preserve">, </w:t>
      </w:r>
      <w:r w:rsidR="00115119" w:rsidRPr="00AC50FA">
        <w:rPr>
          <w:rFonts w:ascii="Book Antiqua" w:hAnsi="Book Antiqua"/>
          <w:color w:val="000000" w:themeColor="text1"/>
          <w:sz w:val="24"/>
          <w:szCs w:val="24"/>
        </w:rPr>
        <w:t xml:space="preserve">Department of Surgery, Queen Mary Hospital, </w:t>
      </w:r>
      <w:r w:rsidR="001F199E">
        <w:rPr>
          <w:rFonts w:ascii="Book Antiqua" w:hAnsi="Book Antiqua"/>
          <w:color w:val="000000" w:themeColor="text1"/>
          <w:sz w:val="24"/>
          <w:szCs w:val="24"/>
        </w:rPr>
        <w:t>T</w:t>
      </w:r>
      <w:r w:rsidR="00115119" w:rsidRPr="00AC50FA">
        <w:rPr>
          <w:rFonts w:ascii="Book Antiqua" w:hAnsi="Book Antiqua"/>
          <w:color w:val="000000" w:themeColor="text1"/>
          <w:sz w:val="24"/>
          <w:szCs w:val="24"/>
        </w:rPr>
        <w:t>he University of Hong Kong</w:t>
      </w:r>
      <w:r w:rsidR="00385800" w:rsidRPr="00AC50FA">
        <w:rPr>
          <w:rFonts w:ascii="Book Antiqua" w:hAnsi="Book Antiqua"/>
          <w:color w:val="000000" w:themeColor="text1"/>
          <w:sz w:val="24"/>
          <w:szCs w:val="24"/>
        </w:rPr>
        <w:t>, Hong Kong</w:t>
      </w:r>
      <w:r w:rsidR="0081325E">
        <w:rPr>
          <w:rFonts w:ascii="Book Antiqua" w:hAnsi="Book Antiqua"/>
          <w:color w:val="000000" w:themeColor="text1"/>
          <w:sz w:val="24"/>
          <w:szCs w:val="24"/>
        </w:rPr>
        <w:t xml:space="preserve"> 999077</w:t>
      </w:r>
      <w:r w:rsidRPr="00AC50FA">
        <w:rPr>
          <w:rFonts w:ascii="Book Antiqua" w:hAnsi="Book Antiqua"/>
          <w:color w:val="000000" w:themeColor="text1"/>
          <w:sz w:val="24"/>
          <w:szCs w:val="24"/>
        </w:rPr>
        <w:t>, China</w:t>
      </w:r>
    </w:p>
    <w:p w14:paraId="6A98C876" w14:textId="77777777" w:rsidR="00CF2C01" w:rsidRPr="00AC50FA" w:rsidRDefault="00CF2C01" w:rsidP="00AC50FA">
      <w:pPr>
        <w:snapToGrid w:val="0"/>
        <w:spacing w:after="0" w:line="360" w:lineRule="auto"/>
        <w:jc w:val="both"/>
        <w:rPr>
          <w:rFonts w:ascii="Book Antiqua" w:hAnsi="Book Antiqua"/>
          <w:b/>
          <w:color w:val="000000" w:themeColor="text1"/>
          <w:sz w:val="24"/>
          <w:szCs w:val="24"/>
          <w:lang w:val="en-GB"/>
        </w:rPr>
      </w:pPr>
    </w:p>
    <w:p w14:paraId="446C1E56" w14:textId="6A99473B" w:rsidR="003C53EF" w:rsidRPr="00AC50FA" w:rsidRDefault="00115119" w:rsidP="00AC50FA">
      <w:pPr>
        <w:pStyle w:val="ad"/>
        <w:snapToGrid w:val="0"/>
        <w:spacing w:after="0" w:line="360" w:lineRule="auto"/>
        <w:jc w:val="both"/>
        <w:rPr>
          <w:rFonts w:ascii="Book Antiqua" w:hAnsi="Book Antiqua"/>
          <w:color w:val="000000" w:themeColor="text1"/>
          <w:sz w:val="24"/>
          <w:szCs w:val="24"/>
        </w:rPr>
      </w:pPr>
      <w:r w:rsidRPr="0081325E">
        <w:rPr>
          <w:rFonts w:ascii="Book Antiqua" w:hAnsi="Book Antiqua"/>
          <w:b/>
          <w:bCs/>
          <w:color w:val="000000" w:themeColor="text1"/>
          <w:sz w:val="24"/>
          <w:szCs w:val="24"/>
        </w:rPr>
        <w:t>Chi Leung Chiang</w:t>
      </w:r>
      <w:r w:rsidR="00CF2C01" w:rsidRPr="0081325E">
        <w:rPr>
          <w:rFonts w:ascii="Book Antiqua" w:hAnsi="Book Antiqua"/>
          <w:b/>
          <w:bCs/>
          <w:color w:val="000000" w:themeColor="text1"/>
          <w:sz w:val="24"/>
          <w:szCs w:val="24"/>
        </w:rPr>
        <w:t xml:space="preserve">, </w:t>
      </w:r>
      <w:r w:rsidR="0002739D" w:rsidRPr="00AC50FA">
        <w:rPr>
          <w:rFonts w:ascii="Book Antiqua" w:hAnsi="Book Antiqua"/>
          <w:color w:val="000000" w:themeColor="text1"/>
          <w:sz w:val="24"/>
          <w:szCs w:val="24"/>
        </w:rPr>
        <w:t xml:space="preserve">Department of Clinical Oncology, </w:t>
      </w:r>
      <w:r w:rsidR="003C53EF" w:rsidRPr="00AC50FA">
        <w:rPr>
          <w:rFonts w:ascii="Book Antiqua" w:hAnsi="Book Antiqua"/>
          <w:color w:val="000000" w:themeColor="text1"/>
          <w:sz w:val="24"/>
          <w:szCs w:val="24"/>
        </w:rPr>
        <w:t>Queen Mary Hospital, the University of Hong Kong</w:t>
      </w:r>
      <w:r w:rsidR="00385800" w:rsidRPr="00AC50FA">
        <w:rPr>
          <w:rFonts w:ascii="Book Antiqua" w:hAnsi="Book Antiqua"/>
          <w:color w:val="000000" w:themeColor="text1"/>
          <w:sz w:val="24"/>
          <w:szCs w:val="24"/>
        </w:rPr>
        <w:t>, Hong Kong</w:t>
      </w:r>
      <w:r w:rsidR="0081325E">
        <w:rPr>
          <w:rFonts w:ascii="Book Antiqua" w:hAnsi="Book Antiqua"/>
          <w:color w:val="000000" w:themeColor="text1"/>
          <w:sz w:val="24"/>
          <w:szCs w:val="24"/>
        </w:rPr>
        <w:t xml:space="preserve"> 999077</w:t>
      </w:r>
      <w:r w:rsidR="00CF2C01" w:rsidRPr="00AC50FA">
        <w:rPr>
          <w:rFonts w:ascii="Book Antiqua" w:hAnsi="Book Antiqua"/>
          <w:color w:val="000000" w:themeColor="text1"/>
          <w:sz w:val="24"/>
          <w:szCs w:val="24"/>
        </w:rPr>
        <w:t>, China</w:t>
      </w:r>
    </w:p>
    <w:bookmarkEnd w:id="2"/>
    <w:bookmarkEnd w:id="3"/>
    <w:p w14:paraId="2C03CAF1" w14:textId="5F021C6F"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776989C1" w14:textId="0DD82B07" w:rsidR="00A54A98" w:rsidRPr="00AC50FA" w:rsidRDefault="00CF2C01" w:rsidP="00AC50FA">
      <w:pPr>
        <w:adjustRightInd w:val="0"/>
        <w:snapToGrid w:val="0"/>
        <w:spacing w:after="0" w:line="360" w:lineRule="auto"/>
        <w:jc w:val="both"/>
        <w:rPr>
          <w:rFonts w:ascii="Book Antiqua" w:hAnsi="Book Antiqua"/>
          <w:color w:val="000000" w:themeColor="text1"/>
          <w:sz w:val="24"/>
          <w:szCs w:val="24"/>
        </w:rPr>
      </w:pPr>
      <w:bookmarkStart w:id="4" w:name="_Hlk6588641"/>
      <w:r w:rsidRPr="00AC50FA">
        <w:rPr>
          <w:rFonts w:ascii="Book Antiqua" w:hAnsi="Book Antiqua"/>
          <w:b/>
          <w:color w:val="000000" w:themeColor="text1"/>
          <w:sz w:val="24"/>
          <w:szCs w:val="24"/>
        </w:rPr>
        <w:t>Author contributions:</w:t>
      </w:r>
      <w:r w:rsidRPr="00AC50FA">
        <w:rPr>
          <w:rFonts w:ascii="Book Antiqua" w:hAnsi="Book Antiqua"/>
          <w:color w:val="000000" w:themeColor="text1"/>
          <w:sz w:val="24"/>
          <w:szCs w:val="24"/>
        </w:rPr>
        <w:t xml:space="preserve"> </w:t>
      </w:r>
      <w:proofErr w:type="spellStart"/>
      <w:r w:rsidR="00385800" w:rsidRPr="00AC50FA">
        <w:rPr>
          <w:rFonts w:ascii="Book Antiqua" w:hAnsi="Book Antiqua"/>
          <w:color w:val="000000" w:themeColor="text1"/>
          <w:sz w:val="24"/>
          <w:szCs w:val="24"/>
        </w:rPr>
        <w:t>Chok</w:t>
      </w:r>
      <w:proofErr w:type="spellEnd"/>
      <w:r w:rsidR="00385800" w:rsidRPr="00AC50FA">
        <w:rPr>
          <w:rFonts w:ascii="Book Antiqua" w:hAnsi="Book Antiqua"/>
          <w:color w:val="000000" w:themeColor="text1"/>
          <w:sz w:val="24"/>
          <w:szCs w:val="24"/>
        </w:rPr>
        <w:t xml:space="preserve"> KSH designed this study</w:t>
      </w:r>
      <w:r w:rsidRPr="00AC50FA">
        <w:rPr>
          <w:rFonts w:ascii="Book Antiqua" w:hAnsi="Book Antiqua"/>
          <w:color w:val="000000" w:themeColor="text1"/>
          <w:sz w:val="24"/>
          <w:szCs w:val="24"/>
        </w:rPr>
        <w:t xml:space="preserve">; </w:t>
      </w:r>
      <w:r w:rsidR="00385800" w:rsidRPr="00AC50FA">
        <w:rPr>
          <w:rFonts w:ascii="Book Antiqua" w:hAnsi="Book Antiqua"/>
          <w:color w:val="000000" w:themeColor="text1"/>
          <w:sz w:val="24"/>
          <w:szCs w:val="24"/>
        </w:rPr>
        <w:t>Au KP and Chiang CL</w:t>
      </w:r>
      <w:r w:rsidR="00545036">
        <w:rPr>
          <w:rFonts w:ascii="Book Antiqua" w:hAnsi="Book Antiqua"/>
          <w:color w:val="000000" w:themeColor="text1"/>
          <w:sz w:val="24"/>
          <w:szCs w:val="24"/>
        </w:rPr>
        <w:t xml:space="preserve"> </w:t>
      </w:r>
      <w:r w:rsidR="00385800" w:rsidRPr="00AC50FA">
        <w:rPr>
          <w:rFonts w:ascii="Book Antiqua" w:hAnsi="Book Antiqua"/>
          <w:color w:val="000000" w:themeColor="text1"/>
          <w:sz w:val="24"/>
          <w:szCs w:val="24"/>
        </w:rPr>
        <w:t>conducted the study, analyzed the data and wrote the manuscript</w:t>
      </w:r>
      <w:r w:rsidRPr="00AC50FA">
        <w:rPr>
          <w:rFonts w:ascii="Book Antiqua" w:hAnsi="Book Antiqua"/>
          <w:color w:val="000000" w:themeColor="text1"/>
          <w:sz w:val="24"/>
          <w:szCs w:val="24"/>
        </w:rPr>
        <w:t>;</w:t>
      </w:r>
      <w:r w:rsidR="00385800" w:rsidRPr="00AC50FA">
        <w:rPr>
          <w:rFonts w:ascii="Book Antiqua" w:hAnsi="Book Antiqua"/>
          <w:color w:val="000000" w:themeColor="text1"/>
          <w:sz w:val="24"/>
          <w:szCs w:val="24"/>
        </w:rPr>
        <w:t xml:space="preserve"> Chan ACY, Cheung TT and Lo CM </w:t>
      </w:r>
      <w:r w:rsidR="00AF08A0" w:rsidRPr="00AC50FA">
        <w:rPr>
          <w:rFonts w:ascii="Book Antiqua" w:hAnsi="Book Antiqua"/>
          <w:color w:val="000000" w:themeColor="text1"/>
          <w:sz w:val="24"/>
          <w:szCs w:val="24"/>
        </w:rPr>
        <w:t>reviewed and provided supervision.</w:t>
      </w:r>
    </w:p>
    <w:bookmarkEnd w:id="4"/>
    <w:p w14:paraId="6F09AB15"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1061FE0D" w14:textId="5D9256DB" w:rsidR="00A54A98" w:rsidRPr="00AC50FA" w:rsidRDefault="00CF2C01" w:rsidP="00AC50FA">
      <w:pPr>
        <w:widowControl w:val="0"/>
        <w:adjustRightInd w:val="0"/>
        <w:snapToGrid w:val="0"/>
        <w:spacing w:after="0" w:line="360" w:lineRule="auto"/>
        <w:jc w:val="both"/>
        <w:rPr>
          <w:rFonts w:ascii="Book Antiqua" w:hAnsi="Book Antiqua" w:cs="Times New Roman"/>
          <w:bCs/>
          <w:color w:val="000000" w:themeColor="text1"/>
          <w:kern w:val="2"/>
          <w:sz w:val="24"/>
          <w:szCs w:val="24"/>
        </w:rPr>
      </w:pPr>
      <w:r w:rsidRPr="00AC50FA">
        <w:rPr>
          <w:rFonts w:ascii="Book Antiqua" w:hAnsi="Book Antiqua"/>
          <w:b/>
          <w:color w:val="000000" w:themeColor="text1"/>
          <w:sz w:val="24"/>
          <w:szCs w:val="24"/>
        </w:rPr>
        <w:t xml:space="preserve">Corresponding author: </w:t>
      </w:r>
      <w:r w:rsidR="00570559" w:rsidRPr="001F199E">
        <w:rPr>
          <w:rFonts w:ascii="Book Antiqua" w:hAnsi="Book Antiqua" w:cs="Times New Roman"/>
          <w:b/>
          <w:color w:val="000000" w:themeColor="text1"/>
          <w:kern w:val="2"/>
          <w:sz w:val="24"/>
          <w:szCs w:val="24"/>
        </w:rPr>
        <w:t xml:space="preserve">Kenneth Siu Ho </w:t>
      </w:r>
      <w:proofErr w:type="spellStart"/>
      <w:r w:rsidR="00570559" w:rsidRPr="001F199E">
        <w:rPr>
          <w:rFonts w:ascii="Book Antiqua" w:hAnsi="Book Antiqua" w:cs="Times New Roman"/>
          <w:b/>
          <w:color w:val="000000" w:themeColor="text1"/>
          <w:kern w:val="2"/>
          <w:sz w:val="24"/>
          <w:szCs w:val="24"/>
        </w:rPr>
        <w:t>Chok</w:t>
      </w:r>
      <w:proofErr w:type="spellEnd"/>
      <w:r w:rsidRPr="001F199E">
        <w:rPr>
          <w:rFonts w:ascii="Book Antiqua" w:hAnsi="Book Antiqua" w:cs="Times New Roman"/>
          <w:b/>
          <w:color w:val="000000" w:themeColor="text1"/>
          <w:kern w:val="2"/>
          <w:sz w:val="24"/>
          <w:szCs w:val="24"/>
        </w:rPr>
        <w:t xml:space="preserve">, </w:t>
      </w:r>
      <w:r w:rsidR="001F199E" w:rsidRPr="001F199E">
        <w:rPr>
          <w:rFonts w:ascii="Book Antiqua" w:hAnsi="Book Antiqua" w:cs="Times New Roman"/>
          <w:b/>
          <w:color w:val="000000" w:themeColor="text1"/>
          <w:kern w:val="2"/>
          <w:sz w:val="24"/>
          <w:szCs w:val="24"/>
        </w:rPr>
        <w:t>FACS, FRCS (Ed), MBBS, Associate Professor,</w:t>
      </w:r>
      <w:r w:rsidR="001F199E">
        <w:rPr>
          <w:rFonts w:ascii="Book Antiqua" w:hAnsi="Book Antiqua" w:cs="Times New Roman"/>
          <w:b/>
          <w:color w:val="000000" w:themeColor="text1"/>
          <w:kern w:val="2"/>
          <w:sz w:val="24"/>
          <w:szCs w:val="24"/>
        </w:rPr>
        <w:t xml:space="preserve"> </w:t>
      </w:r>
      <w:r w:rsidR="0026542B" w:rsidRPr="00AC50FA">
        <w:rPr>
          <w:rFonts w:ascii="Book Antiqua" w:hAnsi="Book Antiqua" w:cs="Times New Roman"/>
          <w:bCs/>
          <w:color w:val="000000" w:themeColor="text1"/>
          <w:kern w:val="2"/>
          <w:sz w:val="24"/>
          <w:szCs w:val="24"/>
        </w:rPr>
        <w:t xml:space="preserve">Department of Surgery, </w:t>
      </w:r>
      <w:r w:rsidR="001F199E" w:rsidRPr="00AC50FA">
        <w:rPr>
          <w:rFonts w:ascii="Book Antiqua" w:hAnsi="Book Antiqua"/>
          <w:color w:val="000000" w:themeColor="text1"/>
          <w:sz w:val="24"/>
          <w:szCs w:val="24"/>
        </w:rPr>
        <w:t xml:space="preserve">Queen Mary Hospital, </w:t>
      </w:r>
      <w:r w:rsidR="001F199E">
        <w:rPr>
          <w:rFonts w:ascii="Book Antiqua" w:hAnsi="Book Antiqua"/>
          <w:color w:val="000000" w:themeColor="text1"/>
          <w:sz w:val="24"/>
          <w:szCs w:val="24"/>
        </w:rPr>
        <w:t>T</w:t>
      </w:r>
      <w:r w:rsidR="001F199E" w:rsidRPr="00AC50FA">
        <w:rPr>
          <w:rFonts w:ascii="Book Antiqua" w:hAnsi="Book Antiqua"/>
          <w:color w:val="000000" w:themeColor="text1"/>
          <w:sz w:val="24"/>
          <w:szCs w:val="24"/>
        </w:rPr>
        <w:t>he University of Hong Kong,</w:t>
      </w:r>
      <w:r w:rsidR="0026542B" w:rsidRPr="00AC50FA">
        <w:rPr>
          <w:rFonts w:ascii="Book Antiqua" w:hAnsi="Book Antiqua" w:cs="Times New Roman"/>
          <w:bCs/>
          <w:color w:val="000000" w:themeColor="text1"/>
          <w:kern w:val="2"/>
          <w:sz w:val="24"/>
          <w:szCs w:val="24"/>
        </w:rPr>
        <w:t xml:space="preserve"> 102 </w:t>
      </w:r>
      <w:proofErr w:type="spellStart"/>
      <w:r w:rsidR="0026542B" w:rsidRPr="00AC50FA">
        <w:rPr>
          <w:rFonts w:ascii="Book Antiqua" w:hAnsi="Book Antiqua" w:cs="Times New Roman"/>
          <w:bCs/>
          <w:color w:val="000000" w:themeColor="text1"/>
          <w:kern w:val="2"/>
          <w:sz w:val="24"/>
          <w:szCs w:val="24"/>
        </w:rPr>
        <w:t>Pokfulam</w:t>
      </w:r>
      <w:proofErr w:type="spellEnd"/>
      <w:r w:rsidR="0026542B" w:rsidRPr="00AC50FA">
        <w:rPr>
          <w:rFonts w:ascii="Book Antiqua" w:hAnsi="Book Antiqua" w:cs="Times New Roman"/>
          <w:bCs/>
          <w:color w:val="000000" w:themeColor="text1"/>
          <w:kern w:val="2"/>
          <w:sz w:val="24"/>
          <w:szCs w:val="24"/>
        </w:rPr>
        <w:t xml:space="preserve"> Road, Hong Kong</w:t>
      </w:r>
      <w:r w:rsidR="001F199E">
        <w:rPr>
          <w:rFonts w:ascii="Book Antiqua" w:hAnsi="Book Antiqua" w:cs="Times New Roman"/>
          <w:bCs/>
          <w:color w:val="000000" w:themeColor="text1"/>
          <w:kern w:val="2"/>
          <w:sz w:val="24"/>
          <w:szCs w:val="24"/>
        </w:rPr>
        <w:t xml:space="preserve"> </w:t>
      </w:r>
      <w:r w:rsidR="001F199E">
        <w:rPr>
          <w:rFonts w:ascii="Book Antiqua" w:hAnsi="Book Antiqua"/>
          <w:color w:val="000000" w:themeColor="text1"/>
          <w:sz w:val="24"/>
          <w:szCs w:val="24"/>
        </w:rPr>
        <w:t>999077</w:t>
      </w:r>
      <w:r w:rsidRPr="00AC50FA">
        <w:rPr>
          <w:rFonts w:ascii="Book Antiqua" w:hAnsi="Book Antiqua" w:cs="Times New Roman"/>
          <w:bCs/>
          <w:color w:val="000000" w:themeColor="text1"/>
          <w:kern w:val="2"/>
          <w:sz w:val="24"/>
          <w:szCs w:val="24"/>
        </w:rPr>
        <w:t xml:space="preserve">, China. </w:t>
      </w:r>
      <w:r w:rsidR="006F5C89" w:rsidRPr="00AC50FA">
        <w:rPr>
          <w:rFonts w:ascii="Book Antiqua" w:hAnsi="Book Antiqua" w:cs="Times New Roman"/>
          <w:bCs/>
          <w:color w:val="000000" w:themeColor="text1"/>
          <w:kern w:val="2"/>
          <w:sz w:val="24"/>
          <w:szCs w:val="24"/>
          <w:u w:val="single"/>
        </w:rPr>
        <w:t>chok6275@hku.hk</w:t>
      </w:r>
    </w:p>
    <w:p w14:paraId="4DDF8EB6"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453F76C5" w14:textId="0E1CE8EC"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 xml:space="preserve">Received: </w:t>
      </w:r>
      <w:r w:rsidRPr="00AC50FA">
        <w:rPr>
          <w:rFonts w:ascii="Book Antiqua" w:hAnsi="Book Antiqua"/>
          <w:color w:val="000000" w:themeColor="text1"/>
          <w:sz w:val="24"/>
          <w:szCs w:val="24"/>
        </w:rPr>
        <w:t>November</w:t>
      </w:r>
      <w:r w:rsidRPr="00AC50FA">
        <w:rPr>
          <w:rFonts w:ascii="Book Antiqua" w:hAnsi="Book Antiqua"/>
          <w:color w:val="000000" w:themeColor="text1"/>
          <w:sz w:val="24"/>
          <w:szCs w:val="24"/>
          <w:lang w:eastAsia="zh-CN"/>
        </w:rPr>
        <w:t xml:space="preserve"> 13, 2019</w:t>
      </w:r>
    </w:p>
    <w:p w14:paraId="2EBC35D7" w14:textId="2E658B71"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lastRenderedPageBreak/>
        <w:t xml:space="preserve">Revised: </w:t>
      </w:r>
      <w:r w:rsidRPr="00AC50FA">
        <w:rPr>
          <w:rFonts w:ascii="Book Antiqua" w:hAnsi="Book Antiqua"/>
          <w:color w:val="000000" w:themeColor="text1"/>
          <w:sz w:val="24"/>
          <w:szCs w:val="24"/>
        </w:rPr>
        <w:t>May 14, 2020</w:t>
      </w:r>
    </w:p>
    <w:p w14:paraId="056A3D85" w14:textId="355E2EBF"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Accepted:</w:t>
      </w:r>
      <w:r w:rsidR="00F80125" w:rsidRPr="00F80125">
        <w:t xml:space="preserve"> </w:t>
      </w:r>
      <w:r w:rsidR="00F80125" w:rsidRPr="00F80125">
        <w:rPr>
          <w:rFonts w:ascii="Book Antiqua" w:hAnsi="Book Antiqua"/>
          <w:bCs/>
          <w:color w:val="000000" w:themeColor="text1"/>
          <w:sz w:val="24"/>
          <w:szCs w:val="24"/>
        </w:rPr>
        <w:t>May 19, 2020</w:t>
      </w:r>
      <w:r w:rsidRPr="00F80125">
        <w:rPr>
          <w:rFonts w:ascii="Book Antiqua" w:hAnsi="Book Antiqua"/>
          <w:bCs/>
          <w:color w:val="000000" w:themeColor="text1"/>
          <w:sz w:val="24"/>
          <w:szCs w:val="24"/>
        </w:rPr>
        <w:t xml:space="preserve"> </w:t>
      </w:r>
    </w:p>
    <w:p w14:paraId="57C6C492"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Published online:</w:t>
      </w:r>
    </w:p>
    <w:p w14:paraId="1CA9CDD7" w14:textId="288D4011" w:rsidR="00BE6904" w:rsidRPr="00AC50FA" w:rsidRDefault="00BE6904"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br w:type="page"/>
      </w:r>
    </w:p>
    <w:p w14:paraId="670DD799"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lang w:eastAsia="zh-CN"/>
        </w:rPr>
      </w:pPr>
      <w:r w:rsidRPr="00AC50FA">
        <w:rPr>
          <w:rFonts w:ascii="Book Antiqua" w:hAnsi="Book Antiqua"/>
          <w:b/>
          <w:color w:val="000000" w:themeColor="text1"/>
          <w:sz w:val="24"/>
          <w:szCs w:val="24"/>
        </w:rPr>
        <w:lastRenderedPageBreak/>
        <w:t>Abstract</w:t>
      </w:r>
    </w:p>
    <w:p w14:paraId="1914F54E"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eastAsia="zh-CN"/>
        </w:rPr>
      </w:pPr>
      <w:r w:rsidRPr="00AC50FA">
        <w:rPr>
          <w:rFonts w:ascii="Book Antiqua" w:hAnsi="Book Antiqua"/>
          <w:color w:val="000000" w:themeColor="text1"/>
          <w:sz w:val="24"/>
          <w:szCs w:val="24"/>
        </w:rPr>
        <w:t>BACKGROUND</w:t>
      </w:r>
    </w:p>
    <w:p w14:paraId="54A05499" w14:textId="77777777" w:rsidR="0099156C" w:rsidRPr="00AC50FA" w:rsidRDefault="008F611A"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rPr>
        <w:t xml:space="preserve">Graft hepatocellular carcinoma (HCC) recurrence after liver transplant is more frequently encountered. </w:t>
      </w:r>
      <w:r w:rsidR="005F1A5F" w:rsidRPr="00AC50FA">
        <w:rPr>
          <w:rFonts w:ascii="Book Antiqua" w:hAnsi="Book Antiqua"/>
          <w:color w:val="000000" w:themeColor="text1"/>
          <w:sz w:val="24"/>
          <w:szCs w:val="24"/>
        </w:rPr>
        <w:t>G</w:t>
      </w:r>
      <w:r w:rsidR="00E30DDE" w:rsidRPr="00AC50FA">
        <w:rPr>
          <w:rFonts w:ascii="Book Antiqua" w:hAnsi="Book Antiqua"/>
          <w:color w:val="000000" w:themeColor="text1"/>
          <w:sz w:val="24"/>
          <w:szCs w:val="24"/>
          <w:lang w:val="en-GB"/>
        </w:rPr>
        <w:t xml:space="preserve">raft hepatectomy is technically challenging </w:t>
      </w:r>
      <w:r w:rsidR="00FA51D9" w:rsidRPr="00AC50FA">
        <w:rPr>
          <w:rFonts w:ascii="Book Antiqua" w:hAnsi="Book Antiqua"/>
          <w:color w:val="000000" w:themeColor="text1"/>
          <w:sz w:val="24"/>
          <w:szCs w:val="24"/>
          <w:lang w:val="en-GB"/>
        </w:rPr>
        <w:t xml:space="preserve">and is associated with high morbidity. </w:t>
      </w:r>
      <w:r w:rsidR="00E30DDE" w:rsidRPr="00AC50FA">
        <w:rPr>
          <w:rFonts w:ascii="Book Antiqua" w:hAnsi="Book Antiqua"/>
          <w:color w:val="000000" w:themeColor="text1"/>
          <w:sz w:val="24"/>
          <w:szCs w:val="24"/>
          <w:lang w:val="en-GB"/>
        </w:rPr>
        <w:t>Stereotactic body radiation therapy (SBRT</w:t>
      </w:r>
      <w:r w:rsidR="00FA51D9" w:rsidRPr="00AC50FA">
        <w:rPr>
          <w:rFonts w:ascii="Book Antiqua" w:hAnsi="Book Antiqua"/>
          <w:color w:val="000000" w:themeColor="text1"/>
          <w:sz w:val="24"/>
          <w:szCs w:val="24"/>
          <w:lang w:val="en-GB"/>
        </w:rPr>
        <w:t>)</w:t>
      </w:r>
      <w:r w:rsidR="00E30DDE" w:rsidRPr="00AC50FA">
        <w:rPr>
          <w:rFonts w:ascii="Book Antiqua" w:hAnsi="Book Antiqua"/>
          <w:color w:val="000000" w:themeColor="text1"/>
          <w:sz w:val="24"/>
          <w:szCs w:val="24"/>
          <w:lang w:val="en-GB"/>
        </w:rPr>
        <w:t xml:space="preserve"> has been shown to be safe and effective for the treatment of primary HCC. However, </w:t>
      </w:r>
      <w:r w:rsidR="00FA51D9" w:rsidRPr="00AC50FA">
        <w:rPr>
          <w:rFonts w:ascii="Book Antiqua" w:hAnsi="Book Antiqua"/>
          <w:color w:val="000000" w:themeColor="text1"/>
          <w:sz w:val="24"/>
          <w:szCs w:val="24"/>
          <w:lang w:val="en-GB"/>
        </w:rPr>
        <w:t>its role in</w:t>
      </w:r>
      <w:r w:rsidR="00E30DDE" w:rsidRPr="00AC50FA">
        <w:rPr>
          <w:rFonts w:ascii="Book Antiqua" w:hAnsi="Book Antiqua"/>
          <w:color w:val="000000" w:themeColor="text1"/>
          <w:sz w:val="24"/>
          <w:szCs w:val="24"/>
          <w:lang w:val="en-GB"/>
        </w:rPr>
        <w:t xml:space="preserve"> HCC recurrence in a liver graft remains unclear.</w:t>
      </w:r>
      <w:r w:rsidR="000C7E38" w:rsidRPr="00AC50FA">
        <w:rPr>
          <w:rFonts w:ascii="Book Antiqua" w:hAnsi="Book Antiqua"/>
          <w:color w:val="000000" w:themeColor="text1"/>
          <w:sz w:val="24"/>
          <w:szCs w:val="24"/>
          <w:lang w:val="en-GB"/>
        </w:rPr>
        <w:t xml:space="preserve"> </w:t>
      </w:r>
    </w:p>
    <w:p w14:paraId="42F3BB40" w14:textId="77777777" w:rsidR="0099156C" w:rsidRPr="00AC50FA" w:rsidRDefault="0099156C" w:rsidP="00AC50FA">
      <w:pPr>
        <w:snapToGrid w:val="0"/>
        <w:spacing w:after="0" w:line="360" w:lineRule="auto"/>
        <w:jc w:val="both"/>
        <w:rPr>
          <w:rFonts w:ascii="Book Antiqua" w:hAnsi="Book Antiqua"/>
          <w:color w:val="000000" w:themeColor="text1"/>
          <w:sz w:val="24"/>
          <w:szCs w:val="24"/>
          <w:lang w:val="en-GB"/>
        </w:rPr>
      </w:pPr>
    </w:p>
    <w:p w14:paraId="2B4E9DDC"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 w:eastAsia="zh-CN"/>
        </w:rPr>
      </w:pPr>
      <w:r w:rsidRPr="00AC50FA">
        <w:rPr>
          <w:rFonts w:ascii="Book Antiqua" w:hAnsi="Book Antiqua"/>
          <w:color w:val="000000" w:themeColor="text1"/>
          <w:sz w:val="24"/>
          <w:szCs w:val="24"/>
        </w:rPr>
        <w:t>AIM</w:t>
      </w:r>
    </w:p>
    <w:p w14:paraId="766B8690" w14:textId="0F2A6D63" w:rsidR="00BE6904" w:rsidRPr="00AC50FA" w:rsidRDefault="0099156C" w:rsidP="00AC50FA">
      <w:pPr>
        <w:snapToGrid w:val="0"/>
        <w:spacing w:after="0" w:line="360" w:lineRule="auto"/>
        <w:jc w:val="both"/>
        <w:rPr>
          <w:rFonts w:ascii="Book Antiqua" w:eastAsia="Times New Roman" w:hAnsi="Book Antiqua" w:cs="Helvetica"/>
          <w:color w:val="000000" w:themeColor="text1"/>
          <w:sz w:val="24"/>
          <w:szCs w:val="24"/>
        </w:rPr>
      </w:pPr>
      <w:r w:rsidRPr="00AC50FA">
        <w:rPr>
          <w:rFonts w:ascii="Book Antiqua" w:hAnsi="Book Antiqua"/>
          <w:color w:val="000000" w:themeColor="text1"/>
          <w:sz w:val="24"/>
          <w:szCs w:val="24"/>
          <w:lang w:val="en-GB"/>
        </w:rPr>
        <w:t>T</w:t>
      </w:r>
      <w:r w:rsidRPr="00AC50FA">
        <w:rPr>
          <w:rFonts w:ascii="Book Antiqua" w:eastAsia="Times New Roman" w:hAnsi="Book Antiqua" w:cs="Helvetica"/>
          <w:color w:val="000000" w:themeColor="text1"/>
          <w:sz w:val="24"/>
          <w:szCs w:val="24"/>
        </w:rPr>
        <w:t xml:space="preserve">o </w:t>
      </w:r>
      <w:r w:rsidR="00BE6904" w:rsidRPr="00AC50FA">
        <w:rPr>
          <w:rFonts w:ascii="Book Antiqua" w:eastAsia="Times New Roman" w:hAnsi="Book Antiqua" w:cs="Helvetica"/>
          <w:color w:val="000000" w:themeColor="text1"/>
          <w:sz w:val="24"/>
          <w:szCs w:val="24"/>
        </w:rPr>
        <w:t>evaluate the safety and efficacy of SBRT for the treatment of graft HCC recurrence after liver transplantation.</w:t>
      </w:r>
    </w:p>
    <w:p w14:paraId="100820FE" w14:textId="77777777" w:rsidR="00A54A98" w:rsidRPr="00AC50FA" w:rsidRDefault="00A54A98" w:rsidP="00AC50FA">
      <w:pPr>
        <w:snapToGrid w:val="0"/>
        <w:spacing w:after="0" w:line="360" w:lineRule="auto"/>
        <w:jc w:val="both"/>
        <w:rPr>
          <w:rFonts w:ascii="Book Antiqua" w:eastAsia="Times New Roman" w:hAnsi="Book Antiqua" w:cs="Helvetica"/>
          <w:color w:val="000000" w:themeColor="text1"/>
          <w:sz w:val="24"/>
          <w:szCs w:val="24"/>
        </w:rPr>
      </w:pPr>
    </w:p>
    <w:p w14:paraId="1A36967B"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 w:eastAsia="zh-CN"/>
        </w:rPr>
      </w:pPr>
      <w:r w:rsidRPr="00AC50FA">
        <w:rPr>
          <w:rFonts w:ascii="Book Antiqua" w:hAnsi="Book Antiqua"/>
          <w:color w:val="000000" w:themeColor="text1"/>
          <w:sz w:val="24"/>
          <w:szCs w:val="24"/>
        </w:rPr>
        <w:t>METHODS</w:t>
      </w:r>
    </w:p>
    <w:p w14:paraId="6BAFB9FA" w14:textId="0622E8AA" w:rsidR="00BE6904" w:rsidRPr="00AC50FA" w:rsidRDefault="00BE6904"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eastAsia="Times New Roman" w:hAnsi="Book Antiqua" w:cs="Helvetica"/>
          <w:color w:val="000000" w:themeColor="text1"/>
          <w:sz w:val="24"/>
          <w:szCs w:val="24"/>
          <w:lang w:val="en-GB"/>
        </w:rPr>
        <w:t xml:space="preserve">A retrospective study was conducted. From 2012 to 2018, 6 patients with intrahepatic HCC recurrence after liver transplant were treated with SBRT at Queen Mary Hospital, the University of Hong Kong. The primary outcome was time to overall disease progression and secondary outcomes were time to local progression and best local response, as assessed with the </w:t>
      </w:r>
      <w:r w:rsidRPr="00AC50FA">
        <w:rPr>
          <w:rFonts w:ascii="Book Antiqua" w:hAnsi="Book Antiqua"/>
          <w:color w:val="000000" w:themeColor="text1"/>
          <w:sz w:val="24"/>
          <w:szCs w:val="24"/>
          <w:lang w:val="en-GB"/>
        </w:rPr>
        <w:t xml:space="preserve">Modified response Evaluation Criteria for Solid Tumours criteria. </w:t>
      </w:r>
      <w:r w:rsidR="00217149" w:rsidRPr="00AC50FA">
        <w:rPr>
          <w:rFonts w:ascii="Book Antiqua" w:hAnsi="Book Antiqua"/>
          <w:color w:val="000000" w:themeColor="text1"/>
          <w:sz w:val="24"/>
          <w:szCs w:val="24"/>
          <w:lang w:val="en-GB"/>
        </w:rPr>
        <w:t>Patients were monitored for t</w:t>
      </w:r>
      <w:r w:rsidRPr="00AC50FA">
        <w:rPr>
          <w:rFonts w:ascii="Book Antiqua" w:hAnsi="Book Antiqua"/>
          <w:color w:val="000000" w:themeColor="text1"/>
          <w:sz w:val="24"/>
          <w:szCs w:val="24"/>
          <w:lang w:val="en-GB"/>
        </w:rPr>
        <w:t xml:space="preserve">reatment related toxicities </w:t>
      </w:r>
      <w:r w:rsidR="00217149" w:rsidRPr="00AC50FA">
        <w:rPr>
          <w:rFonts w:ascii="Book Antiqua" w:hAnsi="Book Antiqua"/>
          <w:color w:val="000000" w:themeColor="text1"/>
          <w:sz w:val="24"/>
          <w:szCs w:val="24"/>
          <w:lang w:val="en-GB"/>
        </w:rPr>
        <w:t>and graft dysfunction.</w:t>
      </w:r>
      <w:r w:rsidRPr="00AC50FA">
        <w:rPr>
          <w:rFonts w:ascii="Book Antiqua" w:hAnsi="Book Antiqua"/>
          <w:color w:val="000000" w:themeColor="text1"/>
          <w:sz w:val="24"/>
          <w:szCs w:val="24"/>
          <w:lang w:val="en-GB"/>
        </w:rPr>
        <w:t xml:space="preserve"> </w:t>
      </w:r>
    </w:p>
    <w:p w14:paraId="7A4B9CE7" w14:textId="77777777" w:rsidR="00A54A98" w:rsidRPr="00AC50FA" w:rsidRDefault="00A54A98" w:rsidP="00AC50FA">
      <w:pPr>
        <w:snapToGrid w:val="0"/>
        <w:spacing w:after="0" w:line="360" w:lineRule="auto"/>
        <w:jc w:val="both"/>
        <w:rPr>
          <w:rFonts w:ascii="Book Antiqua" w:eastAsia="Times New Roman" w:hAnsi="Book Antiqua" w:cs="Helvetica"/>
          <w:color w:val="000000" w:themeColor="text1"/>
          <w:sz w:val="24"/>
          <w:szCs w:val="24"/>
          <w:lang w:val="en-GB"/>
        </w:rPr>
      </w:pPr>
    </w:p>
    <w:p w14:paraId="6EFFDD1E"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 w:eastAsia="zh-CN"/>
        </w:rPr>
      </w:pPr>
      <w:r w:rsidRPr="00AC50FA">
        <w:rPr>
          <w:rFonts w:ascii="Book Antiqua" w:hAnsi="Book Antiqua"/>
          <w:color w:val="000000" w:themeColor="text1"/>
          <w:sz w:val="24"/>
          <w:szCs w:val="24"/>
        </w:rPr>
        <w:t>RESULTS</w:t>
      </w:r>
    </w:p>
    <w:p w14:paraId="49695633" w14:textId="594164BE" w:rsidR="00BE6904" w:rsidRPr="00AC50FA" w:rsidRDefault="00BE6904"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eastAsia="Times New Roman" w:hAnsi="Book Antiqua" w:cs="Helvetica"/>
          <w:color w:val="000000" w:themeColor="text1"/>
          <w:sz w:val="24"/>
          <w:szCs w:val="24"/>
          <w:lang w:val="en-GB"/>
        </w:rPr>
        <w:t xml:space="preserve">A total of 9 treatment courses were given for 13 tumours. </w:t>
      </w:r>
      <w:r w:rsidRPr="00AC50FA">
        <w:rPr>
          <w:rFonts w:ascii="Book Antiqua" w:hAnsi="Book Antiqua"/>
          <w:color w:val="000000" w:themeColor="text1"/>
          <w:sz w:val="24"/>
          <w:szCs w:val="24"/>
          <w:lang w:val="en-GB"/>
        </w:rPr>
        <w:t>The median tumour size was 2.3</w:t>
      </w:r>
      <w:r w:rsidR="00CB20FE">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cm (range 0.7-3.6</w:t>
      </w:r>
      <w:r w:rsidR="0099156C"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 xml:space="preserve">cm). Two (22%) patients had </w:t>
      </w:r>
      <w:r w:rsidR="00B41683" w:rsidRPr="00AC50FA">
        <w:rPr>
          <w:rFonts w:ascii="Book Antiqua" w:hAnsi="Book Antiqua"/>
          <w:color w:val="000000" w:themeColor="text1"/>
          <w:sz w:val="24"/>
          <w:szCs w:val="24"/>
        </w:rPr>
        <w:t>inferior vena cava</w:t>
      </w:r>
      <w:r w:rsidR="00B41683"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 xml:space="preserve">tumour thrombus. The best local treatment response was: 5 (55%) complete response, 1 (11%) partial response and 3 (33%) stable disease. After a median follow up duration of 15.5 </w:t>
      </w:r>
      <w:proofErr w:type="spellStart"/>
      <w:r w:rsidRPr="00AC50FA">
        <w:rPr>
          <w:rFonts w:ascii="Book Antiqua" w:hAnsi="Book Antiqua"/>
          <w:color w:val="000000" w:themeColor="text1"/>
          <w:sz w:val="24"/>
          <w:szCs w:val="24"/>
          <w:lang w:val="en-GB"/>
        </w:rPr>
        <w:t>mo</w:t>
      </w:r>
      <w:proofErr w:type="spellEnd"/>
      <w:r w:rsidRPr="00AC50FA">
        <w:rPr>
          <w:rFonts w:ascii="Book Antiqua" w:hAnsi="Book Antiqua"/>
          <w:color w:val="000000" w:themeColor="text1"/>
          <w:sz w:val="24"/>
          <w:szCs w:val="24"/>
          <w:lang w:val="en-GB"/>
        </w:rPr>
        <w:t>, no local progression or mortality was yet observed. The median time to overall disease progression was 6.5 mo. There were 6 regional progression in the liver graft (67%) and 2 distant progression in the lung (22%). There was no grade 3 or above toxicity and there was no graft dysfunction after SBRT.</w:t>
      </w:r>
    </w:p>
    <w:p w14:paraId="487817B7" w14:textId="77777777" w:rsidR="00A54A98" w:rsidRPr="00AC50FA" w:rsidRDefault="00A54A98" w:rsidP="00AC50FA">
      <w:pPr>
        <w:snapToGrid w:val="0"/>
        <w:spacing w:after="0" w:line="360" w:lineRule="auto"/>
        <w:jc w:val="both"/>
        <w:rPr>
          <w:rFonts w:ascii="Book Antiqua" w:eastAsia="Times New Roman" w:hAnsi="Book Antiqua" w:cs="Helvetica"/>
          <w:color w:val="000000" w:themeColor="text1"/>
          <w:sz w:val="24"/>
          <w:szCs w:val="24"/>
          <w:lang w:val="en-GB"/>
        </w:rPr>
      </w:pPr>
    </w:p>
    <w:p w14:paraId="45928764"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 w:eastAsia="zh-CN"/>
        </w:rPr>
      </w:pPr>
      <w:r w:rsidRPr="00AC50FA">
        <w:rPr>
          <w:rFonts w:ascii="Book Antiqua" w:hAnsi="Book Antiqua"/>
          <w:color w:val="000000" w:themeColor="text1"/>
          <w:sz w:val="24"/>
          <w:szCs w:val="24"/>
        </w:rPr>
        <w:t>CONCLUSION</w:t>
      </w:r>
      <w:r w:rsidRPr="00AC50FA">
        <w:rPr>
          <w:rFonts w:ascii="Book Antiqua" w:hAnsi="Book Antiqua"/>
          <w:color w:val="000000" w:themeColor="text1"/>
          <w:sz w:val="24"/>
          <w:szCs w:val="24"/>
          <w:lang w:val="en"/>
        </w:rPr>
        <w:t xml:space="preserve"> </w:t>
      </w:r>
    </w:p>
    <w:p w14:paraId="49693AF3" w14:textId="3DAB1256" w:rsidR="00A54A98" w:rsidRPr="00AC50FA" w:rsidRDefault="00BE6904" w:rsidP="00AC50FA">
      <w:pPr>
        <w:snapToGrid w:val="0"/>
        <w:spacing w:after="0" w:line="360" w:lineRule="auto"/>
        <w:jc w:val="both"/>
        <w:rPr>
          <w:rFonts w:ascii="Book Antiqua" w:eastAsia="Times New Roman" w:hAnsi="Book Antiqua" w:cs="Helvetica"/>
          <w:strike/>
          <w:color w:val="000000" w:themeColor="text1"/>
          <w:sz w:val="24"/>
          <w:szCs w:val="24"/>
          <w:lang w:val="en-GB"/>
        </w:rPr>
      </w:pPr>
      <w:r w:rsidRPr="00AC50FA">
        <w:rPr>
          <w:rFonts w:ascii="Book Antiqua" w:eastAsia="Times New Roman" w:hAnsi="Book Antiqua" w:cs="Helvetica"/>
          <w:color w:val="000000" w:themeColor="text1"/>
          <w:sz w:val="24"/>
          <w:szCs w:val="24"/>
          <w:lang w:val="en-GB"/>
        </w:rPr>
        <w:t xml:space="preserve">SBRT appears to be safe in this </w:t>
      </w:r>
      <w:r w:rsidR="003C182D" w:rsidRPr="00AC50FA">
        <w:rPr>
          <w:rFonts w:ascii="Book Antiqua" w:eastAsia="Times New Roman" w:hAnsi="Book Antiqua" w:cs="Helvetica"/>
          <w:color w:val="000000" w:themeColor="text1"/>
          <w:sz w:val="24"/>
          <w:szCs w:val="24"/>
          <w:lang w:val="en-GB"/>
        </w:rPr>
        <w:t>context</w:t>
      </w:r>
      <w:r w:rsidRPr="00AC50FA">
        <w:rPr>
          <w:rFonts w:ascii="Book Antiqua" w:eastAsia="Times New Roman" w:hAnsi="Book Antiqua" w:cs="Helvetica"/>
          <w:color w:val="000000" w:themeColor="text1"/>
          <w:sz w:val="24"/>
          <w:szCs w:val="24"/>
          <w:lang w:val="en-GB"/>
        </w:rPr>
        <w:t>. Regional progression is the mode of failure.</w:t>
      </w:r>
      <w:r w:rsidRPr="00AC50FA">
        <w:rPr>
          <w:rFonts w:ascii="Book Antiqua" w:eastAsia="Times New Roman" w:hAnsi="Book Antiqua" w:cs="Helvetica"/>
          <w:strike/>
          <w:color w:val="000000" w:themeColor="text1"/>
          <w:sz w:val="24"/>
          <w:szCs w:val="24"/>
          <w:lang w:val="en-GB"/>
        </w:rPr>
        <w:t xml:space="preserve"> </w:t>
      </w:r>
    </w:p>
    <w:p w14:paraId="69B41214" w14:textId="77777777" w:rsidR="00A54A98" w:rsidRPr="00AC50FA" w:rsidRDefault="00A54A98" w:rsidP="00AC50FA">
      <w:pPr>
        <w:snapToGrid w:val="0"/>
        <w:spacing w:after="0" w:line="360" w:lineRule="auto"/>
        <w:jc w:val="both"/>
        <w:rPr>
          <w:rFonts w:ascii="Book Antiqua" w:hAnsi="Book Antiqua"/>
          <w:b/>
          <w:color w:val="000000" w:themeColor="text1"/>
          <w:sz w:val="24"/>
          <w:szCs w:val="24"/>
          <w:lang w:val="en-GB"/>
        </w:rPr>
      </w:pPr>
    </w:p>
    <w:p w14:paraId="283ECE46" w14:textId="58DCDEA1" w:rsidR="00A54A98" w:rsidRPr="00AC50FA" w:rsidRDefault="00CF2C01" w:rsidP="00AC50FA">
      <w:pPr>
        <w:snapToGrid w:val="0"/>
        <w:spacing w:after="0" w:line="360" w:lineRule="auto"/>
        <w:jc w:val="both"/>
        <w:rPr>
          <w:rFonts w:ascii="Book Antiqua" w:hAnsi="Book Antiqua"/>
          <w:bCs/>
          <w:color w:val="000000" w:themeColor="text1"/>
          <w:sz w:val="24"/>
          <w:szCs w:val="24"/>
          <w:lang w:val="en-GB" w:eastAsia="zh-CN"/>
        </w:rPr>
      </w:pPr>
      <w:r w:rsidRPr="00AC50FA">
        <w:rPr>
          <w:rFonts w:ascii="Book Antiqua" w:hAnsi="Book Antiqua"/>
          <w:b/>
          <w:color w:val="000000" w:themeColor="text1"/>
          <w:sz w:val="24"/>
          <w:szCs w:val="24"/>
        </w:rPr>
        <w:t>Key words:</w:t>
      </w:r>
      <w:r w:rsidRPr="00AC50FA">
        <w:rPr>
          <w:rFonts w:ascii="Book Antiqua" w:hAnsi="Book Antiqua"/>
          <w:color w:val="000000" w:themeColor="text1"/>
          <w:sz w:val="24"/>
          <w:szCs w:val="24"/>
        </w:rPr>
        <w:t xml:space="preserve"> </w:t>
      </w:r>
      <w:r w:rsidR="003034FB" w:rsidRPr="00AC50FA">
        <w:rPr>
          <w:rFonts w:ascii="Book Antiqua" w:hAnsi="Book Antiqua"/>
          <w:bCs/>
          <w:color w:val="000000" w:themeColor="text1"/>
          <w:sz w:val="24"/>
          <w:szCs w:val="24"/>
          <w:lang w:val="en-GB" w:eastAsia="zh-CN"/>
        </w:rPr>
        <w:t>Stereotactic body radiotherapy; Hepatocellular carcinoma; Liver transplantation; Recurrence; Radiosurgery; Outcomes</w:t>
      </w:r>
    </w:p>
    <w:p w14:paraId="4C26400C" w14:textId="1B6D0297" w:rsidR="00A54A98" w:rsidRPr="00AC50FA" w:rsidRDefault="00A54A98" w:rsidP="00AC50FA">
      <w:pPr>
        <w:snapToGrid w:val="0"/>
        <w:spacing w:after="0" w:line="360" w:lineRule="auto"/>
        <w:jc w:val="both"/>
        <w:rPr>
          <w:rFonts w:ascii="Book Antiqua" w:hAnsi="Book Antiqua"/>
          <w:bCs/>
          <w:color w:val="000000" w:themeColor="text1"/>
          <w:sz w:val="24"/>
          <w:szCs w:val="24"/>
          <w:lang w:val="en-GB" w:eastAsia="zh-CN"/>
        </w:rPr>
      </w:pPr>
    </w:p>
    <w:p w14:paraId="37427612" w14:textId="1F2BD61A" w:rsidR="008635E6" w:rsidRPr="00AC50FA" w:rsidRDefault="0099156C" w:rsidP="00AC50FA">
      <w:pPr>
        <w:snapToGrid w:val="0"/>
        <w:spacing w:after="0" w:line="360" w:lineRule="auto"/>
        <w:jc w:val="both"/>
        <w:rPr>
          <w:rFonts w:ascii="Book Antiqua" w:hAnsi="Book Antiqua"/>
          <w:bCs/>
          <w:color w:val="000000" w:themeColor="text1"/>
          <w:sz w:val="24"/>
          <w:szCs w:val="24"/>
          <w:lang w:val="en-GB"/>
        </w:rPr>
      </w:pPr>
      <w:r w:rsidRPr="00AC50FA">
        <w:rPr>
          <w:rFonts w:ascii="Book Antiqua" w:hAnsi="Book Antiqua"/>
          <w:bCs/>
          <w:color w:val="000000" w:themeColor="text1"/>
          <w:sz w:val="24"/>
          <w:szCs w:val="24"/>
          <w:lang w:val="en-GB"/>
        </w:rPr>
        <w:t xml:space="preserve">Au KP, Chiang CL, Chan ACY, Cheung TT, Lo CM, </w:t>
      </w:r>
      <w:proofErr w:type="spellStart"/>
      <w:r w:rsidRPr="00AC50FA">
        <w:rPr>
          <w:rFonts w:ascii="Book Antiqua" w:hAnsi="Book Antiqua"/>
          <w:bCs/>
          <w:color w:val="000000" w:themeColor="text1"/>
          <w:sz w:val="24"/>
          <w:szCs w:val="24"/>
          <w:lang w:val="en-GB"/>
        </w:rPr>
        <w:t>Chok</w:t>
      </w:r>
      <w:proofErr w:type="spellEnd"/>
      <w:r w:rsidRPr="00AC50FA">
        <w:rPr>
          <w:rFonts w:ascii="Book Antiqua" w:hAnsi="Book Antiqua"/>
          <w:bCs/>
          <w:color w:val="000000" w:themeColor="text1"/>
          <w:sz w:val="24"/>
          <w:szCs w:val="24"/>
          <w:lang w:val="en-GB"/>
        </w:rPr>
        <w:t xml:space="preserve"> KSH. </w:t>
      </w:r>
      <w:r w:rsidR="008635E6" w:rsidRPr="00AC50FA">
        <w:rPr>
          <w:rFonts w:ascii="Book Antiqua" w:hAnsi="Book Antiqua"/>
          <w:bCs/>
          <w:color w:val="000000" w:themeColor="text1"/>
          <w:sz w:val="24"/>
          <w:szCs w:val="24"/>
          <w:lang w:val="en-GB"/>
        </w:rPr>
        <w:t xml:space="preserve">Initial </w:t>
      </w:r>
      <w:r w:rsidR="00B41683" w:rsidRPr="00AC50FA">
        <w:rPr>
          <w:rFonts w:ascii="Book Antiqua" w:hAnsi="Book Antiqua"/>
          <w:bCs/>
          <w:color w:val="000000" w:themeColor="text1"/>
          <w:sz w:val="24"/>
          <w:szCs w:val="24"/>
          <w:lang w:val="en-GB"/>
        </w:rPr>
        <w:t>experience with stereotactic body radiotherapy for intrahepatic hepatocellular carcinoma recurrence after liver transplantation</w:t>
      </w:r>
      <w:r w:rsidRPr="00AC50FA">
        <w:rPr>
          <w:rFonts w:ascii="Book Antiqua" w:hAnsi="Book Antiqua"/>
          <w:bCs/>
          <w:color w:val="000000" w:themeColor="text1"/>
          <w:sz w:val="24"/>
          <w:szCs w:val="24"/>
          <w:lang w:val="en-GB"/>
        </w:rPr>
        <w:t xml:space="preserve">. </w:t>
      </w:r>
      <w:r w:rsidRPr="00AC50FA">
        <w:rPr>
          <w:rFonts w:ascii="Book Antiqua" w:hAnsi="Book Antiqua"/>
          <w:bCs/>
          <w:i/>
          <w:iCs/>
          <w:color w:val="000000" w:themeColor="text1"/>
          <w:sz w:val="24"/>
          <w:szCs w:val="24"/>
          <w:lang w:val="en-GB"/>
        </w:rPr>
        <w:t>World J Clin Cases</w:t>
      </w:r>
      <w:r w:rsidRPr="00AC50FA">
        <w:rPr>
          <w:rFonts w:ascii="Book Antiqua" w:hAnsi="Book Antiqua"/>
          <w:bCs/>
          <w:color w:val="000000" w:themeColor="text1"/>
          <w:sz w:val="24"/>
          <w:szCs w:val="24"/>
          <w:lang w:val="en-GB"/>
        </w:rPr>
        <w:t xml:space="preserve"> 2020; In press</w:t>
      </w:r>
    </w:p>
    <w:p w14:paraId="6DBAEDD2" w14:textId="77777777" w:rsidR="008635E6" w:rsidRPr="00AC50FA" w:rsidRDefault="008635E6" w:rsidP="00AC50FA">
      <w:pPr>
        <w:snapToGrid w:val="0"/>
        <w:spacing w:after="0" w:line="360" w:lineRule="auto"/>
        <w:jc w:val="both"/>
        <w:rPr>
          <w:rFonts w:ascii="Book Antiqua" w:hAnsi="Book Antiqua"/>
          <w:b/>
          <w:color w:val="000000" w:themeColor="text1"/>
          <w:sz w:val="24"/>
          <w:szCs w:val="24"/>
          <w:lang w:val="en-GB" w:eastAsia="zh-CN"/>
        </w:rPr>
      </w:pPr>
    </w:p>
    <w:p w14:paraId="4D81639A" w14:textId="1F0A8D08" w:rsidR="00FB16B5" w:rsidRPr="00AC50FA" w:rsidRDefault="00CF2C01"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rPr>
        <w:t>Core tip:</w:t>
      </w:r>
      <w:r w:rsidRPr="00AC50FA">
        <w:rPr>
          <w:rFonts w:ascii="Book Antiqua" w:hAnsi="Book Antiqua"/>
          <w:color w:val="000000" w:themeColor="text1"/>
          <w:sz w:val="24"/>
          <w:szCs w:val="24"/>
        </w:rPr>
        <w:t xml:space="preserve"> </w:t>
      </w:r>
      <w:r w:rsidR="00FB16B5" w:rsidRPr="00AC50FA">
        <w:rPr>
          <w:rFonts w:ascii="Book Antiqua" w:eastAsia="Times New Roman" w:hAnsi="Book Antiqua" w:cs="Helvetica"/>
          <w:color w:val="000000" w:themeColor="text1"/>
          <w:sz w:val="24"/>
          <w:szCs w:val="24"/>
          <w:lang w:val="en-GB"/>
        </w:rPr>
        <w:t xml:space="preserve">From 2012 to 2018, 6 patients with intrahepatic </w:t>
      </w:r>
      <w:r w:rsidR="00B41683" w:rsidRPr="00AC50FA">
        <w:rPr>
          <w:rFonts w:ascii="Book Antiqua" w:hAnsi="Book Antiqua"/>
          <w:color w:val="000000" w:themeColor="text1"/>
          <w:sz w:val="24"/>
          <w:szCs w:val="24"/>
        </w:rPr>
        <w:t>hepatocellular carcinoma</w:t>
      </w:r>
      <w:r w:rsidR="00B41683" w:rsidRPr="00AC50FA">
        <w:rPr>
          <w:rFonts w:ascii="Book Antiqua" w:eastAsia="Times New Roman" w:hAnsi="Book Antiqua" w:cs="Helvetica"/>
          <w:color w:val="000000" w:themeColor="text1"/>
          <w:sz w:val="24"/>
          <w:szCs w:val="24"/>
          <w:lang w:val="en-GB"/>
        </w:rPr>
        <w:t xml:space="preserve"> </w:t>
      </w:r>
      <w:r w:rsidR="00FB16B5" w:rsidRPr="00AC50FA">
        <w:rPr>
          <w:rFonts w:ascii="Book Antiqua" w:eastAsia="Times New Roman" w:hAnsi="Book Antiqua" w:cs="Helvetica"/>
          <w:color w:val="000000" w:themeColor="text1"/>
          <w:sz w:val="24"/>
          <w:szCs w:val="24"/>
          <w:lang w:val="en-GB"/>
        </w:rPr>
        <w:t xml:space="preserve">recurrence after liver transplant were treated with </w:t>
      </w:r>
      <w:r w:rsidR="00B41683" w:rsidRPr="00AC50FA">
        <w:rPr>
          <w:rFonts w:ascii="Book Antiqua" w:hAnsi="Book Antiqua"/>
          <w:color w:val="000000" w:themeColor="text1"/>
          <w:sz w:val="24"/>
          <w:szCs w:val="24"/>
          <w:lang w:val="en-GB"/>
        </w:rPr>
        <w:t>stereotactic body radiation therapy</w:t>
      </w:r>
      <w:r w:rsidR="00B41683" w:rsidRPr="00AC50FA">
        <w:rPr>
          <w:rFonts w:ascii="Book Antiqua" w:eastAsia="Times New Roman" w:hAnsi="Book Antiqua" w:cs="Helvetica"/>
          <w:color w:val="000000" w:themeColor="text1"/>
          <w:sz w:val="24"/>
          <w:szCs w:val="24"/>
          <w:lang w:val="en-GB"/>
        </w:rPr>
        <w:t xml:space="preserve"> </w:t>
      </w:r>
      <w:r w:rsidR="00FB16B5" w:rsidRPr="00AC50FA">
        <w:rPr>
          <w:rFonts w:ascii="Book Antiqua" w:eastAsia="Times New Roman" w:hAnsi="Book Antiqua" w:cs="Helvetica"/>
          <w:color w:val="000000" w:themeColor="text1"/>
          <w:sz w:val="24"/>
          <w:szCs w:val="24"/>
          <w:lang w:val="en-GB"/>
        </w:rPr>
        <w:t xml:space="preserve">at Queen Mary Hospital, the University of Hong Kong. A total of 9 treatment courses were given for 13 tumours. </w:t>
      </w:r>
      <w:r w:rsidR="00FB16B5" w:rsidRPr="00AC50FA">
        <w:rPr>
          <w:rFonts w:ascii="Book Antiqua" w:hAnsi="Book Antiqua"/>
          <w:color w:val="000000" w:themeColor="text1"/>
          <w:sz w:val="24"/>
          <w:szCs w:val="24"/>
          <w:lang w:val="en-GB"/>
        </w:rPr>
        <w:t>The median tumour size was 2.3</w:t>
      </w:r>
      <w:r w:rsidR="00B41683" w:rsidRPr="00AC50FA">
        <w:rPr>
          <w:rFonts w:ascii="Book Antiqua" w:hAnsi="Book Antiqua"/>
          <w:color w:val="000000" w:themeColor="text1"/>
          <w:sz w:val="24"/>
          <w:szCs w:val="24"/>
          <w:lang w:val="en-GB"/>
        </w:rPr>
        <w:t xml:space="preserve"> </w:t>
      </w:r>
      <w:r w:rsidR="00FB16B5" w:rsidRPr="00AC50FA">
        <w:rPr>
          <w:rFonts w:ascii="Book Antiqua" w:hAnsi="Book Antiqua"/>
          <w:color w:val="000000" w:themeColor="text1"/>
          <w:sz w:val="24"/>
          <w:szCs w:val="24"/>
          <w:lang w:val="en-GB"/>
        </w:rPr>
        <w:t>cm (range 0.7-3.6</w:t>
      </w:r>
      <w:r w:rsidR="00B41683" w:rsidRPr="00AC50FA">
        <w:rPr>
          <w:rFonts w:ascii="Book Antiqua" w:hAnsi="Book Antiqua"/>
          <w:color w:val="000000" w:themeColor="text1"/>
          <w:sz w:val="24"/>
          <w:szCs w:val="24"/>
          <w:lang w:val="en-GB"/>
        </w:rPr>
        <w:t xml:space="preserve"> </w:t>
      </w:r>
      <w:r w:rsidR="00FB16B5" w:rsidRPr="00AC50FA">
        <w:rPr>
          <w:rFonts w:ascii="Book Antiqua" w:hAnsi="Book Antiqua"/>
          <w:color w:val="000000" w:themeColor="text1"/>
          <w:sz w:val="24"/>
          <w:szCs w:val="24"/>
          <w:lang w:val="en-GB"/>
        </w:rPr>
        <w:t xml:space="preserve">cm). Two (22%) patients had </w:t>
      </w:r>
      <w:r w:rsidR="00B41683" w:rsidRPr="00AC50FA">
        <w:rPr>
          <w:rFonts w:ascii="Book Antiqua" w:hAnsi="Book Antiqua"/>
          <w:color w:val="000000" w:themeColor="text1"/>
          <w:sz w:val="24"/>
          <w:szCs w:val="24"/>
        </w:rPr>
        <w:t>inferior vena cava</w:t>
      </w:r>
      <w:r w:rsidR="00B41683" w:rsidRPr="00AC50FA">
        <w:rPr>
          <w:rFonts w:ascii="Book Antiqua" w:hAnsi="Book Antiqua"/>
          <w:color w:val="000000" w:themeColor="text1"/>
          <w:sz w:val="24"/>
          <w:szCs w:val="24"/>
          <w:lang w:val="en-GB"/>
        </w:rPr>
        <w:t xml:space="preserve"> </w:t>
      </w:r>
      <w:r w:rsidR="00FB16B5" w:rsidRPr="00AC50FA">
        <w:rPr>
          <w:rFonts w:ascii="Book Antiqua" w:hAnsi="Book Antiqua"/>
          <w:color w:val="000000" w:themeColor="text1"/>
          <w:sz w:val="24"/>
          <w:szCs w:val="24"/>
          <w:lang w:val="en-GB"/>
        </w:rPr>
        <w:t xml:space="preserve">tumour thrombus. </w:t>
      </w:r>
      <w:r w:rsidR="00B41683" w:rsidRPr="00AC50FA">
        <w:rPr>
          <w:rFonts w:ascii="Book Antiqua" w:hAnsi="Book Antiqua"/>
          <w:color w:val="000000" w:themeColor="text1"/>
          <w:sz w:val="24"/>
          <w:szCs w:val="24"/>
          <w:lang w:val="en-GB" w:eastAsia="zh-CN"/>
        </w:rPr>
        <w:t xml:space="preserve">Five </w:t>
      </w:r>
      <w:r w:rsidR="00FB16B5" w:rsidRPr="00AC50FA">
        <w:rPr>
          <w:rFonts w:ascii="Book Antiqua" w:hAnsi="Book Antiqua"/>
          <w:color w:val="000000" w:themeColor="text1"/>
          <w:sz w:val="24"/>
          <w:szCs w:val="24"/>
          <w:lang w:val="en-GB"/>
        </w:rPr>
        <w:t>patient</w:t>
      </w:r>
      <w:r w:rsidR="00B41683" w:rsidRPr="00AC50FA">
        <w:rPr>
          <w:rFonts w:ascii="Book Antiqua" w:hAnsi="Book Antiqua"/>
          <w:color w:val="000000" w:themeColor="text1"/>
          <w:sz w:val="24"/>
          <w:szCs w:val="24"/>
          <w:lang w:val="en-GB" w:eastAsia="zh-CN"/>
        </w:rPr>
        <w:t>s</w:t>
      </w:r>
      <w:r w:rsidR="00FB16B5" w:rsidRPr="00AC50FA">
        <w:rPr>
          <w:rFonts w:ascii="Book Antiqua" w:hAnsi="Book Antiqua"/>
          <w:color w:val="000000" w:themeColor="text1"/>
          <w:sz w:val="24"/>
          <w:szCs w:val="24"/>
          <w:lang w:val="en-GB"/>
        </w:rPr>
        <w:t xml:space="preserve"> had complete local response (55%). The median time to overall disease progression was 6.5 mo. There were 6 regional progression in the liver graft (67%). There was no grade 3 or above toxicity. </w:t>
      </w:r>
      <w:r w:rsidR="00B41683" w:rsidRPr="00AC50FA">
        <w:rPr>
          <w:rFonts w:ascii="Book Antiqua" w:hAnsi="Book Antiqua"/>
          <w:color w:val="000000" w:themeColor="text1"/>
          <w:sz w:val="24"/>
          <w:szCs w:val="24"/>
          <w:lang w:val="en-GB"/>
        </w:rPr>
        <w:t xml:space="preserve">Stereotactic body radiation therapy </w:t>
      </w:r>
      <w:r w:rsidR="00FB16B5" w:rsidRPr="00AC50FA">
        <w:rPr>
          <w:rFonts w:ascii="Book Antiqua" w:hAnsi="Book Antiqua"/>
          <w:color w:val="000000" w:themeColor="text1"/>
          <w:sz w:val="24"/>
          <w:szCs w:val="24"/>
          <w:lang w:val="en-GB"/>
        </w:rPr>
        <w:t xml:space="preserve">appears safe but regional progression is common. </w:t>
      </w:r>
    </w:p>
    <w:p w14:paraId="12CF3A89" w14:textId="77777777" w:rsidR="00FB16B5" w:rsidRPr="00AC50FA" w:rsidRDefault="00FB16B5" w:rsidP="00AC50FA">
      <w:pPr>
        <w:snapToGrid w:val="0"/>
        <w:spacing w:after="0" w:line="360" w:lineRule="auto"/>
        <w:jc w:val="both"/>
        <w:rPr>
          <w:rFonts w:ascii="Book Antiqua" w:eastAsia="Times New Roman" w:hAnsi="Book Antiqua" w:cs="Helvetica"/>
          <w:color w:val="000000" w:themeColor="text1"/>
          <w:sz w:val="24"/>
          <w:szCs w:val="24"/>
          <w:lang w:val="en-GB"/>
        </w:rPr>
      </w:pPr>
      <w:r w:rsidRPr="00AC50FA">
        <w:rPr>
          <w:rFonts w:ascii="Book Antiqua" w:eastAsia="Times New Roman" w:hAnsi="Book Antiqua" w:cs="Helvetica"/>
          <w:color w:val="000000" w:themeColor="text1"/>
          <w:sz w:val="24"/>
          <w:szCs w:val="24"/>
          <w:lang w:val="en-GB"/>
        </w:rPr>
        <w:br w:type="page"/>
      </w:r>
    </w:p>
    <w:p w14:paraId="1BF6584E"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rPr>
      </w:pPr>
      <w:r w:rsidRPr="00AC50FA">
        <w:rPr>
          <w:rFonts w:ascii="Book Antiqua" w:hAnsi="Book Antiqua"/>
          <w:b/>
          <w:color w:val="000000" w:themeColor="text1"/>
          <w:sz w:val="24"/>
          <w:szCs w:val="24"/>
          <w:u w:val="single"/>
        </w:rPr>
        <w:lastRenderedPageBreak/>
        <w:t>INTRODUCTION</w:t>
      </w:r>
    </w:p>
    <w:p w14:paraId="0DD32688" w14:textId="6D31EE5B" w:rsidR="008926AC" w:rsidRPr="00AC50FA" w:rsidRDefault="00872E3D"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Since the</w:t>
      </w:r>
      <w:r w:rsidR="00493CC1" w:rsidRPr="00AC50FA">
        <w:rPr>
          <w:rFonts w:ascii="Book Antiqua" w:hAnsi="Book Antiqua"/>
          <w:color w:val="000000" w:themeColor="text1"/>
          <w:sz w:val="24"/>
          <w:szCs w:val="24"/>
          <w:lang w:val="en-GB"/>
        </w:rPr>
        <w:t xml:space="preserve"> implementation of the </w:t>
      </w:r>
      <w:r w:rsidR="00B41683" w:rsidRPr="00AC50FA">
        <w:rPr>
          <w:rFonts w:ascii="Book Antiqua" w:hAnsi="Book Antiqua"/>
          <w:color w:val="000000" w:themeColor="text1"/>
          <w:sz w:val="24"/>
          <w:szCs w:val="24"/>
          <w:lang w:val="en-GB"/>
        </w:rPr>
        <w:t xml:space="preserve">model for end-stage liver disease </w:t>
      </w:r>
      <w:r w:rsidR="00493CC1" w:rsidRPr="00AC50FA">
        <w:rPr>
          <w:rFonts w:ascii="Book Antiqua" w:hAnsi="Book Antiqua"/>
          <w:color w:val="000000" w:themeColor="text1"/>
          <w:sz w:val="24"/>
          <w:szCs w:val="24"/>
          <w:lang w:val="en-GB"/>
        </w:rPr>
        <w:t>allocation system</w:t>
      </w:r>
      <w:r w:rsidR="00A35023" w:rsidRPr="00AC50FA">
        <w:rPr>
          <w:rFonts w:ascii="Book Antiqua" w:hAnsi="Book Antiqua"/>
          <w:color w:val="000000" w:themeColor="text1"/>
          <w:sz w:val="24"/>
          <w:szCs w:val="24"/>
          <w:lang w:val="en-GB"/>
        </w:rPr>
        <w:t>, patients enlisted for hepatocellular carcinoma (HCC)</w:t>
      </w:r>
      <w:r w:rsidRPr="00AC50FA">
        <w:rPr>
          <w:rFonts w:ascii="Book Antiqua" w:hAnsi="Book Antiqua"/>
          <w:color w:val="000000" w:themeColor="text1"/>
          <w:sz w:val="24"/>
          <w:szCs w:val="24"/>
          <w:lang w:val="en-GB"/>
        </w:rPr>
        <w:t xml:space="preserve"> have been given increased priority for</w:t>
      </w:r>
      <w:r w:rsidR="00305079" w:rsidRPr="00AC50FA">
        <w:rPr>
          <w:rFonts w:ascii="Book Antiqua" w:hAnsi="Book Antiqua"/>
          <w:color w:val="000000" w:themeColor="text1"/>
          <w:sz w:val="24"/>
          <w:szCs w:val="24"/>
          <w:lang w:val="en-GB"/>
        </w:rPr>
        <w:t xml:space="preserve"> </w:t>
      </w:r>
      <w:r w:rsidR="00A35023" w:rsidRPr="00AC50FA">
        <w:rPr>
          <w:rFonts w:ascii="Book Antiqua" w:hAnsi="Book Antiqua"/>
          <w:color w:val="000000" w:themeColor="text1"/>
          <w:sz w:val="24"/>
          <w:szCs w:val="24"/>
          <w:lang w:val="en-GB"/>
        </w:rPr>
        <w:t>cadaveric grafts</w:t>
      </w:r>
      <w:r w:rsidR="002F2C89"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{"citationItems":[{"id":"ITEM-1","itemData":{"ISSN":"0016-5085","PMID":"15508092","abstract":"Recent reports suggest that selected patients undergoing liver transplantation for stage 1-2 hepatocellular cancer (HCC) have an excellent long-term survival and a low incidence of recurrence. In the past, over 45% of HCC patients on the United Network for Organ Sharing/Organ Procurement Transplantation Network waiting list did not receive a donor organ for up to 2 years. This resulted in not only a high mortality rate but a high rate of being removed from the waiting list because of progression of HCC to advanced stages. The introduction of the Model for End-Stage Liver Disease (MELD) allocation policy has had a positive effect on HCC liver transplant candidates with the number of patients transplanted for HCC significantly increasing over the past several years. In addition, waiting time for HCC patients to receive a deceased donor has decreased significantly and the number of patients dropping out from the waiting list because of advanced stage disease has also decreased. An early assessment of the MELD allocation policy suggests that posttransplant survival for HCC patients comparing pre-MELD to post-MELD eras is similar. Using the data we have collected on the MELD allocation policy, we have already made modifications to the MELD allocation policy for HCC patients. It is hoped that through continued data collection and assessment, a consensus can be reached to further optimize the use of deceased donors in HCC recipients.","author":[{"dropping-particle":"","family":"Wiesner","given":"Russell H","non-dropping-particle":"","parse-names":false,"suffix":""},{"dropping-particle":"","family":"Freeman","given":"Richard B","non-dropping-particle":"","parse-names":false,"suffix":""},{"dropping-particle":"","family":"Mulligan","given":"David C","non-dropping-particle":"","parse-names":false,"suffix":""}],"container-title":"Gastroenterology","id":"ITEM-1","issue":"5 Suppl 1","issued":{"date-parts":[["2004","11"]]},"page":"S261-7","title":"Liver transplantation for hepatocellular cancer: the impact of the MELD allocation policy.","type":"article-journal","volume":"127"},"uris":["http://www.mendeley.com/documents/?uuid=f5c7b6de-0aa4-34c3-b0f2-e590c79cfc11","http://www.mendeley.com/documents/?uuid=637fbaa2-0d9f-4ec1-8c3e-bceeea0f6f8e"]}],"mendeley":{"formattedCitation":"[1]","plainTextFormattedCitation":"[1]","previouslyFormattedCitation":"&lt;sup&gt;1&lt;/sup&gt;"},"properties":{"noteIndex":0},"schema":"https://github.com/citation-style-language/schema/raw/master/csl-citation.json"}</w:instrText>
      </w:r>
      <w:r w:rsidR="002F2C89"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w:t>
      </w:r>
      <w:r w:rsidR="002F2C89" w:rsidRPr="00AC50FA">
        <w:rPr>
          <w:rFonts w:ascii="Book Antiqua" w:hAnsi="Book Antiqua"/>
          <w:color w:val="000000" w:themeColor="text1"/>
          <w:sz w:val="24"/>
          <w:szCs w:val="24"/>
          <w:vertAlign w:val="superscript"/>
          <w:lang w:val="en-GB"/>
        </w:rPr>
        <w:fldChar w:fldCharType="end"/>
      </w:r>
      <w:r w:rsidR="00A35023" w:rsidRPr="00AC50FA">
        <w:rPr>
          <w:rFonts w:ascii="Book Antiqua" w:hAnsi="Book Antiqua"/>
          <w:color w:val="000000" w:themeColor="text1"/>
          <w:sz w:val="24"/>
          <w:szCs w:val="24"/>
          <w:lang w:val="en-GB"/>
        </w:rPr>
        <w:t xml:space="preserve">. </w:t>
      </w:r>
      <w:r w:rsidR="00305079" w:rsidRPr="00AC50FA">
        <w:rPr>
          <w:rFonts w:ascii="Book Antiqua" w:hAnsi="Book Antiqua"/>
          <w:color w:val="000000" w:themeColor="text1"/>
          <w:sz w:val="24"/>
          <w:szCs w:val="24"/>
          <w:lang w:val="en-GB"/>
        </w:rPr>
        <w:t>Adoption of</w:t>
      </w:r>
      <w:r w:rsidR="00545036">
        <w:rPr>
          <w:rFonts w:ascii="Book Antiqua" w:hAnsi="Book Antiqua"/>
          <w:color w:val="000000" w:themeColor="text1"/>
          <w:sz w:val="24"/>
          <w:szCs w:val="24"/>
          <w:lang w:val="en-GB"/>
        </w:rPr>
        <w:t xml:space="preserve"> </w:t>
      </w:r>
      <w:r w:rsidR="00A35023" w:rsidRPr="00AC50FA">
        <w:rPr>
          <w:rFonts w:ascii="Book Antiqua" w:hAnsi="Book Antiqua"/>
          <w:color w:val="000000" w:themeColor="text1"/>
          <w:sz w:val="24"/>
          <w:szCs w:val="24"/>
        </w:rPr>
        <w:t xml:space="preserve">extended criteria </w:t>
      </w:r>
      <w:r w:rsidR="00305079" w:rsidRPr="00AC50FA">
        <w:rPr>
          <w:rFonts w:ascii="Book Antiqua" w:hAnsi="Book Antiqua"/>
          <w:color w:val="000000" w:themeColor="text1"/>
          <w:sz w:val="24"/>
          <w:szCs w:val="24"/>
        </w:rPr>
        <w:t xml:space="preserve">also largely expanded the </w:t>
      </w:r>
      <w:r w:rsidR="00F469A8" w:rsidRPr="00AC50FA">
        <w:rPr>
          <w:rFonts w:ascii="Book Antiqua" w:hAnsi="Book Antiqua"/>
          <w:color w:val="000000" w:themeColor="text1"/>
          <w:sz w:val="24"/>
          <w:szCs w:val="24"/>
        </w:rPr>
        <w:t>recipient</w:t>
      </w:r>
      <w:r w:rsidR="00305079" w:rsidRPr="00AC50FA">
        <w:rPr>
          <w:rFonts w:ascii="Book Antiqua" w:hAnsi="Book Antiqua"/>
          <w:color w:val="000000" w:themeColor="text1"/>
          <w:sz w:val="24"/>
          <w:szCs w:val="24"/>
        </w:rPr>
        <w:t xml:space="preserve"> pool</w:t>
      </w:r>
      <w:r w:rsidR="00A35023" w:rsidRPr="00AC50FA">
        <w:rPr>
          <w:rFonts w:ascii="Book Antiqua" w:hAnsi="Book Antiqua"/>
          <w:color w:val="000000" w:themeColor="text1"/>
          <w:sz w:val="24"/>
          <w:szCs w:val="24"/>
          <w:vertAlign w:val="superscript"/>
        </w:rPr>
        <w:fldChar w:fldCharType="begin" w:fldLock="1"/>
      </w:r>
      <w:r w:rsidR="009860B9" w:rsidRPr="00AC50FA">
        <w:rPr>
          <w:rFonts w:ascii="Book Antiqua" w:hAnsi="Book Antiqua"/>
          <w:color w:val="000000" w:themeColor="text1"/>
          <w:sz w:val="24"/>
          <w:szCs w:val="24"/>
          <w:vertAlign w:val="superscript"/>
        </w:rPr>
        <w:instrText>ADDIN CSL_CITATION {"citationItems":[{"id":"ITEM-1","itemData":{"DOI":"10.1053/jhep.2001.24563","ISBN":"0270-9139 (Print)","ISSN":"0270-9139","PMID":"11391528","abstract":"The precise staging of hepatocellular carcinoma (HCC) based on the size and number of lesions that predict recurrence after orthotopic liver transplantation (OLT) has not been clearly established. We therefore analyzed the outcome of 70 consecutive patients with cirrhosis and HCC who underwent OLT over a 12-year period at our institution. Pathologic tumor staging of the explanted liver was based on the American Tumor Study Group modified Tumor-Node-Metastases (TNM) Staging Classification. Tumor recurrence occurred in 11.4% of patients after OLT. The Kaplan-Meier survival rates at 1 and 5 years were 91.3% and 72.4%, respectively, for patients with pT1 or pT2 HCC; and 82.4% and 74.1%, respectively, for pT3 tumors (P =.87). Patients with pT4 tumors, however, had a significantly worse 1-year survival of 33.3% (P =.0001). An alpha-fetoprotein (AFP) level &gt; 1,000 ng/mL, total tumor diameter &gt; 8 cm, age &gt; or = 55 years and poorly differentiated histologic grade were also significant predictors for reduced survival in univariate analysis. Only pT4 stage and total tumor diameter remained statistically significant in multivariate analysis. Patients with HCC meeting the following criteria: solitary tumor &lt; or = 6.5 cm, or &lt; or = 3 nodules with the largest lesion &lt; or = 4.5 cm and total tumor diameter &lt; or = 8 cm, had survival rates of 90% and 75.2%, at 1 and 5 years, respectively, after OLT versus a 50% 1-year survival for patients with tumors exceeding these limits (P =.0005). We conclude that the current criteria for OLT based on tumor size may be modestly expanded while still preserving excellent survival after OLT.","author":[{"dropping-particle":"","family":"Yao","given":"F Y","non-dropping-particle":"","parse-names":false,"suffix":""},{"dropping-particle":"","family":"Ferrell","given":"L","non-dropping-particle":"","parse-names":false,"suffix":""},{"dropping-particle":"","family":"Bass","given":"N M","non-dropping-particle":"","parse-names":false,"suffix":""},{"dropping-particle":"","family":"Watson","given":"J J","non-dropping-particle":"","parse-names":false,"suffix":""},{"dropping-particle":"","family":"Bacchetti","given":"P","non-dropping-particle":"","parse-names":false,"suffix":""},{"dropping-particle":"","family":"Venook","given":"a","non-dropping-particle":"","parse-names":false,"suffix":""},{"dropping-particle":"","family":"Ascher","given":"N L","non-dropping-particle":"","parse-names":false,"suffix":""},{"dropping-particle":"","family":"Roberts","given":"J P","non-dropping-particle":"","parse-names":false,"suffix":""}],"container-title":"Hepatology (Baltimore, Md.)","id":"ITEM-1","issue":"6","issued":{"date-parts":[["2001"]]},"page":"1394-403","title":"Liver transplantation for hepatocellular carcinoma: expansion of the tumor size limits does not adversely impact survival.","type":"article-journal","volume":"33"},"uris":["http://www.mendeley.com/documents/?uuid=dfc1fee0-a1ae-4cde-bcd0-725028e48799"]},{"id":"ITEM-2","itemData":{"DOI":"10.1053/jlts.2001.25458","ISSN":"15276465","PMID":"11460231","abstract":"Hepatocellular carcinoma (HCC) may recur after liver transplantation (LT), mainly in patients with multinodular and large tumors. However, factors predictive of outcome after LT in patients with small tumors remain ill defined. We investigated which factors were related to mortality or tumor recurrence among 47 liver transplant recipients with liver cirrhosis and HCC and compared them with 107 patients with liver cirrhosis without tumor who underwent LT in the same period. Patients with HCC were older (P &lt;.001), more frequently had cirrhosis of a viral origin (P &lt;.001), and had lower Child-Pugh scores (P &lt;.001) than patients without tumor. Survival of patients with and without tumor was not significantly different (P =.20). Among patients with HCC, those with lower recurrence-free survival rates had liver cirrhosis of a viral origin, vascular invasion, bilobar disease, and tumor-node-metastasis (TNM) stage IV. At multivariate analysis, the only factor associated with mortality or recurrence was TNM stage IV (P =.02). Our results suggest that in patients with HCC and TNM stage IV, LT might be contraindicated.","author":[{"dropping-particle":"","family":"Herrero","given":"J","non-dropping-particle":"","parse-names":false,"suffix":""},{"dropping-particle":"","family":"Sangro","given":"B","non-dropping-particle":"","parse-names":false,"suffix":""},{"dropping-particle":"","family":"Quiroga","given":"J","non-dropping-particle":"","parse-names":false,"suffix":""},{"dropping-particle":"","family":"Pardo","given":"F","non-dropping-particle":"","parse-names":false,"suffix":""},{"dropping-particle":"","family":"Herraiz","given":"M","non-dropping-particle":"","parse-names":false,"suffix":""},{"dropping-particle":"","family":"Cienfuegos","given":"J A","non-dropping-particle":"","parse-names":false,"suffix":""},{"dropping-particle":"","family":"Prieto","given":"J","non-dropping-particle":"","parse-names":false,"suffix":""}],"container-title":"Liver Transplantation","id":"ITEM-2","issue":"7","issued":{"date-parts":[["2001","7"]]},"page":"631-636","title":"Influence of tumor characteristics on the outcome of liver transplantation among patients with liver cirrhosis and hepatocellular carcinoma","type":"article-journal","volume":"7"},"uris":["http://www.mendeley.com/documents/?uuid=ea6c6348-be42-33b2-8b3e-0148c020c815","http://www.mendeley.com/documents/?uuid=542076ba-612a-46d9-af3c-a4c135a3afa6"]},{"id":"ITEM-3","itemData":{"DOI":"10.1002/lt.21576","ISSN":"15276465","PMID":"18825681","abstract":"Orthotopic liver transplantation (OLT) selection for patients with hepatocellular carcinoma (HCC) is a matter of debate. The Milan criteria (MC) have been largely adopted by the international community. The main aim of this study was to evaluate the survival rates and recurrence probabilities of a new proposal for criteria (up to 3 tumors, each no larger than 5 cm, and a cumulative tumor burden &lt;/= 10 cm). Patients with cirrhosis and HCC included on the waiting list (WL) from 1991 to 2006 were retrospectively analyzed. Outcomes in patients who had tumors within and beyond the MC were compared. The survival analysis was done (1) with the intention-to-treat principle and (2) among transplanted patients. A total of 281 patients were included in WL. Twenty-four cases did not undergo OLT (a dropout rate of 8.5%); all but 1 case had tumors within the MC. Of the 257 transplanted patients, 26 had tumors beyond the MC in the pre-OLT evaluation. Based on the intention-to-treat analysis, the 5-year survival was 56% versus 66% in patients who had tumors within and beyond the MC, respectively (P = 0.487). Among transplanted patients, the 5-year survival was 62% versus 69%, respectively (P = 0.734). Through multivariate analysis, microvascular invasion was an independent prognostic factor of poor survival (P = 0.004). The recurrence probabilities at 1 and 5 years were 7% versus 12% and 14% versus 28% in patients with tumors within and beyond the MC, respectively (P = 0.063). The multivariate analysis demonstrated that both poorly differentiated tumors (P &lt; 0.001) and microvascular invasion (P &lt; 0.001) increased the risk of recurrence. The expansion to up to 3 nodules, each up to 5 cm, and a cumulative tumor burden &lt;/= 10 cm did not result in a reduction of survival in comparison with patients who had tumors within the MC.","author":[{"dropping-particle":"","family":"Silva","given":"Mauricio","non-dropping-particle":"","parse-names":false,"suffix":""},{"dropping-particle":"","family":"Moya","given":"Angel","non-dropping-particle":"","parse-names":false,"suffix":""},{"dropping-particle":"","family":"Berenguer","given":"Marina","non-dropping-particle":"","parse-names":false,"suffix":""},{"dropping-particle":"","family":"Sanjuan","given":"Fernando","non-dropping-particle":"","parse-names":false,"suffix":""},{"dropping-particle":"","family":"López-Andujar","given":"Rafael","non-dropping-particle":"","parse-names":false,"suffix":""},{"dropping-particle":"","family":"Pareja","given":"Eugenia","non-dropping-particle":"","parse-names":false,"suffix":""},{"dropping-particle":"","family":"Torres-Quevedo","given":"Rodrigo","non-dropping-particle":"","parse-names":false,"suffix":""},{"dropping-particle":"","family":"Aguilera","given":"Victoria","non-dropping-particle":"","parse-names":false,"suffix":""},{"dropping-particle":"","family":"Montalva","given":"Eva","non-dropping-particle":"","parse-names":false,"suffix":""},{"dropping-particle":"","family":"Juan","given":"Manuel","non-dropping-particle":"De","parse-names":false,"suffix":""},{"dropping-particle":"","family":"Mattos","given":"Angelo","non-dropping-particle":"","parse-names":false,"suffix":""},{"dropping-particle":"","family":"Prieto","given":"Martín","non-dropping-particle":"","parse-names":false,"suffix":""},{"dropping-particle":"","family":"Mir","given":"José","non-dropping-particle":"","parse-names":false,"suffix":""}],"container-title":"Liver Transplantation","id":"ITEM-3","issue":"10","issued":{"date-parts":[["2008","10"]]},"page":"1449-1460","title":"Expanded criteria for liver transplantation in patients with cirrhosis and hepatocellular carcinoma","type":"article-journal","volume":"14"},"uris":["http://www.mendeley.com/documents/?uuid=e5e0c6f2-8bc3-3bcd-90fb-fd0383e43dfd","http://www.mendeley.com/documents/?uuid=c710de92-ba86-4ee1-bcf9-57afdb4d2dc8"]},{"id":"ITEM-4","itemData":{"DOI":"10.1097/TP.0b013e31816b67e4","ISSN":"0041-1337","PMID":"18580463","abstract":"Liver transplantation (LT) has been the treatment of choice for patients with hepatocellular carcinoma (HCC). This study was designed to summarize our experience in LT for HCC patients and establish a new set of criteria for patient selection and prognosis prediction.","author":[{"dropping-particle":"","family":"Zheng","given":"Shu-Sen","non-dropping-particle":"","parse-names":false,"suffix":""},{"dropping-particle":"","family":"Xu","given":"Xiao","non-dropping-particle":"","parse-names":false,"suffix":""},{"dropping-particle":"","family":"Wu","given":"Jian","non-dropping-particle":"","parse-names":false,"suffix":""},{"dropping-particle":"","family":"Chen","given":"Jun","non-dropping-particle":"","parse-names":false,"suffix":""},{"dropping-particle":"","family":"Wang","given":"Wei-Lin","non-dropping-particle":"","parse-names":false,"suffix":""},{"dropping-particle":"","family":"Zhang","given":"Min","non-dropping-particle":"","parse-names":false,"suffix":""},{"dropping-particle":"","family":"Liang","given":"Ting-Bo","non-dropping-particle":"","parse-names":false,"suffix":""},{"dropping-particle":"","family":"Wu","given":"Li-Ming","non-dropping-particle":"","parse-names":false,"suffix":""}],"container-title":"Transplantation","id":"ITEM-4","issue":"12","issued":{"date-parts":[["2008"]]},"page":"1726-32","title":"Liver transplantation for hepatocellular carcinoma: Hangzhou experiences.","type":"article-journal","volume":"85"},"uris":["http://www.mendeley.com/documents/?uuid=d61eaf54-0d38-4cc9-9bdd-c670610573e1"]}],"mendeley":{"formattedCitation":"[2]–[5]","plainTextFormattedCitation":"[2]–[5]","previouslyFormattedCitation":"&lt;sup&gt;2–5&lt;/sup&gt;"},"properties":{"noteIndex":0},"schema":"https://github.com/citation-style-language/schema/raw/master/csl-citation.json"}</w:instrText>
      </w:r>
      <w:r w:rsidR="00A35023" w:rsidRPr="00AC50FA">
        <w:rPr>
          <w:rFonts w:ascii="Book Antiqua" w:hAnsi="Book Antiqua"/>
          <w:color w:val="000000" w:themeColor="text1"/>
          <w:sz w:val="24"/>
          <w:szCs w:val="24"/>
          <w:vertAlign w:val="superscript"/>
        </w:rPr>
        <w:fldChar w:fldCharType="separate"/>
      </w:r>
      <w:r w:rsidR="009860B9" w:rsidRPr="00AC50FA">
        <w:rPr>
          <w:rFonts w:ascii="Book Antiqua" w:hAnsi="Book Antiqua"/>
          <w:noProof/>
          <w:color w:val="000000" w:themeColor="text1"/>
          <w:sz w:val="24"/>
          <w:szCs w:val="24"/>
          <w:vertAlign w:val="superscript"/>
        </w:rPr>
        <w:t>[2</w:t>
      </w:r>
      <w:r w:rsidR="003034FB" w:rsidRPr="00AC50FA">
        <w:rPr>
          <w:rFonts w:ascii="Book Antiqua" w:hAnsi="Book Antiqua"/>
          <w:noProof/>
          <w:color w:val="000000" w:themeColor="text1"/>
          <w:sz w:val="24"/>
          <w:szCs w:val="24"/>
          <w:vertAlign w:val="superscript"/>
        </w:rPr>
        <w:t>-</w:t>
      </w:r>
      <w:r w:rsidR="009860B9" w:rsidRPr="00AC50FA">
        <w:rPr>
          <w:rFonts w:ascii="Book Antiqua" w:hAnsi="Book Antiqua"/>
          <w:noProof/>
          <w:color w:val="000000" w:themeColor="text1"/>
          <w:sz w:val="24"/>
          <w:szCs w:val="24"/>
          <w:vertAlign w:val="superscript"/>
        </w:rPr>
        <w:t>5]</w:t>
      </w:r>
      <w:r w:rsidR="00A35023" w:rsidRPr="00AC50FA">
        <w:rPr>
          <w:rFonts w:ascii="Book Antiqua" w:hAnsi="Book Antiqua"/>
          <w:color w:val="000000" w:themeColor="text1"/>
          <w:sz w:val="24"/>
          <w:szCs w:val="24"/>
          <w:vertAlign w:val="superscript"/>
        </w:rPr>
        <w:fldChar w:fldCharType="end"/>
      </w:r>
      <w:r w:rsidR="00A35023" w:rsidRPr="00AC50FA">
        <w:rPr>
          <w:rFonts w:ascii="Book Antiqua" w:hAnsi="Book Antiqua"/>
          <w:color w:val="000000" w:themeColor="text1"/>
          <w:sz w:val="24"/>
          <w:szCs w:val="24"/>
        </w:rPr>
        <w:t xml:space="preserve">. </w:t>
      </w:r>
      <w:r w:rsidR="00595E7F" w:rsidRPr="00AC50FA">
        <w:rPr>
          <w:rFonts w:ascii="Book Antiqua" w:hAnsi="Book Antiqua"/>
          <w:color w:val="000000" w:themeColor="text1"/>
          <w:sz w:val="24"/>
          <w:szCs w:val="24"/>
        </w:rPr>
        <w:t xml:space="preserve">With increasing numbers of </w:t>
      </w:r>
      <w:r w:rsidR="009A1820" w:rsidRPr="00AC50FA">
        <w:rPr>
          <w:rFonts w:ascii="Book Antiqua" w:hAnsi="Book Antiqua"/>
          <w:color w:val="000000" w:themeColor="text1"/>
          <w:sz w:val="24"/>
          <w:szCs w:val="24"/>
          <w:lang w:val="en-GB"/>
        </w:rPr>
        <w:t xml:space="preserve">liver transplants </w:t>
      </w:r>
      <w:r w:rsidR="003A4475" w:rsidRPr="00AC50FA">
        <w:rPr>
          <w:rFonts w:ascii="Book Antiqua" w:hAnsi="Book Antiqua"/>
          <w:color w:val="000000" w:themeColor="text1"/>
          <w:sz w:val="24"/>
          <w:szCs w:val="24"/>
          <w:lang w:val="en-GB"/>
        </w:rPr>
        <w:t xml:space="preserve">performed for HCC, </w:t>
      </w:r>
      <w:r w:rsidR="009A1820" w:rsidRPr="00AC50FA">
        <w:rPr>
          <w:rFonts w:ascii="Book Antiqua" w:hAnsi="Book Antiqua"/>
          <w:color w:val="000000" w:themeColor="text1"/>
          <w:sz w:val="24"/>
          <w:szCs w:val="24"/>
          <w:lang w:val="en-GB"/>
        </w:rPr>
        <w:t>recurrence</w:t>
      </w:r>
      <w:r w:rsidR="00493CC1" w:rsidRPr="00AC50FA">
        <w:rPr>
          <w:rFonts w:ascii="Book Antiqua" w:hAnsi="Book Antiqua"/>
          <w:color w:val="000000" w:themeColor="text1"/>
          <w:sz w:val="24"/>
          <w:szCs w:val="24"/>
          <w:lang w:val="en-GB"/>
        </w:rPr>
        <w:t xml:space="preserve"> is</w:t>
      </w:r>
      <w:r w:rsidR="009A1820" w:rsidRPr="00AC50FA">
        <w:rPr>
          <w:rFonts w:ascii="Book Antiqua" w:hAnsi="Book Antiqua"/>
          <w:color w:val="000000" w:themeColor="text1"/>
          <w:sz w:val="24"/>
          <w:szCs w:val="24"/>
          <w:lang w:val="en-GB"/>
        </w:rPr>
        <w:t xml:space="preserve"> more frequently encountered</w:t>
      </w:r>
      <w:r w:rsidR="00794A0D"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{"citationItems":[{"id":"ITEM-1","itemData":{"DOI":"10.1002/lt.20159","ISSN":"1527-6465","PMID":"15108253","abstract":"We examined the impact of the Model for End-Stage Liver Disease (MELD) organ allocation scheme on 44 patients with hepatocellular carcinoma (HCC) awaiting orthotopic liver transplantation (OLT) between February 2002 and January 2003, and compared the outcome with 58 patients listed in the 4 years before MELD implementation. Patients undergoing living-donor liver transplantation were excluded. The Kaplan-Meier probabilities for OLT at 3, 6, and up to 8.5 months were 22.5%, 64.0%, and 88.0%, respectively, under MELD versus 17.2%, 24.7%, and 35.8% at 3, 6 and 9 months, respectively, in the pre-MELD group (P =.0006). In Cox regression analysis, non-O blood group (hazard ratio 2.5; P =.047 versus blood group O) and 3 tumor nodules (hazard ratio 5.5; P =.005) were associated with a significantly higher probability for OLT under MELD. The probabilities of dropout were 5.6% at 6 and 8.5 months under MELD versus 7.2% and 37.8% at 6 and 12 months, respectively, in the pre-MELD group (P =.74). The lack of a significant difference in dropout may be due to low dropout rates in the first 6 months in either group. No HCC was found in the explant in 1 patient from each group. In conclusion, the HCC-adjusted MELD system significantly improved the probability of timely OLT, albeit a significant disadvantage for blood group O was evident. Compared with preliminary UNOS data, in which 90% of patients with HCC have received OLT within 3 months, our results reflect the wide regional variation in the impact of MELD.","author":[{"dropping-particle":"","family":"Yao","given":"Francis Y.","non-dropping-particle":"","parse-names":false,"suffix":""},{"dropping-particle":"","family":"Bass","given":"Nathan M.","non-dropping-particle":"","parse-names":false,"suffix":""},{"dropping-particle":"","family":"Ascher","given":"Nancy L.","non-dropping-particle":"","parse-names":false,"suffix":""},{"dropping-particle":"","family":"Roberts","given":"John P.","non-dropping-particle":"","parse-names":false,"suffix":""}],"container-title":"Liver Transplantation","id":"ITEM-1","issue":"5","issued":{"date-parts":[["2004","5"]]},"page":"621-630","title":"Liver transplantation for hepatocellular carcinoma: Lessons from the first year under the Model of End-Stage Liver Disease (MELD) organ allocation policy","type":"article-journal","volume":"10"},"uris":["http://www.mendeley.com/documents/?uuid=8c15063c-e7d1-3735-b3a2-721ca8548cc4","http://www.mendeley.com/documents/?uuid=284973e0-1784-440e-b4e3-c9e6ce110ff7"]}],"mendeley":{"formattedCitation":"[6]","plainTextFormattedCitation":"[6]","previouslyFormattedCitation":"&lt;sup&gt;6&lt;/sup&gt;"},"properties":{"noteIndex":0},"schema":"https://github.com/citation-style-language/schema/raw/master/csl-citation.json"}</w:instrText>
      </w:r>
      <w:r w:rsidR="00794A0D"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[6]</w:t>
      </w:r>
      <w:r w:rsidR="00794A0D" w:rsidRPr="00AC50FA">
        <w:rPr>
          <w:rFonts w:ascii="Book Antiqua" w:hAnsi="Book Antiqua"/>
          <w:color w:val="000000" w:themeColor="text1"/>
          <w:sz w:val="24"/>
          <w:szCs w:val="24"/>
          <w:vertAlign w:val="superscript"/>
          <w:lang w:val="en-GB"/>
        </w:rPr>
        <w:fldChar w:fldCharType="end"/>
      </w:r>
      <w:r w:rsidR="009A1820" w:rsidRPr="00AC50FA">
        <w:rPr>
          <w:rFonts w:ascii="Book Antiqua" w:hAnsi="Book Antiqua"/>
          <w:color w:val="000000" w:themeColor="text1"/>
          <w:sz w:val="24"/>
          <w:szCs w:val="24"/>
          <w:lang w:val="en-GB"/>
        </w:rPr>
        <w:t>.</w:t>
      </w:r>
      <w:r w:rsidR="002F2C89" w:rsidRPr="00AC50FA">
        <w:rPr>
          <w:rFonts w:ascii="Book Antiqua" w:hAnsi="Book Antiqua"/>
          <w:color w:val="000000" w:themeColor="text1"/>
          <w:sz w:val="24"/>
          <w:szCs w:val="24"/>
          <w:lang w:val="en-GB"/>
        </w:rPr>
        <w:t xml:space="preserve"> </w:t>
      </w:r>
      <w:r w:rsidR="00F469A8" w:rsidRPr="00AC50FA">
        <w:rPr>
          <w:rFonts w:ascii="Book Antiqua" w:hAnsi="Book Antiqua"/>
          <w:color w:val="000000" w:themeColor="text1"/>
          <w:sz w:val="24"/>
          <w:szCs w:val="24"/>
          <w:lang w:val="en-GB"/>
        </w:rPr>
        <w:t>O</w:t>
      </w:r>
      <w:r w:rsidR="00305079" w:rsidRPr="00AC50FA">
        <w:rPr>
          <w:rFonts w:ascii="Book Antiqua" w:hAnsi="Book Antiqua"/>
          <w:color w:val="000000" w:themeColor="text1"/>
          <w:sz w:val="24"/>
          <w:szCs w:val="24"/>
          <w:lang w:val="en-GB"/>
        </w:rPr>
        <w:t xml:space="preserve">ne-third </w:t>
      </w:r>
      <w:r w:rsidRPr="00AC50FA">
        <w:rPr>
          <w:rFonts w:ascii="Book Antiqua" w:hAnsi="Book Antiqua"/>
          <w:color w:val="000000" w:themeColor="text1"/>
          <w:sz w:val="24"/>
          <w:szCs w:val="24"/>
          <w:lang w:val="en-GB"/>
        </w:rPr>
        <w:t xml:space="preserve">of post-transplant </w:t>
      </w:r>
      <w:r w:rsidR="00305079" w:rsidRPr="00AC50FA">
        <w:rPr>
          <w:rFonts w:ascii="Book Antiqua" w:hAnsi="Book Antiqua"/>
          <w:color w:val="000000" w:themeColor="text1"/>
          <w:sz w:val="24"/>
          <w:szCs w:val="24"/>
          <w:lang w:val="en-GB"/>
        </w:rPr>
        <w:t>recurrence</w:t>
      </w:r>
      <w:r w:rsidR="006239B2" w:rsidRPr="00AC50FA">
        <w:rPr>
          <w:rFonts w:ascii="Book Antiqua" w:hAnsi="Book Antiqua"/>
          <w:color w:val="000000" w:themeColor="text1"/>
          <w:sz w:val="24"/>
          <w:szCs w:val="24"/>
          <w:lang w:val="en-GB"/>
        </w:rPr>
        <w:t xml:space="preserve"> is</w:t>
      </w:r>
      <w:r w:rsidR="00305079"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confin</w:t>
      </w:r>
      <w:r w:rsidR="00305079" w:rsidRPr="00AC50FA">
        <w:rPr>
          <w:rFonts w:ascii="Book Antiqua" w:hAnsi="Book Antiqua"/>
          <w:color w:val="000000" w:themeColor="text1"/>
          <w:sz w:val="24"/>
          <w:szCs w:val="24"/>
          <w:lang w:val="en-GB"/>
        </w:rPr>
        <w:t>ed to the liver graft</w:t>
      </w:r>
      <w:r w:rsidR="00A5231F"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{"citationItems":[{"id":"ITEM-1","itemData":{"DOI":"10.3748/wjg.v21.i39.11185","ISSN":"1007-9327","PMID":"26494973","abstract":"AIM To investigate the efficacy (survival) and safety of treatments for recurrent hepatocellular carcinoma (HCC) in liver transplantation (LT) patients. METHODS Literature search was performed on available online databases without a time limit until January 2015. Clinical studies describing survival after HCC recurrence in LT patients were retrieved for a full-text evaluation. A total of 61 studies were selected: 13 case reports, 41 retrospective case series, and 7 retrospective comparative studies. RESULTS Based on all included studies, the mean HCC recurrence rate was 16% of all LTs for HCC. A total of 1021 LT patients experienced HCC recurrence. The median time from LT to HCC recurrence was 13 mo (range 2-132 mo). The majority of patients (67%) presented with HCC extra-hepatic recurrences, involving lung, bone, adrenal gland, peritoneal lymph nodes, and rarely the brain. Overall survival after HCC recurrence was 12.97 mo. Surgical resection of localized HCC recurrence and Sorafenib for controlling systemic spread of HCC recurrence were associated with the higher survival rates (42 and 18 mo, respectively). However, Sorafenib, especially when combined with mTOR, was frequently associated with severe side effects that required dose reduction or discontinuation CONCLUSION Management of recurrent HCC in LT patients is challenging and associated with poor prognosis independently of the type of treatment.","author":[{"dropping-particle":"","family":"de’Angelis","given":"Nicola","non-dropping-particle":"","parse-names":false,"suffix":""},{"dropping-particle":"","family":"Landi","given":"Filippo","non-dropping-particle":"","parse-names":false,"suffix":""},{"dropping-particle":"","family":"Carra","given":"Maria Clotilde","non-dropping-particle":"","parse-names":false,"suffix":""},{"dropping-particle":"","family":"Azoulay","given":"Daniel","non-dropping-particle":"","parse-names":false,"suffix":""}],"container-title":"World Journal of Gastroenterology","id":"ITEM-1","issue":"39","issued":{"date-parts":[["2015","10"]]},"page":"11185","title":"Managements of recurrent hepatocellular carcinoma after liver transplantation: A systematic review","type":"article-journal","volume":"21"},"uris":["http://www.mendeley.com/documents/?uuid=791a27f1-0be8-3ffa-892e-05b42ba6db7b","http://www.mendeley.com/documents/?uuid=ebfdbaa2-08c0-4a48-b80e-7d54a5a7f592"]}],"mendeley":{"formattedCitation":"[7]","plainTextFormattedCitation":"[7]","previouslyFormattedCitation":"&lt;sup&gt;7&lt;/sup&gt;"},"properties":{"noteIndex":0},"schema":"https://github.com/citation-style-language/schema/raw/master/csl-citation.json"}</w:instrText>
      </w:r>
      <w:r w:rsidR="00A5231F"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[7]</w:t>
      </w:r>
      <w:r w:rsidR="00A5231F" w:rsidRPr="00AC50FA">
        <w:rPr>
          <w:rFonts w:ascii="Book Antiqua" w:hAnsi="Book Antiqua"/>
          <w:color w:val="000000" w:themeColor="text1"/>
          <w:sz w:val="24"/>
          <w:szCs w:val="24"/>
          <w:vertAlign w:val="superscript"/>
          <w:lang w:val="en-GB"/>
        </w:rPr>
        <w:fldChar w:fldCharType="end"/>
      </w:r>
      <w:r w:rsidR="00FC0666" w:rsidRPr="00AC50FA">
        <w:rPr>
          <w:rFonts w:ascii="Book Antiqua" w:hAnsi="Book Antiqua"/>
          <w:color w:val="000000" w:themeColor="text1"/>
          <w:sz w:val="24"/>
          <w:szCs w:val="24"/>
          <w:lang w:val="en-GB"/>
        </w:rPr>
        <w:t xml:space="preserve">. </w:t>
      </w:r>
      <w:r w:rsidR="00595E7F" w:rsidRPr="00AC50FA">
        <w:rPr>
          <w:rFonts w:ascii="Book Antiqua" w:hAnsi="Book Antiqua"/>
          <w:color w:val="000000" w:themeColor="text1"/>
          <w:sz w:val="24"/>
          <w:szCs w:val="24"/>
          <w:lang w:val="en-GB"/>
        </w:rPr>
        <w:t>In this context g</w:t>
      </w:r>
      <w:r w:rsidR="000C3F5F" w:rsidRPr="00AC50FA">
        <w:rPr>
          <w:rFonts w:ascii="Book Antiqua" w:hAnsi="Book Antiqua"/>
          <w:color w:val="000000" w:themeColor="text1"/>
          <w:sz w:val="24"/>
          <w:szCs w:val="24"/>
          <w:lang w:val="en-GB"/>
        </w:rPr>
        <w:t xml:space="preserve">raft hepatectomy </w:t>
      </w:r>
      <w:r w:rsidR="003A4475" w:rsidRPr="00AC50FA">
        <w:rPr>
          <w:rFonts w:ascii="Book Antiqua" w:hAnsi="Book Antiqua"/>
          <w:color w:val="000000" w:themeColor="text1"/>
          <w:sz w:val="24"/>
          <w:szCs w:val="24"/>
          <w:lang w:val="en-GB"/>
        </w:rPr>
        <w:t>offers chance of cure</w:t>
      </w:r>
      <w:r w:rsidR="00F44656" w:rsidRPr="00AC50FA">
        <w:rPr>
          <w:rFonts w:ascii="Book Antiqua" w:hAnsi="Book Antiqua"/>
          <w:color w:val="000000" w:themeColor="text1"/>
          <w:sz w:val="24"/>
          <w:szCs w:val="24"/>
          <w:lang w:val="en-GB"/>
        </w:rPr>
        <w:t>,</w:t>
      </w:r>
      <w:r w:rsidR="003A4475" w:rsidRPr="00AC50FA">
        <w:rPr>
          <w:rFonts w:ascii="Book Antiqua" w:hAnsi="Book Antiqua"/>
          <w:color w:val="000000" w:themeColor="text1"/>
          <w:sz w:val="24"/>
          <w:szCs w:val="24"/>
          <w:lang w:val="en-GB"/>
        </w:rPr>
        <w:t xml:space="preserve"> but </w:t>
      </w:r>
      <w:r w:rsidR="000C3F5F" w:rsidRPr="00AC50FA">
        <w:rPr>
          <w:rFonts w:ascii="Book Antiqua" w:hAnsi="Book Antiqua"/>
          <w:color w:val="000000" w:themeColor="text1"/>
          <w:sz w:val="24"/>
          <w:szCs w:val="24"/>
          <w:lang w:val="en-GB"/>
        </w:rPr>
        <w:t>is technically challenging</w:t>
      </w:r>
      <w:r w:rsidR="003A4475" w:rsidRPr="00AC50FA">
        <w:rPr>
          <w:rFonts w:ascii="Book Antiqua" w:hAnsi="Book Antiqua"/>
          <w:color w:val="000000" w:themeColor="text1"/>
          <w:sz w:val="24"/>
          <w:szCs w:val="24"/>
          <w:lang w:val="en-GB"/>
        </w:rPr>
        <w:t xml:space="preserve"> due to hostile adhesions </w:t>
      </w:r>
      <w:r w:rsidR="00C117C0" w:rsidRPr="00AC50FA">
        <w:rPr>
          <w:rFonts w:ascii="Book Antiqua" w:hAnsi="Book Antiqua"/>
          <w:color w:val="000000" w:themeColor="text1"/>
          <w:sz w:val="24"/>
          <w:szCs w:val="24"/>
          <w:lang w:val="en-GB"/>
        </w:rPr>
        <w:t xml:space="preserve">surrounding </w:t>
      </w:r>
      <w:r w:rsidR="003A4475" w:rsidRPr="00AC50FA">
        <w:rPr>
          <w:rFonts w:ascii="Book Antiqua" w:hAnsi="Book Antiqua"/>
          <w:color w:val="000000" w:themeColor="text1"/>
          <w:sz w:val="24"/>
          <w:szCs w:val="24"/>
          <w:lang w:val="en-GB"/>
        </w:rPr>
        <w:t xml:space="preserve">vital portal structures. Infective complications </w:t>
      </w:r>
      <w:r w:rsidR="00AB175B" w:rsidRPr="00AC50FA">
        <w:rPr>
          <w:rFonts w:ascii="Book Antiqua" w:hAnsi="Book Antiqua"/>
          <w:color w:val="000000" w:themeColor="text1"/>
          <w:sz w:val="24"/>
          <w:szCs w:val="24"/>
          <w:lang w:val="en-GB"/>
        </w:rPr>
        <w:t>are</w:t>
      </w:r>
      <w:r w:rsidR="003A4475" w:rsidRPr="00AC50FA">
        <w:rPr>
          <w:rFonts w:ascii="Book Antiqua" w:hAnsi="Book Antiqua"/>
          <w:color w:val="000000" w:themeColor="text1"/>
          <w:sz w:val="24"/>
          <w:szCs w:val="24"/>
          <w:lang w:val="en-GB"/>
        </w:rPr>
        <w:t xml:space="preserve"> not uncommon after such ultra-major operation in an immunocompromised host</w:t>
      </w:r>
      <w:r w:rsidR="000C3F5F"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{"citationItems":[{"id":"ITEM-1","itemData":{"DOI":"10.1016/j.transproceed.2013.07.032","ISSN":"00411345","PMID":"24034033","abstract":"BACKGROUND Liver resection (LR) in liver transplant (OLT) recipients, an extremely rare situation, who performed on 8 recipients. METHODS This retrospective analysis of prospectively collected data concerned 8 (0.66%) 1198 LR cases among OLT performed from 1997 to 2011. We analyzed demographic data, surgical indications, and postoperative courses. RESULTS The indications were resectable recurrent hepatocellular carcinomas (HCC, n = 3), persistent fistula from a posterior sectorial duct (n = 1), recurrent cholangitis due to anastomotic stricture on the posterior sectorial duct (n = l), hydatid cyst (n = l), left arterial hepatic thrombosis with secondary ischemic cholangitis (n = 1), and a large symptomatic biliary cyst (n = 1). The mean interval time to liver resection was 23.7 months (range, 5-47). LR included right hepatectomy (n = 1), right posterior hepatectomy (n = 1), left lobectomy (n = 4), pericystectomy (n = 1), or biliary fenestration (n = 1). Which there was no postoperative mortality, the global morbidity rate was 62% (5/8). The mean follow-up after LR was 92 months (range, 11-156). No patients required retransplantation. None of the 3 patients who underwent LR for HCC showed a recurrence. CONCLUSIONS LR in OLT recipients is safe, but associated with a high morbidity rate. This procedure can avoid retransplantation in highly selected patients, presenting a possible option particularly for transplanted patients with a resectable, recurrent HCC.","author":[{"dropping-particle":"","family":"Sommacale","given":"D.","non-dropping-particle":"","parse-names":false,"suffix":""},{"dropping-particle":"","family":"Dondero","given":"F.","non-dropping-particle":"","parse-names":false,"suffix":""},{"dropping-particle":"","family":"Sauvanet","given":"A.","non-dropping-particle":"","parse-names":false,"suffix":""},{"dropping-particle":"","family":"Francoz","given":"C.","non-dropping-particle":"","parse-names":false,"suffix":""},{"dropping-particle":"","family":"Durand","given":"F.","non-dropping-particle":"","parse-names":false,"suffix":""},{"dropping-particle":"","family":"Farges","given":"O.","non-dropping-particle":"","parse-names":false,"suffix":""},{"dropping-particle":"","family":"Kianmanesh","given":"R.","non-dropping-particle":"","parse-names":false,"suffix":""},{"dropping-particle":"","family":"Belghiti","given":"J.","non-dropping-particle":"","parse-names":false,"suffix":""}],"container-title":"Transplantation Proceedings","id":"ITEM-1","issue":"7","issued":{"date-parts":[["2013","9"]]},"page":"2726-2728","title":"Liver Resection in Transplanted Patients: A Single-Center Western Experience","type":"article-journal","volume":"45"},"uris":["http://www.mendeley.com/documents/?uuid=57ea11e6-fa84-3d4e-b0ec-da6f36b287eb","http://www.mendeley.com/documents/?uuid=a93fd6d9-b61a-4540-afaa-891ce64532a5"]},{"id":"ITEM-2","itemData":{"DOI":"10.4254/wjh.v7.i8.1142","ISSN":"1948-5182","PMID":"26052403","abstract":"Hepatocellular carcinoma (HCC) is the leading cause of deaths in patients with hepatitis B or C, and its incidence has increased considerably over the past decade and is still on the rise. Liver transplantation (LT) provides the best chance of cure for patients with HCC and liver cirrhosis. With the implementation of the MELD exception system for patients with HCC waitlisted for LT, the number of recipients of LT is increasing, so is the number of patients who have recurrence of HCC after LT. Treatments for intrahepatic recurrence after transplantation and after other kinds of surgery are more or less the same, but long-term cure of posttransplant recurrence is rarely seen as it is a \"systemic\" disease. Nonetheless, surgical resection has been shown to be effective in prolonging patient survival despite the technical difficulty in resecting graft livers. Besides surgical resection, different kinds of treatment are also in use, including transarterial chemoembolization, radiofrequency ablation, high-intensity focused ultrasound ablation, and stereotactic body radiation therapy. Targeted therapy and modulation of immunosuppressants are also adopted to treat the deadly disease.","author":[{"dropping-particle":"","family":"Chok","given":"Kenneth Sh","non-dropping-particle":"","parse-names":false,"suffix":""}],"container-title":"World journal of hepatology","id":"ITEM-2","issue":"8","issued":{"date-parts":[["2015","5"]]},"page":"1142-8","publisher":"Baishideng Publishing Group Inc","title":"Management of recurrent hepatocellular carcinoma after liver transplant.","type":"article-journal","volume":"7"},"uris":["http://www.mendeley.com/documents/?uuid=3439dcb8-3f74-3ad0-90ca-d42e8711e945","http://www.mendeley.com/documents/?uuid=66fb333a-4c84-476c-83fc-155dea160a0a"]}],"mendeley":{"formattedCitation":"[8], [9]","plainTextFormattedCitation":"[8], [9]","previouslyFormattedCitation":"&lt;sup&gt;8,9&lt;/sup&gt;"},"properties":{"noteIndex":0},"schema":"https://github.com/citation-style-language/schema/raw/master/csl-citation.json"}</w:instrText>
      </w:r>
      <w:r w:rsidR="000C3F5F"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[8,9]</w:t>
      </w:r>
      <w:r w:rsidR="000C3F5F" w:rsidRPr="00AC50FA">
        <w:rPr>
          <w:rFonts w:ascii="Book Antiqua" w:hAnsi="Book Antiqua"/>
          <w:color w:val="000000" w:themeColor="text1"/>
          <w:sz w:val="24"/>
          <w:szCs w:val="24"/>
          <w:vertAlign w:val="superscript"/>
          <w:lang w:val="en-GB"/>
        </w:rPr>
        <w:fldChar w:fldCharType="end"/>
      </w:r>
      <w:r w:rsidR="000C3F5F" w:rsidRPr="00AC50FA">
        <w:rPr>
          <w:rFonts w:ascii="Book Antiqua" w:hAnsi="Book Antiqua"/>
          <w:color w:val="000000" w:themeColor="text1"/>
          <w:sz w:val="24"/>
          <w:szCs w:val="24"/>
          <w:lang w:val="en-GB"/>
        </w:rPr>
        <w:t xml:space="preserve">. </w:t>
      </w:r>
      <w:r w:rsidR="00F44656" w:rsidRPr="00AC50FA">
        <w:rPr>
          <w:rFonts w:ascii="Book Antiqua" w:hAnsi="Book Antiqua"/>
          <w:color w:val="000000" w:themeColor="text1"/>
          <w:sz w:val="24"/>
          <w:szCs w:val="24"/>
          <w:lang w:val="en-GB"/>
        </w:rPr>
        <w:t>T</w:t>
      </w:r>
      <w:r w:rsidR="00493CC1" w:rsidRPr="00AC50FA">
        <w:rPr>
          <w:rFonts w:ascii="Book Antiqua" w:hAnsi="Book Antiqua"/>
          <w:color w:val="000000" w:themeColor="text1"/>
          <w:sz w:val="24"/>
          <w:szCs w:val="24"/>
          <w:lang w:val="en-GB"/>
        </w:rPr>
        <w:t>he demand for a</w:t>
      </w:r>
      <w:r w:rsidR="00F44656" w:rsidRPr="00AC50FA">
        <w:rPr>
          <w:rFonts w:ascii="Book Antiqua" w:hAnsi="Book Antiqua"/>
          <w:color w:val="000000" w:themeColor="text1"/>
          <w:sz w:val="24"/>
          <w:szCs w:val="24"/>
          <w:lang w:val="en-GB"/>
        </w:rPr>
        <w:t xml:space="preserve"> safe and effective treatment modality is</w:t>
      </w:r>
      <w:r w:rsidR="006239B2" w:rsidRPr="00AC50FA">
        <w:rPr>
          <w:rFonts w:ascii="Book Antiqua" w:hAnsi="Book Antiqua"/>
          <w:color w:val="000000" w:themeColor="text1"/>
          <w:sz w:val="24"/>
          <w:szCs w:val="24"/>
          <w:lang w:val="en-GB"/>
        </w:rPr>
        <w:t xml:space="preserve"> desperate</w:t>
      </w:r>
      <w:r w:rsidRPr="00AC50FA">
        <w:rPr>
          <w:rFonts w:ascii="Book Antiqua" w:hAnsi="Book Antiqua"/>
          <w:color w:val="000000" w:themeColor="text1"/>
          <w:sz w:val="24"/>
          <w:szCs w:val="24"/>
          <w:lang w:val="en-GB"/>
        </w:rPr>
        <w:t>.</w:t>
      </w:r>
    </w:p>
    <w:p w14:paraId="2232D03E" w14:textId="4129EE31" w:rsidR="00D604B3" w:rsidRPr="00AC50FA" w:rsidRDefault="006239B2"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Stereotactic</w:t>
      </w:r>
      <w:r w:rsidR="00F469A8" w:rsidRPr="00AC50FA">
        <w:rPr>
          <w:rFonts w:ascii="Book Antiqua" w:hAnsi="Book Antiqua"/>
          <w:color w:val="000000" w:themeColor="text1"/>
          <w:sz w:val="24"/>
          <w:szCs w:val="24"/>
          <w:lang w:val="en-GB"/>
        </w:rPr>
        <w:t xml:space="preserve"> bo</w:t>
      </w:r>
      <w:r w:rsidR="00F44656" w:rsidRPr="00AC50FA">
        <w:rPr>
          <w:rFonts w:ascii="Book Antiqua" w:hAnsi="Book Antiqua"/>
          <w:color w:val="000000" w:themeColor="text1"/>
          <w:sz w:val="24"/>
          <w:szCs w:val="24"/>
          <w:lang w:val="en-GB"/>
        </w:rPr>
        <w:t>dy radiation therapy (SBRT), a</w:t>
      </w:r>
      <w:r w:rsidR="00F469A8" w:rsidRPr="00AC50FA">
        <w:rPr>
          <w:rFonts w:ascii="Book Antiqua" w:hAnsi="Book Antiqua"/>
          <w:color w:val="000000" w:themeColor="text1"/>
          <w:sz w:val="24"/>
          <w:szCs w:val="24"/>
          <w:lang w:val="en-GB"/>
        </w:rPr>
        <w:t xml:space="preserve"> precise delivery of conformal external beam irradiation, has been shown to be safe and effective for the treatment of primary HCC</w:t>
      </w:r>
      <w:r w:rsidR="00F469A8"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{"citationItems":[{"id":"ITEM-1","itemData":{"DOI":"10.1016/j.ijrobp.2011.04.011","ISSN":"03603016","PMID":"21645977","abstract":"PURPOSE To evaluate the safety and efficacy of stereotactic body radiotherapy (SBRT) for the treatment of primary hepatocellular carcinoma (HCC). METHODS AND MATERIALS From 2005 to 2009, 60 patients with liver-confined HCC were treated with SBRT at the Indiana University Simon Cancer Center: 36 Child-Turcotte-Pugh (CTP) Class A and 24 CTP Class B. The median number of fractions, dose per fraction, and total dose, was 3, 14 Gy, and 44 Gy, respectively, for those with CTP Class A cirrhosis and 5, 8 Gy, and 40 Gy, respectively, for those with CTP Class B. Treatment was delivered via 6 to 12 beams and in nearly all cases was prescribed to the 80% isodose line. The records of all patients were reviewed, and treatment response was scored according to Response Evaluation Criteria in Solid Tumors v1.1. Toxicity was graded according to the Common Terminology Criteria for Adverse Events v4.0. Local control (LC), time to progression (TTP), progression-free survival (PFS), and overall survival (OS) were calculated according to the method of Kaplan and Meier. RESULTS The median follow-up time was 27 months, and the median tumor diameter was 3.2 cm. The 2-year LC, PFS, and OS were 90%, 48%, and 67%, respectively, with median TTP of 47.8 months. Subsequently, 23 patients underwent transplant, with a median time to transplant of 7 months. There were no ≥Grade 3 nonhematologic toxicities. Thirteen percent of patients experienced an increase in hematologic/hepatic dysfunction greater than 1 grade, and 20% experienced progression in CTP class within 3 months of treatment. CONCLUSIONS SBRT is a safe, effective, noninvasive option for patients with HCC ≤6 cm. As such, SBRT should be considered when bridging to transplant or as definitive therapy for those ineligible for transplant.","author":[{"dropping-particle":"","family":"Andolino","given":"David L.","non-dropping-particle":"","parse-names":false,"suffix":""},{"dropping-particle":"","family":"Johnson","given":"Cynthia S.","non-dropping-particle":"","parse-names":false,"suffix":""},{"dropping-particle":"","family":"Maluccio","given":"Mary","non-dropping-particle":"","parse-names":false,"suffix":""},{"dropping-particle":"","family":"Kwo","given":"Paul","non-dropping-particle":"","parse-names":false,"suffix":""},{"dropping-particle":"","family":"Tector","given":"A. Joseph","non-dropping-particle":"","parse-names":false,"suffix":""},{"dropping-particle":"","family":"Zook","given":"Jennifer","non-dropping-particle":"","parse-names":false,"suffix":""},{"dropping-particle":"","family":"Johnstone","given":"Peter A.S.","non-dropping-particle":"","parse-names":false,"suffix":""},{"dropping-particle":"","family":"Cardenes","given":"Higinia R.","non-dropping-particle":"","parse-names":false,"suffix":""}],"container-title":"International Journal of Radiation Oncology*Biology*Physics","id":"ITEM-1","issue":"4","issued":{"date-parts":[["2011","11"]]},"page":"e447-e453","title":"Stereotactic Body Radiotherapy for Primary Hepatocellular Carcinoma","type":"article-journal","volume":"81"},"uris":["http://www.mendeley.com/documents/?uuid=55842cab-1503-3191-b7f0-c48f1f3e051a","http://www.mendeley.com/documents/?uuid=0375edb1-3fa5-4c04-ba89-0d7178e70344"]}],"mendeley":{"formattedCitation":"[10]","plainTextFormattedCitation":"[10]","previouslyFormattedCitation":"&lt;sup&gt;10&lt;/sup&gt;"},"properties":{"noteIndex":0},"schema":"https://github.com/citation-style-language/schema/raw/master/csl-citation.json"}</w:instrText>
      </w:r>
      <w:r w:rsidR="00F469A8"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[10]</w:t>
      </w:r>
      <w:r w:rsidR="00F469A8" w:rsidRPr="00AC50FA">
        <w:rPr>
          <w:rFonts w:ascii="Book Antiqua" w:hAnsi="Book Antiqua"/>
          <w:color w:val="000000" w:themeColor="text1"/>
          <w:sz w:val="24"/>
          <w:szCs w:val="24"/>
          <w:vertAlign w:val="superscript"/>
          <w:lang w:val="en-GB"/>
        </w:rPr>
        <w:fldChar w:fldCharType="end"/>
      </w:r>
      <w:r w:rsidR="00C117C0" w:rsidRPr="00AC50FA">
        <w:rPr>
          <w:rFonts w:ascii="Book Antiqua" w:hAnsi="Book Antiqua"/>
          <w:color w:val="000000" w:themeColor="text1"/>
          <w:sz w:val="24"/>
          <w:szCs w:val="24"/>
          <w:lang w:val="en-GB"/>
        </w:rPr>
        <w:t>. SBRT has become</w:t>
      </w:r>
      <w:r w:rsidR="00F44656" w:rsidRPr="00AC50FA">
        <w:rPr>
          <w:rFonts w:ascii="Book Antiqua" w:hAnsi="Book Antiqua"/>
          <w:color w:val="000000" w:themeColor="text1"/>
          <w:sz w:val="24"/>
          <w:szCs w:val="24"/>
          <w:lang w:val="en-GB"/>
        </w:rPr>
        <w:t xml:space="preserve"> an appealing alternative to surgery in patients with inadequate liver function. However, the role of SBRT for HCC recurrence in a liver graft remains unclear. </w:t>
      </w:r>
      <w:r w:rsidR="00C117C0" w:rsidRPr="00AC50FA">
        <w:rPr>
          <w:rFonts w:ascii="Book Antiqua" w:hAnsi="Book Antiqua"/>
          <w:color w:val="000000" w:themeColor="text1"/>
          <w:sz w:val="24"/>
          <w:szCs w:val="24"/>
          <w:lang w:val="en-GB"/>
        </w:rPr>
        <w:t xml:space="preserve">There is no literature to report the oncological benefits and the potential toxicity to the liver graft. Therefore, the current study is proposed to </w:t>
      </w:r>
      <w:r w:rsidR="00D604B3" w:rsidRPr="00AC50FA">
        <w:rPr>
          <w:rFonts w:ascii="Book Antiqua" w:hAnsi="Book Antiqua"/>
          <w:color w:val="000000" w:themeColor="text1"/>
          <w:sz w:val="24"/>
          <w:szCs w:val="24"/>
          <w:lang w:val="en-GB"/>
        </w:rPr>
        <w:t>evaluate the safety and</w:t>
      </w:r>
      <w:r w:rsidR="00C117C0" w:rsidRPr="00AC50FA">
        <w:rPr>
          <w:rFonts w:ascii="Book Antiqua" w:hAnsi="Book Antiqua"/>
          <w:color w:val="000000" w:themeColor="text1"/>
          <w:sz w:val="24"/>
          <w:szCs w:val="24"/>
          <w:lang w:val="en-GB"/>
        </w:rPr>
        <w:t xml:space="preserve"> efficacy of SBRT for the treatment of</w:t>
      </w:r>
      <w:r w:rsidR="00D604B3" w:rsidRPr="00AC50FA">
        <w:rPr>
          <w:rFonts w:ascii="Book Antiqua" w:hAnsi="Book Antiqua"/>
          <w:color w:val="000000" w:themeColor="text1"/>
          <w:sz w:val="24"/>
          <w:szCs w:val="24"/>
          <w:lang w:val="en-GB"/>
        </w:rPr>
        <w:t xml:space="preserve"> intrahepatic </w:t>
      </w:r>
      <w:r w:rsidR="00C117C0" w:rsidRPr="00AC50FA">
        <w:rPr>
          <w:rFonts w:ascii="Book Antiqua" w:hAnsi="Book Antiqua"/>
          <w:color w:val="000000" w:themeColor="text1"/>
          <w:sz w:val="24"/>
          <w:szCs w:val="24"/>
          <w:lang w:val="en-GB"/>
        </w:rPr>
        <w:t xml:space="preserve">HCC </w:t>
      </w:r>
      <w:r w:rsidR="00D604B3" w:rsidRPr="00AC50FA">
        <w:rPr>
          <w:rFonts w:ascii="Book Antiqua" w:hAnsi="Book Antiqua"/>
          <w:color w:val="000000" w:themeColor="text1"/>
          <w:sz w:val="24"/>
          <w:szCs w:val="24"/>
          <w:lang w:val="en-GB"/>
        </w:rPr>
        <w:t xml:space="preserve">recurrence after liver transplantation. </w:t>
      </w:r>
    </w:p>
    <w:p w14:paraId="58F37562" w14:textId="77777777"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295AFA8E"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rPr>
      </w:pPr>
      <w:r w:rsidRPr="00AC50FA">
        <w:rPr>
          <w:rFonts w:ascii="Book Antiqua" w:hAnsi="Book Antiqua"/>
          <w:b/>
          <w:color w:val="000000" w:themeColor="text1"/>
          <w:sz w:val="24"/>
          <w:szCs w:val="24"/>
          <w:u w:val="single"/>
        </w:rPr>
        <w:t>MATERIALS AND METHODS</w:t>
      </w:r>
    </w:p>
    <w:p w14:paraId="454E2C4C" w14:textId="4840C985" w:rsidR="0079037A" w:rsidRPr="00AC50FA" w:rsidRDefault="0079037A"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Patients</w:t>
      </w:r>
    </w:p>
    <w:p w14:paraId="63606299" w14:textId="655EA6E2" w:rsidR="00D324EC" w:rsidRPr="00AC50FA" w:rsidRDefault="002363CB"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A</w:t>
      </w:r>
      <w:r w:rsidR="00E75ED1" w:rsidRPr="00AC50FA">
        <w:rPr>
          <w:rFonts w:ascii="Book Antiqua" w:hAnsi="Book Antiqua"/>
          <w:color w:val="000000" w:themeColor="text1"/>
          <w:sz w:val="24"/>
          <w:szCs w:val="24"/>
          <w:lang w:val="en-GB"/>
        </w:rPr>
        <w:t xml:space="preserve"> retrospective study </w:t>
      </w:r>
      <w:r w:rsidRPr="00AC50FA">
        <w:rPr>
          <w:rFonts w:ascii="Book Antiqua" w:hAnsi="Book Antiqua"/>
          <w:color w:val="000000" w:themeColor="text1"/>
          <w:sz w:val="24"/>
          <w:szCs w:val="24"/>
          <w:lang w:val="en-GB"/>
        </w:rPr>
        <w:t xml:space="preserve">was </w:t>
      </w:r>
      <w:r w:rsidR="006239B2" w:rsidRPr="00AC50FA">
        <w:rPr>
          <w:rFonts w:ascii="Book Antiqua" w:hAnsi="Book Antiqua"/>
          <w:color w:val="000000" w:themeColor="text1"/>
          <w:sz w:val="24"/>
          <w:szCs w:val="24"/>
          <w:lang w:val="en-GB"/>
        </w:rPr>
        <w:t xml:space="preserve">conducted </w:t>
      </w:r>
      <w:r w:rsidR="00E75ED1" w:rsidRPr="00AC50FA">
        <w:rPr>
          <w:rFonts w:ascii="Book Antiqua" w:hAnsi="Book Antiqua"/>
          <w:color w:val="000000" w:themeColor="text1"/>
          <w:sz w:val="24"/>
          <w:szCs w:val="24"/>
          <w:lang w:val="en-GB"/>
        </w:rPr>
        <w:t xml:space="preserve">at Queen Mary Hospital, the University of Hong Kong. </w:t>
      </w:r>
      <w:r w:rsidR="006239B2" w:rsidRPr="00AC50FA">
        <w:rPr>
          <w:rFonts w:ascii="Book Antiqua" w:hAnsi="Book Antiqua"/>
          <w:color w:val="000000" w:themeColor="text1"/>
          <w:sz w:val="24"/>
          <w:szCs w:val="24"/>
          <w:lang w:val="en-GB"/>
        </w:rPr>
        <w:t>Queen Mary Hospital</w:t>
      </w:r>
      <w:r w:rsidRPr="00AC50FA">
        <w:rPr>
          <w:rFonts w:ascii="Book Antiqua" w:hAnsi="Book Antiqua"/>
          <w:color w:val="000000" w:themeColor="text1"/>
          <w:sz w:val="24"/>
          <w:szCs w:val="24"/>
          <w:lang w:val="en-GB"/>
        </w:rPr>
        <w:t xml:space="preserve"> </w:t>
      </w:r>
      <w:r w:rsidR="00F02D81" w:rsidRPr="00AC50FA">
        <w:rPr>
          <w:rFonts w:ascii="Book Antiqua" w:hAnsi="Book Antiqua"/>
          <w:color w:val="000000" w:themeColor="text1"/>
          <w:sz w:val="24"/>
          <w:szCs w:val="24"/>
          <w:lang w:val="en-GB"/>
        </w:rPr>
        <w:t>was</w:t>
      </w:r>
      <w:r w:rsidR="00E75ED1" w:rsidRPr="00AC50FA">
        <w:rPr>
          <w:rFonts w:ascii="Book Antiqua" w:hAnsi="Book Antiqua"/>
          <w:color w:val="000000" w:themeColor="text1"/>
          <w:sz w:val="24"/>
          <w:szCs w:val="24"/>
          <w:lang w:val="en-GB"/>
        </w:rPr>
        <w:t xml:space="preserve"> the tertiary referral centre and the only liver transplant centre in Hong Kong. A</w:t>
      </w:r>
      <w:r w:rsidR="0079037A" w:rsidRPr="00AC50FA">
        <w:rPr>
          <w:rFonts w:ascii="Book Antiqua" w:hAnsi="Book Antiqua"/>
          <w:color w:val="000000" w:themeColor="text1"/>
          <w:sz w:val="24"/>
          <w:szCs w:val="24"/>
          <w:lang w:val="en-GB"/>
        </w:rPr>
        <w:t xml:space="preserve">ll consecutive patients who received SBRT for </w:t>
      </w:r>
      <w:r w:rsidR="00D83737" w:rsidRPr="00AC50FA">
        <w:rPr>
          <w:rFonts w:ascii="Book Antiqua" w:hAnsi="Book Antiqua"/>
          <w:color w:val="000000" w:themeColor="text1"/>
          <w:sz w:val="24"/>
          <w:szCs w:val="24"/>
          <w:lang w:val="en-GB"/>
        </w:rPr>
        <w:t xml:space="preserve">recurrent </w:t>
      </w:r>
      <w:r w:rsidR="0079037A" w:rsidRPr="00AC50FA">
        <w:rPr>
          <w:rFonts w:ascii="Book Antiqua" w:hAnsi="Book Antiqua"/>
          <w:color w:val="000000" w:themeColor="text1"/>
          <w:sz w:val="24"/>
          <w:szCs w:val="24"/>
          <w:lang w:val="en-GB"/>
        </w:rPr>
        <w:t>HCC in the transplanted liver</w:t>
      </w:r>
      <w:r w:rsidR="00E75ED1" w:rsidRPr="00AC50FA">
        <w:rPr>
          <w:rFonts w:ascii="Book Antiqua" w:hAnsi="Book Antiqua"/>
          <w:color w:val="000000" w:themeColor="text1"/>
          <w:sz w:val="24"/>
          <w:szCs w:val="24"/>
          <w:lang w:val="en-GB"/>
        </w:rPr>
        <w:t xml:space="preserve"> at this centre</w:t>
      </w:r>
      <w:r w:rsidR="0079037A" w:rsidRPr="00AC50FA">
        <w:rPr>
          <w:rFonts w:ascii="Book Antiqua" w:hAnsi="Book Antiqua"/>
          <w:color w:val="000000" w:themeColor="text1"/>
          <w:sz w:val="24"/>
          <w:szCs w:val="24"/>
          <w:lang w:val="en-GB"/>
        </w:rPr>
        <w:t xml:space="preserve"> between </w:t>
      </w:r>
      <w:r w:rsidR="00F02D81" w:rsidRPr="00AC50FA">
        <w:rPr>
          <w:rFonts w:ascii="Book Antiqua" w:hAnsi="Book Antiqua"/>
          <w:color w:val="000000" w:themeColor="text1"/>
          <w:sz w:val="24"/>
          <w:szCs w:val="24"/>
          <w:lang w:val="en-GB"/>
        </w:rPr>
        <w:t xml:space="preserve">2012 </w:t>
      </w:r>
      <w:r w:rsidR="0079037A" w:rsidRPr="00AC50FA">
        <w:rPr>
          <w:rFonts w:ascii="Book Antiqua" w:hAnsi="Book Antiqua"/>
          <w:color w:val="000000" w:themeColor="text1"/>
          <w:sz w:val="24"/>
          <w:szCs w:val="24"/>
          <w:lang w:val="en-GB"/>
        </w:rPr>
        <w:t xml:space="preserve">and </w:t>
      </w:r>
      <w:r w:rsidR="00F02D81" w:rsidRPr="00AC50FA">
        <w:rPr>
          <w:rFonts w:ascii="Book Antiqua" w:hAnsi="Book Antiqua"/>
          <w:color w:val="000000" w:themeColor="text1"/>
          <w:sz w:val="24"/>
          <w:szCs w:val="24"/>
          <w:lang w:val="en-GB"/>
        </w:rPr>
        <w:t>2018</w:t>
      </w:r>
      <w:r w:rsidR="00E75ED1" w:rsidRPr="00AC50FA">
        <w:rPr>
          <w:rFonts w:ascii="Book Antiqua" w:hAnsi="Book Antiqua"/>
          <w:color w:val="000000" w:themeColor="text1"/>
          <w:sz w:val="24"/>
          <w:szCs w:val="24"/>
          <w:lang w:val="en-GB"/>
        </w:rPr>
        <w:t xml:space="preserve"> were included</w:t>
      </w:r>
      <w:r w:rsidR="0079037A" w:rsidRPr="00AC50FA">
        <w:rPr>
          <w:rFonts w:ascii="Book Antiqua" w:hAnsi="Book Antiqua"/>
          <w:color w:val="000000" w:themeColor="text1"/>
          <w:sz w:val="24"/>
          <w:szCs w:val="24"/>
          <w:lang w:val="en-GB"/>
        </w:rPr>
        <w:t xml:space="preserve">. </w:t>
      </w:r>
      <w:r w:rsidR="001F4BDF" w:rsidRPr="00AC50FA">
        <w:rPr>
          <w:rFonts w:ascii="Book Antiqua" w:hAnsi="Book Antiqua"/>
          <w:color w:val="000000" w:themeColor="text1"/>
          <w:sz w:val="24"/>
          <w:szCs w:val="24"/>
          <w:lang w:val="en-GB"/>
        </w:rPr>
        <w:t>A radiological</w:t>
      </w:r>
      <w:r w:rsidR="002D5AFA" w:rsidRPr="00AC50FA">
        <w:rPr>
          <w:rFonts w:ascii="Book Antiqua" w:hAnsi="Book Antiqua"/>
          <w:color w:val="000000" w:themeColor="text1"/>
          <w:sz w:val="24"/>
          <w:szCs w:val="24"/>
          <w:lang w:val="en-GB"/>
        </w:rPr>
        <w:t xml:space="preserve"> diagnosis of HCC </w:t>
      </w:r>
      <w:r w:rsidR="00D604B3" w:rsidRPr="00AC50FA">
        <w:rPr>
          <w:rFonts w:ascii="Book Antiqua" w:hAnsi="Book Antiqua"/>
          <w:color w:val="000000" w:themeColor="text1"/>
          <w:sz w:val="24"/>
          <w:szCs w:val="24"/>
          <w:lang w:val="en-GB"/>
        </w:rPr>
        <w:t xml:space="preserve">recurrence </w:t>
      </w:r>
      <w:r w:rsidR="002D5AFA" w:rsidRPr="00AC50FA">
        <w:rPr>
          <w:rFonts w:ascii="Book Antiqua" w:hAnsi="Book Antiqua"/>
          <w:color w:val="000000" w:themeColor="text1"/>
          <w:sz w:val="24"/>
          <w:szCs w:val="24"/>
          <w:lang w:val="en-GB"/>
        </w:rPr>
        <w:t>in the liver graft was</w:t>
      </w:r>
      <w:r w:rsidR="00A56463" w:rsidRPr="00AC50FA">
        <w:rPr>
          <w:rFonts w:ascii="Book Antiqua" w:hAnsi="Book Antiqua"/>
          <w:color w:val="000000" w:themeColor="text1"/>
          <w:sz w:val="24"/>
          <w:szCs w:val="24"/>
          <w:lang w:val="en-GB"/>
        </w:rPr>
        <w:t xml:space="preserve"> made</w:t>
      </w:r>
      <w:r w:rsidR="002D5AFA" w:rsidRPr="00AC50FA">
        <w:rPr>
          <w:rFonts w:ascii="Book Antiqua" w:hAnsi="Book Antiqua"/>
          <w:color w:val="000000" w:themeColor="text1"/>
          <w:sz w:val="24"/>
          <w:szCs w:val="24"/>
          <w:lang w:val="en-GB"/>
        </w:rPr>
        <w:t xml:space="preserve"> </w:t>
      </w:r>
      <w:r w:rsidR="001F4BDF" w:rsidRPr="00AC50FA">
        <w:rPr>
          <w:rFonts w:ascii="Book Antiqua" w:hAnsi="Book Antiqua"/>
          <w:color w:val="000000" w:themeColor="text1"/>
          <w:sz w:val="24"/>
          <w:szCs w:val="24"/>
          <w:lang w:val="en-GB"/>
        </w:rPr>
        <w:t xml:space="preserve">based on the typical </w:t>
      </w:r>
      <w:r w:rsidR="00A56463" w:rsidRPr="00AC50FA">
        <w:rPr>
          <w:rFonts w:ascii="Book Antiqua" w:hAnsi="Book Antiqua"/>
          <w:color w:val="000000" w:themeColor="text1"/>
          <w:sz w:val="24"/>
          <w:szCs w:val="24"/>
          <w:lang w:val="en-GB"/>
        </w:rPr>
        <w:t>enhancement pattern</w:t>
      </w:r>
      <w:r w:rsidR="001F4BDF" w:rsidRPr="00AC50FA">
        <w:rPr>
          <w:rFonts w:ascii="Book Antiqua" w:hAnsi="Book Antiqua"/>
          <w:color w:val="000000" w:themeColor="text1"/>
          <w:sz w:val="24"/>
          <w:szCs w:val="24"/>
          <w:lang w:val="en-GB"/>
        </w:rPr>
        <w:t xml:space="preserve"> according to</w:t>
      </w:r>
      <w:r w:rsidR="002D5AFA" w:rsidRPr="00AC50FA">
        <w:rPr>
          <w:rFonts w:ascii="Book Antiqua" w:hAnsi="Book Antiqua"/>
          <w:color w:val="000000" w:themeColor="text1"/>
          <w:sz w:val="24"/>
          <w:szCs w:val="24"/>
          <w:lang w:val="en-GB"/>
        </w:rPr>
        <w:t xml:space="preserve"> the dynamic imaging criteria</w:t>
      </w:r>
      <w:r w:rsidR="001F4BDF"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{"citationItems":[{"id":"ITEM-1","itemData":{"DOI":"10.1136/gut.2009.187286","ISSN":"1468-3288","PMID":"19951909","abstract":"BACKGROUND Contrast-enhanced ultrasound (CE-US), contrast CT scan and gadolinium dynamic MRI are recommended for the characterisation of liver nodules detected during surveillance of patients with cirrhosis with US. AIM To assess the sensitivity, specificity, diagnostic accuracy and economic impact of all possible sequential combinations of contrast imaging techniques in patients with cirrhosis with 1-2 cm liver nodules undergoing US surveillance. PATIENTS/METHODS 64 patients with 67 de novo liver nodules (55 with a size of 1-2 cm) were consecutively examined by CE-US, CT, MRI, and a fine-needle biopsy (FNB) as diagnostic standard. Undiagnosed nodules were re-biopsied; non-malignant nodules underwent enhanced imaging follow-up. The typical radiological feature of hepatocellular carcinoma (HCC) was arterial phase hypervascularisation followed by portal/venous phase washout. RESULTS HCC was diagnosed in 44 (66%) nodules (2, &lt;1 cm; 34, 1-2 cm; 8, &gt;2 cm). The sensitivity of CE-US, CT and MRI for 1-2 cm HCC was 26, 44 and 44%, with 100% specificity, the typical vascular pattern of HCC being identified in 22 (65%) by a single technique versus 12 (35%) by at least two techniques carried out at the same time point (p=0.028). Compared with the cheapest dual examination (CE-US+CT), the cheapest single technique of stepwise imaging diagnosis of HCC was equally expensive (euro 26 440 vs euro 28 667), but led to a 23% reduction of FNB procedures (p=0.031). CONCLUSIONS In patients with cirrhosis with a 1-2 cm nodule detected during surveillance, a single imaging technique showing a typical contrast pattern confidently permits the diagnosis of HCC, thereby reducing the need for FNB examinations.","author":[{"dropping-particle":"","family":"Sangiovanni","given":"Angelo","non-dropping-particle":"","parse-names":false,"suffix":""},{"dropping-particle":"","family":"Manini","given":"Matteo A","non-dropping-particle":"","parse-names":false,"suffix":""},{"dropping-particle":"","family":"Iavarone","given":"Massimo","non-dropping-particle":"","parse-names":false,"suffix":""},{"dropping-particle":"","family":"Romeo","given":"Raffaella","non-dropping-particle":"","parse-names":false,"suffix":""},{"dropping-particle":"V","family":"Forzenigo","given":"Laura","non-dropping-particle":"","parse-names":false,"suffix":""},{"dropping-particle":"","family":"Fraquelli","given":"Mirella","non-dropping-particle":"","parse-names":false,"suffix":""},{"dropping-particle":"","family":"Massironi","given":"Sara","non-dropping-particle":"","parse-names":false,"suffix":""},{"dropping-particle":"","family":"Corte","given":"Cristina","non-dropping-particle":"Della","parse-names":false,"suffix":""},{"dropping-particle":"","family":"Ronchi","given":"Guido","non-dropping-particle":"","parse-names":false,"suffix":""},{"dropping-particle":"","family":"Rumi","given":"Maria Grazia","non-dropping-particle":"","parse-names":false,"suffix":""},{"dropping-particle":"","family":"Biondetti","given":"Piero","non-dropping-particle":"","parse-names":false,"suffix":""},{"dropping-particle":"","family":"Colombo","given":"Massimo","non-dropping-particle":"","parse-names":false,"suffix":""}],"container-title":"Gut","id":"ITEM-1","issue":"5","issued":{"date-parts":[["2010","5"]]},"page":"638-44","publisher":"BMJ Publishing Group","title":"The diagnostic and economic impact of contrast imaging techniques in the diagnosis of small hepatocellular carcinoma in cirrhosis.","type":"article-journal","volume":"59"},"uris":["http://www.mendeley.com/documents/?uuid=fc2f5ee2-0d7b-328f-bd09-13551eecb903","http://www.mendeley.com/documents/?uuid=0cff5880-2bb5-4d49-bba0-7acfe368b47d"]}],"mendeley":{"formattedCitation":"[11]","plainTextFormattedCitation":"[11]","previouslyFormattedCitation":"&lt;sup&gt;11&lt;/sup&gt;"},"properties":{"noteIndex":0},"schema":"https://github.com/citation-style-language/schema/raw/master/csl-citation.json"}</w:instrText>
      </w:r>
      <w:r w:rsidR="001F4BDF"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[11]</w:t>
      </w:r>
      <w:r w:rsidR="001F4BDF" w:rsidRPr="00AC50FA">
        <w:rPr>
          <w:rFonts w:ascii="Book Antiqua" w:hAnsi="Book Antiqua"/>
          <w:color w:val="000000" w:themeColor="text1"/>
          <w:sz w:val="24"/>
          <w:szCs w:val="24"/>
          <w:vertAlign w:val="superscript"/>
          <w:lang w:val="en-GB"/>
        </w:rPr>
        <w:fldChar w:fldCharType="end"/>
      </w:r>
      <w:r w:rsidR="002D5AFA" w:rsidRPr="00AC50FA">
        <w:rPr>
          <w:rFonts w:ascii="Book Antiqua" w:hAnsi="Book Antiqua"/>
          <w:color w:val="000000" w:themeColor="text1"/>
          <w:sz w:val="24"/>
          <w:szCs w:val="24"/>
          <w:lang w:val="en-GB"/>
        </w:rPr>
        <w:t xml:space="preserve">. </w:t>
      </w:r>
      <w:r w:rsidR="0079037A" w:rsidRPr="00AC50FA">
        <w:rPr>
          <w:rFonts w:ascii="Book Antiqua" w:hAnsi="Book Antiqua"/>
          <w:color w:val="000000" w:themeColor="text1"/>
          <w:sz w:val="24"/>
          <w:szCs w:val="24"/>
          <w:lang w:val="en-GB"/>
        </w:rPr>
        <w:t xml:space="preserve">The treatment decisions were discussed in a multidisciplinary tumour board among hepatobiliary and </w:t>
      </w:r>
      <w:r w:rsidR="0079037A" w:rsidRPr="00AC50FA">
        <w:rPr>
          <w:rFonts w:ascii="Book Antiqua" w:hAnsi="Book Antiqua"/>
          <w:color w:val="000000" w:themeColor="text1"/>
          <w:sz w:val="24"/>
          <w:szCs w:val="24"/>
          <w:lang w:val="en-GB"/>
        </w:rPr>
        <w:lastRenderedPageBreak/>
        <w:t xml:space="preserve">transplant surgeons, transplant </w:t>
      </w:r>
      <w:r w:rsidR="00F02D81" w:rsidRPr="00AC50FA">
        <w:rPr>
          <w:rFonts w:ascii="Book Antiqua" w:hAnsi="Book Antiqua"/>
          <w:color w:val="000000" w:themeColor="text1"/>
          <w:sz w:val="24"/>
          <w:szCs w:val="24"/>
          <w:lang w:val="en-GB"/>
        </w:rPr>
        <w:t>hepatologists</w:t>
      </w:r>
      <w:r w:rsidR="0079037A" w:rsidRPr="00AC50FA">
        <w:rPr>
          <w:rFonts w:ascii="Book Antiqua" w:hAnsi="Book Antiqua"/>
          <w:color w:val="000000" w:themeColor="text1"/>
          <w:sz w:val="24"/>
          <w:szCs w:val="24"/>
          <w:lang w:val="en-GB"/>
        </w:rPr>
        <w:t>, radiation oncologist</w:t>
      </w:r>
      <w:r w:rsidR="00A52B00" w:rsidRPr="00AC50FA">
        <w:rPr>
          <w:rFonts w:ascii="Book Antiqua" w:hAnsi="Book Antiqua"/>
          <w:color w:val="000000" w:themeColor="text1"/>
          <w:sz w:val="24"/>
          <w:szCs w:val="24"/>
          <w:lang w:val="en-GB"/>
        </w:rPr>
        <w:t>s</w:t>
      </w:r>
      <w:r w:rsidR="0079037A" w:rsidRPr="00AC50FA">
        <w:rPr>
          <w:rFonts w:ascii="Book Antiqua" w:hAnsi="Book Antiqua"/>
          <w:color w:val="000000" w:themeColor="text1"/>
          <w:sz w:val="24"/>
          <w:szCs w:val="24"/>
          <w:lang w:val="en-GB"/>
        </w:rPr>
        <w:t xml:space="preserve"> and medical oncologist</w:t>
      </w:r>
      <w:r w:rsidR="00A52B00" w:rsidRPr="00AC50FA">
        <w:rPr>
          <w:rFonts w:ascii="Book Antiqua" w:hAnsi="Book Antiqua"/>
          <w:color w:val="000000" w:themeColor="text1"/>
          <w:sz w:val="24"/>
          <w:szCs w:val="24"/>
          <w:lang w:val="en-GB"/>
        </w:rPr>
        <w:t>s</w:t>
      </w:r>
      <w:r w:rsidR="0079037A" w:rsidRPr="00AC50FA">
        <w:rPr>
          <w:rFonts w:ascii="Book Antiqua" w:hAnsi="Book Antiqua"/>
          <w:color w:val="000000" w:themeColor="text1"/>
          <w:sz w:val="24"/>
          <w:szCs w:val="24"/>
          <w:lang w:val="en-GB"/>
        </w:rPr>
        <w:t>.</w:t>
      </w:r>
    </w:p>
    <w:p w14:paraId="31328149" w14:textId="77777777"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787FD5FE" w14:textId="4B558C90" w:rsidR="0079037A" w:rsidRPr="00AC50FA" w:rsidRDefault="0079037A"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 xml:space="preserve">Treatment </w:t>
      </w:r>
    </w:p>
    <w:p w14:paraId="219783B3" w14:textId="3497E7EC" w:rsidR="004607CC" w:rsidRPr="00AC50FA" w:rsidRDefault="004607CC"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Eligibility to SBRT were defined by: an Eastern Cooperative Oncology Group performance status </w:t>
      </w:r>
      <w:r w:rsidR="00B41683"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2</w:t>
      </w:r>
      <w:r w:rsidR="00277FDE" w:rsidRPr="00AC50FA">
        <w:rPr>
          <w:rFonts w:ascii="Book Antiqua" w:hAnsi="Book Antiqua"/>
          <w:color w:val="000000" w:themeColor="text1"/>
          <w:sz w:val="24"/>
          <w:szCs w:val="24"/>
          <w:vertAlign w:val="superscript"/>
        </w:rPr>
        <w:fldChar w:fldCharType="begin" w:fldLock="1"/>
      </w:r>
      <w:r w:rsidR="009860B9" w:rsidRPr="00AC50FA">
        <w:rPr>
          <w:rFonts w:ascii="Book Antiqua" w:hAnsi="Book Antiqua"/>
          <w:color w:val="000000" w:themeColor="text1"/>
          <w:sz w:val="24"/>
          <w:szCs w:val="24"/>
          <w:vertAlign w:val="superscript"/>
        </w:rPr>
        <w:instrText>ADDIN CSL_CITATION {"citationItems":[{"id":"ITEM-1","itemData":{"ISSN":"0277-3732","PMID":"7165009","author":[{"dropping-particle":"","family":"Oken","given":"M M","non-dropping-particle":"","parse-names":false,"suffix":""},{"dropping-particle":"","family":"Creech","given":"R H","non-dropping-particle":"","parse-names":false,"suffix":""},{"dropping-particle":"","family":"Tormey","given":"D C","non-dropping-particle":"","parse-names":false,"suffix":""},{"dropping-particle":"","family":"Horton","given":"J","non-dropping-particle":"","parse-names":false,"suffix":""},{"dropping-particle":"","family":"Davis","given":"T E","non-dropping-particle":"","parse-names":false,"suffix":""},{"dropping-particle":"","family":"McFadden","given":"E T","non-dropping-particle":"","parse-names":false,"suffix":""},{"dropping-particle":"","family":"Carbone","given":"P P","non-dropping-particle":"","parse-names":false,"suffix":""}],"container-title":"American journal of clinical oncology","id":"ITEM-1","issue":"6","issued":{"date-parts":[["1982","12"]]},"page":"649-55","title":"Toxicity and response criteria of the Eastern Cooperative Oncology Group.","type":"article-journal","volume":"5"},"uris":["http://www.mendeley.com/documents/?uuid=305deb41-7978-3ee4-8462-732a592abfd6","http://www.mendeley.com/documents/?uuid=8b06241f-ec78-43bf-811c-e8603fa2950a"]}],"mendeley":{"formattedCitation":"[12]","plainTextFormattedCitation":"[12]","previouslyFormattedCitation":"&lt;sup&gt;12&lt;/sup&gt;"},"properties":{"noteIndex":0},"schema":"https://github.com/citation-style-language/schema/raw/master/csl-citation.json"}</w:instrText>
      </w:r>
      <w:r w:rsidR="00277FDE" w:rsidRPr="00AC50FA">
        <w:rPr>
          <w:rFonts w:ascii="Book Antiqua" w:hAnsi="Book Antiqua"/>
          <w:color w:val="000000" w:themeColor="text1"/>
          <w:sz w:val="24"/>
          <w:szCs w:val="24"/>
          <w:vertAlign w:val="superscript"/>
        </w:rPr>
        <w:fldChar w:fldCharType="separate"/>
      </w:r>
      <w:r w:rsidR="009860B9" w:rsidRPr="00AC50FA">
        <w:rPr>
          <w:rFonts w:ascii="Book Antiqua" w:hAnsi="Book Antiqua"/>
          <w:noProof/>
          <w:color w:val="000000" w:themeColor="text1"/>
          <w:sz w:val="24"/>
          <w:szCs w:val="24"/>
          <w:vertAlign w:val="superscript"/>
        </w:rPr>
        <w:t>[12]</w:t>
      </w:r>
      <w:r w:rsidR="00277FDE" w:rsidRPr="00AC50FA">
        <w:rPr>
          <w:rFonts w:ascii="Book Antiqua" w:hAnsi="Book Antiqua"/>
          <w:color w:val="000000" w:themeColor="text1"/>
          <w:sz w:val="24"/>
          <w:szCs w:val="24"/>
          <w:vertAlign w:val="superscript"/>
        </w:rPr>
        <w:fldChar w:fldCharType="end"/>
      </w:r>
      <w:r w:rsidRPr="00AC50FA">
        <w:rPr>
          <w:rFonts w:ascii="Book Antiqua" w:hAnsi="Book Antiqua"/>
          <w:color w:val="000000" w:themeColor="text1"/>
          <w:sz w:val="24"/>
          <w:szCs w:val="24"/>
        </w:rPr>
        <w:t>; uninvolved liver graft volume &gt; 700</w:t>
      </w:r>
      <w:r w:rsidR="00B41683"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m</w:t>
      </w:r>
      <w:r w:rsidR="00B41683" w:rsidRPr="00AC50FA">
        <w:rPr>
          <w:rFonts w:ascii="Book Antiqua" w:hAnsi="Book Antiqua"/>
          <w:color w:val="000000" w:themeColor="text1"/>
          <w:sz w:val="24"/>
          <w:szCs w:val="24"/>
        </w:rPr>
        <w:t>L</w:t>
      </w:r>
      <w:r w:rsidRPr="00AC50FA">
        <w:rPr>
          <w:rFonts w:ascii="Book Antiqua" w:hAnsi="Book Antiqua"/>
          <w:color w:val="000000" w:themeColor="text1"/>
          <w:sz w:val="24"/>
          <w:szCs w:val="24"/>
        </w:rPr>
        <w:t>; adequate graft function</w:t>
      </w:r>
      <w:r w:rsidRPr="00AC50FA">
        <w:rPr>
          <w:rFonts w:ascii="Book Antiqua" w:hAnsi="Book Antiqua"/>
          <w:i/>
          <w:iCs/>
          <w:color w:val="000000" w:themeColor="text1"/>
          <w:sz w:val="24"/>
          <w:szCs w:val="24"/>
        </w:rPr>
        <w:t xml:space="preserve"> i.e.</w:t>
      </w:r>
      <w:r w:rsidR="00B41683" w:rsidRPr="00AC50FA">
        <w:rPr>
          <w:rFonts w:ascii="Book Antiqua" w:hAnsi="Book Antiqua"/>
          <w:color w:val="000000" w:themeColor="text1"/>
          <w:sz w:val="24"/>
          <w:szCs w:val="24"/>
        </w:rPr>
        <w:t>,</w:t>
      </w:r>
      <w:r w:rsidRPr="00AC50FA">
        <w:rPr>
          <w:rFonts w:ascii="Book Antiqua" w:hAnsi="Book Antiqua"/>
          <w:color w:val="000000" w:themeColor="text1"/>
          <w:sz w:val="24"/>
          <w:szCs w:val="24"/>
        </w:rPr>
        <w:t xml:space="preserve"> </w:t>
      </w:r>
      <w:r w:rsidR="00B41683" w:rsidRPr="00AC50FA">
        <w:rPr>
          <w:rFonts w:ascii="Book Antiqua" w:hAnsi="Book Antiqua"/>
          <w:color w:val="000000" w:themeColor="text1"/>
          <w:sz w:val="24"/>
          <w:szCs w:val="24"/>
        </w:rPr>
        <w:t>international normalized ratio</w:t>
      </w:r>
      <w:r w:rsidRPr="00AC50FA">
        <w:rPr>
          <w:rFonts w:ascii="Book Antiqua" w:hAnsi="Book Antiqua"/>
          <w:color w:val="000000" w:themeColor="text1"/>
          <w:sz w:val="24"/>
          <w:szCs w:val="24"/>
        </w:rPr>
        <w:t xml:space="preserve"> (INR) &lt;</w:t>
      </w:r>
      <w:r w:rsidR="00B41683"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1.7, alanine aminotransferase</w:t>
      </w:r>
      <w:r w:rsidR="002010A1"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and aspartate aminotransferase &lt; 2.5 times upper limit of normal, with no ascites or hepatic encephalopathy</w:t>
      </w:r>
      <w:r w:rsidR="00DC0CDC" w:rsidRPr="00AC50FA">
        <w:rPr>
          <w:rFonts w:ascii="Book Antiqua" w:hAnsi="Book Antiqua"/>
          <w:color w:val="000000" w:themeColor="text1"/>
          <w:sz w:val="24"/>
          <w:szCs w:val="24"/>
        </w:rPr>
        <w:t xml:space="preserve"> and</w:t>
      </w:r>
      <w:r w:rsidRPr="00AC50FA">
        <w:rPr>
          <w:rFonts w:ascii="Book Antiqua" w:hAnsi="Book Antiqua"/>
          <w:color w:val="000000" w:themeColor="text1"/>
          <w:sz w:val="24"/>
          <w:szCs w:val="24"/>
        </w:rPr>
        <w:t xml:space="preserve"> adequate renal function with creatinine &lt;</w:t>
      </w:r>
      <w:r w:rsidR="002010A1"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 xml:space="preserve">1.5 times upper limit of normal, </w:t>
      </w:r>
      <w:r w:rsidR="002010A1" w:rsidRPr="00AC50FA">
        <w:rPr>
          <w:rFonts w:ascii="Book Antiqua" w:hAnsi="Book Antiqua"/>
          <w:color w:val="000000" w:themeColor="text1"/>
          <w:sz w:val="24"/>
          <w:szCs w:val="24"/>
        </w:rPr>
        <w:t xml:space="preserve">the </w:t>
      </w:r>
      <w:r w:rsidRPr="00AC50FA">
        <w:rPr>
          <w:rFonts w:ascii="Book Antiqua" w:hAnsi="Book Antiqua"/>
          <w:color w:val="000000" w:themeColor="text1"/>
          <w:sz w:val="24"/>
          <w:szCs w:val="24"/>
        </w:rPr>
        <w:t xml:space="preserve">number of </w:t>
      </w:r>
      <w:proofErr w:type="spellStart"/>
      <w:r w:rsidRPr="00AC50FA">
        <w:rPr>
          <w:rFonts w:ascii="Book Antiqua" w:hAnsi="Book Antiqua"/>
          <w:color w:val="000000" w:themeColor="text1"/>
          <w:sz w:val="24"/>
          <w:szCs w:val="24"/>
        </w:rPr>
        <w:t>tumour</w:t>
      </w:r>
      <w:proofErr w:type="spellEnd"/>
      <w:r w:rsidRPr="00AC50FA">
        <w:rPr>
          <w:rFonts w:ascii="Book Antiqua" w:hAnsi="Book Antiqua"/>
          <w:color w:val="000000" w:themeColor="text1"/>
          <w:sz w:val="24"/>
          <w:szCs w:val="24"/>
        </w:rPr>
        <w:t xml:space="preserve"> was limited to 5. </w:t>
      </w:r>
    </w:p>
    <w:p w14:paraId="74D07500" w14:textId="1F70D1EA" w:rsidR="0099156C" w:rsidRPr="00AC50FA" w:rsidRDefault="00A56463" w:rsidP="00AC50FA">
      <w:pPr>
        <w:snapToGrid w:val="0"/>
        <w:spacing w:after="0" w:line="360" w:lineRule="auto"/>
        <w:ind w:firstLineChars="100" w:firstLine="240"/>
        <w:jc w:val="both"/>
        <w:rPr>
          <w:rFonts w:ascii="Book Antiqua" w:hAnsi="Book Antiqua"/>
          <w:strike/>
          <w:color w:val="000000" w:themeColor="text1"/>
          <w:sz w:val="24"/>
          <w:szCs w:val="24"/>
        </w:rPr>
      </w:pPr>
      <w:r w:rsidRPr="00AC50FA">
        <w:rPr>
          <w:rFonts w:ascii="Book Antiqua" w:hAnsi="Book Antiqua"/>
          <w:color w:val="000000" w:themeColor="text1"/>
          <w:sz w:val="24"/>
          <w:szCs w:val="24"/>
        </w:rPr>
        <w:t>T</w:t>
      </w:r>
      <w:r w:rsidR="004607CC" w:rsidRPr="00AC50FA">
        <w:rPr>
          <w:rFonts w:ascii="Book Antiqua" w:hAnsi="Book Antiqua"/>
          <w:color w:val="000000" w:themeColor="text1"/>
          <w:sz w:val="24"/>
          <w:szCs w:val="24"/>
        </w:rPr>
        <w:t>umour location and volume</w:t>
      </w:r>
      <w:r w:rsidRPr="00AC50FA">
        <w:rPr>
          <w:rFonts w:ascii="Book Antiqua" w:hAnsi="Book Antiqua"/>
          <w:color w:val="000000" w:themeColor="text1"/>
          <w:sz w:val="24"/>
          <w:szCs w:val="24"/>
        </w:rPr>
        <w:t xml:space="preserve"> were assessed with contrast </w:t>
      </w:r>
      <w:r w:rsidR="002010A1" w:rsidRPr="00AC50FA">
        <w:rPr>
          <w:rFonts w:ascii="Book Antiqua" w:hAnsi="Book Antiqua"/>
          <w:color w:val="000000" w:themeColor="text1"/>
          <w:sz w:val="24"/>
          <w:szCs w:val="24"/>
          <w:lang w:eastAsia="zh-CN"/>
        </w:rPr>
        <w:t xml:space="preserve">computed tomography </w:t>
      </w:r>
      <w:r w:rsidRPr="00AC50FA">
        <w:rPr>
          <w:rFonts w:ascii="Book Antiqua" w:hAnsi="Book Antiqua"/>
          <w:color w:val="000000" w:themeColor="text1"/>
          <w:sz w:val="24"/>
          <w:szCs w:val="24"/>
        </w:rPr>
        <w:t>scan</w:t>
      </w:r>
      <w:r w:rsidR="004607CC" w:rsidRPr="00AC50FA">
        <w:rPr>
          <w:rFonts w:ascii="Book Antiqua" w:hAnsi="Book Antiqua"/>
          <w:color w:val="000000" w:themeColor="text1"/>
          <w:sz w:val="24"/>
          <w:szCs w:val="24"/>
        </w:rPr>
        <w:t xml:space="preserve">. The volume of uninvolved liver graft and other organs at risk were also assessed. Four-dimensional images were acquired using Philips Bellows </w:t>
      </w:r>
      <w:proofErr w:type="spellStart"/>
      <w:r w:rsidR="004607CC" w:rsidRPr="00AC50FA">
        <w:rPr>
          <w:rFonts w:ascii="Book Antiqua" w:hAnsi="Book Antiqua"/>
          <w:color w:val="000000" w:themeColor="text1"/>
          <w:sz w:val="24"/>
          <w:szCs w:val="24"/>
        </w:rPr>
        <w:t>Device</w:t>
      </w:r>
      <w:r w:rsidR="004607CC" w:rsidRPr="00AC50FA">
        <w:rPr>
          <w:rFonts w:ascii="Book Antiqua" w:hAnsi="Book Antiqua"/>
          <w:color w:val="000000" w:themeColor="text1"/>
          <w:sz w:val="24"/>
          <w:szCs w:val="24"/>
          <w:vertAlign w:val="superscript"/>
        </w:rPr>
        <w:t>TM</w:t>
      </w:r>
      <w:proofErr w:type="spellEnd"/>
      <w:r w:rsidR="004607CC" w:rsidRPr="00AC50FA">
        <w:rPr>
          <w:rFonts w:ascii="Book Antiqua" w:hAnsi="Book Antiqua"/>
          <w:color w:val="000000" w:themeColor="text1"/>
          <w:sz w:val="24"/>
          <w:szCs w:val="24"/>
        </w:rPr>
        <w:t xml:space="preserve"> (Philips Medical Systems, Cleveland,</w:t>
      </w:r>
      <w:r w:rsidR="002010A1" w:rsidRPr="00AC50FA">
        <w:rPr>
          <w:rFonts w:ascii="Book Antiqua" w:hAnsi="Book Antiqua"/>
          <w:color w:val="000000" w:themeColor="text1"/>
          <w:sz w:val="24"/>
          <w:szCs w:val="24"/>
        </w:rPr>
        <w:t xml:space="preserve"> </w:t>
      </w:r>
      <w:r w:rsidR="002010A1" w:rsidRPr="00AC50FA">
        <w:rPr>
          <w:rFonts w:ascii="Book Antiqua" w:hAnsi="Book Antiqua"/>
          <w:color w:val="000000" w:themeColor="text1"/>
          <w:sz w:val="24"/>
          <w:szCs w:val="24"/>
          <w:lang w:eastAsia="zh-CN"/>
        </w:rPr>
        <w:t>OH,</w:t>
      </w:r>
      <w:r w:rsidR="004607CC" w:rsidRPr="00AC50FA">
        <w:rPr>
          <w:rFonts w:ascii="Book Antiqua" w:hAnsi="Book Antiqua"/>
          <w:color w:val="000000" w:themeColor="text1"/>
          <w:sz w:val="24"/>
          <w:szCs w:val="24"/>
        </w:rPr>
        <w:t xml:space="preserve"> </w:t>
      </w:r>
      <w:r w:rsidR="002010A1" w:rsidRPr="00AC50FA">
        <w:rPr>
          <w:rFonts w:ascii="Book Antiqua" w:hAnsi="Book Antiqua"/>
          <w:color w:val="000000" w:themeColor="text1"/>
          <w:sz w:val="24"/>
          <w:szCs w:val="24"/>
          <w:lang w:eastAsia="zh-CN"/>
        </w:rPr>
        <w:t>United States</w:t>
      </w:r>
      <w:r w:rsidR="004607CC" w:rsidRPr="00AC50FA">
        <w:rPr>
          <w:rFonts w:ascii="Book Antiqua" w:hAnsi="Book Antiqua"/>
          <w:color w:val="000000" w:themeColor="text1"/>
          <w:sz w:val="24"/>
          <w:szCs w:val="24"/>
        </w:rPr>
        <w:t xml:space="preserve">) to synchronize respiratory motion. </w:t>
      </w:r>
      <w:r w:rsidR="004607CC" w:rsidRPr="00AC50FA">
        <w:rPr>
          <w:rFonts w:ascii="Book Antiqua" w:eastAsia="Calibri" w:hAnsi="Book Antiqua" w:cs="Calibri"/>
          <w:color w:val="000000" w:themeColor="text1"/>
          <w:sz w:val="24"/>
          <w:szCs w:val="24"/>
        </w:rPr>
        <w:t>Gross tumor volume is defined as HCC focus that is visualized on contrast imaging</w:t>
      </w:r>
      <w:r w:rsidR="004607CC" w:rsidRPr="00AC50FA">
        <w:rPr>
          <w:rFonts w:ascii="Book Antiqua" w:hAnsi="Book Antiqua"/>
          <w:color w:val="000000" w:themeColor="text1"/>
          <w:sz w:val="24"/>
          <w:szCs w:val="24"/>
        </w:rPr>
        <w:t xml:space="preserve">. </w:t>
      </w:r>
      <w:r w:rsidR="004607CC" w:rsidRPr="00AC50FA">
        <w:rPr>
          <w:rFonts w:ascii="Book Antiqua" w:eastAsia="Calibri" w:hAnsi="Book Antiqua" w:cs="Calibri"/>
          <w:color w:val="000000" w:themeColor="text1"/>
          <w:sz w:val="24"/>
          <w:szCs w:val="24"/>
        </w:rPr>
        <w:t xml:space="preserve">Individualized margin will be added to </w:t>
      </w:r>
      <w:r w:rsidR="002010A1" w:rsidRPr="00AC50FA">
        <w:rPr>
          <w:rFonts w:ascii="Book Antiqua" w:eastAsia="Calibri" w:hAnsi="Book Antiqua" w:cs="Calibri"/>
          <w:color w:val="000000" w:themeColor="text1"/>
          <w:sz w:val="24"/>
          <w:szCs w:val="24"/>
        </w:rPr>
        <w:t xml:space="preserve">gross tumor volume </w:t>
      </w:r>
      <w:r w:rsidR="004607CC" w:rsidRPr="00AC50FA">
        <w:rPr>
          <w:rFonts w:ascii="Book Antiqua" w:eastAsia="Calibri" w:hAnsi="Book Antiqua" w:cs="Calibri"/>
          <w:color w:val="000000" w:themeColor="text1"/>
          <w:sz w:val="24"/>
          <w:szCs w:val="24"/>
        </w:rPr>
        <w:t xml:space="preserve">to form the planning target volume to compensate for </w:t>
      </w:r>
      <w:r w:rsidR="004607CC" w:rsidRPr="00AC50FA">
        <w:rPr>
          <w:rFonts w:ascii="Book Antiqua" w:hAnsi="Book Antiqua"/>
          <w:color w:val="000000" w:themeColor="text1"/>
          <w:sz w:val="24"/>
          <w:szCs w:val="24"/>
        </w:rPr>
        <w:t xml:space="preserve">respiratory motions. We prescribe the dose according to </w:t>
      </w:r>
      <w:r w:rsidR="00595E7F" w:rsidRPr="00AC50FA">
        <w:rPr>
          <w:rFonts w:ascii="Book Antiqua" w:hAnsi="Book Antiqua"/>
          <w:color w:val="000000" w:themeColor="text1"/>
          <w:sz w:val="24"/>
          <w:szCs w:val="24"/>
        </w:rPr>
        <w:t xml:space="preserve">Radiation Therapy Oncology Group </w:t>
      </w:r>
      <w:r w:rsidR="004607CC" w:rsidRPr="00AC50FA">
        <w:rPr>
          <w:rFonts w:ascii="Book Antiqua" w:hAnsi="Book Antiqua"/>
          <w:color w:val="000000" w:themeColor="text1"/>
          <w:sz w:val="24"/>
          <w:szCs w:val="24"/>
        </w:rPr>
        <w:t>1112 protocol</w:t>
      </w:r>
      <w:r w:rsidR="00F02D81" w:rsidRPr="00AC50FA">
        <w:rPr>
          <w:rFonts w:ascii="Book Antiqua" w:hAnsi="Book Antiqua"/>
          <w:color w:val="000000" w:themeColor="text1"/>
          <w:sz w:val="24"/>
          <w:szCs w:val="24"/>
          <w:vertAlign w:val="superscript"/>
        </w:rPr>
        <w:fldChar w:fldCharType="begin" w:fldLock="1"/>
      </w:r>
      <w:r w:rsidR="009860B9" w:rsidRPr="00AC50FA">
        <w:rPr>
          <w:rFonts w:ascii="Book Antiqua" w:hAnsi="Book Antiqua"/>
          <w:color w:val="000000" w:themeColor="text1"/>
          <w:sz w:val="24"/>
          <w:szCs w:val="24"/>
          <w:vertAlign w:val="superscript"/>
        </w:rPr>
        <w:instrText>ADDIN CSL_CITATION {"citationItems":[{"id":"ITEM-1","itemData":{"ISBN":"7184058550","author":[{"dropping-particle":"","family":"Dawson","given":"Laura A","non-dropping-particle":"","parse-names":false,"suffix":""},{"dropping-particle":"","family":"Hospital","given":"Princess Margaret","non-dropping-particle":"","parse-names":false,"suffix":""},{"dropping-particle":"","family":"Zhu","given":"Andrew","non-dropping-particle":"","parse-names":false,"suffix":""},{"dropping-particle":"","family":"Oncology Co-Chair","given":"Medical","non-dropping-particle":"","parse-names":false,"suffix":""},{"dropping-particle":"","family":"Knox","given":"Jennifer","non-dropping-particle":"","parse-names":false,"suffix":""},{"dropping-particle":"","family":"Hospital","given":"Margaret","non-dropping-particle":"","parse-names":false,"suffix":""},{"dropping-particle":"","family":"Co-Chair","given":"Physics","non-dropping-particle":"","parse-names":false,"suffix":""},{"dropping-particle":"","family":"Craig","given":"Tim","non-dropping-particle":"","parse-names":false,"suffix":""},{"dropping-particle":"","family":"Gillin","given":"Michael T","non-dropping-particle":"","parse-names":false,"suffix":""},{"dropping-particle":"","family":"Statistician","given":"Senior","non-dropping-particle":"","parse-names":false,"suffix":""},{"dropping-particle":"","family":"Winter","given":"Kathryn","non-dropping-particle":"","parse-names":false,"suffix":""}],"id":"ITEM-1","issued":{"date-parts":[["1112"]]},"title":"RADIATION THERAPY ONCOLOGY GROUP RTOG 1112 RANDOMIZED PHASE III STUDY OF SORAFENIB VERSUS STEREOTACTIC BODY RADIATION THERAPY FOLLOWED BY SORAFENIB IN HEPATOCELLULAR CARCINOMA Study Team (4/24/13) Principal Investigator/Radiation Oncology","type":"report"},"uris":["http://www.mendeley.com/documents/?uuid=0fc2066b-e3cd-3207-9b40-72b151af6651","http://www.mendeley.com/documents/?uuid=54cb807a-f740-4c74-aee0-b661c9f6e66c"]}],"mendeley":{"formattedCitation":"[13]","plainTextFormattedCitation":"[13]","previouslyFormattedCitation":"&lt;sup&gt;13&lt;/sup&gt;"},"properties":{"noteIndex":0},"schema":"https://github.com/citation-style-language/schema/raw/master/csl-citation.json"}</w:instrText>
      </w:r>
      <w:r w:rsidR="00F02D81" w:rsidRPr="00AC50FA">
        <w:rPr>
          <w:rFonts w:ascii="Book Antiqua" w:hAnsi="Book Antiqua"/>
          <w:color w:val="000000" w:themeColor="text1"/>
          <w:sz w:val="24"/>
          <w:szCs w:val="24"/>
          <w:vertAlign w:val="superscript"/>
        </w:rPr>
        <w:fldChar w:fldCharType="separate"/>
      </w:r>
      <w:r w:rsidR="009860B9" w:rsidRPr="00AC50FA">
        <w:rPr>
          <w:rFonts w:ascii="Book Antiqua" w:hAnsi="Book Antiqua"/>
          <w:noProof/>
          <w:color w:val="000000" w:themeColor="text1"/>
          <w:sz w:val="24"/>
          <w:szCs w:val="24"/>
          <w:vertAlign w:val="superscript"/>
        </w:rPr>
        <w:t>[13]</w:t>
      </w:r>
      <w:r w:rsidR="00F02D81" w:rsidRPr="00AC50FA">
        <w:rPr>
          <w:rFonts w:ascii="Book Antiqua" w:hAnsi="Book Antiqua"/>
          <w:color w:val="000000" w:themeColor="text1"/>
          <w:sz w:val="24"/>
          <w:szCs w:val="24"/>
          <w:vertAlign w:val="superscript"/>
        </w:rPr>
        <w:fldChar w:fldCharType="end"/>
      </w:r>
      <w:r w:rsidR="00F02D81" w:rsidRPr="00AC50FA">
        <w:rPr>
          <w:rFonts w:ascii="Book Antiqua" w:hAnsi="Book Antiqua"/>
          <w:color w:val="000000" w:themeColor="text1"/>
          <w:sz w:val="24"/>
          <w:szCs w:val="24"/>
        </w:rPr>
        <w:t>.</w:t>
      </w:r>
      <w:r w:rsidR="004607CC" w:rsidRPr="00AC50FA">
        <w:rPr>
          <w:rFonts w:ascii="Book Antiqua" w:hAnsi="Book Antiqua"/>
          <w:color w:val="000000" w:themeColor="text1"/>
          <w:sz w:val="24"/>
          <w:szCs w:val="24"/>
        </w:rPr>
        <w:t xml:space="preserve"> </w:t>
      </w:r>
      <w:r w:rsidR="009E3384" w:rsidRPr="00AC50FA">
        <w:rPr>
          <w:rFonts w:ascii="Book Antiqua" w:hAnsi="Book Antiqua"/>
          <w:color w:val="000000" w:themeColor="text1"/>
          <w:sz w:val="24"/>
          <w:szCs w:val="24"/>
        </w:rPr>
        <w:t xml:space="preserve">Stereotactic planning </w:t>
      </w:r>
      <w:r w:rsidR="00524A81" w:rsidRPr="00AC50FA">
        <w:rPr>
          <w:rFonts w:ascii="Book Antiqua" w:hAnsi="Book Antiqua"/>
          <w:color w:val="000000" w:themeColor="text1"/>
          <w:sz w:val="24"/>
          <w:szCs w:val="24"/>
        </w:rPr>
        <w:t>was performed to minimize collateral radiation to the surrounding organs-at risk including the normal liver graft, esophagus, heart, stomach, duodenum, small bowel, large bowel, kidneys, gallbladder, common bile duct, and spinal cor</w:t>
      </w:r>
      <w:r w:rsidR="008C19F0" w:rsidRPr="00AC50FA">
        <w:rPr>
          <w:rFonts w:ascii="Book Antiqua" w:hAnsi="Book Antiqua"/>
          <w:color w:val="000000" w:themeColor="text1"/>
          <w:sz w:val="24"/>
          <w:szCs w:val="24"/>
        </w:rPr>
        <w:t>d</w:t>
      </w:r>
      <w:r w:rsidR="00524A81" w:rsidRPr="00AC50FA">
        <w:rPr>
          <w:rFonts w:ascii="Book Antiqua" w:hAnsi="Book Antiqua"/>
          <w:color w:val="000000" w:themeColor="text1"/>
          <w:sz w:val="24"/>
          <w:szCs w:val="24"/>
        </w:rPr>
        <w:t>.</w:t>
      </w:r>
      <w:r w:rsidR="009E3384" w:rsidRPr="00AC50FA">
        <w:rPr>
          <w:rFonts w:ascii="Book Antiqua" w:hAnsi="Book Antiqua"/>
          <w:color w:val="000000" w:themeColor="text1"/>
          <w:sz w:val="24"/>
          <w:szCs w:val="24"/>
        </w:rPr>
        <w:t xml:space="preserve"> </w:t>
      </w:r>
      <w:r w:rsidR="004607CC" w:rsidRPr="00AC50FA">
        <w:rPr>
          <w:rFonts w:ascii="Book Antiqua" w:hAnsi="Book Antiqua"/>
          <w:color w:val="000000" w:themeColor="text1"/>
          <w:sz w:val="24"/>
          <w:szCs w:val="24"/>
        </w:rPr>
        <w:t>The final dose is determined such that a maximum tumoricidal dose can be delivered to tumors while respecting the tolerance dose of organs-at-</w:t>
      </w:r>
      <w:r w:rsidR="00E819CA" w:rsidRPr="00AC50FA">
        <w:rPr>
          <w:rFonts w:ascii="Book Antiqua" w:hAnsi="Book Antiqua"/>
          <w:color w:val="000000" w:themeColor="text1"/>
          <w:sz w:val="24"/>
          <w:szCs w:val="24"/>
        </w:rPr>
        <w:t>risk</w:t>
      </w:r>
      <w:r w:rsidR="004607CC" w:rsidRPr="00AC50FA">
        <w:rPr>
          <w:rFonts w:ascii="Book Antiqua" w:hAnsi="Book Antiqua"/>
          <w:color w:val="000000" w:themeColor="text1"/>
          <w:sz w:val="24"/>
          <w:szCs w:val="24"/>
        </w:rPr>
        <w:t xml:space="preserve">. </w:t>
      </w:r>
      <w:r w:rsidR="000431A8" w:rsidRPr="00AC50FA">
        <w:rPr>
          <w:rFonts w:ascii="Book Antiqua" w:hAnsi="Book Antiqua"/>
          <w:color w:val="000000" w:themeColor="text1"/>
          <w:sz w:val="24"/>
          <w:szCs w:val="24"/>
        </w:rPr>
        <w:t xml:space="preserve">Dose prescription </w:t>
      </w:r>
      <w:r w:rsidR="0004251B" w:rsidRPr="00AC50FA">
        <w:rPr>
          <w:rFonts w:ascii="Book Antiqua" w:hAnsi="Book Antiqua"/>
          <w:color w:val="000000" w:themeColor="text1"/>
          <w:sz w:val="24"/>
          <w:szCs w:val="24"/>
        </w:rPr>
        <w:t xml:space="preserve">was based on the volume of normal tissue irradiated </w:t>
      </w:r>
      <w:r w:rsidR="00326C94" w:rsidRPr="00AC50FA">
        <w:rPr>
          <w:rFonts w:ascii="Book Antiqua" w:hAnsi="Book Antiqua"/>
          <w:color w:val="000000" w:themeColor="text1"/>
          <w:sz w:val="24"/>
          <w:szCs w:val="24"/>
        </w:rPr>
        <w:t xml:space="preserve">and the </w:t>
      </w:r>
      <w:r w:rsidR="005B4BEE" w:rsidRPr="00AC50FA">
        <w:rPr>
          <w:rFonts w:ascii="Book Antiqua" w:hAnsi="Book Antiqua"/>
          <w:color w:val="000000" w:themeColor="text1"/>
          <w:sz w:val="24"/>
          <w:szCs w:val="24"/>
        </w:rPr>
        <w:t xml:space="preserve">volume of the </w:t>
      </w:r>
      <w:r w:rsidR="00326C94" w:rsidRPr="00AC50FA">
        <w:rPr>
          <w:rFonts w:ascii="Book Antiqua" w:hAnsi="Book Antiqua"/>
          <w:color w:val="000000" w:themeColor="text1"/>
          <w:sz w:val="24"/>
          <w:szCs w:val="24"/>
        </w:rPr>
        <w:t xml:space="preserve">target. </w:t>
      </w:r>
      <w:r w:rsidR="00B94653" w:rsidRPr="00AC50FA">
        <w:rPr>
          <w:rFonts w:ascii="Book Antiqua" w:hAnsi="Book Antiqua"/>
          <w:color w:val="000000" w:themeColor="text1"/>
          <w:sz w:val="24"/>
          <w:szCs w:val="24"/>
        </w:rPr>
        <w:t xml:space="preserve">A total dose </w:t>
      </w:r>
      <w:r w:rsidR="005C3ABC" w:rsidRPr="00AC50FA">
        <w:rPr>
          <w:rFonts w:ascii="Book Antiqua" w:hAnsi="Book Antiqua"/>
          <w:color w:val="000000" w:themeColor="text1"/>
          <w:sz w:val="24"/>
          <w:szCs w:val="24"/>
        </w:rPr>
        <w:t>of</w:t>
      </w:r>
      <w:r w:rsidR="00B94653" w:rsidRPr="00AC50FA">
        <w:rPr>
          <w:rFonts w:ascii="Book Antiqua" w:hAnsi="Book Antiqua"/>
          <w:color w:val="000000" w:themeColor="text1"/>
          <w:sz w:val="24"/>
          <w:szCs w:val="24"/>
        </w:rPr>
        <w:t xml:space="preserve"> 20 to 50</w:t>
      </w:r>
      <w:r w:rsidR="00CF2C01" w:rsidRPr="00AC50FA">
        <w:rPr>
          <w:rFonts w:ascii="Book Antiqua" w:hAnsi="Book Antiqua"/>
          <w:color w:val="000000" w:themeColor="text1"/>
          <w:sz w:val="24"/>
          <w:szCs w:val="24"/>
        </w:rPr>
        <w:t xml:space="preserve"> </w:t>
      </w:r>
      <w:proofErr w:type="spellStart"/>
      <w:r w:rsidR="00B94653" w:rsidRPr="00AC50FA">
        <w:rPr>
          <w:rFonts w:ascii="Book Antiqua" w:hAnsi="Book Antiqua"/>
          <w:color w:val="000000" w:themeColor="text1"/>
          <w:sz w:val="24"/>
          <w:szCs w:val="24"/>
        </w:rPr>
        <w:t>Gy</w:t>
      </w:r>
      <w:proofErr w:type="spellEnd"/>
      <w:r w:rsidR="00B94653" w:rsidRPr="00AC50FA">
        <w:rPr>
          <w:rFonts w:ascii="Book Antiqua" w:hAnsi="Book Antiqua"/>
          <w:color w:val="000000" w:themeColor="text1"/>
          <w:sz w:val="24"/>
          <w:szCs w:val="24"/>
        </w:rPr>
        <w:t xml:space="preserve"> separated in 5 to 6 fractions </w:t>
      </w:r>
      <w:r w:rsidR="00CD5A4B" w:rsidRPr="00AC50FA">
        <w:rPr>
          <w:rFonts w:ascii="Book Antiqua" w:hAnsi="Book Antiqua"/>
          <w:color w:val="000000" w:themeColor="text1"/>
          <w:sz w:val="24"/>
          <w:szCs w:val="24"/>
        </w:rPr>
        <w:t xml:space="preserve">were given </w:t>
      </w:r>
      <w:r w:rsidR="00B94653" w:rsidRPr="00AC50FA">
        <w:rPr>
          <w:rFonts w:ascii="Book Antiqua" w:hAnsi="Book Antiqua"/>
          <w:color w:val="000000" w:themeColor="text1"/>
          <w:sz w:val="24"/>
          <w:szCs w:val="24"/>
        </w:rPr>
        <w:t>over 5 to 14 d.</w:t>
      </w:r>
      <w:r w:rsidR="00514E0B" w:rsidRPr="00AC50FA">
        <w:rPr>
          <w:rFonts w:ascii="Book Antiqua" w:hAnsi="Book Antiqua"/>
          <w:color w:val="000000" w:themeColor="text1"/>
          <w:sz w:val="24"/>
          <w:szCs w:val="24"/>
        </w:rPr>
        <w:t xml:space="preserve"> </w:t>
      </w:r>
      <w:r w:rsidR="00963D2C" w:rsidRPr="00AC50FA">
        <w:rPr>
          <w:rFonts w:ascii="Book Antiqua" w:hAnsi="Book Antiqua"/>
          <w:color w:val="000000" w:themeColor="text1"/>
          <w:sz w:val="24"/>
          <w:szCs w:val="24"/>
        </w:rPr>
        <w:t xml:space="preserve">Photon beam was delivered with respiratory gating </w:t>
      </w:r>
      <w:r w:rsidR="00791E4D" w:rsidRPr="00AC50FA">
        <w:rPr>
          <w:rFonts w:ascii="Book Antiqua" w:hAnsi="Book Antiqua"/>
          <w:color w:val="000000" w:themeColor="text1"/>
          <w:sz w:val="24"/>
          <w:szCs w:val="24"/>
        </w:rPr>
        <w:t>to adjust for ventilatory movements.</w:t>
      </w:r>
      <w:r w:rsidR="00B94653" w:rsidRPr="00AC50FA">
        <w:rPr>
          <w:rFonts w:ascii="Book Antiqua" w:hAnsi="Book Antiqua"/>
          <w:color w:val="000000" w:themeColor="text1"/>
          <w:sz w:val="24"/>
          <w:szCs w:val="24"/>
        </w:rPr>
        <w:t xml:space="preserve"> </w:t>
      </w:r>
      <w:r w:rsidR="00445855" w:rsidRPr="00AC50FA">
        <w:rPr>
          <w:rFonts w:ascii="Book Antiqua" w:hAnsi="Book Antiqua"/>
          <w:color w:val="000000" w:themeColor="text1"/>
          <w:sz w:val="24"/>
          <w:szCs w:val="24"/>
        </w:rPr>
        <w:t>6</w:t>
      </w:r>
      <w:r w:rsidR="005B4BEE" w:rsidRPr="00AC50FA">
        <w:rPr>
          <w:rFonts w:ascii="Book Antiqua" w:hAnsi="Book Antiqua"/>
          <w:color w:val="000000" w:themeColor="text1"/>
          <w:sz w:val="24"/>
          <w:szCs w:val="24"/>
        </w:rPr>
        <w:t>M</w:t>
      </w:r>
      <w:r w:rsidR="00445855" w:rsidRPr="00AC50FA">
        <w:rPr>
          <w:rFonts w:ascii="Book Antiqua" w:hAnsi="Book Antiqua"/>
          <w:color w:val="000000" w:themeColor="text1"/>
          <w:sz w:val="24"/>
          <w:szCs w:val="24"/>
        </w:rPr>
        <w:t>eV photon beam was usually used while 10</w:t>
      </w:r>
      <w:r w:rsidR="002010A1" w:rsidRPr="00AC50FA">
        <w:rPr>
          <w:rFonts w:ascii="Book Antiqua" w:hAnsi="Book Antiqua"/>
          <w:color w:val="000000" w:themeColor="text1"/>
          <w:sz w:val="24"/>
          <w:szCs w:val="24"/>
        </w:rPr>
        <w:t xml:space="preserve"> </w:t>
      </w:r>
      <w:r w:rsidR="00445855" w:rsidRPr="00AC50FA">
        <w:rPr>
          <w:rFonts w:ascii="Book Antiqua" w:hAnsi="Book Antiqua"/>
          <w:color w:val="000000" w:themeColor="text1"/>
          <w:sz w:val="24"/>
          <w:szCs w:val="24"/>
        </w:rPr>
        <w:t xml:space="preserve">MeV beam was used in selected patients </w:t>
      </w:r>
      <w:r w:rsidR="00B94653" w:rsidRPr="00AC50FA">
        <w:rPr>
          <w:rFonts w:ascii="Book Antiqua" w:hAnsi="Book Antiqua"/>
          <w:color w:val="000000" w:themeColor="text1"/>
          <w:sz w:val="24"/>
          <w:szCs w:val="24"/>
        </w:rPr>
        <w:t>for deep</w:t>
      </w:r>
      <w:r w:rsidR="00D626E6" w:rsidRPr="00AC50FA">
        <w:rPr>
          <w:rFonts w:ascii="Book Antiqua" w:hAnsi="Book Antiqua"/>
          <w:color w:val="000000" w:themeColor="text1"/>
          <w:sz w:val="24"/>
          <w:szCs w:val="24"/>
        </w:rPr>
        <w:t>e</w:t>
      </w:r>
      <w:r w:rsidR="00B94653" w:rsidRPr="00AC50FA">
        <w:rPr>
          <w:rFonts w:ascii="Book Antiqua" w:hAnsi="Book Antiqua"/>
          <w:color w:val="000000" w:themeColor="text1"/>
          <w:sz w:val="24"/>
          <w:szCs w:val="24"/>
        </w:rPr>
        <w:t>r penetration and better dose homogeneity.</w:t>
      </w:r>
    </w:p>
    <w:p w14:paraId="53343FAF" w14:textId="5696DE06" w:rsidR="004607CC" w:rsidRPr="00AC50FA" w:rsidRDefault="004607CC"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 </w:t>
      </w:r>
    </w:p>
    <w:p w14:paraId="09DF8ED2" w14:textId="77777777" w:rsidR="004D73C7" w:rsidRPr="00AC50FA" w:rsidRDefault="004D73C7"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 xml:space="preserve">Data collection and outcomes </w:t>
      </w:r>
    </w:p>
    <w:p w14:paraId="6076C882" w14:textId="1742F30E" w:rsidR="004D73C7" w:rsidRPr="00AC50FA" w:rsidRDefault="004D73C7"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lastRenderedPageBreak/>
        <w:t xml:space="preserve">Data was retrieved from a prospectively collected database. Patients were followed-up regularly by the radiation oncologists and transplant surgeons for monitoring graft function, adverse event and treatment response. Blood test was performed for complete blood count, renal and liver function, </w:t>
      </w:r>
      <w:r w:rsidR="002363CB" w:rsidRPr="00AC50FA">
        <w:rPr>
          <w:rFonts w:ascii="Book Antiqua" w:hAnsi="Book Antiqua"/>
          <w:color w:val="000000" w:themeColor="text1"/>
          <w:sz w:val="24"/>
          <w:szCs w:val="24"/>
          <w:lang w:val="en-GB"/>
        </w:rPr>
        <w:t>coagulation studies</w:t>
      </w:r>
      <w:r w:rsidRPr="00AC50FA">
        <w:rPr>
          <w:rFonts w:ascii="Book Antiqua" w:hAnsi="Book Antiqua"/>
          <w:color w:val="000000" w:themeColor="text1"/>
          <w:sz w:val="24"/>
          <w:szCs w:val="24"/>
          <w:lang w:val="en-GB"/>
        </w:rPr>
        <w:t xml:space="preserve"> and alp</w:t>
      </w:r>
      <w:r w:rsidR="007C5927" w:rsidRPr="00AC50FA">
        <w:rPr>
          <w:rFonts w:ascii="Book Antiqua" w:hAnsi="Book Antiqua"/>
          <w:color w:val="000000" w:themeColor="text1"/>
          <w:sz w:val="24"/>
          <w:szCs w:val="24"/>
          <w:lang w:val="en-GB"/>
        </w:rPr>
        <w:t>ha-fetopr</w:t>
      </w:r>
      <w:r w:rsidR="003614C0" w:rsidRPr="00AC50FA">
        <w:rPr>
          <w:rFonts w:ascii="Book Antiqua" w:hAnsi="Book Antiqua"/>
          <w:color w:val="000000" w:themeColor="text1"/>
          <w:sz w:val="24"/>
          <w:szCs w:val="24"/>
          <w:lang w:val="en-GB"/>
        </w:rPr>
        <w:t xml:space="preserve">otein at 2, 4, 8, 12, 26 and 52 </w:t>
      </w:r>
      <w:proofErr w:type="spellStart"/>
      <w:r w:rsidR="003614C0" w:rsidRPr="00AC50FA">
        <w:rPr>
          <w:rFonts w:ascii="Book Antiqua" w:hAnsi="Book Antiqua"/>
          <w:color w:val="000000" w:themeColor="text1"/>
          <w:sz w:val="24"/>
          <w:szCs w:val="24"/>
          <w:lang w:val="en-GB"/>
        </w:rPr>
        <w:t>wk</w:t>
      </w:r>
      <w:proofErr w:type="spellEnd"/>
      <w:r w:rsidRPr="00AC50FA">
        <w:rPr>
          <w:rFonts w:ascii="Book Antiqua" w:hAnsi="Book Antiqua"/>
          <w:color w:val="000000" w:themeColor="text1"/>
          <w:sz w:val="24"/>
          <w:szCs w:val="24"/>
          <w:lang w:val="en-GB"/>
        </w:rPr>
        <w:t xml:space="preserve"> after SBRT. Surveillance imaging was carried out every 3 to 6 </w:t>
      </w:r>
      <w:proofErr w:type="spellStart"/>
      <w:r w:rsidRPr="00AC50FA">
        <w:rPr>
          <w:rFonts w:ascii="Book Antiqua" w:hAnsi="Book Antiqua"/>
          <w:color w:val="000000" w:themeColor="text1"/>
          <w:sz w:val="24"/>
          <w:szCs w:val="24"/>
          <w:lang w:val="en-GB"/>
        </w:rPr>
        <w:t>mo</w:t>
      </w:r>
      <w:proofErr w:type="spellEnd"/>
      <w:r w:rsidRPr="00AC50FA">
        <w:rPr>
          <w:rFonts w:ascii="Book Antiqua" w:hAnsi="Book Antiqua"/>
          <w:color w:val="000000" w:themeColor="text1"/>
          <w:sz w:val="24"/>
          <w:szCs w:val="24"/>
          <w:lang w:val="en-GB"/>
        </w:rPr>
        <w:t xml:space="preserve"> with contrast computed tomography</w:t>
      </w:r>
      <w:r w:rsidR="002010A1"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 xml:space="preserve">or </w:t>
      </w:r>
      <w:proofErr w:type="spellStart"/>
      <w:r w:rsidRPr="00AC50FA">
        <w:rPr>
          <w:rFonts w:ascii="Book Antiqua" w:hAnsi="Book Antiqua"/>
          <w:color w:val="000000" w:themeColor="text1"/>
          <w:sz w:val="24"/>
          <w:szCs w:val="24"/>
          <w:lang w:val="en-GB"/>
        </w:rPr>
        <w:t>primovist</w:t>
      </w:r>
      <w:proofErr w:type="spellEnd"/>
      <w:r w:rsidRPr="00AC50FA">
        <w:rPr>
          <w:rFonts w:ascii="Book Antiqua" w:hAnsi="Book Antiqua"/>
          <w:color w:val="000000" w:themeColor="text1"/>
          <w:sz w:val="24"/>
          <w:szCs w:val="24"/>
          <w:lang w:val="en-GB"/>
        </w:rPr>
        <w:t xml:space="preserve"> enhanced magnetic resonance imaging. Treatment response were evaluated according to the Modified response Evaluation Criteria for Solid Tumours criteria</w:t>
      </w:r>
      <w:r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{"citationItems":[{"id":"ITEM-1","itemData":{"DOI":"10.1055/s-0030-1247132","author":[{"dropping-particle":"","family":"Lencioni","given":"Riccardo","non-dropping-particle":"","parse-names":false,"suffix":""},{"dropping-particle":"","family":"Llovet","given":"Josep M","non-dropping-particle":"","parse-names":false,"suffix":""}],"id":"ITEM-1","issued":{"date-parts":[["0"]]},"title":"Modified RECIST (mRECIST) Assessment for Hepatocellular Carcinoma","type":"article-journal"},"uris":["http://www.mendeley.com/documents/?uuid=af7bd3e4-9c85-304e-827b-e630b8ca2b25","http://www.mendeley.com/documents/?uuid=0b73fd58-5b91-49ff-ab1c-5050224fa871"]}],"mendeley":{"formattedCitation":"[14]","plainTextFormattedCitation":"[14]","previouslyFormattedCitation":"&lt;sup&gt;14&lt;/sup&gt;"},"properties":{"noteIndex":0},"schema":"https://github.com/citation-style-language/schema/raw/master/csl-citation.json"}</w:instrText>
      </w:r>
      <w:r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[14]</w:t>
      </w:r>
      <w:r w:rsidRPr="00AC50FA">
        <w:rPr>
          <w:rFonts w:ascii="Book Antiqua" w:hAnsi="Book Antiqua"/>
          <w:color w:val="000000" w:themeColor="text1"/>
          <w:sz w:val="24"/>
          <w:szCs w:val="24"/>
          <w:vertAlign w:val="superscript"/>
          <w:lang w:val="en-GB"/>
        </w:rPr>
        <w:fldChar w:fldCharType="end"/>
      </w:r>
      <w:r w:rsidRPr="00AC50FA">
        <w:rPr>
          <w:rFonts w:ascii="Book Antiqua" w:hAnsi="Book Antiqua"/>
          <w:color w:val="000000" w:themeColor="text1"/>
          <w:sz w:val="24"/>
          <w:szCs w:val="24"/>
          <w:lang w:val="en-GB"/>
        </w:rPr>
        <w:t xml:space="preserve">. </w:t>
      </w:r>
      <w:r w:rsidR="002363CB" w:rsidRPr="00AC50FA">
        <w:rPr>
          <w:rFonts w:ascii="Book Antiqua" w:hAnsi="Book Antiqua"/>
          <w:color w:val="000000" w:themeColor="text1"/>
          <w:sz w:val="24"/>
          <w:szCs w:val="24"/>
          <w:lang w:val="en-GB"/>
        </w:rPr>
        <w:t>Treatment response</w:t>
      </w:r>
      <w:r w:rsidRPr="00AC50FA">
        <w:rPr>
          <w:rFonts w:ascii="Book Antiqua" w:hAnsi="Book Antiqua"/>
          <w:color w:val="000000" w:themeColor="text1"/>
          <w:sz w:val="24"/>
          <w:szCs w:val="24"/>
          <w:lang w:val="en-GB"/>
        </w:rPr>
        <w:t xml:space="preserve"> </w:t>
      </w:r>
      <w:r w:rsidR="002363CB" w:rsidRPr="00AC50FA">
        <w:rPr>
          <w:rFonts w:ascii="Book Antiqua" w:hAnsi="Book Antiqua"/>
          <w:color w:val="000000" w:themeColor="text1"/>
          <w:sz w:val="24"/>
          <w:szCs w:val="24"/>
          <w:lang w:val="en-GB"/>
        </w:rPr>
        <w:t xml:space="preserve">of the index lesion </w:t>
      </w:r>
      <w:r w:rsidRPr="00AC50FA">
        <w:rPr>
          <w:rFonts w:ascii="Book Antiqua" w:hAnsi="Book Antiqua"/>
          <w:color w:val="000000" w:themeColor="text1"/>
          <w:sz w:val="24"/>
          <w:szCs w:val="24"/>
          <w:lang w:val="en-GB"/>
        </w:rPr>
        <w:t>was graded as complete response, partial response, stable disease or progressive disease. Toxicity was graded with the National Cancer Institute Common Terminology Criteria for Adverse Events version 5.0</w:t>
      </w:r>
      <w:r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{"citationItems":[{"id":"ITEM-1","itemData":{"abstract":"Introduction The NCI Common Terminology Criteria for Adverse Events is a descriptive terminology which can be utilized for Adverse Event (AE) reporting. A grading (severity) scale is provided for each AE term.","author":[{"dropping-particle":"","family":"Cancer Institute","given":"National","non-dropping-particle":"","parse-names":false,"suffix":""}],"id":"ITEM-1","issued":{"date-parts":[["2017"]]},"title":"Common Terminology Criteria for Adverse Events (CTCAE) Common Terminology Criteria for Adverse Events (CTCAE) v5.0","type":"report"},"uris":["http://www.mendeley.com/documents/?uuid=3b737a80-cc1f-393f-8e02-3fa341f2252b","http://www.mendeley.com/documents/?uuid=a94912bc-4688-4719-b087-dac23645d7b2"]}],"mendeley":{"formattedCitation":"[15]","plainTextFormattedCitation":"[15]","previouslyFormattedCitation":"&lt;sup&gt;15&lt;/sup&gt;"},"properties":{"noteIndex":0},"schema":"https://github.com/citation-style-language/schema/raw/master/csl-citation.json"}</w:instrText>
      </w:r>
      <w:r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[15]</w:t>
      </w:r>
      <w:r w:rsidRPr="00AC50FA">
        <w:rPr>
          <w:rFonts w:ascii="Book Antiqua" w:hAnsi="Book Antiqua"/>
          <w:color w:val="000000" w:themeColor="text1"/>
          <w:sz w:val="24"/>
          <w:szCs w:val="24"/>
          <w:vertAlign w:val="superscript"/>
          <w:lang w:val="en-GB"/>
        </w:rPr>
        <w:fldChar w:fldCharType="end"/>
      </w:r>
      <w:r w:rsidRPr="00AC50FA">
        <w:rPr>
          <w:rFonts w:ascii="Book Antiqua" w:hAnsi="Book Antiqua"/>
          <w:color w:val="000000" w:themeColor="text1"/>
          <w:sz w:val="24"/>
          <w:szCs w:val="24"/>
          <w:lang w:val="en-GB"/>
        </w:rPr>
        <w:t>.</w:t>
      </w:r>
    </w:p>
    <w:p w14:paraId="589F25B7" w14:textId="7F6C608B" w:rsidR="00E75ED1" w:rsidRPr="00AC50FA" w:rsidRDefault="004D73C7"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The primary outcome </w:t>
      </w:r>
      <w:r w:rsidR="002363CB" w:rsidRPr="00AC50FA">
        <w:rPr>
          <w:rFonts w:ascii="Book Antiqua" w:hAnsi="Book Antiqua"/>
          <w:color w:val="000000" w:themeColor="text1"/>
          <w:sz w:val="24"/>
          <w:szCs w:val="24"/>
          <w:lang w:val="en-GB"/>
        </w:rPr>
        <w:t xml:space="preserve">was </w:t>
      </w:r>
      <w:r w:rsidR="00AE5DE2" w:rsidRPr="00AC50FA">
        <w:rPr>
          <w:rFonts w:ascii="Book Antiqua" w:hAnsi="Book Antiqua"/>
          <w:color w:val="000000" w:themeColor="text1"/>
          <w:sz w:val="24"/>
          <w:szCs w:val="24"/>
          <w:lang w:val="en-GB"/>
        </w:rPr>
        <w:t xml:space="preserve">time to </w:t>
      </w:r>
      <w:r w:rsidR="005327F4" w:rsidRPr="00AC50FA">
        <w:rPr>
          <w:rFonts w:ascii="Book Antiqua" w:hAnsi="Book Antiqua"/>
          <w:color w:val="000000" w:themeColor="text1"/>
          <w:sz w:val="24"/>
          <w:szCs w:val="24"/>
          <w:lang w:val="en-GB"/>
        </w:rPr>
        <w:t>p</w:t>
      </w:r>
      <w:r w:rsidR="002363CB" w:rsidRPr="00AC50FA">
        <w:rPr>
          <w:rFonts w:ascii="Book Antiqua" w:hAnsi="Book Antiqua"/>
          <w:color w:val="000000" w:themeColor="text1"/>
          <w:sz w:val="24"/>
          <w:szCs w:val="24"/>
          <w:lang w:val="en-GB"/>
        </w:rPr>
        <w:t>rogression</w:t>
      </w:r>
      <w:r w:rsidR="005327F4" w:rsidRPr="00AC50FA">
        <w:rPr>
          <w:rFonts w:ascii="Book Antiqua" w:hAnsi="Book Antiqua"/>
          <w:color w:val="000000" w:themeColor="text1"/>
          <w:sz w:val="24"/>
          <w:szCs w:val="24"/>
          <w:lang w:val="en-GB"/>
        </w:rPr>
        <w:t xml:space="preserve">, </w:t>
      </w:r>
      <w:r w:rsidR="002363CB" w:rsidRPr="00AC50FA">
        <w:rPr>
          <w:rFonts w:ascii="Book Antiqua" w:hAnsi="Book Antiqua"/>
          <w:color w:val="000000" w:themeColor="text1"/>
          <w:sz w:val="24"/>
          <w:szCs w:val="24"/>
          <w:lang w:val="en-GB"/>
        </w:rPr>
        <w:t>defined as the time between SBRT and the first imaging indicating disease progression</w:t>
      </w:r>
      <w:r w:rsidR="00CA39E8" w:rsidRPr="00AC50FA">
        <w:rPr>
          <w:rFonts w:ascii="Book Antiqua" w:hAnsi="Book Antiqua"/>
          <w:color w:val="000000" w:themeColor="text1"/>
          <w:sz w:val="24"/>
          <w:szCs w:val="24"/>
          <w:lang w:val="en-GB"/>
        </w:rPr>
        <w:t xml:space="preserve">. The patterns of disease progression </w:t>
      </w:r>
      <w:r w:rsidR="002363CB" w:rsidRPr="00AC50FA">
        <w:rPr>
          <w:rFonts w:ascii="Book Antiqua" w:hAnsi="Book Antiqua"/>
          <w:color w:val="000000" w:themeColor="text1"/>
          <w:sz w:val="24"/>
          <w:szCs w:val="24"/>
          <w:lang w:val="en-GB"/>
        </w:rPr>
        <w:t>includ</w:t>
      </w:r>
      <w:r w:rsidR="00CA39E8" w:rsidRPr="00AC50FA">
        <w:rPr>
          <w:rFonts w:ascii="Book Antiqua" w:hAnsi="Book Antiqua"/>
          <w:color w:val="000000" w:themeColor="text1"/>
          <w:sz w:val="24"/>
          <w:szCs w:val="24"/>
          <w:lang w:val="en-GB"/>
        </w:rPr>
        <w:t>ed</w:t>
      </w:r>
      <w:r w:rsidR="002363CB" w:rsidRPr="00AC50FA">
        <w:rPr>
          <w:rFonts w:ascii="Book Antiqua" w:hAnsi="Book Antiqua"/>
          <w:color w:val="000000" w:themeColor="text1"/>
          <w:sz w:val="24"/>
          <w:szCs w:val="24"/>
          <w:lang w:val="en-GB"/>
        </w:rPr>
        <w:t xml:space="preserve"> local</w:t>
      </w:r>
      <w:r w:rsidR="00AE5DE2" w:rsidRPr="00AC50FA">
        <w:rPr>
          <w:rFonts w:ascii="Book Antiqua" w:hAnsi="Book Antiqua"/>
          <w:color w:val="000000" w:themeColor="text1"/>
          <w:sz w:val="24"/>
          <w:szCs w:val="24"/>
          <w:lang w:val="en-GB"/>
        </w:rPr>
        <w:t>, regional</w:t>
      </w:r>
      <w:r w:rsidR="002363CB" w:rsidRPr="00AC50FA">
        <w:rPr>
          <w:rFonts w:ascii="Book Antiqua" w:hAnsi="Book Antiqua"/>
          <w:color w:val="000000" w:themeColor="text1"/>
          <w:sz w:val="24"/>
          <w:szCs w:val="24"/>
          <w:lang w:val="en-GB"/>
        </w:rPr>
        <w:t xml:space="preserve"> and distant. Local progression of the index lesion</w:t>
      </w:r>
      <w:r w:rsidR="000D62DA" w:rsidRPr="00AC50FA">
        <w:rPr>
          <w:rFonts w:ascii="Book Antiqua" w:hAnsi="Book Antiqua"/>
          <w:color w:val="000000" w:themeColor="text1"/>
          <w:sz w:val="24"/>
          <w:szCs w:val="24"/>
          <w:lang w:val="en-GB"/>
        </w:rPr>
        <w:t xml:space="preserve"> </w:t>
      </w:r>
      <w:r w:rsidR="00CA39E8" w:rsidRPr="00AC50FA">
        <w:rPr>
          <w:rFonts w:ascii="Book Antiqua" w:hAnsi="Book Antiqua"/>
          <w:color w:val="000000" w:themeColor="text1"/>
          <w:sz w:val="24"/>
          <w:szCs w:val="24"/>
          <w:lang w:val="en-GB"/>
        </w:rPr>
        <w:t xml:space="preserve">was defined </w:t>
      </w:r>
      <w:r w:rsidR="000D62DA" w:rsidRPr="00AC50FA">
        <w:rPr>
          <w:rFonts w:ascii="Book Antiqua" w:hAnsi="Book Antiqua"/>
          <w:color w:val="000000" w:themeColor="text1"/>
          <w:sz w:val="24"/>
          <w:szCs w:val="24"/>
          <w:lang w:val="en-GB"/>
        </w:rPr>
        <w:t xml:space="preserve">according to </w:t>
      </w:r>
      <w:r w:rsidR="002010A1" w:rsidRPr="00AC50FA">
        <w:rPr>
          <w:rFonts w:ascii="Book Antiqua" w:hAnsi="Book Antiqua"/>
          <w:color w:val="000000" w:themeColor="text1"/>
          <w:sz w:val="24"/>
          <w:szCs w:val="24"/>
          <w:lang w:val="en-GB"/>
        </w:rPr>
        <w:t xml:space="preserve">Modified response Evaluation Criteria for Solid Tumours </w:t>
      </w:r>
      <w:r w:rsidR="000D62DA" w:rsidRPr="00AC50FA">
        <w:rPr>
          <w:rFonts w:ascii="Book Antiqua" w:hAnsi="Book Antiqua"/>
          <w:color w:val="000000" w:themeColor="text1"/>
          <w:sz w:val="24"/>
          <w:szCs w:val="24"/>
          <w:lang w:val="en-GB"/>
        </w:rPr>
        <w:t>criteria</w:t>
      </w:r>
      <w:r w:rsidR="002363CB" w:rsidRPr="00AC50FA">
        <w:rPr>
          <w:rFonts w:ascii="Book Antiqua" w:hAnsi="Book Antiqua"/>
          <w:color w:val="000000" w:themeColor="text1"/>
          <w:sz w:val="24"/>
          <w:szCs w:val="24"/>
          <w:lang w:val="en-GB"/>
        </w:rPr>
        <w:t>.</w:t>
      </w:r>
      <w:r w:rsidR="00AE5DE2" w:rsidRPr="00AC50FA">
        <w:rPr>
          <w:rFonts w:ascii="Book Antiqua" w:hAnsi="Book Antiqua"/>
          <w:color w:val="000000" w:themeColor="text1"/>
          <w:sz w:val="24"/>
          <w:szCs w:val="24"/>
          <w:lang w:val="en-GB"/>
        </w:rPr>
        <w:t xml:space="preserve"> Regional progression was defined as intrahepatic disease progression completely distinct from the index lesion.</w:t>
      </w:r>
      <w:r w:rsidR="005327F4" w:rsidRPr="00AC50FA">
        <w:rPr>
          <w:rFonts w:ascii="Book Antiqua" w:hAnsi="Book Antiqua"/>
          <w:color w:val="000000" w:themeColor="text1"/>
          <w:sz w:val="24"/>
          <w:szCs w:val="24"/>
          <w:lang w:val="en-GB"/>
        </w:rPr>
        <w:t xml:space="preserve"> </w:t>
      </w:r>
      <w:r w:rsidR="00CA39E8" w:rsidRPr="00AC50FA">
        <w:rPr>
          <w:rFonts w:ascii="Book Antiqua" w:hAnsi="Book Antiqua"/>
          <w:color w:val="000000" w:themeColor="text1"/>
          <w:sz w:val="24"/>
          <w:szCs w:val="24"/>
          <w:lang w:val="en-GB"/>
        </w:rPr>
        <w:t xml:space="preserve">Distinct progression referred to progression outside the liver. </w:t>
      </w:r>
      <w:r w:rsidR="000D62DA" w:rsidRPr="00AC50FA">
        <w:rPr>
          <w:rFonts w:ascii="Book Antiqua" w:hAnsi="Book Antiqua"/>
          <w:color w:val="000000" w:themeColor="text1"/>
          <w:sz w:val="24"/>
          <w:szCs w:val="24"/>
          <w:lang w:val="en-GB"/>
        </w:rPr>
        <w:t xml:space="preserve">Continuous variables were presented as median and range. Survivals were </w:t>
      </w:r>
      <w:r w:rsidR="0023181E" w:rsidRPr="00AC50FA">
        <w:rPr>
          <w:rFonts w:ascii="Book Antiqua" w:hAnsi="Book Antiqua"/>
          <w:color w:val="000000" w:themeColor="text1"/>
          <w:sz w:val="24"/>
          <w:szCs w:val="24"/>
          <w:lang w:val="en-GB"/>
        </w:rPr>
        <w:t>studied</w:t>
      </w:r>
      <w:r w:rsidR="000D62DA" w:rsidRPr="00AC50FA">
        <w:rPr>
          <w:rFonts w:ascii="Book Antiqua" w:hAnsi="Book Antiqua"/>
          <w:color w:val="000000" w:themeColor="text1"/>
          <w:sz w:val="24"/>
          <w:szCs w:val="24"/>
          <w:lang w:val="en-GB"/>
        </w:rPr>
        <w:t xml:space="preserve"> with Kaplan-Meier method. Data was analysed with Statistical Package for the Social Sciences 16.0 (SPSS) for Windows (SPSS Inc., Chicago, IL</w:t>
      </w:r>
      <w:r w:rsidR="002010A1" w:rsidRPr="00AC50FA">
        <w:rPr>
          <w:rFonts w:ascii="Book Antiqua" w:hAnsi="Book Antiqua"/>
          <w:color w:val="000000" w:themeColor="text1"/>
          <w:sz w:val="24"/>
          <w:szCs w:val="24"/>
          <w:lang w:val="en-GB"/>
        </w:rPr>
        <w:t>, United States</w:t>
      </w:r>
      <w:r w:rsidR="000D62DA" w:rsidRPr="00AC50FA">
        <w:rPr>
          <w:rFonts w:ascii="Book Antiqua" w:hAnsi="Book Antiqua"/>
          <w:color w:val="000000" w:themeColor="text1"/>
          <w:sz w:val="24"/>
          <w:szCs w:val="24"/>
          <w:lang w:val="en-GB"/>
        </w:rPr>
        <w:t>).</w:t>
      </w:r>
    </w:p>
    <w:p w14:paraId="2371482A" w14:textId="77777777"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024DBBD3"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rPr>
      </w:pPr>
      <w:r w:rsidRPr="00AC50FA">
        <w:rPr>
          <w:rFonts w:ascii="Book Antiqua" w:hAnsi="Book Antiqua"/>
          <w:b/>
          <w:color w:val="000000" w:themeColor="text1"/>
          <w:sz w:val="24"/>
          <w:szCs w:val="24"/>
          <w:u w:val="single"/>
        </w:rPr>
        <w:t>RESULTS</w:t>
      </w:r>
    </w:p>
    <w:p w14:paraId="0719D832" w14:textId="3C335766" w:rsidR="0023181E" w:rsidRPr="00AC50FA" w:rsidRDefault="00544648"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Patient</w:t>
      </w:r>
      <w:r w:rsidR="0023181E" w:rsidRPr="00AC50FA">
        <w:rPr>
          <w:rFonts w:ascii="Book Antiqua" w:hAnsi="Book Antiqua"/>
          <w:b/>
          <w:bCs/>
          <w:i/>
          <w:iCs/>
          <w:color w:val="000000" w:themeColor="text1"/>
          <w:sz w:val="24"/>
          <w:szCs w:val="24"/>
          <w:lang w:val="en-GB"/>
        </w:rPr>
        <w:t xml:space="preserve"> characteristics</w:t>
      </w:r>
    </w:p>
    <w:p w14:paraId="7A164CE9" w14:textId="06B720F7" w:rsidR="00A33B0A" w:rsidRPr="00AC50FA" w:rsidRDefault="005826C7"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Twenty-three patients were diagnosed with intrahepatic HCC recurrence after liver transplantation. </w:t>
      </w:r>
      <w:r w:rsidR="0023181E" w:rsidRPr="00AC50FA">
        <w:rPr>
          <w:rFonts w:ascii="Book Antiqua" w:hAnsi="Book Antiqua"/>
          <w:color w:val="000000" w:themeColor="text1"/>
          <w:sz w:val="24"/>
          <w:szCs w:val="24"/>
        </w:rPr>
        <w:t>Six</w:t>
      </w:r>
      <w:r w:rsidRPr="00AC50FA">
        <w:rPr>
          <w:rFonts w:ascii="Book Antiqua" w:hAnsi="Book Antiqua"/>
          <w:color w:val="000000" w:themeColor="text1"/>
          <w:sz w:val="24"/>
          <w:szCs w:val="24"/>
        </w:rPr>
        <w:t xml:space="preserve"> of them </w:t>
      </w:r>
      <w:r w:rsidR="0023181E" w:rsidRPr="00AC50FA">
        <w:rPr>
          <w:rFonts w:ascii="Book Antiqua" w:hAnsi="Book Antiqua"/>
          <w:color w:val="000000" w:themeColor="text1"/>
          <w:sz w:val="24"/>
          <w:szCs w:val="24"/>
        </w:rPr>
        <w:t xml:space="preserve">received SBRT </w:t>
      </w:r>
      <w:r w:rsidR="009E5859" w:rsidRPr="00AC50FA">
        <w:rPr>
          <w:rFonts w:ascii="Book Antiqua" w:hAnsi="Book Antiqua"/>
          <w:color w:val="000000" w:themeColor="text1"/>
          <w:sz w:val="24"/>
          <w:szCs w:val="24"/>
        </w:rPr>
        <w:t>(Table 1)</w:t>
      </w:r>
      <w:r w:rsidR="0023181E" w:rsidRPr="00AC50FA">
        <w:rPr>
          <w:rFonts w:ascii="Book Antiqua" w:hAnsi="Book Antiqua"/>
          <w:color w:val="000000" w:themeColor="text1"/>
          <w:sz w:val="24"/>
          <w:szCs w:val="24"/>
        </w:rPr>
        <w:t>.</w:t>
      </w:r>
      <w:r w:rsidR="008D75C1" w:rsidRPr="00AC50FA">
        <w:rPr>
          <w:rFonts w:ascii="Book Antiqua" w:hAnsi="Book Antiqua"/>
          <w:color w:val="000000" w:themeColor="text1"/>
          <w:sz w:val="24"/>
          <w:szCs w:val="24"/>
        </w:rPr>
        <w:t xml:space="preserve"> Four (67%) of them were transplanted with deceased whole graft while 2 (33%) received a right lobe graft from a living donor. In 4 patients, the HCC before transplant were within the University of California San Francisco</w:t>
      </w:r>
      <w:r w:rsidR="002010A1" w:rsidRPr="00AC50FA">
        <w:rPr>
          <w:rFonts w:ascii="Book Antiqua" w:hAnsi="Book Antiqua"/>
          <w:color w:val="000000" w:themeColor="text1"/>
          <w:sz w:val="24"/>
          <w:szCs w:val="24"/>
        </w:rPr>
        <w:t xml:space="preserve"> </w:t>
      </w:r>
      <w:r w:rsidR="008D75C1" w:rsidRPr="00AC50FA">
        <w:rPr>
          <w:rFonts w:ascii="Book Antiqua" w:hAnsi="Book Antiqua"/>
          <w:color w:val="000000" w:themeColor="text1"/>
          <w:sz w:val="24"/>
          <w:szCs w:val="24"/>
        </w:rPr>
        <w:t>criteria</w:t>
      </w:r>
      <w:r w:rsidR="008D75C1" w:rsidRPr="00AC50FA">
        <w:rPr>
          <w:rFonts w:ascii="Book Antiqua" w:hAnsi="Book Antiqua"/>
          <w:color w:val="000000" w:themeColor="text1"/>
          <w:sz w:val="24"/>
          <w:szCs w:val="24"/>
          <w:vertAlign w:val="superscript"/>
        </w:rPr>
        <w:fldChar w:fldCharType="begin" w:fldLock="1"/>
      </w:r>
      <w:r w:rsidR="009860B9" w:rsidRPr="00AC50FA">
        <w:rPr>
          <w:rFonts w:ascii="Book Antiqua" w:hAnsi="Book Antiqua"/>
          <w:color w:val="000000" w:themeColor="text1"/>
          <w:sz w:val="24"/>
          <w:szCs w:val="24"/>
          <w:vertAlign w:val="superscript"/>
        </w:rPr>
        <w:instrText>ADDIN CSL_CITATION {"citationItems":[{"id":"ITEM-1","itemData":{"DOI":"10.1002/lt.21445","ISSN":"15276465","PMID":"18581465","abstract":"The currently available indication criteria of living donor liver transplantation (LDLT) for patients with hepatocellular carcinoma (HCC) have high prognostic power but insufficient discriminatory power. On the basis of single-center results from 221 HCC patients undergoing LDLT, we modified the indication criteria for LDLT to expand recipient selection without increasing the posttransplant recurrence of HCC. Our expanded criteria, based on explant pathology, were largest tumor diameter &lt; or = 5 cm, HCC number &lt; or = 6, and no gross vascular invasion. One hundred eighty-six of the 221 HCC patients (84.2%) met our criteria, 10% and 5.5% more than those that met the Milan and University of California at San Francisco (UCSF) criteria, respectively. The overall 5-year patient survival rates were 76.0% and 44.5% within and beyond the Milan criteria, respectively; 75.9% and 36.4% within and beyond the UCSF criteria, respectively; and 76.3% and 18.9% within and beyond our expanded criteria, respectively. Although these 3 sets of criteria had similar prognostic power, our expanded criteria had the highest discriminatory power. Thus, these expanded criteria for LDLT eligibility of HCC patients broaden the indications for patient selection and can more accurately identify patients who will benefit from LDLT.","author":[{"dropping-particle":"","family":"Lee","given":"Sung-Gyu","non-dropping-particle":"","parse-names":false,"suffix":""},{"dropping-particle":"","family":"Hwang","given":"Shin","non-dropping-particle":"","parse-names":false,"suffix":""},{"dropping-particle":"","family":"Moon","given":"Deok-Bog","non-dropping-particle":"","parse-names":false,"suffix":""},{"dropping-particle":"","family":"Ahn","given":"Chul-Soo","non-dropping-particle":"","parse-names":false,"suffix":""},{"dropping-particle":"","family":"Kim","given":"Ki-Hun","non-dropping-particle":"","parse-names":false,"suffix":""},{"dropping-particle":"","family":"Sung","given":"Kyu-Bo","non-dropping-particle":"","parse-names":false,"suffix":""},{"dropping-particle":"","family":"Ko","given":"Gi-Young","non-dropping-particle":"","parse-names":false,"suffix":""},{"dropping-particle":"","family":"Park","given":"Kwang-Min","non-dropping-particle":"","parse-names":false,"suffix":""},{"dropping-particle":"","family":"Ha","given":"Tae-Yong","non-dropping-particle":"","parse-names":false,"suffix":""},{"dropping-particle":"","family":"Song","given":"Gi-Won","non-dropping-particle":"","parse-names":false,"suffix":""}],"container-title":"Liver Transplantation","id":"ITEM-1","issue":"7","issued":{"date-parts":[["2008","7"]]},"page":"935-945","title":"Expanded indication criteria of living donor liver transplantation for hepatocellular carcinoma at one large-volume center","type":"article-journal","volume":"14"},"uris":["http://www.mendeley.com/documents/?uuid=cb397121-2940-36de-925a-533639c2c0e2","http://www.mendeley.com/documents/?uuid=40c06856-3425-479d-8406-573ddf23bfd7"]}],"mendeley":{"formattedCitation":"[16]","plainTextFormattedCitation":"[16]","previouslyFormattedCitation":"&lt;sup&gt;16&lt;/sup&gt;"},"properties":{"noteIndex":0},"schema":"https://github.com/citation-style-language/schema/raw/master/csl-citation.json"}</w:instrText>
      </w:r>
      <w:r w:rsidR="008D75C1" w:rsidRPr="00AC50FA">
        <w:rPr>
          <w:rFonts w:ascii="Book Antiqua" w:hAnsi="Book Antiqua"/>
          <w:color w:val="000000" w:themeColor="text1"/>
          <w:sz w:val="24"/>
          <w:szCs w:val="24"/>
          <w:vertAlign w:val="superscript"/>
        </w:rPr>
        <w:fldChar w:fldCharType="separate"/>
      </w:r>
      <w:r w:rsidR="009860B9" w:rsidRPr="00AC50FA">
        <w:rPr>
          <w:rFonts w:ascii="Book Antiqua" w:hAnsi="Book Antiqua"/>
          <w:noProof/>
          <w:color w:val="000000" w:themeColor="text1"/>
          <w:sz w:val="24"/>
          <w:szCs w:val="24"/>
          <w:vertAlign w:val="superscript"/>
        </w:rPr>
        <w:t>[16]</w:t>
      </w:r>
      <w:r w:rsidR="008D75C1" w:rsidRPr="00AC50FA">
        <w:rPr>
          <w:rFonts w:ascii="Book Antiqua" w:hAnsi="Book Antiqua"/>
          <w:color w:val="000000" w:themeColor="text1"/>
          <w:sz w:val="24"/>
          <w:szCs w:val="24"/>
          <w:vertAlign w:val="superscript"/>
        </w:rPr>
        <w:fldChar w:fldCharType="end"/>
      </w:r>
      <w:r w:rsidR="008D75C1" w:rsidRPr="00AC50FA">
        <w:rPr>
          <w:rFonts w:ascii="Book Antiqua" w:hAnsi="Book Antiqua"/>
          <w:color w:val="000000" w:themeColor="text1"/>
          <w:sz w:val="24"/>
          <w:szCs w:val="24"/>
        </w:rPr>
        <w:t xml:space="preserve">. </w:t>
      </w:r>
      <w:r w:rsidR="0023181E" w:rsidRPr="00AC50FA">
        <w:rPr>
          <w:rFonts w:ascii="Book Antiqua" w:hAnsi="Book Antiqua"/>
          <w:color w:val="000000" w:themeColor="text1"/>
          <w:sz w:val="24"/>
          <w:szCs w:val="24"/>
        </w:rPr>
        <w:t>A</w:t>
      </w:r>
      <w:r w:rsidR="00A10217" w:rsidRPr="00AC50FA">
        <w:rPr>
          <w:rFonts w:ascii="Book Antiqua" w:hAnsi="Book Antiqua"/>
          <w:color w:val="000000" w:themeColor="text1"/>
          <w:sz w:val="24"/>
          <w:szCs w:val="24"/>
        </w:rPr>
        <w:t xml:space="preserve"> total of </w:t>
      </w:r>
      <w:r w:rsidR="00D83737" w:rsidRPr="00AC50FA">
        <w:rPr>
          <w:rFonts w:ascii="Book Antiqua" w:hAnsi="Book Antiqua"/>
          <w:color w:val="000000" w:themeColor="text1"/>
          <w:sz w:val="24"/>
          <w:szCs w:val="24"/>
        </w:rPr>
        <w:t>9 courses of radiotherapy</w:t>
      </w:r>
      <w:r w:rsidR="0023181E" w:rsidRPr="00AC50FA">
        <w:rPr>
          <w:rFonts w:ascii="Book Antiqua" w:hAnsi="Book Antiqua"/>
          <w:color w:val="000000" w:themeColor="text1"/>
          <w:sz w:val="24"/>
          <w:szCs w:val="24"/>
        </w:rPr>
        <w:t xml:space="preserve"> were</w:t>
      </w:r>
      <w:r w:rsidR="00A10217" w:rsidRPr="00AC50FA">
        <w:rPr>
          <w:rFonts w:ascii="Book Antiqua" w:hAnsi="Book Antiqua"/>
          <w:color w:val="000000" w:themeColor="text1"/>
          <w:sz w:val="24"/>
          <w:szCs w:val="24"/>
        </w:rPr>
        <w:t xml:space="preserve"> </w:t>
      </w:r>
      <w:r w:rsidR="0005518A" w:rsidRPr="00AC50FA">
        <w:rPr>
          <w:rFonts w:ascii="Book Antiqua" w:hAnsi="Book Antiqua"/>
          <w:color w:val="000000" w:themeColor="text1"/>
          <w:sz w:val="24"/>
          <w:szCs w:val="24"/>
        </w:rPr>
        <w:t>given for 13 tumours. Two</w:t>
      </w:r>
      <w:r w:rsidR="00A10217" w:rsidRPr="00AC50FA">
        <w:rPr>
          <w:rFonts w:ascii="Book Antiqua" w:hAnsi="Book Antiqua"/>
          <w:color w:val="000000" w:themeColor="text1"/>
          <w:sz w:val="24"/>
          <w:szCs w:val="24"/>
        </w:rPr>
        <w:t xml:space="preserve"> patients </w:t>
      </w:r>
      <w:r w:rsidR="0023181E" w:rsidRPr="00AC50FA">
        <w:rPr>
          <w:rFonts w:ascii="Book Antiqua" w:hAnsi="Book Antiqua"/>
          <w:color w:val="000000" w:themeColor="text1"/>
          <w:sz w:val="24"/>
          <w:szCs w:val="24"/>
        </w:rPr>
        <w:t>were irradiated</w:t>
      </w:r>
      <w:r w:rsidR="00A10217" w:rsidRPr="00AC50FA">
        <w:rPr>
          <w:rFonts w:ascii="Book Antiqua" w:hAnsi="Book Antiqua"/>
          <w:color w:val="000000" w:themeColor="text1"/>
          <w:sz w:val="24"/>
          <w:szCs w:val="24"/>
        </w:rPr>
        <w:t xml:space="preserve"> </w:t>
      </w:r>
      <w:r w:rsidR="00631450" w:rsidRPr="00AC50FA">
        <w:rPr>
          <w:rFonts w:ascii="Book Antiqua" w:hAnsi="Book Antiqua"/>
          <w:color w:val="000000" w:themeColor="text1"/>
          <w:sz w:val="24"/>
          <w:szCs w:val="24"/>
        </w:rPr>
        <w:t xml:space="preserve">more than once </w:t>
      </w:r>
      <w:r w:rsidR="00A10217" w:rsidRPr="00AC50FA">
        <w:rPr>
          <w:rFonts w:ascii="Book Antiqua" w:hAnsi="Book Antiqua"/>
          <w:color w:val="000000" w:themeColor="text1"/>
          <w:sz w:val="24"/>
          <w:szCs w:val="24"/>
        </w:rPr>
        <w:t>for metachronous recurrence</w:t>
      </w:r>
      <w:r w:rsidR="009E5859" w:rsidRPr="00AC50FA">
        <w:rPr>
          <w:rFonts w:ascii="Book Antiqua" w:hAnsi="Book Antiqua"/>
          <w:color w:val="000000" w:themeColor="text1"/>
          <w:sz w:val="24"/>
          <w:szCs w:val="24"/>
        </w:rPr>
        <w:t xml:space="preserve"> (No. </w:t>
      </w:r>
      <w:r w:rsidR="009E5859" w:rsidRPr="00AC50FA">
        <w:rPr>
          <w:rFonts w:ascii="Book Antiqua" w:hAnsi="Book Antiqua"/>
          <w:color w:val="000000" w:themeColor="text1"/>
          <w:sz w:val="24"/>
          <w:szCs w:val="24"/>
        </w:rPr>
        <w:lastRenderedPageBreak/>
        <w:t>1 and 2)</w:t>
      </w:r>
      <w:r w:rsidR="00A10217" w:rsidRPr="00AC50FA">
        <w:rPr>
          <w:rFonts w:ascii="Book Antiqua" w:hAnsi="Book Antiqua"/>
          <w:color w:val="000000" w:themeColor="text1"/>
          <w:sz w:val="24"/>
          <w:szCs w:val="24"/>
        </w:rPr>
        <w:t xml:space="preserve">. </w:t>
      </w:r>
      <w:r w:rsidR="00755867" w:rsidRPr="00AC50FA">
        <w:rPr>
          <w:rFonts w:ascii="Book Antiqua" w:hAnsi="Book Antiqua"/>
          <w:color w:val="000000" w:themeColor="text1"/>
          <w:sz w:val="24"/>
          <w:szCs w:val="24"/>
        </w:rPr>
        <w:t xml:space="preserve">The median age at </w:t>
      </w:r>
      <w:r w:rsidR="00A10217" w:rsidRPr="00AC50FA">
        <w:rPr>
          <w:rFonts w:ascii="Book Antiqua" w:hAnsi="Book Antiqua"/>
          <w:color w:val="000000" w:themeColor="text1"/>
          <w:sz w:val="24"/>
          <w:szCs w:val="24"/>
        </w:rPr>
        <w:t xml:space="preserve">the time of </w:t>
      </w:r>
      <w:r w:rsidR="00755867" w:rsidRPr="00AC50FA">
        <w:rPr>
          <w:rFonts w:ascii="Book Antiqua" w:hAnsi="Book Antiqua"/>
          <w:color w:val="000000" w:themeColor="text1"/>
          <w:sz w:val="24"/>
          <w:szCs w:val="24"/>
        </w:rPr>
        <w:t xml:space="preserve">SBRT was </w:t>
      </w:r>
      <w:r w:rsidR="005327F4" w:rsidRPr="00AC50FA">
        <w:rPr>
          <w:rFonts w:ascii="Book Antiqua" w:hAnsi="Book Antiqua"/>
          <w:color w:val="000000" w:themeColor="text1"/>
          <w:sz w:val="24"/>
          <w:szCs w:val="24"/>
        </w:rPr>
        <w:t>59 (range 31-67) years</w:t>
      </w:r>
      <w:r w:rsidR="00277FDE" w:rsidRPr="00AC50FA">
        <w:rPr>
          <w:rFonts w:ascii="Book Antiqua" w:hAnsi="Book Antiqua"/>
          <w:color w:val="000000" w:themeColor="text1"/>
          <w:sz w:val="24"/>
          <w:szCs w:val="24"/>
        </w:rPr>
        <w:t xml:space="preserve"> (Table 2)</w:t>
      </w:r>
      <w:r w:rsidR="005327F4" w:rsidRPr="00AC50FA">
        <w:rPr>
          <w:rFonts w:ascii="Book Antiqua" w:hAnsi="Book Antiqua"/>
          <w:color w:val="000000" w:themeColor="text1"/>
          <w:sz w:val="24"/>
          <w:szCs w:val="24"/>
        </w:rPr>
        <w:t>.</w:t>
      </w:r>
      <w:r w:rsidR="00545036">
        <w:rPr>
          <w:rFonts w:ascii="Book Antiqua" w:hAnsi="Book Antiqua"/>
          <w:color w:val="000000" w:themeColor="text1"/>
          <w:sz w:val="24"/>
          <w:szCs w:val="24"/>
        </w:rPr>
        <w:t xml:space="preserve"> </w:t>
      </w:r>
      <w:r w:rsidR="00277FDE" w:rsidRPr="00AC50FA">
        <w:rPr>
          <w:rFonts w:ascii="Book Antiqua" w:hAnsi="Book Antiqua"/>
          <w:color w:val="000000" w:themeColor="text1"/>
          <w:sz w:val="24"/>
          <w:szCs w:val="24"/>
        </w:rPr>
        <w:t xml:space="preserve">All patients had an </w:t>
      </w:r>
      <w:r w:rsidR="00B41683" w:rsidRPr="00AC50FA">
        <w:rPr>
          <w:rFonts w:ascii="Book Antiqua" w:hAnsi="Book Antiqua"/>
          <w:color w:val="000000" w:themeColor="text1"/>
          <w:sz w:val="24"/>
          <w:szCs w:val="24"/>
        </w:rPr>
        <w:t xml:space="preserve">Eastern Cooperative Oncology Group </w:t>
      </w:r>
      <w:r w:rsidR="00277FDE" w:rsidRPr="00AC50FA">
        <w:rPr>
          <w:rFonts w:ascii="Book Antiqua" w:hAnsi="Book Antiqua"/>
          <w:color w:val="000000" w:themeColor="text1"/>
          <w:sz w:val="24"/>
          <w:szCs w:val="24"/>
        </w:rPr>
        <w:t xml:space="preserve">performance status </w:t>
      </w:r>
      <w:r w:rsidR="002010A1" w:rsidRPr="00AC50FA">
        <w:rPr>
          <w:rFonts w:ascii="Book Antiqua" w:hAnsi="Book Antiqua"/>
          <w:color w:val="000000" w:themeColor="text1"/>
          <w:sz w:val="24"/>
          <w:szCs w:val="24"/>
        </w:rPr>
        <w:t xml:space="preserve">≤ </w:t>
      </w:r>
      <w:r w:rsidR="00277FDE" w:rsidRPr="00AC50FA">
        <w:rPr>
          <w:rFonts w:ascii="Book Antiqua" w:hAnsi="Book Antiqua"/>
          <w:color w:val="000000" w:themeColor="text1"/>
          <w:sz w:val="24"/>
          <w:szCs w:val="24"/>
        </w:rPr>
        <w:t xml:space="preserve">1. The median time to recurrence of the index tumour was </w:t>
      </w:r>
      <w:r w:rsidR="0023181E" w:rsidRPr="00AC50FA">
        <w:rPr>
          <w:rFonts w:ascii="Book Antiqua" w:hAnsi="Book Antiqua"/>
          <w:color w:val="000000" w:themeColor="text1"/>
          <w:sz w:val="24"/>
          <w:szCs w:val="24"/>
        </w:rPr>
        <w:t xml:space="preserve">66.5 (range 1.2-86.7) mo. All patients had normal liver function with no evidence of graft cirrhosis. </w:t>
      </w:r>
      <w:r w:rsidR="00544648" w:rsidRPr="00AC50FA">
        <w:rPr>
          <w:rFonts w:ascii="Book Antiqua" w:hAnsi="Book Antiqua"/>
          <w:color w:val="000000" w:themeColor="text1"/>
          <w:sz w:val="24"/>
          <w:szCs w:val="24"/>
        </w:rPr>
        <w:t xml:space="preserve">One patient was </w:t>
      </w:r>
      <w:proofErr w:type="spellStart"/>
      <w:r w:rsidR="00544648" w:rsidRPr="00AC50FA">
        <w:rPr>
          <w:rFonts w:ascii="Book Antiqua" w:hAnsi="Book Antiqua"/>
          <w:color w:val="000000" w:themeColor="text1"/>
          <w:sz w:val="24"/>
          <w:szCs w:val="24"/>
        </w:rPr>
        <w:t>warfarinized</w:t>
      </w:r>
      <w:proofErr w:type="spellEnd"/>
      <w:r w:rsidR="00544648" w:rsidRPr="00AC50FA">
        <w:rPr>
          <w:rFonts w:ascii="Book Antiqua" w:hAnsi="Book Antiqua"/>
          <w:color w:val="000000" w:themeColor="text1"/>
          <w:sz w:val="24"/>
          <w:szCs w:val="24"/>
        </w:rPr>
        <w:t xml:space="preserve"> for </w:t>
      </w:r>
      <w:proofErr w:type="spellStart"/>
      <w:r w:rsidR="00544648" w:rsidRPr="00AC50FA">
        <w:rPr>
          <w:rFonts w:ascii="Book Antiqua" w:hAnsi="Book Antiqua"/>
          <w:color w:val="000000" w:themeColor="text1"/>
          <w:sz w:val="24"/>
          <w:szCs w:val="24"/>
        </w:rPr>
        <w:t>tumour</w:t>
      </w:r>
      <w:proofErr w:type="spellEnd"/>
      <w:r w:rsidR="00544648" w:rsidRPr="00AC50FA">
        <w:rPr>
          <w:rFonts w:ascii="Book Antiqua" w:hAnsi="Book Antiqua"/>
          <w:color w:val="000000" w:themeColor="text1"/>
          <w:sz w:val="24"/>
          <w:szCs w:val="24"/>
        </w:rPr>
        <w:t xml:space="preserve"> thrombus in the inferior vena cava (IVC) and his INR was 1.5. The INR of the remaining patients were </w:t>
      </w:r>
      <w:r w:rsidR="002010A1" w:rsidRPr="00AC50FA">
        <w:rPr>
          <w:rFonts w:ascii="Book Antiqua" w:hAnsi="Book Antiqua"/>
          <w:color w:val="000000" w:themeColor="text1"/>
          <w:sz w:val="24"/>
          <w:szCs w:val="24"/>
        </w:rPr>
        <w:t xml:space="preserve">≤ </w:t>
      </w:r>
      <w:r w:rsidR="00544648" w:rsidRPr="00AC50FA">
        <w:rPr>
          <w:rFonts w:ascii="Book Antiqua" w:hAnsi="Book Antiqua"/>
          <w:color w:val="000000" w:themeColor="text1"/>
          <w:sz w:val="24"/>
          <w:szCs w:val="24"/>
        </w:rPr>
        <w:t xml:space="preserve">1.2. </w:t>
      </w:r>
      <w:r w:rsidR="006D4CA4" w:rsidRPr="00AC50FA">
        <w:rPr>
          <w:rFonts w:ascii="Book Antiqua" w:hAnsi="Book Antiqua"/>
          <w:color w:val="000000" w:themeColor="text1"/>
          <w:sz w:val="24"/>
          <w:szCs w:val="24"/>
        </w:rPr>
        <w:t xml:space="preserve">The level of serum bilirubin and albumin were all within normal ranges. </w:t>
      </w:r>
    </w:p>
    <w:p w14:paraId="2D78E728" w14:textId="77777777" w:rsidR="003034FB" w:rsidRPr="00AC50FA" w:rsidRDefault="003034FB" w:rsidP="00AC50FA">
      <w:pPr>
        <w:snapToGrid w:val="0"/>
        <w:spacing w:after="0" w:line="360" w:lineRule="auto"/>
        <w:jc w:val="both"/>
        <w:rPr>
          <w:rFonts w:ascii="Book Antiqua" w:hAnsi="Book Antiqua"/>
          <w:color w:val="000000" w:themeColor="text1"/>
          <w:sz w:val="24"/>
          <w:szCs w:val="24"/>
        </w:rPr>
      </w:pPr>
    </w:p>
    <w:p w14:paraId="4F2C66C4" w14:textId="10C78F88" w:rsidR="00544648" w:rsidRPr="00AC50FA" w:rsidRDefault="00544648"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Tumour and treatment characteristics</w:t>
      </w:r>
    </w:p>
    <w:p w14:paraId="3C707E99" w14:textId="0FBC8C73" w:rsidR="00755867" w:rsidRPr="00AC50FA" w:rsidRDefault="00740FCE"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Four (44%) of the index lesions were the first</w:t>
      </w:r>
      <w:r w:rsidR="00DC0CDC" w:rsidRPr="00AC50FA">
        <w:rPr>
          <w:rFonts w:ascii="Book Antiqua" w:hAnsi="Book Antiqua"/>
          <w:color w:val="000000" w:themeColor="text1"/>
          <w:sz w:val="24"/>
          <w:szCs w:val="24"/>
          <w:lang w:val="en-GB"/>
        </w:rPr>
        <w:t>-</w:t>
      </w:r>
      <w:r w:rsidRPr="00AC50FA">
        <w:rPr>
          <w:rFonts w:ascii="Book Antiqua" w:hAnsi="Book Antiqua"/>
          <w:color w:val="000000" w:themeColor="text1"/>
          <w:sz w:val="24"/>
          <w:szCs w:val="24"/>
          <w:lang w:val="en-GB"/>
        </w:rPr>
        <w:t xml:space="preserve">time recurrence after liver transplantation. </w:t>
      </w:r>
      <w:r w:rsidR="00DC0CDC" w:rsidRPr="00AC50FA">
        <w:rPr>
          <w:rFonts w:ascii="Book Antiqua" w:hAnsi="Book Antiqua"/>
          <w:color w:val="000000" w:themeColor="text1"/>
          <w:sz w:val="24"/>
          <w:szCs w:val="24"/>
          <w:lang w:val="en-GB"/>
        </w:rPr>
        <w:t>Although the selection criteria were less than or equal to 5 tumours, m</w:t>
      </w:r>
      <w:r w:rsidR="00C87CDA" w:rsidRPr="00AC50FA">
        <w:rPr>
          <w:rFonts w:ascii="Book Antiqua" w:hAnsi="Book Antiqua"/>
          <w:color w:val="000000" w:themeColor="text1"/>
          <w:sz w:val="24"/>
          <w:szCs w:val="24"/>
          <w:lang w:val="en-GB"/>
        </w:rPr>
        <w:t xml:space="preserve">ost patients </w:t>
      </w:r>
      <w:r w:rsidR="00DC0CDC" w:rsidRPr="00AC50FA">
        <w:rPr>
          <w:rFonts w:ascii="Book Antiqua" w:hAnsi="Book Antiqua"/>
          <w:color w:val="000000" w:themeColor="text1"/>
          <w:sz w:val="24"/>
          <w:szCs w:val="24"/>
          <w:lang w:val="en-GB"/>
        </w:rPr>
        <w:t xml:space="preserve">in our series </w:t>
      </w:r>
      <w:r w:rsidR="00C87CDA" w:rsidRPr="00AC50FA">
        <w:rPr>
          <w:rFonts w:ascii="Book Antiqua" w:hAnsi="Book Antiqua"/>
          <w:color w:val="000000" w:themeColor="text1"/>
          <w:sz w:val="24"/>
          <w:szCs w:val="24"/>
          <w:lang w:val="en-GB"/>
        </w:rPr>
        <w:t xml:space="preserve">had </w:t>
      </w:r>
      <w:r w:rsidR="001047C6" w:rsidRPr="00AC50FA">
        <w:rPr>
          <w:rFonts w:ascii="Book Antiqua" w:hAnsi="Book Antiqua"/>
          <w:color w:val="000000" w:themeColor="text1"/>
          <w:sz w:val="24"/>
          <w:szCs w:val="24"/>
          <w:lang w:val="en-GB"/>
        </w:rPr>
        <w:t xml:space="preserve">a </w:t>
      </w:r>
      <w:r w:rsidR="00DC0CDC" w:rsidRPr="00AC50FA">
        <w:rPr>
          <w:rFonts w:ascii="Book Antiqua" w:hAnsi="Book Antiqua"/>
          <w:color w:val="000000" w:themeColor="text1"/>
          <w:sz w:val="24"/>
          <w:szCs w:val="24"/>
          <w:lang w:val="en-GB"/>
        </w:rPr>
        <w:t>solitary recurrence</w:t>
      </w:r>
      <w:r w:rsidR="00C87CDA" w:rsidRPr="00AC50FA">
        <w:rPr>
          <w:rFonts w:ascii="Book Antiqua" w:hAnsi="Book Antiqua"/>
          <w:color w:val="000000" w:themeColor="text1"/>
          <w:sz w:val="24"/>
          <w:szCs w:val="24"/>
          <w:lang w:val="en-GB"/>
        </w:rPr>
        <w:t xml:space="preserve"> (range 1-2)</w:t>
      </w:r>
      <w:r w:rsidR="00DC0CDC" w:rsidRPr="00AC50FA">
        <w:rPr>
          <w:rFonts w:ascii="Book Antiqua" w:hAnsi="Book Antiqua"/>
          <w:color w:val="000000" w:themeColor="text1"/>
          <w:sz w:val="24"/>
          <w:szCs w:val="24"/>
          <w:lang w:val="en-GB"/>
        </w:rPr>
        <w:t xml:space="preserve">. </w:t>
      </w:r>
      <w:bookmarkStart w:id="5" w:name="_Hlk33814602"/>
      <w:r w:rsidR="00DC0CDC" w:rsidRPr="00AC50FA">
        <w:rPr>
          <w:rFonts w:ascii="Book Antiqua" w:hAnsi="Book Antiqua"/>
          <w:color w:val="000000" w:themeColor="text1"/>
          <w:sz w:val="24"/>
          <w:szCs w:val="24"/>
          <w:lang w:val="en-GB"/>
        </w:rPr>
        <w:t>The clinician could have selected more favourable tumours as we had limited experience for liver graft irradiation.</w:t>
      </w:r>
      <w:bookmarkEnd w:id="5"/>
      <w:r w:rsidR="00DC0CDC" w:rsidRPr="00AC50FA">
        <w:rPr>
          <w:rFonts w:ascii="Book Antiqua" w:hAnsi="Book Antiqua"/>
          <w:color w:val="000000" w:themeColor="text1"/>
          <w:sz w:val="24"/>
          <w:szCs w:val="24"/>
          <w:lang w:val="en-GB"/>
        </w:rPr>
        <w:t xml:space="preserve"> </w:t>
      </w:r>
      <w:r w:rsidR="0005518A" w:rsidRPr="00AC50FA">
        <w:rPr>
          <w:rFonts w:ascii="Book Antiqua" w:hAnsi="Book Antiqua"/>
          <w:color w:val="000000" w:themeColor="text1"/>
          <w:sz w:val="24"/>
          <w:szCs w:val="24"/>
          <w:lang w:val="en-GB"/>
        </w:rPr>
        <w:t>The median tumour size was 2.3</w:t>
      </w:r>
      <w:r w:rsidR="002010A1" w:rsidRPr="00AC50FA">
        <w:rPr>
          <w:rFonts w:ascii="Book Antiqua" w:hAnsi="Book Antiqua"/>
          <w:color w:val="000000" w:themeColor="text1"/>
          <w:sz w:val="24"/>
          <w:szCs w:val="24"/>
          <w:lang w:val="en-GB"/>
        </w:rPr>
        <w:t xml:space="preserve"> </w:t>
      </w:r>
      <w:r w:rsidR="00C87CDA" w:rsidRPr="00AC50FA">
        <w:rPr>
          <w:rFonts w:ascii="Book Antiqua" w:hAnsi="Book Antiqua"/>
          <w:color w:val="000000" w:themeColor="text1"/>
          <w:sz w:val="24"/>
          <w:szCs w:val="24"/>
          <w:lang w:val="en-GB"/>
        </w:rPr>
        <w:t xml:space="preserve">cm (range </w:t>
      </w:r>
      <w:r w:rsidR="0005518A" w:rsidRPr="00AC50FA">
        <w:rPr>
          <w:rFonts w:ascii="Book Antiqua" w:hAnsi="Book Antiqua"/>
          <w:color w:val="000000" w:themeColor="text1"/>
          <w:sz w:val="24"/>
          <w:szCs w:val="24"/>
          <w:lang w:val="en-GB"/>
        </w:rPr>
        <w:t>0.7</w:t>
      </w:r>
      <w:r w:rsidR="00C87CDA" w:rsidRPr="00AC50FA">
        <w:rPr>
          <w:rFonts w:ascii="Book Antiqua" w:hAnsi="Book Antiqua"/>
          <w:color w:val="000000" w:themeColor="text1"/>
          <w:sz w:val="24"/>
          <w:szCs w:val="24"/>
          <w:lang w:val="en-GB"/>
        </w:rPr>
        <w:t>-3.</w:t>
      </w:r>
      <w:r w:rsidR="00CA1C94" w:rsidRPr="00AC50FA">
        <w:rPr>
          <w:rFonts w:ascii="Book Antiqua" w:hAnsi="Book Antiqua"/>
          <w:color w:val="000000" w:themeColor="text1"/>
          <w:sz w:val="24"/>
          <w:szCs w:val="24"/>
          <w:lang w:val="en-GB"/>
        </w:rPr>
        <w:t>6</w:t>
      </w:r>
      <w:r w:rsidR="002010A1" w:rsidRPr="00AC50FA">
        <w:rPr>
          <w:rFonts w:ascii="Book Antiqua" w:hAnsi="Book Antiqua"/>
          <w:color w:val="000000" w:themeColor="text1"/>
          <w:sz w:val="24"/>
          <w:szCs w:val="24"/>
          <w:lang w:val="en-GB"/>
        </w:rPr>
        <w:t xml:space="preserve"> </w:t>
      </w:r>
      <w:r w:rsidR="00C87CDA" w:rsidRPr="00AC50FA">
        <w:rPr>
          <w:rFonts w:ascii="Book Antiqua" w:hAnsi="Book Antiqua"/>
          <w:color w:val="000000" w:themeColor="text1"/>
          <w:sz w:val="24"/>
          <w:szCs w:val="24"/>
          <w:lang w:val="en-GB"/>
        </w:rPr>
        <w:t xml:space="preserve">cm). </w:t>
      </w:r>
      <w:r w:rsidR="00D313A9" w:rsidRPr="00AC50FA">
        <w:rPr>
          <w:rFonts w:ascii="Book Antiqua" w:hAnsi="Book Antiqua"/>
          <w:color w:val="000000" w:themeColor="text1"/>
          <w:sz w:val="24"/>
          <w:szCs w:val="24"/>
          <w:lang w:val="en-GB"/>
        </w:rPr>
        <w:t>One (11%) patient has synchronous pulmonary metastasis managed with concurrent SBRT to the lung. T</w:t>
      </w:r>
      <w:r w:rsidR="00EE1B86" w:rsidRPr="00AC50FA">
        <w:rPr>
          <w:rFonts w:ascii="Book Antiqua" w:hAnsi="Book Antiqua"/>
          <w:color w:val="000000" w:themeColor="text1"/>
          <w:sz w:val="24"/>
          <w:szCs w:val="24"/>
          <w:lang w:val="en-GB"/>
        </w:rPr>
        <w:t xml:space="preserve">wo (22%) patients had IVC tumour </w:t>
      </w:r>
      <w:r w:rsidR="00C87CDA" w:rsidRPr="00AC50FA">
        <w:rPr>
          <w:rFonts w:ascii="Book Antiqua" w:hAnsi="Book Antiqua"/>
          <w:color w:val="000000" w:themeColor="text1"/>
          <w:sz w:val="24"/>
          <w:szCs w:val="24"/>
          <w:lang w:val="en-GB"/>
        </w:rPr>
        <w:t>thrombus.</w:t>
      </w:r>
      <w:r w:rsidR="0004322D" w:rsidRPr="00AC50FA">
        <w:rPr>
          <w:rFonts w:ascii="Book Antiqua" w:hAnsi="Book Antiqua"/>
          <w:color w:val="000000" w:themeColor="text1"/>
          <w:sz w:val="24"/>
          <w:szCs w:val="24"/>
          <w:lang w:val="en-GB"/>
        </w:rPr>
        <w:t xml:space="preserve"> </w:t>
      </w:r>
      <w:r w:rsidR="00CA1C94" w:rsidRPr="00AC50FA">
        <w:rPr>
          <w:rFonts w:ascii="Book Antiqua" w:hAnsi="Book Antiqua"/>
          <w:color w:val="000000" w:themeColor="text1"/>
          <w:sz w:val="24"/>
          <w:szCs w:val="24"/>
          <w:lang w:val="en-GB"/>
        </w:rPr>
        <w:t>There was no portal venous invasion in this series</w:t>
      </w:r>
      <w:r w:rsidR="0004322D" w:rsidRPr="00AC50FA">
        <w:rPr>
          <w:rFonts w:ascii="Book Antiqua" w:hAnsi="Book Antiqua"/>
          <w:color w:val="000000" w:themeColor="text1"/>
          <w:sz w:val="24"/>
          <w:szCs w:val="24"/>
          <w:lang w:val="en-GB"/>
        </w:rPr>
        <w:t xml:space="preserve">. </w:t>
      </w:r>
      <w:r w:rsidR="00C87CDA" w:rsidRPr="00AC50FA">
        <w:rPr>
          <w:rFonts w:ascii="Book Antiqua" w:hAnsi="Book Antiqua"/>
          <w:color w:val="000000" w:themeColor="text1"/>
          <w:sz w:val="24"/>
          <w:szCs w:val="24"/>
          <w:lang w:val="en-GB"/>
        </w:rPr>
        <w:t xml:space="preserve">The serum level of </w:t>
      </w:r>
      <w:r w:rsidR="002010A1" w:rsidRPr="00AC50FA">
        <w:rPr>
          <w:rFonts w:ascii="Book Antiqua" w:hAnsi="Book Antiqua"/>
          <w:color w:val="000000" w:themeColor="text1"/>
          <w:sz w:val="24"/>
          <w:szCs w:val="24"/>
          <w:lang w:val="en-GB"/>
        </w:rPr>
        <w:t xml:space="preserve">alpha-fetoprotein </w:t>
      </w:r>
      <w:r w:rsidR="00C87CDA" w:rsidRPr="00AC50FA">
        <w:rPr>
          <w:rFonts w:ascii="Book Antiqua" w:hAnsi="Book Antiqua"/>
          <w:color w:val="000000" w:themeColor="text1"/>
          <w:sz w:val="24"/>
          <w:szCs w:val="24"/>
          <w:lang w:val="en-GB"/>
        </w:rPr>
        <w:t>ranged from 2 to 1354 ng/</w:t>
      </w:r>
      <w:proofErr w:type="spellStart"/>
      <w:r w:rsidR="00C87CDA" w:rsidRPr="00AC50FA">
        <w:rPr>
          <w:rFonts w:ascii="Book Antiqua" w:hAnsi="Book Antiqua"/>
          <w:color w:val="000000" w:themeColor="text1"/>
          <w:sz w:val="24"/>
          <w:szCs w:val="24"/>
          <w:lang w:val="en-GB"/>
        </w:rPr>
        <w:t>m</w:t>
      </w:r>
      <w:r w:rsidR="00AC50FA" w:rsidRPr="00AC50FA">
        <w:rPr>
          <w:rFonts w:ascii="Book Antiqua" w:hAnsi="Book Antiqua"/>
          <w:color w:val="000000" w:themeColor="text1"/>
          <w:sz w:val="24"/>
          <w:szCs w:val="24"/>
          <w:lang w:val="en-GB" w:eastAsia="zh-CN"/>
        </w:rPr>
        <w:t>L</w:t>
      </w:r>
      <w:r w:rsidR="00C87CDA" w:rsidRPr="00AC50FA">
        <w:rPr>
          <w:rFonts w:ascii="Book Antiqua" w:hAnsi="Book Antiqua"/>
          <w:color w:val="000000" w:themeColor="text1"/>
          <w:sz w:val="24"/>
          <w:szCs w:val="24"/>
          <w:lang w:val="en-GB"/>
        </w:rPr>
        <w:t>.</w:t>
      </w:r>
      <w:proofErr w:type="spellEnd"/>
      <w:r w:rsidR="00C87CDA" w:rsidRPr="00AC50FA">
        <w:rPr>
          <w:rFonts w:ascii="Book Antiqua" w:hAnsi="Book Antiqua"/>
          <w:color w:val="000000" w:themeColor="text1"/>
          <w:sz w:val="24"/>
          <w:szCs w:val="24"/>
          <w:lang w:val="en-GB"/>
        </w:rPr>
        <w:t xml:space="preserve"> </w:t>
      </w:r>
      <w:r w:rsidR="00CA1C94" w:rsidRPr="00AC50FA">
        <w:rPr>
          <w:rFonts w:ascii="Book Antiqua" w:hAnsi="Book Antiqua"/>
          <w:color w:val="000000" w:themeColor="text1"/>
          <w:sz w:val="24"/>
          <w:szCs w:val="24"/>
          <w:lang w:val="en-GB"/>
        </w:rPr>
        <w:t xml:space="preserve">The median treatment dose to tumour was 45 (range 37.5-50) </w:t>
      </w:r>
      <w:proofErr w:type="spellStart"/>
      <w:r w:rsidR="00CA1C94" w:rsidRPr="00AC50FA">
        <w:rPr>
          <w:rFonts w:ascii="Book Antiqua" w:hAnsi="Book Antiqua"/>
          <w:color w:val="000000" w:themeColor="text1"/>
          <w:sz w:val="24"/>
          <w:szCs w:val="24"/>
          <w:lang w:val="en-GB"/>
        </w:rPr>
        <w:t>Gy</w:t>
      </w:r>
      <w:proofErr w:type="spellEnd"/>
      <w:r w:rsidR="00CA1C94" w:rsidRPr="00AC50FA">
        <w:rPr>
          <w:rFonts w:ascii="Book Antiqua" w:hAnsi="Book Antiqua"/>
          <w:color w:val="000000" w:themeColor="text1"/>
          <w:sz w:val="24"/>
          <w:szCs w:val="24"/>
          <w:lang w:val="en-GB"/>
        </w:rPr>
        <w:t xml:space="preserve">. Irradiation was given </w:t>
      </w:r>
      <w:r w:rsidR="00860FA5" w:rsidRPr="00AC50FA">
        <w:rPr>
          <w:rFonts w:ascii="Book Antiqua" w:hAnsi="Book Antiqua"/>
          <w:color w:val="000000" w:themeColor="text1"/>
          <w:sz w:val="24"/>
          <w:szCs w:val="24"/>
          <w:lang w:val="en-GB"/>
        </w:rPr>
        <w:t>over</w:t>
      </w:r>
      <w:r w:rsidR="00CA1C94" w:rsidRPr="00AC50FA">
        <w:rPr>
          <w:rFonts w:ascii="Book Antiqua" w:hAnsi="Book Antiqua"/>
          <w:color w:val="000000" w:themeColor="text1"/>
          <w:sz w:val="24"/>
          <w:szCs w:val="24"/>
          <w:lang w:val="en-GB"/>
        </w:rPr>
        <w:t xml:space="preserve"> </w:t>
      </w:r>
      <w:r w:rsidR="00860FA5" w:rsidRPr="00AC50FA">
        <w:rPr>
          <w:rFonts w:ascii="Book Antiqua" w:hAnsi="Book Antiqua"/>
          <w:color w:val="000000" w:themeColor="text1"/>
          <w:sz w:val="24"/>
          <w:szCs w:val="24"/>
          <w:lang w:val="en-GB"/>
        </w:rPr>
        <w:t xml:space="preserve">5-6 fractions of a median 8 (range 7.5-10) </w:t>
      </w:r>
      <w:proofErr w:type="spellStart"/>
      <w:r w:rsidR="00860FA5" w:rsidRPr="00AC50FA">
        <w:rPr>
          <w:rFonts w:ascii="Book Antiqua" w:hAnsi="Book Antiqua"/>
          <w:color w:val="000000" w:themeColor="text1"/>
          <w:sz w:val="24"/>
          <w:szCs w:val="24"/>
          <w:lang w:val="en-GB"/>
        </w:rPr>
        <w:t>Gy</w:t>
      </w:r>
      <w:proofErr w:type="spellEnd"/>
      <w:r w:rsidR="00860FA5" w:rsidRPr="00AC50FA">
        <w:rPr>
          <w:rFonts w:ascii="Book Antiqua" w:hAnsi="Book Antiqua"/>
          <w:color w:val="000000" w:themeColor="text1"/>
          <w:sz w:val="24"/>
          <w:szCs w:val="24"/>
          <w:lang w:val="en-GB"/>
        </w:rPr>
        <w:t xml:space="preserve">. </w:t>
      </w:r>
      <w:r w:rsidR="0004322D" w:rsidRPr="00AC50FA">
        <w:rPr>
          <w:rFonts w:ascii="Book Antiqua" w:hAnsi="Book Antiqua"/>
          <w:color w:val="000000" w:themeColor="text1"/>
          <w:sz w:val="24"/>
          <w:szCs w:val="24"/>
          <w:lang w:val="en-GB"/>
        </w:rPr>
        <w:t>All patients had concomitant systemic treatment during the study period (</w:t>
      </w:r>
      <w:r w:rsidR="00A74981" w:rsidRPr="00AC50FA">
        <w:rPr>
          <w:rFonts w:ascii="Book Antiqua" w:hAnsi="Book Antiqua"/>
          <w:color w:val="000000" w:themeColor="text1"/>
          <w:sz w:val="24"/>
          <w:szCs w:val="24"/>
          <w:lang w:val="en-GB"/>
        </w:rPr>
        <w:t>Table</w:t>
      </w:r>
      <w:r w:rsidR="0004322D" w:rsidRPr="00AC50FA">
        <w:rPr>
          <w:rFonts w:ascii="Book Antiqua" w:hAnsi="Book Antiqua"/>
          <w:color w:val="000000" w:themeColor="text1"/>
          <w:sz w:val="24"/>
          <w:szCs w:val="24"/>
          <w:lang w:val="en-GB"/>
        </w:rPr>
        <w:t xml:space="preserve"> 1). </w:t>
      </w:r>
      <w:r w:rsidR="005420CE" w:rsidRPr="00AC50FA">
        <w:rPr>
          <w:rFonts w:ascii="Book Antiqua" w:hAnsi="Book Antiqua"/>
          <w:color w:val="000000" w:themeColor="text1"/>
          <w:sz w:val="24"/>
          <w:szCs w:val="24"/>
          <w:lang w:val="en-GB"/>
        </w:rPr>
        <w:t>All of them</w:t>
      </w:r>
      <w:r w:rsidR="0004322D" w:rsidRPr="00AC50FA">
        <w:rPr>
          <w:rFonts w:ascii="Book Antiqua" w:hAnsi="Book Antiqua"/>
          <w:color w:val="000000" w:themeColor="text1"/>
          <w:sz w:val="24"/>
          <w:szCs w:val="24"/>
          <w:lang w:val="en-GB"/>
        </w:rPr>
        <w:t xml:space="preserve"> received </w:t>
      </w:r>
      <w:r w:rsidR="00AC50FA" w:rsidRPr="00AC50FA">
        <w:rPr>
          <w:rFonts w:ascii="Book Antiqua" w:hAnsi="Book Antiqua"/>
          <w:color w:val="000000" w:themeColor="text1"/>
          <w:sz w:val="24"/>
          <w:szCs w:val="24"/>
          <w:lang w:val="en-GB"/>
        </w:rPr>
        <w:t>mammalian target of rapamycin</w:t>
      </w:r>
      <w:r w:rsidR="0004322D" w:rsidRPr="00AC50FA">
        <w:rPr>
          <w:rFonts w:ascii="Book Antiqua" w:hAnsi="Book Antiqua"/>
          <w:color w:val="000000" w:themeColor="text1"/>
          <w:sz w:val="24"/>
          <w:szCs w:val="24"/>
          <w:lang w:val="en-GB"/>
        </w:rPr>
        <w:t xml:space="preserve"> inhibitor (</w:t>
      </w:r>
      <w:r w:rsidR="00AC50FA" w:rsidRPr="00AC50FA">
        <w:rPr>
          <w:rFonts w:ascii="Book Antiqua" w:hAnsi="Book Antiqua"/>
          <w:color w:val="000000" w:themeColor="text1"/>
          <w:sz w:val="24"/>
          <w:szCs w:val="24"/>
          <w:lang w:val="en-GB"/>
        </w:rPr>
        <w:t xml:space="preserve">sirolimus or </w:t>
      </w:r>
      <w:proofErr w:type="spellStart"/>
      <w:r w:rsidR="00AC50FA" w:rsidRPr="00AC50FA">
        <w:rPr>
          <w:rFonts w:ascii="Book Antiqua" w:hAnsi="Book Antiqua"/>
          <w:color w:val="000000" w:themeColor="text1"/>
          <w:sz w:val="24"/>
          <w:szCs w:val="24"/>
          <w:lang w:val="en-GB"/>
        </w:rPr>
        <w:t>everolimus</w:t>
      </w:r>
      <w:proofErr w:type="spellEnd"/>
      <w:r w:rsidR="0004322D" w:rsidRPr="00AC50FA">
        <w:rPr>
          <w:rFonts w:ascii="Book Antiqua" w:hAnsi="Book Antiqua"/>
          <w:color w:val="000000" w:themeColor="text1"/>
          <w:sz w:val="24"/>
          <w:szCs w:val="24"/>
          <w:lang w:val="en-GB"/>
        </w:rPr>
        <w:t xml:space="preserve">) as immunosuppression. Two patients were treated with sorafenib: one as single agent </w:t>
      </w:r>
      <w:r w:rsidR="00D74A16" w:rsidRPr="00AC50FA">
        <w:rPr>
          <w:rFonts w:ascii="Book Antiqua" w:hAnsi="Book Antiqua"/>
          <w:color w:val="000000" w:themeColor="text1"/>
          <w:sz w:val="24"/>
          <w:szCs w:val="24"/>
          <w:lang w:val="en-GB"/>
        </w:rPr>
        <w:t xml:space="preserve">(No. 3) </w:t>
      </w:r>
      <w:r w:rsidR="0004322D" w:rsidRPr="00AC50FA">
        <w:rPr>
          <w:rFonts w:ascii="Book Antiqua" w:hAnsi="Book Antiqua"/>
          <w:color w:val="000000" w:themeColor="text1"/>
          <w:sz w:val="24"/>
          <w:szCs w:val="24"/>
          <w:lang w:val="en-GB"/>
        </w:rPr>
        <w:t>and the other</w:t>
      </w:r>
      <w:r w:rsidR="00D74A16" w:rsidRPr="00AC50FA">
        <w:rPr>
          <w:rFonts w:ascii="Book Antiqua" w:hAnsi="Book Antiqua"/>
          <w:color w:val="000000" w:themeColor="text1"/>
          <w:sz w:val="24"/>
          <w:szCs w:val="24"/>
          <w:lang w:val="en-GB"/>
        </w:rPr>
        <w:t xml:space="preserve"> (No. 1)</w:t>
      </w:r>
      <w:r w:rsidR="0004322D" w:rsidRPr="00AC50FA">
        <w:rPr>
          <w:rFonts w:ascii="Book Antiqua" w:hAnsi="Book Antiqua"/>
          <w:color w:val="000000" w:themeColor="text1"/>
          <w:sz w:val="24"/>
          <w:szCs w:val="24"/>
          <w:lang w:val="en-GB"/>
        </w:rPr>
        <w:t xml:space="preserve"> combined with capecitabine and oxaliplatin (SECOX). </w:t>
      </w:r>
      <w:r w:rsidR="00B729BC" w:rsidRPr="00AC50FA">
        <w:rPr>
          <w:rFonts w:ascii="Book Antiqua" w:hAnsi="Book Antiqua"/>
          <w:color w:val="000000" w:themeColor="text1"/>
          <w:sz w:val="24"/>
          <w:szCs w:val="24"/>
          <w:lang w:val="en-GB"/>
        </w:rPr>
        <w:t xml:space="preserve">One patient </w:t>
      </w:r>
      <w:r w:rsidR="00D74A16" w:rsidRPr="00AC50FA">
        <w:rPr>
          <w:rFonts w:ascii="Book Antiqua" w:hAnsi="Book Antiqua"/>
          <w:color w:val="000000" w:themeColor="text1"/>
          <w:sz w:val="24"/>
          <w:szCs w:val="24"/>
          <w:lang w:val="en-GB"/>
        </w:rPr>
        <w:t xml:space="preserve">(No. 5) </w:t>
      </w:r>
      <w:r w:rsidR="00B729BC" w:rsidRPr="00AC50FA">
        <w:rPr>
          <w:rFonts w:ascii="Book Antiqua" w:hAnsi="Book Antiqua"/>
          <w:color w:val="000000" w:themeColor="text1"/>
          <w:sz w:val="24"/>
          <w:szCs w:val="24"/>
          <w:lang w:val="en-GB"/>
        </w:rPr>
        <w:t xml:space="preserve">received </w:t>
      </w:r>
      <w:proofErr w:type="spellStart"/>
      <w:r w:rsidR="00AC50FA" w:rsidRPr="00AC50FA">
        <w:rPr>
          <w:rFonts w:ascii="Book Antiqua" w:hAnsi="Book Antiqua"/>
          <w:color w:val="000000" w:themeColor="text1"/>
          <w:sz w:val="24"/>
          <w:szCs w:val="24"/>
          <w:lang w:val="en-GB"/>
        </w:rPr>
        <w:t>lenvatinib</w:t>
      </w:r>
      <w:proofErr w:type="spellEnd"/>
      <w:r w:rsidR="00AC50FA" w:rsidRPr="00AC50FA">
        <w:rPr>
          <w:rFonts w:ascii="Book Antiqua" w:hAnsi="Book Antiqua"/>
          <w:color w:val="000000" w:themeColor="text1"/>
          <w:sz w:val="24"/>
          <w:szCs w:val="24"/>
          <w:lang w:val="en-GB"/>
        </w:rPr>
        <w:t xml:space="preserve"> </w:t>
      </w:r>
      <w:r w:rsidR="00DA16A1" w:rsidRPr="00AC50FA">
        <w:rPr>
          <w:rFonts w:ascii="Book Antiqua" w:hAnsi="Book Antiqua"/>
          <w:color w:val="000000" w:themeColor="text1"/>
          <w:sz w:val="24"/>
          <w:szCs w:val="24"/>
          <w:lang w:val="en-GB"/>
        </w:rPr>
        <w:t>upon</w:t>
      </w:r>
      <w:r w:rsidR="00B729BC" w:rsidRPr="00AC50FA">
        <w:rPr>
          <w:rFonts w:ascii="Book Antiqua" w:hAnsi="Book Antiqua"/>
          <w:color w:val="000000" w:themeColor="text1"/>
          <w:sz w:val="24"/>
          <w:szCs w:val="24"/>
          <w:lang w:val="en-GB"/>
        </w:rPr>
        <w:t xml:space="preserve"> completion of SBRT. </w:t>
      </w:r>
      <w:r w:rsidR="00D74A16" w:rsidRPr="00AC50FA">
        <w:rPr>
          <w:rFonts w:ascii="Book Antiqua" w:hAnsi="Book Antiqua"/>
          <w:color w:val="000000" w:themeColor="text1"/>
          <w:sz w:val="24"/>
          <w:szCs w:val="24"/>
          <w:lang w:val="en-GB"/>
        </w:rPr>
        <w:t xml:space="preserve">One patient (No. 6) received trans-arterial chemoembolization (TACE) while awaiting SBRT. </w:t>
      </w:r>
    </w:p>
    <w:p w14:paraId="09096CE4" w14:textId="77777777"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4329655D" w14:textId="77777777" w:rsidR="00DA16A1" w:rsidRPr="00AC50FA" w:rsidRDefault="00DA16A1" w:rsidP="00AC50FA">
      <w:pPr>
        <w:snapToGrid w:val="0"/>
        <w:spacing w:after="0" w:line="360" w:lineRule="auto"/>
        <w:jc w:val="both"/>
        <w:rPr>
          <w:rFonts w:ascii="Book Antiqua" w:hAnsi="Book Antiqua"/>
          <w:b/>
          <w:bCs/>
          <w:i/>
          <w:iCs/>
          <w:color w:val="000000" w:themeColor="text1"/>
          <w:sz w:val="24"/>
          <w:szCs w:val="24"/>
          <w:lang w:val="en-GB"/>
        </w:rPr>
      </w:pPr>
      <w:r w:rsidRPr="00AC50FA">
        <w:rPr>
          <w:rFonts w:ascii="Book Antiqua" w:hAnsi="Book Antiqua"/>
          <w:b/>
          <w:bCs/>
          <w:i/>
          <w:iCs/>
          <w:color w:val="000000" w:themeColor="text1"/>
          <w:sz w:val="24"/>
          <w:szCs w:val="24"/>
          <w:lang w:val="en-GB"/>
        </w:rPr>
        <w:t>Outcomes</w:t>
      </w:r>
    </w:p>
    <w:p w14:paraId="33120548" w14:textId="6B028E9E" w:rsidR="00C81C7C" w:rsidRPr="00AC50FA" w:rsidRDefault="00314256"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The best local treatment response after SBRT wa</w:t>
      </w:r>
      <w:r w:rsidR="00F469A8" w:rsidRPr="00AC50FA">
        <w:rPr>
          <w:rFonts w:ascii="Book Antiqua" w:hAnsi="Book Antiqua"/>
          <w:color w:val="000000" w:themeColor="text1"/>
          <w:sz w:val="24"/>
          <w:szCs w:val="24"/>
          <w:lang w:val="en-GB"/>
        </w:rPr>
        <w:t>s</w:t>
      </w:r>
      <w:r w:rsidRPr="00AC50FA">
        <w:rPr>
          <w:rFonts w:ascii="Book Antiqua" w:hAnsi="Book Antiqua"/>
          <w:color w:val="000000" w:themeColor="text1"/>
          <w:sz w:val="24"/>
          <w:szCs w:val="24"/>
          <w:lang w:val="en-GB"/>
        </w:rPr>
        <w:t>: 5 (55%) complete response, 1 (11%) partial response and 3 (33%) stable disease</w:t>
      </w:r>
      <w:r w:rsidR="00EC44BB" w:rsidRPr="00AC50FA">
        <w:rPr>
          <w:rFonts w:ascii="Book Antiqua" w:hAnsi="Book Antiqua"/>
          <w:color w:val="000000" w:themeColor="text1"/>
          <w:sz w:val="24"/>
          <w:szCs w:val="24"/>
          <w:lang w:val="en-GB"/>
        </w:rPr>
        <w:t xml:space="preserve"> (Figure </w:t>
      </w:r>
      <w:r w:rsidR="00A74981" w:rsidRPr="00AC50FA">
        <w:rPr>
          <w:rFonts w:ascii="Book Antiqua" w:hAnsi="Book Antiqua"/>
          <w:color w:val="000000" w:themeColor="text1"/>
          <w:sz w:val="24"/>
          <w:szCs w:val="24"/>
          <w:lang w:val="en-GB"/>
        </w:rPr>
        <w:t>1</w:t>
      </w:r>
      <w:r w:rsidR="008C19F0" w:rsidRPr="00AC50FA">
        <w:rPr>
          <w:rFonts w:ascii="Book Antiqua" w:hAnsi="Book Antiqua"/>
          <w:color w:val="000000" w:themeColor="text1"/>
          <w:sz w:val="24"/>
          <w:szCs w:val="24"/>
          <w:lang w:val="en-GB"/>
        </w:rPr>
        <w:t>A</w:t>
      </w:r>
      <w:r w:rsidR="00EC44BB" w:rsidRPr="00AC50FA">
        <w:rPr>
          <w:rFonts w:ascii="Book Antiqua" w:hAnsi="Book Antiqua"/>
          <w:color w:val="000000" w:themeColor="text1"/>
          <w:sz w:val="24"/>
          <w:szCs w:val="24"/>
          <w:lang w:val="en-GB"/>
        </w:rPr>
        <w:t>)</w:t>
      </w:r>
      <w:r w:rsidRPr="00AC50FA">
        <w:rPr>
          <w:rFonts w:ascii="Book Antiqua" w:hAnsi="Book Antiqua"/>
          <w:color w:val="000000" w:themeColor="text1"/>
          <w:sz w:val="24"/>
          <w:szCs w:val="24"/>
          <w:lang w:val="en-GB"/>
        </w:rPr>
        <w:t>.</w:t>
      </w:r>
      <w:r w:rsidR="00EC44BB" w:rsidRPr="00AC50FA">
        <w:rPr>
          <w:rFonts w:ascii="Book Antiqua" w:hAnsi="Book Antiqua"/>
          <w:color w:val="000000" w:themeColor="text1"/>
          <w:sz w:val="24"/>
          <w:szCs w:val="24"/>
          <w:lang w:val="en-GB"/>
        </w:rPr>
        <w:t xml:space="preserve"> </w:t>
      </w:r>
      <w:r w:rsidR="004C6029" w:rsidRPr="00AC50FA">
        <w:rPr>
          <w:rFonts w:ascii="Book Antiqua" w:hAnsi="Book Antiqua"/>
          <w:color w:val="000000" w:themeColor="text1"/>
          <w:sz w:val="24"/>
          <w:szCs w:val="24"/>
          <w:lang w:val="en-GB"/>
        </w:rPr>
        <w:t>The median follow</w:t>
      </w:r>
      <w:r w:rsidR="00163FA1" w:rsidRPr="00AC50FA">
        <w:rPr>
          <w:rFonts w:ascii="Book Antiqua" w:hAnsi="Book Antiqua"/>
          <w:color w:val="000000" w:themeColor="text1"/>
          <w:sz w:val="24"/>
          <w:szCs w:val="24"/>
          <w:lang w:val="en-GB"/>
        </w:rPr>
        <w:t>-</w:t>
      </w:r>
      <w:r w:rsidR="004C6029" w:rsidRPr="00AC50FA">
        <w:rPr>
          <w:rFonts w:ascii="Book Antiqua" w:hAnsi="Book Antiqua"/>
          <w:color w:val="000000" w:themeColor="text1"/>
          <w:sz w:val="24"/>
          <w:szCs w:val="24"/>
          <w:lang w:val="en-GB"/>
        </w:rPr>
        <w:t xml:space="preserve">up duration </w:t>
      </w:r>
      <w:r w:rsidR="004C6029" w:rsidRPr="00AC50FA">
        <w:rPr>
          <w:rFonts w:ascii="Book Antiqua" w:hAnsi="Book Antiqua"/>
          <w:color w:val="000000" w:themeColor="text1"/>
          <w:sz w:val="24"/>
          <w:szCs w:val="24"/>
          <w:lang w:val="en-GB"/>
        </w:rPr>
        <w:lastRenderedPageBreak/>
        <w:t xml:space="preserve">after SBRT were 15.5 </w:t>
      </w:r>
      <w:proofErr w:type="spellStart"/>
      <w:r w:rsidR="004C6029" w:rsidRPr="00AC50FA">
        <w:rPr>
          <w:rFonts w:ascii="Book Antiqua" w:hAnsi="Book Antiqua"/>
          <w:color w:val="000000" w:themeColor="text1"/>
          <w:sz w:val="24"/>
          <w:szCs w:val="24"/>
          <w:lang w:val="en-GB"/>
        </w:rPr>
        <w:t>mo</w:t>
      </w:r>
      <w:proofErr w:type="spellEnd"/>
      <w:r w:rsidR="004C6029" w:rsidRPr="00AC50FA">
        <w:rPr>
          <w:rFonts w:ascii="Book Antiqua" w:hAnsi="Book Antiqua"/>
          <w:color w:val="000000" w:themeColor="text1"/>
          <w:sz w:val="24"/>
          <w:szCs w:val="24"/>
          <w:lang w:val="en-GB"/>
        </w:rPr>
        <w:t xml:space="preserve"> from SBRT and 24.9 </w:t>
      </w:r>
      <w:proofErr w:type="spellStart"/>
      <w:r w:rsidR="004C6029" w:rsidRPr="00AC50FA">
        <w:rPr>
          <w:rFonts w:ascii="Book Antiqua" w:hAnsi="Book Antiqua"/>
          <w:color w:val="000000" w:themeColor="text1"/>
          <w:sz w:val="24"/>
          <w:szCs w:val="24"/>
          <w:lang w:val="en-GB"/>
        </w:rPr>
        <w:t>mo</w:t>
      </w:r>
      <w:proofErr w:type="spellEnd"/>
      <w:r w:rsidR="004C6029" w:rsidRPr="00AC50FA">
        <w:rPr>
          <w:rFonts w:ascii="Book Antiqua" w:hAnsi="Book Antiqua"/>
          <w:color w:val="000000" w:themeColor="text1"/>
          <w:sz w:val="24"/>
          <w:szCs w:val="24"/>
          <w:lang w:val="en-GB"/>
        </w:rPr>
        <w:t xml:space="preserve"> from the first recurrence. No local progression or mortality was yet observed. There were 7 disease progressions</w:t>
      </w:r>
      <w:r w:rsidR="00A47947" w:rsidRPr="00AC50FA">
        <w:rPr>
          <w:rFonts w:ascii="Book Antiqua" w:hAnsi="Book Antiqua"/>
          <w:color w:val="000000" w:themeColor="text1"/>
          <w:sz w:val="24"/>
          <w:szCs w:val="24"/>
          <w:lang w:val="en-GB"/>
        </w:rPr>
        <w:t xml:space="preserve"> (78%, including</w:t>
      </w:r>
      <w:r w:rsidR="004C6029" w:rsidRPr="00AC50FA">
        <w:rPr>
          <w:rFonts w:ascii="Book Antiqua" w:hAnsi="Book Antiqua"/>
          <w:color w:val="000000" w:themeColor="text1"/>
          <w:sz w:val="24"/>
          <w:szCs w:val="24"/>
          <w:lang w:val="en-GB"/>
        </w:rPr>
        <w:t xml:space="preserve"> </w:t>
      </w:r>
      <w:r w:rsidR="00A47947" w:rsidRPr="00AC50FA">
        <w:rPr>
          <w:rFonts w:ascii="Book Antiqua" w:hAnsi="Book Antiqua"/>
          <w:color w:val="000000" w:themeColor="text1"/>
          <w:sz w:val="24"/>
          <w:szCs w:val="24"/>
          <w:lang w:val="en-GB"/>
        </w:rPr>
        <w:t>5</w:t>
      </w:r>
      <w:r w:rsidR="004C6029" w:rsidRPr="00AC50FA">
        <w:rPr>
          <w:rFonts w:ascii="Book Antiqua" w:hAnsi="Book Antiqua"/>
          <w:color w:val="000000" w:themeColor="text1"/>
          <w:sz w:val="24"/>
          <w:szCs w:val="24"/>
          <w:lang w:val="en-GB"/>
        </w:rPr>
        <w:t xml:space="preserve"> </w:t>
      </w:r>
      <w:r w:rsidR="00AC50FA" w:rsidRPr="00AC50FA">
        <w:rPr>
          <w:rFonts w:ascii="Book Antiqua" w:hAnsi="Book Antiqua"/>
          <w:color w:val="000000" w:themeColor="text1"/>
          <w:sz w:val="24"/>
          <w:szCs w:val="24"/>
          <w:lang w:val="en-GB"/>
        </w:rPr>
        <w:t>regionals</w:t>
      </w:r>
      <w:r w:rsidR="004C6029" w:rsidRPr="00AC50FA">
        <w:rPr>
          <w:rFonts w:ascii="Book Antiqua" w:hAnsi="Book Antiqua"/>
          <w:color w:val="000000" w:themeColor="text1"/>
          <w:sz w:val="24"/>
          <w:szCs w:val="24"/>
          <w:lang w:val="en-GB"/>
        </w:rPr>
        <w:t xml:space="preserve"> </w:t>
      </w:r>
      <w:r w:rsidR="004C6029" w:rsidRPr="00AC50FA">
        <w:rPr>
          <w:rFonts w:ascii="Book Antiqua" w:hAnsi="Book Antiqua"/>
          <w:i/>
          <w:iCs/>
          <w:color w:val="000000" w:themeColor="text1"/>
          <w:sz w:val="24"/>
          <w:szCs w:val="24"/>
          <w:lang w:val="en-GB"/>
        </w:rPr>
        <w:t>i.e.</w:t>
      </w:r>
      <w:r w:rsidR="00AC50FA" w:rsidRPr="00AC50FA">
        <w:rPr>
          <w:rFonts w:ascii="Book Antiqua" w:hAnsi="Book Antiqua"/>
          <w:color w:val="000000" w:themeColor="text1"/>
          <w:sz w:val="24"/>
          <w:szCs w:val="24"/>
          <w:lang w:val="en-GB"/>
        </w:rPr>
        <w:t>,</w:t>
      </w:r>
      <w:r w:rsidR="004C6029" w:rsidRPr="00AC50FA">
        <w:rPr>
          <w:rFonts w:ascii="Book Antiqua" w:hAnsi="Book Antiqua"/>
          <w:color w:val="000000" w:themeColor="text1"/>
          <w:sz w:val="24"/>
          <w:szCs w:val="24"/>
          <w:lang w:val="en-GB"/>
        </w:rPr>
        <w:t xml:space="preserve"> in the liver graft</w:t>
      </w:r>
      <w:r w:rsidR="005C509C" w:rsidRPr="00AC50FA">
        <w:rPr>
          <w:rFonts w:ascii="Book Antiqua" w:hAnsi="Book Antiqua"/>
          <w:color w:val="000000" w:themeColor="text1"/>
          <w:sz w:val="24"/>
          <w:szCs w:val="24"/>
          <w:lang w:val="en-GB"/>
        </w:rPr>
        <w:t xml:space="preserve"> (</w:t>
      </w:r>
      <w:r w:rsidR="00A47947" w:rsidRPr="00AC50FA">
        <w:rPr>
          <w:rFonts w:ascii="Book Antiqua" w:hAnsi="Book Antiqua"/>
          <w:color w:val="000000" w:themeColor="text1"/>
          <w:sz w:val="24"/>
          <w:szCs w:val="24"/>
          <w:lang w:val="en-GB"/>
        </w:rPr>
        <w:t xml:space="preserve">56%), 1 distant in the lung (11%) and 1 concurrent in liver and </w:t>
      </w:r>
      <w:r w:rsidR="004C6029" w:rsidRPr="00AC50FA">
        <w:rPr>
          <w:rFonts w:ascii="Book Antiqua" w:hAnsi="Book Antiqua"/>
          <w:color w:val="000000" w:themeColor="text1"/>
          <w:sz w:val="24"/>
          <w:szCs w:val="24"/>
          <w:lang w:val="en-GB"/>
        </w:rPr>
        <w:t>lung (</w:t>
      </w:r>
      <w:r w:rsidR="00A47947" w:rsidRPr="00AC50FA">
        <w:rPr>
          <w:rFonts w:ascii="Book Antiqua" w:hAnsi="Book Antiqua"/>
          <w:color w:val="000000" w:themeColor="text1"/>
          <w:sz w:val="24"/>
          <w:szCs w:val="24"/>
          <w:lang w:val="en-GB"/>
        </w:rPr>
        <w:t>11</w:t>
      </w:r>
      <w:r w:rsidR="004C6029" w:rsidRPr="00AC50FA">
        <w:rPr>
          <w:rFonts w:ascii="Book Antiqua" w:hAnsi="Book Antiqua"/>
          <w:color w:val="000000" w:themeColor="text1"/>
          <w:sz w:val="24"/>
          <w:szCs w:val="24"/>
          <w:lang w:val="en-GB"/>
        </w:rPr>
        <w:t>%)</w:t>
      </w:r>
      <w:r w:rsidR="00AE5DE2" w:rsidRPr="00AC50FA">
        <w:rPr>
          <w:rFonts w:ascii="Book Antiqua" w:hAnsi="Book Antiqua"/>
          <w:color w:val="000000" w:themeColor="text1"/>
          <w:sz w:val="24"/>
          <w:szCs w:val="24"/>
          <w:lang w:val="en-GB"/>
        </w:rPr>
        <w:t xml:space="preserve"> (Figure </w:t>
      </w:r>
      <w:r w:rsidR="008C19F0" w:rsidRPr="00AC50FA">
        <w:rPr>
          <w:rFonts w:ascii="Book Antiqua" w:hAnsi="Book Antiqua"/>
          <w:color w:val="000000" w:themeColor="text1"/>
          <w:sz w:val="24"/>
          <w:szCs w:val="24"/>
          <w:lang w:val="en-GB"/>
        </w:rPr>
        <w:t>1B</w:t>
      </w:r>
      <w:r w:rsidR="00AE5DE2" w:rsidRPr="00AC50FA">
        <w:rPr>
          <w:rFonts w:ascii="Book Antiqua" w:hAnsi="Book Antiqua"/>
          <w:color w:val="000000" w:themeColor="text1"/>
          <w:sz w:val="24"/>
          <w:szCs w:val="24"/>
          <w:lang w:val="en-GB"/>
        </w:rPr>
        <w:t>)</w:t>
      </w:r>
      <w:r w:rsidR="003F4630" w:rsidRPr="00AC50FA">
        <w:rPr>
          <w:rFonts w:ascii="Book Antiqua" w:hAnsi="Book Antiqua"/>
          <w:color w:val="000000" w:themeColor="text1"/>
          <w:sz w:val="24"/>
          <w:szCs w:val="24"/>
          <w:lang w:val="en-GB"/>
        </w:rPr>
        <w:t xml:space="preserve">. </w:t>
      </w:r>
      <w:r w:rsidR="005D654A" w:rsidRPr="00AC50FA">
        <w:rPr>
          <w:rFonts w:ascii="Book Antiqua" w:hAnsi="Book Antiqua"/>
          <w:color w:val="000000" w:themeColor="text1"/>
          <w:sz w:val="24"/>
          <w:szCs w:val="24"/>
          <w:lang w:val="en-GB"/>
        </w:rPr>
        <w:t>T</w:t>
      </w:r>
      <w:r w:rsidR="00110186" w:rsidRPr="00AC50FA">
        <w:rPr>
          <w:rFonts w:ascii="Book Antiqua" w:hAnsi="Book Antiqua"/>
          <w:color w:val="000000" w:themeColor="text1"/>
          <w:sz w:val="24"/>
          <w:szCs w:val="24"/>
          <w:lang w:val="en-GB"/>
        </w:rPr>
        <w:t>he</w:t>
      </w:r>
      <w:r w:rsidR="003F4630" w:rsidRPr="00AC50FA">
        <w:rPr>
          <w:rFonts w:ascii="Book Antiqua" w:hAnsi="Book Antiqua"/>
          <w:color w:val="000000" w:themeColor="text1"/>
          <w:sz w:val="24"/>
          <w:szCs w:val="24"/>
          <w:lang w:val="en-GB"/>
        </w:rPr>
        <w:t xml:space="preserve"> median time to</w:t>
      </w:r>
      <w:r w:rsidR="00D74AEC" w:rsidRPr="00AC50FA">
        <w:rPr>
          <w:rFonts w:ascii="Book Antiqua" w:hAnsi="Book Antiqua"/>
          <w:color w:val="000000" w:themeColor="text1"/>
          <w:sz w:val="24"/>
          <w:szCs w:val="24"/>
          <w:lang w:val="en-GB"/>
        </w:rPr>
        <w:t xml:space="preserve"> </w:t>
      </w:r>
      <w:r w:rsidR="009F6813" w:rsidRPr="00AC50FA">
        <w:rPr>
          <w:rFonts w:ascii="Book Antiqua" w:hAnsi="Book Antiqua"/>
          <w:color w:val="000000" w:themeColor="text1"/>
          <w:sz w:val="24"/>
          <w:szCs w:val="24"/>
          <w:lang w:val="en-GB"/>
        </w:rPr>
        <w:t xml:space="preserve">overall </w:t>
      </w:r>
      <w:r w:rsidR="003F4630" w:rsidRPr="00AC50FA">
        <w:rPr>
          <w:rFonts w:ascii="Book Antiqua" w:hAnsi="Book Antiqua"/>
          <w:color w:val="000000" w:themeColor="text1"/>
          <w:sz w:val="24"/>
          <w:szCs w:val="24"/>
          <w:lang w:val="en-GB"/>
        </w:rPr>
        <w:t xml:space="preserve">disease progression was </w:t>
      </w:r>
      <w:r w:rsidR="005D654A" w:rsidRPr="00AC50FA">
        <w:rPr>
          <w:rFonts w:ascii="Book Antiqua" w:hAnsi="Book Antiqua"/>
          <w:color w:val="000000" w:themeColor="text1"/>
          <w:sz w:val="24"/>
          <w:szCs w:val="24"/>
          <w:lang w:val="en-GB"/>
        </w:rPr>
        <w:t>6.5</w:t>
      </w:r>
      <w:r w:rsidR="003F4630" w:rsidRPr="00AC50FA">
        <w:rPr>
          <w:rFonts w:ascii="Book Antiqua" w:hAnsi="Book Antiqua"/>
          <w:color w:val="000000" w:themeColor="text1"/>
          <w:sz w:val="24"/>
          <w:szCs w:val="24"/>
          <w:lang w:val="en-GB"/>
        </w:rPr>
        <w:t xml:space="preserve"> </w:t>
      </w:r>
      <w:proofErr w:type="spellStart"/>
      <w:r w:rsidR="003F4630" w:rsidRPr="00AC50FA">
        <w:rPr>
          <w:rFonts w:ascii="Book Antiqua" w:hAnsi="Book Antiqua"/>
          <w:color w:val="000000" w:themeColor="text1"/>
          <w:sz w:val="24"/>
          <w:szCs w:val="24"/>
          <w:lang w:val="en-GB"/>
        </w:rPr>
        <w:t>mo</w:t>
      </w:r>
      <w:proofErr w:type="spellEnd"/>
      <w:r w:rsidR="008E13C0">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 xml:space="preserve">(Figure </w:t>
      </w:r>
      <w:r w:rsidR="008C19F0" w:rsidRPr="00AC50FA">
        <w:rPr>
          <w:rFonts w:ascii="Book Antiqua" w:hAnsi="Book Antiqua"/>
          <w:color w:val="000000" w:themeColor="text1"/>
          <w:sz w:val="24"/>
          <w:szCs w:val="24"/>
          <w:lang w:val="en-GB"/>
        </w:rPr>
        <w:t>2</w:t>
      </w:r>
      <w:r w:rsidR="00644879" w:rsidRPr="00AC50FA">
        <w:rPr>
          <w:rFonts w:ascii="Book Antiqua" w:hAnsi="Book Antiqua"/>
          <w:color w:val="000000" w:themeColor="text1"/>
          <w:sz w:val="24"/>
          <w:szCs w:val="24"/>
          <w:lang w:val="en-GB"/>
        </w:rPr>
        <w:t>)</w:t>
      </w:r>
      <w:r w:rsidR="003F4630" w:rsidRPr="00AC50FA">
        <w:rPr>
          <w:rFonts w:ascii="Book Antiqua" w:hAnsi="Book Antiqua"/>
          <w:color w:val="000000" w:themeColor="text1"/>
          <w:sz w:val="24"/>
          <w:szCs w:val="24"/>
          <w:lang w:val="en-GB"/>
        </w:rPr>
        <w:t xml:space="preserve">. </w:t>
      </w:r>
      <w:r w:rsidR="00580D85" w:rsidRPr="00AC50FA">
        <w:rPr>
          <w:rFonts w:ascii="Book Antiqua" w:hAnsi="Book Antiqua"/>
          <w:color w:val="000000" w:themeColor="text1"/>
          <w:sz w:val="24"/>
          <w:szCs w:val="24"/>
          <w:lang w:val="en-GB"/>
        </w:rPr>
        <w:t>All patients were surviving a</w:t>
      </w:r>
      <w:r w:rsidR="0070793A" w:rsidRPr="00AC50FA">
        <w:rPr>
          <w:rFonts w:ascii="Book Antiqua" w:hAnsi="Book Antiqua"/>
          <w:color w:val="000000" w:themeColor="text1"/>
          <w:sz w:val="24"/>
          <w:szCs w:val="24"/>
          <w:lang w:val="en-GB"/>
        </w:rPr>
        <w:t xml:space="preserve">t the time of </w:t>
      </w:r>
      <w:r w:rsidR="00C36198" w:rsidRPr="00AC50FA">
        <w:rPr>
          <w:rFonts w:ascii="Book Antiqua" w:hAnsi="Book Antiqua"/>
          <w:color w:val="000000" w:themeColor="text1"/>
          <w:sz w:val="24"/>
          <w:szCs w:val="24"/>
          <w:lang w:val="en-GB"/>
        </w:rPr>
        <w:t>writing.</w:t>
      </w:r>
    </w:p>
    <w:p w14:paraId="58DCB391" w14:textId="45BE34E3" w:rsidR="00C81C7C" w:rsidRPr="00AC50FA" w:rsidRDefault="009879BE"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The representative images of p</w:t>
      </w:r>
      <w:r w:rsidR="00163FA1" w:rsidRPr="00AC50FA">
        <w:rPr>
          <w:rFonts w:ascii="Book Antiqua" w:hAnsi="Book Antiqua"/>
          <w:color w:val="000000" w:themeColor="text1"/>
          <w:sz w:val="24"/>
          <w:szCs w:val="24"/>
          <w:lang w:val="en-GB"/>
        </w:rPr>
        <w:t>atient No. 2</w:t>
      </w:r>
      <w:r w:rsidRPr="00AC50FA">
        <w:rPr>
          <w:rFonts w:ascii="Book Antiqua" w:hAnsi="Book Antiqua"/>
          <w:color w:val="000000" w:themeColor="text1"/>
          <w:sz w:val="24"/>
          <w:szCs w:val="24"/>
          <w:lang w:val="en-GB"/>
        </w:rPr>
        <w:t xml:space="preserve"> were shown in Figure 3</w:t>
      </w:r>
      <w:r w:rsidR="00163FA1" w:rsidRPr="00AC50FA">
        <w:rPr>
          <w:rFonts w:ascii="Book Antiqua" w:hAnsi="Book Antiqua"/>
          <w:color w:val="000000" w:themeColor="text1"/>
          <w:sz w:val="24"/>
          <w:szCs w:val="24"/>
          <w:lang w:val="en-GB"/>
        </w:rPr>
        <w:t>.</w:t>
      </w:r>
      <w:r w:rsidR="00D01EB4" w:rsidRPr="00AC50FA">
        <w:rPr>
          <w:rFonts w:ascii="Book Antiqua" w:hAnsi="Book Antiqua"/>
          <w:color w:val="000000" w:themeColor="text1"/>
          <w:sz w:val="24"/>
          <w:szCs w:val="24"/>
          <w:lang w:val="en-GB"/>
        </w:rPr>
        <w:t xml:space="preserve"> He </w:t>
      </w:r>
      <w:r w:rsidR="00C81C7C" w:rsidRPr="00AC50FA">
        <w:rPr>
          <w:rFonts w:ascii="Book Antiqua" w:hAnsi="Book Antiqua"/>
          <w:color w:val="000000" w:themeColor="text1"/>
          <w:sz w:val="24"/>
          <w:szCs w:val="24"/>
          <w:lang w:val="en-GB"/>
        </w:rPr>
        <w:t>received</w:t>
      </w:r>
      <w:r w:rsidR="00AB4A38" w:rsidRPr="00AC50FA">
        <w:rPr>
          <w:rFonts w:ascii="Book Antiqua" w:hAnsi="Book Antiqua"/>
          <w:color w:val="000000" w:themeColor="text1"/>
          <w:sz w:val="24"/>
          <w:szCs w:val="24"/>
          <w:lang w:val="en-GB"/>
        </w:rPr>
        <w:t xml:space="preserve"> a total of</w:t>
      </w:r>
      <w:r w:rsidR="00C81C7C" w:rsidRPr="00AC50FA">
        <w:rPr>
          <w:rFonts w:ascii="Book Antiqua" w:hAnsi="Book Antiqua"/>
          <w:color w:val="000000" w:themeColor="text1"/>
          <w:sz w:val="24"/>
          <w:szCs w:val="24"/>
          <w:lang w:val="en-GB"/>
        </w:rPr>
        <w:t xml:space="preserve"> 3 courses of SBRT for</w:t>
      </w:r>
      <w:r w:rsidR="00AE4E5D" w:rsidRPr="00AC50FA">
        <w:rPr>
          <w:rFonts w:ascii="Book Antiqua" w:hAnsi="Book Antiqua"/>
          <w:color w:val="000000" w:themeColor="text1"/>
          <w:sz w:val="24"/>
          <w:szCs w:val="24"/>
          <w:lang w:val="en-GB"/>
        </w:rPr>
        <w:t xml:space="preserve"> repeated</w:t>
      </w:r>
      <w:r w:rsidR="00C81C7C" w:rsidRPr="00AC50FA">
        <w:rPr>
          <w:rFonts w:ascii="Book Antiqua" w:hAnsi="Book Antiqua"/>
          <w:color w:val="000000" w:themeColor="text1"/>
          <w:sz w:val="24"/>
          <w:szCs w:val="24"/>
          <w:lang w:val="en-GB"/>
        </w:rPr>
        <w:t xml:space="preserve"> intrahepatic recurrence after right lobe liver transplant. </w:t>
      </w:r>
      <w:r w:rsidRPr="00AC50FA">
        <w:rPr>
          <w:rFonts w:ascii="Book Antiqua" w:hAnsi="Book Antiqua"/>
          <w:color w:val="000000" w:themeColor="text1"/>
          <w:sz w:val="24"/>
          <w:szCs w:val="24"/>
          <w:lang w:val="en-GB"/>
        </w:rPr>
        <w:t xml:space="preserve">There were </w:t>
      </w:r>
      <w:r w:rsidR="007D5E8F" w:rsidRPr="00AC50FA">
        <w:rPr>
          <w:rFonts w:ascii="Book Antiqua" w:hAnsi="Book Antiqua"/>
          <w:color w:val="000000" w:themeColor="text1"/>
          <w:sz w:val="24"/>
          <w:szCs w:val="24"/>
          <w:lang w:val="en-GB"/>
        </w:rPr>
        <w:t>2</w:t>
      </w:r>
      <w:r w:rsidRPr="00AC50FA">
        <w:rPr>
          <w:rFonts w:ascii="Book Antiqua" w:hAnsi="Book Antiqua"/>
          <w:color w:val="000000" w:themeColor="text1"/>
          <w:sz w:val="24"/>
          <w:szCs w:val="24"/>
          <w:lang w:val="en-GB"/>
        </w:rPr>
        <w:t xml:space="preserve"> tumours upon </w:t>
      </w:r>
      <w:r w:rsidR="00F94264" w:rsidRPr="00AC50FA">
        <w:rPr>
          <w:rFonts w:ascii="Book Antiqua" w:hAnsi="Book Antiqua"/>
          <w:color w:val="000000" w:themeColor="text1"/>
          <w:sz w:val="24"/>
          <w:szCs w:val="24"/>
          <w:lang w:val="en-GB"/>
        </w:rPr>
        <w:t>initial</w:t>
      </w:r>
      <w:r w:rsidR="003417CB" w:rsidRPr="00AC50FA">
        <w:rPr>
          <w:rFonts w:ascii="Book Antiqua" w:hAnsi="Book Antiqua"/>
          <w:color w:val="000000" w:themeColor="text1"/>
          <w:sz w:val="24"/>
          <w:szCs w:val="24"/>
          <w:lang w:val="en-GB"/>
        </w:rPr>
        <w:t xml:space="preserve"> recurrence</w:t>
      </w:r>
      <w:r w:rsidR="009B4380" w:rsidRPr="00AC50FA">
        <w:rPr>
          <w:rFonts w:ascii="Book Antiqua" w:hAnsi="Book Antiqua"/>
          <w:color w:val="000000" w:themeColor="text1"/>
          <w:sz w:val="24"/>
          <w:szCs w:val="24"/>
          <w:lang w:val="en-GB"/>
        </w:rPr>
        <w:t>,</w:t>
      </w:r>
      <w:r w:rsidR="003417CB" w:rsidRPr="00AC50FA">
        <w:rPr>
          <w:rFonts w:ascii="Book Antiqua" w:hAnsi="Book Antiqua"/>
          <w:color w:val="000000" w:themeColor="text1"/>
          <w:sz w:val="24"/>
          <w:szCs w:val="24"/>
          <w:lang w:val="en-GB"/>
        </w:rPr>
        <w:t xml:space="preserve"> </w:t>
      </w:r>
      <w:r w:rsidR="00F07DB4" w:rsidRPr="00AC50FA">
        <w:rPr>
          <w:rFonts w:ascii="Book Antiqua" w:hAnsi="Book Antiqua"/>
          <w:color w:val="000000" w:themeColor="text1"/>
          <w:sz w:val="24"/>
          <w:szCs w:val="24"/>
          <w:lang w:val="en-GB"/>
        </w:rPr>
        <w:t>one at S8 and one a</w:t>
      </w:r>
      <w:r w:rsidRPr="00AC50FA">
        <w:rPr>
          <w:rFonts w:ascii="Book Antiqua" w:hAnsi="Book Antiqua"/>
          <w:color w:val="000000" w:themeColor="text1"/>
          <w:sz w:val="24"/>
          <w:szCs w:val="24"/>
          <w:lang w:val="en-GB"/>
        </w:rPr>
        <w:t xml:space="preserve">t S7 </w:t>
      </w:r>
      <w:r w:rsidR="00596C71" w:rsidRPr="00AC50FA">
        <w:rPr>
          <w:rFonts w:ascii="Book Antiqua" w:hAnsi="Book Antiqua"/>
          <w:color w:val="000000" w:themeColor="text1"/>
          <w:sz w:val="24"/>
          <w:szCs w:val="24"/>
          <w:lang w:val="en-GB"/>
        </w:rPr>
        <w:t xml:space="preserve">extending into </w:t>
      </w:r>
      <w:r w:rsidR="009B4380" w:rsidRPr="00AC50FA">
        <w:rPr>
          <w:rFonts w:ascii="Book Antiqua" w:hAnsi="Book Antiqua"/>
          <w:color w:val="000000" w:themeColor="text1"/>
          <w:sz w:val="24"/>
          <w:szCs w:val="24"/>
          <w:lang w:val="en-GB"/>
        </w:rPr>
        <w:t xml:space="preserve">the </w:t>
      </w:r>
      <w:r w:rsidR="00596C71" w:rsidRPr="00AC50FA">
        <w:rPr>
          <w:rFonts w:ascii="Book Antiqua" w:hAnsi="Book Antiqua"/>
          <w:color w:val="000000" w:themeColor="text1"/>
          <w:sz w:val="24"/>
          <w:szCs w:val="24"/>
          <w:lang w:val="en-GB"/>
        </w:rPr>
        <w:t xml:space="preserve">IVC (Figure </w:t>
      </w:r>
      <w:r w:rsidRPr="00AC50FA">
        <w:rPr>
          <w:rFonts w:ascii="Book Antiqua" w:hAnsi="Book Antiqua"/>
          <w:color w:val="000000" w:themeColor="text1"/>
          <w:sz w:val="24"/>
          <w:szCs w:val="24"/>
          <w:lang w:val="en-GB"/>
        </w:rPr>
        <w:t>3A</w:t>
      </w:r>
      <w:r w:rsidR="00596C71" w:rsidRPr="00AC50FA">
        <w:rPr>
          <w:rFonts w:ascii="Book Antiqua" w:hAnsi="Book Antiqua"/>
          <w:color w:val="000000" w:themeColor="text1"/>
          <w:sz w:val="24"/>
          <w:szCs w:val="24"/>
          <w:lang w:val="en-GB"/>
        </w:rPr>
        <w:t xml:space="preserve">). </w:t>
      </w:r>
      <w:r w:rsidR="009B4380" w:rsidRPr="00AC50FA">
        <w:rPr>
          <w:rFonts w:ascii="Book Antiqua" w:hAnsi="Book Antiqua"/>
          <w:color w:val="000000" w:themeColor="text1"/>
          <w:sz w:val="24"/>
          <w:szCs w:val="24"/>
        </w:rPr>
        <w:t xml:space="preserve">Stereotactic </w:t>
      </w:r>
      <w:r w:rsidR="00F07DB4" w:rsidRPr="00AC50FA">
        <w:rPr>
          <w:rFonts w:ascii="Book Antiqua" w:hAnsi="Book Antiqua"/>
          <w:color w:val="000000" w:themeColor="text1"/>
          <w:sz w:val="24"/>
          <w:szCs w:val="24"/>
        </w:rPr>
        <w:t>irradiation</w:t>
      </w:r>
      <w:r w:rsidR="009B4380" w:rsidRPr="00AC50FA">
        <w:rPr>
          <w:rFonts w:ascii="Book Antiqua" w:hAnsi="Book Antiqua"/>
          <w:color w:val="000000" w:themeColor="text1"/>
          <w:sz w:val="24"/>
          <w:szCs w:val="24"/>
        </w:rPr>
        <w:t xml:space="preserve"> was performed to</w:t>
      </w:r>
      <w:r w:rsidR="00F94264" w:rsidRPr="00AC50FA">
        <w:rPr>
          <w:rFonts w:ascii="Book Antiqua" w:hAnsi="Book Antiqua"/>
          <w:color w:val="000000" w:themeColor="text1"/>
          <w:sz w:val="24"/>
          <w:szCs w:val="24"/>
        </w:rPr>
        <w:t xml:space="preserve"> both tumours while</w:t>
      </w:r>
      <w:r w:rsidR="009B4380" w:rsidRPr="00AC50FA">
        <w:rPr>
          <w:rFonts w:ascii="Book Antiqua" w:hAnsi="Book Antiqua"/>
          <w:color w:val="000000" w:themeColor="text1"/>
          <w:sz w:val="24"/>
          <w:szCs w:val="24"/>
        </w:rPr>
        <w:t xml:space="preserve"> minimiz</w:t>
      </w:r>
      <w:r w:rsidR="00F94264" w:rsidRPr="00AC50FA">
        <w:rPr>
          <w:rFonts w:ascii="Book Antiqua" w:hAnsi="Book Antiqua"/>
          <w:color w:val="000000" w:themeColor="text1"/>
          <w:sz w:val="24"/>
          <w:szCs w:val="24"/>
        </w:rPr>
        <w:t>ing</w:t>
      </w:r>
      <w:r w:rsidR="009B4380" w:rsidRPr="00AC50FA">
        <w:rPr>
          <w:rFonts w:ascii="Book Antiqua" w:hAnsi="Book Antiqua"/>
          <w:color w:val="000000" w:themeColor="text1"/>
          <w:sz w:val="24"/>
          <w:szCs w:val="24"/>
        </w:rPr>
        <w:t xml:space="preserve"> collateral radiation to the normal liver graft and stomach</w:t>
      </w:r>
      <w:r w:rsidR="007E6585" w:rsidRPr="00AC50FA">
        <w:rPr>
          <w:rFonts w:ascii="Book Antiqua" w:hAnsi="Book Antiqua"/>
          <w:color w:val="000000" w:themeColor="text1"/>
          <w:sz w:val="24"/>
          <w:szCs w:val="24"/>
          <w:lang w:val="en-GB"/>
        </w:rPr>
        <w:t xml:space="preserve"> (Figure </w:t>
      </w:r>
      <w:r w:rsidRPr="00AC50FA">
        <w:rPr>
          <w:rFonts w:ascii="Book Antiqua" w:hAnsi="Book Antiqua"/>
          <w:color w:val="000000" w:themeColor="text1"/>
          <w:sz w:val="24"/>
          <w:szCs w:val="24"/>
          <w:lang w:val="en-GB"/>
        </w:rPr>
        <w:t>3B</w:t>
      </w:r>
      <w:r w:rsidR="007E6585" w:rsidRPr="00AC50FA">
        <w:rPr>
          <w:rFonts w:ascii="Book Antiqua" w:hAnsi="Book Antiqua"/>
          <w:color w:val="000000" w:themeColor="text1"/>
          <w:sz w:val="24"/>
          <w:szCs w:val="24"/>
          <w:lang w:val="en-GB"/>
        </w:rPr>
        <w:t xml:space="preserve">). </w:t>
      </w:r>
      <w:r w:rsidR="00DD47F1" w:rsidRPr="00AC50FA">
        <w:rPr>
          <w:rFonts w:ascii="Book Antiqua" w:hAnsi="Book Antiqua"/>
          <w:color w:val="000000" w:themeColor="text1"/>
          <w:sz w:val="24"/>
          <w:szCs w:val="24"/>
          <w:lang w:val="en-GB"/>
        </w:rPr>
        <w:t xml:space="preserve">The irradiated tumours showed partial response with re-cannulation of the IVC (Figure 3C). </w:t>
      </w:r>
      <w:r w:rsidR="00F07DB4" w:rsidRPr="00AC50FA">
        <w:rPr>
          <w:rFonts w:ascii="Book Antiqua" w:hAnsi="Book Antiqua"/>
          <w:color w:val="000000" w:themeColor="text1"/>
          <w:sz w:val="24"/>
          <w:szCs w:val="24"/>
          <w:lang w:val="en-GB"/>
        </w:rPr>
        <w:t>Subsequent regional recurrences were treated with further courses of SBRT. Eventually multifocal intrahepatic</w:t>
      </w:r>
      <w:r w:rsidR="00DD47F1" w:rsidRPr="00AC50FA">
        <w:rPr>
          <w:rFonts w:ascii="Book Antiqua" w:hAnsi="Book Antiqua"/>
          <w:color w:val="000000" w:themeColor="text1"/>
          <w:sz w:val="24"/>
          <w:szCs w:val="24"/>
          <w:lang w:val="en-GB"/>
        </w:rPr>
        <w:t xml:space="preserve"> </w:t>
      </w:r>
      <w:r w:rsidR="00F07DB4" w:rsidRPr="00AC50FA">
        <w:rPr>
          <w:rFonts w:ascii="Book Antiqua" w:hAnsi="Book Antiqua"/>
          <w:color w:val="000000" w:themeColor="text1"/>
          <w:sz w:val="24"/>
          <w:szCs w:val="24"/>
          <w:lang w:val="en-GB"/>
        </w:rPr>
        <w:t>recurrence</w:t>
      </w:r>
      <w:r w:rsidR="00DD47F1" w:rsidRPr="00AC50FA">
        <w:rPr>
          <w:rFonts w:ascii="Book Antiqua" w:hAnsi="Book Antiqua"/>
          <w:color w:val="000000" w:themeColor="text1"/>
          <w:sz w:val="24"/>
          <w:szCs w:val="24"/>
          <w:lang w:val="en-GB"/>
        </w:rPr>
        <w:t xml:space="preserve"> developed (Figure 3D), and the treatment was converted to TACE. </w:t>
      </w:r>
    </w:p>
    <w:p w14:paraId="3B98694B" w14:textId="3E4EAF41" w:rsidR="006536DF" w:rsidRPr="00AC50FA" w:rsidRDefault="007126CA"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Four adverse events (graded 1-2) were observed and they were related to the gastrointestinal system (Table </w:t>
      </w:r>
      <w:r w:rsidR="001B60D0" w:rsidRPr="00AC50FA">
        <w:rPr>
          <w:rFonts w:ascii="Book Antiqua" w:hAnsi="Book Antiqua"/>
          <w:color w:val="000000" w:themeColor="text1"/>
          <w:sz w:val="24"/>
          <w:szCs w:val="24"/>
          <w:lang w:val="en-GB"/>
        </w:rPr>
        <w:t>1</w:t>
      </w:r>
      <w:r w:rsidRPr="00AC50FA">
        <w:rPr>
          <w:rFonts w:ascii="Book Antiqua" w:hAnsi="Book Antiqua"/>
          <w:color w:val="000000" w:themeColor="text1"/>
          <w:sz w:val="24"/>
          <w:szCs w:val="24"/>
          <w:lang w:val="en-GB"/>
        </w:rPr>
        <w:t xml:space="preserve">). One patient suffered from </w:t>
      </w:r>
      <w:r w:rsidR="00D12263" w:rsidRPr="00AC50FA">
        <w:rPr>
          <w:rFonts w:ascii="Book Antiqua" w:hAnsi="Book Antiqua"/>
          <w:color w:val="000000" w:themeColor="text1"/>
          <w:sz w:val="24"/>
          <w:szCs w:val="24"/>
          <w:lang w:val="en-GB"/>
        </w:rPr>
        <w:t>gastric</w:t>
      </w:r>
      <w:r w:rsidRPr="00AC50FA">
        <w:rPr>
          <w:rFonts w:ascii="Book Antiqua" w:hAnsi="Book Antiqua"/>
          <w:color w:val="000000" w:themeColor="text1"/>
          <w:sz w:val="24"/>
          <w:szCs w:val="24"/>
          <w:lang w:val="en-GB"/>
        </w:rPr>
        <w:t xml:space="preserve"> ulcer after irradiation of segment III recurrence in close proximity to stomach</w:t>
      </w:r>
      <w:r w:rsidR="008C19F0" w:rsidRPr="00AC50FA">
        <w:rPr>
          <w:rFonts w:ascii="Book Antiqua" w:hAnsi="Book Antiqua"/>
          <w:color w:val="000000" w:themeColor="text1"/>
          <w:sz w:val="24"/>
          <w:szCs w:val="24"/>
          <w:lang w:val="en-GB"/>
        </w:rPr>
        <w:t xml:space="preserve"> (Figure 4)</w:t>
      </w:r>
      <w:r w:rsidRPr="00AC50FA">
        <w:rPr>
          <w:rFonts w:ascii="Book Antiqua" w:hAnsi="Book Antiqua"/>
          <w:color w:val="000000" w:themeColor="text1"/>
          <w:sz w:val="24"/>
          <w:szCs w:val="24"/>
          <w:lang w:val="en-GB"/>
        </w:rPr>
        <w:t xml:space="preserve">. He required oral proton pump inhibitor therapy. Two other had dyspepsia while one suffered from diarrhoea which was self-limiting. </w:t>
      </w:r>
      <w:r w:rsidR="00D604B3" w:rsidRPr="00AC50FA">
        <w:rPr>
          <w:rFonts w:ascii="Book Antiqua" w:hAnsi="Book Antiqua"/>
          <w:color w:val="000000" w:themeColor="text1"/>
          <w:sz w:val="24"/>
          <w:szCs w:val="24"/>
          <w:lang w:val="en-GB"/>
        </w:rPr>
        <w:t xml:space="preserve">There was no grade 3 or above toxicity. </w:t>
      </w:r>
      <w:r w:rsidR="00676AEB" w:rsidRPr="00AC50FA">
        <w:rPr>
          <w:rFonts w:ascii="Book Antiqua" w:hAnsi="Book Antiqua"/>
          <w:color w:val="000000" w:themeColor="text1"/>
          <w:sz w:val="24"/>
          <w:szCs w:val="24"/>
          <w:lang w:val="en-GB"/>
        </w:rPr>
        <w:t xml:space="preserve">No graft dysfunction occurred after SBRT. </w:t>
      </w:r>
      <w:r w:rsidR="006370B1" w:rsidRPr="00AC50FA">
        <w:rPr>
          <w:rFonts w:ascii="Book Antiqua" w:hAnsi="Book Antiqua"/>
          <w:color w:val="000000" w:themeColor="text1"/>
          <w:sz w:val="24"/>
          <w:szCs w:val="24"/>
          <w:lang w:val="en-GB"/>
        </w:rPr>
        <w:t xml:space="preserve">Figure </w:t>
      </w:r>
      <w:r w:rsidR="008C19F0" w:rsidRPr="00AC50FA">
        <w:rPr>
          <w:rFonts w:ascii="Book Antiqua" w:hAnsi="Book Antiqua"/>
          <w:color w:val="000000" w:themeColor="text1"/>
          <w:sz w:val="24"/>
          <w:szCs w:val="24"/>
          <w:lang w:val="en-GB"/>
        </w:rPr>
        <w:t>5</w:t>
      </w:r>
      <w:r w:rsidR="006370B1" w:rsidRPr="00AC50FA">
        <w:rPr>
          <w:rFonts w:ascii="Book Antiqua" w:hAnsi="Book Antiqua"/>
          <w:color w:val="000000" w:themeColor="text1"/>
          <w:sz w:val="24"/>
          <w:szCs w:val="24"/>
          <w:lang w:val="en-GB"/>
        </w:rPr>
        <w:t xml:space="preserve"> showed the liver </w:t>
      </w:r>
      <w:r w:rsidR="00AB29C9" w:rsidRPr="00AC50FA">
        <w:rPr>
          <w:rFonts w:ascii="Book Antiqua" w:hAnsi="Book Antiqua"/>
          <w:color w:val="000000" w:themeColor="text1"/>
          <w:sz w:val="24"/>
          <w:szCs w:val="24"/>
          <w:lang w:val="en-GB"/>
        </w:rPr>
        <w:t xml:space="preserve">function parameters </w:t>
      </w:r>
      <w:r w:rsidR="006370B1" w:rsidRPr="00AC50FA">
        <w:rPr>
          <w:rFonts w:ascii="Book Antiqua" w:hAnsi="Book Antiqua"/>
          <w:color w:val="000000" w:themeColor="text1"/>
          <w:sz w:val="24"/>
          <w:szCs w:val="24"/>
          <w:lang w:val="en-GB"/>
        </w:rPr>
        <w:t xml:space="preserve">after SBRT. </w:t>
      </w:r>
      <w:r w:rsidR="00644879" w:rsidRPr="00AC50FA">
        <w:rPr>
          <w:rFonts w:ascii="Book Antiqua" w:hAnsi="Book Antiqua"/>
          <w:color w:val="000000" w:themeColor="text1"/>
          <w:sz w:val="24"/>
          <w:szCs w:val="24"/>
          <w:lang w:val="en-GB"/>
        </w:rPr>
        <w:t>SBRT appeared to be associated with transient and self-limiting elevation of aspartate transaminase (</w:t>
      </w:r>
      <w:r w:rsidR="00AC50FA" w:rsidRPr="00AC50FA">
        <w:rPr>
          <w:rFonts w:ascii="Book Antiqua" w:hAnsi="Book Antiqua"/>
          <w:i/>
          <w:iCs/>
          <w:color w:val="000000" w:themeColor="text1"/>
          <w:sz w:val="24"/>
          <w:szCs w:val="24"/>
          <w:lang w:val="en-GB"/>
        </w:rPr>
        <w:t>P</w:t>
      </w:r>
      <w:r w:rsidR="00AC50FA" w:rsidRPr="00AC50FA">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w:t>
      </w:r>
      <w:r w:rsidR="00AC50FA" w:rsidRPr="00AC50FA">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0.01) and alanine transaminase (</w:t>
      </w:r>
      <w:r w:rsidR="00AC50FA" w:rsidRPr="00AC50FA">
        <w:rPr>
          <w:rFonts w:ascii="Book Antiqua" w:hAnsi="Book Antiqua"/>
          <w:i/>
          <w:iCs/>
          <w:color w:val="000000" w:themeColor="text1"/>
          <w:sz w:val="24"/>
          <w:szCs w:val="24"/>
          <w:lang w:val="en-GB"/>
        </w:rPr>
        <w:t>P</w:t>
      </w:r>
      <w:r w:rsidR="00AC50FA" w:rsidRPr="00AC50FA">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w:t>
      </w:r>
      <w:r w:rsidR="00AC50FA" w:rsidRPr="00AC50FA">
        <w:rPr>
          <w:rFonts w:ascii="Book Antiqua" w:hAnsi="Book Antiqua"/>
          <w:color w:val="000000" w:themeColor="text1"/>
          <w:sz w:val="24"/>
          <w:szCs w:val="24"/>
          <w:lang w:val="en-GB"/>
        </w:rPr>
        <w:t xml:space="preserve"> </w:t>
      </w:r>
      <w:r w:rsidR="00644879" w:rsidRPr="00AC50FA">
        <w:rPr>
          <w:rFonts w:ascii="Book Antiqua" w:hAnsi="Book Antiqua"/>
          <w:color w:val="000000" w:themeColor="text1"/>
          <w:sz w:val="24"/>
          <w:szCs w:val="24"/>
          <w:lang w:val="en-GB"/>
        </w:rPr>
        <w:t>0.06) at 2 mo after the treatment session. There was no significant change in levels of bilirubin after SBRT.</w:t>
      </w:r>
    </w:p>
    <w:p w14:paraId="11041636" w14:textId="77777777" w:rsidR="003034FB" w:rsidRPr="00AC50FA" w:rsidRDefault="003034FB" w:rsidP="00AC50FA">
      <w:pPr>
        <w:snapToGrid w:val="0"/>
        <w:spacing w:after="0" w:line="360" w:lineRule="auto"/>
        <w:ind w:firstLineChars="100" w:firstLine="240"/>
        <w:jc w:val="both"/>
        <w:rPr>
          <w:rFonts w:ascii="Book Antiqua" w:hAnsi="Book Antiqua"/>
          <w:color w:val="000000" w:themeColor="text1"/>
          <w:sz w:val="24"/>
          <w:szCs w:val="24"/>
          <w:lang w:val="en-GB"/>
        </w:rPr>
      </w:pPr>
    </w:p>
    <w:p w14:paraId="31F76FC1"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rPr>
      </w:pPr>
      <w:r w:rsidRPr="00AC50FA">
        <w:rPr>
          <w:rFonts w:ascii="Book Antiqua" w:hAnsi="Book Antiqua"/>
          <w:b/>
          <w:color w:val="000000" w:themeColor="text1"/>
          <w:sz w:val="24"/>
          <w:szCs w:val="24"/>
          <w:u w:val="single"/>
        </w:rPr>
        <w:t>DISCUSSION</w:t>
      </w:r>
    </w:p>
    <w:p w14:paraId="1A7C7739" w14:textId="480A4BF5" w:rsidR="0095283E" w:rsidRPr="00AC50FA" w:rsidRDefault="00676AEB"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The current </w:t>
      </w:r>
      <w:r w:rsidR="0095283E" w:rsidRPr="00AC50FA">
        <w:rPr>
          <w:rFonts w:ascii="Book Antiqua" w:hAnsi="Book Antiqua"/>
          <w:color w:val="000000" w:themeColor="text1"/>
          <w:sz w:val="24"/>
          <w:szCs w:val="24"/>
          <w:lang w:val="en-GB"/>
        </w:rPr>
        <w:t>series</w:t>
      </w:r>
      <w:r w:rsidR="004F6F75" w:rsidRPr="00AC50FA">
        <w:rPr>
          <w:rFonts w:ascii="Book Antiqua" w:hAnsi="Book Antiqua"/>
          <w:color w:val="000000" w:themeColor="text1"/>
          <w:sz w:val="24"/>
          <w:szCs w:val="24"/>
          <w:lang w:val="en-GB"/>
        </w:rPr>
        <w:t xml:space="preserve"> </w:t>
      </w:r>
      <w:r w:rsidR="00B2048F" w:rsidRPr="00AC50FA">
        <w:rPr>
          <w:rFonts w:ascii="Book Antiqua" w:hAnsi="Book Antiqua"/>
          <w:color w:val="000000" w:themeColor="text1"/>
          <w:sz w:val="24"/>
          <w:szCs w:val="24"/>
          <w:lang w:val="en-GB"/>
        </w:rPr>
        <w:t>demonstrated</w:t>
      </w:r>
      <w:r w:rsidRPr="00AC50FA">
        <w:rPr>
          <w:rFonts w:ascii="Book Antiqua" w:hAnsi="Book Antiqua"/>
          <w:color w:val="000000" w:themeColor="text1"/>
          <w:sz w:val="24"/>
          <w:szCs w:val="24"/>
          <w:lang w:val="en-GB"/>
        </w:rPr>
        <w:t xml:space="preserve"> </w:t>
      </w:r>
      <w:r w:rsidR="0095283E" w:rsidRPr="00AC50FA">
        <w:rPr>
          <w:rFonts w:ascii="Book Antiqua" w:hAnsi="Book Antiqua"/>
          <w:color w:val="000000" w:themeColor="text1"/>
          <w:sz w:val="24"/>
          <w:szCs w:val="24"/>
          <w:lang w:val="en-GB"/>
        </w:rPr>
        <w:t>that</w:t>
      </w:r>
      <w:r w:rsidRPr="00AC50FA">
        <w:rPr>
          <w:rFonts w:ascii="Book Antiqua" w:hAnsi="Book Antiqua"/>
          <w:color w:val="000000" w:themeColor="text1"/>
          <w:sz w:val="24"/>
          <w:szCs w:val="24"/>
          <w:lang w:val="en-GB"/>
        </w:rPr>
        <w:t xml:space="preserve"> </w:t>
      </w:r>
      <w:r w:rsidR="0095283E" w:rsidRPr="00AC50FA">
        <w:rPr>
          <w:rFonts w:ascii="Book Antiqua" w:hAnsi="Book Antiqua"/>
          <w:color w:val="000000" w:themeColor="text1"/>
          <w:sz w:val="24"/>
          <w:szCs w:val="24"/>
          <w:lang w:val="en-GB"/>
        </w:rPr>
        <w:t>SBRT for</w:t>
      </w:r>
      <w:r w:rsidR="00D74A16" w:rsidRPr="00AC50FA">
        <w:rPr>
          <w:rFonts w:ascii="Book Antiqua" w:hAnsi="Book Antiqua"/>
          <w:color w:val="000000" w:themeColor="text1"/>
          <w:sz w:val="24"/>
          <w:szCs w:val="24"/>
          <w:lang w:val="en-GB"/>
        </w:rPr>
        <w:t xml:space="preserve"> post-transplant</w:t>
      </w:r>
      <w:r w:rsidR="0095283E" w:rsidRPr="00AC50FA">
        <w:rPr>
          <w:rFonts w:ascii="Book Antiqua" w:hAnsi="Book Antiqua"/>
          <w:color w:val="000000" w:themeColor="text1"/>
          <w:sz w:val="24"/>
          <w:szCs w:val="24"/>
          <w:lang w:val="en-GB"/>
        </w:rPr>
        <w:t xml:space="preserve"> intrahepatic HCC recurrenc</w:t>
      </w:r>
      <w:r w:rsidR="00D74A16" w:rsidRPr="00AC50FA">
        <w:rPr>
          <w:rFonts w:ascii="Book Antiqua" w:hAnsi="Book Antiqua"/>
          <w:color w:val="000000" w:themeColor="text1"/>
          <w:sz w:val="24"/>
          <w:szCs w:val="24"/>
          <w:lang w:val="en-GB"/>
        </w:rPr>
        <w:t>e</w:t>
      </w:r>
      <w:r w:rsidR="0095283E" w:rsidRPr="00AC50FA">
        <w:rPr>
          <w:rFonts w:ascii="Book Antiqua" w:hAnsi="Book Antiqua"/>
          <w:color w:val="000000" w:themeColor="text1"/>
          <w:sz w:val="24"/>
          <w:szCs w:val="24"/>
          <w:lang w:val="en-GB"/>
        </w:rPr>
        <w:t xml:space="preserve"> </w:t>
      </w:r>
      <w:r w:rsidR="00D74A16" w:rsidRPr="00AC50FA">
        <w:rPr>
          <w:rFonts w:ascii="Book Antiqua" w:hAnsi="Book Antiqua"/>
          <w:color w:val="000000" w:themeColor="text1"/>
          <w:sz w:val="24"/>
          <w:szCs w:val="24"/>
          <w:lang w:val="en-GB"/>
        </w:rPr>
        <w:t>conferred effective</w:t>
      </w:r>
      <w:r w:rsidR="0095283E" w:rsidRPr="00AC50FA">
        <w:rPr>
          <w:rFonts w:ascii="Book Antiqua" w:hAnsi="Book Antiqua"/>
          <w:color w:val="000000" w:themeColor="text1"/>
          <w:sz w:val="24"/>
          <w:szCs w:val="24"/>
          <w:lang w:val="en-GB"/>
        </w:rPr>
        <w:t xml:space="preserve"> local control </w:t>
      </w:r>
      <w:r w:rsidR="00D74A16" w:rsidRPr="00AC50FA">
        <w:rPr>
          <w:rFonts w:ascii="Book Antiqua" w:hAnsi="Book Antiqua"/>
          <w:color w:val="000000" w:themeColor="text1"/>
          <w:sz w:val="24"/>
          <w:szCs w:val="24"/>
          <w:lang w:val="en-GB"/>
        </w:rPr>
        <w:t xml:space="preserve">without </w:t>
      </w:r>
      <w:r w:rsidR="003638F5" w:rsidRPr="00AC50FA">
        <w:rPr>
          <w:rFonts w:ascii="Book Antiqua" w:hAnsi="Book Antiqua"/>
          <w:color w:val="000000" w:themeColor="text1"/>
          <w:sz w:val="24"/>
          <w:szCs w:val="24"/>
          <w:lang w:val="en-GB"/>
        </w:rPr>
        <w:t xml:space="preserve">adversely </w:t>
      </w:r>
      <w:r w:rsidR="00D74A16" w:rsidRPr="00AC50FA">
        <w:rPr>
          <w:rFonts w:ascii="Book Antiqua" w:hAnsi="Book Antiqua"/>
          <w:color w:val="000000" w:themeColor="text1"/>
          <w:sz w:val="24"/>
          <w:szCs w:val="24"/>
          <w:lang w:val="en-GB"/>
        </w:rPr>
        <w:t xml:space="preserve">affecting </w:t>
      </w:r>
      <w:r w:rsidR="0095283E" w:rsidRPr="00AC50FA">
        <w:rPr>
          <w:rFonts w:ascii="Book Antiqua" w:hAnsi="Book Antiqua"/>
          <w:color w:val="000000" w:themeColor="text1"/>
          <w:sz w:val="24"/>
          <w:szCs w:val="24"/>
          <w:lang w:val="en-GB"/>
        </w:rPr>
        <w:t>graft</w:t>
      </w:r>
      <w:r w:rsidR="00D74A16" w:rsidRPr="00AC50FA">
        <w:rPr>
          <w:rFonts w:ascii="Book Antiqua" w:hAnsi="Book Antiqua"/>
          <w:color w:val="000000" w:themeColor="text1"/>
          <w:sz w:val="24"/>
          <w:szCs w:val="24"/>
          <w:lang w:val="en-GB"/>
        </w:rPr>
        <w:t xml:space="preserve"> </w:t>
      </w:r>
      <w:r w:rsidR="0095283E" w:rsidRPr="00AC50FA">
        <w:rPr>
          <w:rFonts w:ascii="Book Antiqua" w:hAnsi="Book Antiqua"/>
          <w:color w:val="000000" w:themeColor="text1"/>
          <w:sz w:val="24"/>
          <w:szCs w:val="24"/>
          <w:lang w:val="en-GB"/>
        </w:rPr>
        <w:t xml:space="preserve">function. </w:t>
      </w:r>
      <w:r w:rsidR="0054504B" w:rsidRPr="00AC50FA">
        <w:rPr>
          <w:rFonts w:ascii="Book Antiqua" w:hAnsi="Book Antiqua"/>
          <w:color w:val="000000" w:themeColor="text1"/>
          <w:sz w:val="24"/>
          <w:szCs w:val="24"/>
          <w:lang w:val="en-GB"/>
        </w:rPr>
        <w:t>C</w:t>
      </w:r>
      <w:r w:rsidR="000D4A4A" w:rsidRPr="00AC50FA">
        <w:rPr>
          <w:rFonts w:ascii="Book Antiqua" w:hAnsi="Book Antiqua"/>
          <w:color w:val="000000" w:themeColor="text1"/>
          <w:sz w:val="24"/>
          <w:szCs w:val="24"/>
          <w:lang w:val="en-GB"/>
        </w:rPr>
        <w:t>omplete response</w:t>
      </w:r>
      <w:r w:rsidR="0054504B" w:rsidRPr="00AC50FA">
        <w:rPr>
          <w:rFonts w:ascii="Book Antiqua" w:hAnsi="Book Antiqua"/>
          <w:color w:val="000000" w:themeColor="text1"/>
          <w:sz w:val="24"/>
          <w:szCs w:val="24"/>
          <w:lang w:val="en-GB"/>
        </w:rPr>
        <w:t xml:space="preserve"> </w:t>
      </w:r>
      <w:r w:rsidR="000D2493" w:rsidRPr="00AC50FA">
        <w:rPr>
          <w:rFonts w:ascii="Book Antiqua" w:hAnsi="Book Antiqua"/>
          <w:color w:val="000000" w:themeColor="text1"/>
          <w:sz w:val="24"/>
          <w:szCs w:val="24"/>
          <w:lang w:val="en-GB"/>
        </w:rPr>
        <w:t xml:space="preserve">was achieved in </w:t>
      </w:r>
      <w:r w:rsidR="00370E8D" w:rsidRPr="00AC50FA">
        <w:rPr>
          <w:rFonts w:ascii="Book Antiqua" w:hAnsi="Book Antiqua"/>
          <w:color w:val="000000" w:themeColor="text1"/>
          <w:sz w:val="24"/>
          <w:szCs w:val="24"/>
          <w:lang w:val="en-GB"/>
        </w:rPr>
        <w:t>majority of</w:t>
      </w:r>
      <w:r w:rsidR="00AE5DE2" w:rsidRPr="00AC50FA">
        <w:rPr>
          <w:rFonts w:ascii="Book Antiqua" w:hAnsi="Book Antiqua"/>
          <w:color w:val="000000" w:themeColor="text1"/>
          <w:sz w:val="24"/>
          <w:szCs w:val="24"/>
          <w:lang w:val="en-GB"/>
        </w:rPr>
        <w:t xml:space="preserve"> the </w:t>
      </w:r>
      <w:r w:rsidR="000D2493" w:rsidRPr="00AC50FA">
        <w:rPr>
          <w:rFonts w:ascii="Book Antiqua" w:hAnsi="Book Antiqua"/>
          <w:color w:val="000000" w:themeColor="text1"/>
          <w:sz w:val="24"/>
          <w:szCs w:val="24"/>
          <w:lang w:val="en-GB"/>
        </w:rPr>
        <w:t xml:space="preserve">patients and the median </w:t>
      </w:r>
      <w:r w:rsidR="009F6813" w:rsidRPr="00AC50FA">
        <w:rPr>
          <w:rFonts w:ascii="Book Antiqua" w:hAnsi="Book Antiqua"/>
          <w:color w:val="000000" w:themeColor="text1"/>
          <w:sz w:val="24"/>
          <w:szCs w:val="24"/>
          <w:lang w:val="en-GB"/>
        </w:rPr>
        <w:t>time to local progression</w:t>
      </w:r>
      <w:r w:rsidR="000D2493" w:rsidRPr="00AC50FA">
        <w:rPr>
          <w:rFonts w:ascii="Book Antiqua" w:hAnsi="Book Antiqua"/>
          <w:color w:val="000000" w:themeColor="text1"/>
          <w:sz w:val="24"/>
          <w:szCs w:val="24"/>
          <w:lang w:val="en-GB"/>
        </w:rPr>
        <w:t xml:space="preserve"> has yet been achieved </w:t>
      </w:r>
      <w:r w:rsidR="000D4A4A" w:rsidRPr="00AC50FA">
        <w:rPr>
          <w:rFonts w:ascii="Book Antiqua" w:hAnsi="Book Antiqua"/>
          <w:color w:val="000000" w:themeColor="text1"/>
          <w:sz w:val="24"/>
          <w:szCs w:val="24"/>
          <w:lang w:val="en-GB"/>
        </w:rPr>
        <w:t>after</w:t>
      </w:r>
      <w:r w:rsidR="000D2493" w:rsidRPr="00AC50FA">
        <w:rPr>
          <w:rFonts w:ascii="Book Antiqua" w:hAnsi="Book Antiqua"/>
          <w:color w:val="000000" w:themeColor="text1"/>
          <w:sz w:val="24"/>
          <w:szCs w:val="24"/>
          <w:lang w:val="en-GB"/>
        </w:rPr>
        <w:t xml:space="preserve"> 15.5 </w:t>
      </w:r>
      <w:proofErr w:type="spellStart"/>
      <w:r w:rsidR="000D2493" w:rsidRPr="00AC50FA">
        <w:rPr>
          <w:rFonts w:ascii="Book Antiqua" w:hAnsi="Book Antiqua"/>
          <w:color w:val="000000" w:themeColor="text1"/>
          <w:sz w:val="24"/>
          <w:szCs w:val="24"/>
          <w:lang w:val="en-GB"/>
        </w:rPr>
        <w:t>mo</w:t>
      </w:r>
      <w:proofErr w:type="spellEnd"/>
      <w:r w:rsidR="006B0B08" w:rsidRPr="00AC50FA">
        <w:rPr>
          <w:rFonts w:ascii="Book Antiqua" w:hAnsi="Book Antiqua"/>
          <w:color w:val="000000" w:themeColor="text1"/>
          <w:sz w:val="24"/>
          <w:szCs w:val="24"/>
          <w:lang w:val="en-GB"/>
        </w:rPr>
        <w:t xml:space="preserve">, in the presence of two locally advanced </w:t>
      </w:r>
      <w:r w:rsidR="006B0B08" w:rsidRPr="00AC50FA">
        <w:rPr>
          <w:rFonts w:ascii="Book Antiqua" w:hAnsi="Book Antiqua"/>
          <w:color w:val="000000" w:themeColor="text1"/>
          <w:sz w:val="24"/>
          <w:szCs w:val="24"/>
          <w:lang w:val="en-GB"/>
        </w:rPr>
        <w:lastRenderedPageBreak/>
        <w:t xml:space="preserve">tumour </w:t>
      </w:r>
      <w:r w:rsidR="006B0B08" w:rsidRPr="00AC50FA">
        <w:rPr>
          <w:rFonts w:ascii="Book Antiqua" w:hAnsi="Book Antiqua"/>
          <w:i/>
          <w:iCs/>
          <w:color w:val="000000" w:themeColor="text1"/>
          <w:sz w:val="24"/>
          <w:szCs w:val="24"/>
          <w:lang w:val="en-GB"/>
        </w:rPr>
        <w:t>i.e</w:t>
      </w:r>
      <w:r w:rsidR="00C04EDD" w:rsidRPr="00AC50FA">
        <w:rPr>
          <w:rFonts w:ascii="Book Antiqua" w:hAnsi="Book Antiqua"/>
          <w:i/>
          <w:iCs/>
          <w:color w:val="000000" w:themeColor="text1"/>
          <w:sz w:val="24"/>
          <w:szCs w:val="24"/>
          <w:lang w:val="en-GB"/>
        </w:rPr>
        <w:t>.</w:t>
      </w:r>
      <w:r w:rsidR="00AC50FA" w:rsidRPr="00AC50FA">
        <w:rPr>
          <w:rFonts w:ascii="Book Antiqua" w:hAnsi="Book Antiqua"/>
          <w:color w:val="000000" w:themeColor="text1"/>
          <w:sz w:val="24"/>
          <w:szCs w:val="24"/>
          <w:lang w:val="en-GB"/>
        </w:rPr>
        <w:t>,</w:t>
      </w:r>
      <w:r w:rsidR="006B0B08" w:rsidRPr="00AC50FA">
        <w:rPr>
          <w:rFonts w:ascii="Book Antiqua" w:hAnsi="Book Antiqua"/>
          <w:color w:val="000000" w:themeColor="text1"/>
          <w:sz w:val="24"/>
          <w:szCs w:val="24"/>
          <w:lang w:val="en-GB"/>
        </w:rPr>
        <w:t xml:space="preserve"> with IVC tumour thrombi</w:t>
      </w:r>
      <w:r w:rsidR="000D2493" w:rsidRPr="00AC50FA">
        <w:rPr>
          <w:rFonts w:ascii="Book Antiqua" w:hAnsi="Book Antiqua"/>
          <w:color w:val="000000" w:themeColor="text1"/>
          <w:sz w:val="24"/>
          <w:szCs w:val="24"/>
          <w:lang w:val="en-GB"/>
        </w:rPr>
        <w:t xml:space="preserve">. </w:t>
      </w:r>
      <w:r w:rsidR="00370E8D" w:rsidRPr="00AC50FA">
        <w:rPr>
          <w:rFonts w:ascii="Book Antiqua" w:hAnsi="Book Antiqua"/>
          <w:color w:val="000000" w:themeColor="text1"/>
          <w:sz w:val="24"/>
          <w:szCs w:val="24"/>
          <w:lang w:val="en-GB"/>
        </w:rPr>
        <w:t xml:space="preserve">Regional progression was the mode of failure, which </w:t>
      </w:r>
      <w:r w:rsidR="00AE5DE2" w:rsidRPr="00AC50FA">
        <w:rPr>
          <w:rFonts w:ascii="Book Antiqua" w:hAnsi="Book Antiqua"/>
          <w:color w:val="000000" w:themeColor="text1"/>
          <w:sz w:val="24"/>
          <w:szCs w:val="24"/>
          <w:lang w:val="en-GB"/>
        </w:rPr>
        <w:t xml:space="preserve">occurred commonly and </w:t>
      </w:r>
      <w:r w:rsidR="00CA39E8" w:rsidRPr="00AC50FA">
        <w:rPr>
          <w:rFonts w:ascii="Book Antiqua" w:hAnsi="Book Antiqua"/>
          <w:color w:val="000000" w:themeColor="text1"/>
          <w:sz w:val="24"/>
          <w:szCs w:val="24"/>
          <w:lang w:val="en-GB"/>
        </w:rPr>
        <w:t>shortly</w:t>
      </w:r>
      <w:r w:rsidR="000E6ED6" w:rsidRPr="00AC50FA">
        <w:rPr>
          <w:rFonts w:ascii="Book Antiqua" w:hAnsi="Book Antiqua"/>
          <w:color w:val="000000" w:themeColor="text1"/>
          <w:sz w:val="24"/>
          <w:szCs w:val="24"/>
          <w:lang w:val="en-GB"/>
        </w:rPr>
        <w:t xml:space="preserve"> after SBRT</w:t>
      </w:r>
      <w:r w:rsidR="00177EA2" w:rsidRPr="00AC50FA">
        <w:rPr>
          <w:rFonts w:ascii="Book Antiqua" w:hAnsi="Book Antiqua"/>
          <w:color w:val="000000" w:themeColor="text1"/>
          <w:sz w:val="24"/>
          <w:szCs w:val="24"/>
          <w:lang w:val="en-GB"/>
        </w:rPr>
        <w:t>.</w:t>
      </w:r>
      <w:r w:rsidR="00CA39E8" w:rsidRPr="00AC50FA">
        <w:rPr>
          <w:rFonts w:ascii="Book Antiqua" w:hAnsi="Book Antiqua"/>
          <w:color w:val="000000" w:themeColor="text1"/>
          <w:sz w:val="24"/>
          <w:szCs w:val="24"/>
          <w:lang w:val="en-GB"/>
        </w:rPr>
        <w:t xml:space="preserve"> </w:t>
      </w:r>
      <w:r w:rsidR="0029331B" w:rsidRPr="00AC50FA">
        <w:rPr>
          <w:rFonts w:ascii="Book Antiqua" w:hAnsi="Book Antiqua"/>
          <w:color w:val="000000" w:themeColor="text1"/>
          <w:sz w:val="24"/>
          <w:szCs w:val="24"/>
          <w:lang w:val="en-GB"/>
        </w:rPr>
        <w:t xml:space="preserve">Disease progression occurred </w:t>
      </w:r>
      <w:r w:rsidR="000D4A4A" w:rsidRPr="00AC50FA">
        <w:rPr>
          <w:rFonts w:ascii="Book Antiqua" w:hAnsi="Book Antiqua"/>
          <w:color w:val="000000" w:themeColor="text1"/>
          <w:sz w:val="24"/>
          <w:szCs w:val="24"/>
          <w:lang w:val="en-GB"/>
        </w:rPr>
        <w:t>over</w:t>
      </w:r>
      <w:r w:rsidR="0029331B" w:rsidRPr="00AC50FA">
        <w:rPr>
          <w:rFonts w:ascii="Book Antiqua" w:hAnsi="Book Antiqua"/>
          <w:color w:val="000000" w:themeColor="text1"/>
          <w:sz w:val="24"/>
          <w:szCs w:val="24"/>
          <w:lang w:val="en-GB"/>
        </w:rPr>
        <w:t xml:space="preserve"> </w:t>
      </w:r>
      <w:r w:rsidR="000D4A4A" w:rsidRPr="00AC50FA">
        <w:rPr>
          <w:rFonts w:ascii="Book Antiqua" w:hAnsi="Book Antiqua"/>
          <w:color w:val="000000" w:themeColor="text1"/>
          <w:sz w:val="24"/>
          <w:szCs w:val="24"/>
          <w:lang w:val="en-GB"/>
        </w:rPr>
        <w:t xml:space="preserve">a median of </w:t>
      </w:r>
      <w:r w:rsidR="0029331B" w:rsidRPr="00AC50FA">
        <w:rPr>
          <w:rFonts w:ascii="Book Antiqua" w:hAnsi="Book Antiqua"/>
          <w:color w:val="000000" w:themeColor="text1"/>
          <w:sz w:val="24"/>
          <w:szCs w:val="24"/>
          <w:lang w:val="en-GB"/>
        </w:rPr>
        <w:t>hal</w:t>
      </w:r>
      <w:r w:rsidR="000D4A4A" w:rsidRPr="00AC50FA">
        <w:rPr>
          <w:rFonts w:ascii="Book Antiqua" w:hAnsi="Book Antiqua"/>
          <w:color w:val="000000" w:themeColor="text1"/>
          <w:sz w:val="24"/>
          <w:szCs w:val="24"/>
          <w:lang w:val="en-GB"/>
        </w:rPr>
        <w:t>f</w:t>
      </w:r>
      <w:r w:rsidR="0029331B" w:rsidRPr="00AC50FA">
        <w:rPr>
          <w:rFonts w:ascii="Book Antiqua" w:hAnsi="Book Antiqua"/>
          <w:color w:val="000000" w:themeColor="text1"/>
          <w:sz w:val="24"/>
          <w:szCs w:val="24"/>
          <w:lang w:val="en-GB"/>
        </w:rPr>
        <w:t xml:space="preserve"> year</w:t>
      </w:r>
      <w:r w:rsidR="000E6ED6" w:rsidRPr="00AC50FA">
        <w:rPr>
          <w:rFonts w:ascii="Book Antiqua" w:hAnsi="Book Antiqua"/>
          <w:color w:val="000000" w:themeColor="text1"/>
          <w:sz w:val="24"/>
          <w:szCs w:val="24"/>
          <w:lang w:val="en-GB"/>
        </w:rPr>
        <w:t>,</w:t>
      </w:r>
      <w:r w:rsidR="0029331B" w:rsidRPr="00AC50FA">
        <w:rPr>
          <w:rFonts w:ascii="Book Antiqua" w:hAnsi="Book Antiqua"/>
          <w:color w:val="000000" w:themeColor="text1"/>
          <w:sz w:val="24"/>
          <w:szCs w:val="24"/>
          <w:lang w:val="en-GB"/>
        </w:rPr>
        <w:t xml:space="preserve"> with</w:t>
      </w:r>
      <w:r w:rsidR="000E6ED6" w:rsidRPr="00AC50FA">
        <w:rPr>
          <w:rFonts w:ascii="Book Antiqua" w:hAnsi="Book Antiqua"/>
          <w:color w:val="000000" w:themeColor="text1"/>
          <w:sz w:val="24"/>
          <w:szCs w:val="24"/>
          <w:lang w:val="en-GB"/>
        </w:rPr>
        <w:t xml:space="preserve"> t</w:t>
      </w:r>
      <w:r w:rsidR="00177EA2" w:rsidRPr="00AC50FA">
        <w:rPr>
          <w:rFonts w:ascii="Book Antiqua" w:hAnsi="Book Antiqua"/>
          <w:color w:val="000000" w:themeColor="text1"/>
          <w:sz w:val="24"/>
          <w:szCs w:val="24"/>
          <w:lang w:val="en-GB"/>
        </w:rPr>
        <w:t xml:space="preserve">wo-third </w:t>
      </w:r>
      <w:r w:rsidR="005D36B6" w:rsidRPr="00AC50FA">
        <w:rPr>
          <w:rFonts w:ascii="Book Antiqua" w:hAnsi="Book Antiqua"/>
          <w:color w:val="000000" w:themeColor="text1"/>
          <w:sz w:val="24"/>
          <w:szCs w:val="24"/>
          <w:lang w:val="en-GB"/>
        </w:rPr>
        <w:t xml:space="preserve">recurring </w:t>
      </w:r>
      <w:r w:rsidR="000E6ED6" w:rsidRPr="00AC50FA">
        <w:rPr>
          <w:rFonts w:ascii="Book Antiqua" w:hAnsi="Book Antiqua"/>
          <w:color w:val="000000" w:themeColor="text1"/>
          <w:sz w:val="24"/>
          <w:szCs w:val="24"/>
          <w:lang w:val="en-GB"/>
        </w:rPr>
        <w:t xml:space="preserve">in the other parts of the liver. </w:t>
      </w:r>
      <w:r w:rsidR="0054504B" w:rsidRPr="00AC50FA">
        <w:rPr>
          <w:rFonts w:ascii="Book Antiqua" w:hAnsi="Book Antiqua"/>
          <w:color w:val="000000" w:themeColor="text1"/>
          <w:sz w:val="24"/>
          <w:szCs w:val="24"/>
          <w:lang w:val="en-GB"/>
        </w:rPr>
        <w:t>The</w:t>
      </w:r>
      <w:r w:rsidR="00D74A16" w:rsidRPr="00AC50FA">
        <w:rPr>
          <w:rFonts w:ascii="Book Antiqua" w:hAnsi="Book Antiqua"/>
          <w:color w:val="000000" w:themeColor="text1"/>
          <w:sz w:val="24"/>
          <w:szCs w:val="24"/>
          <w:lang w:val="en-GB"/>
        </w:rPr>
        <w:t>se</w:t>
      </w:r>
      <w:r w:rsidR="0054504B" w:rsidRPr="00AC50FA">
        <w:rPr>
          <w:rFonts w:ascii="Book Antiqua" w:hAnsi="Book Antiqua"/>
          <w:color w:val="000000" w:themeColor="text1"/>
          <w:sz w:val="24"/>
          <w:szCs w:val="24"/>
          <w:lang w:val="en-GB"/>
        </w:rPr>
        <w:t xml:space="preserve"> results</w:t>
      </w:r>
      <w:r w:rsidR="004F6F75" w:rsidRPr="00AC50FA">
        <w:rPr>
          <w:rFonts w:ascii="Book Antiqua" w:hAnsi="Book Antiqua"/>
          <w:color w:val="000000" w:themeColor="text1"/>
          <w:sz w:val="24"/>
          <w:szCs w:val="24"/>
          <w:lang w:val="en-GB"/>
        </w:rPr>
        <w:t xml:space="preserve"> affirm</w:t>
      </w:r>
      <w:r w:rsidR="000E6ED6" w:rsidRPr="00AC50FA">
        <w:rPr>
          <w:rFonts w:ascii="Book Antiqua" w:hAnsi="Book Antiqua"/>
          <w:color w:val="000000" w:themeColor="text1"/>
          <w:sz w:val="24"/>
          <w:szCs w:val="24"/>
          <w:lang w:val="en-GB"/>
        </w:rPr>
        <w:t xml:space="preserve"> the</w:t>
      </w:r>
      <w:r w:rsidR="00D74A16" w:rsidRPr="00AC50FA">
        <w:rPr>
          <w:rFonts w:ascii="Book Antiqua" w:hAnsi="Book Antiqua"/>
          <w:color w:val="000000" w:themeColor="text1"/>
          <w:sz w:val="24"/>
          <w:szCs w:val="24"/>
          <w:lang w:val="en-GB"/>
        </w:rPr>
        <w:t xml:space="preserve"> safety and</w:t>
      </w:r>
      <w:r w:rsidR="0054504B" w:rsidRPr="00AC50FA">
        <w:rPr>
          <w:rFonts w:ascii="Book Antiqua" w:hAnsi="Book Antiqua"/>
          <w:color w:val="000000" w:themeColor="text1"/>
          <w:sz w:val="24"/>
          <w:szCs w:val="24"/>
          <w:lang w:val="en-GB"/>
        </w:rPr>
        <w:t xml:space="preserve"> local</w:t>
      </w:r>
      <w:r w:rsidR="000E6ED6" w:rsidRPr="00AC50FA">
        <w:rPr>
          <w:rFonts w:ascii="Book Antiqua" w:hAnsi="Book Antiqua"/>
          <w:color w:val="000000" w:themeColor="text1"/>
          <w:sz w:val="24"/>
          <w:szCs w:val="24"/>
          <w:lang w:val="en-GB"/>
        </w:rPr>
        <w:t xml:space="preserve"> efficacy of </w:t>
      </w:r>
      <w:r w:rsidR="00AC50FA" w:rsidRPr="00AC50FA">
        <w:rPr>
          <w:rFonts w:ascii="Book Antiqua" w:hAnsi="Book Antiqua"/>
          <w:color w:val="000000" w:themeColor="text1"/>
          <w:sz w:val="24"/>
          <w:szCs w:val="24"/>
          <w:lang w:val="en-GB"/>
        </w:rPr>
        <w:t>SBRT but</w:t>
      </w:r>
      <w:r w:rsidR="000E6ED6" w:rsidRPr="00AC50FA">
        <w:rPr>
          <w:rFonts w:ascii="Book Antiqua" w:hAnsi="Book Antiqua"/>
          <w:color w:val="000000" w:themeColor="text1"/>
          <w:sz w:val="24"/>
          <w:szCs w:val="24"/>
          <w:lang w:val="en-GB"/>
        </w:rPr>
        <w:t xml:space="preserve"> </w:t>
      </w:r>
      <w:r w:rsidR="0054504B" w:rsidRPr="00AC50FA">
        <w:rPr>
          <w:rFonts w:ascii="Book Antiqua" w:hAnsi="Book Antiqua"/>
          <w:color w:val="000000" w:themeColor="text1"/>
          <w:sz w:val="24"/>
          <w:szCs w:val="24"/>
          <w:lang w:val="en-GB"/>
        </w:rPr>
        <w:t xml:space="preserve">call for </w:t>
      </w:r>
      <w:r w:rsidR="000E6ED6" w:rsidRPr="00AC50FA">
        <w:rPr>
          <w:rFonts w:ascii="Book Antiqua" w:hAnsi="Book Antiqua"/>
          <w:color w:val="000000" w:themeColor="text1"/>
          <w:sz w:val="24"/>
          <w:szCs w:val="24"/>
          <w:lang w:val="en-GB"/>
        </w:rPr>
        <w:t xml:space="preserve">the necessity of </w:t>
      </w:r>
      <w:r w:rsidR="0054504B" w:rsidRPr="00AC50FA">
        <w:rPr>
          <w:rFonts w:ascii="Book Antiqua" w:hAnsi="Book Antiqua"/>
          <w:color w:val="000000" w:themeColor="text1"/>
          <w:sz w:val="24"/>
          <w:szCs w:val="24"/>
          <w:lang w:val="en-GB"/>
        </w:rPr>
        <w:t>additional</w:t>
      </w:r>
      <w:r w:rsidR="000E6ED6" w:rsidRPr="00AC50FA">
        <w:rPr>
          <w:rFonts w:ascii="Book Antiqua" w:hAnsi="Book Antiqua"/>
          <w:color w:val="000000" w:themeColor="text1"/>
          <w:sz w:val="24"/>
          <w:szCs w:val="24"/>
          <w:lang w:val="en-GB"/>
        </w:rPr>
        <w:t xml:space="preserve"> regional </w:t>
      </w:r>
      <w:r w:rsidR="0054504B" w:rsidRPr="00AC50FA">
        <w:rPr>
          <w:rFonts w:ascii="Book Antiqua" w:hAnsi="Book Antiqua"/>
          <w:color w:val="000000" w:themeColor="text1"/>
          <w:sz w:val="24"/>
          <w:szCs w:val="24"/>
          <w:lang w:val="en-GB"/>
        </w:rPr>
        <w:t>control</w:t>
      </w:r>
      <w:r w:rsidR="000E6ED6" w:rsidRPr="00AC50FA">
        <w:rPr>
          <w:rFonts w:ascii="Book Antiqua" w:hAnsi="Book Antiqua"/>
          <w:color w:val="000000" w:themeColor="text1"/>
          <w:sz w:val="24"/>
          <w:szCs w:val="24"/>
          <w:lang w:val="en-GB"/>
        </w:rPr>
        <w:t>.</w:t>
      </w:r>
    </w:p>
    <w:p w14:paraId="46DE454D" w14:textId="1AF6AF47" w:rsidR="00044BA6" w:rsidRPr="00AC50FA" w:rsidRDefault="00CA39E8"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For primary HCC, regional and distant </w:t>
      </w:r>
      <w:r w:rsidR="00944DAF" w:rsidRPr="00AC50FA">
        <w:rPr>
          <w:rFonts w:ascii="Book Antiqua" w:hAnsi="Book Antiqua"/>
          <w:color w:val="000000" w:themeColor="text1"/>
          <w:sz w:val="24"/>
          <w:szCs w:val="24"/>
          <w:lang w:val="en-GB"/>
        </w:rPr>
        <w:t>progression</w:t>
      </w:r>
      <w:r w:rsidRPr="00AC50FA">
        <w:rPr>
          <w:rFonts w:ascii="Book Antiqua" w:hAnsi="Book Antiqua"/>
          <w:color w:val="000000" w:themeColor="text1"/>
          <w:sz w:val="24"/>
          <w:szCs w:val="24"/>
          <w:lang w:val="en-GB"/>
        </w:rPr>
        <w:t xml:space="preserve"> occurred in 19</w:t>
      </w:r>
      <w:r w:rsidR="00D74A16"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 xml:space="preserve">and </w:t>
      </w:r>
      <w:r w:rsidR="00D74A16" w:rsidRPr="00AC50FA">
        <w:rPr>
          <w:rFonts w:ascii="Book Antiqua" w:hAnsi="Book Antiqua"/>
          <w:color w:val="000000" w:themeColor="text1"/>
          <w:sz w:val="24"/>
          <w:szCs w:val="24"/>
          <w:lang w:val="en-GB"/>
        </w:rPr>
        <w:t>1</w:t>
      </w:r>
      <w:r w:rsidRPr="00AC50FA">
        <w:rPr>
          <w:rFonts w:ascii="Book Antiqua" w:hAnsi="Book Antiqua"/>
          <w:color w:val="000000" w:themeColor="text1"/>
          <w:sz w:val="24"/>
          <w:szCs w:val="24"/>
          <w:lang w:val="en-GB"/>
        </w:rPr>
        <w:t>1</w:t>
      </w:r>
      <w:r w:rsidR="00D74A16" w:rsidRPr="00AC50FA">
        <w:rPr>
          <w:rFonts w:ascii="Book Antiqua" w:hAnsi="Book Antiqua"/>
          <w:color w:val="000000" w:themeColor="text1"/>
          <w:sz w:val="24"/>
          <w:szCs w:val="24"/>
          <w:lang w:val="en-GB"/>
        </w:rPr>
        <w:t xml:space="preserve">% </w:t>
      </w:r>
      <w:r w:rsidR="003638F5" w:rsidRPr="00AC50FA">
        <w:rPr>
          <w:rFonts w:ascii="Book Antiqua" w:hAnsi="Book Antiqua"/>
          <w:color w:val="000000" w:themeColor="text1"/>
          <w:sz w:val="24"/>
          <w:szCs w:val="24"/>
          <w:lang w:val="en-GB"/>
        </w:rPr>
        <w:t xml:space="preserve">of patients </w:t>
      </w:r>
      <w:r w:rsidRPr="00AC50FA">
        <w:rPr>
          <w:rFonts w:ascii="Book Antiqua" w:hAnsi="Book Antiqua"/>
          <w:color w:val="000000" w:themeColor="text1"/>
          <w:sz w:val="24"/>
          <w:szCs w:val="24"/>
          <w:lang w:val="en-GB"/>
        </w:rPr>
        <w:t>respectively after SBRT</w:t>
      </w:r>
      <w:r w:rsidR="00D74A16"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{"citationItems":[{"id":"ITEM-1","itemData":{"DOI":"10.1016/j.ijrobp.2011.04.011","ISSN":"03603016","PMID":"21645977","abstract":"PURPOSE To evaluate the safety and efficacy of stereotactic body radiotherapy (SBRT) for the treatment of primary hepatocellular carcinoma (HCC). METHODS AND MATERIALS From 2005 to 2009, 60 patients with liver-confined HCC were treated with SBRT at the Indiana University Simon Cancer Center: 36 Child-Turcotte-Pugh (CTP) Class A and 24 CTP Class B. The median number of fractions, dose per fraction, and total dose, was 3, 14 Gy, and 44 Gy, respectively, for those with CTP Class A cirrhosis and 5, 8 Gy, and 40 Gy, respectively, for those with CTP Class B. Treatment was delivered via 6 to 12 beams and in nearly all cases was prescribed to the 80% isodose line. The records of all patients were reviewed, and treatment response was scored according to Response Evaluation Criteria in Solid Tumors v1.1. Toxicity was graded according to the Common Terminology Criteria for Adverse Events v4.0. Local control (LC), time to progression (TTP), progression-free survival (PFS), and overall survival (OS) were calculated according to the method of Kaplan and Meier. RESULTS The median follow-up time was 27 months, and the median tumor diameter was 3.2 cm. The 2-year LC, PFS, and OS were 90%, 48%, and 67%, respectively, with median TTP of 47.8 months. Subsequently, 23 patients underwent transplant, with a median time to transplant of 7 months. There were no ≥Grade 3 nonhematologic toxicities. Thirteen percent of patients experienced an increase in hematologic/hepatic dysfunction greater than 1 grade, and 20% experienced progression in CTP class within 3 months of treatment. CONCLUSIONS SBRT is a safe, effective, noninvasive option for patients with HCC ≤6 cm. As such, SBRT should be considered when bridging to transplant or as definitive therapy for those ineligible for transplant.","author":[{"dropping-particle":"","family":"Andolino","given":"David L.","non-dropping-particle":"","parse-names":false,"suffix":""},{"dropping-particle":"","family":"Johnson","given":"Cynthia S.","non-dropping-particle":"","parse-names":false,"suffix":""},{"dropping-particle":"","family":"Maluccio","given":"Mary","non-dropping-particle":"","parse-names":false,"suffix":""},{"dropping-particle":"","family":"Kwo","given":"Paul","non-dropping-particle":"","parse-names":false,"suffix":""},{"dropping-particle":"","family":"Tector","given":"A. Joseph","non-dropping-particle":"","parse-names":false,"suffix":""},{"dropping-particle":"","family":"Zook","given":"Jennifer","non-dropping-particle":"","parse-names":false,"suffix":""},{"dropping-particle":"","family":"Johnstone","given":"Peter A.S.","non-dropping-particle":"","parse-names":false,"suffix":""},{"dropping-particle":"","family":"Cardenes","given":"Higinia R.","non-dropping-particle":"","parse-names":false,"suffix":""}],"container-title":"International Journal of Radiation Oncology*Biology*Physics","id":"ITEM-1","issue":"4","issued":{"date-parts":[["2011","11"]]},"page":"e447-e453","title":"Stereotactic Body Radiotherapy for Primary Hepatocellular Carcinoma","type":"article-journal","volume":"81"},"uris":["http://www.mendeley.com/documents/?uuid=0375edb1-3fa5-4c04-ba89-0d7178e70344","http://www.mendeley.com/documents/?uuid=55842cab-1503-3191-b7f0-c48f1f3e051a"]}],"mendeley":{"formattedCitation":"[10]","plainTextFormattedCitation":"[10]","previouslyFormattedCitation":"&lt;sup&gt;10&lt;/sup&gt;"},"properties":{"noteIndex":0},"schema":"https://github.com/citation-style-language/schema/raw/master/csl-citation.json"}</w:instrText>
      </w:r>
      <w:r w:rsidR="00D74A16"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[10]</w:t>
      </w:r>
      <w:r w:rsidR="00D74A16" w:rsidRPr="00AC50FA">
        <w:rPr>
          <w:rFonts w:ascii="Book Antiqua" w:hAnsi="Book Antiqua"/>
          <w:color w:val="000000" w:themeColor="text1"/>
          <w:sz w:val="24"/>
          <w:szCs w:val="24"/>
          <w:vertAlign w:val="superscript"/>
          <w:lang w:val="en-GB"/>
        </w:rPr>
        <w:fldChar w:fldCharType="end"/>
      </w:r>
      <w:r w:rsidRPr="00AC50FA">
        <w:rPr>
          <w:rFonts w:ascii="Book Antiqua" w:hAnsi="Book Antiqua"/>
          <w:color w:val="000000" w:themeColor="text1"/>
          <w:sz w:val="24"/>
          <w:szCs w:val="24"/>
          <w:lang w:val="en-GB"/>
        </w:rPr>
        <w:t xml:space="preserve">. </w:t>
      </w:r>
      <w:r w:rsidR="003638F5" w:rsidRPr="00AC50FA">
        <w:rPr>
          <w:rFonts w:ascii="Book Antiqua" w:hAnsi="Book Antiqua"/>
          <w:color w:val="000000" w:themeColor="text1"/>
          <w:sz w:val="24"/>
          <w:szCs w:val="24"/>
          <w:lang w:val="en-GB"/>
        </w:rPr>
        <w:t xml:space="preserve">The </w:t>
      </w:r>
      <w:r w:rsidR="00F85E46" w:rsidRPr="00AC50FA">
        <w:rPr>
          <w:rFonts w:ascii="Book Antiqua" w:hAnsi="Book Antiqua"/>
          <w:color w:val="000000" w:themeColor="text1"/>
          <w:sz w:val="24"/>
          <w:szCs w:val="24"/>
          <w:lang w:val="en-GB"/>
        </w:rPr>
        <w:t xml:space="preserve">treatment </w:t>
      </w:r>
      <w:r w:rsidR="003638F5" w:rsidRPr="00AC50FA">
        <w:rPr>
          <w:rFonts w:ascii="Book Antiqua" w:hAnsi="Book Antiqua"/>
          <w:color w:val="000000" w:themeColor="text1"/>
          <w:sz w:val="24"/>
          <w:szCs w:val="24"/>
          <w:lang w:val="en-GB"/>
        </w:rPr>
        <w:t>outcomes for post-transplant recurrence compared unfavourably especially in terms of regional progression (67%</w:t>
      </w:r>
      <w:r w:rsidR="00370E8D" w:rsidRPr="00AC50FA">
        <w:rPr>
          <w:rFonts w:ascii="Book Antiqua" w:hAnsi="Book Antiqua"/>
          <w:color w:val="000000" w:themeColor="text1"/>
          <w:sz w:val="24"/>
          <w:szCs w:val="24"/>
          <w:lang w:val="en-GB"/>
        </w:rPr>
        <w:t xml:space="preserve">). </w:t>
      </w:r>
      <w:r w:rsidR="004F6F75" w:rsidRPr="00AC50FA">
        <w:rPr>
          <w:rFonts w:ascii="Book Antiqua" w:hAnsi="Book Antiqua"/>
          <w:color w:val="000000" w:themeColor="text1"/>
          <w:sz w:val="24"/>
          <w:szCs w:val="24"/>
          <w:lang w:val="en-GB"/>
        </w:rPr>
        <w:t>T</w:t>
      </w:r>
      <w:r w:rsidR="00370E8D" w:rsidRPr="00AC50FA">
        <w:rPr>
          <w:rFonts w:ascii="Book Antiqua" w:hAnsi="Book Antiqua"/>
          <w:color w:val="000000" w:themeColor="text1"/>
          <w:sz w:val="24"/>
          <w:szCs w:val="24"/>
          <w:lang w:val="en-GB"/>
        </w:rPr>
        <w:t xml:space="preserve">he </w:t>
      </w:r>
      <w:r w:rsidR="009F6813" w:rsidRPr="00AC50FA">
        <w:rPr>
          <w:rFonts w:ascii="Book Antiqua" w:hAnsi="Book Antiqua"/>
          <w:color w:val="000000" w:themeColor="text1"/>
          <w:sz w:val="24"/>
          <w:szCs w:val="24"/>
          <w:lang w:val="en-GB"/>
        </w:rPr>
        <w:t>disease nature</w:t>
      </w:r>
      <w:r w:rsidR="00370E8D" w:rsidRPr="00AC50FA">
        <w:rPr>
          <w:rFonts w:ascii="Book Antiqua" w:hAnsi="Book Antiqua"/>
          <w:color w:val="000000" w:themeColor="text1"/>
          <w:sz w:val="24"/>
          <w:szCs w:val="24"/>
          <w:lang w:val="en-GB"/>
        </w:rPr>
        <w:t xml:space="preserve"> </w:t>
      </w:r>
      <w:r w:rsidR="009F6813" w:rsidRPr="00AC50FA">
        <w:rPr>
          <w:rFonts w:ascii="Book Antiqua" w:hAnsi="Book Antiqua"/>
          <w:color w:val="000000" w:themeColor="text1"/>
          <w:sz w:val="24"/>
          <w:szCs w:val="24"/>
          <w:lang w:val="en-GB"/>
        </w:rPr>
        <w:t xml:space="preserve">itself </w:t>
      </w:r>
      <w:r w:rsidR="004F6F75" w:rsidRPr="00AC50FA">
        <w:rPr>
          <w:rFonts w:ascii="Book Antiqua" w:hAnsi="Book Antiqua"/>
          <w:color w:val="000000" w:themeColor="text1"/>
          <w:sz w:val="24"/>
          <w:szCs w:val="24"/>
          <w:lang w:val="en-GB"/>
        </w:rPr>
        <w:t>is held responsible</w:t>
      </w:r>
      <w:r w:rsidR="00370E8D" w:rsidRPr="00AC50FA">
        <w:rPr>
          <w:rFonts w:ascii="Book Antiqua" w:hAnsi="Book Antiqua"/>
          <w:color w:val="000000" w:themeColor="text1"/>
          <w:sz w:val="24"/>
          <w:szCs w:val="24"/>
          <w:lang w:val="en-GB"/>
        </w:rPr>
        <w:t xml:space="preserve">. </w:t>
      </w:r>
      <w:r w:rsidR="004F6F75" w:rsidRPr="00AC50FA">
        <w:rPr>
          <w:rFonts w:ascii="Book Antiqua" w:hAnsi="Book Antiqua"/>
          <w:color w:val="000000" w:themeColor="text1"/>
          <w:sz w:val="24"/>
          <w:szCs w:val="24"/>
          <w:lang w:val="en-GB"/>
        </w:rPr>
        <w:t>Post-transplant HCC recurrence is</w:t>
      </w:r>
      <w:r w:rsidR="005D36B6" w:rsidRPr="00AC50FA">
        <w:rPr>
          <w:rFonts w:ascii="Book Antiqua" w:hAnsi="Book Antiqua"/>
          <w:color w:val="000000" w:themeColor="text1"/>
          <w:sz w:val="24"/>
          <w:szCs w:val="24"/>
          <w:lang w:val="en-GB"/>
        </w:rPr>
        <w:t>,</w:t>
      </w:r>
      <w:r w:rsidR="004F6F75" w:rsidRPr="00AC50FA">
        <w:rPr>
          <w:rFonts w:ascii="Book Antiqua" w:hAnsi="Book Antiqua"/>
          <w:color w:val="000000" w:themeColor="text1"/>
          <w:sz w:val="24"/>
          <w:szCs w:val="24"/>
          <w:lang w:val="en-GB"/>
        </w:rPr>
        <w:t xml:space="preserve"> by definition</w:t>
      </w:r>
      <w:r w:rsidR="005D36B6" w:rsidRPr="00AC50FA">
        <w:rPr>
          <w:rFonts w:ascii="Book Antiqua" w:hAnsi="Book Antiqua"/>
          <w:color w:val="000000" w:themeColor="text1"/>
          <w:sz w:val="24"/>
          <w:szCs w:val="24"/>
          <w:lang w:val="en-GB"/>
        </w:rPr>
        <w:t>,</w:t>
      </w:r>
      <w:r w:rsidR="00370E8D" w:rsidRPr="00AC50FA">
        <w:rPr>
          <w:rFonts w:ascii="Book Antiqua" w:hAnsi="Book Antiqua"/>
          <w:color w:val="000000" w:themeColor="text1"/>
          <w:sz w:val="24"/>
          <w:szCs w:val="24"/>
          <w:lang w:val="en-GB"/>
        </w:rPr>
        <w:t xml:space="preserve"> </w:t>
      </w:r>
      <w:r w:rsidR="007E0651" w:rsidRPr="00AC50FA">
        <w:rPr>
          <w:rFonts w:ascii="Book Antiqua" w:hAnsi="Book Antiqua"/>
          <w:color w:val="000000" w:themeColor="text1"/>
          <w:sz w:val="24"/>
          <w:szCs w:val="24"/>
          <w:lang w:val="en-GB"/>
        </w:rPr>
        <w:t>metastatic disease from the native liver</w:t>
      </w:r>
      <w:r w:rsidR="004F6F75" w:rsidRPr="00AC50FA">
        <w:rPr>
          <w:rFonts w:ascii="Book Antiqua" w:hAnsi="Book Antiqua"/>
          <w:color w:val="000000" w:themeColor="text1"/>
          <w:sz w:val="24"/>
          <w:szCs w:val="24"/>
          <w:lang w:val="en-GB"/>
        </w:rPr>
        <w:t xml:space="preserve">. </w:t>
      </w:r>
      <w:r w:rsidR="005D36B6" w:rsidRPr="00AC50FA">
        <w:rPr>
          <w:rFonts w:ascii="Book Antiqua" w:hAnsi="Book Antiqua"/>
          <w:color w:val="000000" w:themeColor="text1"/>
          <w:sz w:val="24"/>
          <w:szCs w:val="24"/>
          <w:lang w:val="en-GB"/>
        </w:rPr>
        <w:t>Even isolated intrah</w:t>
      </w:r>
      <w:r w:rsidR="004F6F75" w:rsidRPr="00AC50FA">
        <w:rPr>
          <w:rFonts w:ascii="Book Antiqua" w:hAnsi="Book Antiqua"/>
          <w:color w:val="000000" w:themeColor="text1"/>
          <w:sz w:val="24"/>
          <w:szCs w:val="24"/>
          <w:lang w:val="en-GB"/>
        </w:rPr>
        <w:t xml:space="preserve">epatic recurrence </w:t>
      </w:r>
      <w:r w:rsidR="005D36B6" w:rsidRPr="00AC50FA">
        <w:rPr>
          <w:rFonts w:ascii="Book Antiqua" w:hAnsi="Book Antiqua"/>
          <w:color w:val="000000" w:themeColor="text1"/>
          <w:sz w:val="24"/>
          <w:szCs w:val="24"/>
          <w:lang w:val="en-GB"/>
        </w:rPr>
        <w:t xml:space="preserve">represents </w:t>
      </w:r>
      <w:r w:rsidR="009F6813" w:rsidRPr="00AC50FA">
        <w:rPr>
          <w:rFonts w:ascii="Book Antiqua" w:hAnsi="Book Antiqua"/>
          <w:color w:val="000000" w:themeColor="text1"/>
          <w:sz w:val="24"/>
          <w:szCs w:val="24"/>
          <w:lang w:val="en-GB"/>
        </w:rPr>
        <w:t xml:space="preserve">a </w:t>
      </w:r>
      <w:r w:rsidR="004F6F75" w:rsidRPr="00AC50FA">
        <w:rPr>
          <w:rFonts w:ascii="Book Antiqua" w:hAnsi="Book Antiqua"/>
          <w:color w:val="000000" w:themeColor="text1"/>
          <w:sz w:val="24"/>
          <w:szCs w:val="24"/>
          <w:lang w:val="en-GB"/>
        </w:rPr>
        <w:t xml:space="preserve">local phenomenon </w:t>
      </w:r>
      <w:r w:rsidR="000D4A4A" w:rsidRPr="00AC50FA">
        <w:rPr>
          <w:rFonts w:ascii="Book Antiqua" w:hAnsi="Book Antiqua"/>
          <w:color w:val="000000" w:themeColor="text1"/>
          <w:sz w:val="24"/>
          <w:szCs w:val="24"/>
          <w:lang w:val="en-GB"/>
        </w:rPr>
        <w:t>of</w:t>
      </w:r>
      <w:r w:rsidR="009F6813" w:rsidRPr="00AC50FA">
        <w:rPr>
          <w:rFonts w:ascii="Book Antiqua" w:hAnsi="Book Antiqua"/>
          <w:color w:val="000000" w:themeColor="text1"/>
          <w:sz w:val="24"/>
          <w:szCs w:val="24"/>
          <w:lang w:val="en-GB"/>
        </w:rPr>
        <w:t xml:space="preserve"> an ongoing systemic </w:t>
      </w:r>
      <w:r w:rsidR="000D4A4A" w:rsidRPr="00AC50FA">
        <w:rPr>
          <w:rFonts w:ascii="Book Antiqua" w:hAnsi="Book Antiqua"/>
          <w:color w:val="000000" w:themeColor="text1"/>
          <w:sz w:val="24"/>
          <w:szCs w:val="24"/>
          <w:lang w:val="en-GB"/>
        </w:rPr>
        <w:t>ev</w:t>
      </w:r>
      <w:r w:rsidR="004F6F75" w:rsidRPr="00AC50FA">
        <w:rPr>
          <w:rFonts w:ascii="Book Antiqua" w:hAnsi="Book Antiqua"/>
          <w:color w:val="000000" w:themeColor="text1"/>
          <w:sz w:val="24"/>
          <w:szCs w:val="24"/>
          <w:lang w:val="en-GB"/>
        </w:rPr>
        <w:t>ent</w:t>
      </w:r>
      <w:r w:rsidR="003D39D4" w:rsidRPr="00AC50FA">
        <w:rPr>
          <w:rFonts w:ascii="Book Antiqua" w:hAnsi="Book Antiqua"/>
          <w:color w:val="000000" w:themeColor="text1"/>
          <w:sz w:val="24"/>
          <w:szCs w:val="24"/>
          <w:lang w:val="en-GB"/>
        </w:rPr>
        <w:t>, and should be managed with a combination of systemic</w:t>
      </w:r>
      <w:r w:rsidR="000D4A4A" w:rsidRPr="00AC50FA">
        <w:rPr>
          <w:rFonts w:ascii="Book Antiqua" w:hAnsi="Book Antiqua"/>
          <w:color w:val="000000" w:themeColor="text1"/>
          <w:sz w:val="24"/>
          <w:szCs w:val="24"/>
          <w:lang w:val="en-GB"/>
        </w:rPr>
        <w:t xml:space="preserve"> and loco-</w:t>
      </w:r>
      <w:r w:rsidR="003D39D4" w:rsidRPr="00AC50FA">
        <w:rPr>
          <w:rFonts w:ascii="Book Antiqua" w:hAnsi="Book Antiqua"/>
          <w:color w:val="000000" w:themeColor="text1"/>
          <w:sz w:val="24"/>
          <w:szCs w:val="24"/>
          <w:lang w:val="en-GB"/>
        </w:rPr>
        <w:t xml:space="preserve">regional </w:t>
      </w:r>
      <w:r w:rsidR="000D4A4A" w:rsidRPr="00AC50FA">
        <w:rPr>
          <w:rFonts w:ascii="Book Antiqua" w:hAnsi="Book Antiqua"/>
          <w:color w:val="000000" w:themeColor="text1"/>
          <w:sz w:val="24"/>
          <w:szCs w:val="24"/>
          <w:lang w:val="en-GB"/>
        </w:rPr>
        <w:t>t</w:t>
      </w:r>
      <w:r w:rsidR="003D39D4" w:rsidRPr="00AC50FA">
        <w:rPr>
          <w:rFonts w:ascii="Book Antiqua" w:hAnsi="Book Antiqua"/>
          <w:color w:val="000000" w:themeColor="text1"/>
          <w:sz w:val="24"/>
          <w:szCs w:val="24"/>
          <w:lang w:val="en-GB"/>
        </w:rPr>
        <w:t>reatment</w:t>
      </w:r>
      <w:r w:rsidR="003D39D4"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{"citationItems":[{"id":"ITEM-1","itemData":{"DOI":"10.3748/wjg.v24.i45.5081","ISSN":"1007-9327","PMID":"30568386","abstract":"A large number of liver transplants have been performed for hepatocellular carcinoma (HCC), and recurrence is increasingly encountered. The recurrence of HCC after liver transplantation is notoriously difficult to manage. We hereby propose multi-disciplinary management with a systematic approach. The patient is jointly managed by the transplant surgeon, physician, oncologist and radiologist. Immunosuppressants should be tapered to the lowest effective dose to protect against rejection. The combination of a mammalian target of rapamycin inhibitor with a reduced calcineurin inhibitor could be considered with close monitoring of graft function and toxicity. Comprehensive staging can be performed by dual-tracer positron emission tomography-computed tomography or the combination of contrast computed tomography and a bone scan. In patients with disseminated recurrence, sorafenib confers survival benefits but is associated with significant drug toxicity. Oligo-recurrence encompasses recurrent disease that is limited in number and location so that loco-regional treatments convey disease control and survival benefits. Intra-hepatic recurrence can be managed with graft resection, but significant operative morbidity is expected. Radiofrequency ablation and stereotactic body radiation therapy (SBRT) are effective alternative strategies. In patients with more advanced hepatic disease, regional treatment with trans-arterial chemoembolization or intra-arterial Yttrium-90 can be considered. For patients with extra-hepatic oligo-recurrence, loco-regional treatment can be considered if practical. Patients with more than one site of recurrence are not always contraindicated for curative treatments. Surgical resection is effective for patients with pulmonary oligo-recurrence, but adequate lung function is a pre-requisite. SBRT is a non-invasive and effective modality that conveys local control to pulmonary and skeletal oligo-recurrences.","author":[{"dropping-particle":"","family":"Au","given":"Kin Pan","non-dropping-particle":"","parse-names":false,"suffix":""},{"dropping-particle":"","family":"Chok","given":"Kenneth Siu Ho","non-dropping-particle":"","parse-names":false,"suffix":""}],"container-title":"World Journal of Gastroenterology","id":"ITEM-1","issue":"45","issued":{"date-parts":[["2018","12"]]},"page":"5081-5094","title":"Multidisciplinary approach for post-liver transplant recurrence of hepatocellular carcinoma: A proposed management algorithm","type":"article-journal","volume":"24"},"uris":["http://www.mendeley.com/documents/?uuid=8db3b209-1d4c-3f95-96a3-a5c829e21f7d","http://www.mendeley.com/documents/?uuid=fcbb98af-c4d1-47f7-8042-c3c962dddec6"]}],"mendeley":{"formattedCitation":"[17]","plainTextFormattedCitation":"[17]","previouslyFormattedCitation":"&lt;sup&gt;17&lt;/sup&gt;"},"properties":{"noteIndex":0},"schema":"https://github.com/citation-style-language/schema/raw/master/csl-citation.json"}</w:instrText>
      </w:r>
      <w:r w:rsidR="003D39D4"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[17]</w:t>
      </w:r>
      <w:r w:rsidR="003D39D4" w:rsidRPr="00AC50FA">
        <w:rPr>
          <w:rFonts w:ascii="Book Antiqua" w:hAnsi="Book Antiqua"/>
          <w:color w:val="000000" w:themeColor="text1"/>
          <w:sz w:val="24"/>
          <w:szCs w:val="24"/>
          <w:vertAlign w:val="superscript"/>
          <w:lang w:val="en-GB"/>
        </w:rPr>
        <w:fldChar w:fldCharType="end"/>
      </w:r>
      <w:r w:rsidR="003D39D4" w:rsidRPr="00AC50FA">
        <w:rPr>
          <w:rFonts w:ascii="Book Antiqua" w:hAnsi="Book Antiqua"/>
          <w:color w:val="000000" w:themeColor="text1"/>
          <w:sz w:val="24"/>
          <w:szCs w:val="24"/>
          <w:lang w:val="en-GB"/>
        </w:rPr>
        <w:t xml:space="preserve">. </w:t>
      </w:r>
    </w:p>
    <w:p w14:paraId="47C1900A" w14:textId="34604D51" w:rsidR="00215C6D" w:rsidRPr="00AC50FA" w:rsidRDefault="003D39D4"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A</w:t>
      </w:r>
      <w:r w:rsidR="00991B72" w:rsidRPr="00AC50FA">
        <w:rPr>
          <w:rFonts w:ascii="Book Antiqua" w:hAnsi="Book Antiqua"/>
          <w:color w:val="000000" w:themeColor="text1"/>
          <w:sz w:val="24"/>
          <w:szCs w:val="24"/>
          <w:lang w:val="en-GB"/>
        </w:rPr>
        <w:t xml:space="preserve">part from SBRT, all </w:t>
      </w:r>
      <w:r w:rsidR="005D36B6" w:rsidRPr="00AC50FA">
        <w:rPr>
          <w:rFonts w:ascii="Book Antiqua" w:hAnsi="Book Antiqua"/>
          <w:color w:val="000000" w:themeColor="text1"/>
          <w:sz w:val="24"/>
          <w:szCs w:val="24"/>
          <w:lang w:val="en-GB"/>
        </w:rPr>
        <w:t xml:space="preserve">patients in our series received systemic anti-tumour therapy with </w:t>
      </w:r>
      <w:r w:rsidR="00F85E46" w:rsidRPr="00AC50FA">
        <w:rPr>
          <w:rFonts w:ascii="Book Antiqua" w:hAnsi="Book Antiqua"/>
          <w:color w:val="000000" w:themeColor="text1"/>
          <w:sz w:val="24"/>
          <w:szCs w:val="24"/>
          <w:lang w:val="en-GB"/>
        </w:rPr>
        <w:t xml:space="preserve">at least </w:t>
      </w:r>
      <w:r w:rsidR="00AC50FA" w:rsidRPr="00AC50FA">
        <w:rPr>
          <w:rFonts w:ascii="Book Antiqua" w:hAnsi="Book Antiqua"/>
          <w:color w:val="000000" w:themeColor="text1"/>
          <w:sz w:val="24"/>
          <w:szCs w:val="24"/>
          <w:lang w:val="en-GB"/>
        </w:rPr>
        <w:t>a</w:t>
      </w:r>
      <w:r w:rsidR="005D36B6" w:rsidRPr="00AC50FA">
        <w:rPr>
          <w:rFonts w:ascii="Book Antiqua" w:hAnsi="Book Antiqua"/>
          <w:color w:val="000000" w:themeColor="text1"/>
          <w:sz w:val="24"/>
          <w:szCs w:val="24"/>
          <w:lang w:val="en-GB"/>
        </w:rPr>
        <w:t xml:space="preserve"> </w:t>
      </w:r>
      <w:r w:rsidR="00AC50FA" w:rsidRPr="00AC50FA">
        <w:rPr>
          <w:rFonts w:ascii="Book Antiqua" w:hAnsi="Book Antiqua"/>
          <w:color w:val="000000" w:themeColor="text1"/>
          <w:sz w:val="24"/>
          <w:szCs w:val="24"/>
          <w:lang w:val="en-GB"/>
        </w:rPr>
        <w:t xml:space="preserve">mammalian target of rapamycin </w:t>
      </w:r>
      <w:r w:rsidR="005D36B6" w:rsidRPr="00AC50FA">
        <w:rPr>
          <w:rFonts w:ascii="Book Antiqua" w:hAnsi="Book Antiqua"/>
          <w:color w:val="000000" w:themeColor="text1"/>
          <w:sz w:val="24"/>
          <w:szCs w:val="24"/>
          <w:lang w:val="en-GB"/>
        </w:rPr>
        <w:t>inhibitor (Table 1).</w:t>
      </w:r>
      <w:r w:rsidR="00097EBE" w:rsidRPr="00AC50FA">
        <w:rPr>
          <w:rFonts w:ascii="Book Antiqua" w:hAnsi="Book Antiqua"/>
          <w:color w:val="000000" w:themeColor="text1"/>
          <w:sz w:val="24"/>
          <w:szCs w:val="24"/>
          <w:lang w:val="en-GB"/>
        </w:rPr>
        <w:t xml:space="preserve"> However, th</w:t>
      </w:r>
      <w:r w:rsidR="00F85E46" w:rsidRPr="00AC50FA">
        <w:rPr>
          <w:rFonts w:ascii="Book Antiqua" w:hAnsi="Book Antiqua"/>
          <w:color w:val="000000" w:themeColor="text1"/>
          <w:sz w:val="24"/>
          <w:szCs w:val="24"/>
          <w:lang w:val="en-GB"/>
        </w:rPr>
        <w:t>is study</w:t>
      </w:r>
      <w:r w:rsidR="00097EBE" w:rsidRPr="00AC50FA">
        <w:rPr>
          <w:rFonts w:ascii="Book Antiqua" w:hAnsi="Book Antiqua"/>
          <w:color w:val="000000" w:themeColor="text1"/>
          <w:sz w:val="24"/>
          <w:szCs w:val="24"/>
          <w:lang w:val="en-GB"/>
        </w:rPr>
        <w:t xml:space="preserve"> </w:t>
      </w:r>
      <w:r w:rsidR="005D36B6" w:rsidRPr="00AC50FA">
        <w:rPr>
          <w:rFonts w:ascii="Book Antiqua" w:hAnsi="Book Antiqua"/>
          <w:color w:val="000000" w:themeColor="text1"/>
          <w:sz w:val="24"/>
          <w:szCs w:val="24"/>
          <w:lang w:val="en-GB"/>
        </w:rPr>
        <w:t xml:space="preserve">revealed </w:t>
      </w:r>
      <w:r w:rsidR="00595E7F" w:rsidRPr="00AC50FA">
        <w:rPr>
          <w:rFonts w:ascii="Book Antiqua" w:hAnsi="Book Antiqua"/>
          <w:color w:val="000000" w:themeColor="text1"/>
          <w:sz w:val="24"/>
          <w:szCs w:val="24"/>
          <w:lang w:val="en-GB"/>
        </w:rPr>
        <w:t>a</w:t>
      </w:r>
      <w:r w:rsidR="001B60D0" w:rsidRPr="00AC50FA">
        <w:rPr>
          <w:rFonts w:ascii="Book Antiqua" w:hAnsi="Book Antiqua"/>
          <w:color w:val="000000" w:themeColor="text1"/>
          <w:sz w:val="24"/>
          <w:szCs w:val="24"/>
          <w:lang w:val="en-GB"/>
        </w:rPr>
        <w:t xml:space="preserve"> significant shortcoming</w:t>
      </w:r>
      <w:r w:rsidR="001A6276" w:rsidRPr="00AC50FA">
        <w:rPr>
          <w:rFonts w:ascii="Book Antiqua" w:hAnsi="Book Antiqua"/>
          <w:color w:val="000000" w:themeColor="text1"/>
          <w:sz w:val="24"/>
          <w:szCs w:val="24"/>
          <w:lang w:val="en-GB"/>
        </w:rPr>
        <w:t xml:space="preserve"> of </w:t>
      </w:r>
      <w:r w:rsidR="002A0B09" w:rsidRPr="00AC50FA">
        <w:rPr>
          <w:rFonts w:ascii="Book Antiqua" w:hAnsi="Book Antiqua"/>
          <w:color w:val="000000" w:themeColor="text1"/>
          <w:sz w:val="24"/>
          <w:szCs w:val="24"/>
          <w:lang w:val="en-GB"/>
        </w:rPr>
        <w:t xml:space="preserve">SBRT and </w:t>
      </w:r>
      <w:r w:rsidR="00097EBE" w:rsidRPr="00AC50FA">
        <w:rPr>
          <w:rFonts w:ascii="Book Antiqua" w:hAnsi="Book Antiqua"/>
          <w:color w:val="000000" w:themeColor="text1"/>
          <w:sz w:val="24"/>
          <w:szCs w:val="24"/>
          <w:lang w:val="en-GB"/>
        </w:rPr>
        <w:t xml:space="preserve">systemic therapy </w:t>
      </w:r>
      <w:r w:rsidR="00991B72" w:rsidRPr="00AC50FA">
        <w:rPr>
          <w:rFonts w:ascii="Book Antiqua" w:hAnsi="Book Antiqua"/>
          <w:color w:val="000000" w:themeColor="text1"/>
          <w:sz w:val="24"/>
          <w:szCs w:val="24"/>
          <w:lang w:val="en-GB"/>
        </w:rPr>
        <w:t>combination</w:t>
      </w:r>
      <w:r w:rsidR="007F77BC" w:rsidRPr="00AC50FA">
        <w:rPr>
          <w:rFonts w:ascii="Book Antiqua" w:hAnsi="Book Antiqua"/>
          <w:color w:val="000000" w:themeColor="text1"/>
          <w:sz w:val="24"/>
          <w:szCs w:val="24"/>
          <w:lang w:val="en-GB"/>
        </w:rPr>
        <w:t xml:space="preserve"> in this context</w:t>
      </w:r>
      <w:r w:rsidR="00F85E46" w:rsidRPr="00AC50FA">
        <w:rPr>
          <w:rFonts w:ascii="Book Antiqua" w:hAnsi="Book Antiqua"/>
          <w:color w:val="000000" w:themeColor="text1"/>
          <w:sz w:val="24"/>
          <w:szCs w:val="24"/>
          <w:lang w:val="en-GB"/>
        </w:rPr>
        <w:t xml:space="preserve">. Regional control is </w:t>
      </w:r>
      <w:r w:rsidR="001B60D0" w:rsidRPr="00AC50FA">
        <w:rPr>
          <w:rFonts w:ascii="Book Antiqua" w:hAnsi="Book Antiqua"/>
          <w:color w:val="000000" w:themeColor="text1"/>
          <w:sz w:val="24"/>
          <w:szCs w:val="24"/>
          <w:lang w:val="en-GB"/>
        </w:rPr>
        <w:t xml:space="preserve">inadequate. </w:t>
      </w:r>
      <w:r w:rsidR="00991B72" w:rsidRPr="00AC50FA">
        <w:rPr>
          <w:rFonts w:ascii="Book Antiqua" w:hAnsi="Book Antiqua"/>
          <w:color w:val="000000" w:themeColor="text1"/>
          <w:sz w:val="24"/>
          <w:szCs w:val="24"/>
          <w:lang w:val="en-GB"/>
        </w:rPr>
        <w:t>Given the</w:t>
      </w:r>
      <w:r w:rsidR="00595E7F" w:rsidRPr="00AC50FA">
        <w:rPr>
          <w:rFonts w:ascii="Book Antiqua" w:hAnsi="Book Antiqua"/>
          <w:color w:val="000000" w:themeColor="text1"/>
          <w:sz w:val="24"/>
          <w:szCs w:val="24"/>
          <w:lang w:val="en-GB"/>
        </w:rPr>
        <w:t xml:space="preserve"> </w:t>
      </w:r>
      <w:r w:rsidR="00991B72" w:rsidRPr="00AC50FA">
        <w:rPr>
          <w:rFonts w:ascii="Book Antiqua" w:hAnsi="Book Antiqua"/>
          <w:color w:val="000000" w:themeColor="text1"/>
          <w:sz w:val="24"/>
          <w:szCs w:val="24"/>
          <w:lang w:val="en-GB"/>
        </w:rPr>
        <w:t xml:space="preserve">effectiveness of </w:t>
      </w:r>
      <w:r w:rsidR="001830CE" w:rsidRPr="00AC50FA">
        <w:rPr>
          <w:rFonts w:ascii="Book Antiqua" w:hAnsi="Book Antiqua"/>
          <w:color w:val="000000" w:themeColor="text1"/>
          <w:sz w:val="24"/>
          <w:szCs w:val="24"/>
          <w:lang w:val="en-GB"/>
        </w:rPr>
        <w:t>radio</w:t>
      </w:r>
      <w:r w:rsidR="00991B72" w:rsidRPr="00AC50FA">
        <w:rPr>
          <w:rFonts w:ascii="Book Antiqua" w:hAnsi="Book Antiqua"/>
          <w:color w:val="000000" w:themeColor="text1"/>
          <w:sz w:val="24"/>
          <w:szCs w:val="24"/>
          <w:lang w:val="en-GB"/>
        </w:rPr>
        <w:t>therapy</w:t>
      </w:r>
      <w:r w:rsidR="001830CE" w:rsidRPr="00AC50FA">
        <w:rPr>
          <w:rFonts w:ascii="Book Antiqua" w:hAnsi="Book Antiqua"/>
          <w:color w:val="000000" w:themeColor="text1"/>
          <w:sz w:val="24"/>
          <w:szCs w:val="24"/>
          <w:lang w:val="en-GB"/>
        </w:rPr>
        <w:t xml:space="preserve"> in local control</w:t>
      </w:r>
      <w:r w:rsidR="001A6276" w:rsidRPr="00AC50FA">
        <w:rPr>
          <w:rFonts w:ascii="Book Antiqua" w:hAnsi="Book Antiqua"/>
          <w:color w:val="000000" w:themeColor="text1"/>
          <w:sz w:val="24"/>
          <w:szCs w:val="24"/>
          <w:lang w:val="en-GB"/>
        </w:rPr>
        <w:t>,</w:t>
      </w:r>
      <w:r w:rsidR="00991B72" w:rsidRPr="00AC50FA">
        <w:rPr>
          <w:rFonts w:ascii="Book Antiqua" w:hAnsi="Book Antiqua"/>
          <w:color w:val="000000" w:themeColor="text1"/>
          <w:sz w:val="24"/>
          <w:szCs w:val="24"/>
          <w:lang w:val="en-GB"/>
        </w:rPr>
        <w:t xml:space="preserve"> it may appear sensible to expand the irradiation field</w:t>
      </w:r>
      <w:r w:rsidR="007A1AA4" w:rsidRPr="00AC50FA">
        <w:rPr>
          <w:rFonts w:ascii="Book Antiqua" w:hAnsi="Book Antiqua"/>
          <w:color w:val="000000" w:themeColor="text1"/>
          <w:sz w:val="24"/>
          <w:szCs w:val="24"/>
          <w:lang w:val="en-GB"/>
        </w:rPr>
        <w:t xml:space="preserve"> to cover</w:t>
      </w:r>
      <w:r w:rsidR="001A6276" w:rsidRPr="00AC50FA">
        <w:rPr>
          <w:rFonts w:ascii="Book Antiqua" w:hAnsi="Book Antiqua"/>
          <w:color w:val="000000" w:themeColor="text1"/>
          <w:sz w:val="24"/>
          <w:szCs w:val="24"/>
          <w:lang w:val="en-GB"/>
        </w:rPr>
        <w:t xml:space="preserve"> </w:t>
      </w:r>
      <w:r w:rsidR="006A0076" w:rsidRPr="00AC50FA">
        <w:rPr>
          <w:rFonts w:ascii="Book Antiqua" w:hAnsi="Book Antiqua"/>
          <w:color w:val="000000" w:themeColor="text1"/>
          <w:sz w:val="24"/>
          <w:szCs w:val="24"/>
          <w:lang w:val="en-GB"/>
        </w:rPr>
        <w:t>the remaining liver graft</w:t>
      </w:r>
      <w:r w:rsidR="001A6276" w:rsidRPr="00AC50FA">
        <w:rPr>
          <w:rFonts w:ascii="Book Antiqua" w:hAnsi="Book Antiqua"/>
          <w:color w:val="000000" w:themeColor="text1"/>
          <w:sz w:val="24"/>
          <w:szCs w:val="24"/>
          <w:lang w:val="en-GB"/>
        </w:rPr>
        <w:t xml:space="preserve">. However, </w:t>
      </w:r>
      <w:r w:rsidR="00830FED" w:rsidRPr="00AC50FA">
        <w:rPr>
          <w:rFonts w:ascii="Book Antiqua" w:hAnsi="Book Antiqua"/>
          <w:color w:val="000000" w:themeColor="text1"/>
          <w:sz w:val="24"/>
          <w:szCs w:val="24"/>
          <w:lang w:val="en-GB"/>
        </w:rPr>
        <w:t xml:space="preserve">historical </w:t>
      </w:r>
      <w:r w:rsidR="001A6276" w:rsidRPr="00AC50FA">
        <w:rPr>
          <w:rFonts w:ascii="Book Antiqua" w:hAnsi="Book Antiqua"/>
          <w:color w:val="000000" w:themeColor="text1"/>
          <w:sz w:val="24"/>
          <w:szCs w:val="24"/>
          <w:lang w:val="en-GB"/>
        </w:rPr>
        <w:t xml:space="preserve">experience in whole liver irradiation </w:t>
      </w:r>
      <w:r w:rsidR="00830FED" w:rsidRPr="00AC50FA">
        <w:rPr>
          <w:rFonts w:ascii="Book Antiqua" w:hAnsi="Book Antiqua"/>
          <w:color w:val="000000" w:themeColor="text1"/>
          <w:sz w:val="24"/>
          <w:szCs w:val="24"/>
          <w:lang w:val="en-GB"/>
        </w:rPr>
        <w:t>has shown that the liver has a relatively limited tolerance</w:t>
      </w:r>
      <w:r w:rsidR="00830FED"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{"citationItems":[{"id":"ITEM-1","itemData":{"DOI":"10.1016/j.ijrobp.2009.06.092","ISSN":"1879-355X","PMID":"20171524","abstract":"The liver is a critically important organ that has numerous functions including the production of bile, metabolism of ingested nutrients, elimination of many waste products, glycogen storage, and plasma protein synthesis. The liver is often incidentally irradiated during radiation therapy (RT) for tumors in the upper- abdomen, right lower lung, distal esophagus, or during whole abdomen or whole body RT. This article describes the endpoints, time-course, and dose-volume effect of radiation on the liver.","author":[{"dropping-particle":"","family":"Pan","given":"Charlie C","non-dropping-particle":"","parse-names":false,"suffix":""},{"dropping-particle":"","family":"Kavanagh","given":"Brian D","non-dropping-particle":"","parse-names":false,"suffix":""},{"dropping-particle":"","family":"Dawson","given":"Laura A","non-dropping-particle":"","parse-names":false,"suffix":""},{"dropping-particle":"","family":"Li","given":"X Allen","non-dropping-particle":"","parse-names":false,"suffix":""},{"dropping-particle":"","family":"Das","given":"Shiva K","non-dropping-particle":"","parse-names":false,"suffix":""},{"dropping-particle":"","family":"Miften","given":"Moyed","non-dropping-particle":"","parse-names":false,"suffix":""},{"dropping-particle":"","family":"Haken","given":"Randall K","non-dropping-particle":"Ten","parse-names":false,"suffix":""}],"container-title":"International journal of radiation oncology, biology, physics","id":"ITEM-1","issue":"3 Suppl","issued":{"date-parts":[["2010","3"]]},"page":"S94-100","publisher":"Elsevier","title":"Radiation-associated liver injury.","type":"article-journal","volume":"76"},"uris":["http://www.mendeley.com/documents/?uuid=a1d1ac79-efe7-3060-b79b-decbc0bb1dbe","http://www.mendeley.com/documents/?uuid=5fdd0f60-7920-40e3-87f1-15c9608a903f"]}],"mendeley":{"formattedCitation":"[18]","plainTextFormattedCitation":"[18]","previouslyFormattedCitation":"&lt;sup&gt;18&lt;/sup&gt;"},"properties":{"noteIndex":0},"schema":"https://github.com/citation-style-language/schema/raw/master/csl-citation.json"}</w:instrText>
      </w:r>
      <w:r w:rsidR="00830FED"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[18]</w:t>
      </w:r>
      <w:r w:rsidR="00830FED" w:rsidRPr="00AC50FA">
        <w:rPr>
          <w:rFonts w:ascii="Book Antiqua" w:hAnsi="Book Antiqua"/>
          <w:color w:val="000000" w:themeColor="text1"/>
          <w:sz w:val="24"/>
          <w:szCs w:val="24"/>
          <w:vertAlign w:val="superscript"/>
          <w:lang w:val="en-GB"/>
        </w:rPr>
        <w:fldChar w:fldCharType="end"/>
      </w:r>
      <w:r w:rsidR="00830FED" w:rsidRPr="00AC50FA">
        <w:rPr>
          <w:rFonts w:ascii="Book Antiqua" w:hAnsi="Book Antiqua"/>
          <w:color w:val="000000" w:themeColor="text1"/>
          <w:sz w:val="24"/>
          <w:szCs w:val="24"/>
          <w:lang w:val="en-GB"/>
        </w:rPr>
        <w:t>.</w:t>
      </w:r>
      <w:r w:rsidR="00545036">
        <w:rPr>
          <w:rFonts w:ascii="Book Antiqua" w:hAnsi="Book Antiqua"/>
          <w:color w:val="000000" w:themeColor="text1"/>
          <w:sz w:val="24"/>
          <w:szCs w:val="24"/>
          <w:lang w:val="en-GB"/>
        </w:rPr>
        <w:t xml:space="preserve"> </w:t>
      </w:r>
      <w:r w:rsidR="00595E7F" w:rsidRPr="00AC50FA">
        <w:rPr>
          <w:rFonts w:ascii="Book Antiqua" w:hAnsi="Book Antiqua"/>
          <w:color w:val="000000" w:themeColor="text1"/>
          <w:sz w:val="24"/>
          <w:szCs w:val="24"/>
          <w:lang w:val="en-GB"/>
        </w:rPr>
        <w:t xml:space="preserve">Several attempts by the </w:t>
      </w:r>
      <w:r w:rsidR="002010A1" w:rsidRPr="00AC50FA">
        <w:rPr>
          <w:rFonts w:ascii="Book Antiqua" w:hAnsi="Book Antiqua"/>
          <w:color w:val="000000" w:themeColor="text1"/>
          <w:sz w:val="24"/>
          <w:szCs w:val="24"/>
        </w:rPr>
        <w:t>Radiation Therapy Oncology Group</w:t>
      </w:r>
      <w:r w:rsidR="002010A1" w:rsidRPr="00AC50FA">
        <w:rPr>
          <w:rFonts w:ascii="Book Antiqua" w:hAnsi="Book Antiqua"/>
          <w:color w:val="000000" w:themeColor="text1"/>
          <w:sz w:val="24"/>
          <w:szCs w:val="24"/>
          <w:lang w:val="en-GB"/>
        </w:rPr>
        <w:t xml:space="preserve"> </w:t>
      </w:r>
      <w:r w:rsidR="00595E7F" w:rsidRPr="00AC50FA">
        <w:rPr>
          <w:rFonts w:ascii="Book Antiqua" w:hAnsi="Book Antiqua"/>
          <w:color w:val="000000" w:themeColor="text1"/>
          <w:sz w:val="24"/>
          <w:szCs w:val="24"/>
          <w:lang w:val="en-GB"/>
        </w:rPr>
        <w:t xml:space="preserve">have failed to establish a safe and effective dose for whole liver </w:t>
      </w:r>
      <w:r w:rsidR="00F36B1D" w:rsidRPr="00AC50FA">
        <w:rPr>
          <w:rFonts w:ascii="Book Antiqua" w:hAnsi="Book Antiqua"/>
          <w:color w:val="000000" w:themeColor="text1"/>
          <w:sz w:val="24"/>
          <w:szCs w:val="24"/>
          <w:lang w:val="en-GB"/>
        </w:rPr>
        <w:t>ir</w:t>
      </w:r>
      <w:r w:rsidR="00595E7F" w:rsidRPr="00AC50FA">
        <w:rPr>
          <w:rFonts w:ascii="Book Antiqua" w:hAnsi="Book Antiqua"/>
          <w:color w:val="000000" w:themeColor="text1"/>
          <w:sz w:val="24"/>
          <w:szCs w:val="24"/>
          <w:lang w:val="en-GB"/>
        </w:rPr>
        <w:t>radiation</w:t>
      </w:r>
      <w:r w:rsidR="00595E7F"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{"citationItems":[{"id":"ITEM-1","itemData":{"ISSN":"0360-3016","PMID":"2032882","abstract":"The importance of knowledge on tolerance of normal tissue organs to irradiation by radiation oncologists cannot be overemphasized. Unfortunately, current knowledge is less than adequate. With the increasing use of 3-D treatment planning and dose delivery, this issue, particularly volumetric information, will become even more critical. As a part of the NCI contract N01 CM-47316, a task force, chaired by the primary author, was formed and an extensive literature search was carried out to address this issue. In this issue. In this manuscript we present the updated information on tolerance of normal tissues of concern in the protocols of this contract, based on available data, with a special emphasis on partial volume effects. Due to a lack of precise and comprehensive data base, opinions and experience of the clinicians from four universities involved in the contract have also been contributory. Obviously, this is not and cannot be a comprehensive work, which is beyond the scope of this contract.","author":[{"dropping-particle":"","family":"Emami","given":"B","non-dropping-particle":"","parse-names":false,"suffix":""},{"dropping-particle":"","family":"Lyman","given":"J","non-dropping-particle":"","parse-names":false,"suffix":""},{"dropping-particle":"","family":"Brown","given":"A","non-dropping-particle":"","parse-names":false,"suffix":""},{"dropping-particle":"","family":"Coia","given":"L","non-dropping-particle":"","parse-names":false,"suffix":""},{"dropping-particle":"","family":"Goitein","given":"M","non-dropping-particle":"","parse-names":false,"suffix":""},{"dropping-particle":"","family":"Munzenrider","given":"J E","non-dropping-particle":"","parse-names":false,"suffix":""},{"dropping-particle":"","family":"Shank","given":"B","non-dropping-particle":"","parse-names":false,"suffix":""},{"dropping-particle":"","family":"Solin","given":"L J","non-dropping-particle":"","parse-names":false,"suffix":""},{"dropping-particle":"","family":"Wesson","given":"M","non-dropping-particle":"","parse-names":false,"suffix":""}],"container-title":"International journal of radiation oncology, biology, physics","id":"ITEM-1","issue":"1","issued":{"date-parts":[["1991","5"]]},"page":"109-22","title":"Tolerance of normal tissue to therapeutic irradiation.","type":"article-journal","volume":"21"},"uris":["http://www.mendeley.com/documents/?uuid=868c5a47-c6fc-3b41-9fb2-3765505d6d48","http://www.mendeley.com/documents/?uuid=da836861-7aa9-4922-97ac-a501e3a469f4"]},{"id":"ITEM-2","itemData":{"ISSN":"0360-3016","PMID":"8365932","abstract":"PURPOSE This study was prepared to address two objectives: (a) to determine whether progressively higher total doses of hepatic irradiation can prolong survival in a selected population of patients with liver metastases; (b) to refine existing concepts of liver tolerance for fractionated external radiation employing a fraction size which might be appropriate in clinical protocols evaluating elective or adjuvant radiation of the liver. METHODS AND MATERIALS One hundred seventy-three analyzable patients with computed tomography measurable liver metastases from primary cancers of the gastrointestinal tract were entered on a dose escalating protocol of twice daily hepatic irradiation employing fractions of 1.5 Gy separated by 4 hr or longer. Sequential groups of patients received 27 Gy, 30 Gy, and 33 Gy to the entire liver and were monitored for acute and late toxicities, survival, and cause of death. Dose escalation was implemented following survival of 10 patients at each dose level for a period of 6 months or longer without clinical or biochemical evidence of radiation hepatitis. RESULTS The use of progressively larger total doses of radiation did not prolong median survival or decrease the frequency with which liver metastases were the cause of death. None of 122 patients entered at the 27 Gy and 30 Gy dose levels revealed clinical or biochemical evidence of radiation induced liver injury. Five of 51 patients entered at the 33 Gy level revealed clinical or biochemical evidence of late liver injury with an actuarial risk of severe (Grade 3) radiation hepatitis of 10.0% (+/- 7.3% S.E.) at 6 months, resulting in closure of the study to patient entry. CONCLUSION The study design could not credibly establish a safe dose for hepatic irradiation, however, it did succeed in determining that 33 Gy in fractions of 1.5 Gy is unsafe, carrying a substantial risk of delayed radiation injury. The absence of apparent late liver injury at the 27 Gy and 30 Gy dose levels suggests that a prior clinical trial of adjuvant hepatic irradiation in patients with resected colon cancer may have employed an insufficient radiation dose (21 Gy) to fully test the question.","author":[{"dropping-particle":"","family":"Russell","given":"A H","non-dropping-particle":"","parse-names":false,"suffix":""},{"dropping-particle":"","family":"Clyde","given":"C","non-dropping-particle":"","parse-names":false,"suffix":""},{"dropping-particle":"","family":"Wasserman","given":"T H","non-dropping-particle":"","parse-names":false,"suffix":""},{"dropping-particle":"","family":"Turner","given":"S S","non-dropping-particle":"","parse-names":false,"suffix":""},{"dropping-particle":"","family":"Rotman","given":"M","non-dropping-particle":"","parse-names":false,"suffix":""}],"container-title":"International journal of radiation oncology, biology, physics","id":"ITEM-2","issue":"1","issued":{"date-parts":[["1993","9"]]},"page":"117-23","title":"Accelerated hyperfractionated hepatic irradiation in the management of patients with liver metastases: results of the RTOG dose escalating protocol.","type":"article-journal","volume":"27"},"uris":["http://www.mendeley.com/documents/?uuid=e39c4a89-d765-3c2b-9a63-10c06fdeb08f","http://www.mendeley.com/documents/?uuid=7f4d99ec-9a7d-4bbd-8c61-ac165af07998"]}],"mendeley":{"formattedCitation":"[19], [20]","plainTextFormattedCitation":"[19], [20]","previouslyFormattedCitation":"&lt;sup&gt;19,20&lt;/sup&gt;"},"properties":{"noteIndex":0},"schema":"https://github.com/citation-style-language/schema/raw/master/csl-citation.json"}</w:instrText>
      </w:r>
      <w:r w:rsidR="00595E7F"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[19,20]</w:t>
      </w:r>
      <w:r w:rsidR="00595E7F" w:rsidRPr="00AC50FA">
        <w:rPr>
          <w:rFonts w:ascii="Book Antiqua" w:hAnsi="Book Antiqua"/>
          <w:color w:val="000000" w:themeColor="text1"/>
          <w:sz w:val="24"/>
          <w:szCs w:val="24"/>
          <w:vertAlign w:val="superscript"/>
          <w:lang w:val="en-GB"/>
        </w:rPr>
        <w:fldChar w:fldCharType="end"/>
      </w:r>
      <w:r w:rsidR="001830CE" w:rsidRPr="00AC50FA">
        <w:rPr>
          <w:rFonts w:ascii="Book Antiqua" w:hAnsi="Book Antiqua"/>
          <w:color w:val="000000" w:themeColor="text1"/>
          <w:sz w:val="24"/>
          <w:szCs w:val="24"/>
          <w:lang w:val="en-GB"/>
        </w:rPr>
        <w:t xml:space="preserve">. When combined with conformal irradiation to the tumour, the risk of radiation induced liver disease </w:t>
      </w:r>
      <w:r w:rsidR="006E591F" w:rsidRPr="00AC50FA">
        <w:rPr>
          <w:rFonts w:ascii="Book Antiqua" w:hAnsi="Book Antiqua"/>
          <w:color w:val="000000" w:themeColor="text1"/>
          <w:sz w:val="24"/>
          <w:szCs w:val="24"/>
          <w:lang w:val="en-GB"/>
        </w:rPr>
        <w:t xml:space="preserve">is expected to be further </w:t>
      </w:r>
      <w:r w:rsidR="001830CE" w:rsidRPr="00AC50FA">
        <w:rPr>
          <w:rFonts w:ascii="Book Antiqua" w:hAnsi="Book Antiqua"/>
          <w:color w:val="000000" w:themeColor="text1"/>
          <w:sz w:val="24"/>
          <w:szCs w:val="24"/>
          <w:lang w:val="en-GB"/>
        </w:rPr>
        <w:t>amplified.</w:t>
      </w:r>
      <w:r w:rsidR="00F4688C" w:rsidRPr="00AC50FA">
        <w:rPr>
          <w:rFonts w:ascii="Book Antiqua" w:hAnsi="Book Antiqua"/>
          <w:color w:val="000000" w:themeColor="text1"/>
          <w:sz w:val="24"/>
          <w:szCs w:val="24"/>
          <w:lang w:val="en-GB"/>
        </w:rPr>
        <w:t xml:space="preserve"> </w:t>
      </w:r>
      <w:r w:rsidR="001830CE" w:rsidRPr="00AC50FA">
        <w:rPr>
          <w:rFonts w:ascii="Book Antiqua" w:hAnsi="Book Antiqua"/>
          <w:color w:val="000000" w:themeColor="text1"/>
          <w:sz w:val="24"/>
          <w:szCs w:val="24"/>
          <w:lang w:val="en-GB"/>
        </w:rPr>
        <w:t>Perhaps</w:t>
      </w:r>
      <w:r w:rsidR="0077543D" w:rsidRPr="00AC50FA">
        <w:rPr>
          <w:rFonts w:ascii="Book Antiqua" w:hAnsi="Book Antiqua"/>
          <w:color w:val="000000" w:themeColor="text1"/>
          <w:sz w:val="24"/>
          <w:szCs w:val="24"/>
          <w:lang w:val="en-GB"/>
        </w:rPr>
        <w:t xml:space="preserve"> </w:t>
      </w:r>
      <w:r w:rsidR="007E1B98" w:rsidRPr="00AC50FA">
        <w:rPr>
          <w:rFonts w:ascii="Book Antiqua" w:hAnsi="Book Antiqua"/>
          <w:color w:val="000000" w:themeColor="text1"/>
          <w:sz w:val="24"/>
          <w:szCs w:val="24"/>
          <w:lang w:val="en-GB"/>
        </w:rPr>
        <w:t>hepatic</w:t>
      </w:r>
      <w:r w:rsidR="0077543D" w:rsidRPr="00AC50FA">
        <w:rPr>
          <w:rFonts w:ascii="Book Antiqua" w:hAnsi="Book Antiqua"/>
          <w:color w:val="000000" w:themeColor="text1"/>
          <w:sz w:val="24"/>
          <w:szCs w:val="24"/>
          <w:lang w:val="en-GB"/>
        </w:rPr>
        <w:t xml:space="preserve"> disease can be better handled</w:t>
      </w:r>
      <w:r w:rsidR="00F36B1D" w:rsidRPr="00AC50FA">
        <w:rPr>
          <w:rFonts w:ascii="Book Antiqua" w:hAnsi="Book Antiqua"/>
          <w:color w:val="000000" w:themeColor="text1"/>
          <w:sz w:val="24"/>
          <w:szCs w:val="24"/>
          <w:lang w:val="en-GB"/>
        </w:rPr>
        <w:t xml:space="preserve"> with </w:t>
      </w:r>
      <w:r w:rsidR="007E1B98" w:rsidRPr="00AC50FA">
        <w:rPr>
          <w:rFonts w:ascii="Book Antiqua" w:hAnsi="Book Antiqua"/>
          <w:color w:val="000000" w:themeColor="text1"/>
          <w:sz w:val="24"/>
          <w:szCs w:val="24"/>
          <w:lang w:val="en-GB"/>
        </w:rPr>
        <w:t xml:space="preserve">regional </w:t>
      </w:r>
      <w:r w:rsidR="0077543D" w:rsidRPr="00AC50FA">
        <w:rPr>
          <w:rFonts w:ascii="Book Antiqua" w:hAnsi="Book Antiqua"/>
          <w:color w:val="000000" w:themeColor="text1"/>
          <w:sz w:val="24"/>
          <w:szCs w:val="24"/>
          <w:lang w:val="en-GB"/>
        </w:rPr>
        <w:t>chemotherapy.</w:t>
      </w:r>
      <w:r w:rsidR="007E1B98" w:rsidRPr="00AC50FA">
        <w:rPr>
          <w:rFonts w:ascii="Book Antiqua" w:hAnsi="Book Antiqua"/>
          <w:color w:val="000000" w:themeColor="text1"/>
          <w:sz w:val="24"/>
          <w:szCs w:val="24"/>
          <w:lang w:val="en-GB"/>
        </w:rPr>
        <w:t xml:space="preserve"> Intra-arterial delivery of </w:t>
      </w:r>
      <w:r w:rsidR="007A1AA4" w:rsidRPr="00AC50FA">
        <w:rPr>
          <w:rFonts w:ascii="Book Antiqua" w:hAnsi="Book Antiqua"/>
          <w:color w:val="000000" w:themeColor="text1"/>
          <w:sz w:val="24"/>
          <w:szCs w:val="24"/>
          <w:lang w:val="en-GB"/>
        </w:rPr>
        <w:t>platinum drug</w:t>
      </w:r>
      <w:r w:rsidR="007E1B98" w:rsidRPr="00AC50FA">
        <w:rPr>
          <w:rFonts w:ascii="Book Antiqua" w:hAnsi="Book Antiqua"/>
          <w:color w:val="000000" w:themeColor="text1"/>
          <w:sz w:val="24"/>
          <w:szCs w:val="24"/>
          <w:lang w:val="en-GB"/>
        </w:rPr>
        <w:t xml:space="preserve"> carried in an emulsion with lipiodol </w:t>
      </w:r>
      <w:r w:rsidR="007E1B98" w:rsidRPr="00AC50FA">
        <w:rPr>
          <w:rFonts w:ascii="Book Antiqua" w:hAnsi="Book Antiqua"/>
          <w:i/>
          <w:iCs/>
          <w:color w:val="000000" w:themeColor="text1"/>
          <w:sz w:val="24"/>
          <w:szCs w:val="24"/>
          <w:lang w:val="en-GB"/>
        </w:rPr>
        <w:t>via</w:t>
      </w:r>
      <w:r w:rsidR="007E1B98" w:rsidRPr="00AC50FA">
        <w:rPr>
          <w:rFonts w:ascii="Book Antiqua" w:hAnsi="Book Antiqua"/>
          <w:color w:val="000000" w:themeColor="text1"/>
          <w:sz w:val="24"/>
          <w:szCs w:val="24"/>
          <w:lang w:val="en-GB"/>
        </w:rPr>
        <w:t xml:space="preserve"> TACE is a well-established treatment modality </w:t>
      </w:r>
      <w:r w:rsidR="006E591F" w:rsidRPr="00AC50FA">
        <w:rPr>
          <w:rFonts w:ascii="Book Antiqua" w:hAnsi="Book Antiqua"/>
          <w:color w:val="000000" w:themeColor="text1"/>
          <w:sz w:val="24"/>
          <w:szCs w:val="24"/>
          <w:lang w:val="en-GB"/>
        </w:rPr>
        <w:t>for</w:t>
      </w:r>
      <w:r w:rsidR="007E1B98" w:rsidRPr="00AC50FA">
        <w:rPr>
          <w:rFonts w:ascii="Book Antiqua" w:hAnsi="Book Antiqua"/>
          <w:color w:val="000000" w:themeColor="text1"/>
          <w:sz w:val="24"/>
          <w:szCs w:val="24"/>
          <w:lang w:val="en-GB"/>
        </w:rPr>
        <w:t xml:space="preserve"> primary HCC</w:t>
      </w:r>
      <w:r w:rsidR="007E1B98"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{"citationItems":[{"id":"ITEM-1","itemData":{"DOI":"10.3348/kjr.2009.10.5.425","ISSN":"2005-8330","PMID":"19721826","abstract":"Despite remarkable advancement in the surveillance and treatment of hepatocellular carcinoma (HCC) and the availability of novel curative options, a great proportion of HCC patients are still not eligible for curative treatment due to an advanced tumor stage or poor hepatic functional reserve. Therefore, there is a continuing need for effective palliative treatments. Although practiced widely, it has only recently been demonstrated that the use of transarterial chemoembolization (TACE) provides a survival benefit based on randomized controlled studies. Hence, TACE has become standard treatment in selected patients. TACE combines the effect of targeted chemotherapy with the effect of ischemic necrosis induced by arterial embolization. Most of the TACE procedures have been based on iodized oil utilizing the microembolic and drug-carrying characteristic of iodized oil. Recently, there have been efforts to improve the delivery of chemotherapeutic agents to a tumor. In this review, the basic principles, technical issues and complications of TACE are reviewed and recent advancement in TACE technique and clinical applicability are briefed.","author":[{"dropping-particle":"","family":"Shin","given":"Sung Wook","non-dropping-particle":"","parse-names":false,"suffix":""}],"container-title":"Korean journal of radiology","id":"ITEM-1","issue":"5","issued":{"date-parts":[["2009"]]},"page":"425-34","publisher":"Korean Society of Radiology","title":"The current practice of transarterial chemoembolization for the treatment of hepatocellular carcinoma.","type":"article-journal","volume":"10"},"uris":["http://www.mendeley.com/documents/?uuid=e4e99733-15f6-33d5-aae7-49877f295c11","http://www.mendeley.com/documents/?uuid=7bf4feb4-7baf-4cd7-b8bc-a19e2efa97db"]}],"mendeley":{"formattedCitation":"[21]","plainTextFormattedCitation":"[21]","previouslyFormattedCitation":"&lt;sup&gt;21&lt;/sup&gt;"},"properties":{"noteIndex":0},"schema":"https://github.com/citation-style-language/schema/raw/master/csl-citation.json"}</w:instrText>
      </w:r>
      <w:r w:rsidR="007E1B98"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[21]</w:t>
      </w:r>
      <w:r w:rsidR="007E1B98" w:rsidRPr="00AC50FA">
        <w:rPr>
          <w:rFonts w:ascii="Book Antiqua" w:hAnsi="Book Antiqua"/>
          <w:color w:val="000000" w:themeColor="text1"/>
          <w:sz w:val="24"/>
          <w:szCs w:val="24"/>
          <w:vertAlign w:val="superscript"/>
          <w:lang w:val="en-GB"/>
        </w:rPr>
        <w:fldChar w:fldCharType="end"/>
      </w:r>
      <w:r w:rsidR="007E1B98" w:rsidRPr="00AC50FA">
        <w:rPr>
          <w:rFonts w:ascii="Book Antiqua" w:hAnsi="Book Antiqua"/>
          <w:color w:val="000000" w:themeColor="text1"/>
          <w:sz w:val="24"/>
          <w:szCs w:val="24"/>
          <w:lang w:val="en-GB"/>
        </w:rPr>
        <w:t xml:space="preserve">. </w:t>
      </w:r>
      <w:r w:rsidR="00B11359" w:rsidRPr="00AC50FA">
        <w:rPr>
          <w:rFonts w:ascii="Book Antiqua" w:hAnsi="Book Antiqua"/>
          <w:color w:val="000000" w:themeColor="text1"/>
          <w:sz w:val="24"/>
          <w:szCs w:val="24"/>
          <w:lang w:val="en-GB"/>
        </w:rPr>
        <w:t xml:space="preserve">The chemotherapeutic effect is further enhanced by </w:t>
      </w:r>
      <w:proofErr w:type="spellStart"/>
      <w:r w:rsidR="00B11359" w:rsidRPr="00AC50FA">
        <w:rPr>
          <w:rFonts w:ascii="Book Antiqua" w:hAnsi="Book Antiqua"/>
          <w:color w:val="000000" w:themeColor="text1"/>
          <w:sz w:val="24"/>
          <w:szCs w:val="24"/>
          <w:lang w:val="en-GB"/>
        </w:rPr>
        <w:t>gelfoam</w:t>
      </w:r>
      <w:proofErr w:type="spellEnd"/>
      <w:r w:rsidR="00B11359" w:rsidRPr="00AC50FA">
        <w:rPr>
          <w:rFonts w:ascii="Book Antiqua" w:hAnsi="Book Antiqua"/>
          <w:color w:val="000000" w:themeColor="text1"/>
          <w:sz w:val="24"/>
          <w:szCs w:val="24"/>
          <w:lang w:val="en-GB"/>
        </w:rPr>
        <w:t xml:space="preserve"> </w:t>
      </w:r>
      <w:r w:rsidR="006461F5" w:rsidRPr="00AC50FA">
        <w:rPr>
          <w:rFonts w:ascii="Book Antiqua" w:hAnsi="Book Antiqua"/>
          <w:color w:val="000000" w:themeColor="text1"/>
          <w:sz w:val="24"/>
          <w:szCs w:val="24"/>
          <w:lang w:val="en-GB"/>
        </w:rPr>
        <w:t>embolization</w:t>
      </w:r>
      <w:r w:rsidR="006A0076" w:rsidRPr="00AC50FA">
        <w:rPr>
          <w:rFonts w:ascii="Book Antiqua" w:hAnsi="Book Antiqua"/>
          <w:color w:val="000000" w:themeColor="text1"/>
          <w:sz w:val="24"/>
          <w:szCs w:val="24"/>
          <w:lang w:val="en-GB"/>
        </w:rPr>
        <w:t>,</w:t>
      </w:r>
      <w:r w:rsidR="006461F5" w:rsidRPr="00AC50FA">
        <w:rPr>
          <w:rFonts w:ascii="Book Antiqua" w:hAnsi="Book Antiqua"/>
          <w:color w:val="000000" w:themeColor="text1"/>
          <w:sz w:val="24"/>
          <w:szCs w:val="24"/>
          <w:lang w:val="en-GB"/>
        </w:rPr>
        <w:t xml:space="preserve"> which induces</w:t>
      </w:r>
      <w:r w:rsidR="00B11359" w:rsidRPr="00AC50FA">
        <w:rPr>
          <w:rFonts w:ascii="Book Antiqua" w:hAnsi="Book Antiqua"/>
          <w:color w:val="000000" w:themeColor="text1"/>
          <w:sz w:val="24"/>
          <w:szCs w:val="24"/>
          <w:lang w:val="en-GB"/>
        </w:rPr>
        <w:t xml:space="preserve"> tumour necrosis.</w:t>
      </w:r>
      <w:r w:rsidR="00F85E46" w:rsidRPr="00AC50FA">
        <w:rPr>
          <w:rFonts w:ascii="Book Antiqua" w:hAnsi="Book Antiqua"/>
          <w:color w:val="000000" w:themeColor="text1"/>
          <w:sz w:val="24"/>
          <w:szCs w:val="24"/>
          <w:lang w:val="en-GB"/>
        </w:rPr>
        <w:t xml:space="preserve"> </w:t>
      </w:r>
      <w:bookmarkStart w:id="6" w:name="_Hlk33817152"/>
      <w:r w:rsidR="00F85E46" w:rsidRPr="00AC50FA">
        <w:rPr>
          <w:rFonts w:ascii="Book Antiqua" w:hAnsi="Book Antiqua"/>
          <w:color w:val="000000" w:themeColor="text1"/>
          <w:sz w:val="24"/>
          <w:szCs w:val="24"/>
          <w:lang w:val="en-GB"/>
        </w:rPr>
        <w:t xml:space="preserve">The efficacy of TACE for post-transplant recurrence </w:t>
      </w:r>
      <w:r w:rsidR="006A0076" w:rsidRPr="00AC50FA">
        <w:rPr>
          <w:rFonts w:ascii="Book Antiqua" w:hAnsi="Book Antiqua"/>
          <w:color w:val="000000" w:themeColor="text1"/>
          <w:sz w:val="24"/>
          <w:szCs w:val="24"/>
          <w:lang w:val="en-GB"/>
        </w:rPr>
        <w:t>has been addressed</w:t>
      </w:r>
      <w:r w:rsidR="00F85E46" w:rsidRPr="00AC50FA">
        <w:rPr>
          <w:rFonts w:ascii="Book Antiqua" w:hAnsi="Book Antiqua"/>
          <w:color w:val="000000" w:themeColor="text1"/>
          <w:sz w:val="24"/>
          <w:szCs w:val="24"/>
          <w:lang w:val="en-GB"/>
        </w:rPr>
        <w:t xml:space="preserve"> a prospective </w:t>
      </w:r>
      <w:r w:rsidR="00F36B1D" w:rsidRPr="00AC50FA">
        <w:rPr>
          <w:rFonts w:ascii="Book Antiqua" w:hAnsi="Book Antiqua"/>
          <w:color w:val="000000" w:themeColor="text1"/>
          <w:sz w:val="24"/>
          <w:szCs w:val="24"/>
          <w:lang w:val="en-GB"/>
        </w:rPr>
        <w:t xml:space="preserve">case-control study </w:t>
      </w:r>
      <w:r w:rsidR="00F85E46" w:rsidRPr="00AC50FA">
        <w:rPr>
          <w:rFonts w:ascii="Book Antiqua" w:hAnsi="Book Antiqua"/>
          <w:color w:val="000000" w:themeColor="text1"/>
          <w:sz w:val="24"/>
          <w:szCs w:val="24"/>
          <w:lang w:val="en-GB"/>
        </w:rPr>
        <w:t xml:space="preserve">consisting </w:t>
      </w:r>
      <w:r w:rsidR="007F77BC" w:rsidRPr="00AC50FA">
        <w:rPr>
          <w:rFonts w:ascii="Book Antiqua" w:hAnsi="Book Antiqua"/>
          <w:color w:val="000000" w:themeColor="text1"/>
          <w:sz w:val="24"/>
          <w:szCs w:val="24"/>
          <w:lang w:val="en-GB"/>
        </w:rPr>
        <w:t>28 patients</w:t>
      </w:r>
      <w:r w:rsidR="00F85E46"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{"citationItems":[{"id":"ITEM-1","itemData":{"DOI":"10.1016/j.jvir.2009.11.006","ISSN":"10510443","PMID":"20116286","abstract":"PURPOSE To determine whether chemoembolization can benefit patients with unresectable recurrent hepatocellular carcinoma (HCC) after orthotopic liver transplantation (OLT). MATERIALS AND METHODS Twenty-eight of 71 patients (39%) with unresectable recurrent HCC following OLT and without contradictions to chemoembolization were included: 14 patients received chemoembolization after OLT (chemoembolization group) and 14 matched control subjects who did not receive chemoembolization (non-chemoembolization group). Tumor response was determined with follow-up computed tomography after each chemoembolization procedure and classified into four grades according to Response Evaluation Criteria in Solid Tumors. Overall survival was evaluated from OLT and from the diagnosis of recurrent HCC. RESULTS Within a median follow-up of 14.5-months, 12 of the 14 patients in the chemoembolization group (86%) and 13 of the 14 in the non-chemoembolization group (93%) developed new recurrences. Eight of the 14 patients in the chemoembolization group (57%) showed partial tumor response (&gt;30% reduction in the size of target lesions). Moreover, patients who underwent chemoembolization had a significantly longer overall survival after OLT (P = .0133) and after the diagnosis of HCC recurrence (P = .0338) compared to those who did not. No severe complications developed in patients receiving chemoembolization during follow-up. CONCLUSIONS Lobaplatin-based chemoembolization may elicit effective tumor response for recurrent HCCs and improve the overall survival of patients with unresectable HCC recurrence following OLT.","author":[{"dropping-particle":"","family":"Zhou","given":"Bin","non-dropping-particle":"","parse-names":false,"suffix":""},{"dropping-particle":"","family":"Shan","given":"Hong","non-dropping-particle":"","parse-names":false,"suffix":""},{"dropping-particle":"","family":"Zhu","given":"Kang-Shun","non-dropping-particle":"","parse-names":false,"suffix":""},{"dropping-particle":"","family":"Jiang","given":"Zai-Bo","non-dropping-particle":"","parse-names":false,"suffix":""},{"dropping-particle":"","family":"Guan","given":"Shou-Hai","non-dropping-particle":"","parse-names":false,"suffix":""},{"dropping-particle":"","family":"Meng","given":"Xiao-Chun","non-dropping-particle":"","parse-names":false,"suffix":""},{"dropping-particle":"","family":"Zeng","given":"Xian-Cheng","non-dropping-particle":"","parse-names":false,"suffix":""}],"container-title":"Journal of Vascular and Interventional Radiology","id":"ITEM-1","issue":"3","issued":{"date-parts":[["2010","3"]]},"page":"333-338","title":"Chemoembolization with Lobaplatin Mixed with Iodized Oil for Unresectable Recurrent Hepatocellular Carcinoma after Orthotopic Liver Transplantation","type":"article-journal","volume":"21"},"uris":["http://www.mendeley.com/documents/?uuid=71bae0c5-6c76-37c6-b12a-986af2ef1132","http://www.mendeley.com/documents/?uuid=75e52499-2379-4ce3-a34e-828cdba37480"]}],"mendeley":{"formattedCitation":"[22]","plainTextFormattedCitation":"[22]","previouslyFormattedCitation":"&lt;sup&gt;22&lt;/sup&gt;"},"properties":{"noteIndex":0},"schema":"https://github.com/citation-style-language/schema/raw/master/csl-citation.json"}</w:instrText>
      </w:r>
      <w:r w:rsidR="00F85E46"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[22]</w:t>
      </w:r>
      <w:r w:rsidR="00F85E46" w:rsidRPr="00AC50FA">
        <w:rPr>
          <w:rFonts w:ascii="Book Antiqua" w:hAnsi="Book Antiqua"/>
          <w:color w:val="000000" w:themeColor="text1"/>
          <w:sz w:val="24"/>
          <w:szCs w:val="24"/>
          <w:vertAlign w:val="superscript"/>
          <w:lang w:val="en-GB"/>
        </w:rPr>
        <w:fldChar w:fldCharType="end"/>
      </w:r>
      <w:r w:rsidR="00F85E46" w:rsidRPr="00AC50FA">
        <w:rPr>
          <w:rFonts w:ascii="Book Antiqua" w:hAnsi="Book Antiqua"/>
          <w:color w:val="000000" w:themeColor="text1"/>
          <w:sz w:val="24"/>
          <w:szCs w:val="24"/>
          <w:lang w:val="en-GB"/>
        </w:rPr>
        <w:t xml:space="preserve">. </w:t>
      </w:r>
      <w:r w:rsidR="00F36B1D" w:rsidRPr="00AC50FA">
        <w:rPr>
          <w:rFonts w:ascii="Book Antiqua" w:hAnsi="Book Antiqua"/>
          <w:color w:val="000000" w:themeColor="text1"/>
          <w:sz w:val="24"/>
          <w:szCs w:val="24"/>
          <w:lang w:val="en-GB"/>
        </w:rPr>
        <w:t xml:space="preserve">The best </w:t>
      </w:r>
      <w:r w:rsidR="00665D6A" w:rsidRPr="00AC50FA">
        <w:rPr>
          <w:rFonts w:ascii="Book Antiqua" w:hAnsi="Book Antiqua"/>
          <w:color w:val="000000" w:themeColor="text1"/>
          <w:sz w:val="24"/>
          <w:szCs w:val="24"/>
          <w:lang w:val="en-GB"/>
        </w:rPr>
        <w:t>outcome</w:t>
      </w:r>
      <w:r w:rsidR="00F36B1D" w:rsidRPr="00AC50FA">
        <w:rPr>
          <w:rFonts w:ascii="Book Antiqua" w:hAnsi="Book Antiqua"/>
          <w:color w:val="000000" w:themeColor="text1"/>
          <w:sz w:val="24"/>
          <w:szCs w:val="24"/>
          <w:lang w:val="en-GB"/>
        </w:rPr>
        <w:t xml:space="preserve"> was partial response, which was elicited in 57% of the patients. The local control </w:t>
      </w:r>
      <w:r w:rsidR="007F77BC" w:rsidRPr="00AC50FA">
        <w:rPr>
          <w:rFonts w:ascii="Book Antiqua" w:hAnsi="Book Antiqua"/>
          <w:color w:val="000000" w:themeColor="text1"/>
          <w:sz w:val="24"/>
          <w:szCs w:val="24"/>
          <w:lang w:val="en-GB"/>
        </w:rPr>
        <w:t>compared inferiorly to S</w:t>
      </w:r>
      <w:r w:rsidR="00F36B1D" w:rsidRPr="00AC50FA">
        <w:rPr>
          <w:rFonts w:ascii="Book Antiqua" w:hAnsi="Book Antiqua"/>
          <w:color w:val="000000" w:themeColor="text1"/>
          <w:sz w:val="24"/>
          <w:szCs w:val="24"/>
          <w:lang w:val="en-GB"/>
        </w:rPr>
        <w:t xml:space="preserve">BRT in our series (55% complete response and 11% partial </w:t>
      </w:r>
      <w:r w:rsidR="00F36B1D" w:rsidRPr="00AC50FA">
        <w:rPr>
          <w:rFonts w:ascii="Book Antiqua" w:hAnsi="Book Antiqua"/>
          <w:color w:val="000000" w:themeColor="text1"/>
          <w:sz w:val="24"/>
          <w:szCs w:val="24"/>
          <w:lang w:val="en-GB"/>
        </w:rPr>
        <w:lastRenderedPageBreak/>
        <w:t>response).</w:t>
      </w:r>
      <w:bookmarkEnd w:id="6"/>
      <w:r w:rsidR="00F36B1D" w:rsidRPr="00AC50FA">
        <w:rPr>
          <w:rFonts w:ascii="Book Antiqua" w:hAnsi="Book Antiqua"/>
          <w:color w:val="000000" w:themeColor="text1"/>
          <w:sz w:val="24"/>
          <w:szCs w:val="24"/>
          <w:lang w:val="en-GB"/>
        </w:rPr>
        <w:t xml:space="preserve"> Nevertheless, i</w:t>
      </w:r>
      <w:r w:rsidR="006A0076" w:rsidRPr="00AC50FA">
        <w:rPr>
          <w:rFonts w:ascii="Book Antiqua" w:hAnsi="Book Antiqua"/>
          <w:color w:val="000000" w:themeColor="text1"/>
          <w:sz w:val="24"/>
          <w:szCs w:val="24"/>
          <w:lang w:val="en-GB"/>
        </w:rPr>
        <w:t xml:space="preserve">mproved overall survival was reported compared to </w:t>
      </w:r>
      <w:r w:rsidR="00500639" w:rsidRPr="00AC50FA">
        <w:rPr>
          <w:rFonts w:ascii="Book Antiqua" w:hAnsi="Book Antiqua"/>
          <w:color w:val="000000" w:themeColor="text1"/>
          <w:sz w:val="24"/>
          <w:szCs w:val="24"/>
          <w:lang w:val="en-GB"/>
        </w:rPr>
        <w:t>no chemoembolization</w:t>
      </w:r>
      <w:r w:rsidR="006A0076" w:rsidRPr="00AC50FA">
        <w:rPr>
          <w:rFonts w:ascii="Book Antiqua" w:hAnsi="Book Antiqua"/>
          <w:color w:val="000000" w:themeColor="text1"/>
          <w:sz w:val="24"/>
          <w:szCs w:val="24"/>
          <w:lang w:val="en-GB"/>
        </w:rPr>
        <w:t xml:space="preserve"> (</w:t>
      </w:r>
      <w:r w:rsidR="00500639" w:rsidRPr="00AC50FA">
        <w:rPr>
          <w:rFonts w:ascii="Book Antiqua" w:hAnsi="Book Antiqua"/>
          <w:color w:val="000000" w:themeColor="text1"/>
          <w:sz w:val="24"/>
          <w:szCs w:val="24"/>
          <w:lang w:val="en-GB"/>
        </w:rPr>
        <w:t xml:space="preserve">1-year survival 86% </w:t>
      </w:r>
      <w:r w:rsidR="00500639" w:rsidRPr="00AC50FA">
        <w:rPr>
          <w:rFonts w:ascii="Book Antiqua" w:hAnsi="Book Antiqua"/>
          <w:i/>
          <w:iCs/>
          <w:color w:val="000000" w:themeColor="text1"/>
          <w:sz w:val="24"/>
          <w:szCs w:val="24"/>
          <w:lang w:val="en-GB"/>
        </w:rPr>
        <w:t>vs</w:t>
      </w:r>
      <w:r w:rsidR="00500639" w:rsidRPr="00AC50FA">
        <w:rPr>
          <w:rFonts w:ascii="Book Antiqua" w:hAnsi="Book Antiqua"/>
          <w:color w:val="000000" w:themeColor="text1"/>
          <w:sz w:val="24"/>
          <w:szCs w:val="24"/>
          <w:lang w:val="en-GB"/>
        </w:rPr>
        <w:t xml:space="preserve"> 50%, </w:t>
      </w:r>
      <w:r w:rsidR="00AC50FA" w:rsidRPr="00AC50FA">
        <w:rPr>
          <w:rFonts w:ascii="Book Antiqua" w:hAnsi="Book Antiqua"/>
          <w:i/>
          <w:iCs/>
          <w:color w:val="000000" w:themeColor="text1"/>
          <w:sz w:val="24"/>
          <w:szCs w:val="24"/>
          <w:lang w:val="en-GB"/>
        </w:rPr>
        <w:t>P</w:t>
      </w:r>
      <w:r w:rsidR="00AC50FA" w:rsidRPr="00AC50FA">
        <w:rPr>
          <w:rFonts w:ascii="Book Antiqua" w:hAnsi="Book Antiqua"/>
          <w:color w:val="000000" w:themeColor="text1"/>
          <w:sz w:val="24"/>
          <w:szCs w:val="24"/>
          <w:lang w:val="en-GB"/>
        </w:rPr>
        <w:t xml:space="preserve"> </w:t>
      </w:r>
      <w:r w:rsidR="00500639" w:rsidRPr="00AC50FA">
        <w:rPr>
          <w:rFonts w:ascii="Book Antiqua" w:hAnsi="Book Antiqua"/>
          <w:color w:val="000000" w:themeColor="text1"/>
          <w:sz w:val="24"/>
          <w:szCs w:val="24"/>
          <w:lang w:val="en-GB"/>
        </w:rPr>
        <w:t>=</w:t>
      </w:r>
      <w:r w:rsidR="00AC50FA" w:rsidRPr="00AC50FA">
        <w:rPr>
          <w:rFonts w:ascii="Book Antiqua" w:hAnsi="Book Antiqua"/>
          <w:color w:val="000000" w:themeColor="text1"/>
          <w:sz w:val="24"/>
          <w:szCs w:val="24"/>
          <w:lang w:val="en-GB"/>
        </w:rPr>
        <w:t xml:space="preserve"> </w:t>
      </w:r>
      <w:r w:rsidR="00500639" w:rsidRPr="00AC50FA">
        <w:rPr>
          <w:rFonts w:ascii="Book Antiqua" w:hAnsi="Book Antiqua"/>
          <w:color w:val="000000" w:themeColor="text1"/>
          <w:sz w:val="24"/>
          <w:szCs w:val="24"/>
          <w:lang w:val="en-GB"/>
        </w:rPr>
        <w:t>0.01</w:t>
      </w:r>
      <w:r w:rsidR="006A0076" w:rsidRPr="00AC50FA">
        <w:rPr>
          <w:rFonts w:ascii="Book Antiqua" w:hAnsi="Book Antiqua"/>
          <w:color w:val="000000" w:themeColor="text1"/>
          <w:sz w:val="24"/>
          <w:szCs w:val="24"/>
          <w:lang w:val="en-GB"/>
        </w:rPr>
        <w:t xml:space="preserve">), acknowledging the oncological benefits of regional therapy. </w:t>
      </w:r>
    </w:p>
    <w:p w14:paraId="02076032" w14:textId="52AE09F4" w:rsidR="00944DAF" w:rsidRPr="00AC50FA" w:rsidRDefault="000D4A4A"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Based on</w:t>
      </w:r>
      <w:r w:rsidR="006A0076" w:rsidRPr="00AC50FA">
        <w:rPr>
          <w:rFonts w:ascii="Book Antiqua" w:hAnsi="Book Antiqua"/>
          <w:color w:val="000000" w:themeColor="text1"/>
          <w:sz w:val="24"/>
          <w:szCs w:val="24"/>
          <w:lang w:val="en-GB"/>
        </w:rPr>
        <w:t xml:space="preserve"> the</w:t>
      </w:r>
      <w:r w:rsidR="00665D6A" w:rsidRPr="00AC50FA">
        <w:rPr>
          <w:rFonts w:ascii="Book Antiqua" w:hAnsi="Book Antiqua"/>
          <w:color w:val="000000" w:themeColor="text1"/>
          <w:sz w:val="24"/>
          <w:szCs w:val="24"/>
          <w:lang w:val="en-GB"/>
        </w:rPr>
        <w:t>se</w:t>
      </w:r>
      <w:r w:rsidR="006A0076" w:rsidRPr="00AC50FA">
        <w:rPr>
          <w:rFonts w:ascii="Book Antiqua" w:hAnsi="Book Antiqua"/>
          <w:color w:val="000000" w:themeColor="text1"/>
          <w:sz w:val="24"/>
          <w:szCs w:val="24"/>
          <w:lang w:val="en-GB"/>
        </w:rPr>
        <w:t xml:space="preserve"> results, </w:t>
      </w:r>
      <w:r w:rsidR="00665D6A" w:rsidRPr="00AC50FA">
        <w:rPr>
          <w:rFonts w:ascii="Book Antiqua" w:hAnsi="Book Antiqua"/>
          <w:color w:val="000000" w:themeColor="text1"/>
          <w:sz w:val="24"/>
          <w:szCs w:val="24"/>
          <w:lang w:val="en-GB"/>
        </w:rPr>
        <w:t xml:space="preserve">we look forward to </w:t>
      </w:r>
      <w:r w:rsidR="00215C6D" w:rsidRPr="00AC50FA">
        <w:rPr>
          <w:rFonts w:ascii="Book Antiqua" w:hAnsi="Book Antiqua"/>
          <w:color w:val="000000" w:themeColor="text1"/>
          <w:sz w:val="24"/>
          <w:szCs w:val="24"/>
          <w:lang w:val="en-GB"/>
        </w:rPr>
        <w:t>a</w:t>
      </w:r>
      <w:r w:rsidR="00665D6A" w:rsidRPr="00AC50FA">
        <w:rPr>
          <w:rFonts w:ascii="Book Antiqua" w:hAnsi="Book Antiqua"/>
          <w:color w:val="000000" w:themeColor="text1"/>
          <w:sz w:val="24"/>
          <w:szCs w:val="24"/>
          <w:lang w:val="en-GB"/>
        </w:rPr>
        <w:t xml:space="preserve"> combination treatment of SBRT with TACE</w:t>
      </w:r>
      <w:r w:rsidR="006A0076" w:rsidRPr="00AC50FA">
        <w:rPr>
          <w:rFonts w:ascii="Book Antiqua" w:hAnsi="Book Antiqua"/>
          <w:color w:val="000000" w:themeColor="text1"/>
          <w:sz w:val="24"/>
          <w:szCs w:val="24"/>
          <w:lang w:val="en-GB"/>
        </w:rPr>
        <w:t xml:space="preserve">. Their respective </w:t>
      </w:r>
      <w:r w:rsidR="00665D6A" w:rsidRPr="00AC50FA">
        <w:rPr>
          <w:rFonts w:ascii="Book Antiqua" w:hAnsi="Book Antiqua"/>
          <w:color w:val="000000" w:themeColor="text1"/>
          <w:sz w:val="24"/>
          <w:szCs w:val="24"/>
          <w:lang w:val="en-GB"/>
        </w:rPr>
        <w:t>roles</w:t>
      </w:r>
      <w:r w:rsidR="006A0076" w:rsidRPr="00AC50FA">
        <w:rPr>
          <w:rFonts w:ascii="Book Antiqua" w:hAnsi="Book Antiqua"/>
          <w:color w:val="000000" w:themeColor="text1"/>
          <w:sz w:val="24"/>
          <w:szCs w:val="24"/>
          <w:lang w:val="en-GB"/>
        </w:rPr>
        <w:t xml:space="preserve"> in local and regional control potentially complement each other.</w:t>
      </w:r>
      <w:r w:rsidR="00215C6D" w:rsidRPr="00AC50FA">
        <w:rPr>
          <w:rFonts w:ascii="Book Antiqua" w:hAnsi="Book Antiqua"/>
          <w:color w:val="000000" w:themeColor="text1"/>
          <w:sz w:val="24"/>
          <w:szCs w:val="24"/>
          <w:lang w:val="en-GB"/>
        </w:rPr>
        <w:t xml:space="preserve"> Of course, concomitant systemic therapy is of utmost importance and </w:t>
      </w:r>
      <w:r w:rsidR="0031715A" w:rsidRPr="00AC50FA">
        <w:rPr>
          <w:rFonts w:ascii="Book Antiqua" w:hAnsi="Book Antiqua"/>
          <w:color w:val="000000" w:themeColor="text1"/>
          <w:sz w:val="24"/>
          <w:szCs w:val="24"/>
          <w:lang w:val="en-GB"/>
        </w:rPr>
        <w:t xml:space="preserve">should not </w:t>
      </w:r>
      <w:r w:rsidR="00215C6D" w:rsidRPr="00AC50FA">
        <w:rPr>
          <w:rFonts w:ascii="Book Antiqua" w:hAnsi="Book Antiqua"/>
          <w:color w:val="000000" w:themeColor="text1"/>
          <w:sz w:val="24"/>
          <w:szCs w:val="24"/>
          <w:lang w:val="en-GB"/>
        </w:rPr>
        <w:t xml:space="preserve">be omitted. </w:t>
      </w:r>
      <w:r w:rsidR="007F77BC" w:rsidRPr="00AC50FA">
        <w:rPr>
          <w:rFonts w:ascii="Book Antiqua" w:hAnsi="Book Antiqua"/>
          <w:color w:val="000000" w:themeColor="text1"/>
          <w:sz w:val="24"/>
          <w:szCs w:val="24"/>
          <w:lang w:val="en-GB"/>
        </w:rPr>
        <w:t>In fact, the last patient in our series (No. 6)</w:t>
      </w:r>
      <w:r w:rsidR="00215C6D" w:rsidRPr="00AC50FA">
        <w:rPr>
          <w:rFonts w:ascii="Book Antiqua" w:hAnsi="Book Antiqua"/>
          <w:color w:val="000000" w:themeColor="text1"/>
          <w:sz w:val="24"/>
          <w:szCs w:val="24"/>
          <w:lang w:val="en-GB"/>
        </w:rPr>
        <w:t xml:space="preserve"> </w:t>
      </w:r>
      <w:r w:rsidR="00071640" w:rsidRPr="00AC50FA">
        <w:rPr>
          <w:rFonts w:ascii="Book Antiqua" w:hAnsi="Book Antiqua"/>
          <w:color w:val="000000" w:themeColor="text1"/>
          <w:sz w:val="24"/>
          <w:szCs w:val="24"/>
          <w:lang w:val="en-GB"/>
        </w:rPr>
        <w:t>received</w:t>
      </w:r>
      <w:r w:rsidR="00215C6D" w:rsidRPr="00AC50FA">
        <w:rPr>
          <w:rFonts w:ascii="Book Antiqua" w:hAnsi="Book Antiqua"/>
          <w:color w:val="000000" w:themeColor="text1"/>
          <w:sz w:val="24"/>
          <w:szCs w:val="24"/>
          <w:lang w:val="en-GB"/>
        </w:rPr>
        <w:t xml:space="preserve"> this combination. He </w:t>
      </w:r>
      <w:r w:rsidR="0031715A" w:rsidRPr="00AC50FA">
        <w:rPr>
          <w:rFonts w:ascii="Book Antiqua" w:hAnsi="Book Antiqua"/>
          <w:color w:val="000000" w:themeColor="text1"/>
          <w:sz w:val="24"/>
          <w:szCs w:val="24"/>
          <w:lang w:val="en-GB"/>
        </w:rPr>
        <w:t>was treated with everolimus and</w:t>
      </w:r>
      <w:r w:rsidR="00215C6D" w:rsidRPr="00AC50FA">
        <w:rPr>
          <w:rFonts w:ascii="Book Antiqua" w:hAnsi="Book Antiqua"/>
          <w:color w:val="000000" w:themeColor="text1"/>
          <w:sz w:val="24"/>
          <w:szCs w:val="24"/>
          <w:lang w:val="en-GB"/>
        </w:rPr>
        <w:t xml:space="preserve"> TACE</w:t>
      </w:r>
      <w:r w:rsidR="0031715A" w:rsidRPr="00AC50FA">
        <w:rPr>
          <w:rFonts w:ascii="Book Antiqua" w:hAnsi="Book Antiqua"/>
          <w:color w:val="000000" w:themeColor="text1"/>
          <w:sz w:val="24"/>
          <w:szCs w:val="24"/>
          <w:lang w:val="en-GB"/>
        </w:rPr>
        <w:t>,</w:t>
      </w:r>
      <w:r w:rsidR="00215C6D" w:rsidRPr="00AC50FA">
        <w:rPr>
          <w:rFonts w:ascii="Book Antiqua" w:hAnsi="Book Antiqua"/>
          <w:color w:val="000000" w:themeColor="text1"/>
          <w:sz w:val="24"/>
          <w:szCs w:val="24"/>
          <w:lang w:val="en-GB"/>
        </w:rPr>
        <w:t xml:space="preserve"> followed by </w:t>
      </w:r>
      <w:r w:rsidR="007F77BC" w:rsidRPr="00AC50FA">
        <w:rPr>
          <w:rFonts w:ascii="Book Antiqua" w:hAnsi="Book Antiqua"/>
          <w:color w:val="000000" w:themeColor="text1"/>
          <w:sz w:val="24"/>
          <w:szCs w:val="24"/>
          <w:lang w:val="en-GB"/>
        </w:rPr>
        <w:t xml:space="preserve">SBRT </w:t>
      </w:r>
      <w:r w:rsidR="00215C6D" w:rsidRPr="00AC50FA">
        <w:rPr>
          <w:rFonts w:ascii="Book Antiqua" w:hAnsi="Book Antiqua"/>
          <w:color w:val="000000" w:themeColor="text1"/>
          <w:sz w:val="24"/>
          <w:szCs w:val="24"/>
          <w:lang w:val="en-GB"/>
        </w:rPr>
        <w:t>at 6</w:t>
      </w:r>
      <w:r w:rsidR="00F4688C" w:rsidRPr="00AC50FA">
        <w:rPr>
          <w:rFonts w:ascii="Book Antiqua" w:hAnsi="Book Antiqua"/>
          <w:color w:val="000000" w:themeColor="text1"/>
          <w:sz w:val="24"/>
          <w:szCs w:val="24"/>
          <w:lang w:val="en-GB"/>
        </w:rPr>
        <w:t>-</w:t>
      </w:r>
      <w:r w:rsidR="00215C6D" w:rsidRPr="00AC50FA">
        <w:rPr>
          <w:rFonts w:ascii="Book Antiqua" w:hAnsi="Book Antiqua"/>
          <w:color w:val="000000" w:themeColor="text1"/>
          <w:sz w:val="24"/>
          <w:szCs w:val="24"/>
          <w:lang w:val="en-GB"/>
        </w:rPr>
        <w:t>wk interval.</w:t>
      </w:r>
      <w:r w:rsidR="007F77BC" w:rsidRPr="00AC50FA">
        <w:rPr>
          <w:rFonts w:ascii="Book Antiqua" w:hAnsi="Book Antiqua"/>
          <w:color w:val="000000" w:themeColor="text1"/>
          <w:sz w:val="24"/>
          <w:szCs w:val="24"/>
          <w:lang w:val="en-GB"/>
        </w:rPr>
        <w:t xml:space="preserve"> </w:t>
      </w:r>
      <w:r w:rsidR="0031715A" w:rsidRPr="00AC50FA">
        <w:rPr>
          <w:rFonts w:ascii="Book Antiqua" w:hAnsi="Book Antiqua"/>
          <w:color w:val="000000" w:themeColor="text1"/>
          <w:sz w:val="24"/>
          <w:szCs w:val="24"/>
          <w:lang w:val="en-GB"/>
        </w:rPr>
        <w:t>T</w:t>
      </w:r>
      <w:r w:rsidR="007F77BC" w:rsidRPr="00AC50FA">
        <w:rPr>
          <w:rFonts w:ascii="Book Antiqua" w:hAnsi="Book Antiqua"/>
          <w:color w:val="000000" w:themeColor="text1"/>
          <w:sz w:val="24"/>
          <w:szCs w:val="24"/>
          <w:lang w:val="en-GB"/>
        </w:rPr>
        <w:t xml:space="preserve">he </w:t>
      </w:r>
      <w:r w:rsidR="00215C6D" w:rsidRPr="00AC50FA">
        <w:rPr>
          <w:rFonts w:ascii="Book Antiqua" w:hAnsi="Book Antiqua"/>
          <w:color w:val="000000" w:themeColor="text1"/>
          <w:sz w:val="24"/>
          <w:szCs w:val="24"/>
          <w:lang w:val="en-GB"/>
        </w:rPr>
        <w:t xml:space="preserve">oncological </w:t>
      </w:r>
      <w:r w:rsidR="007F77BC" w:rsidRPr="00AC50FA">
        <w:rPr>
          <w:rFonts w:ascii="Book Antiqua" w:hAnsi="Book Antiqua"/>
          <w:color w:val="000000" w:themeColor="text1"/>
          <w:sz w:val="24"/>
          <w:szCs w:val="24"/>
          <w:lang w:val="en-GB"/>
        </w:rPr>
        <w:t>outcomes cannot be ascertained at this juncture</w:t>
      </w:r>
      <w:r w:rsidR="0031715A" w:rsidRPr="00AC50FA">
        <w:rPr>
          <w:rFonts w:ascii="Book Antiqua" w:hAnsi="Book Antiqua"/>
          <w:color w:val="000000" w:themeColor="text1"/>
          <w:sz w:val="24"/>
          <w:szCs w:val="24"/>
          <w:lang w:val="en-GB"/>
        </w:rPr>
        <w:t xml:space="preserve"> due to limited follow up</w:t>
      </w:r>
      <w:r w:rsidR="007F77BC" w:rsidRPr="00AC50FA">
        <w:rPr>
          <w:rFonts w:ascii="Book Antiqua" w:hAnsi="Book Antiqua"/>
          <w:color w:val="000000" w:themeColor="text1"/>
          <w:sz w:val="24"/>
          <w:szCs w:val="24"/>
          <w:lang w:val="en-GB"/>
        </w:rPr>
        <w:t>.</w:t>
      </w:r>
      <w:r w:rsidR="0031715A" w:rsidRPr="00AC50FA">
        <w:rPr>
          <w:rFonts w:ascii="Book Antiqua" w:hAnsi="Book Antiqua"/>
          <w:color w:val="000000" w:themeColor="text1"/>
          <w:sz w:val="24"/>
          <w:szCs w:val="24"/>
          <w:lang w:val="en-GB"/>
        </w:rPr>
        <w:t xml:space="preserve"> This would be answered by future studies with </w:t>
      </w:r>
      <w:r w:rsidR="00071640" w:rsidRPr="00AC50FA">
        <w:rPr>
          <w:rFonts w:ascii="Book Antiqua" w:hAnsi="Book Antiqua"/>
          <w:color w:val="000000" w:themeColor="text1"/>
          <w:sz w:val="24"/>
          <w:szCs w:val="24"/>
          <w:lang w:val="en-GB"/>
        </w:rPr>
        <w:t>larger sample size</w:t>
      </w:r>
      <w:r w:rsidR="0031715A" w:rsidRPr="00AC50FA">
        <w:rPr>
          <w:rFonts w:ascii="Book Antiqua" w:hAnsi="Book Antiqua"/>
          <w:color w:val="000000" w:themeColor="text1"/>
          <w:sz w:val="24"/>
          <w:szCs w:val="24"/>
          <w:lang w:val="en-GB"/>
        </w:rPr>
        <w:t xml:space="preserve"> and longer follow up time. </w:t>
      </w:r>
      <w:r w:rsidR="00215C6D" w:rsidRPr="00AC50FA">
        <w:rPr>
          <w:rFonts w:ascii="Book Antiqua" w:hAnsi="Book Antiqua"/>
          <w:color w:val="000000" w:themeColor="text1"/>
          <w:sz w:val="24"/>
          <w:szCs w:val="24"/>
          <w:lang w:val="en-GB"/>
        </w:rPr>
        <w:t xml:space="preserve">SBRT/TACE combination has been </w:t>
      </w:r>
      <w:r w:rsidR="0031715A" w:rsidRPr="00AC50FA">
        <w:rPr>
          <w:rFonts w:ascii="Book Antiqua" w:hAnsi="Book Antiqua"/>
          <w:color w:val="000000" w:themeColor="text1"/>
          <w:sz w:val="24"/>
          <w:szCs w:val="24"/>
          <w:lang w:val="en-GB"/>
        </w:rPr>
        <w:t xml:space="preserve">shown to be safe in patients </w:t>
      </w:r>
      <w:r w:rsidR="00215C6D" w:rsidRPr="00AC50FA">
        <w:rPr>
          <w:rFonts w:ascii="Book Antiqua" w:hAnsi="Book Antiqua"/>
          <w:color w:val="000000" w:themeColor="text1"/>
          <w:sz w:val="24"/>
          <w:szCs w:val="24"/>
          <w:lang w:val="en-GB"/>
        </w:rPr>
        <w:t>with cirrhosis and primary HCC</w:t>
      </w:r>
      <w:r w:rsidR="00215C6D"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{"citationItems":[{"id":"ITEM-1","itemData":{"DOI":"10.1016/J.SURONC.2019.01.006","ISSN":"0960-7404","abstract":"BACKGROUND\nThis study compared outcomes of nonresectable hepatocellular carcinoma (HCC) who had transarterial chemoembolization (TACE) vs. stereotactic body radiation therapy (SBRT) after TACE (TACE + SBRT). \n\nMETHODS\nThis was a retrospective study of 2 centers in Hong Kong. There were 49 patients who had TACE + SBRT and 202 patients who had TACE alone. Propensity score matching was used to adjust for differences in patients’ demographics and tumor characteristics between the 2 groups. The primary outcome was overall survival (OS) and secondary outcomes were progression-free survival (PFS) and treatment-related toxicity. \n\nRESULTS\nAfter matching, 49 patients were in the TACE + SBRT group and 98 patients in the TACE group with similar baseline characteristics. The 1-&amp;3-year OS were better in TACE + SBRT group (67.2 vs. 43.9% and 36.5 vs. 13.3%, p = 0.003). The 1-&amp;3-year PFS was also better in TACE + SBRT group (32.5 vs. 21.4% and 15.1 vs. 5.1%, p = 0.012). Radiological disease control was better in the TACE + SBRT group (98 vs. 56.7%). Risk of severe toxicity was uncommon in both treatment arms. TACE + SBRT was an independent good prognostic factor for OS and PFS in multivariate analysis, whereas AFP&gt;200 ng/ml, large tumor and multiple tumors predicted worse OS. \n\nCONCLUSION\nTACE + SBRT is safe and results in better survivals in nonresectable HCC patients.","author":[{"dropping-particle":"","family":"Wong","given":"Tiffany CL.","non-dropping-particle":"","parse-names":false,"suffix":""},{"dropping-particle":"","family":"Chiang","given":"Chi-Leung","non-dropping-particle":"","parse-names":false,"suffix":""},{"dropping-particle":"","family":"Lee","given":"Ann-Shing","non-dropping-particle":"","parse-names":false,"suffix":""},{"dropping-particle":"","family":"Lee","given":"Victor HF.","non-dropping-particle":"","parse-names":false,"suffix":""},{"dropping-particle":"","family":"Yeung","given":"Cynthia SY.","non-dropping-particle":"","parse-names":false,"suffix":""},{"dropping-particle":"","family":"Ho","given":"Connie HM.","non-dropping-particle":"","parse-names":false,"suffix":""},{"dropping-particle":"","family":"Cheung","given":"Tan-To","non-dropping-particle":"","parse-names":false,"suffix":""},{"dropping-particle":"","family":"Ng","given":"Kelvin KC.","non-dropping-particle":"","parse-names":false,"suffix":""},{"dropping-particle":"","family":"Chok","given":"Siu-Ho","non-dropping-particle":"","parse-names":false,"suffix":""},{"dropping-particle":"","family":"Chan","given":"Albert CY.","non-dropping-particle":"","parse-names":false,"suffix":""},{"dropping-particle":"","family":"Dai","given":"Wing-Chiu","non-dropping-particle":"","parse-names":false,"suffix":""},{"dropping-particle":"","family":"Wong","given":"Frank CS.","non-dropping-particle":"","parse-names":false,"suffix":""},{"dropping-particle":"","family":"Luk","given":"Mai-Yee","non-dropping-particle":"","parse-names":false,"suffix":""},{"dropping-particle":"","family":"Leung","given":"To-Wai","non-dropping-particle":"","parse-names":false,"suffix":""},{"dropping-particle":"","family":"Lo","given":"Chung-Mau","non-dropping-particle":"","parse-names":false,"suffix":""}],"container-title":"Surgical Oncology","id":"ITEM-1","issued":{"date-parts":[["2019","3"]]},"page":"228-235","publisher":"Elsevier","title":"Better survival after stereotactic body radiation therapy following transarterial chemoembolization in nonresectable hepatocellular carcinoma: A propensity score matched analysis","type":"article-journal","volume":"28"},"uris":["http://www.mendeley.com/documents/?uuid=a0d59b5b-e267-3d92-a206-7394e339868d","http://www.mendeley.com/documents/?uuid=e7af273a-9e4a-4a72-9824-1d3e12127a6a"]}],"mendeley":{"formattedCitation":"[23]","plainTextFormattedCitation":"[23]","previouslyFormattedCitation":"&lt;sup&gt;23&lt;/sup&gt;"},"properties":{"noteIndex":0},"schema":"https://github.com/citation-style-language/schema/raw/master/csl-citation.json"}</w:instrText>
      </w:r>
      <w:r w:rsidR="00215C6D"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[23]</w:t>
      </w:r>
      <w:r w:rsidR="00215C6D" w:rsidRPr="00AC50FA">
        <w:rPr>
          <w:rFonts w:ascii="Book Antiqua" w:hAnsi="Book Antiqua"/>
          <w:color w:val="000000" w:themeColor="text1"/>
          <w:sz w:val="24"/>
          <w:szCs w:val="24"/>
          <w:vertAlign w:val="superscript"/>
          <w:lang w:val="en-GB"/>
        </w:rPr>
        <w:fldChar w:fldCharType="end"/>
      </w:r>
      <w:r w:rsidR="00215C6D" w:rsidRPr="00AC50FA">
        <w:rPr>
          <w:rFonts w:ascii="Book Antiqua" w:hAnsi="Book Antiqua"/>
          <w:color w:val="000000" w:themeColor="text1"/>
          <w:sz w:val="24"/>
          <w:szCs w:val="24"/>
          <w:lang w:val="en-GB"/>
        </w:rPr>
        <w:t xml:space="preserve">. </w:t>
      </w:r>
      <w:r w:rsidR="00D60C7F" w:rsidRPr="00AC50FA">
        <w:rPr>
          <w:rFonts w:ascii="Book Antiqua" w:hAnsi="Book Antiqua"/>
          <w:color w:val="000000" w:themeColor="text1"/>
          <w:sz w:val="24"/>
          <w:szCs w:val="24"/>
          <w:lang w:val="en-GB"/>
        </w:rPr>
        <w:t>In a transplanted liver, t</w:t>
      </w:r>
      <w:r w:rsidR="00215C6D" w:rsidRPr="00AC50FA">
        <w:rPr>
          <w:rFonts w:ascii="Book Antiqua" w:hAnsi="Book Antiqua"/>
          <w:color w:val="000000" w:themeColor="text1"/>
          <w:sz w:val="24"/>
          <w:szCs w:val="24"/>
          <w:lang w:val="en-GB"/>
        </w:rPr>
        <w:t xml:space="preserve">he additional concerns </w:t>
      </w:r>
      <w:r w:rsidR="00D60C7F" w:rsidRPr="00AC50FA">
        <w:rPr>
          <w:rFonts w:ascii="Book Antiqua" w:hAnsi="Book Antiqua"/>
          <w:color w:val="000000" w:themeColor="text1"/>
          <w:sz w:val="24"/>
          <w:szCs w:val="24"/>
          <w:lang w:val="en-GB"/>
        </w:rPr>
        <w:t xml:space="preserve">are </w:t>
      </w:r>
      <w:r w:rsidR="00215C6D" w:rsidRPr="00AC50FA">
        <w:rPr>
          <w:rFonts w:ascii="Book Antiqua" w:hAnsi="Book Antiqua"/>
          <w:color w:val="000000" w:themeColor="text1"/>
          <w:sz w:val="24"/>
          <w:szCs w:val="24"/>
          <w:lang w:val="en-GB"/>
        </w:rPr>
        <w:t xml:space="preserve">graft </w:t>
      </w:r>
      <w:r w:rsidR="00944DAF" w:rsidRPr="00AC50FA">
        <w:rPr>
          <w:rFonts w:ascii="Book Antiqua" w:hAnsi="Book Antiqua"/>
          <w:color w:val="000000" w:themeColor="text1"/>
          <w:sz w:val="24"/>
          <w:szCs w:val="24"/>
          <w:lang w:val="en-GB"/>
        </w:rPr>
        <w:t>toxicit</w:t>
      </w:r>
      <w:r w:rsidRPr="00AC50FA">
        <w:rPr>
          <w:rFonts w:ascii="Book Antiqua" w:hAnsi="Book Antiqua"/>
          <w:color w:val="000000" w:themeColor="text1"/>
          <w:sz w:val="24"/>
          <w:szCs w:val="24"/>
          <w:lang w:val="en-GB"/>
        </w:rPr>
        <w:t>ies</w:t>
      </w:r>
      <w:r w:rsidR="006E591F" w:rsidRPr="00AC50FA">
        <w:rPr>
          <w:rFonts w:ascii="Book Antiqua" w:hAnsi="Book Antiqua"/>
          <w:color w:val="000000" w:themeColor="text1"/>
          <w:sz w:val="24"/>
          <w:szCs w:val="24"/>
          <w:lang w:val="en-GB"/>
        </w:rPr>
        <w:t xml:space="preserve"> and biliary complications.</w:t>
      </w:r>
      <w:r w:rsidR="00944DAF" w:rsidRPr="00AC50FA">
        <w:rPr>
          <w:rFonts w:ascii="Book Antiqua" w:hAnsi="Book Antiqua"/>
          <w:color w:val="000000" w:themeColor="text1"/>
          <w:sz w:val="24"/>
          <w:szCs w:val="24"/>
          <w:lang w:val="en-GB"/>
        </w:rPr>
        <w:t xml:space="preserve"> </w:t>
      </w:r>
      <w:r w:rsidRPr="00AC50FA">
        <w:rPr>
          <w:rFonts w:ascii="Book Antiqua" w:hAnsi="Book Antiqua"/>
          <w:color w:val="000000" w:themeColor="text1"/>
          <w:sz w:val="24"/>
          <w:szCs w:val="24"/>
          <w:lang w:val="en-GB"/>
        </w:rPr>
        <w:t>So far, n</w:t>
      </w:r>
      <w:r w:rsidR="00665D6A" w:rsidRPr="00AC50FA">
        <w:rPr>
          <w:rFonts w:ascii="Book Antiqua" w:hAnsi="Book Antiqua"/>
          <w:color w:val="000000" w:themeColor="text1"/>
          <w:sz w:val="24"/>
          <w:szCs w:val="24"/>
          <w:lang w:val="en-GB"/>
        </w:rPr>
        <w:t xml:space="preserve">o graft failure or biliary complications have been </w:t>
      </w:r>
      <w:r w:rsidR="00215C6D" w:rsidRPr="00AC50FA">
        <w:rPr>
          <w:rFonts w:ascii="Book Antiqua" w:hAnsi="Book Antiqua"/>
          <w:color w:val="000000" w:themeColor="text1"/>
          <w:sz w:val="24"/>
          <w:szCs w:val="24"/>
          <w:lang w:val="en-GB"/>
        </w:rPr>
        <w:t>report</w:t>
      </w:r>
      <w:r w:rsidRPr="00AC50FA">
        <w:rPr>
          <w:rFonts w:ascii="Book Antiqua" w:hAnsi="Book Antiqua"/>
          <w:color w:val="000000" w:themeColor="text1"/>
          <w:sz w:val="24"/>
          <w:szCs w:val="24"/>
          <w:lang w:val="en-GB"/>
        </w:rPr>
        <w:t>ed</w:t>
      </w:r>
      <w:r w:rsidR="00665D6A"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{"citationItems":[{"id":"ITEM-1","itemData":{"DOI":"10.1016/j.jvir.2009.11.006","ISSN":"10510443","PMID":"20116286","abstract":"PURPOSE To determine whether chemoembolization can benefit patients with unresectable recurrent hepatocellular carcinoma (HCC) after orthotopic liver transplantation (OLT). MATERIALS AND METHODS Twenty-eight of 71 patients (39%) with unresectable recurrent HCC following OLT and without contradictions to chemoembolization were included: 14 patients received chemoembolization after OLT (chemoembolization group) and 14 matched control subjects who did not receive chemoembolization (non-chemoembolization group). Tumor response was determined with follow-up computed tomography after each chemoembolization procedure and classified into four grades according to Response Evaluation Criteria in Solid Tumors. Overall survival was evaluated from OLT and from the diagnosis of recurrent HCC. RESULTS Within a median follow-up of 14.5-months, 12 of the 14 patients in the chemoembolization group (86%) and 13 of the 14 in the non-chemoembolization group (93%) developed new recurrences. Eight of the 14 patients in the chemoembolization group (57%) showed partial tumor response (&gt;30% reduction in the size of target lesions). Moreover, patients who underwent chemoembolization had a significantly longer overall survival after OLT (P = .0133) and after the diagnosis of HCC recurrence (P = .0338) compared to those who did not. No severe complications developed in patients receiving chemoembolization during follow-up. CONCLUSIONS Lobaplatin-based chemoembolization may elicit effective tumor response for recurrent HCCs and improve the overall survival of patients with unresectable HCC recurrence following OLT.","author":[{"dropping-particle":"","family":"Zhou","given":"Bin","non-dropping-particle":"","parse-names":false,"suffix":""},{"dropping-particle":"","family":"Shan","given":"Hong","non-dropping-particle":"","parse-names":false,"suffix":""},{"dropping-particle":"","family":"Zhu","given":"Kang-Shun","non-dropping-particle":"","parse-names":false,"suffix":""},{"dropping-particle":"","family":"Jiang","given":"Zai-Bo","non-dropping-particle":"","parse-names":false,"suffix":""},{"dropping-particle":"","family":"Guan","given":"Shou-Hai","non-dropping-particle":"","parse-names":false,"suffix":""},{"dropping-particle":"","family":"Meng","given":"Xiao-Chun","non-dropping-particle":"","parse-names":false,"suffix":""},{"dropping-particle":"","family":"Zeng","given":"Xian-Cheng","non-dropping-particle":"","parse-names":false,"suffix":""}],"container-title":"Journal of Vascular and Interventional Radiology","id":"ITEM-1","issue":"3","issued":{"date-parts":[["2010","3"]]},"page":"333-338","title":"Chemoembolization with Lobaplatin Mixed with Iodized Oil for Unresectable Recurrent Hepatocellular Carcinoma after Orthotopic Liver Transplantation","type":"article-journal","volume":"21"},"uris":["http://www.mendeley.com/documents/?uuid=75e52499-2379-4ce3-a34e-828cdba37480","http://www.mendeley.com/documents/?uuid=71bae0c5-6c76-37c6-b12a-986af2ef1132"]}],"mendeley":{"formattedCitation":"[22]","plainTextFormattedCitation":"[22]","previouslyFormattedCitation":"&lt;sup&gt;22&lt;/sup&gt;"},"properties":{"noteIndex":0},"schema":"https://github.com/citation-style-language/schema/raw/master/csl-citation.json"}</w:instrText>
      </w:r>
      <w:r w:rsidR="00665D6A"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[22]</w:t>
      </w:r>
      <w:r w:rsidR="00665D6A" w:rsidRPr="00AC50FA">
        <w:rPr>
          <w:rFonts w:ascii="Book Antiqua" w:hAnsi="Book Antiqua"/>
          <w:color w:val="000000" w:themeColor="text1"/>
          <w:sz w:val="24"/>
          <w:szCs w:val="24"/>
          <w:vertAlign w:val="superscript"/>
          <w:lang w:val="en-GB"/>
        </w:rPr>
        <w:fldChar w:fldCharType="end"/>
      </w:r>
      <w:r w:rsidR="00665D6A" w:rsidRPr="00AC50FA">
        <w:rPr>
          <w:rFonts w:ascii="Book Antiqua" w:hAnsi="Book Antiqua"/>
          <w:color w:val="000000" w:themeColor="text1"/>
          <w:sz w:val="24"/>
          <w:szCs w:val="24"/>
          <w:lang w:val="en-GB"/>
        </w:rPr>
        <w:t>. Nevertheless,</w:t>
      </w:r>
      <w:r w:rsidR="00215C6D" w:rsidRPr="00AC50FA">
        <w:rPr>
          <w:rFonts w:ascii="Book Antiqua" w:hAnsi="Book Antiqua"/>
          <w:color w:val="000000" w:themeColor="text1"/>
          <w:sz w:val="24"/>
          <w:szCs w:val="24"/>
          <w:lang w:val="en-GB"/>
        </w:rPr>
        <w:t xml:space="preserve"> pre-existing</w:t>
      </w:r>
      <w:r w:rsidR="00665D6A" w:rsidRPr="00AC50FA">
        <w:rPr>
          <w:rFonts w:ascii="Book Antiqua" w:hAnsi="Book Antiqua"/>
          <w:color w:val="000000" w:themeColor="text1"/>
          <w:sz w:val="24"/>
          <w:szCs w:val="24"/>
          <w:lang w:val="en-GB"/>
        </w:rPr>
        <w:t xml:space="preserve"> biliary complications </w:t>
      </w:r>
      <w:r w:rsidR="00D60C7F" w:rsidRPr="00AC50FA">
        <w:rPr>
          <w:rFonts w:ascii="Book Antiqua" w:hAnsi="Book Antiqua"/>
          <w:color w:val="000000" w:themeColor="text1"/>
          <w:sz w:val="24"/>
          <w:szCs w:val="24"/>
          <w:lang w:val="en-GB"/>
        </w:rPr>
        <w:t>are</w:t>
      </w:r>
      <w:r w:rsidR="00215C6D" w:rsidRPr="00AC50FA">
        <w:rPr>
          <w:rFonts w:ascii="Book Antiqua" w:hAnsi="Book Antiqua"/>
          <w:color w:val="000000" w:themeColor="text1"/>
          <w:sz w:val="24"/>
          <w:szCs w:val="24"/>
          <w:lang w:val="en-GB"/>
        </w:rPr>
        <w:t xml:space="preserve"> found in 20% of transplant recipients</w:t>
      </w:r>
      <w:r w:rsidR="00D60C7F"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{"citationItems":[{"id":"ITEM-1","itemData":{"DOI":"10.1002/lt.22188","ISSN":"15276465","author":[{"dropping-particle":"","family":"Chok","given":"Kenneth Siu Ho","non-dropping-particle":"","parse-names":false,"suffix":""},{"dropping-particle":"","family":"Chan","given":"See Ching","non-dropping-particle":"","parse-names":false,"suffix":""},{"dropping-particle":"","family":"Cheung","given":"Tan To","non-dropping-particle":"","parse-names":false,"suffix":""},{"dropping-particle":"","family":"Sharr","given":"William Wei","non-dropping-particle":"","parse-names":false,"suffix":""},{"dropping-particle":"","family":"Chan","given":"Albert Chi Yan","non-dropping-particle":"","parse-names":false,"suffix":""},{"dropping-particle":"","family":"Lo","given":"Chung Mau","non-dropping-particle":"","parse-names":false,"suffix":""},{"dropping-particle":"","family":"Fan","given":"Sheung Tat","non-dropping-particle":"","parse-names":false,"suffix":""}],"container-title":"Liver Transplantation","id":"ITEM-1","issue":"1","issued":{"date-parts":[["2011","1"]]},"page":"47-52","publisher":"John Wiley &amp; Sons, Ltd","title":"Bile duct anastomotic stricture after adult-to-adult right lobe living donor liver transplantation","type":"article-journal","volume":"17"},"uris":["http://www.mendeley.com/documents/?uuid=38987bec-f62f-3295-9a80-2845382cbed1","http://www.mendeley.com/documents/?uuid=c8ee13e7-768e-4d3e-b73d-2e8aba05731c"]}],"mendeley":{"formattedCitation":"[24]","plainTextFormattedCitation":"[24]","previouslyFormattedCitation":"&lt;sup&gt;24&lt;/sup&gt;"},"properties":{"noteIndex":0},"schema":"https://github.com/citation-style-language/schema/raw/master/csl-citation.json"}</w:instrText>
      </w:r>
      <w:r w:rsidR="00D60C7F"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[24]</w:t>
      </w:r>
      <w:r w:rsidR="00D60C7F" w:rsidRPr="00AC50FA">
        <w:rPr>
          <w:rFonts w:ascii="Book Antiqua" w:hAnsi="Book Antiqua"/>
          <w:color w:val="000000" w:themeColor="text1"/>
          <w:sz w:val="24"/>
          <w:szCs w:val="24"/>
          <w:vertAlign w:val="superscript"/>
          <w:lang w:val="en-GB"/>
        </w:rPr>
        <w:fldChar w:fldCharType="end"/>
      </w:r>
      <w:r w:rsidR="00215C6D" w:rsidRPr="00AC50FA">
        <w:rPr>
          <w:rFonts w:ascii="Book Antiqua" w:hAnsi="Book Antiqua"/>
          <w:color w:val="000000" w:themeColor="text1"/>
          <w:sz w:val="24"/>
          <w:szCs w:val="24"/>
          <w:lang w:val="en-GB"/>
        </w:rPr>
        <w:t xml:space="preserve">. </w:t>
      </w:r>
      <w:r w:rsidR="00F4688C" w:rsidRPr="00AC50FA">
        <w:rPr>
          <w:rFonts w:ascii="Book Antiqua" w:hAnsi="Book Antiqua"/>
          <w:color w:val="000000" w:themeColor="text1"/>
          <w:sz w:val="24"/>
          <w:szCs w:val="24"/>
          <w:lang w:val="en-GB"/>
        </w:rPr>
        <w:t xml:space="preserve">Whether SBRT/TACE combination could benefit patients with graft HCC recurrence remains to </w:t>
      </w:r>
      <w:r w:rsidR="00163FA1" w:rsidRPr="00AC50FA">
        <w:rPr>
          <w:rFonts w:ascii="Book Antiqua" w:hAnsi="Book Antiqua"/>
          <w:color w:val="000000" w:themeColor="text1"/>
          <w:sz w:val="24"/>
          <w:szCs w:val="24"/>
          <w:lang w:val="en-GB"/>
        </w:rPr>
        <w:t xml:space="preserve">be </w:t>
      </w:r>
      <w:r w:rsidR="00F4688C" w:rsidRPr="00AC50FA">
        <w:rPr>
          <w:rFonts w:ascii="Book Antiqua" w:hAnsi="Book Antiqua"/>
          <w:color w:val="000000" w:themeColor="text1"/>
          <w:sz w:val="24"/>
          <w:szCs w:val="24"/>
          <w:lang w:val="en-GB"/>
        </w:rPr>
        <w:t>answered by future studies.</w:t>
      </w:r>
    </w:p>
    <w:p w14:paraId="509F6D1E" w14:textId="73F5A6DD" w:rsidR="003638F5" w:rsidRPr="00AC50FA" w:rsidRDefault="00071640"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 xml:space="preserve">In this study, patients were selected </w:t>
      </w:r>
      <w:r w:rsidR="00D60C7F" w:rsidRPr="00AC50FA">
        <w:rPr>
          <w:rFonts w:ascii="Book Antiqua" w:hAnsi="Book Antiqua"/>
          <w:color w:val="000000" w:themeColor="text1"/>
          <w:sz w:val="24"/>
          <w:szCs w:val="24"/>
          <w:lang w:val="en-GB"/>
        </w:rPr>
        <w:t>for</w:t>
      </w:r>
      <w:r w:rsidRPr="00AC50FA">
        <w:rPr>
          <w:rFonts w:ascii="Book Antiqua" w:hAnsi="Book Antiqua"/>
          <w:color w:val="000000" w:themeColor="text1"/>
          <w:sz w:val="24"/>
          <w:szCs w:val="24"/>
          <w:lang w:val="en-GB"/>
        </w:rPr>
        <w:t xml:space="preserve"> SBRT </w:t>
      </w:r>
      <w:r w:rsidR="00D60C7F" w:rsidRPr="00AC50FA">
        <w:rPr>
          <w:rFonts w:ascii="Book Antiqua" w:hAnsi="Book Antiqua"/>
          <w:color w:val="000000" w:themeColor="text1"/>
          <w:sz w:val="24"/>
          <w:szCs w:val="24"/>
          <w:lang w:val="en-GB"/>
        </w:rPr>
        <w:t>based on limited disease burden</w:t>
      </w:r>
      <w:r w:rsidR="003D39D4" w:rsidRPr="00AC50FA">
        <w:rPr>
          <w:rFonts w:ascii="Book Antiqua" w:hAnsi="Book Antiqua"/>
          <w:color w:val="000000" w:themeColor="text1"/>
          <w:sz w:val="24"/>
          <w:szCs w:val="24"/>
          <w:lang w:val="en-GB"/>
        </w:rPr>
        <w:t xml:space="preserve"> </w:t>
      </w:r>
      <w:r w:rsidR="003D39D4" w:rsidRPr="00AC50FA">
        <w:rPr>
          <w:rFonts w:ascii="Book Antiqua" w:hAnsi="Book Antiqua"/>
          <w:i/>
          <w:iCs/>
          <w:color w:val="000000" w:themeColor="text1"/>
          <w:sz w:val="24"/>
          <w:szCs w:val="24"/>
          <w:lang w:val="en-GB"/>
        </w:rPr>
        <w:t>i.e.</w:t>
      </w:r>
      <w:r w:rsidR="00AC50FA" w:rsidRPr="00AC50FA">
        <w:rPr>
          <w:rFonts w:ascii="Book Antiqua" w:hAnsi="Book Antiqua"/>
          <w:color w:val="000000" w:themeColor="text1"/>
          <w:sz w:val="24"/>
          <w:szCs w:val="24"/>
          <w:lang w:val="en-GB"/>
        </w:rPr>
        <w:t>,</w:t>
      </w:r>
      <w:r w:rsidR="003D39D4" w:rsidRPr="00AC50FA">
        <w:rPr>
          <w:rFonts w:ascii="Book Antiqua" w:hAnsi="Book Antiqua"/>
          <w:color w:val="000000" w:themeColor="text1"/>
          <w:sz w:val="24"/>
          <w:szCs w:val="24"/>
          <w:lang w:val="en-GB"/>
        </w:rPr>
        <w:t xml:space="preserve"> oligo-recurrence</w:t>
      </w:r>
      <w:r w:rsidR="00D60C7F" w:rsidRPr="00AC50FA">
        <w:rPr>
          <w:rFonts w:ascii="Book Antiqua" w:hAnsi="Book Antiqua"/>
          <w:color w:val="000000" w:themeColor="text1"/>
          <w:sz w:val="24"/>
          <w:szCs w:val="24"/>
          <w:lang w:val="en-GB"/>
        </w:rPr>
        <w:t xml:space="preserve">, technical feasibility and adequate graft function. </w:t>
      </w:r>
      <w:r w:rsidR="000D4A4A" w:rsidRPr="00AC50FA">
        <w:rPr>
          <w:rFonts w:ascii="Book Antiqua" w:hAnsi="Book Antiqua"/>
          <w:color w:val="000000" w:themeColor="text1"/>
          <w:sz w:val="24"/>
          <w:szCs w:val="24"/>
          <w:lang w:val="en-GB"/>
        </w:rPr>
        <w:t>Oligo-recurrence describes recurrent disease limited in number and location, so that loco-regional treatment confer survival benefits</w:t>
      </w:r>
      <w:r w:rsidR="000D4A4A" w:rsidRPr="00AC50FA">
        <w:rPr>
          <w:rFonts w:ascii="Book Antiqua" w:hAnsi="Book Antiqua"/>
          <w:color w:val="000000" w:themeColor="text1"/>
          <w:sz w:val="24"/>
          <w:szCs w:val="24"/>
          <w:vertAlign w:val="superscript"/>
          <w:lang w:val="en-GB"/>
        </w:rPr>
        <w:fldChar w:fldCharType="begin" w:fldLock="1"/>
      </w:r>
      <w:r w:rsidR="009860B9" w:rsidRPr="00AC50FA">
        <w:rPr>
          <w:rFonts w:ascii="Book Antiqua" w:hAnsi="Book Antiqua"/>
          <w:color w:val="000000" w:themeColor="text1"/>
          <w:sz w:val="24"/>
          <w:szCs w:val="24"/>
          <w:vertAlign w:val="superscript"/>
          <w:lang w:val="en-GB"/>
        </w:rPr>
        <w:instrText>ADDIN CSL_CITATION {"citationItems":[{"id":"ITEM-1","itemData":{"DOI":"10.1200/JCO.1995.13.1.8","ISSN":"0732-183X","PMID":"7799047","author":[{"dropping-particle":"","family":"Hellman","given":"S","non-dropping-particle":"","parse-names":false,"suffix":""},{"dropping-particle":"","family":"Weichselbaum","given":"R R","non-dropping-particle":"","parse-names":false,"suffix":""}],"container-title":"Journal of Clinical Oncology","id":"ITEM-1","issue":"1","issued":{"date-parts":[["1995","1"]]},"page":"8-10","title":"Oligometastases.","type":"article-journal","volume":"13"},"uris":["http://www.mendeley.com/documents/?uuid=385decd0-f34d-30bb-899a-a1eda45576b3","http://www.mendeley.com/documents/?uuid=77a417ae-a262-4613-92f2-011d769652ec"]}],"mendeley":{"formattedCitation":"[25]","plainTextFormattedCitation":"[25]","previouslyFormattedCitation":"&lt;sup&gt;25&lt;/sup&gt;"},"properties":{"noteIndex":0},"schema":"https://github.com/citation-style-language/schema/raw/master/csl-citation.json"}</w:instrText>
      </w:r>
      <w:r w:rsidR="000D4A4A" w:rsidRPr="00AC50FA">
        <w:rPr>
          <w:rFonts w:ascii="Book Antiqua" w:hAnsi="Book Antiqua"/>
          <w:color w:val="000000" w:themeColor="text1"/>
          <w:sz w:val="24"/>
          <w:szCs w:val="24"/>
          <w:vertAlign w:val="superscript"/>
          <w:lang w:val="en-GB"/>
        </w:rPr>
        <w:fldChar w:fldCharType="separate"/>
      </w:r>
      <w:r w:rsidR="009860B9" w:rsidRPr="00AC50FA">
        <w:rPr>
          <w:rFonts w:ascii="Book Antiqua" w:hAnsi="Book Antiqua"/>
          <w:noProof/>
          <w:color w:val="000000" w:themeColor="text1"/>
          <w:sz w:val="24"/>
          <w:szCs w:val="24"/>
          <w:vertAlign w:val="superscript"/>
          <w:lang w:val="en-GB"/>
        </w:rPr>
        <w:t>[25]</w:t>
      </w:r>
      <w:r w:rsidR="000D4A4A" w:rsidRPr="00AC50FA">
        <w:rPr>
          <w:rFonts w:ascii="Book Antiqua" w:hAnsi="Book Antiqua"/>
          <w:color w:val="000000" w:themeColor="text1"/>
          <w:sz w:val="24"/>
          <w:szCs w:val="24"/>
          <w:vertAlign w:val="superscript"/>
          <w:lang w:val="en-GB"/>
        </w:rPr>
        <w:fldChar w:fldCharType="end"/>
      </w:r>
      <w:r w:rsidR="000D4A4A" w:rsidRPr="00AC50FA">
        <w:rPr>
          <w:rFonts w:ascii="Book Antiqua" w:hAnsi="Book Antiqua"/>
          <w:color w:val="000000" w:themeColor="text1"/>
          <w:sz w:val="24"/>
          <w:szCs w:val="24"/>
          <w:lang w:val="en-GB"/>
        </w:rPr>
        <w:t xml:space="preserve">. </w:t>
      </w:r>
      <w:r w:rsidR="00D6519A" w:rsidRPr="00AC50FA">
        <w:rPr>
          <w:rFonts w:ascii="Book Antiqua" w:hAnsi="Book Antiqua"/>
          <w:color w:val="000000" w:themeColor="text1"/>
          <w:sz w:val="24"/>
          <w:szCs w:val="24"/>
          <w:lang w:val="en-GB"/>
        </w:rPr>
        <w:t>All patients were surviving after a</w:t>
      </w:r>
      <w:r w:rsidR="000D4A4A" w:rsidRPr="00AC50FA">
        <w:rPr>
          <w:rFonts w:ascii="Book Antiqua" w:hAnsi="Book Antiqua"/>
          <w:color w:val="000000" w:themeColor="text1"/>
          <w:sz w:val="24"/>
          <w:szCs w:val="24"/>
          <w:lang w:val="en-GB"/>
        </w:rPr>
        <w:t xml:space="preserve"> median fo</w:t>
      </w:r>
      <w:r w:rsidR="00D6519A" w:rsidRPr="00AC50FA">
        <w:rPr>
          <w:rFonts w:ascii="Book Antiqua" w:hAnsi="Book Antiqua"/>
          <w:color w:val="000000" w:themeColor="text1"/>
          <w:sz w:val="24"/>
          <w:szCs w:val="24"/>
          <w:lang w:val="en-GB"/>
        </w:rPr>
        <w:t>llow up duration was 24.9 mo. One patient (No. 1) survived for more than 10 years after developing recurrence. This was encouraging</w:t>
      </w:r>
      <w:r w:rsidR="00EE0B44" w:rsidRPr="00AC50FA">
        <w:rPr>
          <w:rFonts w:ascii="Book Antiqua" w:hAnsi="Book Antiqua"/>
          <w:color w:val="000000" w:themeColor="text1"/>
          <w:sz w:val="24"/>
          <w:szCs w:val="24"/>
          <w:lang w:val="en-GB"/>
        </w:rPr>
        <w:t>,</w:t>
      </w:r>
      <w:r w:rsidR="00D6519A" w:rsidRPr="00AC50FA">
        <w:rPr>
          <w:rFonts w:ascii="Book Antiqua" w:hAnsi="Book Antiqua"/>
          <w:color w:val="000000" w:themeColor="text1"/>
          <w:sz w:val="24"/>
          <w:szCs w:val="24"/>
          <w:lang w:val="en-GB"/>
        </w:rPr>
        <w:t xml:space="preserve"> considering the disease was metastatic in nature. </w:t>
      </w:r>
      <w:r w:rsidR="00EE0B44" w:rsidRPr="00AC50FA">
        <w:rPr>
          <w:rFonts w:ascii="Book Antiqua" w:hAnsi="Book Antiqua"/>
          <w:color w:val="000000" w:themeColor="text1"/>
          <w:sz w:val="24"/>
          <w:szCs w:val="24"/>
          <w:lang w:val="en-GB"/>
        </w:rPr>
        <w:t>This was a</w:t>
      </w:r>
      <w:r w:rsidR="00D6519A" w:rsidRPr="00AC50FA">
        <w:rPr>
          <w:rFonts w:ascii="Book Antiqua" w:hAnsi="Book Antiqua"/>
          <w:color w:val="000000" w:themeColor="text1"/>
          <w:sz w:val="24"/>
          <w:szCs w:val="24"/>
          <w:lang w:val="en-GB"/>
        </w:rPr>
        <w:t xml:space="preserve"> result of repeated courses of loco-regional treatment combined with multiple lines of systemic therapy, in a highly selected patient cohort. Though long</w:t>
      </w:r>
      <w:r w:rsidR="00DC0CDC" w:rsidRPr="00AC50FA">
        <w:rPr>
          <w:rFonts w:ascii="Book Antiqua" w:hAnsi="Book Antiqua"/>
          <w:color w:val="000000" w:themeColor="text1"/>
          <w:sz w:val="24"/>
          <w:szCs w:val="24"/>
          <w:lang w:val="en-GB"/>
        </w:rPr>
        <w:t>-</w:t>
      </w:r>
      <w:r w:rsidR="00D6519A" w:rsidRPr="00AC50FA">
        <w:rPr>
          <w:rFonts w:ascii="Book Antiqua" w:hAnsi="Book Antiqua"/>
          <w:color w:val="000000" w:themeColor="text1"/>
          <w:sz w:val="24"/>
          <w:szCs w:val="24"/>
          <w:lang w:val="en-GB"/>
        </w:rPr>
        <w:t>term survival deems possible, the million</w:t>
      </w:r>
      <w:r w:rsidR="00DC0CDC" w:rsidRPr="00AC50FA">
        <w:rPr>
          <w:rFonts w:ascii="Book Antiqua" w:hAnsi="Book Antiqua"/>
          <w:color w:val="000000" w:themeColor="text1"/>
          <w:sz w:val="24"/>
          <w:szCs w:val="24"/>
          <w:lang w:val="en-GB"/>
        </w:rPr>
        <w:t>-</w:t>
      </w:r>
      <w:r w:rsidR="00D6519A" w:rsidRPr="00AC50FA">
        <w:rPr>
          <w:rFonts w:ascii="Book Antiqua" w:hAnsi="Book Antiqua"/>
          <w:color w:val="000000" w:themeColor="text1"/>
          <w:sz w:val="24"/>
          <w:szCs w:val="24"/>
          <w:lang w:val="en-GB"/>
        </w:rPr>
        <w:t>dollar question</w:t>
      </w:r>
      <w:r w:rsidR="00EE0B44" w:rsidRPr="00AC50FA">
        <w:rPr>
          <w:rFonts w:ascii="Book Antiqua" w:hAnsi="Book Antiqua"/>
          <w:color w:val="000000" w:themeColor="text1"/>
          <w:sz w:val="24"/>
          <w:szCs w:val="24"/>
          <w:lang w:val="en-GB"/>
        </w:rPr>
        <w:t xml:space="preserve"> remains. Not until more </w:t>
      </w:r>
      <w:r w:rsidR="00874E5A" w:rsidRPr="00AC50FA">
        <w:rPr>
          <w:rFonts w:ascii="Book Antiqua" w:hAnsi="Book Antiqua"/>
          <w:color w:val="000000" w:themeColor="text1"/>
          <w:sz w:val="24"/>
          <w:szCs w:val="24"/>
          <w:lang w:val="en-GB"/>
        </w:rPr>
        <w:t>patients have been managed</w:t>
      </w:r>
      <w:r w:rsidR="00EE0B44" w:rsidRPr="00AC50FA">
        <w:rPr>
          <w:rFonts w:ascii="Book Antiqua" w:hAnsi="Book Antiqua"/>
          <w:color w:val="000000" w:themeColor="text1"/>
          <w:sz w:val="24"/>
          <w:szCs w:val="24"/>
          <w:lang w:val="en-GB"/>
        </w:rPr>
        <w:t xml:space="preserve"> can we predict who will benefit from a more aggressive approach. </w:t>
      </w:r>
    </w:p>
    <w:p w14:paraId="7D9D9EFF" w14:textId="2E23DD1B" w:rsidR="00EE0B44" w:rsidRPr="00AC50FA" w:rsidRDefault="00071640" w:rsidP="00AC50FA">
      <w:pPr>
        <w:snapToGrid w:val="0"/>
        <w:spacing w:after="0" w:line="360" w:lineRule="auto"/>
        <w:ind w:firstLineChars="100" w:firstLine="240"/>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w:t>
      </w:r>
      <w:r w:rsidR="00991B72" w:rsidRPr="00AC50FA">
        <w:rPr>
          <w:rFonts w:ascii="Book Antiqua" w:hAnsi="Book Antiqua"/>
          <w:color w:val="000000" w:themeColor="text1"/>
          <w:sz w:val="24"/>
          <w:szCs w:val="24"/>
          <w:lang w:val="en-GB"/>
        </w:rPr>
        <w:t>he current study is</w:t>
      </w:r>
      <w:r w:rsidRPr="00AC50FA">
        <w:rPr>
          <w:rFonts w:ascii="Book Antiqua" w:hAnsi="Book Antiqua"/>
          <w:color w:val="000000" w:themeColor="text1"/>
          <w:sz w:val="24"/>
          <w:szCs w:val="24"/>
          <w:lang w:val="en-GB"/>
        </w:rPr>
        <w:t xml:space="preserve"> limited by</w:t>
      </w:r>
      <w:r w:rsidR="00874E5A" w:rsidRPr="00AC50FA">
        <w:rPr>
          <w:rFonts w:ascii="Book Antiqua" w:hAnsi="Book Antiqua"/>
          <w:color w:val="000000" w:themeColor="text1"/>
          <w:sz w:val="24"/>
          <w:szCs w:val="24"/>
          <w:lang w:val="en-GB"/>
        </w:rPr>
        <w:t xml:space="preserve"> its</w:t>
      </w:r>
      <w:r w:rsidR="00991B72" w:rsidRPr="00AC50FA">
        <w:rPr>
          <w:rFonts w:ascii="Book Antiqua" w:hAnsi="Book Antiqua"/>
          <w:color w:val="000000" w:themeColor="text1"/>
          <w:sz w:val="24"/>
          <w:szCs w:val="24"/>
          <w:lang w:val="en-GB"/>
        </w:rPr>
        <w:t xml:space="preserve"> retrospective and descriptive nature. </w:t>
      </w:r>
      <w:r w:rsidR="00EE0B44" w:rsidRPr="00AC50FA">
        <w:rPr>
          <w:rFonts w:ascii="Book Antiqua" w:hAnsi="Book Antiqua"/>
          <w:color w:val="000000" w:themeColor="text1"/>
          <w:sz w:val="24"/>
          <w:szCs w:val="24"/>
          <w:lang w:val="en-GB"/>
        </w:rPr>
        <w:t>Sample size</w:t>
      </w:r>
      <w:r w:rsidRPr="00AC50FA">
        <w:rPr>
          <w:rFonts w:ascii="Book Antiqua" w:hAnsi="Book Antiqua"/>
          <w:color w:val="000000" w:themeColor="text1"/>
          <w:sz w:val="24"/>
          <w:szCs w:val="24"/>
          <w:lang w:val="en-GB"/>
        </w:rPr>
        <w:t xml:space="preserve"> </w:t>
      </w:r>
      <w:r w:rsidR="00991B72" w:rsidRPr="00AC50FA">
        <w:rPr>
          <w:rFonts w:ascii="Book Antiqua" w:hAnsi="Book Antiqua"/>
          <w:color w:val="000000" w:themeColor="text1"/>
          <w:sz w:val="24"/>
          <w:szCs w:val="24"/>
          <w:lang w:val="en-GB"/>
        </w:rPr>
        <w:t xml:space="preserve">and </w:t>
      </w:r>
      <w:r w:rsidRPr="00AC50FA">
        <w:rPr>
          <w:rFonts w:ascii="Book Antiqua" w:hAnsi="Book Antiqua"/>
          <w:color w:val="000000" w:themeColor="text1"/>
          <w:sz w:val="24"/>
          <w:szCs w:val="24"/>
          <w:lang w:val="en-GB"/>
        </w:rPr>
        <w:t xml:space="preserve">the </w:t>
      </w:r>
      <w:r w:rsidR="008A64B4" w:rsidRPr="00AC50FA">
        <w:rPr>
          <w:rFonts w:ascii="Book Antiqua" w:hAnsi="Book Antiqua"/>
          <w:color w:val="000000" w:themeColor="text1"/>
          <w:sz w:val="24"/>
          <w:szCs w:val="24"/>
          <w:lang w:val="en-GB"/>
        </w:rPr>
        <w:t xml:space="preserve">follow up </w:t>
      </w:r>
      <w:r w:rsidRPr="00AC50FA">
        <w:rPr>
          <w:rFonts w:ascii="Book Antiqua" w:hAnsi="Book Antiqua"/>
          <w:color w:val="000000" w:themeColor="text1"/>
          <w:sz w:val="24"/>
          <w:szCs w:val="24"/>
          <w:lang w:val="en-GB"/>
        </w:rPr>
        <w:t>duration w</w:t>
      </w:r>
      <w:r w:rsidR="00EE0B44" w:rsidRPr="00AC50FA">
        <w:rPr>
          <w:rFonts w:ascii="Book Antiqua" w:hAnsi="Book Antiqua"/>
          <w:color w:val="000000" w:themeColor="text1"/>
          <w:sz w:val="24"/>
          <w:szCs w:val="24"/>
          <w:lang w:val="en-GB"/>
        </w:rPr>
        <w:t>ere</w:t>
      </w:r>
      <w:r w:rsidR="00991B72" w:rsidRPr="00AC50FA">
        <w:rPr>
          <w:rFonts w:ascii="Book Antiqua" w:hAnsi="Book Antiqua"/>
          <w:color w:val="000000" w:themeColor="text1"/>
          <w:sz w:val="24"/>
          <w:szCs w:val="24"/>
          <w:lang w:val="en-GB"/>
        </w:rPr>
        <w:t xml:space="preserve"> limited. </w:t>
      </w:r>
      <w:r w:rsidR="00EE0B44" w:rsidRPr="00AC50FA">
        <w:rPr>
          <w:rFonts w:ascii="Book Antiqua" w:hAnsi="Book Antiqua"/>
          <w:color w:val="000000" w:themeColor="text1"/>
          <w:sz w:val="24"/>
          <w:szCs w:val="24"/>
          <w:lang w:val="en-GB"/>
        </w:rPr>
        <w:t xml:space="preserve">Nevertheless, </w:t>
      </w:r>
      <w:r w:rsidR="00D604B3" w:rsidRPr="00AC50FA">
        <w:rPr>
          <w:rFonts w:ascii="Book Antiqua" w:hAnsi="Book Antiqua"/>
          <w:color w:val="000000" w:themeColor="text1"/>
          <w:sz w:val="24"/>
          <w:szCs w:val="24"/>
          <w:lang w:val="en-GB"/>
        </w:rPr>
        <w:t>this is the first series in the literature</w:t>
      </w:r>
      <w:r w:rsidR="00874E5A" w:rsidRPr="00AC50FA">
        <w:rPr>
          <w:rFonts w:ascii="Book Antiqua" w:hAnsi="Book Antiqua"/>
          <w:color w:val="000000" w:themeColor="text1"/>
          <w:sz w:val="24"/>
          <w:szCs w:val="24"/>
          <w:lang w:val="en-GB"/>
        </w:rPr>
        <w:t xml:space="preserve"> to report</w:t>
      </w:r>
      <w:r w:rsidR="00EE0B44" w:rsidRPr="00AC50FA">
        <w:rPr>
          <w:rFonts w:ascii="Book Antiqua" w:hAnsi="Book Antiqua"/>
          <w:color w:val="000000" w:themeColor="text1"/>
          <w:sz w:val="24"/>
          <w:szCs w:val="24"/>
          <w:lang w:val="en-GB"/>
        </w:rPr>
        <w:t xml:space="preserve"> the efficacy and safety regarding SBRT for</w:t>
      </w:r>
      <w:r w:rsidR="00874E5A" w:rsidRPr="00AC50FA">
        <w:rPr>
          <w:rFonts w:ascii="Book Antiqua" w:hAnsi="Book Antiqua"/>
          <w:color w:val="000000" w:themeColor="text1"/>
          <w:sz w:val="24"/>
          <w:szCs w:val="24"/>
          <w:lang w:val="en-GB"/>
        </w:rPr>
        <w:t xml:space="preserve"> graft HCC recurrence after </w:t>
      </w:r>
      <w:r w:rsidR="00874E5A" w:rsidRPr="00AC50FA">
        <w:rPr>
          <w:rFonts w:ascii="Book Antiqua" w:hAnsi="Book Antiqua"/>
          <w:color w:val="000000" w:themeColor="text1"/>
          <w:sz w:val="24"/>
          <w:szCs w:val="24"/>
          <w:lang w:val="en-GB"/>
        </w:rPr>
        <w:lastRenderedPageBreak/>
        <w:t>liver transplantation</w:t>
      </w:r>
      <w:r w:rsidR="00EE0B44" w:rsidRPr="00AC50FA">
        <w:rPr>
          <w:rFonts w:ascii="Book Antiqua" w:hAnsi="Book Antiqua"/>
          <w:color w:val="000000" w:themeColor="text1"/>
          <w:sz w:val="24"/>
          <w:szCs w:val="24"/>
          <w:lang w:val="en-GB"/>
        </w:rPr>
        <w:t xml:space="preserve">. We have revealed </w:t>
      </w:r>
      <w:r w:rsidR="00874E5A" w:rsidRPr="00AC50FA">
        <w:rPr>
          <w:rFonts w:ascii="Book Antiqua" w:hAnsi="Book Antiqua"/>
          <w:color w:val="000000" w:themeColor="text1"/>
          <w:sz w:val="24"/>
          <w:szCs w:val="24"/>
          <w:lang w:val="en-GB"/>
        </w:rPr>
        <w:t>a significant</w:t>
      </w:r>
      <w:r w:rsidR="00EE0B44" w:rsidRPr="00AC50FA">
        <w:rPr>
          <w:rFonts w:ascii="Book Antiqua" w:hAnsi="Book Antiqua"/>
          <w:color w:val="000000" w:themeColor="text1"/>
          <w:sz w:val="24"/>
          <w:szCs w:val="24"/>
          <w:lang w:val="en-GB"/>
        </w:rPr>
        <w:t xml:space="preserve"> </w:t>
      </w:r>
      <w:r w:rsidR="00874E5A" w:rsidRPr="00AC50FA">
        <w:rPr>
          <w:rFonts w:ascii="Book Antiqua" w:hAnsi="Book Antiqua"/>
          <w:color w:val="000000" w:themeColor="text1"/>
          <w:sz w:val="24"/>
          <w:szCs w:val="24"/>
          <w:lang w:val="en-GB"/>
        </w:rPr>
        <w:t>shortcoming</w:t>
      </w:r>
      <w:r w:rsidR="00EE0B44" w:rsidRPr="00AC50FA">
        <w:rPr>
          <w:rFonts w:ascii="Book Antiqua" w:hAnsi="Book Antiqua"/>
          <w:color w:val="000000" w:themeColor="text1"/>
          <w:sz w:val="24"/>
          <w:szCs w:val="24"/>
          <w:lang w:val="en-GB"/>
        </w:rPr>
        <w:t xml:space="preserve"> of SBRT in this cohort </w:t>
      </w:r>
      <w:r w:rsidR="00874E5A" w:rsidRPr="00AC50FA">
        <w:rPr>
          <w:rFonts w:ascii="Book Antiqua" w:hAnsi="Book Antiqua"/>
          <w:color w:val="000000" w:themeColor="text1"/>
          <w:sz w:val="24"/>
          <w:szCs w:val="24"/>
          <w:lang w:val="en-GB"/>
        </w:rPr>
        <w:t>to guide future studies</w:t>
      </w:r>
      <w:r w:rsidR="00EE0B44" w:rsidRPr="00AC50FA">
        <w:rPr>
          <w:rFonts w:ascii="Book Antiqua" w:hAnsi="Book Antiqua"/>
          <w:color w:val="000000" w:themeColor="text1"/>
          <w:sz w:val="24"/>
          <w:szCs w:val="24"/>
          <w:lang w:val="en-GB"/>
        </w:rPr>
        <w:t xml:space="preserve">. </w:t>
      </w:r>
    </w:p>
    <w:p w14:paraId="30E625CF" w14:textId="0845373E"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6866BC6C"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u w:val="single"/>
          <w:lang w:eastAsia="zh-CN"/>
        </w:rPr>
      </w:pPr>
      <w:r w:rsidRPr="00AC50FA">
        <w:rPr>
          <w:rFonts w:ascii="Book Antiqua" w:hAnsi="Book Antiqua"/>
          <w:b/>
          <w:color w:val="000000" w:themeColor="text1"/>
          <w:sz w:val="24"/>
          <w:szCs w:val="24"/>
          <w:u w:val="single"/>
        </w:rPr>
        <w:t>ARTICLE HIGHLIGHTS</w:t>
      </w:r>
    </w:p>
    <w:p w14:paraId="383427F5" w14:textId="77777777" w:rsidR="00CF2C01" w:rsidRPr="00AC50FA" w:rsidRDefault="00CF2C01"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background</w:t>
      </w:r>
    </w:p>
    <w:p w14:paraId="5E4495C0" w14:textId="52DE0F81" w:rsidR="003034FB" w:rsidRPr="00AC50FA" w:rsidRDefault="00DB2FFB"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rPr>
        <w:t>Graft hepatocellular carcinoma (HCC) recurrence after liver transplant is not uncommon.</w:t>
      </w:r>
      <w:r w:rsidR="00545036">
        <w:rPr>
          <w:rFonts w:ascii="Book Antiqua" w:hAnsi="Book Antiqua"/>
          <w:color w:val="000000" w:themeColor="text1"/>
          <w:sz w:val="24"/>
          <w:szCs w:val="24"/>
        </w:rPr>
        <w:t xml:space="preserve"> </w:t>
      </w:r>
      <w:r w:rsidRPr="00AC50FA">
        <w:rPr>
          <w:rFonts w:ascii="Book Antiqua" w:hAnsi="Book Antiqua"/>
          <w:color w:val="000000" w:themeColor="text1"/>
          <w:sz w:val="24"/>
          <w:szCs w:val="24"/>
        </w:rPr>
        <w:t>G</w:t>
      </w:r>
      <w:r w:rsidRPr="00AC50FA">
        <w:rPr>
          <w:rFonts w:ascii="Book Antiqua" w:hAnsi="Book Antiqua"/>
          <w:color w:val="000000" w:themeColor="text1"/>
          <w:sz w:val="24"/>
          <w:szCs w:val="24"/>
          <w:lang w:val="en-GB"/>
        </w:rPr>
        <w:t>raft hepatectomy is technically challenging and is associated with high morbidity. Stereotactic body radiation therapy (SBRT) could be a safe alternative treatment modality to graft HCC recurrence.</w:t>
      </w:r>
    </w:p>
    <w:p w14:paraId="2A489A84" w14:textId="77777777" w:rsidR="00CF2C01" w:rsidRPr="00AC50FA" w:rsidRDefault="00CF2C01" w:rsidP="00AC50FA">
      <w:pPr>
        <w:snapToGrid w:val="0"/>
        <w:spacing w:after="0" w:line="360" w:lineRule="auto"/>
        <w:jc w:val="both"/>
        <w:rPr>
          <w:rFonts w:ascii="Book Antiqua" w:hAnsi="Book Antiqua"/>
          <w:color w:val="000000" w:themeColor="text1"/>
          <w:sz w:val="24"/>
          <w:szCs w:val="24"/>
          <w:lang w:val="en-GB"/>
        </w:rPr>
      </w:pPr>
    </w:p>
    <w:p w14:paraId="0A2E6AA2" w14:textId="77777777" w:rsidR="00DB2F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motivation</w:t>
      </w:r>
    </w:p>
    <w:p w14:paraId="797C5E17" w14:textId="3E5C7BD1" w:rsidR="003034FB" w:rsidRPr="00AC50FA" w:rsidRDefault="0012581C" w:rsidP="00AC50FA">
      <w:pPr>
        <w:adjustRightInd w:val="0"/>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The role of SBRT for HCC recurrence in a liver graft remains unclear</w:t>
      </w:r>
      <w:r w:rsidR="00FB6113" w:rsidRPr="00AC50FA">
        <w:rPr>
          <w:rFonts w:ascii="Book Antiqua" w:hAnsi="Book Antiqua"/>
          <w:color w:val="000000" w:themeColor="text1"/>
          <w:sz w:val="24"/>
          <w:szCs w:val="24"/>
          <w:lang w:val="en-GB"/>
        </w:rPr>
        <w:t>.</w:t>
      </w:r>
    </w:p>
    <w:p w14:paraId="7D06CDCC"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val="en-GB"/>
        </w:rPr>
      </w:pPr>
    </w:p>
    <w:p w14:paraId="33329929"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objectives</w:t>
      </w:r>
    </w:p>
    <w:p w14:paraId="3E27CB5D" w14:textId="09121941" w:rsidR="00FB6113" w:rsidRPr="00AC50FA" w:rsidRDefault="00FB6113" w:rsidP="00AC50FA">
      <w:pPr>
        <w:adjustRightInd w:val="0"/>
        <w:snapToGrid w:val="0"/>
        <w:spacing w:after="0" w:line="360" w:lineRule="auto"/>
        <w:jc w:val="both"/>
        <w:rPr>
          <w:rFonts w:ascii="Book Antiqua" w:hAnsi="Book Antiqua"/>
          <w:bCs/>
          <w:iCs/>
          <w:color w:val="000000" w:themeColor="text1"/>
          <w:sz w:val="24"/>
          <w:szCs w:val="24"/>
        </w:rPr>
      </w:pPr>
      <w:r w:rsidRPr="00AC50FA">
        <w:rPr>
          <w:rFonts w:ascii="Book Antiqua" w:hAnsi="Book Antiqua"/>
          <w:bCs/>
          <w:iCs/>
          <w:color w:val="000000" w:themeColor="text1"/>
          <w:sz w:val="24"/>
          <w:szCs w:val="24"/>
        </w:rPr>
        <w:t xml:space="preserve">The current study aims to evaluate the safety and efficacy of SBRT for graft HCC recurrence after liver transplantation. </w:t>
      </w:r>
    </w:p>
    <w:p w14:paraId="165F75C2" w14:textId="77777777" w:rsidR="00CF2C01" w:rsidRPr="00AC50FA" w:rsidRDefault="00CF2C01" w:rsidP="00AC50FA">
      <w:pPr>
        <w:adjustRightInd w:val="0"/>
        <w:snapToGrid w:val="0"/>
        <w:spacing w:after="0" w:line="360" w:lineRule="auto"/>
        <w:jc w:val="both"/>
        <w:rPr>
          <w:rFonts w:ascii="Book Antiqua" w:hAnsi="Book Antiqua"/>
          <w:bCs/>
          <w:iCs/>
          <w:color w:val="000000" w:themeColor="text1"/>
          <w:sz w:val="24"/>
          <w:szCs w:val="24"/>
        </w:rPr>
      </w:pPr>
    </w:p>
    <w:p w14:paraId="73171725"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methods</w:t>
      </w:r>
    </w:p>
    <w:p w14:paraId="3F0D28FD" w14:textId="67354E38" w:rsidR="00833173" w:rsidRPr="00AC50FA" w:rsidRDefault="00FB6113" w:rsidP="00AC50FA">
      <w:pPr>
        <w:adjustRightInd w:val="0"/>
        <w:snapToGrid w:val="0"/>
        <w:spacing w:after="0" w:line="360" w:lineRule="auto"/>
        <w:jc w:val="both"/>
        <w:rPr>
          <w:rFonts w:ascii="Book Antiqua" w:eastAsia="Times New Roman" w:hAnsi="Book Antiqua" w:cs="Helvetica"/>
          <w:color w:val="000000" w:themeColor="text1"/>
          <w:sz w:val="24"/>
          <w:szCs w:val="24"/>
          <w:lang w:val="en-GB"/>
        </w:rPr>
      </w:pPr>
      <w:r w:rsidRPr="00AC50FA">
        <w:rPr>
          <w:rFonts w:ascii="Book Antiqua" w:eastAsia="Times New Roman" w:hAnsi="Book Antiqua" w:cs="Helvetica"/>
          <w:color w:val="000000" w:themeColor="text1"/>
          <w:sz w:val="24"/>
          <w:szCs w:val="24"/>
          <w:lang w:val="en-GB"/>
        </w:rPr>
        <w:t xml:space="preserve">A retrospective study of 6 patients and 9 treatment courses for 13 </w:t>
      </w:r>
      <w:r w:rsidR="00833173" w:rsidRPr="00AC50FA">
        <w:rPr>
          <w:rFonts w:ascii="Book Antiqua" w:eastAsia="Times New Roman" w:hAnsi="Book Antiqua" w:cs="Helvetica"/>
          <w:color w:val="000000" w:themeColor="text1"/>
          <w:sz w:val="24"/>
          <w:szCs w:val="24"/>
          <w:lang w:val="en-GB"/>
        </w:rPr>
        <w:t>recurrent tumours in the liver graft.</w:t>
      </w:r>
    </w:p>
    <w:p w14:paraId="0306A3C6" w14:textId="77777777" w:rsidR="00CF2C01" w:rsidRPr="00AC50FA" w:rsidRDefault="00CF2C01" w:rsidP="00AC50FA">
      <w:pPr>
        <w:adjustRightInd w:val="0"/>
        <w:snapToGrid w:val="0"/>
        <w:spacing w:after="0" w:line="360" w:lineRule="auto"/>
        <w:jc w:val="both"/>
        <w:rPr>
          <w:rFonts w:ascii="Book Antiqua" w:eastAsia="Times New Roman" w:hAnsi="Book Antiqua" w:cs="Helvetica"/>
          <w:color w:val="000000" w:themeColor="text1"/>
          <w:sz w:val="24"/>
          <w:szCs w:val="24"/>
          <w:lang w:val="en-GB"/>
        </w:rPr>
      </w:pPr>
    </w:p>
    <w:p w14:paraId="41B76FAC"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results</w:t>
      </w:r>
    </w:p>
    <w:p w14:paraId="354403E2" w14:textId="14FB4693" w:rsidR="003034FB" w:rsidRPr="00AC50FA" w:rsidRDefault="00833173"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Five patient had complete local response (55%). The median time to overall disease progression was 6.5 mo. There were 6 regional progression in the liver graft (67%). There was no grade 3 or above toxicity.</w:t>
      </w:r>
    </w:p>
    <w:p w14:paraId="0DD119B3" w14:textId="77777777" w:rsidR="00CF2C01" w:rsidRPr="00AC50FA" w:rsidRDefault="00CF2C01" w:rsidP="00AC50FA">
      <w:pPr>
        <w:snapToGrid w:val="0"/>
        <w:spacing w:after="0" w:line="360" w:lineRule="auto"/>
        <w:jc w:val="both"/>
        <w:rPr>
          <w:rFonts w:ascii="Book Antiqua" w:hAnsi="Book Antiqua"/>
          <w:b/>
          <w:color w:val="000000" w:themeColor="text1"/>
          <w:sz w:val="24"/>
          <w:szCs w:val="24"/>
          <w:lang w:val="en-GB"/>
        </w:rPr>
      </w:pPr>
    </w:p>
    <w:p w14:paraId="0D55CC3F"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t>Research conclusions</w:t>
      </w:r>
    </w:p>
    <w:p w14:paraId="2F8949E1" w14:textId="29D3A71E" w:rsidR="003034FB" w:rsidRPr="00AC50FA" w:rsidRDefault="00833173" w:rsidP="00AC50FA">
      <w:pPr>
        <w:adjustRightInd w:val="0"/>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SBRT appears safe but regional progression is common.</w:t>
      </w:r>
    </w:p>
    <w:p w14:paraId="37BF017E" w14:textId="77777777" w:rsidR="00CF2C01" w:rsidRPr="00AC50FA" w:rsidRDefault="00CF2C01" w:rsidP="00AC50FA">
      <w:pPr>
        <w:adjustRightInd w:val="0"/>
        <w:snapToGrid w:val="0"/>
        <w:spacing w:after="0" w:line="360" w:lineRule="auto"/>
        <w:jc w:val="both"/>
        <w:rPr>
          <w:rFonts w:ascii="Book Antiqua" w:hAnsi="Book Antiqua"/>
          <w:b/>
          <w:i/>
          <w:color w:val="000000" w:themeColor="text1"/>
          <w:sz w:val="24"/>
          <w:szCs w:val="24"/>
        </w:rPr>
      </w:pPr>
    </w:p>
    <w:p w14:paraId="40E41108" w14:textId="77777777" w:rsidR="003034FB" w:rsidRPr="00AC50FA" w:rsidRDefault="003034FB" w:rsidP="00AC50FA">
      <w:pPr>
        <w:adjustRightInd w:val="0"/>
        <w:snapToGrid w:val="0"/>
        <w:spacing w:after="0" w:line="360" w:lineRule="auto"/>
        <w:jc w:val="both"/>
        <w:rPr>
          <w:rFonts w:ascii="Book Antiqua" w:hAnsi="Book Antiqua"/>
          <w:b/>
          <w:i/>
          <w:color w:val="000000" w:themeColor="text1"/>
          <w:sz w:val="24"/>
          <w:szCs w:val="24"/>
        </w:rPr>
      </w:pPr>
      <w:r w:rsidRPr="00AC50FA">
        <w:rPr>
          <w:rFonts w:ascii="Book Antiqua" w:hAnsi="Book Antiqua"/>
          <w:b/>
          <w:i/>
          <w:color w:val="000000" w:themeColor="text1"/>
          <w:sz w:val="24"/>
          <w:szCs w:val="24"/>
        </w:rPr>
        <w:lastRenderedPageBreak/>
        <w:t>Research perspectives</w:t>
      </w:r>
    </w:p>
    <w:p w14:paraId="6264EC1C" w14:textId="547FAFFD" w:rsidR="003034FB" w:rsidRPr="00AC50FA" w:rsidRDefault="00833173"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t>The role of SBRT combined with additional regional treatment could be explored.</w:t>
      </w:r>
    </w:p>
    <w:p w14:paraId="71A20838" w14:textId="702234F1"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p>
    <w:p w14:paraId="2F539C8D"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lang w:eastAsia="zh-CN"/>
        </w:rPr>
      </w:pPr>
      <w:r w:rsidRPr="00AC50FA">
        <w:rPr>
          <w:rFonts w:ascii="Book Antiqua" w:hAnsi="Book Antiqua"/>
          <w:b/>
          <w:color w:val="000000" w:themeColor="text1"/>
          <w:sz w:val="24"/>
          <w:szCs w:val="24"/>
        </w:rPr>
        <w:t>REFERENCES</w:t>
      </w:r>
    </w:p>
    <w:p w14:paraId="29EC6B5C"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 </w:t>
      </w:r>
      <w:r w:rsidRPr="00AC50FA">
        <w:rPr>
          <w:rFonts w:ascii="Book Antiqua" w:hAnsi="Book Antiqua"/>
          <w:b/>
          <w:color w:val="000000" w:themeColor="text1"/>
          <w:sz w:val="24"/>
          <w:szCs w:val="24"/>
        </w:rPr>
        <w:t>Wiesner RH</w:t>
      </w:r>
      <w:r w:rsidRPr="00AC50FA">
        <w:rPr>
          <w:rFonts w:ascii="Book Antiqua" w:hAnsi="Book Antiqua"/>
          <w:color w:val="000000" w:themeColor="text1"/>
          <w:sz w:val="24"/>
          <w:szCs w:val="24"/>
        </w:rPr>
        <w:t xml:space="preserve">, Freeman RB, Mulligan DC. Liver transplantation for hepatocellular cancer: the impact of the MELD allocation policy. </w:t>
      </w:r>
      <w:r w:rsidRPr="00AC50FA">
        <w:rPr>
          <w:rFonts w:ascii="Book Antiqua" w:hAnsi="Book Antiqua"/>
          <w:i/>
          <w:color w:val="000000" w:themeColor="text1"/>
          <w:sz w:val="24"/>
          <w:szCs w:val="24"/>
        </w:rPr>
        <w:t>Gastroenterology</w:t>
      </w:r>
      <w:r w:rsidRPr="00AC50FA">
        <w:rPr>
          <w:rFonts w:ascii="Book Antiqua" w:hAnsi="Book Antiqua"/>
          <w:color w:val="000000" w:themeColor="text1"/>
          <w:sz w:val="24"/>
          <w:szCs w:val="24"/>
        </w:rPr>
        <w:t xml:space="preserve"> 2004; </w:t>
      </w:r>
      <w:r w:rsidRPr="00AC50FA">
        <w:rPr>
          <w:rFonts w:ascii="Book Antiqua" w:hAnsi="Book Antiqua"/>
          <w:b/>
          <w:color w:val="000000" w:themeColor="text1"/>
          <w:sz w:val="24"/>
          <w:szCs w:val="24"/>
        </w:rPr>
        <w:t>127</w:t>
      </w:r>
      <w:r w:rsidRPr="00AC50FA">
        <w:rPr>
          <w:rFonts w:ascii="Book Antiqua" w:hAnsi="Book Antiqua"/>
          <w:color w:val="000000" w:themeColor="text1"/>
          <w:sz w:val="24"/>
          <w:szCs w:val="24"/>
        </w:rPr>
        <w:t>: S261-S267 [PMID: 15508092 DOI: 10.1053/j.gastro.2004.09.040]</w:t>
      </w:r>
    </w:p>
    <w:p w14:paraId="6DDF7D63"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 </w:t>
      </w:r>
      <w:r w:rsidRPr="00AC50FA">
        <w:rPr>
          <w:rFonts w:ascii="Book Antiqua" w:hAnsi="Book Antiqua"/>
          <w:b/>
          <w:color w:val="000000" w:themeColor="text1"/>
          <w:sz w:val="24"/>
          <w:szCs w:val="24"/>
        </w:rPr>
        <w:t>Yao FY</w:t>
      </w:r>
      <w:r w:rsidRPr="00AC50FA">
        <w:rPr>
          <w:rFonts w:ascii="Book Antiqua" w:hAnsi="Book Antiqua"/>
          <w:color w:val="000000" w:themeColor="text1"/>
          <w:sz w:val="24"/>
          <w:szCs w:val="24"/>
        </w:rPr>
        <w:t xml:space="preserve">, Ferrell L, Bass NM, Watson JJ, </w:t>
      </w:r>
      <w:proofErr w:type="spellStart"/>
      <w:r w:rsidRPr="00AC50FA">
        <w:rPr>
          <w:rFonts w:ascii="Book Antiqua" w:hAnsi="Book Antiqua"/>
          <w:color w:val="000000" w:themeColor="text1"/>
          <w:sz w:val="24"/>
          <w:szCs w:val="24"/>
        </w:rPr>
        <w:t>Bacchetti</w:t>
      </w:r>
      <w:proofErr w:type="spellEnd"/>
      <w:r w:rsidRPr="00AC50FA">
        <w:rPr>
          <w:rFonts w:ascii="Book Antiqua" w:hAnsi="Book Antiqua"/>
          <w:color w:val="000000" w:themeColor="text1"/>
          <w:sz w:val="24"/>
          <w:szCs w:val="24"/>
        </w:rPr>
        <w:t xml:space="preserve"> P, </w:t>
      </w:r>
      <w:proofErr w:type="spellStart"/>
      <w:r w:rsidRPr="00AC50FA">
        <w:rPr>
          <w:rFonts w:ascii="Book Antiqua" w:hAnsi="Book Antiqua"/>
          <w:color w:val="000000" w:themeColor="text1"/>
          <w:sz w:val="24"/>
          <w:szCs w:val="24"/>
        </w:rPr>
        <w:t>Venook</w:t>
      </w:r>
      <w:proofErr w:type="spellEnd"/>
      <w:r w:rsidRPr="00AC50FA">
        <w:rPr>
          <w:rFonts w:ascii="Book Antiqua" w:hAnsi="Book Antiqua"/>
          <w:color w:val="000000" w:themeColor="text1"/>
          <w:sz w:val="24"/>
          <w:szCs w:val="24"/>
        </w:rPr>
        <w:t xml:space="preserve"> A, Ascher NL, Roberts JP. Liver transplantation for hepatocellular carcinoma: expansion of the tumor size limits does not adversely impact survival. </w:t>
      </w:r>
      <w:r w:rsidRPr="00AC50FA">
        <w:rPr>
          <w:rFonts w:ascii="Book Antiqua" w:hAnsi="Book Antiqua"/>
          <w:i/>
          <w:color w:val="000000" w:themeColor="text1"/>
          <w:sz w:val="24"/>
          <w:szCs w:val="24"/>
        </w:rPr>
        <w:t>Hepatology</w:t>
      </w:r>
      <w:r w:rsidRPr="00AC50FA">
        <w:rPr>
          <w:rFonts w:ascii="Book Antiqua" w:hAnsi="Book Antiqua"/>
          <w:color w:val="000000" w:themeColor="text1"/>
          <w:sz w:val="24"/>
          <w:szCs w:val="24"/>
        </w:rPr>
        <w:t xml:space="preserve"> 2001; </w:t>
      </w:r>
      <w:r w:rsidRPr="00AC50FA">
        <w:rPr>
          <w:rFonts w:ascii="Book Antiqua" w:hAnsi="Book Antiqua"/>
          <w:b/>
          <w:color w:val="000000" w:themeColor="text1"/>
          <w:sz w:val="24"/>
          <w:szCs w:val="24"/>
        </w:rPr>
        <w:t>33</w:t>
      </w:r>
      <w:r w:rsidRPr="00AC50FA">
        <w:rPr>
          <w:rFonts w:ascii="Book Antiqua" w:hAnsi="Book Antiqua"/>
          <w:color w:val="000000" w:themeColor="text1"/>
          <w:sz w:val="24"/>
          <w:szCs w:val="24"/>
        </w:rPr>
        <w:t>: 1394-1403 [PMID: 11391528 DOI: 10.1053/jhep.2001.24563]</w:t>
      </w:r>
    </w:p>
    <w:p w14:paraId="31DA3E6B"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3 </w:t>
      </w:r>
      <w:r w:rsidRPr="00AC50FA">
        <w:rPr>
          <w:rFonts w:ascii="Book Antiqua" w:hAnsi="Book Antiqua"/>
          <w:b/>
          <w:color w:val="000000" w:themeColor="text1"/>
          <w:sz w:val="24"/>
          <w:szCs w:val="24"/>
        </w:rPr>
        <w:t>Herrero JI</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Sangro</w:t>
      </w:r>
      <w:proofErr w:type="spellEnd"/>
      <w:r w:rsidRPr="00AC50FA">
        <w:rPr>
          <w:rFonts w:ascii="Book Antiqua" w:hAnsi="Book Antiqua"/>
          <w:color w:val="000000" w:themeColor="text1"/>
          <w:sz w:val="24"/>
          <w:szCs w:val="24"/>
        </w:rPr>
        <w:t xml:space="preserve"> B, Quiroga J, Pardo F, </w:t>
      </w:r>
      <w:proofErr w:type="spellStart"/>
      <w:r w:rsidRPr="00AC50FA">
        <w:rPr>
          <w:rFonts w:ascii="Book Antiqua" w:hAnsi="Book Antiqua"/>
          <w:color w:val="000000" w:themeColor="text1"/>
          <w:sz w:val="24"/>
          <w:szCs w:val="24"/>
        </w:rPr>
        <w:t>Herraiz</w:t>
      </w:r>
      <w:proofErr w:type="spellEnd"/>
      <w:r w:rsidRPr="00AC50FA">
        <w:rPr>
          <w:rFonts w:ascii="Book Antiqua" w:hAnsi="Book Antiqua"/>
          <w:color w:val="000000" w:themeColor="text1"/>
          <w:sz w:val="24"/>
          <w:szCs w:val="24"/>
        </w:rPr>
        <w:t xml:space="preserve"> M, Cienfuegos JA, Prieto J. Influence of tumor characteristics on the outcome of liver transplantation among patients with liver cirrhosis and hepatocellular carcinoma.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2001; </w:t>
      </w:r>
      <w:r w:rsidRPr="00AC50FA">
        <w:rPr>
          <w:rFonts w:ascii="Book Antiqua" w:hAnsi="Book Antiqua"/>
          <w:b/>
          <w:color w:val="000000" w:themeColor="text1"/>
          <w:sz w:val="24"/>
          <w:szCs w:val="24"/>
        </w:rPr>
        <w:t>7</w:t>
      </w:r>
      <w:r w:rsidRPr="00AC50FA">
        <w:rPr>
          <w:rFonts w:ascii="Book Antiqua" w:hAnsi="Book Antiqua"/>
          <w:color w:val="000000" w:themeColor="text1"/>
          <w:sz w:val="24"/>
          <w:szCs w:val="24"/>
        </w:rPr>
        <w:t>: 631-636 [PMID: 11460231 DOI: 10.1053/jlts.2001.25458]</w:t>
      </w:r>
    </w:p>
    <w:p w14:paraId="1C9967AA"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4 </w:t>
      </w:r>
      <w:r w:rsidRPr="00AC50FA">
        <w:rPr>
          <w:rFonts w:ascii="Book Antiqua" w:hAnsi="Book Antiqua"/>
          <w:b/>
          <w:color w:val="000000" w:themeColor="text1"/>
          <w:sz w:val="24"/>
          <w:szCs w:val="24"/>
        </w:rPr>
        <w:t>Silva M</w:t>
      </w:r>
      <w:r w:rsidRPr="00AC50FA">
        <w:rPr>
          <w:rFonts w:ascii="Book Antiqua" w:hAnsi="Book Antiqua"/>
          <w:color w:val="000000" w:themeColor="text1"/>
          <w:sz w:val="24"/>
          <w:szCs w:val="24"/>
        </w:rPr>
        <w:t xml:space="preserve">, Moya A, </w:t>
      </w:r>
      <w:proofErr w:type="spellStart"/>
      <w:r w:rsidRPr="00AC50FA">
        <w:rPr>
          <w:rFonts w:ascii="Book Antiqua" w:hAnsi="Book Antiqua"/>
          <w:color w:val="000000" w:themeColor="text1"/>
          <w:sz w:val="24"/>
          <w:szCs w:val="24"/>
        </w:rPr>
        <w:t>Berenguer</w:t>
      </w:r>
      <w:proofErr w:type="spellEnd"/>
      <w:r w:rsidRPr="00AC50FA">
        <w:rPr>
          <w:rFonts w:ascii="Book Antiqua" w:hAnsi="Book Antiqua"/>
          <w:color w:val="000000" w:themeColor="text1"/>
          <w:sz w:val="24"/>
          <w:szCs w:val="24"/>
        </w:rPr>
        <w:t xml:space="preserve"> M, </w:t>
      </w:r>
      <w:proofErr w:type="spellStart"/>
      <w:r w:rsidRPr="00AC50FA">
        <w:rPr>
          <w:rFonts w:ascii="Book Antiqua" w:hAnsi="Book Antiqua"/>
          <w:color w:val="000000" w:themeColor="text1"/>
          <w:sz w:val="24"/>
          <w:szCs w:val="24"/>
        </w:rPr>
        <w:t>Sanjuan</w:t>
      </w:r>
      <w:proofErr w:type="spellEnd"/>
      <w:r w:rsidRPr="00AC50FA">
        <w:rPr>
          <w:rFonts w:ascii="Book Antiqua" w:hAnsi="Book Antiqua"/>
          <w:color w:val="000000" w:themeColor="text1"/>
          <w:sz w:val="24"/>
          <w:szCs w:val="24"/>
        </w:rPr>
        <w:t xml:space="preserve"> F, López-Andujar R, Pareja E, Torres-Quevedo R, Aguilera V, </w:t>
      </w:r>
      <w:proofErr w:type="spellStart"/>
      <w:r w:rsidRPr="00AC50FA">
        <w:rPr>
          <w:rFonts w:ascii="Book Antiqua" w:hAnsi="Book Antiqua"/>
          <w:color w:val="000000" w:themeColor="text1"/>
          <w:sz w:val="24"/>
          <w:szCs w:val="24"/>
        </w:rPr>
        <w:t>Montalva</w:t>
      </w:r>
      <w:proofErr w:type="spellEnd"/>
      <w:r w:rsidRPr="00AC50FA">
        <w:rPr>
          <w:rFonts w:ascii="Book Antiqua" w:hAnsi="Book Antiqua"/>
          <w:color w:val="000000" w:themeColor="text1"/>
          <w:sz w:val="24"/>
          <w:szCs w:val="24"/>
        </w:rPr>
        <w:t xml:space="preserve"> E, De Juan M, Mattos A, Prieto M, Mir J. Expanded criteria for liver transplantation in patients with cirrhosis and hepatocellular carcinoma.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2008; </w:t>
      </w:r>
      <w:r w:rsidRPr="00AC50FA">
        <w:rPr>
          <w:rFonts w:ascii="Book Antiqua" w:hAnsi="Book Antiqua"/>
          <w:b/>
          <w:color w:val="000000" w:themeColor="text1"/>
          <w:sz w:val="24"/>
          <w:szCs w:val="24"/>
        </w:rPr>
        <w:t>14</w:t>
      </w:r>
      <w:r w:rsidRPr="00AC50FA">
        <w:rPr>
          <w:rFonts w:ascii="Book Antiqua" w:hAnsi="Book Antiqua"/>
          <w:color w:val="000000" w:themeColor="text1"/>
          <w:sz w:val="24"/>
          <w:szCs w:val="24"/>
        </w:rPr>
        <w:t>: 1449-1460 [PMID: 18825681 DOI: 10.1002/lt.21576]</w:t>
      </w:r>
    </w:p>
    <w:p w14:paraId="442AA19A"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5 </w:t>
      </w:r>
      <w:r w:rsidRPr="00AC50FA">
        <w:rPr>
          <w:rFonts w:ascii="Book Antiqua" w:hAnsi="Book Antiqua"/>
          <w:b/>
          <w:color w:val="000000" w:themeColor="text1"/>
          <w:sz w:val="24"/>
          <w:szCs w:val="24"/>
        </w:rPr>
        <w:t>Zheng SS</w:t>
      </w:r>
      <w:r w:rsidRPr="00AC50FA">
        <w:rPr>
          <w:rFonts w:ascii="Book Antiqua" w:hAnsi="Book Antiqua"/>
          <w:color w:val="000000" w:themeColor="text1"/>
          <w:sz w:val="24"/>
          <w:szCs w:val="24"/>
        </w:rPr>
        <w:t xml:space="preserve">, Xu X, Wu J, Chen J, Wang WL, Zhang M, Liang TB, Wu LM. Liver transplantation for hepatocellular carcinoma: Hangzhou experiences. </w:t>
      </w:r>
      <w:r w:rsidRPr="00AC50FA">
        <w:rPr>
          <w:rFonts w:ascii="Book Antiqua" w:hAnsi="Book Antiqua"/>
          <w:i/>
          <w:color w:val="000000" w:themeColor="text1"/>
          <w:sz w:val="24"/>
          <w:szCs w:val="24"/>
        </w:rPr>
        <w:t>Transplantation</w:t>
      </w:r>
      <w:r w:rsidRPr="00AC50FA">
        <w:rPr>
          <w:rFonts w:ascii="Book Antiqua" w:hAnsi="Book Antiqua"/>
          <w:color w:val="000000" w:themeColor="text1"/>
          <w:sz w:val="24"/>
          <w:szCs w:val="24"/>
        </w:rPr>
        <w:t xml:space="preserve"> 2008; </w:t>
      </w:r>
      <w:r w:rsidRPr="00AC50FA">
        <w:rPr>
          <w:rFonts w:ascii="Book Antiqua" w:hAnsi="Book Antiqua"/>
          <w:b/>
          <w:color w:val="000000" w:themeColor="text1"/>
          <w:sz w:val="24"/>
          <w:szCs w:val="24"/>
        </w:rPr>
        <w:t>85</w:t>
      </w:r>
      <w:r w:rsidRPr="00AC50FA">
        <w:rPr>
          <w:rFonts w:ascii="Book Antiqua" w:hAnsi="Book Antiqua"/>
          <w:color w:val="000000" w:themeColor="text1"/>
          <w:sz w:val="24"/>
          <w:szCs w:val="24"/>
        </w:rPr>
        <w:t>: 1726-1732 [PMID: 18580463 DOI: 10.1097/TP.0b013e31816b67e4]</w:t>
      </w:r>
    </w:p>
    <w:p w14:paraId="3286574E"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6 </w:t>
      </w:r>
      <w:r w:rsidRPr="00AC50FA">
        <w:rPr>
          <w:rFonts w:ascii="Book Antiqua" w:hAnsi="Book Antiqua"/>
          <w:b/>
          <w:color w:val="000000" w:themeColor="text1"/>
          <w:sz w:val="24"/>
          <w:szCs w:val="24"/>
        </w:rPr>
        <w:t>Yao FY</w:t>
      </w:r>
      <w:r w:rsidRPr="00AC50FA">
        <w:rPr>
          <w:rFonts w:ascii="Book Antiqua" w:hAnsi="Book Antiqua"/>
          <w:color w:val="000000" w:themeColor="text1"/>
          <w:sz w:val="24"/>
          <w:szCs w:val="24"/>
        </w:rPr>
        <w:t xml:space="preserve">, Bass NM, Ascher NL, Roberts JP. Liver transplantation for hepatocellular carcinoma: lessons from the first year under the Model of End-Stage Liver Disease (MELD) organ allocation policy.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2004; </w:t>
      </w:r>
      <w:r w:rsidRPr="00AC50FA">
        <w:rPr>
          <w:rFonts w:ascii="Book Antiqua" w:hAnsi="Book Antiqua"/>
          <w:b/>
          <w:color w:val="000000" w:themeColor="text1"/>
          <w:sz w:val="24"/>
          <w:szCs w:val="24"/>
        </w:rPr>
        <w:t>10</w:t>
      </w:r>
      <w:r w:rsidRPr="00AC50FA">
        <w:rPr>
          <w:rFonts w:ascii="Book Antiqua" w:hAnsi="Book Antiqua"/>
          <w:color w:val="000000" w:themeColor="text1"/>
          <w:sz w:val="24"/>
          <w:szCs w:val="24"/>
        </w:rPr>
        <w:t>: 621-630 [PMID: 15108253 DOI: 10.1002/lt.20159]</w:t>
      </w:r>
    </w:p>
    <w:p w14:paraId="66D01450"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7 </w:t>
      </w:r>
      <w:proofErr w:type="spellStart"/>
      <w:r w:rsidRPr="00AC50FA">
        <w:rPr>
          <w:rFonts w:ascii="Book Antiqua" w:hAnsi="Book Antiqua"/>
          <w:b/>
          <w:color w:val="000000" w:themeColor="text1"/>
          <w:sz w:val="24"/>
          <w:szCs w:val="24"/>
        </w:rPr>
        <w:t>de'Angelis</w:t>
      </w:r>
      <w:proofErr w:type="spellEnd"/>
      <w:r w:rsidRPr="00AC50FA">
        <w:rPr>
          <w:rFonts w:ascii="Book Antiqua" w:hAnsi="Book Antiqua"/>
          <w:b/>
          <w:color w:val="000000" w:themeColor="text1"/>
          <w:sz w:val="24"/>
          <w:szCs w:val="24"/>
        </w:rPr>
        <w:t xml:space="preserve"> N</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Landi</w:t>
      </w:r>
      <w:proofErr w:type="spellEnd"/>
      <w:r w:rsidRPr="00AC50FA">
        <w:rPr>
          <w:rFonts w:ascii="Book Antiqua" w:hAnsi="Book Antiqua"/>
          <w:color w:val="000000" w:themeColor="text1"/>
          <w:sz w:val="24"/>
          <w:szCs w:val="24"/>
        </w:rPr>
        <w:t xml:space="preserve"> F, </w:t>
      </w:r>
      <w:proofErr w:type="spellStart"/>
      <w:r w:rsidRPr="00AC50FA">
        <w:rPr>
          <w:rFonts w:ascii="Book Antiqua" w:hAnsi="Book Antiqua"/>
          <w:color w:val="000000" w:themeColor="text1"/>
          <w:sz w:val="24"/>
          <w:szCs w:val="24"/>
        </w:rPr>
        <w:t>Carra</w:t>
      </w:r>
      <w:proofErr w:type="spellEnd"/>
      <w:r w:rsidRPr="00AC50FA">
        <w:rPr>
          <w:rFonts w:ascii="Book Antiqua" w:hAnsi="Book Antiqua"/>
          <w:color w:val="000000" w:themeColor="text1"/>
          <w:sz w:val="24"/>
          <w:szCs w:val="24"/>
        </w:rPr>
        <w:t xml:space="preserve"> MC, </w:t>
      </w:r>
      <w:proofErr w:type="spellStart"/>
      <w:r w:rsidRPr="00AC50FA">
        <w:rPr>
          <w:rFonts w:ascii="Book Antiqua" w:hAnsi="Book Antiqua"/>
          <w:color w:val="000000" w:themeColor="text1"/>
          <w:sz w:val="24"/>
          <w:szCs w:val="24"/>
        </w:rPr>
        <w:t>Azoulay</w:t>
      </w:r>
      <w:proofErr w:type="spellEnd"/>
      <w:r w:rsidRPr="00AC50FA">
        <w:rPr>
          <w:rFonts w:ascii="Book Antiqua" w:hAnsi="Book Antiqua"/>
          <w:color w:val="000000" w:themeColor="text1"/>
          <w:sz w:val="24"/>
          <w:szCs w:val="24"/>
        </w:rPr>
        <w:t xml:space="preserve"> D. Managements of recurrent hepatocellular carcinoma after liver transplantation: A systematic review. </w:t>
      </w:r>
      <w:r w:rsidRPr="00AC50FA">
        <w:rPr>
          <w:rFonts w:ascii="Book Antiqua" w:hAnsi="Book Antiqua"/>
          <w:i/>
          <w:color w:val="000000" w:themeColor="text1"/>
          <w:sz w:val="24"/>
          <w:szCs w:val="24"/>
        </w:rPr>
        <w:t>World J Gastroenterol</w:t>
      </w:r>
      <w:r w:rsidRPr="00AC50FA">
        <w:rPr>
          <w:rFonts w:ascii="Book Antiqua" w:hAnsi="Book Antiqua"/>
          <w:color w:val="000000" w:themeColor="text1"/>
          <w:sz w:val="24"/>
          <w:szCs w:val="24"/>
        </w:rPr>
        <w:t xml:space="preserve"> 2015; </w:t>
      </w:r>
      <w:r w:rsidRPr="00AC50FA">
        <w:rPr>
          <w:rFonts w:ascii="Book Antiqua" w:hAnsi="Book Antiqua"/>
          <w:b/>
          <w:color w:val="000000" w:themeColor="text1"/>
          <w:sz w:val="24"/>
          <w:szCs w:val="24"/>
        </w:rPr>
        <w:t>21</w:t>
      </w:r>
      <w:r w:rsidRPr="00AC50FA">
        <w:rPr>
          <w:rFonts w:ascii="Book Antiqua" w:hAnsi="Book Antiqua"/>
          <w:color w:val="000000" w:themeColor="text1"/>
          <w:sz w:val="24"/>
          <w:szCs w:val="24"/>
        </w:rPr>
        <w:t>: 11185-11198 [PMID: 26494973 DOI: 10.3748/wjg.v21.i39.11185]</w:t>
      </w:r>
    </w:p>
    <w:p w14:paraId="57A83E1E"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lastRenderedPageBreak/>
        <w:t xml:space="preserve">8 </w:t>
      </w:r>
      <w:proofErr w:type="spellStart"/>
      <w:r w:rsidRPr="00AC50FA">
        <w:rPr>
          <w:rFonts w:ascii="Book Antiqua" w:hAnsi="Book Antiqua"/>
          <w:b/>
          <w:color w:val="000000" w:themeColor="text1"/>
          <w:sz w:val="24"/>
          <w:szCs w:val="24"/>
        </w:rPr>
        <w:t>Sommacale</w:t>
      </w:r>
      <w:proofErr w:type="spellEnd"/>
      <w:r w:rsidRPr="00AC50FA">
        <w:rPr>
          <w:rFonts w:ascii="Book Antiqua" w:hAnsi="Book Antiqua"/>
          <w:b/>
          <w:color w:val="000000" w:themeColor="text1"/>
          <w:sz w:val="24"/>
          <w:szCs w:val="24"/>
        </w:rPr>
        <w:t xml:space="preserve"> D</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Dondero</w:t>
      </w:r>
      <w:proofErr w:type="spellEnd"/>
      <w:r w:rsidRPr="00AC50FA">
        <w:rPr>
          <w:rFonts w:ascii="Book Antiqua" w:hAnsi="Book Antiqua"/>
          <w:color w:val="000000" w:themeColor="text1"/>
          <w:sz w:val="24"/>
          <w:szCs w:val="24"/>
        </w:rPr>
        <w:t xml:space="preserve"> F, </w:t>
      </w:r>
      <w:proofErr w:type="spellStart"/>
      <w:r w:rsidRPr="00AC50FA">
        <w:rPr>
          <w:rFonts w:ascii="Book Antiqua" w:hAnsi="Book Antiqua"/>
          <w:color w:val="000000" w:themeColor="text1"/>
          <w:sz w:val="24"/>
          <w:szCs w:val="24"/>
        </w:rPr>
        <w:t>Sauvanet</w:t>
      </w:r>
      <w:proofErr w:type="spellEnd"/>
      <w:r w:rsidRPr="00AC50FA">
        <w:rPr>
          <w:rFonts w:ascii="Book Antiqua" w:hAnsi="Book Antiqua"/>
          <w:color w:val="000000" w:themeColor="text1"/>
          <w:sz w:val="24"/>
          <w:szCs w:val="24"/>
        </w:rPr>
        <w:t xml:space="preserve"> A, </w:t>
      </w:r>
      <w:proofErr w:type="spellStart"/>
      <w:r w:rsidRPr="00AC50FA">
        <w:rPr>
          <w:rFonts w:ascii="Book Antiqua" w:hAnsi="Book Antiqua"/>
          <w:color w:val="000000" w:themeColor="text1"/>
          <w:sz w:val="24"/>
          <w:szCs w:val="24"/>
        </w:rPr>
        <w:t>Francoz</w:t>
      </w:r>
      <w:proofErr w:type="spellEnd"/>
      <w:r w:rsidRPr="00AC50FA">
        <w:rPr>
          <w:rFonts w:ascii="Book Antiqua" w:hAnsi="Book Antiqua"/>
          <w:color w:val="000000" w:themeColor="text1"/>
          <w:sz w:val="24"/>
          <w:szCs w:val="24"/>
        </w:rPr>
        <w:t xml:space="preserve"> C, Durand F, </w:t>
      </w:r>
      <w:proofErr w:type="spellStart"/>
      <w:r w:rsidRPr="00AC50FA">
        <w:rPr>
          <w:rFonts w:ascii="Book Antiqua" w:hAnsi="Book Antiqua"/>
          <w:color w:val="000000" w:themeColor="text1"/>
          <w:sz w:val="24"/>
          <w:szCs w:val="24"/>
        </w:rPr>
        <w:t>Farges</w:t>
      </w:r>
      <w:proofErr w:type="spellEnd"/>
      <w:r w:rsidRPr="00AC50FA">
        <w:rPr>
          <w:rFonts w:ascii="Book Antiqua" w:hAnsi="Book Antiqua"/>
          <w:color w:val="000000" w:themeColor="text1"/>
          <w:sz w:val="24"/>
          <w:szCs w:val="24"/>
        </w:rPr>
        <w:t xml:space="preserve"> O, </w:t>
      </w:r>
      <w:proofErr w:type="spellStart"/>
      <w:r w:rsidRPr="00AC50FA">
        <w:rPr>
          <w:rFonts w:ascii="Book Antiqua" w:hAnsi="Book Antiqua"/>
          <w:color w:val="000000" w:themeColor="text1"/>
          <w:sz w:val="24"/>
          <w:szCs w:val="24"/>
        </w:rPr>
        <w:t>Kianmanesh</w:t>
      </w:r>
      <w:proofErr w:type="spellEnd"/>
      <w:r w:rsidRPr="00AC50FA">
        <w:rPr>
          <w:rFonts w:ascii="Book Antiqua" w:hAnsi="Book Antiqua"/>
          <w:color w:val="000000" w:themeColor="text1"/>
          <w:sz w:val="24"/>
          <w:szCs w:val="24"/>
        </w:rPr>
        <w:t xml:space="preserve"> R, </w:t>
      </w:r>
      <w:proofErr w:type="spellStart"/>
      <w:r w:rsidRPr="00AC50FA">
        <w:rPr>
          <w:rFonts w:ascii="Book Antiqua" w:hAnsi="Book Antiqua"/>
          <w:color w:val="000000" w:themeColor="text1"/>
          <w:sz w:val="24"/>
          <w:szCs w:val="24"/>
        </w:rPr>
        <w:t>Belghiti</w:t>
      </w:r>
      <w:proofErr w:type="spellEnd"/>
      <w:r w:rsidRPr="00AC50FA">
        <w:rPr>
          <w:rFonts w:ascii="Book Antiqua" w:hAnsi="Book Antiqua"/>
          <w:color w:val="000000" w:themeColor="text1"/>
          <w:sz w:val="24"/>
          <w:szCs w:val="24"/>
        </w:rPr>
        <w:t xml:space="preserve"> J. Liver resection in transplanted patients: a single-center Western experience. </w:t>
      </w:r>
      <w:r w:rsidRPr="00AC50FA">
        <w:rPr>
          <w:rFonts w:ascii="Book Antiqua" w:hAnsi="Book Antiqua"/>
          <w:i/>
          <w:color w:val="000000" w:themeColor="text1"/>
          <w:sz w:val="24"/>
          <w:szCs w:val="24"/>
        </w:rPr>
        <w:t>Transplant Proc</w:t>
      </w:r>
      <w:r w:rsidRPr="00AC50FA">
        <w:rPr>
          <w:rFonts w:ascii="Book Antiqua" w:hAnsi="Book Antiqua"/>
          <w:color w:val="000000" w:themeColor="text1"/>
          <w:sz w:val="24"/>
          <w:szCs w:val="24"/>
        </w:rPr>
        <w:t xml:space="preserve"> 2013; </w:t>
      </w:r>
      <w:r w:rsidRPr="00AC50FA">
        <w:rPr>
          <w:rFonts w:ascii="Book Antiqua" w:hAnsi="Book Antiqua"/>
          <w:b/>
          <w:color w:val="000000" w:themeColor="text1"/>
          <w:sz w:val="24"/>
          <w:szCs w:val="24"/>
        </w:rPr>
        <w:t>45</w:t>
      </w:r>
      <w:r w:rsidRPr="00AC50FA">
        <w:rPr>
          <w:rFonts w:ascii="Book Antiqua" w:hAnsi="Book Antiqua"/>
          <w:color w:val="000000" w:themeColor="text1"/>
          <w:sz w:val="24"/>
          <w:szCs w:val="24"/>
        </w:rPr>
        <w:t>: 2726-2728 [PMID: 24034033 DOI: 10.1016/j.transproceed.2013.07.032]</w:t>
      </w:r>
    </w:p>
    <w:p w14:paraId="6C63E4CE"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9 </w:t>
      </w:r>
      <w:proofErr w:type="spellStart"/>
      <w:r w:rsidRPr="00AC50FA">
        <w:rPr>
          <w:rFonts w:ascii="Book Antiqua" w:hAnsi="Book Antiqua"/>
          <w:b/>
          <w:color w:val="000000" w:themeColor="text1"/>
          <w:sz w:val="24"/>
          <w:szCs w:val="24"/>
        </w:rPr>
        <w:t>Chok</w:t>
      </w:r>
      <w:proofErr w:type="spellEnd"/>
      <w:r w:rsidRPr="00AC50FA">
        <w:rPr>
          <w:rFonts w:ascii="Book Antiqua" w:hAnsi="Book Antiqua"/>
          <w:b/>
          <w:color w:val="000000" w:themeColor="text1"/>
          <w:sz w:val="24"/>
          <w:szCs w:val="24"/>
        </w:rPr>
        <w:t xml:space="preserve"> </w:t>
      </w:r>
      <w:proofErr w:type="spellStart"/>
      <w:r w:rsidRPr="00AC50FA">
        <w:rPr>
          <w:rFonts w:ascii="Book Antiqua" w:hAnsi="Book Antiqua"/>
          <w:b/>
          <w:color w:val="000000" w:themeColor="text1"/>
          <w:sz w:val="24"/>
          <w:szCs w:val="24"/>
        </w:rPr>
        <w:t>KSh</w:t>
      </w:r>
      <w:proofErr w:type="spellEnd"/>
      <w:r w:rsidRPr="00AC50FA">
        <w:rPr>
          <w:rFonts w:ascii="Book Antiqua" w:hAnsi="Book Antiqua"/>
          <w:color w:val="000000" w:themeColor="text1"/>
          <w:sz w:val="24"/>
          <w:szCs w:val="24"/>
        </w:rPr>
        <w:t xml:space="preserve">. Management of recurrent hepatocellular carcinoma after liver transplant. </w:t>
      </w:r>
      <w:r w:rsidRPr="00AC50FA">
        <w:rPr>
          <w:rFonts w:ascii="Book Antiqua" w:hAnsi="Book Antiqua"/>
          <w:i/>
          <w:color w:val="000000" w:themeColor="text1"/>
          <w:sz w:val="24"/>
          <w:szCs w:val="24"/>
        </w:rPr>
        <w:t>World J Hepatol</w:t>
      </w:r>
      <w:r w:rsidRPr="00AC50FA">
        <w:rPr>
          <w:rFonts w:ascii="Book Antiqua" w:hAnsi="Book Antiqua"/>
          <w:color w:val="000000" w:themeColor="text1"/>
          <w:sz w:val="24"/>
          <w:szCs w:val="24"/>
        </w:rPr>
        <w:t xml:space="preserve"> 2015; </w:t>
      </w:r>
      <w:r w:rsidRPr="00AC50FA">
        <w:rPr>
          <w:rFonts w:ascii="Book Antiqua" w:hAnsi="Book Antiqua"/>
          <w:b/>
          <w:color w:val="000000" w:themeColor="text1"/>
          <w:sz w:val="24"/>
          <w:szCs w:val="24"/>
        </w:rPr>
        <w:t>7</w:t>
      </w:r>
      <w:r w:rsidRPr="00AC50FA">
        <w:rPr>
          <w:rFonts w:ascii="Book Antiqua" w:hAnsi="Book Antiqua"/>
          <w:color w:val="000000" w:themeColor="text1"/>
          <w:sz w:val="24"/>
          <w:szCs w:val="24"/>
        </w:rPr>
        <w:t>: 1142-1148 [PMID: 26052403 DOI: 10.4254/wjh.v7.i8.1142]</w:t>
      </w:r>
    </w:p>
    <w:p w14:paraId="4F4D9FDB"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10 </w:t>
      </w:r>
      <w:proofErr w:type="spellStart"/>
      <w:r w:rsidRPr="00AC50FA">
        <w:rPr>
          <w:rFonts w:ascii="Book Antiqua" w:hAnsi="Book Antiqua"/>
          <w:b/>
          <w:color w:val="000000" w:themeColor="text1"/>
          <w:sz w:val="24"/>
          <w:szCs w:val="24"/>
        </w:rPr>
        <w:t>Andolino</w:t>
      </w:r>
      <w:proofErr w:type="spellEnd"/>
      <w:r w:rsidRPr="00AC50FA">
        <w:rPr>
          <w:rFonts w:ascii="Book Antiqua" w:hAnsi="Book Antiqua"/>
          <w:b/>
          <w:color w:val="000000" w:themeColor="text1"/>
          <w:sz w:val="24"/>
          <w:szCs w:val="24"/>
        </w:rPr>
        <w:t xml:space="preserve"> DL</w:t>
      </w:r>
      <w:r w:rsidRPr="00AC50FA">
        <w:rPr>
          <w:rFonts w:ascii="Book Antiqua" w:hAnsi="Book Antiqua"/>
          <w:color w:val="000000" w:themeColor="text1"/>
          <w:sz w:val="24"/>
          <w:szCs w:val="24"/>
        </w:rPr>
        <w:t xml:space="preserve">, Johnson CS, </w:t>
      </w:r>
      <w:proofErr w:type="spellStart"/>
      <w:r w:rsidRPr="00AC50FA">
        <w:rPr>
          <w:rFonts w:ascii="Book Antiqua" w:hAnsi="Book Antiqua"/>
          <w:color w:val="000000" w:themeColor="text1"/>
          <w:sz w:val="24"/>
          <w:szCs w:val="24"/>
        </w:rPr>
        <w:t>Maluccio</w:t>
      </w:r>
      <w:proofErr w:type="spellEnd"/>
      <w:r w:rsidRPr="00AC50FA">
        <w:rPr>
          <w:rFonts w:ascii="Book Antiqua" w:hAnsi="Book Antiqua"/>
          <w:color w:val="000000" w:themeColor="text1"/>
          <w:sz w:val="24"/>
          <w:szCs w:val="24"/>
        </w:rPr>
        <w:t xml:space="preserve"> M, </w:t>
      </w:r>
      <w:proofErr w:type="spellStart"/>
      <w:r w:rsidRPr="00AC50FA">
        <w:rPr>
          <w:rFonts w:ascii="Book Antiqua" w:hAnsi="Book Antiqua"/>
          <w:color w:val="000000" w:themeColor="text1"/>
          <w:sz w:val="24"/>
          <w:szCs w:val="24"/>
        </w:rPr>
        <w:t>Kwo</w:t>
      </w:r>
      <w:proofErr w:type="spellEnd"/>
      <w:r w:rsidRPr="00AC50FA">
        <w:rPr>
          <w:rFonts w:ascii="Book Antiqua" w:hAnsi="Book Antiqua"/>
          <w:color w:val="000000" w:themeColor="text1"/>
          <w:sz w:val="24"/>
          <w:szCs w:val="24"/>
        </w:rPr>
        <w:t xml:space="preserve"> P, </w:t>
      </w:r>
      <w:proofErr w:type="spellStart"/>
      <w:r w:rsidRPr="00AC50FA">
        <w:rPr>
          <w:rFonts w:ascii="Book Antiqua" w:hAnsi="Book Antiqua"/>
          <w:color w:val="000000" w:themeColor="text1"/>
          <w:sz w:val="24"/>
          <w:szCs w:val="24"/>
        </w:rPr>
        <w:t>Tector</w:t>
      </w:r>
      <w:proofErr w:type="spellEnd"/>
      <w:r w:rsidRPr="00AC50FA">
        <w:rPr>
          <w:rFonts w:ascii="Book Antiqua" w:hAnsi="Book Antiqua"/>
          <w:color w:val="000000" w:themeColor="text1"/>
          <w:sz w:val="24"/>
          <w:szCs w:val="24"/>
        </w:rPr>
        <w:t xml:space="preserve"> AJ, Zook J, Johnstone PA, </w:t>
      </w:r>
      <w:proofErr w:type="spellStart"/>
      <w:r w:rsidRPr="00AC50FA">
        <w:rPr>
          <w:rFonts w:ascii="Book Antiqua" w:hAnsi="Book Antiqua"/>
          <w:color w:val="000000" w:themeColor="text1"/>
          <w:sz w:val="24"/>
          <w:szCs w:val="24"/>
        </w:rPr>
        <w:t>Cardenes</w:t>
      </w:r>
      <w:proofErr w:type="spellEnd"/>
      <w:r w:rsidRPr="00AC50FA">
        <w:rPr>
          <w:rFonts w:ascii="Book Antiqua" w:hAnsi="Book Antiqua"/>
          <w:color w:val="000000" w:themeColor="text1"/>
          <w:sz w:val="24"/>
          <w:szCs w:val="24"/>
        </w:rPr>
        <w:t xml:space="preserve"> HR. Stereotactic body radiotherapy for primary hepatocellular carcinoma. </w:t>
      </w:r>
      <w:r w:rsidRPr="00AC50FA">
        <w:rPr>
          <w:rFonts w:ascii="Book Antiqua" w:hAnsi="Book Antiqua"/>
          <w:i/>
          <w:color w:val="000000" w:themeColor="text1"/>
          <w:sz w:val="24"/>
          <w:szCs w:val="24"/>
        </w:rPr>
        <w:t xml:space="preserve">Int J </w:t>
      </w:r>
      <w:proofErr w:type="spellStart"/>
      <w:r w:rsidRPr="00AC50FA">
        <w:rPr>
          <w:rFonts w:ascii="Book Antiqua" w:hAnsi="Book Antiqua"/>
          <w:i/>
          <w:color w:val="000000" w:themeColor="text1"/>
          <w:sz w:val="24"/>
          <w:szCs w:val="24"/>
        </w:rPr>
        <w:t>Radiat</w:t>
      </w:r>
      <w:proofErr w:type="spellEnd"/>
      <w:r w:rsidRPr="00AC50FA">
        <w:rPr>
          <w:rFonts w:ascii="Book Antiqua" w:hAnsi="Book Antiqua"/>
          <w:i/>
          <w:color w:val="000000" w:themeColor="text1"/>
          <w:sz w:val="24"/>
          <w:szCs w:val="24"/>
        </w:rPr>
        <w:t xml:space="preserve"> Oncol Biol Phys</w:t>
      </w:r>
      <w:r w:rsidRPr="00AC50FA">
        <w:rPr>
          <w:rFonts w:ascii="Book Antiqua" w:hAnsi="Book Antiqua"/>
          <w:color w:val="000000" w:themeColor="text1"/>
          <w:sz w:val="24"/>
          <w:szCs w:val="24"/>
        </w:rPr>
        <w:t xml:space="preserve"> 2011; </w:t>
      </w:r>
      <w:r w:rsidRPr="00AC50FA">
        <w:rPr>
          <w:rFonts w:ascii="Book Antiqua" w:hAnsi="Book Antiqua"/>
          <w:b/>
          <w:color w:val="000000" w:themeColor="text1"/>
          <w:sz w:val="24"/>
          <w:szCs w:val="24"/>
        </w:rPr>
        <w:t>81</w:t>
      </w:r>
      <w:r w:rsidRPr="00AC50FA">
        <w:rPr>
          <w:rFonts w:ascii="Book Antiqua" w:hAnsi="Book Antiqua"/>
          <w:color w:val="000000" w:themeColor="text1"/>
          <w:sz w:val="24"/>
          <w:szCs w:val="24"/>
        </w:rPr>
        <w:t>: e447-e453 [PMID: 21645977 DOI: 10.1016/j.ijrobp.2011.04.011]</w:t>
      </w:r>
    </w:p>
    <w:p w14:paraId="6FFA797C"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11 </w:t>
      </w:r>
      <w:proofErr w:type="spellStart"/>
      <w:r w:rsidRPr="00AC50FA">
        <w:rPr>
          <w:rFonts w:ascii="Book Antiqua" w:hAnsi="Book Antiqua"/>
          <w:b/>
          <w:color w:val="000000" w:themeColor="text1"/>
          <w:sz w:val="24"/>
          <w:szCs w:val="24"/>
        </w:rPr>
        <w:t>Sangiovanni</w:t>
      </w:r>
      <w:proofErr w:type="spellEnd"/>
      <w:r w:rsidRPr="00AC50FA">
        <w:rPr>
          <w:rFonts w:ascii="Book Antiqua" w:hAnsi="Book Antiqua"/>
          <w:b/>
          <w:color w:val="000000" w:themeColor="text1"/>
          <w:sz w:val="24"/>
          <w:szCs w:val="24"/>
        </w:rPr>
        <w:t xml:space="preserve"> A</w:t>
      </w:r>
      <w:r w:rsidRPr="00AC50FA">
        <w:rPr>
          <w:rFonts w:ascii="Book Antiqua" w:hAnsi="Book Antiqua"/>
          <w:color w:val="000000" w:themeColor="text1"/>
          <w:sz w:val="24"/>
          <w:szCs w:val="24"/>
        </w:rPr>
        <w:t xml:space="preserve">, Manini MA, </w:t>
      </w:r>
      <w:proofErr w:type="spellStart"/>
      <w:r w:rsidRPr="00AC50FA">
        <w:rPr>
          <w:rFonts w:ascii="Book Antiqua" w:hAnsi="Book Antiqua"/>
          <w:color w:val="000000" w:themeColor="text1"/>
          <w:sz w:val="24"/>
          <w:szCs w:val="24"/>
        </w:rPr>
        <w:t>Iavarone</w:t>
      </w:r>
      <w:proofErr w:type="spellEnd"/>
      <w:r w:rsidRPr="00AC50FA">
        <w:rPr>
          <w:rFonts w:ascii="Book Antiqua" w:hAnsi="Book Antiqua"/>
          <w:color w:val="000000" w:themeColor="text1"/>
          <w:sz w:val="24"/>
          <w:szCs w:val="24"/>
        </w:rPr>
        <w:t xml:space="preserve"> M, Romeo R, </w:t>
      </w:r>
      <w:proofErr w:type="spellStart"/>
      <w:r w:rsidRPr="00AC50FA">
        <w:rPr>
          <w:rFonts w:ascii="Book Antiqua" w:hAnsi="Book Antiqua"/>
          <w:color w:val="000000" w:themeColor="text1"/>
          <w:sz w:val="24"/>
          <w:szCs w:val="24"/>
        </w:rPr>
        <w:t>Forzenigo</w:t>
      </w:r>
      <w:proofErr w:type="spellEnd"/>
      <w:r w:rsidRPr="00AC50FA">
        <w:rPr>
          <w:rFonts w:ascii="Book Antiqua" w:hAnsi="Book Antiqua"/>
          <w:color w:val="000000" w:themeColor="text1"/>
          <w:sz w:val="24"/>
          <w:szCs w:val="24"/>
        </w:rPr>
        <w:t xml:space="preserve"> LV, </w:t>
      </w:r>
      <w:proofErr w:type="spellStart"/>
      <w:r w:rsidRPr="00AC50FA">
        <w:rPr>
          <w:rFonts w:ascii="Book Antiqua" w:hAnsi="Book Antiqua"/>
          <w:color w:val="000000" w:themeColor="text1"/>
          <w:sz w:val="24"/>
          <w:szCs w:val="24"/>
        </w:rPr>
        <w:t>Fraquelli</w:t>
      </w:r>
      <w:proofErr w:type="spellEnd"/>
      <w:r w:rsidRPr="00AC50FA">
        <w:rPr>
          <w:rFonts w:ascii="Book Antiqua" w:hAnsi="Book Antiqua"/>
          <w:color w:val="000000" w:themeColor="text1"/>
          <w:sz w:val="24"/>
          <w:szCs w:val="24"/>
        </w:rPr>
        <w:t xml:space="preserve"> M, </w:t>
      </w:r>
      <w:proofErr w:type="spellStart"/>
      <w:r w:rsidRPr="00AC50FA">
        <w:rPr>
          <w:rFonts w:ascii="Book Antiqua" w:hAnsi="Book Antiqua"/>
          <w:color w:val="000000" w:themeColor="text1"/>
          <w:sz w:val="24"/>
          <w:szCs w:val="24"/>
        </w:rPr>
        <w:t>Massironi</w:t>
      </w:r>
      <w:proofErr w:type="spellEnd"/>
      <w:r w:rsidRPr="00AC50FA">
        <w:rPr>
          <w:rFonts w:ascii="Book Antiqua" w:hAnsi="Book Antiqua"/>
          <w:color w:val="000000" w:themeColor="text1"/>
          <w:sz w:val="24"/>
          <w:szCs w:val="24"/>
        </w:rPr>
        <w:t xml:space="preserve"> S, Della Corte C, Ronchi G, Rumi MG, </w:t>
      </w:r>
      <w:proofErr w:type="spellStart"/>
      <w:r w:rsidRPr="00AC50FA">
        <w:rPr>
          <w:rFonts w:ascii="Book Antiqua" w:hAnsi="Book Antiqua"/>
          <w:color w:val="000000" w:themeColor="text1"/>
          <w:sz w:val="24"/>
          <w:szCs w:val="24"/>
        </w:rPr>
        <w:t>Biondetti</w:t>
      </w:r>
      <w:proofErr w:type="spellEnd"/>
      <w:r w:rsidRPr="00AC50FA">
        <w:rPr>
          <w:rFonts w:ascii="Book Antiqua" w:hAnsi="Book Antiqua"/>
          <w:color w:val="000000" w:themeColor="text1"/>
          <w:sz w:val="24"/>
          <w:szCs w:val="24"/>
        </w:rPr>
        <w:t xml:space="preserve"> P, Colombo M. The diagnostic and economic impact of contrast imaging techniques in the diagnosis of small hepatocellular carcinoma in cirrhosis. </w:t>
      </w:r>
      <w:r w:rsidRPr="00AC50FA">
        <w:rPr>
          <w:rFonts w:ascii="Book Antiqua" w:hAnsi="Book Antiqua"/>
          <w:i/>
          <w:color w:val="000000" w:themeColor="text1"/>
          <w:sz w:val="24"/>
          <w:szCs w:val="24"/>
        </w:rPr>
        <w:t>Gut</w:t>
      </w:r>
      <w:r w:rsidRPr="00AC50FA">
        <w:rPr>
          <w:rFonts w:ascii="Book Antiqua" w:hAnsi="Book Antiqua"/>
          <w:color w:val="000000" w:themeColor="text1"/>
          <w:sz w:val="24"/>
          <w:szCs w:val="24"/>
        </w:rPr>
        <w:t xml:space="preserve"> 2010; </w:t>
      </w:r>
      <w:r w:rsidRPr="00AC50FA">
        <w:rPr>
          <w:rFonts w:ascii="Book Antiqua" w:hAnsi="Book Antiqua"/>
          <w:b/>
          <w:color w:val="000000" w:themeColor="text1"/>
          <w:sz w:val="24"/>
          <w:szCs w:val="24"/>
        </w:rPr>
        <w:t>59</w:t>
      </w:r>
      <w:r w:rsidRPr="00AC50FA">
        <w:rPr>
          <w:rFonts w:ascii="Book Antiqua" w:hAnsi="Book Antiqua"/>
          <w:color w:val="000000" w:themeColor="text1"/>
          <w:sz w:val="24"/>
          <w:szCs w:val="24"/>
        </w:rPr>
        <w:t>: 638-644 [PMID: 19951909 DOI: 10.1136/gut.2009.187286]</w:t>
      </w:r>
    </w:p>
    <w:p w14:paraId="77137D95"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12 </w:t>
      </w:r>
      <w:proofErr w:type="spellStart"/>
      <w:r w:rsidRPr="00AC50FA">
        <w:rPr>
          <w:rFonts w:ascii="Book Antiqua" w:hAnsi="Book Antiqua"/>
          <w:b/>
          <w:color w:val="000000" w:themeColor="text1"/>
          <w:sz w:val="24"/>
          <w:szCs w:val="24"/>
        </w:rPr>
        <w:t>Oken</w:t>
      </w:r>
      <w:proofErr w:type="spellEnd"/>
      <w:r w:rsidRPr="00AC50FA">
        <w:rPr>
          <w:rFonts w:ascii="Book Antiqua" w:hAnsi="Book Antiqua"/>
          <w:b/>
          <w:color w:val="000000" w:themeColor="text1"/>
          <w:sz w:val="24"/>
          <w:szCs w:val="24"/>
        </w:rPr>
        <w:t xml:space="preserve"> MM</w:t>
      </w:r>
      <w:r w:rsidRPr="00AC50FA">
        <w:rPr>
          <w:rFonts w:ascii="Book Antiqua" w:hAnsi="Book Antiqua"/>
          <w:color w:val="000000" w:themeColor="text1"/>
          <w:sz w:val="24"/>
          <w:szCs w:val="24"/>
        </w:rPr>
        <w:t xml:space="preserve">, Creech RH, </w:t>
      </w:r>
      <w:proofErr w:type="spellStart"/>
      <w:r w:rsidRPr="00AC50FA">
        <w:rPr>
          <w:rFonts w:ascii="Book Antiqua" w:hAnsi="Book Antiqua"/>
          <w:color w:val="000000" w:themeColor="text1"/>
          <w:sz w:val="24"/>
          <w:szCs w:val="24"/>
        </w:rPr>
        <w:t>Tormey</w:t>
      </w:r>
      <w:proofErr w:type="spellEnd"/>
      <w:r w:rsidRPr="00AC50FA">
        <w:rPr>
          <w:rFonts w:ascii="Book Antiqua" w:hAnsi="Book Antiqua"/>
          <w:color w:val="000000" w:themeColor="text1"/>
          <w:sz w:val="24"/>
          <w:szCs w:val="24"/>
        </w:rPr>
        <w:t xml:space="preserve"> DC, Horton J, Davis TE, McFadden ET, Carbone PP. Toxicity and response criteria of the Eastern Cooperative Oncology Group. </w:t>
      </w:r>
      <w:r w:rsidRPr="00AC50FA">
        <w:rPr>
          <w:rFonts w:ascii="Book Antiqua" w:hAnsi="Book Antiqua"/>
          <w:i/>
          <w:color w:val="000000" w:themeColor="text1"/>
          <w:sz w:val="24"/>
          <w:szCs w:val="24"/>
        </w:rPr>
        <w:t>Am J Clin Oncol</w:t>
      </w:r>
      <w:r w:rsidRPr="00AC50FA">
        <w:rPr>
          <w:rFonts w:ascii="Book Antiqua" w:hAnsi="Book Antiqua"/>
          <w:color w:val="000000" w:themeColor="text1"/>
          <w:sz w:val="24"/>
          <w:szCs w:val="24"/>
        </w:rPr>
        <w:t xml:space="preserve"> 1982; </w:t>
      </w:r>
      <w:r w:rsidRPr="00AC50FA">
        <w:rPr>
          <w:rFonts w:ascii="Book Antiqua" w:hAnsi="Book Antiqua"/>
          <w:b/>
          <w:color w:val="000000" w:themeColor="text1"/>
          <w:sz w:val="24"/>
          <w:szCs w:val="24"/>
        </w:rPr>
        <w:t>5</w:t>
      </w:r>
      <w:r w:rsidRPr="00AC50FA">
        <w:rPr>
          <w:rFonts w:ascii="Book Antiqua" w:hAnsi="Book Antiqua"/>
          <w:color w:val="000000" w:themeColor="text1"/>
          <w:sz w:val="24"/>
          <w:szCs w:val="24"/>
        </w:rPr>
        <w:t>: 649-655 [PMID: 7165009 DOI: 10.1097/00000421-198212000-00014]</w:t>
      </w:r>
    </w:p>
    <w:p w14:paraId="41C5C0EE" w14:textId="1AE5F8BC" w:rsidR="00B41683" w:rsidRPr="00AC50FA" w:rsidRDefault="00B41683" w:rsidP="00AC50FA">
      <w:pPr>
        <w:snapToGrid w:val="0"/>
        <w:spacing w:after="0" w:line="360" w:lineRule="auto"/>
        <w:jc w:val="both"/>
        <w:rPr>
          <w:rFonts w:ascii="Book Antiqua" w:hAnsi="Book Antiqua"/>
          <w:color w:val="000000" w:themeColor="text1"/>
          <w:sz w:val="24"/>
          <w:szCs w:val="24"/>
        </w:rPr>
      </w:pPr>
      <w:r w:rsidRPr="005D081E">
        <w:rPr>
          <w:rFonts w:ascii="Book Antiqua" w:hAnsi="Book Antiqua"/>
          <w:color w:val="000000" w:themeColor="text1"/>
          <w:sz w:val="24"/>
          <w:szCs w:val="24"/>
          <w:highlight w:val="yellow"/>
        </w:rPr>
        <w:t xml:space="preserve">13 </w:t>
      </w:r>
      <w:r w:rsidRPr="005D081E">
        <w:rPr>
          <w:rFonts w:ascii="Book Antiqua" w:hAnsi="Book Antiqua"/>
          <w:b/>
          <w:color w:val="000000" w:themeColor="text1"/>
          <w:sz w:val="24"/>
          <w:szCs w:val="24"/>
          <w:highlight w:val="yellow"/>
        </w:rPr>
        <w:t>Dawson LA,</w:t>
      </w:r>
      <w:r w:rsidRPr="005D081E">
        <w:rPr>
          <w:rFonts w:ascii="Book Antiqua" w:hAnsi="Book Antiqua"/>
          <w:color w:val="000000" w:themeColor="text1"/>
          <w:sz w:val="24"/>
          <w:szCs w:val="24"/>
          <w:highlight w:val="yellow"/>
        </w:rPr>
        <w:t xml:space="preserve"> Hospital PM, Zhu A, </w:t>
      </w:r>
      <w:r w:rsidR="005D081E">
        <w:rPr>
          <w:rFonts w:ascii="Book Antiqua" w:hAnsi="Book Antiqua" w:hint="eastAsia"/>
          <w:color w:val="000000" w:themeColor="text1"/>
          <w:sz w:val="24"/>
          <w:szCs w:val="24"/>
          <w:highlight w:val="yellow"/>
          <w:lang w:eastAsia="zh-CN"/>
        </w:rPr>
        <w:t>Knox</w:t>
      </w:r>
      <w:r w:rsidR="005D081E">
        <w:rPr>
          <w:rFonts w:ascii="Book Antiqua" w:hAnsi="Book Antiqua"/>
          <w:color w:val="000000" w:themeColor="text1"/>
          <w:sz w:val="24"/>
          <w:szCs w:val="24"/>
          <w:highlight w:val="yellow"/>
          <w:lang w:eastAsia="zh-CN"/>
        </w:rPr>
        <w:t xml:space="preserve"> J, Krishnan S, Craig T, Guha C, </w:t>
      </w:r>
      <w:proofErr w:type="spellStart"/>
      <w:r w:rsidR="005D081E">
        <w:rPr>
          <w:rFonts w:ascii="Book Antiqua" w:hAnsi="Book Antiqua"/>
          <w:color w:val="000000" w:themeColor="text1"/>
          <w:sz w:val="24"/>
          <w:szCs w:val="24"/>
          <w:highlight w:val="yellow"/>
          <w:lang w:eastAsia="zh-CN"/>
        </w:rPr>
        <w:t>Kachnic</w:t>
      </w:r>
      <w:proofErr w:type="spellEnd"/>
      <w:r w:rsidR="005D081E">
        <w:rPr>
          <w:rFonts w:ascii="Book Antiqua" w:hAnsi="Book Antiqua"/>
          <w:color w:val="000000" w:themeColor="text1"/>
          <w:sz w:val="24"/>
          <w:szCs w:val="24"/>
          <w:highlight w:val="yellow"/>
          <w:lang w:eastAsia="zh-CN"/>
        </w:rPr>
        <w:t xml:space="preserve"> L, </w:t>
      </w:r>
      <w:proofErr w:type="spellStart"/>
      <w:r w:rsidR="005D081E">
        <w:rPr>
          <w:rFonts w:ascii="Book Antiqua" w:hAnsi="Book Antiqua"/>
          <w:color w:val="000000" w:themeColor="text1"/>
          <w:sz w:val="24"/>
          <w:szCs w:val="24"/>
          <w:highlight w:val="yellow"/>
          <w:lang w:eastAsia="zh-CN"/>
        </w:rPr>
        <w:t>Gillin</w:t>
      </w:r>
      <w:proofErr w:type="spellEnd"/>
      <w:r w:rsidR="005D081E">
        <w:rPr>
          <w:rFonts w:ascii="Book Antiqua" w:hAnsi="Book Antiqua"/>
          <w:color w:val="000000" w:themeColor="text1"/>
          <w:sz w:val="24"/>
          <w:szCs w:val="24"/>
          <w:highlight w:val="yellow"/>
          <w:lang w:eastAsia="zh-CN"/>
        </w:rPr>
        <w:t xml:space="preserve"> MT, Hong TS, Winter K</w:t>
      </w:r>
      <w:r w:rsidRPr="005D081E">
        <w:rPr>
          <w:rFonts w:ascii="Book Antiqua" w:hAnsi="Book Antiqua"/>
          <w:color w:val="000000" w:themeColor="text1"/>
          <w:sz w:val="24"/>
          <w:szCs w:val="24"/>
          <w:highlight w:val="yellow"/>
        </w:rPr>
        <w:t xml:space="preserve">. </w:t>
      </w:r>
      <w:r w:rsidR="00AC50FA" w:rsidRPr="005D081E">
        <w:rPr>
          <w:rFonts w:ascii="Book Antiqua" w:hAnsi="Book Antiqua"/>
          <w:color w:val="000000" w:themeColor="text1"/>
          <w:sz w:val="24"/>
          <w:szCs w:val="24"/>
          <w:highlight w:val="yellow"/>
        </w:rPr>
        <w:t xml:space="preserve">Radiation Therapy Oncology Group </w:t>
      </w:r>
      <w:proofErr w:type="spellStart"/>
      <w:r w:rsidR="00AC50FA" w:rsidRPr="005D081E">
        <w:rPr>
          <w:rFonts w:ascii="Book Antiqua" w:hAnsi="Book Antiqua"/>
          <w:color w:val="000000" w:themeColor="text1"/>
          <w:sz w:val="24"/>
          <w:szCs w:val="24"/>
          <w:highlight w:val="yellow"/>
        </w:rPr>
        <w:t>Rtog</w:t>
      </w:r>
      <w:proofErr w:type="spellEnd"/>
      <w:r w:rsidR="00AC50FA" w:rsidRPr="005D081E">
        <w:rPr>
          <w:rFonts w:ascii="Book Antiqua" w:hAnsi="Book Antiqua"/>
          <w:color w:val="000000" w:themeColor="text1"/>
          <w:sz w:val="24"/>
          <w:szCs w:val="24"/>
          <w:highlight w:val="yellow"/>
        </w:rPr>
        <w:t xml:space="preserve"> 1112 Randomized Phase Iii Study Of Sorafenib Versus Stereotactic Body Radiation Therapy Followed By Sorafenib In Hepatocellular Carcinoma</w:t>
      </w:r>
      <w:r w:rsidR="005D081E">
        <w:rPr>
          <w:rFonts w:ascii="Book Antiqua" w:hAnsi="Book Antiqua" w:hint="eastAsia"/>
          <w:color w:val="000000" w:themeColor="text1"/>
          <w:sz w:val="24"/>
          <w:szCs w:val="24"/>
          <w:highlight w:val="yellow"/>
          <w:lang w:eastAsia="zh-CN"/>
        </w:rPr>
        <w:t>.</w:t>
      </w:r>
      <w:r w:rsidRPr="005D081E">
        <w:rPr>
          <w:rFonts w:ascii="Book Antiqua" w:hAnsi="Book Antiqua"/>
          <w:color w:val="000000" w:themeColor="text1"/>
          <w:sz w:val="24"/>
          <w:szCs w:val="24"/>
          <w:highlight w:val="yellow"/>
        </w:rPr>
        <w:t xml:space="preserve"> </w:t>
      </w:r>
      <w:r w:rsidR="005D081E" w:rsidRPr="005D081E">
        <w:rPr>
          <w:rFonts w:ascii="Book Antiqua" w:hAnsi="Book Antiqua" w:hint="eastAsia"/>
          <w:color w:val="000000" w:themeColor="text1"/>
          <w:sz w:val="24"/>
          <w:szCs w:val="24"/>
          <w:highlight w:val="yellow"/>
          <w:lang w:eastAsia="zh-CN"/>
        </w:rPr>
        <w:t>Available</w:t>
      </w:r>
      <w:r w:rsidR="005D081E" w:rsidRPr="005D081E">
        <w:rPr>
          <w:rFonts w:ascii="Book Antiqua" w:hAnsi="Book Antiqua"/>
          <w:color w:val="000000" w:themeColor="text1"/>
          <w:sz w:val="24"/>
          <w:szCs w:val="24"/>
          <w:highlight w:val="yellow"/>
          <w:lang w:eastAsia="zh-CN"/>
        </w:rPr>
        <w:t xml:space="preserve"> </w:t>
      </w:r>
      <w:r w:rsidR="005D081E" w:rsidRPr="005D081E">
        <w:rPr>
          <w:rFonts w:ascii="Book Antiqua" w:hAnsi="Book Antiqua" w:hint="eastAsia"/>
          <w:color w:val="000000" w:themeColor="text1"/>
          <w:sz w:val="24"/>
          <w:szCs w:val="24"/>
          <w:highlight w:val="yellow"/>
          <w:lang w:eastAsia="zh-CN"/>
        </w:rPr>
        <w:t>from</w:t>
      </w:r>
      <w:r w:rsidR="005D081E" w:rsidRPr="005D081E">
        <w:rPr>
          <w:rFonts w:ascii="Book Antiqua" w:hAnsi="Book Antiqua"/>
          <w:color w:val="000000" w:themeColor="text1"/>
          <w:sz w:val="24"/>
          <w:szCs w:val="24"/>
          <w:highlight w:val="yellow"/>
          <w:lang w:eastAsia="zh-CN"/>
        </w:rPr>
        <w:t>:</w:t>
      </w:r>
      <w:r w:rsidRPr="005D081E">
        <w:rPr>
          <w:rFonts w:ascii="Book Antiqua" w:hAnsi="Book Antiqua"/>
          <w:color w:val="000000" w:themeColor="text1"/>
          <w:sz w:val="24"/>
          <w:szCs w:val="24"/>
          <w:highlight w:val="yellow"/>
        </w:rPr>
        <w:t xml:space="preserve"> </w:t>
      </w:r>
      <w:hyperlink r:id="rId8" w:history="1">
        <w:r w:rsidR="00A17D5D" w:rsidRPr="001A60FC">
          <w:rPr>
            <w:rStyle w:val="af3"/>
            <w:rFonts w:ascii="Book Antiqua" w:hAnsi="Book Antiqua"/>
            <w:sz w:val="24"/>
            <w:szCs w:val="24"/>
            <w:highlight w:val="yellow"/>
          </w:rPr>
          <w:t>https://www.rtog.org/Portals/0/RTOG%20Broadcasts/Attachments/1112_master_w_update_5.7.13.pdf</w:t>
        </w:r>
      </w:hyperlink>
      <w:r w:rsidR="00A17D5D">
        <w:rPr>
          <w:rFonts w:ascii="Book Antiqua" w:hAnsi="Book Antiqua"/>
          <w:color w:val="000000" w:themeColor="text1"/>
          <w:sz w:val="24"/>
          <w:szCs w:val="24"/>
        </w:rPr>
        <w:t xml:space="preserve"> </w:t>
      </w:r>
    </w:p>
    <w:p w14:paraId="5A87316B"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14 </w:t>
      </w:r>
      <w:r w:rsidRPr="00AC50FA">
        <w:rPr>
          <w:rFonts w:ascii="Book Antiqua" w:hAnsi="Book Antiqua"/>
          <w:b/>
          <w:color w:val="000000" w:themeColor="text1"/>
          <w:sz w:val="24"/>
          <w:szCs w:val="24"/>
        </w:rPr>
        <w:t>Lencioni R</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Llovet</w:t>
      </w:r>
      <w:proofErr w:type="spellEnd"/>
      <w:r w:rsidRPr="00AC50FA">
        <w:rPr>
          <w:rFonts w:ascii="Book Antiqua" w:hAnsi="Book Antiqua"/>
          <w:color w:val="000000" w:themeColor="text1"/>
          <w:sz w:val="24"/>
          <w:szCs w:val="24"/>
        </w:rPr>
        <w:t xml:space="preserve"> JM. Modified RECIST (</w:t>
      </w:r>
      <w:proofErr w:type="spellStart"/>
      <w:r w:rsidRPr="00AC50FA">
        <w:rPr>
          <w:rFonts w:ascii="Book Antiqua" w:hAnsi="Book Antiqua"/>
          <w:color w:val="000000" w:themeColor="text1"/>
          <w:sz w:val="24"/>
          <w:szCs w:val="24"/>
        </w:rPr>
        <w:t>mRECIST</w:t>
      </w:r>
      <w:proofErr w:type="spellEnd"/>
      <w:r w:rsidRPr="00AC50FA">
        <w:rPr>
          <w:rFonts w:ascii="Book Antiqua" w:hAnsi="Book Antiqua"/>
          <w:color w:val="000000" w:themeColor="text1"/>
          <w:sz w:val="24"/>
          <w:szCs w:val="24"/>
        </w:rPr>
        <w:t xml:space="preserve">) assessment for hepatocellular carcinoma. </w:t>
      </w:r>
      <w:r w:rsidRPr="00AC50FA">
        <w:rPr>
          <w:rFonts w:ascii="Book Antiqua" w:hAnsi="Book Antiqua"/>
          <w:i/>
          <w:color w:val="000000" w:themeColor="text1"/>
          <w:sz w:val="24"/>
          <w:szCs w:val="24"/>
        </w:rPr>
        <w:t>Semin Liver Dis</w:t>
      </w:r>
      <w:r w:rsidRPr="00AC50FA">
        <w:rPr>
          <w:rFonts w:ascii="Book Antiqua" w:hAnsi="Book Antiqua"/>
          <w:color w:val="000000" w:themeColor="text1"/>
          <w:sz w:val="24"/>
          <w:szCs w:val="24"/>
        </w:rPr>
        <w:t xml:space="preserve"> 2010; </w:t>
      </w:r>
      <w:r w:rsidRPr="00AC50FA">
        <w:rPr>
          <w:rFonts w:ascii="Book Antiqua" w:hAnsi="Book Antiqua"/>
          <w:b/>
          <w:color w:val="000000" w:themeColor="text1"/>
          <w:sz w:val="24"/>
          <w:szCs w:val="24"/>
        </w:rPr>
        <w:t>30</w:t>
      </w:r>
      <w:r w:rsidRPr="00AC50FA">
        <w:rPr>
          <w:rFonts w:ascii="Book Antiqua" w:hAnsi="Book Antiqua"/>
          <w:color w:val="000000" w:themeColor="text1"/>
          <w:sz w:val="24"/>
          <w:szCs w:val="24"/>
        </w:rPr>
        <w:t>: 52-60 [PMID: 20175033 DOI: 10.1055/s-0030-1247132]</w:t>
      </w:r>
    </w:p>
    <w:p w14:paraId="0F7FB03D" w14:textId="6EB0F49C" w:rsidR="00B41683" w:rsidRPr="00AC50FA" w:rsidRDefault="00B41683" w:rsidP="00AC50FA">
      <w:pPr>
        <w:snapToGrid w:val="0"/>
        <w:spacing w:after="0" w:line="360" w:lineRule="auto"/>
        <w:jc w:val="both"/>
        <w:rPr>
          <w:rFonts w:ascii="Book Antiqua" w:hAnsi="Book Antiqua"/>
          <w:color w:val="000000" w:themeColor="text1"/>
          <w:sz w:val="24"/>
          <w:szCs w:val="24"/>
        </w:rPr>
      </w:pPr>
      <w:r w:rsidRPr="005D081E">
        <w:rPr>
          <w:rFonts w:ascii="Book Antiqua" w:hAnsi="Book Antiqua"/>
          <w:color w:val="000000" w:themeColor="text1"/>
          <w:sz w:val="24"/>
          <w:szCs w:val="24"/>
          <w:highlight w:val="yellow"/>
        </w:rPr>
        <w:t xml:space="preserve">15 </w:t>
      </w:r>
      <w:r w:rsidR="005D081E" w:rsidRPr="005D081E">
        <w:rPr>
          <w:rFonts w:ascii="Book Antiqua" w:hAnsi="Book Antiqua" w:hint="eastAsia"/>
          <w:b/>
          <w:bCs/>
          <w:color w:val="000000" w:themeColor="text1"/>
          <w:sz w:val="24"/>
          <w:szCs w:val="24"/>
          <w:highlight w:val="yellow"/>
          <w:lang w:eastAsia="zh-CN"/>
        </w:rPr>
        <w:t>National</w:t>
      </w:r>
      <w:r w:rsidR="005D081E" w:rsidRPr="005D081E">
        <w:rPr>
          <w:rFonts w:ascii="Book Antiqua" w:hAnsi="Book Antiqua"/>
          <w:color w:val="000000" w:themeColor="text1"/>
          <w:sz w:val="24"/>
          <w:szCs w:val="24"/>
          <w:highlight w:val="yellow"/>
          <w:lang w:eastAsia="zh-CN"/>
        </w:rPr>
        <w:t xml:space="preserve"> </w:t>
      </w:r>
      <w:r w:rsidRPr="005D081E">
        <w:rPr>
          <w:rFonts w:ascii="Book Antiqua" w:hAnsi="Book Antiqua"/>
          <w:b/>
          <w:bCs/>
          <w:color w:val="000000" w:themeColor="text1"/>
          <w:sz w:val="24"/>
          <w:szCs w:val="24"/>
          <w:highlight w:val="yellow"/>
        </w:rPr>
        <w:t>Cancer Institute.</w:t>
      </w:r>
      <w:r w:rsidRPr="005D081E">
        <w:rPr>
          <w:rFonts w:ascii="Book Antiqua" w:hAnsi="Book Antiqua"/>
          <w:color w:val="000000" w:themeColor="text1"/>
          <w:sz w:val="24"/>
          <w:szCs w:val="24"/>
          <w:highlight w:val="yellow"/>
        </w:rPr>
        <w:t xml:space="preserve"> Common Terminology Criteria for Adverse Events (CTCAE) Common Terminology Criteria for Adverse Events (CTCAE) v5.0. 2017. </w:t>
      </w:r>
      <w:r w:rsidR="005D081E" w:rsidRPr="005D081E">
        <w:rPr>
          <w:rFonts w:ascii="Book Antiqua" w:hAnsi="Book Antiqua" w:hint="eastAsia"/>
          <w:color w:val="000000" w:themeColor="text1"/>
          <w:sz w:val="24"/>
          <w:szCs w:val="24"/>
          <w:highlight w:val="yellow"/>
          <w:lang w:eastAsia="zh-CN"/>
        </w:rPr>
        <w:t>Available</w:t>
      </w:r>
      <w:r w:rsidR="005D081E" w:rsidRPr="005D081E">
        <w:rPr>
          <w:rFonts w:ascii="Book Antiqua" w:hAnsi="Book Antiqua"/>
          <w:color w:val="000000" w:themeColor="text1"/>
          <w:sz w:val="24"/>
          <w:szCs w:val="24"/>
          <w:highlight w:val="yellow"/>
          <w:lang w:eastAsia="zh-CN"/>
        </w:rPr>
        <w:t xml:space="preserve"> from: </w:t>
      </w:r>
      <w:hyperlink r:id="rId9" w:history="1">
        <w:r w:rsidR="00A17D5D" w:rsidRPr="001A60FC">
          <w:rPr>
            <w:rStyle w:val="af3"/>
            <w:rFonts w:ascii="Book Antiqua" w:hAnsi="Book Antiqua"/>
            <w:sz w:val="24"/>
            <w:szCs w:val="24"/>
            <w:highlight w:val="yellow"/>
          </w:rPr>
          <w:t>https://ctep.cancer.gov/protocolDevelopment/electronic_applications/docs/CTCAE_v5_Quick_Reference_8.5x11.pdf</w:t>
        </w:r>
      </w:hyperlink>
      <w:r w:rsidR="00A17D5D">
        <w:rPr>
          <w:rFonts w:ascii="Book Antiqua" w:hAnsi="Book Antiqua"/>
          <w:color w:val="000000" w:themeColor="text1"/>
          <w:sz w:val="24"/>
          <w:szCs w:val="24"/>
        </w:rPr>
        <w:t xml:space="preserve"> </w:t>
      </w:r>
    </w:p>
    <w:p w14:paraId="3098C9E3"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16 </w:t>
      </w:r>
      <w:r w:rsidRPr="00AC50FA">
        <w:rPr>
          <w:rFonts w:ascii="Book Antiqua" w:hAnsi="Book Antiqua"/>
          <w:b/>
          <w:color w:val="000000" w:themeColor="text1"/>
          <w:sz w:val="24"/>
          <w:szCs w:val="24"/>
        </w:rPr>
        <w:t>Lee SG</w:t>
      </w:r>
      <w:r w:rsidRPr="00AC50FA">
        <w:rPr>
          <w:rFonts w:ascii="Book Antiqua" w:hAnsi="Book Antiqua"/>
          <w:color w:val="000000" w:themeColor="text1"/>
          <w:sz w:val="24"/>
          <w:szCs w:val="24"/>
        </w:rPr>
        <w:t xml:space="preserve">, Hwang S, Moon DB, </w:t>
      </w:r>
      <w:proofErr w:type="spellStart"/>
      <w:r w:rsidRPr="00AC50FA">
        <w:rPr>
          <w:rFonts w:ascii="Book Antiqua" w:hAnsi="Book Antiqua"/>
          <w:color w:val="000000" w:themeColor="text1"/>
          <w:sz w:val="24"/>
          <w:szCs w:val="24"/>
        </w:rPr>
        <w:t>Ahn</w:t>
      </w:r>
      <w:proofErr w:type="spellEnd"/>
      <w:r w:rsidRPr="00AC50FA">
        <w:rPr>
          <w:rFonts w:ascii="Book Antiqua" w:hAnsi="Book Antiqua"/>
          <w:color w:val="000000" w:themeColor="text1"/>
          <w:sz w:val="24"/>
          <w:szCs w:val="24"/>
        </w:rPr>
        <w:t xml:space="preserve"> CS, Kim KH, Sung KB, Ko GY, Park KM, Ha TY, Song GW. Expanded indication criteria of living donor liver transplantation for hepatocellular carcinoma at one large-volume center.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2008; </w:t>
      </w:r>
      <w:r w:rsidRPr="00AC50FA">
        <w:rPr>
          <w:rFonts w:ascii="Book Antiqua" w:hAnsi="Book Antiqua"/>
          <w:b/>
          <w:color w:val="000000" w:themeColor="text1"/>
          <w:sz w:val="24"/>
          <w:szCs w:val="24"/>
        </w:rPr>
        <w:t>14</w:t>
      </w:r>
      <w:r w:rsidRPr="00AC50FA">
        <w:rPr>
          <w:rFonts w:ascii="Book Antiqua" w:hAnsi="Book Antiqua"/>
          <w:color w:val="000000" w:themeColor="text1"/>
          <w:sz w:val="24"/>
          <w:szCs w:val="24"/>
        </w:rPr>
        <w:t>: 935-945 [PMID: 18581465 DOI: 10.1002/lt.21445]</w:t>
      </w:r>
    </w:p>
    <w:p w14:paraId="7085C601"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17 </w:t>
      </w:r>
      <w:r w:rsidRPr="00AC50FA">
        <w:rPr>
          <w:rFonts w:ascii="Book Antiqua" w:hAnsi="Book Antiqua"/>
          <w:b/>
          <w:color w:val="000000" w:themeColor="text1"/>
          <w:sz w:val="24"/>
          <w:szCs w:val="24"/>
        </w:rPr>
        <w:t>Au KP</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Chok</w:t>
      </w:r>
      <w:proofErr w:type="spellEnd"/>
      <w:r w:rsidRPr="00AC50FA">
        <w:rPr>
          <w:rFonts w:ascii="Book Antiqua" w:hAnsi="Book Antiqua"/>
          <w:color w:val="000000" w:themeColor="text1"/>
          <w:sz w:val="24"/>
          <w:szCs w:val="24"/>
        </w:rPr>
        <w:t xml:space="preserve"> KSH. Multidisciplinary approach for post-liver transplant recurrence of hepatocellular carcinoma: A proposed management algorithm. </w:t>
      </w:r>
      <w:r w:rsidRPr="00AC50FA">
        <w:rPr>
          <w:rFonts w:ascii="Book Antiqua" w:hAnsi="Book Antiqua"/>
          <w:i/>
          <w:color w:val="000000" w:themeColor="text1"/>
          <w:sz w:val="24"/>
          <w:szCs w:val="24"/>
        </w:rPr>
        <w:t>World J Gastroenterol</w:t>
      </w:r>
      <w:r w:rsidRPr="00AC50FA">
        <w:rPr>
          <w:rFonts w:ascii="Book Antiqua" w:hAnsi="Book Antiqua"/>
          <w:color w:val="000000" w:themeColor="text1"/>
          <w:sz w:val="24"/>
          <w:szCs w:val="24"/>
        </w:rPr>
        <w:t xml:space="preserve"> 2018; </w:t>
      </w:r>
      <w:r w:rsidRPr="00AC50FA">
        <w:rPr>
          <w:rFonts w:ascii="Book Antiqua" w:hAnsi="Book Antiqua"/>
          <w:b/>
          <w:color w:val="000000" w:themeColor="text1"/>
          <w:sz w:val="24"/>
          <w:szCs w:val="24"/>
        </w:rPr>
        <w:t>24</w:t>
      </w:r>
      <w:r w:rsidRPr="00AC50FA">
        <w:rPr>
          <w:rFonts w:ascii="Book Antiqua" w:hAnsi="Book Antiqua"/>
          <w:color w:val="000000" w:themeColor="text1"/>
          <w:sz w:val="24"/>
          <w:szCs w:val="24"/>
        </w:rPr>
        <w:t>: 5081-5094 [PMID: 30568386 DOI: 10.3748/wjg.v24.i45.5081]</w:t>
      </w:r>
    </w:p>
    <w:p w14:paraId="570A0B93"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18 </w:t>
      </w:r>
      <w:r w:rsidRPr="00AC50FA">
        <w:rPr>
          <w:rFonts w:ascii="Book Antiqua" w:hAnsi="Book Antiqua"/>
          <w:b/>
          <w:color w:val="000000" w:themeColor="text1"/>
          <w:sz w:val="24"/>
          <w:szCs w:val="24"/>
        </w:rPr>
        <w:t>Pan CC</w:t>
      </w:r>
      <w:r w:rsidRPr="00AC50FA">
        <w:rPr>
          <w:rFonts w:ascii="Book Antiqua" w:hAnsi="Book Antiqua"/>
          <w:color w:val="000000" w:themeColor="text1"/>
          <w:sz w:val="24"/>
          <w:szCs w:val="24"/>
        </w:rPr>
        <w:t xml:space="preserve">, Kavanagh BD, Dawson LA, Li XA, Das SK, </w:t>
      </w:r>
      <w:proofErr w:type="spellStart"/>
      <w:r w:rsidRPr="00AC50FA">
        <w:rPr>
          <w:rFonts w:ascii="Book Antiqua" w:hAnsi="Book Antiqua"/>
          <w:color w:val="000000" w:themeColor="text1"/>
          <w:sz w:val="24"/>
          <w:szCs w:val="24"/>
        </w:rPr>
        <w:t>Miften</w:t>
      </w:r>
      <w:proofErr w:type="spellEnd"/>
      <w:r w:rsidRPr="00AC50FA">
        <w:rPr>
          <w:rFonts w:ascii="Book Antiqua" w:hAnsi="Book Antiqua"/>
          <w:color w:val="000000" w:themeColor="text1"/>
          <w:sz w:val="24"/>
          <w:szCs w:val="24"/>
        </w:rPr>
        <w:t xml:space="preserve"> M, Ten Haken RK. Radiation-associated liver injury. </w:t>
      </w:r>
      <w:r w:rsidRPr="00AC50FA">
        <w:rPr>
          <w:rFonts w:ascii="Book Antiqua" w:hAnsi="Book Antiqua"/>
          <w:i/>
          <w:color w:val="000000" w:themeColor="text1"/>
          <w:sz w:val="24"/>
          <w:szCs w:val="24"/>
        </w:rPr>
        <w:t xml:space="preserve">Int J </w:t>
      </w:r>
      <w:proofErr w:type="spellStart"/>
      <w:r w:rsidRPr="00AC50FA">
        <w:rPr>
          <w:rFonts w:ascii="Book Antiqua" w:hAnsi="Book Antiqua"/>
          <w:i/>
          <w:color w:val="000000" w:themeColor="text1"/>
          <w:sz w:val="24"/>
          <w:szCs w:val="24"/>
        </w:rPr>
        <w:t>Radiat</w:t>
      </w:r>
      <w:proofErr w:type="spellEnd"/>
      <w:r w:rsidRPr="00AC50FA">
        <w:rPr>
          <w:rFonts w:ascii="Book Antiqua" w:hAnsi="Book Antiqua"/>
          <w:i/>
          <w:color w:val="000000" w:themeColor="text1"/>
          <w:sz w:val="24"/>
          <w:szCs w:val="24"/>
        </w:rPr>
        <w:t xml:space="preserve"> Oncol Biol Phys</w:t>
      </w:r>
      <w:r w:rsidRPr="00AC50FA">
        <w:rPr>
          <w:rFonts w:ascii="Book Antiqua" w:hAnsi="Book Antiqua"/>
          <w:color w:val="000000" w:themeColor="text1"/>
          <w:sz w:val="24"/>
          <w:szCs w:val="24"/>
        </w:rPr>
        <w:t xml:space="preserve"> 2010; </w:t>
      </w:r>
      <w:r w:rsidRPr="00AC50FA">
        <w:rPr>
          <w:rFonts w:ascii="Book Antiqua" w:hAnsi="Book Antiqua"/>
          <w:b/>
          <w:color w:val="000000" w:themeColor="text1"/>
          <w:sz w:val="24"/>
          <w:szCs w:val="24"/>
        </w:rPr>
        <w:t>76</w:t>
      </w:r>
      <w:r w:rsidRPr="00AC50FA">
        <w:rPr>
          <w:rFonts w:ascii="Book Antiqua" w:hAnsi="Book Antiqua"/>
          <w:color w:val="000000" w:themeColor="text1"/>
          <w:sz w:val="24"/>
          <w:szCs w:val="24"/>
        </w:rPr>
        <w:t>: S94-100 [PMID: 20171524 DOI: 10.1016/j.ijrobp.2009.06.092]</w:t>
      </w:r>
    </w:p>
    <w:p w14:paraId="376ADFF1"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19 </w:t>
      </w:r>
      <w:proofErr w:type="spellStart"/>
      <w:r w:rsidRPr="00AC50FA">
        <w:rPr>
          <w:rFonts w:ascii="Book Antiqua" w:hAnsi="Book Antiqua"/>
          <w:b/>
          <w:color w:val="000000" w:themeColor="text1"/>
          <w:sz w:val="24"/>
          <w:szCs w:val="24"/>
        </w:rPr>
        <w:t>Emami</w:t>
      </w:r>
      <w:proofErr w:type="spellEnd"/>
      <w:r w:rsidRPr="00AC50FA">
        <w:rPr>
          <w:rFonts w:ascii="Book Antiqua" w:hAnsi="Book Antiqua"/>
          <w:b/>
          <w:color w:val="000000" w:themeColor="text1"/>
          <w:sz w:val="24"/>
          <w:szCs w:val="24"/>
        </w:rPr>
        <w:t xml:space="preserve"> B</w:t>
      </w:r>
      <w:r w:rsidRPr="00AC50FA">
        <w:rPr>
          <w:rFonts w:ascii="Book Antiqua" w:hAnsi="Book Antiqua"/>
          <w:color w:val="000000" w:themeColor="text1"/>
          <w:sz w:val="24"/>
          <w:szCs w:val="24"/>
        </w:rPr>
        <w:t xml:space="preserve">, Lyman J, Brown A, </w:t>
      </w:r>
      <w:proofErr w:type="spellStart"/>
      <w:r w:rsidRPr="00AC50FA">
        <w:rPr>
          <w:rFonts w:ascii="Book Antiqua" w:hAnsi="Book Antiqua"/>
          <w:color w:val="000000" w:themeColor="text1"/>
          <w:sz w:val="24"/>
          <w:szCs w:val="24"/>
        </w:rPr>
        <w:t>Coia</w:t>
      </w:r>
      <w:proofErr w:type="spellEnd"/>
      <w:r w:rsidRPr="00AC50FA">
        <w:rPr>
          <w:rFonts w:ascii="Book Antiqua" w:hAnsi="Book Antiqua"/>
          <w:color w:val="000000" w:themeColor="text1"/>
          <w:sz w:val="24"/>
          <w:szCs w:val="24"/>
        </w:rPr>
        <w:t xml:space="preserve"> L, </w:t>
      </w:r>
      <w:proofErr w:type="spellStart"/>
      <w:r w:rsidRPr="00AC50FA">
        <w:rPr>
          <w:rFonts w:ascii="Book Antiqua" w:hAnsi="Book Antiqua"/>
          <w:color w:val="000000" w:themeColor="text1"/>
          <w:sz w:val="24"/>
          <w:szCs w:val="24"/>
        </w:rPr>
        <w:t>Goitein</w:t>
      </w:r>
      <w:proofErr w:type="spellEnd"/>
      <w:r w:rsidRPr="00AC50FA">
        <w:rPr>
          <w:rFonts w:ascii="Book Antiqua" w:hAnsi="Book Antiqua"/>
          <w:color w:val="000000" w:themeColor="text1"/>
          <w:sz w:val="24"/>
          <w:szCs w:val="24"/>
        </w:rPr>
        <w:t xml:space="preserve"> M, </w:t>
      </w:r>
      <w:proofErr w:type="spellStart"/>
      <w:r w:rsidRPr="00AC50FA">
        <w:rPr>
          <w:rFonts w:ascii="Book Antiqua" w:hAnsi="Book Antiqua"/>
          <w:color w:val="000000" w:themeColor="text1"/>
          <w:sz w:val="24"/>
          <w:szCs w:val="24"/>
        </w:rPr>
        <w:t>Munzenrider</w:t>
      </w:r>
      <w:proofErr w:type="spellEnd"/>
      <w:r w:rsidRPr="00AC50FA">
        <w:rPr>
          <w:rFonts w:ascii="Book Antiqua" w:hAnsi="Book Antiqua"/>
          <w:color w:val="000000" w:themeColor="text1"/>
          <w:sz w:val="24"/>
          <w:szCs w:val="24"/>
        </w:rPr>
        <w:t xml:space="preserve"> JE, Shank B, </w:t>
      </w:r>
      <w:proofErr w:type="spellStart"/>
      <w:r w:rsidRPr="00AC50FA">
        <w:rPr>
          <w:rFonts w:ascii="Book Antiqua" w:hAnsi="Book Antiqua"/>
          <w:color w:val="000000" w:themeColor="text1"/>
          <w:sz w:val="24"/>
          <w:szCs w:val="24"/>
        </w:rPr>
        <w:t>Solin</w:t>
      </w:r>
      <w:proofErr w:type="spellEnd"/>
      <w:r w:rsidRPr="00AC50FA">
        <w:rPr>
          <w:rFonts w:ascii="Book Antiqua" w:hAnsi="Book Antiqua"/>
          <w:color w:val="000000" w:themeColor="text1"/>
          <w:sz w:val="24"/>
          <w:szCs w:val="24"/>
        </w:rPr>
        <w:t xml:space="preserve"> LJ, Wesson M. Tolerance of normal tissue to therapeutic irradiation. </w:t>
      </w:r>
      <w:r w:rsidRPr="00AC50FA">
        <w:rPr>
          <w:rFonts w:ascii="Book Antiqua" w:hAnsi="Book Antiqua"/>
          <w:i/>
          <w:color w:val="000000" w:themeColor="text1"/>
          <w:sz w:val="24"/>
          <w:szCs w:val="24"/>
        </w:rPr>
        <w:t xml:space="preserve">Int J </w:t>
      </w:r>
      <w:proofErr w:type="spellStart"/>
      <w:r w:rsidRPr="00AC50FA">
        <w:rPr>
          <w:rFonts w:ascii="Book Antiqua" w:hAnsi="Book Antiqua"/>
          <w:i/>
          <w:color w:val="000000" w:themeColor="text1"/>
          <w:sz w:val="24"/>
          <w:szCs w:val="24"/>
        </w:rPr>
        <w:t>Radiat</w:t>
      </w:r>
      <w:proofErr w:type="spellEnd"/>
      <w:r w:rsidRPr="00AC50FA">
        <w:rPr>
          <w:rFonts w:ascii="Book Antiqua" w:hAnsi="Book Antiqua"/>
          <w:i/>
          <w:color w:val="000000" w:themeColor="text1"/>
          <w:sz w:val="24"/>
          <w:szCs w:val="24"/>
        </w:rPr>
        <w:t xml:space="preserve"> Oncol Biol Phys</w:t>
      </w:r>
      <w:r w:rsidRPr="00AC50FA">
        <w:rPr>
          <w:rFonts w:ascii="Book Antiqua" w:hAnsi="Book Antiqua"/>
          <w:color w:val="000000" w:themeColor="text1"/>
          <w:sz w:val="24"/>
          <w:szCs w:val="24"/>
        </w:rPr>
        <w:t xml:space="preserve"> 1991; </w:t>
      </w:r>
      <w:r w:rsidRPr="00AC50FA">
        <w:rPr>
          <w:rFonts w:ascii="Book Antiqua" w:hAnsi="Book Antiqua"/>
          <w:b/>
          <w:color w:val="000000" w:themeColor="text1"/>
          <w:sz w:val="24"/>
          <w:szCs w:val="24"/>
        </w:rPr>
        <w:t>21</w:t>
      </w:r>
      <w:r w:rsidRPr="00AC50FA">
        <w:rPr>
          <w:rFonts w:ascii="Book Antiqua" w:hAnsi="Book Antiqua"/>
          <w:color w:val="000000" w:themeColor="text1"/>
          <w:sz w:val="24"/>
          <w:szCs w:val="24"/>
        </w:rPr>
        <w:t>: 109-122 [PMID: 2032882 DOI: 10.1016/0360-3016(91)90171-Y]</w:t>
      </w:r>
    </w:p>
    <w:p w14:paraId="1A1DFCB7"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20 </w:t>
      </w:r>
      <w:r w:rsidRPr="00AC50FA">
        <w:rPr>
          <w:rFonts w:ascii="Book Antiqua" w:hAnsi="Book Antiqua"/>
          <w:b/>
          <w:color w:val="000000" w:themeColor="text1"/>
          <w:sz w:val="24"/>
          <w:szCs w:val="24"/>
        </w:rPr>
        <w:t>Russell AH</w:t>
      </w:r>
      <w:r w:rsidRPr="00AC50FA">
        <w:rPr>
          <w:rFonts w:ascii="Book Antiqua" w:hAnsi="Book Antiqua"/>
          <w:color w:val="000000" w:themeColor="text1"/>
          <w:sz w:val="24"/>
          <w:szCs w:val="24"/>
        </w:rPr>
        <w:t xml:space="preserve">, Clyde C, Wasserman TH, Turner SS, </w:t>
      </w:r>
      <w:proofErr w:type="spellStart"/>
      <w:r w:rsidRPr="00AC50FA">
        <w:rPr>
          <w:rFonts w:ascii="Book Antiqua" w:hAnsi="Book Antiqua"/>
          <w:color w:val="000000" w:themeColor="text1"/>
          <w:sz w:val="24"/>
          <w:szCs w:val="24"/>
        </w:rPr>
        <w:t>Rotman</w:t>
      </w:r>
      <w:proofErr w:type="spellEnd"/>
      <w:r w:rsidRPr="00AC50FA">
        <w:rPr>
          <w:rFonts w:ascii="Book Antiqua" w:hAnsi="Book Antiqua"/>
          <w:color w:val="000000" w:themeColor="text1"/>
          <w:sz w:val="24"/>
          <w:szCs w:val="24"/>
        </w:rPr>
        <w:t xml:space="preserve"> M. Accelerated </w:t>
      </w:r>
      <w:proofErr w:type="spellStart"/>
      <w:r w:rsidRPr="00AC50FA">
        <w:rPr>
          <w:rFonts w:ascii="Book Antiqua" w:hAnsi="Book Antiqua"/>
          <w:color w:val="000000" w:themeColor="text1"/>
          <w:sz w:val="24"/>
          <w:szCs w:val="24"/>
        </w:rPr>
        <w:t>hyperfractionated</w:t>
      </w:r>
      <w:proofErr w:type="spellEnd"/>
      <w:r w:rsidRPr="00AC50FA">
        <w:rPr>
          <w:rFonts w:ascii="Book Antiqua" w:hAnsi="Book Antiqua"/>
          <w:color w:val="000000" w:themeColor="text1"/>
          <w:sz w:val="24"/>
          <w:szCs w:val="24"/>
        </w:rPr>
        <w:t xml:space="preserve"> hepatic irradiation in the management of patients with liver metastases: results of the RTOG dose escalating protocol. </w:t>
      </w:r>
      <w:r w:rsidRPr="00AC50FA">
        <w:rPr>
          <w:rFonts w:ascii="Book Antiqua" w:hAnsi="Book Antiqua"/>
          <w:i/>
          <w:color w:val="000000" w:themeColor="text1"/>
          <w:sz w:val="24"/>
          <w:szCs w:val="24"/>
        </w:rPr>
        <w:t xml:space="preserve">Int J </w:t>
      </w:r>
      <w:proofErr w:type="spellStart"/>
      <w:r w:rsidRPr="00AC50FA">
        <w:rPr>
          <w:rFonts w:ascii="Book Antiqua" w:hAnsi="Book Antiqua"/>
          <w:i/>
          <w:color w:val="000000" w:themeColor="text1"/>
          <w:sz w:val="24"/>
          <w:szCs w:val="24"/>
        </w:rPr>
        <w:t>Radiat</w:t>
      </w:r>
      <w:proofErr w:type="spellEnd"/>
      <w:r w:rsidRPr="00AC50FA">
        <w:rPr>
          <w:rFonts w:ascii="Book Antiqua" w:hAnsi="Book Antiqua"/>
          <w:i/>
          <w:color w:val="000000" w:themeColor="text1"/>
          <w:sz w:val="24"/>
          <w:szCs w:val="24"/>
        </w:rPr>
        <w:t xml:space="preserve"> Oncol Biol Phys</w:t>
      </w:r>
      <w:r w:rsidRPr="00AC50FA">
        <w:rPr>
          <w:rFonts w:ascii="Book Antiqua" w:hAnsi="Book Antiqua"/>
          <w:color w:val="000000" w:themeColor="text1"/>
          <w:sz w:val="24"/>
          <w:szCs w:val="24"/>
        </w:rPr>
        <w:t xml:space="preserve"> 1993; </w:t>
      </w:r>
      <w:r w:rsidRPr="00AC50FA">
        <w:rPr>
          <w:rFonts w:ascii="Book Antiqua" w:hAnsi="Book Antiqua"/>
          <w:b/>
          <w:color w:val="000000" w:themeColor="text1"/>
          <w:sz w:val="24"/>
          <w:szCs w:val="24"/>
        </w:rPr>
        <w:t>27</w:t>
      </w:r>
      <w:r w:rsidRPr="00AC50FA">
        <w:rPr>
          <w:rFonts w:ascii="Book Antiqua" w:hAnsi="Book Antiqua"/>
          <w:color w:val="000000" w:themeColor="text1"/>
          <w:sz w:val="24"/>
          <w:szCs w:val="24"/>
        </w:rPr>
        <w:t>: 117-123 [PMID: 8365932 DOI: 10.1016/0360-3016(93)90428-X]</w:t>
      </w:r>
    </w:p>
    <w:p w14:paraId="0B74BBFF"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21 </w:t>
      </w:r>
      <w:r w:rsidRPr="00AC50FA">
        <w:rPr>
          <w:rFonts w:ascii="Book Antiqua" w:hAnsi="Book Antiqua"/>
          <w:b/>
          <w:color w:val="000000" w:themeColor="text1"/>
          <w:sz w:val="24"/>
          <w:szCs w:val="24"/>
        </w:rPr>
        <w:t>Shin SW</w:t>
      </w:r>
      <w:r w:rsidRPr="00AC50FA">
        <w:rPr>
          <w:rFonts w:ascii="Book Antiqua" w:hAnsi="Book Antiqua"/>
          <w:color w:val="000000" w:themeColor="text1"/>
          <w:sz w:val="24"/>
          <w:szCs w:val="24"/>
        </w:rPr>
        <w:t xml:space="preserve">. The current practice of </w:t>
      </w:r>
      <w:proofErr w:type="spellStart"/>
      <w:r w:rsidRPr="00AC50FA">
        <w:rPr>
          <w:rFonts w:ascii="Book Antiqua" w:hAnsi="Book Antiqua"/>
          <w:color w:val="000000" w:themeColor="text1"/>
          <w:sz w:val="24"/>
          <w:szCs w:val="24"/>
        </w:rPr>
        <w:t>transarterial</w:t>
      </w:r>
      <w:proofErr w:type="spellEnd"/>
      <w:r w:rsidRPr="00AC50FA">
        <w:rPr>
          <w:rFonts w:ascii="Book Antiqua" w:hAnsi="Book Antiqua"/>
          <w:color w:val="000000" w:themeColor="text1"/>
          <w:sz w:val="24"/>
          <w:szCs w:val="24"/>
        </w:rPr>
        <w:t xml:space="preserve"> chemoembolization for the treatment of hepatocellular carcinoma. </w:t>
      </w:r>
      <w:r w:rsidRPr="00AC50FA">
        <w:rPr>
          <w:rFonts w:ascii="Book Antiqua" w:hAnsi="Book Antiqua"/>
          <w:i/>
          <w:color w:val="000000" w:themeColor="text1"/>
          <w:sz w:val="24"/>
          <w:szCs w:val="24"/>
        </w:rPr>
        <w:t xml:space="preserve">Korean J </w:t>
      </w:r>
      <w:proofErr w:type="spellStart"/>
      <w:r w:rsidRPr="00AC50FA">
        <w:rPr>
          <w:rFonts w:ascii="Book Antiqua" w:hAnsi="Book Antiqua"/>
          <w:i/>
          <w:color w:val="000000" w:themeColor="text1"/>
          <w:sz w:val="24"/>
          <w:szCs w:val="24"/>
        </w:rPr>
        <w:t>Radiol</w:t>
      </w:r>
      <w:proofErr w:type="spellEnd"/>
      <w:r w:rsidRPr="00AC50FA">
        <w:rPr>
          <w:rFonts w:ascii="Book Antiqua" w:hAnsi="Book Antiqua"/>
          <w:color w:val="000000" w:themeColor="text1"/>
          <w:sz w:val="24"/>
          <w:szCs w:val="24"/>
        </w:rPr>
        <w:t xml:space="preserve"> 2009; </w:t>
      </w:r>
      <w:r w:rsidRPr="00AC50FA">
        <w:rPr>
          <w:rFonts w:ascii="Book Antiqua" w:hAnsi="Book Antiqua"/>
          <w:b/>
          <w:color w:val="000000" w:themeColor="text1"/>
          <w:sz w:val="24"/>
          <w:szCs w:val="24"/>
        </w:rPr>
        <w:t>10</w:t>
      </w:r>
      <w:r w:rsidRPr="00AC50FA">
        <w:rPr>
          <w:rFonts w:ascii="Book Antiqua" w:hAnsi="Book Antiqua"/>
          <w:color w:val="000000" w:themeColor="text1"/>
          <w:sz w:val="24"/>
          <w:szCs w:val="24"/>
        </w:rPr>
        <w:t>: 425-434 [PMID: 19721826 DOI: 10.3348/kjr.2009.10.5.425]</w:t>
      </w:r>
    </w:p>
    <w:p w14:paraId="185CCC01"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22 </w:t>
      </w:r>
      <w:r w:rsidRPr="00AC50FA">
        <w:rPr>
          <w:rFonts w:ascii="Book Antiqua" w:hAnsi="Book Antiqua"/>
          <w:b/>
          <w:color w:val="000000" w:themeColor="text1"/>
          <w:sz w:val="24"/>
          <w:szCs w:val="24"/>
        </w:rPr>
        <w:t>Zhou B</w:t>
      </w:r>
      <w:r w:rsidRPr="00AC50FA">
        <w:rPr>
          <w:rFonts w:ascii="Book Antiqua" w:hAnsi="Book Antiqua"/>
          <w:color w:val="000000" w:themeColor="text1"/>
          <w:sz w:val="24"/>
          <w:szCs w:val="24"/>
        </w:rPr>
        <w:t xml:space="preserve">, Shan H, Zhu KS, Jiang ZB, Guan SH, Meng XC, Zeng XC. Chemoembolization with lobaplatin mixed with iodized oil for unresectable recurrent hepatocellular carcinoma after orthotopic liver transplantation. </w:t>
      </w:r>
      <w:r w:rsidRPr="00AC50FA">
        <w:rPr>
          <w:rFonts w:ascii="Book Antiqua" w:hAnsi="Book Antiqua"/>
          <w:i/>
          <w:color w:val="000000" w:themeColor="text1"/>
          <w:sz w:val="24"/>
          <w:szCs w:val="24"/>
        </w:rPr>
        <w:t xml:space="preserve">J </w:t>
      </w:r>
      <w:proofErr w:type="spellStart"/>
      <w:r w:rsidRPr="00AC50FA">
        <w:rPr>
          <w:rFonts w:ascii="Book Antiqua" w:hAnsi="Book Antiqua"/>
          <w:i/>
          <w:color w:val="000000" w:themeColor="text1"/>
          <w:sz w:val="24"/>
          <w:szCs w:val="24"/>
        </w:rPr>
        <w:t>Vasc</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Interv</w:t>
      </w:r>
      <w:proofErr w:type="spellEnd"/>
      <w:r w:rsidRPr="00AC50FA">
        <w:rPr>
          <w:rFonts w:ascii="Book Antiqua" w:hAnsi="Book Antiqua"/>
          <w:i/>
          <w:color w:val="000000" w:themeColor="text1"/>
          <w:sz w:val="24"/>
          <w:szCs w:val="24"/>
        </w:rPr>
        <w:t xml:space="preserve"> </w:t>
      </w:r>
      <w:proofErr w:type="spellStart"/>
      <w:r w:rsidRPr="00AC50FA">
        <w:rPr>
          <w:rFonts w:ascii="Book Antiqua" w:hAnsi="Book Antiqua"/>
          <w:i/>
          <w:color w:val="000000" w:themeColor="text1"/>
          <w:sz w:val="24"/>
          <w:szCs w:val="24"/>
        </w:rPr>
        <w:t>Radiol</w:t>
      </w:r>
      <w:proofErr w:type="spellEnd"/>
      <w:r w:rsidRPr="00AC50FA">
        <w:rPr>
          <w:rFonts w:ascii="Book Antiqua" w:hAnsi="Book Antiqua"/>
          <w:color w:val="000000" w:themeColor="text1"/>
          <w:sz w:val="24"/>
          <w:szCs w:val="24"/>
        </w:rPr>
        <w:t xml:space="preserve"> 2010; </w:t>
      </w:r>
      <w:r w:rsidRPr="00AC50FA">
        <w:rPr>
          <w:rFonts w:ascii="Book Antiqua" w:hAnsi="Book Antiqua"/>
          <w:b/>
          <w:color w:val="000000" w:themeColor="text1"/>
          <w:sz w:val="24"/>
          <w:szCs w:val="24"/>
        </w:rPr>
        <w:t>21</w:t>
      </w:r>
      <w:r w:rsidRPr="00AC50FA">
        <w:rPr>
          <w:rFonts w:ascii="Book Antiqua" w:hAnsi="Book Antiqua"/>
          <w:color w:val="000000" w:themeColor="text1"/>
          <w:sz w:val="24"/>
          <w:szCs w:val="24"/>
        </w:rPr>
        <w:t>: 333-338 [PMID: 20116286 DOI: 10.1016/j.jvir.2009.11.006]</w:t>
      </w:r>
    </w:p>
    <w:p w14:paraId="3B0AF5D7"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23 </w:t>
      </w:r>
      <w:r w:rsidRPr="00AC50FA">
        <w:rPr>
          <w:rFonts w:ascii="Book Antiqua" w:hAnsi="Book Antiqua"/>
          <w:b/>
          <w:color w:val="000000" w:themeColor="text1"/>
          <w:sz w:val="24"/>
          <w:szCs w:val="24"/>
        </w:rPr>
        <w:t>Wong TC</w:t>
      </w:r>
      <w:r w:rsidRPr="00AC50FA">
        <w:rPr>
          <w:rFonts w:ascii="Book Antiqua" w:hAnsi="Book Antiqua"/>
          <w:color w:val="000000" w:themeColor="text1"/>
          <w:sz w:val="24"/>
          <w:szCs w:val="24"/>
        </w:rPr>
        <w:t xml:space="preserve">, Chiang CL, Lee AS, Lee VH, Yeung CS, Ho CH, Cheung TT, Ng KK, </w:t>
      </w:r>
      <w:proofErr w:type="spellStart"/>
      <w:r w:rsidRPr="00AC50FA">
        <w:rPr>
          <w:rFonts w:ascii="Book Antiqua" w:hAnsi="Book Antiqua"/>
          <w:color w:val="000000" w:themeColor="text1"/>
          <w:sz w:val="24"/>
          <w:szCs w:val="24"/>
        </w:rPr>
        <w:t>Chok</w:t>
      </w:r>
      <w:proofErr w:type="spellEnd"/>
      <w:r w:rsidRPr="00AC50FA">
        <w:rPr>
          <w:rFonts w:ascii="Book Antiqua" w:hAnsi="Book Antiqua"/>
          <w:color w:val="000000" w:themeColor="text1"/>
          <w:sz w:val="24"/>
          <w:szCs w:val="24"/>
        </w:rPr>
        <w:t xml:space="preserve"> SH, Chan AC, Dai WC, Wong FC, </w:t>
      </w:r>
      <w:proofErr w:type="spellStart"/>
      <w:r w:rsidRPr="00AC50FA">
        <w:rPr>
          <w:rFonts w:ascii="Book Antiqua" w:hAnsi="Book Antiqua"/>
          <w:color w:val="000000" w:themeColor="text1"/>
          <w:sz w:val="24"/>
          <w:szCs w:val="24"/>
        </w:rPr>
        <w:t>Luk</w:t>
      </w:r>
      <w:proofErr w:type="spellEnd"/>
      <w:r w:rsidRPr="00AC50FA">
        <w:rPr>
          <w:rFonts w:ascii="Book Antiqua" w:hAnsi="Book Antiqua"/>
          <w:color w:val="000000" w:themeColor="text1"/>
          <w:sz w:val="24"/>
          <w:szCs w:val="24"/>
        </w:rPr>
        <w:t xml:space="preserve"> MY, Leung TW, Lo CM. Better survival after stereotactic body radiation therapy following </w:t>
      </w:r>
      <w:proofErr w:type="spellStart"/>
      <w:r w:rsidRPr="00AC50FA">
        <w:rPr>
          <w:rFonts w:ascii="Book Antiqua" w:hAnsi="Book Antiqua"/>
          <w:color w:val="000000" w:themeColor="text1"/>
          <w:sz w:val="24"/>
          <w:szCs w:val="24"/>
        </w:rPr>
        <w:t>transarterial</w:t>
      </w:r>
      <w:proofErr w:type="spellEnd"/>
      <w:r w:rsidRPr="00AC50FA">
        <w:rPr>
          <w:rFonts w:ascii="Book Antiqua" w:hAnsi="Book Antiqua"/>
          <w:color w:val="000000" w:themeColor="text1"/>
          <w:sz w:val="24"/>
          <w:szCs w:val="24"/>
        </w:rPr>
        <w:t xml:space="preserve"> chemoembolization in </w:t>
      </w:r>
      <w:r w:rsidRPr="00AC50FA">
        <w:rPr>
          <w:rFonts w:ascii="Book Antiqua" w:hAnsi="Book Antiqua"/>
          <w:color w:val="000000" w:themeColor="text1"/>
          <w:sz w:val="24"/>
          <w:szCs w:val="24"/>
        </w:rPr>
        <w:lastRenderedPageBreak/>
        <w:t xml:space="preserve">nonresectable hepatocellular carcinoma: A propensity score matched analysis. </w:t>
      </w:r>
      <w:r w:rsidRPr="00AC50FA">
        <w:rPr>
          <w:rFonts w:ascii="Book Antiqua" w:hAnsi="Book Antiqua"/>
          <w:i/>
          <w:color w:val="000000" w:themeColor="text1"/>
          <w:sz w:val="24"/>
          <w:szCs w:val="24"/>
        </w:rPr>
        <w:t>Surg Oncol</w:t>
      </w:r>
      <w:r w:rsidRPr="00AC50FA">
        <w:rPr>
          <w:rFonts w:ascii="Book Antiqua" w:hAnsi="Book Antiqua"/>
          <w:color w:val="000000" w:themeColor="text1"/>
          <w:sz w:val="24"/>
          <w:szCs w:val="24"/>
        </w:rPr>
        <w:t xml:space="preserve"> 2019; </w:t>
      </w:r>
      <w:r w:rsidRPr="00AC50FA">
        <w:rPr>
          <w:rFonts w:ascii="Book Antiqua" w:hAnsi="Book Antiqua"/>
          <w:b/>
          <w:color w:val="000000" w:themeColor="text1"/>
          <w:sz w:val="24"/>
          <w:szCs w:val="24"/>
        </w:rPr>
        <w:t>28</w:t>
      </w:r>
      <w:r w:rsidRPr="00AC50FA">
        <w:rPr>
          <w:rFonts w:ascii="Book Antiqua" w:hAnsi="Book Antiqua"/>
          <w:color w:val="000000" w:themeColor="text1"/>
          <w:sz w:val="24"/>
          <w:szCs w:val="24"/>
        </w:rPr>
        <w:t>: 228-235 [PMID: 30851906 DOI: 10.1016/j.suronc.2019.01.006]</w:t>
      </w:r>
    </w:p>
    <w:p w14:paraId="2E860AC7"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24 </w:t>
      </w:r>
      <w:proofErr w:type="spellStart"/>
      <w:r w:rsidRPr="00AC50FA">
        <w:rPr>
          <w:rFonts w:ascii="Book Antiqua" w:hAnsi="Book Antiqua"/>
          <w:b/>
          <w:color w:val="000000" w:themeColor="text1"/>
          <w:sz w:val="24"/>
          <w:szCs w:val="24"/>
        </w:rPr>
        <w:t>Chok</w:t>
      </w:r>
      <w:proofErr w:type="spellEnd"/>
      <w:r w:rsidRPr="00AC50FA">
        <w:rPr>
          <w:rFonts w:ascii="Book Antiqua" w:hAnsi="Book Antiqua"/>
          <w:b/>
          <w:color w:val="000000" w:themeColor="text1"/>
          <w:sz w:val="24"/>
          <w:szCs w:val="24"/>
        </w:rPr>
        <w:t xml:space="preserve"> KS</w:t>
      </w:r>
      <w:r w:rsidRPr="00AC50FA">
        <w:rPr>
          <w:rFonts w:ascii="Book Antiqua" w:hAnsi="Book Antiqua"/>
          <w:color w:val="000000" w:themeColor="text1"/>
          <w:sz w:val="24"/>
          <w:szCs w:val="24"/>
        </w:rPr>
        <w:t xml:space="preserve">, Chan SC, Cheung TT, </w:t>
      </w:r>
      <w:proofErr w:type="spellStart"/>
      <w:r w:rsidRPr="00AC50FA">
        <w:rPr>
          <w:rFonts w:ascii="Book Antiqua" w:hAnsi="Book Antiqua"/>
          <w:color w:val="000000" w:themeColor="text1"/>
          <w:sz w:val="24"/>
          <w:szCs w:val="24"/>
        </w:rPr>
        <w:t>Sharr</w:t>
      </w:r>
      <w:proofErr w:type="spellEnd"/>
      <w:r w:rsidRPr="00AC50FA">
        <w:rPr>
          <w:rFonts w:ascii="Book Antiqua" w:hAnsi="Book Antiqua"/>
          <w:color w:val="000000" w:themeColor="text1"/>
          <w:sz w:val="24"/>
          <w:szCs w:val="24"/>
        </w:rPr>
        <w:t xml:space="preserve"> WW, Chan AC, Lo CM, Fan ST. Bile duct anastomotic stricture after adult-to-adult right lobe living donor liver transplantation. </w:t>
      </w:r>
      <w:r w:rsidRPr="00AC50FA">
        <w:rPr>
          <w:rFonts w:ascii="Book Antiqua" w:hAnsi="Book Antiqua"/>
          <w:i/>
          <w:color w:val="000000" w:themeColor="text1"/>
          <w:sz w:val="24"/>
          <w:szCs w:val="24"/>
        </w:rPr>
        <w:t xml:space="preserve">Liver </w:t>
      </w:r>
      <w:proofErr w:type="spellStart"/>
      <w:r w:rsidRPr="00AC50FA">
        <w:rPr>
          <w:rFonts w:ascii="Book Antiqua" w:hAnsi="Book Antiqua"/>
          <w:i/>
          <w:color w:val="000000" w:themeColor="text1"/>
          <w:sz w:val="24"/>
          <w:szCs w:val="24"/>
        </w:rPr>
        <w:t>Transpl</w:t>
      </w:r>
      <w:proofErr w:type="spellEnd"/>
      <w:r w:rsidRPr="00AC50FA">
        <w:rPr>
          <w:rFonts w:ascii="Book Antiqua" w:hAnsi="Book Antiqua"/>
          <w:color w:val="000000" w:themeColor="text1"/>
          <w:sz w:val="24"/>
          <w:szCs w:val="24"/>
        </w:rPr>
        <w:t xml:space="preserve"> 2011; </w:t>
      </w:r>
      <w:r w:rsidRPr="00AC50FA">
        <w:rPr>
          <w:rFonts w:ascii="Book Antiqua" w:hAnsi="Book Antiqua"/>
          <w:b/>
          <w:color w:val="000000" w:themeColor="text1"/>
          <w:sz w:val="24"/>
          <w:szCs w:val="24"/>
        </w:rPr>
        <w:t>17</w:t>
      </w:r>
      <w:r w:rsidRPr="00AC50FA">
        <w:rPr>
          <w:rFonts w:ascii="Book Antiqua" w:hAnsi="Book Antiqua"/>
          <w:color w:val="000000" w:themeColor="text1"/>
          <w:sz w:val="24"/>
          <w:szCs w:val="24"/>
        </w:rPr>
        <w:t>: 47-52 [PMID: 21254344 DOI: 10.1002/lt.22188]</w:t>
      </w:r>
    </w:p>
    <w:p w14:paraId="67584DAE" w14:textId="77777777" w:rsidR="00B41683" w:rsidRPr="00AC50FA" w:rsidRDefault="00B41683"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t xml:space="preserve">25 </w:t>
      </w:r>
      <w:r w:rsidRPr="00AC50FA">
        <w:rPr>
          <w:rFonts w:ascii="Book Antiqua" w:hAnsi="Book Antiqua"/>
          <w:b/>
          <w:color w:val="000000" w:themeColor="text1"/>
          <w:sz w:val="24"/>
          <w:szCs w:val="24"/>
        </w:rPr>
        <w:t>Hellman S</w:t>
      </w:r>
      <w:r w:rsidRPr="00AC50FA">
        <w:rPr>
          <w:rFonts w:ascii="Book Antiqua" w:hAnsi="Book Antiqua"/>
          <w:color w:val="000000" w:themeColor="text1"/>
          <w:sz w:val="24"/>
          <w:szCs w:val="24"/>
        </w:rPr>
        <w:t xml:space="preserve">, </w:t>
      </w:r>
      <w:proofErr w:type="spellStart"/>
      <w:r w:rsidRPr="00AC50FA">
        <w:rPr>
          <w:rFonts w:ascii="Book Antiqua" w:hAnsi="Book Antiqua"/>
          <w:color w:val="000000" w:themeColor="text1"/>
          <w:sz w:val="24"/>
          <w:szCs w:val="24"/>
        </w:rPr>
        <w:t>Weichselbaum</w:t>
      </w:r>
      <w:proofErr w:type="spellEnd"/>
      <w:r w:rsidRPr="00AC50FA">
        <w:rPr>
          <w:rFonts w:ascii="Book Antiqua" w:hAnsi="Book Antiqua"/>
          <w:color w:val="000000" w:themeColor="text1"/>
          <w:sz w:val="24"/>
          <w:szCs w:val="24"/>
        </w:rPr>
        <w:t xml:space="preserve"> RR. </w:t>
      </w:r>
      <w:proofErr w:type="spellStart"/>
      <w:r w:rsidRPr="00AC50FA">
        <w:rPr>
          <w:rFonts w:ascii="Book Antiqua" w:hAnsi="Book Antiqua"/>
          <w:color w:val="000000" w:themeColor="text1"/>
          <w:sz w:val="24"/>
          <w:szCs w:val="24"/>
        </w:rPr>
        <w:t>Oligometastases</w:t>
      </w:r>
      <w:proofErr w:type="spellEnd"/>
      <w:r w:rsidRPr="00AC50FA">
        <w:rPr>
          <w:rFonts w:ascii="Book Antiqua" w:hAnsi="Book Antiqua"/>
          <w:color w:val="000000" w:themeColor="text1"/>
          <w:sz w:val="24"/>
          <w:szCs w:val="24"/>
        </w:rPr>
        <w:t xml:space="preserve">. </w:t>
      </w:r>
      <w:r w:rsidRPr="00AC50FA">
        <w:rPr>
          <w:rFonts w:ascii="Book Antiqua" w:hAnsi="Book Antiqua"/>
          <w:i/>
          <w:color w:val="000000" w:themeColor="text1"/>
          <w:sz w:val="24"/>
          <w:szCs w:val="24"/>
        </w:rPr>
        <w:t>J Clin Oncol</w:t>
      </w:r>
      <w:r w:rsidRPr="00AC50FA">
        <w:rPr>
          <w:rFonts w:ascii="Book Antiqua" w:hAnsi="Book Antiqua"/>
          <w:color w:val="000000" w:themeColor="text1"/>
          <w:sz w:val="24"/>
          <w:szCs w:val="24"/>
        </w:rPr>
        <w:t xml:space="preserve"> 1995; </w:t>
      </w:r>
      <w:r w:rsidRPr="00AC50FA">
        <w:rPr>
          <w:rFonts w:ascii="Book Antiqua" w:hAnsi="Book Antiqua"/>
          <w:b/>
          <w:color w:val="000000" w:themeColor="text1"/>
          <w:sz w:val="24"/>
          <w:szCs w:val="24"/>
        </w:rPr>
        <w:t>13</w:t>
      </w:r>
      <w:r w:rsidRPr="00AC50FA">
        <w:rPr>
          <w:rFonts w:ascii="Book Antiqua" w:hAnsi="Book Antiqua"/>
          <w:color w:val="000000" w:themeColor="text1"/>
          <w:sz w:val="24"/>
          <w:szCs w:val="24"/>
        </w:rPr>
        <w:t>: 8-10 [PMID: 7799047 DOI: 10.1200/JCO.1995.13.1.8]</w:t>
      </w:r>
    </w:p>
    <w:p w14:paraId="73D845CB" w14:textId="5617211F" w:rsidR="003034FB" w:rsidRPr="00AC50FA" w:rsidRDefault="003034FB"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br w:type="page"/>
      </w:r>
    </w:p>
    <w:p w14:paraId="4BD0305B"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lastRenderedPageBreak/>
        <w:t>Footnotes</w:t>
      </w:r>
    </w:p>
    <w:p w14:paraId="29AED8DA" w14:textId="3B8E2211" w:rsidR="003034FB"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Institutional review board statement</w:t>
      </w:r>
      <w:r w:rsidRPr="00AC50FA">
        <w:rPr>
          <w:rFonts w:ascii="Book Antiqua" w:hAnsi="Book Antiqua"/>
          <w:b/>
          <w:iCs/>
          <w:color w:val="000000" w:themeColor="text1"/>
          <w:sz w:val="24"/>
          <w:szCs w:val="24"/>
        </w:rPr>
        <w:t xml:space="preserve">: </w:t>
      </w:r>
      <w:r w:rsidR="003034FB" w:rsidRPr="00AC50FA">
        <w:rPr>
          <w:rFonts w:ascii="Book Antiqua" w:hAnsi="Book Antiqua"/>
          <w:color w:val="000000" w:themeColor="text1"/>
          <w:sz w:val="24"/>
          <w:szCs w:val="24"/>
        </w:rPr>
        <w:t>This study was reviewed and approved by th</w:t>
      </w:r>
      <w:r w:rsidR="00244EC4" w:rsidRPr="00AC50FA">
        <w:rPr>
          <w:rFonts w:ascii="Book Antiqua" w:hAnsi="Book Antiqua"/>
          <w:color w:val="000000" w:themeColor="text1"/>
          <w:sz w:val="24"/>
          <w:szCs w:val="24"/>
        </w:rPr>
        <w:t>e Institutional Review Board</w:t>
      </w:r>
      <w:r w:rsidR="00AC301F">
        <w:rPr>
          <w:rFonts w:ascii="Book Antiqua" w:hAnsi="Book Antiqua"/>
          <w:color w:val="000000" w:themeColor="text1"/>
          <w:sz w:val="24"/>
          <w:szCs w:val="24"/>
        </w:rPr>
        <w:t xml:space="preserve"> of the University of Hong Kong/</w:t>
      </w:r>
      <w:r w:rsidR="00244EC4" w:rsidRPr="00AC50FA">
        <w:rPr>
          <w:rFonts w:ascii="Book Antiqua" w:hAnsi="Book Antiqua"/>
          <w:color w:val="000000" w:themeColor="text1"/>
          <w:sz w:val="24"/>
          <w:szCs w:val="24"/>
        </w:rPr>
        <w:t>Hospital Authority Hong Kong West Cluster.</w:t>
      </w:r>
    </w:p>
    <w:p w14:paraId="33C1EA27" w14:textId="77777777" w:rsidR="003034FB" w:rsidRPr="00AC50FA" w:rsidRDefault="003034FB" w:rsidP="00AC50FA">
      <w:pPr>
        <w:autoSpaceDE w:val="0"/>
        <w:autoSpaceDN w:val="0"/>
        <w:adjustRightInd w:val="0"/>
        <w:snapToGrid w:val="0"/>
        <w:spacing w:after="0" w:line="360" w:lineRule="auto"/>
        <w:jc w:val="both"/>
        <w:rPr>
          <w:rFonts w:ascii="Book Antiqua" w:hAnsi="Book Antiqua"/>
          <w:bCs/>
          <w:iCs/>
          <w:color w:val="000000" w:themeColor="text1"/>
          <w:sz w:val="24"/>
          <w:szCs w:val="24"/>
        </w:rPr>
      </w:pPr>
    </w:p>
    <w:p w14:paraId="3140B488" w14:textId="1CD8C2DC" w:rsidR="003034FB" w:rsidRPr="00AC50FA" w:rsidRDefault="00CF2C01" w:rsidP="00AC50FA">
      <w:pPr>
        <w:adjustRightInd w:val="0"/>
        <w:snapToGrid w:val="0"/>
        <w:spacing w:after="0" w:line="360" w:lineRule="auto"/>
        <w:jc w:val="both"/>
        <w:rPr>
          <w:rFonts w:ascii="Book Antiqua" w:hAnsi="Book Antiqua"/>
          <w:bCs/>
          <w:color w:val="000000" w:themeColor="text1"/>
          <w:sz w:val="24"/>
          <w:szCs w:val="24"/>
        </w:rPr>
      </w:pPr>
      <w:r w:rsidRPr="00AC50FA">
        <w:rPr>
          <w:rFonts w:ascii="Book Antiqua" w:hAnsi="Book Antiqua"/>
          <w:b/>
          <w:color w:val="000000" w:themeColor="text1"/>
          <w:sz w:val="24"/>
          <w:szCs w:val="24"/>
        </w:rPr>
        <w:t>Informed consent statement</w:t>
      </w:r>
      <w:r w:rsidRPr="00AC50FA">
        <w:rPr>
          <w:rFonts w:ascii="Book Antiqua" w:hAnsi="Book Antiqua"/>
          <w:b/>
          <w:iCs/>
          <w:color w:val="000000" w:themeColor="text1"/>
          <w:sz w:val="24"/>
          <w:szCs w:val="24"/>
        </w:rPr>
        <w:t xml:space="preserve">: </w:t>
      </w:r>
      <w:r w:rsidR="00545036" w:rsidRPr="00545036">
        <w:rPr>
          <w:rFonts w:ascii="Book Antiqua" w:hAnsi="Book Antiqua"/>
          <w:bCs/>
          <w:iCs/>
          <w:color w:val="000000" w:themeColor="text1"/>
          <w:sz w:val="24"/>
          <w:szCs w:val="24"/>
        </w:rPr>
        <w:t xml:space="preserve">All patients </w:t>
      </w:r>
      <w:r w:rsidR="00545036">
        <w:rPr>
          <w:rFonts w:ascii="Book Antiqua" w:hAnsi="Book Antiqua"/>
          <w:bCs/>
          <w:iCs/>
          <w:color w:val="000000" w:themeColor="text1"/>
          <w:sz w:val="24"/>
          <w:szCs w:val="24"/>
        </w:rPr>
        <w:t xml:space="preserve">have </w:t>
      </w:r>
      <w:r w:rsidR="00545036" w:rsidRPr="00545036">
        <w:rPr>
          <w:rFonts w:ascii="Book Antiqua" w:hAnsi="Book Antiqua"/>
          <w:bCs/>
          <w:iCs/>
          <w:color w:val="000000" w:themeColor="text1"/>
          <w:sz w:val="24"/>
          <w:szCs w:val="24"/>
        </w:rPr>
        <w:t xml:space="preserve">signed </w:t>
      </w:r>
      <w:r w:rsidR="00545036">
        <w:rPr>
          <w:rFonts w:ascii="Book Antiqua" w:hAnsi="Book Antiqua" w:hint="eastAsia"/>
          <w:bCs/>
          <w:iCs/>
          <w:color w:val="000000" w:themeColor="text1"/>
          <w:sz w:val="24"/>
          <w:szCs w:val="24"/>
          <w:lang w:eastAsia="zh-CN"/>
        </w:rPr>
        <w:t>the</w:t>
      </w:r>
      <w:r w:rsidR="00545036">
        <w:rPr>
          <w:rFonts w:ascii="Book Antiqua" w:hAnsi="Book Antiqua"/>
          <w:bCs/>
          <w:iCs/>
          <w:color w:val="000000" w:themeColor="text1"/>
          <w:sz w:val="24"/>
          <w:szCs w:val="24"/>
          <w:lang w:eastAsia="zh-CN"/>
        </w:rPr>
        <w:t xml:space="preserve"> </w:t>
      </w:r>
      <w:r w:rsidR="00545036" w:rsidRPr="00545036">
        <w:rPr>
          <w:rFonts w:ascii="Book Antiqua" w:hAnsi="Book Antiqua"/>
          <w:bCs/>
          <w:iCs/>
          <w:color w:val="000000" w:themeColor="text1"/>
          <w:sz w:val="24"/>
          <w:szCs w:val="24"/>
        </w:rPr>
        <w:t>informed consent form</w:t>
      </w:r>
      <w:r w:rsidR="00545036">
        <w:rPr>
          <w:rFonts w:ascii="Book Antiqua" w:hAnsi="Book Antiqua"/>
          <w:bCs/>
          <w:iCs/>
          <w:color w:val="000000" w:themeColor="text1"/>
          <w:sz w:val="24"/>
          <w:szCs w:val="24"/>
        </w:rPr>
        <w:t>.</w:t>
      </w:r>
    </w:p>
    <w:p w14:paraId="1A5AA17F" w14:textId="77777777" w:rsidR="003034FB" w:rsidRPr="00AC50FA" w:rsidRDefault="003034FB" w:rsidP="00AC50FA">
      <w:pPr>
        <w:autoSpaceDE w:val="0"/>
        <w:autoSpaceDN w:val="0"/>
        <w:adjustRightInd w:val="0"/>
        <w:snapToGrid w:val="0"/>
        <w:spacing w:after="0" w:line="360" w:lineRule="auto"/>
        <w:jc w:val="both"/>
        <w:rPr>
          <w:rFonts w:ascii="Book Antiqua" w:hAnsi="Book Antiqua" w:cs="TimesNewRomanPS-BoldItalicMT"/>
          <w:bCs/>
          <w:iCs/>
          <w:color w:val="000000" w:themeColor="text1"/>
          <w:sz w:val="24"/>
          <w:szCs w:val="24"/>
        </w:rPr>
      </w:pPr>
    </w:p>
    <w:p w14:paraId="21F241AE" w14:textId="5896E5C7" w:rsidR="003034FB"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Conflict-of-interest statement</w:t>
      </w:r>
      <w:r w:rsidRPr="00AC50FA">
        <w:rPr>
          <w:rFonts w:ascii="Book Antiqua" w:hAnsi="Book Antiqua" w:cs="TimesNewRomanPS-BoldItalicMT"/>
          <w:b/>
          <w:iCs/>
          <w:color w:val="000000" w:themeColor="text1"/>
          <w:sz w:val="24"/>
          <w:szCs w:val="24"/>
        </w:rPr>
        <w:t xml:space="preserve">: </w:t>
      </w:r>
      <w:r w:rsidR="003034FB" w:rsidRPr="00AC50FA">
        <w:rPr>
          <w:rFonts w:ascii="Book Antiqua" w:hAnsi="Book Antiqua" w:cs="TimesNewRomanPS-BoldItalicMT"/>
          <w:iCs/>
          <w:color w:val="000000" w:themeColor="text1"/>
          <w:sz w:val="24"/>
          <w:szCs w:val="24"/>
        </w:rPr>
        <w:t>We have no financial relationships to disclose.</w:t>
      </w:r>
    </w:p>
    <w:p w14:paraId="65CE810E" w14:textId="77777777" w:rsidR="003034FB" w:rsidRPr="00AC50FA" w:rsidRDefault="003034FB" w:rsidP="00AC50FA">
      <w:pPr>
        <w:autoSpaceDE w:val="0"/>
        <w:autoSpaceDN w:val="0"/>
        <w:adjustRightInd w:val="0"/>
        <w:snapToGrid w:val="0"/>
        <w:spacing w:after="0" w:line="360" w:lineRule="auto"/>
        <w:jc w:val="both"/>
        <w:rPr>
          <w:rFonts w:ascii="Book Antiqua" w:hAnsi="Book Antiqua" w:cs="TimesNewRomanPS-BoldItalicMT"/>
          <w:bCs/>
          <w:iCs/>
          <w:color w:val="000000" w:themeColor="text1"/>
          <w:sz w:val="24"/>
          <w:szCs w:val="24"/>
        </w:rPr>
      </w:pPr>
    </w:p>
    <w:p w14:paraId="3E39F5EA" w14:textId="791C9F51" w:rsidR="003034FB" w:rsidRPr="00AC50FA" w:rsidRDefault="00CF2C01"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Data sharing statement</w:t>
      </w:r>
      <w:r w:rsidRPr="00AC50FA">
        <w:rPr>
          <w:rFonts w:ascii="Book Antiqua" w:hAnsi="Book Antiqua" w:cs="TimesNewRomanPS-BoldItalicMT"/>
          <w:b/>
          <w:iCs/>
          <w:color w:val="000000" w:themeColor="text1"/>
          <w:sz w:val="24"/>
          <w:szCs w:val="24"/>
        </w:rPr>
        <w:t>:</w:t>
      </w:r>
      <w:r w:rsidRPr="00AC50FA">
        <w:rPr>
          <w:rFonts w:ascii="Book Antiqua" w:hAnsi="Book Antiqua"/>
          <w:b/>
          <w:color w:val="000000" w:themeColor="text1"/>
          <w:sz w:val="24"/>
          <w:szCs w:val="24"/>
        </w:rPr>
        <w:t xml:space="preserve"> </w:t>
      </w:r>
      <w:r w:rsidR="003034FB" w:rsidRPr="00AC50FA">
        <w:rPr>
          <w:rFonts w:ascii="Book Antiqua" w:hAnsi="Book Antiqua"/>
          <w:color w:val="000000" w:themeColor="text1"/>
          <w:sz w:val="24"/>
          <w:szCs w:val="24"/>
        </w:rPr>
        <w:t>No additional data are available.</w:t>
      </w:r>
    </w:p>
    <w:p w14:paraId="509BE733" w14:textId="77777777" w:rsidR="003034FB" w:rsidRPr="00AC50FA" w:rsidRDefault="003034FB" w:rsidP="00AC50FA">
      <w:pPr>
        <w:adjustRightInd w:val="0"/>
        <w:snapToGrid w:val="0"/>
        <w:spacing w:after="0" w:line="360" w:lineRule="auto"/>
        <w:jc w:val="both"/>
        <w:rPr>
          <w:rFonts w:ascii="Book Antiqua" w:hAnsi="Book Antiqua"/>
          <w:color w:val="000000" w:themeColor="text1"/>
          <w:sz w:val="24"/>
          <w:szCs w:val="24"/>
        </w:rPr>
      </w:pPr>
    </w:p>
    <w:p w14:paraId="18842E22" w14:textId="77777777" w:rsidR="00CF2C01" w:rsidRPr="00AC50FA" w:rsidRDefault="00CF2C01" w:rsidP="00AC50FA">
      <w:pPr>
        <w:adjustRightInd w:val="0"/>
        <w:snapToGrid w:val="0"/>
        <w:spacing w:after="0" w:line="360" w:lineRule="auto"/>
        <w:jc w:val="both"/>
        <w:rPr>
          <w:rFonts w:ascii="Book Antiqua" w:hAnsi="Book Antiqua" w:cs="宋体"/>
          <w:color w:val="000000" w:themeColor="text1"/>
          <w:sz w:val="24"/>
          <w:szCs w:val="24"/>
        </w:rPr>
      </w:pPr>
      <w:r w:rsidRPr="00AC50FA">
        <w:rPr>
          <w:rFonts w:ascii="Book Antiqua" w:hAnsi="Book Antiqua"/>
          <w:b/>
          <w:color w:val="000000" w:themeColor="text1"/>
          <w:sz w:val="24"/>
          <w:szCs w:val="24"/>
        </w:rPr>
        <w:t>Open-Access:</w:t>
      </w:r>
      <w:r w:rsidRPr="00AC50FA">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AC50FA">
        <w:rPr>
          <w:rFonts w:ascii="Book Antiqua" w:hAnsi="Book Antiqua"/>
          <w:color w:val="000000" w:themeColor="text1"/>
          <w:sz w:val="24"/>
          <w:szCs w:val="24"/>
        </w:rPr>
        <w:t>NonCommercial</w:t>
      </w:r>
      <w:proofErr w:type="spellEnd"/>
      <w:r w:rsidRPr="00AC50FA">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EA89C6" w14:textId="77777777" w:rsidR="00CF2C01" w:rsidRPr="00AC50FA" w:rsidRDefault="00CF2C01" w:rsidP="00AC50FA">
      <w:pPr>
        <w:adjustRightInd w:val="0"/>
        <w:snapToGrid w:val="0"/>
        <w:spacing w:after="0" w:line="360" w:lineRule="auto"/>
        <w:jc w:val="both"/>
        <w:rPr>
          <w:rFonts w:ascii="Book Antiqua" w:hAnsi="Book Antiqua"/>
          <w:color w:val="000000" w:themeColor="text1"/>
          <w:sz w:val="24"/>
          <w:szCs w:val="24"/>
          <w:lang w:eastAsia="zh-CN"/>
        </w:rPr>
      </w:pPr>
    </w:p>
    <w:p w14:paraId="3DB425FB" w14:textId="77777777" w:rsidR="00CF2C01" w:rsidRPr="00AC50FA" w:rsidRDefault="00CF2C01" w:rsidP="00AC50FA">
      <w:pPr>
        <w:adjustRightInd w:val="0"/>
        <w:snapToGrid w:val="0"/>
        <w:spacing w:after="0" w:line="360" w:lineRule="auto"/>
        <w:jc w:val="both"/>
        <w:rPr>
          <w:rFonts w:ascii="Book Antiqua" w:hAnsi="Book Antiqua"/>
          <w:bCs/>
          <w:color w:val="000000" w:themeColor="text1"/>
          <w:sz w:val="24"/>
          <w:szCs w:val="24"/>
          <w:lang w:eastAsia="zh-CN"/>
        </w:rPr>
      </w:pPr>
      <w:r w:rsidRPr="00AC50FA">
        <w:rPr>
          <w:rFonts w:ascii="Book Antiqua" w:hAnsi="Book Antiqua"/>
          <w:b/>
          <w:color w:val="000000" w:themeColor="text1"/>
          <w:sz w:val="24"/>
          <w:szCs w:val="24"/>
          <w:lang w:eastAsia="pl-PL"/>
        </w:rPr>
        <w:t>Manuscript source:</w:t>
      </w:r>
      <w:r w:rsidRPr="00AC50FA">
        <w:rPr>
          <w:rFonts w:ascii="Book Antiqua" w:hAnsi="Book Antiqua"/>
          <w:b/>
          <w:color w:val="000000" w:themeColor="text1"/>
          <w:sz w:val="24"/>
          <w:szCs w:val="24"/>
          <w:lang w:eastAsia="zh-CN"/>
        </w:rPr>
        <w:t xml:space="preserve"> </w:t>
      </w:r>
      <w:r w:rsidRPr="00AC50FA">
        <w:rPr>
          <w:rFonts w:ascii="Book Antiqua" w:hAnsi="Book Antiqua"/>
          <w:color w:val="000000" w:themeColor="text1"/>
          <w:sz w:val="24"/>
          <w:szCs w:val="24"/>
          <w:lang w:eastAsia="pl-PL"/>
        </w:rPr>
        <w:t>Unsolicited manuscript</w:t>
      </w:r>
    </w:p>
    <w:p w14:paraId="503000FB" w14:textId="77777777" w:rsidR="003034FB" w:rsidRPr="00AC50FA" w:rsidRDefault="003034FB" w:rsidP="00AC50FA">
      <w:pPr>
        <w:adjustRightInd w:val="0"/>
        <w:snapToGrid w:val="0"/>
        <w:spacing w:after="0" w:line="360" w:lineRule="auto"/>
        <w:jc w:val="both"/>
        <w:rPr>
          <w:rFonts w:ascii="Book Antiqua" w:hAnsi="Book Antiqua"/>
          <w:b/>
          <w:bCs/>
          <w:color w:val="000000" w:themeColor="text1"/>
          <w:sz w:val="24"/>
          <w:szCs w:val="24"/>
          <w:lang w:eastAsia="zh-CN"/>
        </w:rPr>
      </w:pPr>
    </w:p>
    <w:p w14:paraId="027D05DE" w14:textId="1B521212" w:rsidR="003034FB" w:rsidRPr="00AC50FA" w:rsidRDefault="003034FB" w:rsidP="00AC50FA">
      <w:pPr>
        <w:adjustRightInd w:val="0"/>
        <w:snapToGrid w:val="0"/>
        <w:spacing w:after="0" w:line="360" w:lineRule="auto"/>
        <w:jc w:val="both"/>
        <w:rPr>
          <w:rFonts w:ascii="Book Antiqua" w:hAnsi="Book Antiqua"/>
          <w:bCs/>
          <w:color w:val="000000" w:themeColor="text1"/>
          <w:sz w:val="24"/>
          <w:szCs w:val="24"/>
          <w:lang w:eastAsia="zh-CN"/>
        </w:rPr>
      </w:pPr>
      <w:r w:rsidRPr="00AC50FA">
        <w:rPr>
          <w:rFonts w:ascii="Book Antiqua" w:hAnsi="Book Antiqua"/>
          <w:b/>
          <w:color w:val="000000" w:themeColor="text1"/>
          <w:sz w:val="24"/>
          <w:szCs w:val="24"/>
        </w:rPr>
        <w:t>Peer-review started:</w:t>
      </w:r>
      <w:r w:rsidRPr="00AC50FA">
        <w:rPr>
          <w:rFonts w:ascii="Book Antiqua" w:hAnsi="Book Antiqua"/>
          <w:bCs/>
          <w:color w:val="000000" w:themeColor="text1"/>
          <w:sz w:val="24"/>
          <w:szCs w:val="24"/>
          <w:lang w:eastAsia="zh-CN"/>
        </w:rPr>
        <w:t xml:space="preserve"> </w:t>
      </w:r>
      <w:r w:rsidR="00CF2C01" w:rsidRPr="00AC50FA">
        <w:rPr>
          <w:rFonts w:ascii="Book Antiqua" w:hAnsi="Book Antiqua"/>
          <w:bCs/>
          <w:color w:val="000000" w:themeColor="text1"/>
          <w:sz w:val="24"/>
          <w:szCs w:val="24"/>
          <w:lang w:eastAsia="zh-CN"/>
        </w:rPr>
        <w:t>November 13, 2019</w:t>
      </w:r>
    </w:p>
    <w:p w14:paraId="1156D8A3" w14:textId="1CCC930C" w:rsidR="003034FB" w:rsidRPr="00AC50FA" w:rsidRDefault="003034FB" w:rsidP="00AC50FA">
      <w:pPr>
        <w:adjustRightInd w:val="0"/>
        <w:snapToGrid w:val="0"/>
        <w:spacing w:after="0" w:line="360" w:lineRule="auto"/>
        <w:jc w:val="both"/>
        <w:rPr>
          <w:rFonts w:ascii="Book Antiqua" w:hAnsi="Book Antiqua"/>
          <w:b/>
          <w:color w:val="000000" w:themeColor="text1"/>
          <w:sz w:val="24"/>
          <w:szCs w:val="24"/>
          <w:lang w:eastAsia="zh-CN"/>
        </w:rPr>
      </w:pPr>
      <w:r w:rsidRPr="00AC50FA">
        <w:rPr>
          <w:rFonts w:ascii="Book Antiqua" w:hAnsi="Book Antiqua"/>
          <w:b/>
          <w:color w:val="000000" w:themeColor="text1"/>
          <w:sz w:val="24"/>
          <w:szCs w:val="24"/>
        </w:rPr>
        <w:t>First decision:</w:t>
      </w:r>
      <w:r w:rsidRPr="00AC50FA">
        <w:rPr>
          <w:rFonts w:ascii="Book Antiqua" w:hAnsi="Book Antiqua"/>
          <w:b/>
          <w:color w:val="000000" w:themeColor="text1"/>
          <w:sz w:val="24"/>
          <w:szCs w:val="24"/>
          <w:lang w:eastAsia="zh-CN"/>
        </w:rPr>
        <w:t xml:space="preserve"> </w:t>
      </w:r>
      <w:r w:rsidR="00CF2C01" w:rsidRPr="00AC50FA">
        <w:rPr>
          <w:rFonts w:ascii="Book Antiqua" w:hAnsi="Book Antiqua"/>
          <w:bCs/>
          <w:color w:val="000000" w:themeColor="text1"/>
          <w:sz w:val="24"/>
          <w:szCs w:val="24"/>
          <w:lang w:eastAsia="zh-CN"/>
        </w:rPr>
        <w:t>March 15, 2020</w:t>
      </w:r>
    </w:p>
    <w:p w14:paraId="4BC1A787" w14:textId="77777777" w:rsidR="003034FB" w:rsidRPr="00AC50FA" w:rsidRDefault="003034FB" w:rsidP="00AC50FA">
      <w:pPr>
        <w:adjustRightInd w:val="0"/>
        <w:snapToGrid w:val="0"/>
        <w:spacing w:after="0" w:line="360" w:lineRule="auto"/>
        <w:jc w:val="both"/>
        <w:rPr>
          <w:rFonts w:ascii="Book Antiqua" w:hAnsi="Book Antiqua"/>
          <w:b/>
          <w:color w:val="000000" w:themeColor="text1"/>
          <w:sz w:val="24"/>
          <w:szCs w:val="24"/>
        </w:rPr>
      </w:pPr>
      <w:r w:rsidRPr="00AC50FA">
        <w:rPr>
          <w:rFonts w:ascii="Book Antiqua" w:hAnsi="Book Antiqua"/>
          <w:b/>
          <w:color w:val="000000" w:themeColor="text1"/>
          <w:sz w:val="24"/>
          <w:szCs w:val="24"/>
        </w:rPr>
        <w:t>Article in press:</w:t>
      </w:r>
    </w:p>
    <w:p w14:paraId="5F44CD5E" w14:textId="77777777" w:rsidR="003034FB" w:rsidRPr="00AC50FA" w:rsidRDefault="003034FB" w:rsidP="00AC50FA">
      <w:pPr>
        <w:adjustRightInd w:val="0"/>
        <w:snapToGrid w:val="0"/>
        <w:spacing w:after="0" w:line="360" w:lineRule="auto"/>
        <w:jc w:val="both"/>
        <w:rPr>
          <w:rFonts w:ascii="Book Antiqua" w:hAnsi="Book Antiqua"/>
          <w:color w:val="000000" w:themeColor="text1"/>
          <w:sz w:val="24"/>
          <w:szCs w:val="24"/>
          <w:lang w:eastAsia="zh-CN"/>
        </w:rPr>
      </w:pPr>
    </w:p>
    <w:p w14:paraId="6D877B7E" w14:textId="16CA512D" w:rsidR="003034FB" w:rsidRPr="00AC50FA" w:rsidRDefault="003034FB" w:rsidP="00AC50FA">
      <w:pPr>
        <w:adjustRightInd w:val="0"/>
        <w:snapToGrid w:val="0"/>
        <w:spacing w:after="0" w:line="360" w:lineRule="auto"/>
        <w:jc w:val="both"/>
        <w:rPr>
          <w:rFonts w:ascii="Book Antiqua" w:eastAsia="微软雅黑" w:hAnsi="Book Antiqua" w:cs="宋体"/>
          <w:color w:val="000000" w:themeColor="text1"/>
          <w:sz w:val="24"/>
          <w:szCs w:val="24"/>
          <w:lang w:eastAsia="zh-CN"/>
        </w:rPr>
      </w:pPr>
      <w:r w:rsidRPr="00AC50FA">
        <w:rPr>
          <w:rFonts w:ascii="Book Antiqua" w:hAnsi="Book Antiqua" w:cs="宋体"/>
          <w:b/>
          <w:color w:val="000000" w:themeColor="text1"/>
          <w:sz w:val="24"/>
          <w:szCs w:val="24"/>
          <w:lang w:eastAsia="zh-CN"/>
        </w:rPr>
        <w:t xml:space="preserve">Specialty type: </w:t>
      </w:r>
      <w:r w:rsidR="00CF2C01" w:rsidRPr="00AC50FA">
        <w:rPr>
          <w:rFonts w:ascii="Book Antiqua" w:eastAsia="微软雅黑" w:hAnsi="Book Antiqua" w:cs="宋体"/>
          <w:color w:val="000000" w:themeColor="text1"/>
          <w:sz w:val="24"/>
          <w:szCs w:val="24"/>
          <w:lang w:eastAsia="zh-CN"/>
        </w:rPr>
        <w:t xml:space="preserve">Medicine, </w:t>
      </w:r>
      <w:r w:rsidR="00AC301F" w:rsidRPr="00AC50FA">
        <w:rPr>
          <w:rFonts w:ascii="Book Antiqua" w:eastAsia="微软雅黑" w:hAnsi="Book Antiqua" w:cs="宋体"/>
          <w:color w:val="000000" w:themeColor="text1"/>
          <w:sz w:val="24"/>
          <w:szCs w:val="24"/>
          <w:lang w:eastAsia="zh-CN"/>
        </w:rPr>
        <w:t>r</w:t>
      </w:r>
      <w:r w:rsidR="00CF2C01" w:rsidRPr="00AC50FA">
        <w:rPr>
          <w:rFonts w:ascii="Book Antiqua" w:eastAsia="微软雅黑" w:hAnsi="Book Antiqua" w:cs="宋体"/>
          <w:color w:val="000000" w:themeColor="text1"/>
          <w:sz w:val="24"/>
          <w:szCs w:val="24"/>
          <w:lang w:eastAsia="zh-CN"/>
        </w:rPr>
        <w:t xml:space="preserve">esearch and </w:t>
      </w:r>
      <w:r w:rsidR="00AC301F" w:rsidRPr="00AC50FA">
        <w:rPr>
          <w:rFonts w:ascii="Book Antiqua" w:eastAsia="微软雅黑" w:hAnsi="Book Antiqua" w:cs="宋体"/>
          <w:color w:val="000000" w:themeColor="text1"/>
          <w:sz w:val="24"/>
          <w:szCs w:val="24"/>
          <w:lang w:eastAsia="zh-CN"/>
        </w:rPr>
        <w:t>e</w:t>
      </w:r>
      <w:r w:rsidR="00CF2C01" w:rsidRPr="00AC50FA">
        <w:rPr>
          <w:rFonts w:ascii="Book Antiqua" w:eastAsia="微软雅黑" w:hAnsi="Book Antiqua" w:cs="宋体"/>
          <w:color w:val="000000" w:themeColor="text1"/>
          <w:sz w:val="24"/>
          <w:szCs w:val="24"/>
          <w:lang w:eastAsia="zh-CN"/>
        </w:rPr>
        <w:t>xperimental</w:t>
      </w:r>
    </w:p>
    <w:p w14:paraId="019983A5" w14:textId="25625D5A"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b/>
          <w:color w:val="000000" w:themeColor="text1"/>
          <w:sz w:val="24"/>
          <w:szCs w:val="24"/>
          <w:lang w:eastAsia="zh-CN"/>
        </w:rPr>
        <w:t xml:space="preserve">Country of origin: </w:t>
      </w:r>
      <w:r w:rsidRPr="00AC50FA">
        <w:rPr>
          <w:rFonts w:ascii="Book Antiqua" w:hAnsi="Book Antiqua" w:cs="宋体"/>
          <w:color w:val="000000" w:themeColor="text1"/>
          <w:sz w:val="24"/>
          <w:szCs w:val="24"/>
          <w:lang w:eastAsia="zh-CN"/>
        </w:rPr>
        <w:t>China</w:t>
      </w:r>
    </w:p>
    <w:p w14:paraId="795BEF95" w14:textId="77777777" w:rsidR="003034FB" w:rsidRPr="00AC50FA" w:rsidRDefault="003034FB" w:rsidP="00AC50FA">
      <w:pPr>
        <w:adjustRightInd w:val="0"/>
        <w:snapToGrid w:val="0"/>
        <w:spacing w:after="0" w:line="360" w:lineRule="auto"/>
        <w:jc w:val="both"/>
        <w:rPr>
          <w:rFonts w:ascii="Book Antiqua" w:hAnsi="Book Antiqua" w:cs="宋体"/>
          <w:b/>
          <w:color w:val="000000" w:themeColor="text1"/>
          <w:sz w:val="24"/>
          <w:szCs w:val="24"/>
          <w:lang w:eastAsia="zh-CN"/>
        </w:rPr>
      </w:pPr>
      <w:r w:rsidRPr="00AC50FA">
        <w:rPr>
          <w:rFonts w:ascii="Book Antiqua" w:hAnsi="Book Antiqua" w:cs="宋体"/>
          <w:b/>
          <w:color w:val="000000" w:themeColor="text1"/>
          <w:sz w:val="24"/>
          <w:szCs w:val="24"/>
          <w:lang w:eastAsia="zh-CN"/>
        </w:rPr>
        <w:t>Peer-review report classification</w:t>
      </w:r>
    </w:p>
    <w:p w14:paraId="5703327F" w14:textId="34D4050D"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color w:val="000000" w:themeColor="text1"/>
          <w:sz w:val="24"/>
          <w:szCs w:val="24"/>
          <w:lang w:eastAsia="zh-CN"/>
        </w:rPr>
        <w:t>Grade A (Excellent): 0</w:t>
      </w:r>
    </w:p>
    <w:p w14:paraId="30B511D2" w14:textId="5D55819B"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color w:val="000000" w:themeColor="text1"/>
          <w:sz w:val="24"/>
          <w:szCs w:val="24"/>
          <w:lang w:eastAsia="zh-CN"/>
        </w:rPr>
        <w:t>Grade B (Very good): 0</w:t>
      </w:r>
    </w:p>
    <w:p w14:paraId="2D797D68" w14:textId="4D32BC20"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color w:val="000000" w:themeColor="text1"/>
          <w:sz w:val="24"/>
          <w:szCs w:val="24"/>
          <w:lang w:eastAsia="zh-CN"/>
        </w:rPr>
        <w:lastRenderedPageBreak/>
        <w:t>Grade C (Good): C, C</w:t>
      </w:r>
    </w:p>
    <w:p w14:paraId="28CCC9A3" w14:textId="649034EF" w:rsidR="003034FB" w:rsidRPr="00AC50FA" w:rsidRDefault="003034FB" w:rsidP="00AC50FA">
      <w:pPr>
        <w:adjustRightInd w:val="0"/>
        <w:snapToGrid w:val="0"/>
        <w:spacing w:after="0" w:line="360" w:lineRule="auto"/>
        <w:jc w:val="both"/>
        <w:rPr>
          <w:rFonts w:ascii="Book Antiqua" w:hAnsi="Book Antiqua" w:cs="宋体"/>
          <w:color w:val="000000" w:themeColor="text1"/>
          <w:sz w:val="24"/>
          <w:szCs w:val="24"/>
          <w:lang w:eastAsia="zh-CN"/>
        </w:rPr>
      </w:pPr>
      <w:r w:rsidRPr="00AC50FA">
        <w:rPr>
          <w:rFonts w:ascii="Book Antiqua" w:hAnsi="Book Antiqua" w:cs="宋体"/>
          <w:color w:val="000000" w:themeColor="text1"/>
          <w:sz w:val="24"/>
          <w:szCs w:val="24"/>
          <w:lang w:eastAsia="zh-CN"/>
        </w:rPr>
        <w:t>Grade D (Fair): D</w:t>
      </w:r>
    </w:p>
    <w:p w14:paraId="5360374C" w14:textId="77777777" w:rsidR="003034FB" w:rsidRPr="00AC50FA" w:rsidRDefault="003034FB" w:rsidP="00AC50FA">
      <w:pPr>
        <w:adjustRightInd w:val="0"/>
        <w:snapToGrid w:val="0"/>
        <w:spacing w:after="0" w:line="360" w:lineRule="auto"/>
        <w:jc w:val="both"/>
        <w:rPr>
          <w:rFonts w:ascii="Book Antiqua" w:eastAsia="等线" w:hAnsi="Book Antiqua"/>
          <w:color w:val="000000" w:themeColor="text1"/>
          <w:sz w:val="24"/>
          <w:szCs w:val="24"/>
          <w:lang w:val="hu-HU" w:eastAsia="zh-CN"/>
        </w:rPr>
      </w:pPr>
      <w:r w:rsidRPr="00AC50FA">
        <w:rPr>
          <w:rFonts w:ascii="Book Antiqua" w:hAnsi="Book Antiqua" w:cs="宋体"/>
          <w:color w:val="000000" w:themeColor="text1"/>
          <w:sz w:val="24"/>
          <w:szCs w:val="24"/>
          <w:lang w:eastAsia="zh-CN"/>
        </w:rPr>
        <w:t>Grade E (Poor): 0</w:t>
      </w:r>
    </w:p>
    <w:p w14:paraId="2D364A95" w14:textId="77777777" w:rsidR="003034FB" w:rsidRPr="00AC50FA" w:rsidRDefault="003034FB" w:rsidP="00AC50FA">
      <w:pPr>
        <w:adjustRightInd w:val="0"/>
        <w:snapToGrid w:val="0"/>
        <w:spacing w:after="0" w:line="360" w:lineRule="auto"/>
        <w:jc w:val="both"/>
        <w:rPr>
          <w:rFonts w:ascii="Book Antiqua" w:hAnsi="Book Antiqua"/>
          <w:b/>
          <w:bCs/>
          <w:color w:val="000000" w:themeColor="text1"/>
          <w:sz w:val="24"/>
          <w:szCs w:val="24"/>
          <w:lang w:val="hu-HU" w:eastAsia="zh-CN"/>
        </w:rPr>
      </w:pPr>
    </w:p>
    <w:p w14:paraId="2A3F0029" w14:textId="2B12C629" w:rsidR="00244EC4" w:rsidRPr="00AC50FA" w:rsidRDefault="003034FB" w:rsidP="00AC50FA">
      <w:pPr>
        <w:snapToGrid w:val="0"/>
        <w:spacing w:after="0" w:line="360" w:lineRule="auto"/>
        <w:jc w:val="both"/>
        <w:rPr>
          <w:rFonts w:ascii="Book Antiqua" w:eastAsia="宋体" w:hAnsi="Book Antiqua" w:cs="宋体"/>
          <w:color w:val="000000" w:themeColor="text1"/>
          <w:sz w:val="24"/>
          <w:szCs w:val="24"/>
          <w:lang w:eastAsia="zh-CN"/>
        </w:rPr>
      </w:pPr>
      <w:r w:rsidRPr="00AC50FA">
        <w:rPr>
          <w:rFonts w:ascii="Book Antiqua" w:hAnsi="Book Antiqua"/>
          <w:b/>
          <w:color w:val="000000" w:themeColor="text1"/>
          <w:sz w:val="24"/>
          <w:szCs w:val="24"/>
        </w:rPr>
        <w:t xml:space="preserve">P-Reviewer: </w:t>
      </w:r>
      <w:r w:rsidR="00CF2C01" w:rsidRPr="00AC50FA">
        <w:rPr>
          <w:rFonts w:ascii="Book Antiqua" w:eastAsia="宋体" w:hAnsi="Book Antiqua" w:cs="宋体"/>
          <w:color w:val="000000" w:themeColor="text1"/>
          <w:sz w:val="24"/>
          <w:szCs w:val="24"/>
          <w:shd w:val="clear" w:color="auto" w:fill="FFFFFF"/>
          <w:lang w:eastAsia="zh-CN"/>
        </w:rPr>
        <w:t>Sugawara</w:t>
      </w:r>
      <w:r w:rsidR="00CF2C01" w:rsidRPr="00AC50FA">
        <w:rPr>
          <w:rFonts w:ascii="Book Antiqua" w:eastAsia="宋体" w:hAnsi="Book Antiqua" w:cs="宋体"/>
          <w:color w:val="000000" w:themeColor="text1"/>
          <w:sz w:val="24"/>
          <w:szCs w:val="24"/>
          <w:lang w:eastAsia="zh-CN"/>
        </w:rPr>
        <w:t xml:space="preserve"> Y, </w:t>
      </w:r>
      <w:r w:rsidR="00CF2C01" w:rsidRPr="00AC50FA">
        <w:rPr>
          <w:rFonts w:ascii="Book Antiqua" w:eastAsia="宋体" w:hAnsi="Book Antiqua" w:cs="宋体"/>
          <w:color w:val="000000" w:themeColor="text1"/>
          <w:sz w:val="24"/>
          <w:szCs w:val="24"/>
          <w:shd w:val="clear" w:color="auto" w:fill="FFFFFF"/>
          <w:lang w:eastAsia="zh-CN"/>
        </w:rPr>
        <w:t>Takaki</w:t>
      </w:r>
      <w:r w:rsidR="00CF2C01" w:rsidRPr="00AC50FA">
        <w:rPr>
          <w:rFonts w:ascii="Book Antiqua" w:eastAsia="宋体" w:hAnsi="Book Antiqua" w:cs="宋体"/>
          <w:color w:val="000000" w:themeColor="text1"/>
          <w:sz w:val="24"/>
          <w:szCs w:val="24"/>
          <w:lang w:eastAsia="zh-CN"/>
        </w:rPr>
        <w:t xml:space="preserve"> A, </w:t>
      </w:r>
      <w:proofErr w:type="spellStart"/>
      <w:r w:rsidR="00CF2C01" w:rsidRPr="00AC50FA">
        <w:rPr>
          <w:rFonts w:ascii="Book Antiqua" w:eastAsia="宋体" w:hAnsi="Book Antiqua" w:cs="宋体"/>
          <w:color w:val="000000" w:themeColor="text1"/>
          <w:sz w:val="24"/>
          <w:szCs w:val="24"/>
          <w:shd w:val="clear" w:color="auto" w:fill="FFFFFF"/>
          <w:lang w:eastAsia="zh-CN"/>
        </w:rPr>
        <w:t>Tomizawa</w:t>
      </w:r>
      <w:proofErr w:type="spellEnd"/>
      <w:r w:rsidR="00CF2C01" w:rsidRPr="00AC50FA">
        <w:rPr>
          <w:rFonts w:ascii="Book Antiqua" w:eastAsia="宋体" w:hAnsi="Book Antiqua" w:cs="宋体"/>
          <w:color w:val="000000" w:themeColor="text1"/>
          <w:sz w:val="24"/>
          <w:szCs w:val="24"/>
          <w:lang w:eastAsia="zh-CN"/>
        </w:rPr>
        <w:t xml:space="preserve"> M </w:t>
      </w:r>
      <w:r w:rsidRPr="00AC50FA">
        <w:rPr>
          <w:rFonts w:ascii="Book Antiqua" w:hAnsi="Book Antiqua"/>
          <w:b/>
          <w:color w:val="000000" w:themeColor="text1"/>
          <w:sz w:val="24"/>
          <w:szCs w:val="24"/>
        </w:rPr>
        <w:t>S-Editor:</w:t>
      </w:r>
      <w:r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lang w:eastAsia="zh-CN"/>
        </w:rPr>
        <w:t>Dou Y</w:t>
      </w:r>
      <w:r w:rsidRPr="00AC50FA">
        <w:rPr>
          <w:rFonts w:ascii="Book Antiqua" w:hAnsi="Book Antiqua"/>
          <w:color w:val="000000" w:themeColor="text1"/>
          <w:sz w:val="24"/>
          <w:szCs w:val="24"/>
        </w:rPr>
        <w:t xml:space="preserve"> </w:t>
      </w:r>
      <w:r w:rsidRPr="00AC50FA">
        <w:rPr>
          <w:rFonts w:ascii="Book Antiqua" w:hAnsi="Book Antiqua"/>
          <w:b/>
          <w:color w:val="000000" w:themeColor="text1"/>
          <w:sz w:val="24"/>
          <w:szCs w:val="24"/>
        </w:rPr>
        <w:t>L-Editor:</w:t>
      </w:r>
      <w:r w:rsidRPr="00AC50FA">
        <w:rPr>
          <w:rFonts w:ascii="Book Antiqua" w:hAnsi="Book Antiqua"/>
          <w:color w:val="000000" w:themeColor="text1"/>
          <w:sz w:val="24"/>
          <w:szCs w:val="24"/>
        </w:rPr>
        <w:t xml:space="preserve"> </w:t>
      </w:r>
      <w:r w:rsidRPr="00AC50FA">
        <w:rPr>
          <w:rFonts w:ascii="Book Antiqua" w:hAnsi="Book Antiqua"/>
          <w:b/>
          <w:color w:val="000000" w:themeColor="text1"/>
          <w:sz w:val="24"/>
          <w:szCs w:val="24"/>
        </w:rPr>
        <w:t>E-Editor:</w:t>
      </w:r>
    </w:p>
    <w:p w14:paraId="6D381223" w14:textId="77777777" w:rsidR="00244EC4" w:rsidRPr="00AC50FA" w:rsidRDefault="00244EC4"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br w:type="page"/>
      </w:r>
    </w:p>
    <w:p w14:paraId="56834374" w14:textId="77777777" w:rsidR="00CF2C01" w:rsidRPr="00AC50FA" w:rsidRDefault="00CF2C01" w:rsidP="00AC50FA">
      <w:pPr>
        <w:adjustRightInd w:val="0"/>
        <w:snapToGrid w:val="0"/>
        <w:spacing w:after="0" w:line="360" w:lineRule="auto"/>
        <w:jc w:val="both"/>
        <w:rPr>
          <w:rFonts w:ascii="Book Antiqua" w:hAnsi="Book Antiqua"/>
          <w:b/>
          <w:color w:val="000000" w:themeColor="text1"/>
          <w:sz w:val="24"/>
          <w:szCs w:val="24"/>
          <w:lang w:eastAsia="zh-CN"/>
        </w:rPr>
      </w:pPr>
      <w:r w:rsidRPr="00AC50FA">
        <w:rPr>
          <w:rFonts w:ascii="Book Antiqua" w:hAnsi="Book Antiqua"/>
          <w:b/>
          <w:color w:val="000000" w:themeColor="text1"/>
          <w:sz w:val="24"/>
          <w:szCs w:val="24"/>
        </w:rPr>
        <w:lastRenderedPageBreak/>
        <w:t>Figure Legends</w:t>
      </w:r>
    </w:p>
    <w:p w14:paraId="56DFAC18" w14:textId="5192C1D5" w:rsidR="00CF2C01" w:rsidRPr="00AC50FA" w:rsidRDefault="00CF2C01"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noProof/>
          <w:color w:val="000000" w:themeColor="text1"/>
          <w:sz w:val="24"/>
          <w:szCs w:val="24"/>
          <w:lang w:eastAsia="zh-CN"/>
        </w:rPr>
        <w:drawing>
          <wp:inline distT="0" distB="0" distL="0" distR="0" wp14:anchorId="3220DD28" wp14:editId="31D120D9">
            <wp:extent cx="5943600" cy="2137410"/>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37410"/>
                    </a:xfrm>
                    <a:prstGeom prst="rect">
                      <a:avLst/>
                    </a:prstGeom>
                  </pic:spPr>
                </pic:pic>
              </a:graphicData>
            </a:graphic>
          </wp:inline>
        </w:drawing>
      </w:r>
      <w:r w:rsidRPr="00AC50FA">
        <w:rPr>
          <w:rFonts w:ascii="Book Antiqua" w:hAnsi="Book Antiqua"/>
          <w:b/>
          <w:bCs/>
          <w:color w:val="000000" w:themeColor="text1"/>
          <w:sz w:val="24"/>
          <w:szCs w:val="24"/>
          <w:lang w:val="en-GB"/>
        </w:rPr>
        <w:t xml:space="preserve">Figure 1 Outcomes of stereotactic body radiotherapy. </w:t>
      </w:r>
      <w:r w:rsidRPr="00AC50FA">
        <w:rPr>
          <w:rFonts w:ascii="Book Antiqua" w:hAnsi="Book Antiqua"/>
          <w:color w:val="000000" w:themeColor="text1"/>
          <w:sz w:val="24"/>
          <w:szCs w:val="24"/>
          <w:lang w:val="en-GB" w:eastAsia="zh-CN"/>
        </w:rPr>
        <w:t xml:space="preserve">A: </w:t>
      </w:r>
      <w:r w:rsidRPr="00AC50FA">
        <w:rPr>
          <w:rFonts w:ascii="Book Antiqua" w:hAnsi="Book Antiqua"/>
          <w:color w:val="000000" w:themeColor="text1"/>
          <w:sz w:val="24"/>
          <w:szCs w:val="24"/>
          <w:lang w:val="en-GB"/>
        </w:rPr>
        <w:t xml:space="preserve">Best local response according the </w:t>
      </w:r>
      <w:r w:rsidR="00B41683" w:rsidRPr="00AC50FA">
        <w:rPr>
          <w:rFonts w:ascii="Book Antiqua" w:hAnsi="Book Antiqua"/>
          <w:color w:val="000000" w:themeColor="text1"/>
          <w:sz w:val="24"/>
          <w:szCs w:val="24"/>
          <w:lang w:val="en-GB"/>
        </w:rPr>
        <w:t xml:space="preserve">Modified response Evaluation Criteria for Solid Tumours </w:t>
      </w:r>
      <w:r w:rsidRPr="00AC50FA">
        <w:rPr>
          <w:rFonts w:ascii="Book Antiqua" w:hAnsi="Book Antiqua"/>
          <w:color w:val="000000" w:themeColor="text1"/>
          <w:sz w:val="24"/>
          <w:szCs w:val="24"/>
          <w:lang w:val="en-GB"/>
        </w:rPr>
        <w:t>criteria; B: Pattern of disease progression after stereotactic body radiotherapy.</w:t>
      </w:r>
    </w:p>
    <w:p w14:paraId="5DD9EB56" w14:textId="77777777" w:rsidR="00CF2C01" w:rsidRPr="00AC50FA" w:rsidRDefault="00CF2C01"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br w:type="page"/>
      </w:r>
    </w:p>
    <w:p w14:paraId="028ABE21" w14:textId="77777777" w:rsidR="005111C0" w:rsidRDefault="00CF2C01" w:rsidP="00AC50FA">
      <w:pPr>
        <w:snapToGrid w:val="0"/>
        <w:spacing w:after="0" w:line="360" w:lineRule="auto"/>
        <w:jc w:val="both"/>
        <w:rPr>
          <w:rFonts w:ascii="Book Antiqua" w:hAnsi="Book Antiqua"/>
          <w:b/>
          <w:bCs/>
          <w:color w:val="000000" w:themeColor="text1"/>
          <w:sz w:val="24"/>
          <w:szCs w:val="24"/>
          <w:lang w:val="en-GB"/>
        </w:rPr>
      </w:pPr>
      <w:r w:rsidRPr="00AC50FA">
        <w:rPr>
          <w:rFonts w:ascii="Book Antiqua" w:hAnsi="Book Antiqua"/>
          <w:noProof/>
          <w:color w:val="000000" w:themeColor="text1"/>
          <w:sz w:val="24"/>
          <w:szCs w:val="24"/>
          <w:lang w:eastAsia="zh-CN"/>
        </w:rPr>
        <w:lastRenderedPageBreak/>
        <w:drawing>
          <wp:inline distT="0" distB="0" distL="0" distR="0" wp14:anchorId="3EE5EC17" wp14:editId="36D0C7B8">
            <wp:extent cx="4324964" cy="3167482"/>
            <wp:effectExtent l="0" t="0" r="0" b="0"/>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7631" cy="3169436"/>
                    </a:xfrm>
                    <a:prstGeom prst="rect">
                      <a:avLst/>
                    </a:prstGeom>
                  </pic:spPr>
                </pic:pic>
              </a:graphicData>
            </a:graphic>
          </wp:inline>
        </w:drawing>
      </w:r>
    </w:p>
    <w:p w14:paraId="52976D94" w14:textId="1FACBB20" w:rsidR="00CF2C01" w:rsidRPr="00AC50FA" w:rsidRDefault="00CF2C01"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b/>
          <w:bCs/>
          <w:color w:val="000000" w:themeColor="text1"/>
          <w:sz w:val="24"/>
          <w:szCs w:val="24"/>
          <w:lang w:val="en-GB"/>
        </w:rPr>
        <w:t xml:space="preserve">Figure 2 Kaplan Meier curve denoting disease progression-free survival after stereotactic body radiotherapy. </w:t>
      </w:r>
      <w:r w:rsidRPr="00545036">
        <w:rPr>
          <w:rFonts w:ascii="Book Antiqua" w:hAnsi="Book Antiqua"/>
          <w:color w:val="000000" w:themeColor="text1"/>
          <w:sz w:val="24"/>
          <w:szCs w:val="24"/>
          <w:lang w:val="en-GB"/>
        </w:rPr>
        <w:t xml:space="preserve">SBRT: </w:t>
      </w:r>
      <w:r w:rsidR="00545036" w:rsidRPr="00545036">
        <w:rPr>
          <w:rFonts w:ascii="Book Antiqua" w:hAnsi="Book Antiqua"/>
          <w:color w:val="000000" w:themeColor="text1"/>
          <w:sz w:val="24"/>
          <w:szCs w:val="24"/>
          <w:lang w:val="en-GB"/>
        </w:rPr>
        <w:t>Stereotactic body radiation therapy.</w:t>
      </w:r>
    </w:p>
    <w:p w14:paraId="1653966B" w14:textId="77777777"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br w:type="page"/>
      </w:r>
    </w:p>
    <w:p w14:paraId="34FAD511" w14:textId="5B5DB04A"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noProof/>
          <w:color w:val="000000" w:themeColor="text1"/>
          <w:sz w:val="24"/>
          <w:szCs w:val="24"/>
          <w:lang w:eastAsia="zh-CN"/>
        </w:rPr>
        <w:lastRenderedPageBreak/>
        <w:drawing>
          <wp:inline distT="0" distB="0" distL="0" distR="0" wp14:anchorId="0F8BE90A" wp14:editId="0577E2AD">
            <wp:extent cx="5943600" cy="4438650"/>
            <wp:effectExtent l="0" t="0" r="0" b="6350"/>
            <wp:docPr id="9" name="图片 9" descr="图片包含 照片, 不同, 塑料,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38650"/>
                    </a:xfrm>
                    <a:prstGeom prst="rect">
                      <a:avLst/>
                    </a:prstGeom>
                  </pic:spPr>
                </pic:pic>
              </a:graphicData>
            </a:graphic>
          </wp:inline>
        </w:drawing>
      </w:r>
      <w:r w:rsidRPr="00AC50FA">
        <w:rPr>
          <w:rFonts w:ascii="Book Antiqua" w:hAnsi="Book Antiqua"/>
          <w:b/>
          <w:bCs/>
          <w:color w:val="000000" w:themeColor="text1"/>
          <w:sz w:val="24"/>
          <w:szCs w:val="24"/>
        </w:rPr>
        <w:t xml:space="preserve">Figure 3 Representative images of patient No. 2. </w:t>
      </w:r>
      <w:r w:rsidRPr="00AC50FA">
        <w:rPr>
          <w:rFonts w:ascii="Book Antiqua" w:hAnsi="Book Antiqua"/>
          <w:color w:val="000000" w:themeColor="text1"/>
          <w:sz w:val="24"/>
          <w:szCs w:val="24"/>
        </w:rPr>
        <w:t xml:space="preserve">A: First recurrence with S7 </w:t>
      </w:r>
      <w:proofErr w:type="spellStart"/>
      <w:r w:rsidRPr="00AC50FA">
        <w:rPr>
          <w:rFonts w:ascii="Book Antiqua" w:hAnsi="Book Antiqua"/>
          <w:color w:val="000000" w:themeColor="text1"/>
          <w:sz w:val="24"/>
          <w:szCs w:val="24"/>
        </w:rPr>
        <w:t>tumour</w:t>
      </w:r>
      <w:proofErr w:type="spellEnd"/>
      <w:r w:rsidRPr="00AC50FA">
        <w:rPr>
          <w:rFonts w:ascii="Book Antiqua" w:hAnsi="Book Antiqua"/>
          <w:color w:val="000000" w:themeColor="text1"/>
          <w:sz w:val="24"/>
          <w:szCs w:val="24"/>
        </w:rPr>
        <w:t xml:space="preserve"> invading </w:t>
      </w:r>
      <w:r w:rsidR="00545036" w:rsidRPr="00AC50FA">
        <w:rPr>
          <w:rFonts w:ascii="Book Antiqua" w:eastAsia="PMingLiU" w:hAnsi="Book Antiqua" w:cs="PMingLiU"/>
          <w:color w:val="000000" w:themeColor="text1"/>
          <w:sz w:val="24"/>
          <w:szCs w:val="24"/>
        </w:rPr>
        <w:t>inferior vena cava</w:t>
      </w:r>
      <w:r w:rsidR="00545036" w:rsidRPr="00AC50FA">
        <w:rPr>
          <w:rFonts w:ascii="Book Antiqua" w:hAnsi="Book Antiqua"/>
          <w:color w:val="000000" w:themeColor="text1"/>
          <w:sz w:val="24"/>
          <w:szCs w:val="24"/>
        </w:rPr>
        <w:t xml:space="preserve"> </w:t>
      </w:r>
      <w:r w:rsidRPr="00AC50FA">
        <w:rPr>
          <w:rFonts w:ascii="Book Antiqua" w:hAnsi="Book Antiqua"/>
          <w:color w:val="000000" w:themeColor="text1"/>
          <w:sz w:val="24"/>
          <w:szCs w:val="24"/>
        </w:rPr>
        <w:t>(</w:t>
      </w:r>
      <w:r w:rsidR="00545036" w:rsidRPr="00AC50FA">
        <w:rPr>
          <w:rFonts w:ascii="Book Antiqua" w:hAnsi="Book Antiqua"/>
          <w:color w:val="000000" w:themeColor="text1"/>
          <w:sz w:val="24"/>
          <w:szCs w:val="24"/>
        </w:rPr>
        <w:t>arrow</w:t>
      </w:r>
      <w:r w:rsidRPr="00AC50FA">
        <w:rPr>
          <w:rFonts w:ascii="Book Antiqua" w:hAnsi="Book Antiqua"/>
          <w:color w:val="000000" w:themeColor="text1"/>
          <w:sz w:val="24"/>
          <w:szCs w:val="24"/>
        </w:rPr>
        <w:t xml:space="preserve">: Inferior vena cava </w:t>
      </w:r>
      <w:proofErr w:type="spellStart"/>
      <w:r w:rsidRPr="00AC50FA">
        <w:rPr>
          <w:rFonts w:ascii="Book Antiqua" w:hAnsi="Book Antiqua"/>
          <w:color w:val="000000" w:themeColor="text1"/>
          <w:sz w:val="24"/>
          <w:szCs w:val="24"/>
        </w:rPr>
        <w:t>tumour</w:t>
      </w:r>
      <w:proofErr w:type="spellEnd"/>
      <w:r w:rsidRPr="00AC50FA">
        <w:rPr>
          <w:rFonts w:ascii="Book Antiqua" w:hAnsi="Book Antiqua"/>
          <w:color w:val="000000" w:themeColor="text1"/>
          <w:sz w:val="24"/>
          <w:szCs w:val="24"/>
        </w:rPr>
        <w:t xml:space="preserve"> thrombus; arrowhead: stomach); B: Stereotactic planning to minimize collateral radiation to the normal liver and stomach (arrowhead)</w:t>
      </w:r>
      <w:r w:rsidRPr="00AC50FA">
        <w:rPr>
          <w:rFonts w:ascii="Book Antiqua" w:hAnsi="Book Antiqua"/>
          <w:noProof/>
          <w:color w:val="000000" w:themeColor="text1"/>
          <w:sz w:val="24"/>
          <w:szCs w:val="24"/>
          <w:lang w:eastAsia="zh-CN"/>
        </w:rPr>
        <mc:AlternateContent>
          <mc:Choice Requires="wps">
            <w:drawing>
              <wp:anchor distT="0" distB="0" distL="114300" distR="114300" simplePos="0" relativeHeight="251659264" behindDoc="0" locked="0" layoutInCell="1" allowOverlap="1" wp14:anchorId="4F5E70BC" wp14:editId="7517B8C1">
                <wp:simplePos x="0" y="0"/>
                <wp:positionH relativeFrom="column">
                  <wp:posOffset>3982247</wp:posOffset>
                </wp:positionH>
                <wp:positionV relativeFrom="paragraph">
                  <wp:posOffset>1757045</wp:posOffset>
                </wp:positionV>
                <wp:extent cx="127635" cy="111125"/>
                <wp:effectExtent l="27305" t="10795" r="13970" b="33020"/>
                <wp:wrapNone/>
                <wp:docPr id="16" name="等腰三角形 16"/>
                <wp:cNvGraphicFramePr/>
                <a:graphic xmlns:a="http://schemas.openxmlformats.org/drawingml/2006/main">
                  <a:graphicData uri="http://schemas.microsoft.com/office/word/2010/wordprocessingShape">
                    <wps:wsp>
                      <wps:cNvSpPr/>
                      <wps:spPr>
                        <a:xfrm rot="16200000">
                          <a:off x="0" y="0"/>
                          <a:ext cx="127635" cy="1111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3D8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 o:spid="_x0000_s1026" type="#_x0000_t5" style="position:absolute;left:0;text-align:left;margin-left:313.55pt;margin-top:138.35pt;width:10.05pt;height:8.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" fillcolor="white [3212]" strokecolor="white [3212]" strokeweight="1pt"/>
            </w:pict>
          </mc:Fallback>
        </mc:AlternateContent>
      </w:r>
      <w:r w:rsidRPr="00AC50FA">
        <w:rPr>
          <w:rFonts w:ascii="Book Antiqua" w:hAnsi="Book Antiqua"/>
          <w:noProof/>
          <w:color w:val="000000" w:themeColor="text1"/>
          <w:sz w:val="24"/>
          <w:szCs w:val="24"/>
        </w:rPr>
        <w:t xml:space="preserve">; </w:t>
      </w:r>
      <w:r w:rsidRPr="00AC50FA">
        <w:rPr>
          <w:rFonts w:ascii="Book Antiqua" w:hAnsi="Book Antiqua"/>
          <w:color w:val="000000" w:themeColor="text1"/>
          <w:sz w:val="24"/>
          <w:szCs w:val="24"/>
        </w:rPr>
        <w:t xml:space="preserve">C: S7 and S8 recurrent </w:t>
      </w:r>
      <w:proofErr w:type="spellStart"/>
      <w:r w:rsidRPr="00AC50FA">
        <w:rPr>
          <w:rFonts w:ascii="Book Antiqua" w:hAnsi="Book Antiqua"/>
          <w:color w:val="000000" w:themeColor="text1"/>
          <w:sz w:val="24"/>
          <w:szCs w:val="24"/>
        </w:rPr>
        <w:t>tumours</w:t>
      </w:r>
      <w:proofErr w:type="spellEnd"/>
      <w:r w:rsidRPr="00AC50FA">
        <w:rPr>
          <w:rFonts w:ascii="Book Antiqua" w:hAnsi="Book Antiqua"/>
          <w:color w:val="000000" w:themeColor="text1"/>
          <w:sz w:val="24"/>
          <w:szCs w:val="24"/>
        </w:rPr>
        <w:t xml:space="preserve"> showed partial response after stereotactic body radiotherapy. Inferior vena cava was re-cannulated (arrow); D: Multifocal intrahepatic recurrences in the graft (arrows). </w:t>
      </w:r>
      <w:r w:rsidRPr="00AC50FA">
        <w:rPr>
          <w:rFonts w:ascii="Book Antiqua" w:hAnsi="Book Antiqua"/>
          <w:noProof/>
          <w:color w:val="000000" w:themeColor="text1"/>
          <w:sz w:val="24"/>
          <w:szCs w:val="24"/>
          <w:lang w:eastAsia="zh-CN"/>
        </w:rPr>
        <mc:AlternateContent>
          <mc:Choice Requires="wps">
            <w:drawing>
              <wp:anchor distT="0" distB="0" distL="114300" distR="114300" simplePos="0" relativeHeight="251660288" behindDoc="0" locked="0" layoutInCell="1" allowOverlap="1" wp14:anchorId="5C39F940" wp14:editId="371BF214">
                <wp:simplePos x="0" y="0"/>
                <wp:positionH relativeFrom="margin">
                  <wp:posOffset>2318385</wp:posOffset>
                </wp:positionH>
                <wp:positionV relativeFrom="paragraph">
                  <wp:posOffset>2101342</wp:posOffset>
                </wp:positionV>
                <wp:extent cx="254635" cy="118745"/>
                <wp:effectExtent l="19050" t="19050" r="12065" b="33655"/>
                <wp:wrapNone/>
                <wp:docPr id="24" name="箭號: 向右 24"/>
                <wp:cNvGraphicFramePr/>
                <a:graphic xmlns:a="http://schemas.openxmlformats.org/drawingml/2006/main">
                  <a:graphicData uri="http://schemas.microsoft.com/office/word/2010/wordprocessingShape">
                    <wps:wsp>
                      <wps:cNvSpPr/>
                      <wps:spPr>
                        <a:xfrm rot="10800000">
                          <a:off x="0" y="0"/>
                          <a:ext cx="254635" cy="118745"/>
                        </a:xfrm>
                        <a:prstGeom prst="right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14:paraId="278508D6" w14:textId="77777777" w:rsidR="0081325E" w:rsidRDefault="0081325E" w:rsidP="00CF2C01">
                            <w:pPr>
                              <w:jc w:val="center"/>
                            </w:pPr>
                            <w:r>
                              <w:rPr>
                                <w:rFonts w:hint="eastAsia"/>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9F9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24" o:spid="_x0000_s1026" type="#_x0000_t13" style="position:absolute;left:0;text-align:left;margin-left:182.55pt;margin-top:165.45pt;width:20.05pt;height:9.35pt;rotation:18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" adj="16564" fillcolor="white [3212]" strokecolor="white [3212]" strokeweight="1pt">
                <v:textbox>
                  <w:txbxContent>
                    <w:p w14:paraId="278508D6" w14:textId="77777777" w:rsidR="0081325E" w:rsidRDefault="0081325E" w:rsidP="00CF2C01">
                      <w:pPr>
                        <w:jc w:val="center"/>
                      </w:pPr>
                      <w:r>
                        <w:rPr>
                          <w:rFonts w:hint="eastAsia"/>
                        </w:rPr>
                        <w:t>z</w:t>
                      </w:r>
                    </w:p>
                  </w:txbxContent>
                </v:textbox>
                <w10:wrap anchorx="margin"/>
              </v:shape>
            </w:pict>
          </mc:Fallback>
        </mc:AlternateContent>
      </w:r>
    </w:p>
    <w:p w14:paraId="15CCCB4A" w14:textId="77777777"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br w:type="page"/>
      </w:r>
    </w:p>
    <w:p w14:paraId="6C9F8EC0" w14:textId="50FEE0CF"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noProof/>
          <w:color w:val="000000" w:themeColor="text1"/>
          <w:sz w:val="24"/>
          <w:szCs w:val="24"/>
          <w:lang w:eastAsia="zh-CN"/>
        </w:rPr>
        <w:lastRenderedPageBreak/>
        <w:drawing>
          <wp:inline distT="0" distB="0" distL="0" distR="0" wp14:anchorId="4622BD56" wp14:editId="3DC65E70">
            <wp:extent cx="5943600" cy="4460875"/>
            <wp:effectExtent l="0" t="0" r="0" b="0"/>
            <wp:docPr id="10" name="图片 10" descr="黑暗里有星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60875"/>
                    </a:xfrm>
                    <a:prstGeom prst="rect">
                      <a:avLst/>
                    </a:prstGeom>
                  </pic:spPr>
                </pic:pic>
              </a:graphicData>
            </a:graphic>
          </wp:inline>
        </w:drawing>
      </w:r>
      <w:r w:rsidRPr="00AC50FA">
        <w:rPr>
          <w:rFonts w:ascii="Book Antiqua" w:hAnsi="Book Antiqua"/>
          <w:b/>
          <w:bCs/>
          <w:color w:val="000000" w:themeColor="text1"/>
          <w:sz w:val="24"/>
          <w:szCs w:val="24"/>
        </w:rPr>
        <w:t xml:space="preserve">Figure 4 Patient No. 4 had recurrent hepatocellular carcinoma over S3 (arrow) close to stomach (arrowhead). </w:t>
      </w:r>
      <w:r w:rsidRPr="00AC50FA">
        <w:rPr>
          <w:rFonts w:ascii="Book Antiqua" w:hAnsi="Book Antiqua"/>
          <w:color w:val="000000" w:themeColor="text1"/>
          <w:sz w:val="24"/>
          <w:szCs w:val="24"/>
        </w:rPr>
        <w:t xml:space="preserve">He developed gastric ulcer necessitating proton pump inhibitor therapy. </w:t>
      </w:r>
    </w:p>
    <w:p w14:paraId="403456C8" w14:textId="77777777"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color w:val="000000" w:themeColor="text1"/>
          <w:sz w:val="24"/>
          <w:szCs w:val="24"/>
        </w:rPr>
        <w:br w:type="page"/>
      </w:r>
    </w:p>
    <w:p w14:paraId="32F21A63" w14:textId="77777777"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noProof/>
          <w:color w:val="000000" w:themeColor="text1"/>
          <w:sz w:val="24"/>
          <w:szCs w:val="24"/>
          <w:lang w:eastAsia="zh-CN"/>
        </w:rPr>
        <w:lastRenderedPageBreak/>
        <w:drawing>
          <wp:inline distT="0" distB="0" distL="0" distR="0" wp14:anchorId="7E21D27D" wp14:editId="349C3576">
            <wp:extent cx="4097130" cy="7156174"/>
            <wp:effectExtent l="0" t="0" r="0" b="0"/>
            <wp:docPr id="21" name="图片 21"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png"/>
                    <pic:cNvPicPr/>
                  </pic:nvPicPr>
                  <pic:blipFill>
                    <a:blip r:embed="rId14">
                      <a:extLst>
                        <a:ext uri="{28A0092B-C50C-407E-A947-70E740481C1C}">
                          <a14:useLocalDpi xmlns:a14="http://schemas.microsoft.com/office/drawing/2010/main" val="0"/>
                        </a:ext>
                      </a:extLst>
                    </a:blip>
                    <a:stretch>
                      <a:fillRect/>
                    </a:stretch>
                  </pic:blipFill>
                  <pic:spPr>
                    <a:xfrm>
                      <a:off x="0" y="0"/>
                      <a:ext cx="4102516" cy="7165581"/>
                    </a:xfrm>
                    <a:prstGeom prst="rect">
                      <a:avLst/>
                    </a:prstGeom>
                  </pic:spPr>
                </pic:pic>
              </a:graphicData>
            </a:graphic>
          </wp:inline>
        </w:drawing>
      </w:r>
    </w:p>
    <w:p w14:paraId="0CEB18BE" w14:textId="0D409EEA" w:rsidR="00CF2C01" w:rsidRPr="00AC50FA" w:rsidRDefault="00CF2C01" w:rsidP="00AC50FA">
      <w:pPr>
        <w:snapToGrid w:val="0"/>
        <w:spacing w:after="0" w:line="360" w:lineRule="auto"/>
        <w:jc w:val="both"/>
        <w:rPr>
          <w:rFonts w:ascii="Book Antiqua" w:hAnsi="Book Antiqua"/>
          <w:color w:val="000000" w:themeColor="text1"/>
          <w:sz w:val="24"/>
          <w:szCs w:val="24"/>
        </w:rPr>
      </w:pPr>
      <w:r w:rsidRPr="00AC50FA">
        <w:rPr>
          <w:rFonts w:ascii="Book Antiqua" w:hAnsi="Book Antiqua"/>
          <w:b/>
          <w:bCs/>
          <w:color w:val="000000" w:themeColor="text1"/>
          <w:sz w:val="24"/>
          <w:szCs w:val="24"/>
        </w:rPr>
        <w:t xml:space="preserve">Figure 5 Liver function parameters after </w:t>
      </w:r>
      <w:r w:rsidR="00545036" w:rsidRPr="00545036">
        <w:rPr>
          <w:rFonts w:ascii="Book Antiqua" w:hAnsi="Book Antiqua"/>
          <w:b/>
          <w:bCs/>
          <w:color w:val="000000" w:themeColor="text1"/>
          <w:sz w:val="24"/>
          <w:szCs w:val="24"/>
          <w:lang w:val="en-GB"/>
        </w:rPr>
        <w:t>stereotactic body radiation therapy</w:t>
      </w:r>
      <w:r w:rsidRPr="00545036">
        <w:rPr>
          <w:rFonts w:ascii="Book Antiqua" w:hAnsi="Book Antiqua"/>
          <w:b/>
          <w:bCs/>
          <w:color w:val="000000" w:themeColor="text1"/>
          <w:sz w:val="24"/>
          <w:szCs w:val="24"/>
        </w:rPr>
        <w:t>.</w:t>
      </w:r>
      <w:r w:rsidRPr="00AC50FA">
        <w:rPr>
          <w:rFonts w:ascii="Book Antiqua" w:hAnsi="Book Antiqua"/>
          <w:b/>
          <w:bCs/>
          <w:color w:val="000000" w:themeColor="text1"/>
          <w:sz w:val="24"/>
          <w:szCs w:val="24"/>
        </w:rPr>
        <w:t xml:space="preserve"> </w:t>
      </w:r>
      <w:r w:rsidRPr="00AC50FA">
        <w:rPr>
          <w:rFonts w:ascii="Book Antiqua" w:hAnsi="Book Antiqua"/>
          <w:color w:val="000000" w:themeColor="text1"/>
          <w:sz w:val="24"/>
          <w:szCs w:val="24"/>
        </w:rPr>
        <w:t>A</w:t>
      </w:r>
      <w:r w:rsidR="00545036">
        <w:rPr>
          <w:rFonts w:ascii="Book Antiqua" w:hAnsi="Book Antiqua" w:hint="eastAsia"/>
          <w:color w:val="000000" w:themeColor="text1"/>
          <w:sz w:val="24"/>
          <w:szCs w:val="24"/>
          <w:lang w:eastAsia="zh-CN"/>
        </w:rPr>
        <w:t>:</w:t>
      </w:r>
      <w:r w:rsidRPr="00AC50FA">
        <w:rPr>
          <w:rFonts w:ascii="Book Antiqua" w:hAnsi="Book Antiqua"/>
          <w:color w:val="000000" w:themeColor="text1"/>
          <w:sz w:val="24"/>
          <w:szCs w:val="24"/>
        </w:rPr>
        <w:t xml:space="preserve"> Aspartate aminotransferase; B</w:t>
      </w:r>
      <w:r w:rsidR="00545036">
        <w:rPr>
          <w:rFonts w:ascii="Book Antiqua" w:hAnsi="Book Antiqua"/>
          <w:color w:val="000000" w:themeColor="text1"/>
          <w:sz w:val="24"/>
          <w:szCs w:val="24"/>
        </w:rPr>
        <w:t>:</w:t>
      </w:r>
      <w:r w:rsidRPr="00AC50FA">
        <w:rPr>
          <w:rFonts w:ascii="Book Antiqua" w:hAnsi="Book Antiqua"/>
          <w:color w:val="000000" w:themeColor="text1"/>
          <w:sz w:val="24"/>
          <w:szCs w:val="24"/>
        </w:rPr>
        <w:t xml:space="preserve"> Alanine aminotransferase; C</w:t>
      </w:r>
      <w:r w:rsidR="00545036">
        <w:rPr>
          <w:rFonts w:ascii="Book Antiqua" w:hAnsi="Book Antiqua"/>
          <w:color w:val="000000" w:themeColor="text1"/>
          <w:sz w:val="24"/>
          <w:szCs w:val="24"/>
        </w:rPr>
        <w:t>:</w:t>
      </w:r>
      <w:r w:rsidRPr="00AC50FA">
        <w:rPr>
          <w:rFonts w:ascii="Book Antiqua" w:hAnsi="Book Antiqua"/>
          <w:color w:val="000000" w:themeColor="text1"/>
          <w:sz w:val="24"/>
          <w:szCs w:val="24"/>
        </w:rPr>
        <w:t xml:space="preserve"> Bilirubin.</w:t>
      </w:r>
    </w:p>
    <w:p w14:paraId="4D100EE7" w14:textId="77777777" w:rsidR="00CF2C01" w:rsidRPr="00AC50FA" w:rsidRDefault="00CF2C01"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br w:type="page"/>
      </w:r>
    </w:p>
    <w:p w14:paraId="36863CE3" w14:textId="0B9DAD7A" w:rsidR="00244EC4" w:rsidRPr="00AC50FA" w:rsidRDefault="00244EC4" w:rsidP="00AC50FA">
      <w:pPr>
        <w:snapToGrid w:val="0"/>
        <w:spacing w:after="0" w:line="360" w:lineRule="auto"/>
        <w:jc w:val="both"/>
        <w:rPr>
          <w:rFonts w:ascii="Book Antiqua" w:hAnsi="Book Antiqua"/>
          <w:b/>
          <w:bCs/>
          <w:color w:val="000000" w:themeColor="text1"/>
          <w:sz w:val="24"/>
          <w:szCs w:val="24"/>
          <w:lang w:val="en-GB"/>
        </w:rPr>
      </w:pPr>
      <w:r w:rsidRPr="00AC50FA">
        <w:rPr>
          <w:rFonts w:ascii="Book Antiqua" w:hAnsi="Book Antiqua"/>
          <w:b/>
          <w:bCs/>
          <w:color w:val="000000" w:themeColor="text1"/>
          <w:sz w:val="24"/>
          <w:szCs w:val="24"/>
          <w:lang w:val="en-GB"/>
        </w:rPr>
        <w:lastRenderedPageBreak/>
        <w:t xml:space="preserve">Table 1 Patient characteristics and outcomes on </w:t>
      </w:r>
      <w:r w:rsidR="00545036" w:rsidRPr="00AC50FA">
        <w:rPr>
          <w:rFonts w:ascii="Book Antiqua" w:hAnsi="Book Antiqua"/>
          <w:b/>
          <w:bCs/>
          <w:color w:val="000000" w:themeColor="text1"/>
          <w:sz w:val="24"/>
          <w:szCs w:val="24"/>
          <w:lang w:val="en-GB"/>
        </w:rPr>
        <w:t>stereotactic body radiotherapy</w:t>
      </w:r>
      <w:r w:rsidRPr="00AC50FA">
        <w:rPr>
          <w:rFonts w:ascii="Book Antiqua" w:hAnsi="Book Antiqua"/>
          <w:b/>
          <w:bCs/>
          <w:color w:val="000000" w:themeColor="text1"/>
          <w:sz w:val="24"/>
          <w:szCs w:val="24"/>
          <w:lang w:val="en-GB"/>
        </w:rPr>
        <w:t xml:space="preserve"> for graft hepatocellular carcinoma recurrence after liver transplantation</w:t>
      </w:r>
    </w:p>
    <w:p w14:paraId="1D8F583B" w14:textId="4DF5E3FC" w:rsidR="008A64B4" w:rsidRPr="00AC50FA" w:rsidRDefault="008A64B4" w:rsidP="00AC50FA">
      <w:pPr>
        <w:snapToGrid w:val="0"/>
        <w:spacing w:after="0" w:line="360" w:lineRule="auto"/>
        <w:jc w:val="both"/>
        <w:rPr>
          <w:rFonts w:ascii="Book Antiqua" w:hAnsi="Book Antiqua"/>
          <w:b/>
          <w:color w:val="000000" w:themeColor="text1"/>
          <w:sz w:val="24"/>
          <w:szCs w:val="24"/>
          <w:lang w:val="en-GB"/>
        </w:rPr>
      </w:pPr>
      <w:r w:rsidRPr="00AC50FA">
        <w:rPr>
          <w:rFonts w:ascii="Book Antiqua" w:hAnsi="Book Antiqua"/>
          <w:b/>
          <w:color w:val="000000" w:themeColor="text1"/>
          <w:sz w:val="24"/>
          <w:szCs w:val="24"/>
          <w:lang w:val="en-GB"/>
        </w:rPr>
        <w:br w:type="page"/>
      </w:r>
    </w:p>
    <w:p w14:paraId="7BFCEC2F" w14:textId="77777777" w:rsidR="00AA056F" w:rsidRPr="00AC50FA" w:rsidRDefault="00AA056F" w:rsidP="00AC50FA">
      <w:pPr>
        <w:snapToGrid w:val="0"/>
        <w:spacing w:after="0" w:line="360" w:lineRule="auto"/>
        <w:jc w:val="both"/>
        <w:rPr>
          <w:rFonts w:ascii="Book Antiqua" w:hAnsi="Book Antiqua"/>
          <w:b/>
          <w:color w:val="000000" w:themeColor="text1"/>
          <w:sz w:val="24"/>
          <w:szCs w:val="24"/>
          <w:lang w:val="en-GB"/>
        </w:rPr>
        <w:sectPr w:rsidR="00AA056F" w:rsidRPr="00AC50FA" w:rsidSect="00AA056F">
          <w:footerReference w:type="default" r:id="rId15"/>
          <w:pgSz w:w="12240" w:h="15840"/>
          <w:pgMar w:top="1440" w:right="1440" w:bottom="1440" w:left="1440" w:header="720" w:footer="720" w:gutter="0"/>
          <w:cols w:space="720"/>
          <w:docGrid w:linePitch="360"/>
        </w:sectPr>
      </w:pPr>
    </w:p>
    <w:tbl>
      <w:tblPr>
        <w:tblW w:w="12950" w:type="dxa"/>
        <w:tblBorders>
          <w:top w:val="single" w:sz="4" w:space="0" w:color="auto"/>
          <w:bottom w:val="single" w:sz="4" w:space="0" w:color="auto"/>
        </w:tblBorders>
        <w:tblLook w:val="04A0" w:firstRow="1" w:lastRow="0" w:firstColumn="1" w:lastColumn="0" w:noHBand="0" w:noVBand="1"/>
      </w:tblPr>
      <w:tblGrid>
        <w:gridCol w:w="411"/>
        <w:gridCol w:w="409"/>
        <w:gridCol w:w="435"/>
        <w:gridCol w:w="845"/>
        <w:gridCol w:w="495"/>
        <w:gridCol w:w="440"/>
        <w:gridCol w:w="455"/>
        <w:gridCol w:w="731"/>
        <w:gridCol w:w="787"/>
        <w:gridCol w:w="1092"/>
        <w:gridCol w:w="707"/>
        <w:gridCol w:w="1008"/>
        <w:gridCol w:w="701"/>
        <w:gridCol w:w="1121"/>
        <w:gridCol w:w="860"/>
        <w:gridCol w:w="847"/>
        <w:gridCol w:w="581"/>
        <w:gridCol w:w="1035"/>
      </w:tblGrid>
      <w:tr w:rsidR="002010A1" w:rsidRPr="00545036" w14:paraId="60EED99C" w14:textId="77777777" w:rsidTr="007662DF">
        <w:trPr>
          <w:trHeight w:val="340"/>
        </w:trPr>
        <w:tc>
          <w:tcPr>
            <w:tcW w:w="233" w:type="dxa"/>
            <w:vMerge w:val="restart"/>
            <w:tcBorders>
              <w:top w:val="single" w:sz="4" w:space="0" w:color="auto"/>
              <w:bottom w:val="single" w:sz="4" w:space="0" w:color="auto"/>
            </w:tcBorders>
            <w:shd w:val="clear" w:color="auto" w:fill="auto"/>
            <w:noWrap/>
            <w:vAlign w:val="center"/>
            <w:hideMark/>
          </w:tcPr>
          <w:p w14:paraId="6E6A932B"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lastRenderedPageBreak/>
              <w:t xml:space="preserve">No. </w:t>
            </w:r>
          </w:p>
        </w:tc>
        <w:tc>
          <w:tcPr>
            <w:tcW w:w="284" w:type="dxa"/>
            <w:vMerge w:val="restart"/>
            <w:tcBorders>
              <w:top w:val="single" w:sz="4" w:space="0" w:color="auto"/>
              <w:bottom w:val="single" w:sz="4" w:space="0" w:color="auto"/>
            </w:tcBorders>
            <w:shd w:val="clear" w:color="auto" w:fill="auto"/>
            <w:noWrap/>
            <w:vAlign w:val="center"/>
            <w:hideMark/>
          </w:tcPr>
          <w:p w14:paraId="099CCF89"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Sex</w:t>
            </w:r>
          </w:p>
        </w:tc>
        <w:tc>
          <w:tcPr>
            <w:tcW w:w="307" w:type="dxa"/>
            <w:vMerge w:val="restart"/>
            <w:tcBorders>
              <w:top w:val="single" w:sz="4" w:space="0" w:color="auto"/>
              <w:bottom w:val="single" w:sz="4" w:space="0" w:color="auto"/>
            </w:tcBorders>
            <w:shd w:val="clear" w:color="auto" w:fill="auto"/>
            <w:noWrap/>
            <w:vAlign w:val="center"/>
            <w:hideMark/>
          </w:tcPr>
          <w:p w14:paraId="5FD2786F"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Age</w:t>
            </w:r>
          </w:p>
        </w:tc>
        <w:tc>
          <w:tcPr>
            <w:tcW w:w="3691" w:type="dxa"/>
            <w:gridSpan w:val="5"/>
            <w:tcBorders>
              <w:top w:val="single" w:sz="4" w:space="0" w:color="auto"/>
              <w:bottom w:val="single" w:sz="4" w:space="0" w:color="auto"/>
            </w:tcBorders>
            <w:shd w:val="clear" w:color="auto" w:fill="auto"/>
            <w:noWrap/>
            <w:vAlign w:val="center"/>
            <w:hideMark/>
          </w:tcPr>
          <w:p w14:paraId="286326F9"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Index recurrence</w:t>
            </w:r>
          </w:p>
        </w:tc>
        <w:tc>
          <w:tcPr>
            <w:tcW w:w="613" w:type="dxa"/>
            <w:vMerge w:val="restart"/>
            <w:tcBorders>
              <w:top w:val="single" w:sz="4" w:space="0" w:color="auto"/>
              <w:bottom w:val="single" w:sz="4" w:space="0" w:color="auto"/>
            </w:tcBorders>
            <w:shd w:val="clear" w:color="auto" w:fill="auto"/>
            <w:noWrap/>
            <w:vAlign w:val="center"/>
            <w:hideMark/>
          </w:tcPr>
          <w:p w14:paraId="7EDAE077"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Distant recurrence</w:t>
            </w:r>
          </w:p>
        </w:tc>
        <w:tc>
          <w:tcPr>
            <w:tcW w:w="941" w:type="dxa"/>
            <w:vMerge w:val="restart"/>
            <w:tcBorders>
              <w:top w:val="single" w:sz="4" w:space="0" w:color="auto"/>
              <w:bottom w:val="single" w:sz="4" w:space="0" w:color="auto"/>
            </w:tcBorders>
            <w:shd w:val="clear" w:color="auto" w:fill="auto"/>
            <w:noWrap/>
            <w:vAlign w:val="center"/>
            <w:hideMark/>
          </w:tcPr>
          <w:p w14:paraId="2DE23669"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Systemic therapy</w:t>
            </w:r>
          </w:p>
        </w:tc>
        <w:tc>
          <w:tcPr>
            <w:tcW w:w="516" w:type="dxa"/>
            <w:vMerge w:val="restart"/>
            <w:tcBorders>
              <w:top w:val="single" w:sz="4" w:space="0" w:color="auto"/>
              <w:bottom w:val="single" w:sz="4" w:space="0" w:color="auto"/>
            </w:tcBorders>
            <w:shd w:val="clear" w:color="auto" w:fill="auto"/>
            <w:noWrap/>
            <w:vAlign w:val="center"/>
            <w:hideMark/>
          </w:tcPr>
          <w:p w14:paraId="5A4E1350"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Regional therapy</w:t>
            </w:r>
          </w:p>
        </w:tc>
        <w:tc>
          <w:tcPr>
            <w:tcW w:w="869" w:type="dxa"/>
            <w:vMerge w:val="restart"/>
            <w:tcBorders>
              <w:top w:val="single" w:sz="4" w:space="0" w:color="auto"/>
              <w:bottom w:val="single" w:sz="4" w:space="0" w:color="auto"/>
            </w:tcBorders>
            <w:shd w:val="clear" w:color="auto" w:fill="auto"/>
            <w:noWrap/>
            <w:vAlign w:val="center"/>
            <w:hideMark/>
          </w:tcPr>
          <w:p w14:paraId="0047D49C"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SBRT (dose/fraction)</w:t>
            </w:r>
          </w:p>
        </w:tc>
        <w:tc>
          <w:tcPr>
            <w:tcW w:w="519" w:type="dxa"/>
            <w:vMerge w:val="restart"/>
            <w:tcBorders>
              <w:top w:val="single" w:sz="4" w:space="0" w:color="auto"/>
              <w:bottom w:val="single" w:sz="4" w:space="0" w:color="auto"/>
            </w:tcBorders>
            <w:shd w:val="clear" w:color="auto" w:fill="auto"/>
            <w:noWrap/>
            <w:vAlign w:val="center"/>
            <w:hideMark/>
          </w:tcPr>
          <w:p w14:paraId="5EB41167"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Best local response</w:t>
            </w:r>
          </w:p>
        </w:tc>
        <w:tc>
          <w:tcPr>
            <w:tcW w:w="972" w:type="dxa"/>
            <w:vMerge w:val="restart"/>
            <w:tcBorders>
              <w:top w:val="single" w:sz="4" w:space="0" w:color="auto"/>
              <w:bottom w:val="single" w:sz="4" w:space="0" w:color="auto"/>
            </w:tcBorders>
            <w:shd w:val="clear" w:color="auto" w:fill="auto"/>
            <w:noWrap/>
            <w:vAlign w:val="center"/>
            <w:hideMark/>
          </w:tcPr>
          <w:p w14:paraId="3D0C871E"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Disease progression</w:t>
            </w:r>
          </w:p>
        </w:tc>
        <w:tc>
          <w:tcPr>
            <w:tcW w:w="681" w:type="dxa"/>
            <w:vMerge w:val="restart"/>
            <w:tcBorders>
              <w:top w:val="single" w:sz="4" w:space="0" w:color="auto"/>
              <w:bottom w:val="single" w:sz="4" w:space="0" w:color="auto"/>
            </w:tcBorders>
            <w:shd w:val="clear" w:color="auto" w:fill="auto"/>
            <w:noWrap/>
            <w:vAlign w:val="center"/>
            <w:hideMark/>
          </w:tcPr>
          <w:p w14:paraId="24A864F0"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Time to progression (</w:t>
            </w:r>
            <w:proofErr w:type="spellStart"/>
            <w:r w:rsidRPr="007662DF">
              <w:rPr>
                <w:rFonts w:ascii="Book Antiqua" w:eastAsia="等线" w:hAnsi="Book Antiqua" w:cs="宋体"/>
                <w:b/>
                <w:bCs/>
                <w:color w:val="000000" w:themeColor="text1"/>
                <w:sz w:val="24"/>
                <w:szCs w:val="24"/>
                <w:lang w:eastAsia="zh-CN"/>
              </w:rPr>
              <w:t>mo</w:t>
            </w:r>
            <w:proofErr w:type="spellEnd"/>
            <w:r w:rsidRPr="007662DF">
              <w:rPr>
                <w:rFonts w:ascii="Book Antiqua" w:eastAsia="等线" w:hAnsi="Book Antiqua" w:cs="宋体"/>
                <w:b/>
                <w:bCs/>
                <w:color w:val="000000" w:themeColor="text1"/>
                <w:sz w:val="24"/>
                <w:szCs w:val="24"/>
                <w:lang w:eastAsia="zh-CN"/>
              </w:rPr>
              <w:t>)</w:t>
            </w:r>
          </w:p>
        </w:tc>
        <w:tc>
          <w:tcPr>
            <w:tcW w:w="2432" w:type="dxa"/>
            <w:gridSpan w:val="2"/>
            <w:tcBorders>
              <w:top w:val="single" w:sz="4" w:space="0" w:color="auto"/>
              <w:bottom w:val="single" w:sz="4" w:space="0" w:color="auto"/>
            </w:tcBorders>
            <w:shd w:val="clear" w:color="auto" w:fill="auto"/>
            <w:noWrap/>
            <w:vAlign w:val="center"/>
            <w:hideMark/>
          </w:tcPr>
          <w:p w14:paraId="6B351943"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 xml:space="preserve">Follow up time </w:t>
            </w:r>
          </w:p>
        </w:tc>
        <w:tc>
          <w:tcPr>
            <w:tcW w:w="892" w:type="dxa"/>
            <w:vMerge w:val="restart"/>
            <w:tcBorders>
              <w:top w:val="single" w:sz="4" w:space="0" w:color="auto"/>
              <w:bottom w:val="single" w:sz="4" w:space="0" w:color="auto"/>
            </w:tcBorders>
            <w:shd w:val="clear" w:color="auto" w:fill="auto"/>
            <w:noWrap/>
            <w:vAlign w:val="center"/>
            <w:hideMark/>
          </w:tcPr>
          <w:p w14:paraId="6F170384"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Toxicity/Grade</w:t>
            </w:r>
          </w:p>
        </w:tc>
      </w:tr>
      <w:tr w:rsidR="002010A1" w:rsidRPr="00AC50FA" w14:paraId="57CDB892" w14:textId="77777777" w:rsidTr="007662DF">
        <w:trPr>
          <w:trHeight w:val="340"/>
        </w:trPr>
        <w:tc>
          <w:tcPr>
            <w:tcW w:w="233" w:type="dxa"/>
            <w:vMerge/>
            <w:tcBorders>
              <w:top w:val="nil"/>
              <w:bottom w:val="single" w:sz="4" w:space="0" w:color="auto"/>
            </w:tcBorders>
            <w:vAlign w:val="center"/>
            <w:hideMark/>
          </w:tcPr>
          <w:p w14:paraId="461F1CD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284" w:type="dxa"/>
            <w:vMerge/>
            <w:tcBorders>
              <w:top w:val="nil"/>
              <w:bottom w:val="single" w:sz="4" w:space="0" w:color="auto"/>
            </w:tcBorders>
            <w:vAlign w:val="center"/>
            <w:hideMark/>
          </w:tcPr>
          <w:p w14:paraId="32A28F3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307" w:type="dxa"/>
            <w:vMerge/>
            <w:tcBorders>
              <w:top w:val="nil"/>
              <w:bottom w:val="single" w:sz="4" w:space="0" w:color="auto"/>
            </w:tcBorders>
            <w:vAlign w:val="center"/>
            <w:hideMark/>
          </w:tcPr>
          <w:p w14:paraId="215E124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0" w:type="dxa"/>
            <w:vMerge w:val="restart"/>
            <w:tcBorders>
              <w:top w:val="nil"/>
              <w:bottom w:val="single" w:sz="4" w:space="0" w:color="auto"/>
            </w:tcBorders>
            <w:shd w:val="clear" w:color="auto" w:fill="auto"/>
            <w:noWrap/>
            <w:vAlign w:val="center"/>
            <w:hideMark/>
          </w:tcPr>
          <w:p w14:paraId="30EFA541"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Time after transplant (</w:t>
            </w:r>
            <w:proofErr w:type="spellStart"/>
            <w:r w:rsidRPr="007662DF">
              <w:rPr>
                <w:rFonts w:ascii="Book Antiqua" w:eastAsia="等线" w:hAnsi="Book Antiqua" w:cs="宋体"/>
                <w:b/>
                <w:bCs/>
                <w:color w:val="000000" w:themeColor="text1"/>
                <w:sz w:val="24"/>
                <w:szCs w:val="24"/>
                <w:lang w:eastAsia="zh-CN"/>
              </w:rPr>
              <w:t>mo</w:t>
            </w:r>
            <w:proofErr w:type="spellEnd"/>
            <w:r w:rsidRPr="007662DF">
              <w:rPr>
                <w:rFonts w:ascii="Book Antiqua" w:eastAsia="等线" w:hAnsi="Book Antiqua" w:cs="宋体"/>
                <w:b/>
                <w:bCs/>
                <w:color w:val="000000" w:themeColor="text1"/>
                <w:sz w:val="24"/>
                <w:szCs w:val="24"/>
                <w:lang w:eastAsia="zh-CN"/>
              </w:rPr>
              <w:t>)</w:t>
            </w:r>
          </w:p>
        </w:tc>
        <w:tc>
          <w:tcPr>
            <w:tcW w:w="360" w:type="dxa"/>
            <w:tcBorders>
              <w:top w:val="nil"/>
              <w:bottom w:val="single" w:sz="4" w:space="0" w:color="auto"/>
            </w:tcBorders>
            <w:shd w:val="clear" w:color="auto" w:fill="auto"/>
            <w:noWrap/>
            <w:vAlign w:val="center"/>
            <w:hideMark/>
          </w:tcPr>
          <w:p w14:paraId="74A36D53"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 xml:space="preserve">First </w:t>
            </w:r>
          </w:p>
        </w:tc>
        <w:tc>
          <w:tcPr>
            <w:tcW w:w="300" w:type="dxa"/>
            <w:tcBorders>
              <w:top w:val="nil"/>
              <w:bottom w:val="single" w:sz="4" w:space="0" w:color="auto"/>
            </w:tcBorders>
            <w:shd w:val="clear" w:color="auto" w:fill="auto"/>
            <w:noWrap/>
            <w:vAlign w:val="center"/>
            <w:hideMark/>
          </w:tcPr>
          <w:p w14:paraId="3CA60AA1"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No.</w:t>
            </w:r>
          </w:p>
        </w:tc>
        <w:tc>
          <w:tcPr>
            <w:tcW w:w="532" w:type="dxa"/>
            <w:vMerge w:val="restart"/>
            <w:tcBorders>
              <w:top w:val="nil"/>
              <w:bottom w:val="single" w:sz="4" w:space="0" w:color="auto"/>
            </w:tcBorders>
            <w:shd w:val="clear" w:color="auto" w:fill="auto"/>
            <w:noWrap/>
            <w:vAlign w:val="center"/>
            <w:hideMark/>
          </w:tcPr>
          <w:p w14:paraId="48F29788"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Size (cm)</w:t>
            </w:r>
          </w:p>
        </w:tc>
        <w:tc>
          <w:tcPr>
            <w:tcW w:w="1019" w:type="dxa"/>
            <w:vMerge w:val="restart"/>
            <w:tcBorders>
              <w:top w:val="nil"/>
              <w:bottom w:val="single" w:sz="4" w:space="0" w:color="auto"/>
            </w:tcBorders>
            <w:shd w:val="clear" w:color="auto" w:fill="auto"/>
            <w:noWrap/>
            <w:vAlign w:val="center"/>
            <w:hideMark/>
          </w:tcPr>
          <w:p w14:paraId="1DAC1C77"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Location</w:t>
            </w:r>
          </w:p>
        </w:tc>
        <w:tc>
          <w:tcPr>
            <w:tcW w:w="613" w:type="dxa"/>
            <w:vMerge/>
            <w:tcBorders>
              <w:top w:val="nil"/>
              <w:bottom w:val="single" w:sz="4" w:space="0" w:color="auto"/>
            </w:tcBorders>
            <w:vAlign w:val="center"/>
            <w:hideMark/>
          </w:tcPr>
          <w:p w14:paraId="6ECCD5D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1" w:type="dxa"/>
            <w:vMerge/>
            <w:tcBorders>
              <w:top w:val="nil"/>
              <w:bottom w:val="single" w:sz="4" w:space="0" w:color="auto"/>
            </w:tcBorders>
            <w:vAlign w:val="center"/>
            <w:hideMark/>
          </w:tcPr>
          <w:p w14:paraId="4333DC4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6" w:type="dxa"/>
            <w:vMerge/>
            <w:tcBorders>
              <w:top w:val="nil"/>
              <w:bottom w:val="single" w:sz="4" w:space="0" w:color="auto"/>
            </w:tcBorders>
            <w:vAlign w:val="center"/>
            <w:hideMark/>
          </w:tcPr>
          <w:p w14:paraId="3795E3A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69" w:type="dxa"/>
            <w:vMerge/>
            <w:tcBorders>
              <w:top w:val="nil"/>
              <w:bottom w:val="single" w:sz="4" w:space="0" w:color="auto"/>
            </w:tcBorders>
            <w:vAlign w:val="center"/>
            <w:hideMark/>
          </w:tcPr>
          <w:p w14:paraId="0C4BA4C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9" w:type="dxa"/>
            <w:vMerge/>
            <w:tcBorders>
              <w:top w:val="nil"/>
              <w:bottom w:val="single" w:sz="4" w:space="0" w:color="auto"/>
            </w:tcBorders>
            <w:vAlign w:val="center"/>
            <w:hideMark/>
          </w:tcPr>
          <w:p w14:paraId="4CFC829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72" w:type="dxa"/>
            <w:vMerge/>
            <w:tcBorders>
              <w:top w:val="nil"/>
              <w:bottom w:val="single" w:sz="4" w:space="0" w:color="auto"/>
            </w:tcBorders>
            <w:vAlign w:val="center"/>
            <w:hideMark/>
          </w:tcPr>
          <w:p w14:paraId="0E29B13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81" w:type="dxa"/>
            <w:vMerge/>
            <w:tcBorders>
              <w:top w:val="nil"/>
              <w:bottom w:val="single" w:sz="4" w:space="0" w:color="auto"/>
            </w:tcBorders>
            <w:vAlign w:val="center"/>
            <w:hideMark/>
          </w:tcPr>
          <w:p w14:paraId="7080823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3" w:type="dxa"/>
            <w:vMerge w:val="restart"/>
            <w:tcBorders>
              <w:top w:val="single" w:sz="4" w:space="0" w:color="auto"/>
              <w:bottom w:val="single" w:sz="4" w:space="0" w:color="auto"/>
            </w:tcBorders>
            <w:shd w:val="clear" w:color="auto" w:fill="auto"/>
            <w:noWrap/>
            <w:vAlign w:val="center"/>
            <w:hideMark/>
          </w:tcPr>
          <w:p w14:paraId="0D0F6B45"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From first recurrence (</w:t>
            </w:r>
            <w:proofErr w:type="spellStart"/>
            <w:r w:rsidRPr="007662DF">
              <w:rPr>
                <w:rFonts w:ascii="Book Antiqua" w:eastAsia="等线" w:hAnsi="Book Antiqua" w:cs="宋体"/>
                <w:b/>
                <w:bCs/>
                <w:color w:val="000000" w:themeColor="text1"/>
                <w:sz w:val="24"/>
                <w:szCs w:val="24"/>
                <w:lang w:eastAsia="zh-CN"/>
              </w:rPr>
              <w:t>mo</w:t>
            </w:r>
            <w:proofErr w:type="spellEnd"/>
            <w:r w:rsidRPr="007662DF">
              <w:rPr>
                <w:rFonts w:ascii="Book Antiqua" w:eastAsia="等线" w:hAnsi="Book Antiqua" w:cs="宋体"/>
                <w:b/>
                <w:bCs/>
                <w:color w:val="000000" w:themeColor="text1"/>
                <w:sz w:val="24"/>
                <w:szCs w:val="24"/>
                <w:lang w:eastAsia="zh-CN"/>
              </w:rPr>
              <w:t>)</w:t>
            </w:r>
          </w:p>
        </w:tc>
        <w:tc>
          <w:tcPr>
            <w:tcW w:w="949" w:type="dxa"/>
            <w:vMerge w:val="restart"/>
            <w:tcBorders>
              <w:top w:val="single" w:sz="4" w:space="0" w:color="auto"/>
              <w:bottom w:val="single" w:sz="4" w:space="0" w:color="auto"/>
            </w:tcBorders>
            <w:shd w:val="clear" w:color="auto" w:fill="auto"/>
            <w:noWrap/>
            <w:vAlign w:val="center"/>
            <w:hideMark/>
          </w:tcPr>
          <w:p w14:paraId="2392E50C"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From SBRT (</w:t>
            </w:r>
            <w:proofErr w:type="spellStart"/>
            <w:r w:rsidRPr="007662DF">
              <w:rPr>
                <w:rFonts w:ascii="Book Antiqua" w:eastAsia="等线" w:hAnsi="Book Antiqua" w:cs="宋体"/>
                <w:b/>
                <w:bCs/>
                <w:color w:val="000000" w:themeColor="text1"/>
                <w:sz w:val="24"/>
                <w:szCs w:val="24"/>
                <w:lang w:eastAsia="zh-CN"/>
              </w:rPr>
              <w:t>mo</w:t>
            </w:r>
            <w:proofErr w:type="spellEnd"/>
            <w:r w:rsidRPr="007662DF">
              <w:rPr>
                <w:rFonts w:ascii="Book Antiqua" w:eastAsia="等线" w:hAnsi="Book Antiqua" w:cs="宋体"/>
                <w:b/>
                <w:bCs/>
                <w:color w:val="000000" w:themeColor="text1"/>
                <w:sz w:val="24"/>
                <w:szCs w:val="24"/>
                <w:lang w:eastAsia="zh-CN"/>
              </w:rPr>
              <w:t>)</w:t>
            </w:r>
          </w:p>
        </w:tc>
        <w:tc>
          <w:tcPr>
            <w:tcW w:w="892" w:type="dxa"/>
            <w:vMerge/>
            <w:tcBorders>
              <w:top w:val="nil"/>
              <w:bottom w:val="single" w:sz="4" w:space="0" w:color="auto"/>
            </w:tcBorders>
            <w:vAlign w:val="center"/>
            <w:hideMark/>
          </w:tcPr>
          <w:p w14:paraId="5569D2E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4C7911B9" w14:textId="77777777" w:rsidTr="007662DF">
        <w:trPr>
          <w:trHeight w:val="472"/>
        </w:trPr>
        <w:tc>
          <w:tcPr>
            <w:tcW w:w="233" w:type="dxa"/>
            <w:vMerge/>
            <w:tcBorders>
              <w:top w:val="nil"/>
              <w:bottom w:val="single" w:sz="4" w:space="0" w:color="auto"/>
            </w:tcBorders>
            <w:vAlign w:val="center"/>
            <w:hideMark/>
          </w:tcPr>
          <w:p w14:paraId="0A2E972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284" w:type="dxa"/>
            <w:vMerge/>
            <w:tcBorders>
              <w:top w:val="nil"/>
              <w:bottom w:val="single" w:sz="4" w:space="0" w:color="auto"/>
            </w:tcBorders>
            <w:vAlign w:val="center"/>
            <w:hideMark/>
          </w:tcPr>
          <w:p w14:paraId="38696C0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307" w:type="dxa"/>
            <w:vMerge/>
            <w:tcBorders>
              <w:top w:val="nil"/>
              <w:bottom w:val="single" w:sz="4" w:space="0" w:color="auto"/>
            </w:tcBorders>
            <w:vAlign w:val="center"/>
            <w:hideMark/>
          </w:tcPr>
          <w:p w14:paraId="3F62904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0" w:type="dxa"/>
            <w:vMerge/>
            <w:tcBorders>
              <w:top w:val="nil"/>
              <w:bottom w:val="single" w:sz="4" w:space="0" w:color="auto"/>
            </w:tcBorders>
            <w:vAlign w:val="center"/>
            <w:hideMark/>
          </w:tcPr>
          <w:p w14:paraId="4346BD8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60" w:type="dxa"/>
            <w:gridSpan w:val="2"/>
            <w:vMerge w:val="restart"/>
            <w:tcBorders>
              <w:top w:val="nil"/>
              <w:bottom w:val="single" w:sz="4" w:space="0" w:color="auto"/>
            </w:tcBorders>
            <w:shd w:val="clear" w:color="auto" w:fill="auto"/>
            <w:noWrap/>
            <w:vAlign w:val="center"/>
            <w:hideMark/>
          </w:tcPr>
          <w:p w14:paraId="0BE2B36D" w14:textId="77777777" w:rsidR="007662DF" w:rsidRPr="007662DF" w:rsidRDefault="007662DF" w:rsidP="00AC50FA">
            <w:pPr>
              <w:snapToGrid w:val="0"/>
              <w:spacing w:after="0" w:line="360" w:lineRule="auto"/>
              <w:jc w:val="both"/>
              <w:rPr>
                <w:rFonts w:ascii="Book Antiqua" w:eastAsia="等线" w:hAnsi="Book Antiqua" w:cs="宋体"/>
                <w:b/>
                <w:bCs/>
                <w:color w:val="000000" w:themeColor="text1"/>
                <w:sz w:val="24"/>
                <w:szCs w:val="24"/>
                <w:lang w:eastAsia="zh-CN"/>
              </w:rPr>
            </w:pPr>
            <w:r w:rsidRPr="007662DF">
              <w:rPr>
                <w:rFonts w:ascii="Book Antiqua" w:eastAsia="等线" w:hAnsi="Book Antiqua" w:cs="宋体"/>
                <w:b/>
                <w:bCs/>
                <w:color w:val="000000" w:themeColor="text1"/>
                <w:sz w:val="24"/>
                <w:szCs w:val="24"/>
                <w:lang w:eastAsia="zh-CN"/>
              </w:rPr>
              <w:t>Recurrence</w:t>
            </w:r>
          </w:p>
        </w:tc>
        <w:tc>
          <w:tcPr>
            <w:tcW w:w="532" w:type="dxa"/>
            <w:vMerge/>
            <w:tcBorders>
              <w:top w:val="nil"/>
              <w:bottom w:val="single" w:sz="4" w:space="0" w:color="auto"/>
            </w:tcBorders>
            <w:vAlign w:val="center"/>
            <w:hideMark/>
          </w:tcPr>
          <w:p w14:paraId="130A10F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019" w:type="dxa"/>
            <w:vMerge/>
            <w:tcBorders>
              <w:top w:val="nil"/>
              <w:bottom w:val="single" w:sz="4" w:space="0" w:color="auto"/>
            </w:tcBorders>
            <w:vAlign w:val="center"/>
            <w:hideMark/>
          </w:tcPr>
          <w:p w14:paraId="0439F90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13" w:type="dxa"/>
            <w:vMerge/>
            <w:tcBorders>
              <w:top w:val="nil"/>
              <w:bottom w:val="single" w:sz="4" w:space="0" w:color="auto"/>
            </w:tcBorders>
            <w:vAlign w:val="center"/>
            <w:hideMark/>
          </w:tcPr>
          <w:p w14:paraId="3F13297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1" w:type="dxa"/>
            <w:vMerge/>
            <w:tcBorders>
              <w:top w:val="nil"/>
              <w:bottom w:val="single" w:sz="4" w:space="0" w:color="auto"/>
            </w:tcBorders>
            <w:vAlign w:val="center"/>
            <w:hideMark/>
          </w:tcPr>
          <w:p w14:paraId="5D2B266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6" w:type="dxa"/>
            <w:vMerge/>
            <w:tcBorders>
              <w:top w:val="nil"/>
              <w:bottom w:val="single" w:sz="4" w:space="0" w:color="auto"/>
            </w:tcBorders>
            <w:vAlign w:val="center"/>
            <w:hideMark/>
          </w:tcPr>
          <w:p w14:paraId="5B6D2BA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69" w:type="dxa"/>
            <w:vMerge/>
            <w:tcBorders>
              <w:top w:val="nil"/>
              <w:bottom w:val="single" w:sz="4" w:space="0" w:color="auto"/>
            </w:tcBorders>
            <w:vAlign w:val="center"/>
            <w:hideMark/>
          </w:tcPr>
          <w:p w14:paraId="062FED7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9" w:type="dxa"/>
            <w:vMerge/>
            <w:tcBorders>
              <w:top w:val="nil"/>
              <w:bottom w:val="single" w:sz="4" w:space="0" w:color="auto"/>
            </w:tcBorders>
            <w:vAlign w:val="center"/>
            <w:hideMark/>
          </w:tcPr>
          <w:p w14:paraId="77B60BF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72" w:type="dxa"/>
            <w:vMerge/>
            <w:tcBorders>
              <w:top w:val="nil"/>
              <w:bottom w:val="single" w:sz="4" w:space="0" w:color="auto"/>
            </w:tcBorders>
            <w:vAlign w:val="center"/>
            <w:hideMark/>
          </w:tcPr>
          <w:p w14:paraId="1DF5770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81" w:type="dxa"/>
            <w:vMerge/>
            <w:tcBorders>
              <w:top w:val="nil"/>
              <w:bottom w:val="single" w:sz="4" w:space="0" w:color="auto"/>
            </w:tcBorders>
            <w:vAlign w:val="center"/>
            <w:hideMark/>
          </w:tcPr>
          <w:p w14:paraId="6CE4ADF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3" w:type="dxa"/>
            <w:vMerge/>
            <w:tcBorders>
              <w:top w:val="nil"/>
              <w:bottom w:val="single" w:sz="4" w:space="0" w:color="auto"/>
            </w:tcBorders>
            <w:vAlign w:val="center"/>
            <w:hideMark/>
          </w:tcPr>
          <w:p w14:paraId="1BF20BA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vMerge/>
            <w:tcBorders>
              <w:top w:val="nil"/>
              <w:bottom w:val="single" w:sz="4" w:space="0" w:color="auto"/>
            </w:tcBorders>
            <w:vAlign w:val="center"/>
            <w:hideMark/>
          </w:tcPr>
          <w:p w14:paraId="2FB617D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vMerge/>
            <w:tcBorders>
              <w:top w:val="nil"/>
              <w:bottom w:val="single" w:sz="4" w:space="0" w:color="auto"/>
            </w:tcBorders>
            <w:vAlign w:val="center"/>
            <w:hideMark/>
          </w:tcPr>
          <w:p w14:paraId="77BDEEA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792D8D6F" w14:textId="77777777" w:rsidTr="007662DF">
        <w:trPr>
          <w:trHeight w:val="472"/>
        </w:trPr>
        <w:tc>
          <w:tcPr>
            <w:tcW w:w="233" w:type="dxa"/>
            <w:vMerge/>
            <w:tcBorders>
              <w:top w:val="nil"/>
              <w:bottom w:val="single" w:sz="4" w:space="0" w:color="auto"/>
            </w:tcBorders>
            <w:vAlign w:val="center"/>
            <w:hideMark/>
          </w:tcPr>
          <w:p w14:paraId="5BA9C1B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284" w:type="dxa"/>
            <w:vMerge/>
            <w:tcBorders>
              <w:top w:val="nil"/>
              <w:bottom w:val="single" w:sz="4" w:space="0" w:color="auto"/>
            </w:tcBorders>
            <w:vAlign w:val="center"/>
            <w:hideMark/>
          </w:tcPr>
          <w:p w14:paraId="1A789B3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307" w:type="dxa"/>
            <w:vMerge/>
            <w:tcBorders>
              <w:top w:val="nil"/>
              <w:bottom w:val="single" w:sz="4" w:space="0" w:color="auto"/>
            </w:tcBorders>
            <w:vAlign w:val="center"/>
            <w:hideMark/>
          </w:tcPr>
          <w:p w14:paraId="1FE64BE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0" w:type="dxa"/>
            <w:vMerge/>
            <w:tcBorders>
              <w:top w:val="nil"/>
              <w:bottom w:val="single" w:sz="4" w:space="0" w:color="auto"/>
            </w:tcBorders>
            <w:vAlign w:val="center"/>
            <w:hideMark/>
          </w:tcPr>
          <w:p w14:paraId="60FA404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60" w:type="dxa"/>
            <w:gridSpan w:val="2"/>
            <w:vMerge/>
            <w:tcBorders>
              <w:top w:val="nil"/>
              <w:bottom w:val="single" w:sz="4" w:space="0" w:color="auto"/>
            </w:tcBorders>
            <w:vAlign w:val="center"/>
            <w:hideMark/>
          </w:tcPr>
          <w:p w14:paraId="7B816E9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32" w:type="dxa"/>
            <w:vMerge/>
            <w:tcBorders>
              <w:top w:val="nil"/>
              <w:bottom w:val="single" w:sz="4" w:space="0" w:color="auto"/>
            </w:tcBorders>
            <w:vAlign w:val="center"/>
            <w:hideMark/>
          </w:tcPr>
          <w:p w14:paraId="2F7D500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019" w:type="dxa"/>
            <w:vMerge/>
            <w:tcBorders>
              <w:top w:val="nil"/>
              <w:bottom w:val="single" w:sz="4" w:space="0" w:color="auto"/>
            </w:tcBorders>
            <w:vAlign w:val="center"/>
            <w:hideMark/>
          </w:tcPr>
          <w:p w14:paraId="75750CD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13" w:type="dxa"/>
            <w:vMerge/>
            <w:tcBorders>
              <w:top w:val="nil"/>
              <w:bottom w:val="single" w:sz="4" w:space="0" w:color="auto"/>
            </w:tcBorders>
            <w:vAlign w:val="center"/>
            <w:hideMark/>
          </w:tcPr>
          <w:p w14:paraId="26797EB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1" w:type="dxa"/>
            <w:vMerge/>
            <w:tcBorders>
              <w:top w:val="nil"/>
              <w:bottom w:val="single" w:sz="4" w:space="0" w:color="auto"/>
            </w:tcBorders>
            <w:vAlign w:val="center"/>
            <w:hideMark/>
          </w:tcPr>
          <w:p w14:paraId="1DFE6BA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6" w:type="dxa"/>
            <w:vMerge/>
            <w:tcBorders>
              <w:top w:val="nil"/>
              <w:bottom w:val="single" w:sz="4" w:space="0" w:color="auto"/>
            </w:tcBorders>
            <w:vAlign w:val="center"/>
            <w:hideMark/>
          </w:tcPr>
          <w:p w14:paraId="44758CB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69" w:type="dxa"/>
            <w:vMerge/>
            <w:tcBorders>
              <w:top w:val="nil"/>
              <w:bottom w:val="single" w:sz="4" w:space="0" w:color="auto"/>
            </w:tcBorders>
            <w:vAlign w:val="center"/>
            <w:hideMark/>
          </w:tcPr>
          <w:p w14:paraId="6CA4EDA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519" w:type="dxa"/>
            <w:vMerge/>
            <w:tcBorders>
              <w:top w:val="nil"/>
              <w:bottom w:val="single" w:sz="4" w:space="0" w:color="auto"/>
            </w:tcBorders>
            <w:vAlign w:val="center"/>
            <w:hideMark/>
          </w:tcPr>
          <w:p w14:paraId="0E3ED67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72" w:type="dxa"/>
            <w:vMerge/>
            <w:tcBorders>
              <w:top w:val="nil"/>
              <w:bottom w:val="single" w:sz="4" w:space="0" w:color="auto"/>
            </w:tcBorders>
            <w:vAlign w:val="center"/>
            <w:hideMark/>
          </w:tcPr>
          <w:p w14:paraId="1BB6A48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681" w:type="dxa"/>
            <w:vMerge/>
            <w:tcBorders>
              <w:top w:val="nil"/>
              <w:bottom w:val="single" w:sz="4" w:space="0" w:color="auto"/>
            </w:tcBorders>
            <w:vAlign w:val="center"/>
            <w:hideMark/>
          </w:tcPr>
          <w:p w14:paraId="48D23D8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1483" w:type="dxa"/>
            <w:vMerge/>
            <w:tcBorders>
              <w:top w:val="nil"/>
              <w:bottom w:val="single" w:sz="4" w:space="0" w:color="auto"/>
            </w:tcBorders>
            <w:vAlign w:val="center"/>
            <w:hideMark/>
          </w:tcPr>
          <w:p w14:paraId="448E911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vMerge/>
            <w:tcBorders>
              <w:top w:val="nil"/>
              <w:bottom w:val="single" w:sz="4" w:space="0" w:color="auto"/>
            </w:tcBorders>
            <w:vAlign w:val="center"/>
            <w:hideMark/>
          </w:tcPr>
          <w:p w14:paraId="2C61430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vMerge/>
            <w:tcBorders>
              <w:top w:val="nil"/>
              <w:bottom w:val="single" w:sz="4" w:space="0" w:color="auto"/>
            </w:tcBorders>
            <w:vAlign w:val="center"/>
            <w:hideMark/>
          </w:tcPr>
          <w:p w14:paraId="2A54257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16C003B7" w14:textId="77777777" w:rsidTr="007662DF">
        <w:trPr>
          <w:trHeight w:val="660"/>
        </w:trPr>
        <w:tc>
          <w:tcPr>
            <w:tcW w:w="233" w:type="dxa"/>
            <w:tcBorders>
              <w:top w:val="single" w:sz="4" w:space="0" w:color="auto"/>
            </w:tcBorders>
            <w:shd w:val="clear" w:color="auto" w:fill="auto"/>
            <w:noWrap/>
            <w:vAlign w:val="center"/>
            <w:hideMark/>
          </w:tcPr>
          <w:p w14:paraId="6397C14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284" w:type="dxa"/>
            <w:tcBorders>
              <w:top w:val="single" w:sz="4" w:space="0" w:color="auto"/>
            </w:tcBorders>
            <w:shd w:val="clear" w:color="auto" w:fill="auto"/>
            <w:noWrap/>
            <w:vAlign w:val="center"/>
            <w:hideMark/>
          </w:tcPr>
          <w:p w14:paraId="4FDF890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tcBorders>
              <w:top w:val="single" w:sz="4" w:space="0" w:color="auto"/>
            </w:tcBorders>
            <w:shd w:val="clear" w:color="auto" w:fill="auto"/>
            <w:noWrap/>
            <w:vAlign w:val="center"/>
            <w:hideMark/>
          </w:tcPr>
          <w:p w14:paraId="4D99AF0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36</w:t>
            </w:r>
          </w:p>
        </w:tc>
        <w:tc>
          <w:tcPr>
            <w:tcW w:w="1480" w:type="dxa"/>
            <w:tcBorders>
              <w:top w:val="single" w:sz="4" w:space="0" w:color="auto"/>
            </w:tcBorders>
            <w:shd w:val="clear" w:color="auto" w:fill="auto"/>
            <w:noWrap/>
            <w:vAlign w:val="center"/>
            <w:hideMark/>
          </w:tcPr>
          <w:p w14:paraId="1BDBC02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58.2</w:t>
            </w:r>
          </w:p>
        </w:tc>
        <w:tc>
          <w:tcPr>
            <w:tcW w:w="360" w:type="dxa"/>
            <w:tcBorders>
              <w:top w:val="single" w:sz="4" w:space="0" w:color="auto"/>
            </w:tcBorders>
            <w:shd w:val="clear" w:color="auto" w:fill="auto"/>
            <w:noWrap/>
            <w:vAlign w:val="center"/>
            <w:hideMark/>
          </w:tcPr>
          <w:p w14:paraId="5867B5F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tcBorders>
              <w:top w:val="single" w:sz="4" w:space="0" w:color="auto"/>
            </w:tcBorders>
            <w:shd w:val="clear" w:color="auto" w:fill="auto"/>
            <w:noWrap/>
            <w:vAlign w:val="center"/>
            <w:hideMark/>
          </w:tcPr>
          <w:p w14:paraId="1DBCB31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tcBorders>
              <w:top w:val="single" w:sz="4" w:space="0" w:color="auto"/>
            </w:tcBorders>
            <w:shd w:val="clear" w:color="auto" w:fill="auto"/>
            <w:noWrap/>
            <w:vAlign w:val="center"/>
            <w:hideMark/>
          </w:tcPr>
          <w:p w14:paraId="6B2FB54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2.4</w:t>
            </w:r>
          </w:p>
        </w:tc>
        <w:tc>
          <w:tcPr>
            <w:tcW w:w="1019" w:type="dxa"/>
            <w:tcBorders>
              <w:top w:val="single" w:sz="4" w:space="0" w:color="auto"/>
            </w:tcBorders>
            <w:shd w:val="clear" w:color="auto" w:fill="auto"/>
            <w:noWrap/>
            <w:vAlign w:val="center"/>
            <w:hideMark/>
          </w:tcPr>
          <w:p w14:paraId="204A2D8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S7</w:t>
            </w:r>
          </w:p>
        </w:tc>
        <w:tc>
          <w:tcPr>
            <w:tcW w:w="613" w:type="dxa"/>
            <w:tcBorders>
              <w:top w:val="single" w:sz="4" w:space="0" w:color="auto"/>
            </w:tcBorders>
            <w:shd w:val="clear" w:color="auto" w:fill="auto"/>
            <w:noWrap/>
            <w:vAlign w:val="center"/>
            <w:hideMark/>
          </w:tcPr>
          <w:p w14:paraId="58C23C1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tcBorders>
              <w:top w:val="single" w:sz="4" w:space="0" w:color="auto"/>
            </w:tcBorders>
            <w:shd w:val="clear" w:color="auto" w:fill="auto"/>
            <w:noWrap/>
            <w:vAlign w:val="center"/>
            <w:hideMark/>
          </w:tcPr>
          <w:p w14:paraId="2E87E4D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SRL</w:t>
            </w:r>
          </w:p>
        </w:tc>
        <w:tc>
          <w:tcPr>
            <w:tcW w:w="516" w:type="dxa"/>
            <w:tcBorders>
              <w:top w:val="single" w:sz="4" w:space="0" w:color="auto"/>
            </w:tcBorders>
            <w:shd w:val="clear" w:color="auto" w:fill="auto"/>
            <w:noWrap/>
            <w:vAlign w:val="center"/>
            <w:hideMark/>
          </w:tcPr>
          <w:p w14:paraId="2E64006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tcBorders>
              <w:top w:val="single" w:sz="4" w:space="0" w:color="auto"/>
            </w:tcBorders>
            <w:shd w:val="clear" w:color="auto" w:fill="auto"/>
            <w:noWrap/>
            <w:vAlign w:val="center"/>
            <w:hideMark/>
          </w:tcPr>
          <w:p w14:paraId="4D711F0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50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tcBorders>
              <w:top w:val="single" w:sz="4" w:space="0" w:color="auto"/>
            </w:tcBorders>
            <w:shd w:val="clear" w:color="auto" w:fill="auto"/>
            <w:noWrap/>
            <w:vAlign w:val="center"/>
            <w:hideMark/>
          </w:tcPr>
          <w:p w14:paraId="07C029A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tcBorders>
              <w:top w:val="single" w:sz="4" w:space="0" w:color="auto"/>
            </w:tcBorders>
            <w:shd w:val="clear" w:color="auto" w:fill="auto"/>
            <w:noWrap/>
            <w:vAlign w:val="center"/>
            <w:hideMark/>
          </w:tcPr>
          <w:p w14:paraId="720BE5C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Regional/distant</w:t>
            </w:r>
          </w:p>
        </w:tc>
        <w:tc>
          <w:tcPr>
            <w:tcW w:w="681" w:type="dxa"/>
            <w:tcBorders>
              <w:top w:val="single" w:sz="4" w:space="0" w:color="auto"/>
            </w:tcBorders>
            <w:shd w:val="clear" w:color="auto" w:fill="auto"/>
            <w:noWrap/>
            <w:vAlign w:val="center"/>
            <w:hideMark/>
          </w:tcPr>
          <w:p w14:paraId="4D7A0C6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6.5</w:t>
            </w:r>
          </w:p>
        </w:tc>
        <w:tc>
          <w:tcPr>
            <w:tcW w:w="1483" w:type="dxa"/>
            <w:tcBorders>
              <w:top w:val="single" w:sz="4" w:space="0" w:color="auto"/>
            </w:tcBorders>
            <w:shd w:val="clear" w:color="auto" w:fill="auto"/>
            <w:noWrap/>
            <w:vAlign w:val="center"/>
            <w:hideMark/>
          </w:tcPr>
          <w:p w14:paraId="5E39DB6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132</w:t>
            </w:r>
          </w:p>
        </w:tc>
        <w:tc>
          <w:tcPr>
            <w:tcW w:w="949" w:type="dxa"/>
            <w:tcBorders>
              <w:top w:val="single" w:sz="4" w:space="0" w:color="auto"/>
            </w:tcBorders>
            <w:shd w:val="clear" w:color="auto" w:fill="auto"/>
            <w:noWrap/>
            <w:vAlign w:val="center"/>
            <w:hideMark/>
          </w:tcPr>
          <w:p w14:paraId="6CA2C30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84.2</w:t>
            </w:r>
          </w:p>
        </w:tc>
        <w:tc>
          <w:tcPr>
            <w:tcW w:w="892" w:type="dxa"/>
            <w:tcBorders>
              <w:top w:val="single" w:sz="4" w:space="0" w:color="auto"/>
            </w:tcBorders>
            <w:shd w:val="clear" w:color="auto" w:fill="auto"/>
            <w:noWrap/>
            <w:vAlign w:val="center"/>
            <w:hideMark/>
          </w:tcPr>
          <w:p w14:paraId="3B21B24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Dyspepsia/1</w:t>
            </w:r>
          </w:p>
        </w:tc>
      </w:tr>
      <w:tr w:rsidR="002010A1" w:rsidRPr="00AC50FA" w14:paraId="6CABB94A" w14:textId="77777777" w:rsidTr="007662DF">
        <w:trPr>
          <w:trHeight w:val="660"/>
        </w:trPr>
        <w:tc>
          <w:tcPr>
            <w:tcW w:w="233" w:type="dxa"/>
            <w:shd w:val="clear" w:color="auto" w:fill="auto"/>
            <w:noWrap/>
            <w:vAlign w:val="center"/>
            <w:hideMark/>
          </w:tcPr>
          <w:p w14:paraId="5F5B3B60" w14:textId="22DF00EF"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4A01BF0C" w14:textId="60338652"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400AFBC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37</w:t>
            </w:r>
          </w:p>
        </w:tc>
        <w:tc>
          <w:tcPr>
            <w:tcW w:w="1480" w:type="dxa"/>
            <w:shd w:val="clear" w:color="auto" w:fill="auto"/>
            <w:noWrap/>
            <w:vAlign w:val="center"/>
            <w:hideMark/>
          </w:tcPr>
          <w:p w14:paraId="006A325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66.5</w:t>
            </w:r>
          </w:p>
        </w:tc>
        <w:tc>
          <w:tcPr>
            <w:tcW w:w="360" w:type="dxa"/>
            <w:shd w:val="clear" w:color="auto" w:fill="auto"/>
            <w:noWrap/>
            <w:vAlign w:val="center"/>
            <w:hideMark/>
          </w:tcPr>
          <w:p w14:paraId="051A627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shd w:val="clear" w:color="auto" w:fill="auto"/>
            <w:noWrap/>
            <w:vAlign w:val="center"/>
            <w:hideMark/>
          </w:tcPr>
          <w:p w14:paraId="60412D4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3F73CAC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1.9</w:t>
            </w:r>
          </w:p>
        </w:tc>
        <w:tc>
          <w:tcPr>
            <w:tcW w:w="1019" w:type="dxa"/>
            <w:shd w:val="clear" w:color="auto" w:fill="auto"/>
            <w:noWrap/>
            <w:vAlign w:val="center"/>
            <w:hideMark/>
          </w:tcPr>
          <w:p w14:paraId="5837332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S6</w:t>
            </w:r>
          </w:p>
        </w:tc>
        <w:tc>
          <w:tcPr>
            <w:tcW w:w="613" w:type="dxa"/>
            <w:shd w:val="clear" w:color="auto" w:fill="auto"/>
            <w:noWrap/>
            <w:vAlign w:val="center"/>
            <w:hideMark/>
          </w:tcPr>
          <w:p w14:paraId="58B2002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Lung</w:t>
            </w:r>
          </w:p>
        </w:tc>
        <w:tc>
          <w:tcPr>
            <w:tcW w:w="941" w:type="dxa"/>
            <w:shd w:val="clear" w:color="auto" w:fill="auto"/>
            <w:noWrap/>
            <w:vAlign w:val="center"/>
            <w:hideMark/>
          </w:tcPr>
          <w:p w14:paraId="3FBC158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SRL/SECOX</w:t>
            </w:r>
          </w:p>
        </w:tc>
        <w:tc>
          <w:tcPr>
            <w:tcW w:w="516" w:type="dxa"/>
            <w:shd w:val="clear" w:color="auto" w:fill="auto"/>
            <w:noWrap/>
            <w:vAlign w:val="center"/>
            <w:hideMark/>
          </w:tcPr>
          <w:p w14:paraId="2D93D66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1B961EB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50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69261E4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shd w:val="clear" w:color="auto" w:fill="auto"/>
            <w:noWrap/>
            <w:vAlign w:val="center"/>
            <w:hideMark/>
          </w:tcPr>
          <w:p w14:paraId="7663D5D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Distant</w:t>
            </w:r>
          </w:p>
        </w:tc>
        <w:tc>
          <w:tcPr>
            <w:tcW w:w="681" w:type="dxa"/>
            <w:shd w:val="clear" w:color="auto" w:fill="auto"/>
            <w:noWrap/>
            <w:vAlign w:val="center"/>
            <w:hideMark/>
          </w:tcPr>
          <w:p w14:paraId="6F10843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10.9</w:t>
            </w:r>
          </w:p>
        </w:tc>
        <w:tc>
          <w:tcPr>
            <w:tcW w:w="1483" w:type="dxa"/>
            <w:shd w:val="clear" w:color="auto" w:fill="auto"/>
            <w:noWrap/>
            <w:vAlign w:val="center"/>
            <w:hideMark/>
          </w:tcPr>
          <w:p w14:paraId="67ACC815" w14:textId="33B4EC2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6A84BDF2" w14:textId="3ED47161"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0177D179" w14:textId="770E6E93"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5F6C9389" w14:textId="77777777" w:rsidTr="007662DF">
        <w:trPr>
          <w:trHeight w:val="340"/>
        </w:trPr>
        <w:tc>
          <w:tcPr>
            <w:tcW w:w="233" w:type="dxa"/>
            <w:shd w:val="clear" w:color="auto" w:fill="auto"/>
            <w:noWrap/>
            <w:vAlign w:val="center"/>
            <w:hideMark/>
          </w:tcPr>
          <w:p w14:paraId="12F03DC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284" w:type="dxa"/>
            <w:shd w:val="clear" w:color="auto" w:fill="auto"/>
            <w:noWrap/>
            <w:vAlign w:val="center"/>
            <w:hideMark/>
          </w:tcPr>
          <w:p w14:paraId="257EBDE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0A48331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66</w:t>
            </w:r>
          </w:p>
        </w:tc>
        <w:tc>
          <w:tcPr>
            <w:tcW w:w="1480" w:type="dxa"/>
            <w:shd w:val="clear" w:color="auto" w:fill="auto"/>
            <w:noWrap/>
            <w:vAlign w:val="center"/>
            <w:hideMark/>
          </w:tcPr>
          <w:p w14:paraId="0EDDC47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69.4</w:t>
            </w:r>
          </w:p>
        </w:tc>
        <w:tc>
          <w:tcPr>
            <w:tcW w:w="360" w:type="dxa"/>
            <w:shd w:val="clear" w:color="auto" w:fill="auto"/>
            <w:noWrap/>
            <w:vAlign w:val="center"/>
            <w:hideMark/>
          </w:tcPr>
          <w:p w14:paraId="6CC6D66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Yes</w:t>
            </w:r>
          </w:p>
        </w:tc>
        <w:tc>
          <w:tcPr>
            <w:tcW w:w="300" w:type="dxa"/>
            <w:shd w:val="clear" w:color="auto" w:fill="auto"/>
            <w:noWrap/>
            <w:vAlign w:val="center"/>
            <w:hideMark/>
          </w:tcPr>
          <w:p w14:paraId="231C311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532" w:type="dxa"/>
            <w:shd w:val="clear" w:color="auto" w:fill="auto"/>
            <w:noWrap/>
            <w:vAlign w:val="center"/>
            <w:hideMark/>
          </w:tcPr>
          <w:p w14:paraId="0B93389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3.6</w:t>
            </w:r>
          </w:p>
        </w:tc>
        <w:tc>
          <w:tcPr>
            <w:tcW w:w="1019" w:type="dxa"/>
            <w:shd w:val="clear" w:color="auto" w:fill="auto"/>
            <w:noWrap/>
            <w:vAlign w:val="center"/>
            <w:hideMark/>
          </w:tcPr>
          <w:p w14:paraId="29EDA88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S8</w:t>
            </w:r>
          </w:p>
        </w:tc>
        <w:tc>
          <w:tcPr>
            <w:tcW w:w="613" w:type="dxa"/>
            <w:shd w:val="clear" w:color="auto" w:fill="auto"/>
            <w:noWrap/>
            <w:vAlign w:val="center"/>
            <w:hideMark/>
          </w:tcPr>
          <w:p w14:paraId="1D682AE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404389A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7A05D24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4C6076C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45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2BB9CF1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PR</w:t>
            </w:r>
          </w:p>
        </w:tc>
        <w:tc>
          <w:tcPr>
            <w:tcW w:w="972" w:type="dxa"/>
            <w:shd w:val="clear" w:color="auto" w:fill="auto"/>
            <w:noWrap/>
            <w:vAlign w:val="center"/>
            <w:hideMark/>
          </w:tcPr>
          <w:p w14:paraId="1249950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2BE7A6F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9.5</w:t>
            </w:r>
          </w:p>
        </w:tc>
        <w:tc>
          <w:tcPr>
            <w:tcW w:w="1483" w:type="dxa"/>
            <w:shd w:val="clear" w:color="auto" w:fill="auto"/>
            <w:noWrap/>
            <w:vAlign w:val="center"/>
            <w:hideMark/>
          </w:tcPr>
          <w:p w14:paraId="70FDB8C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31.3</w:t>
            </w:r>
          </w:p>
        </w:tc>
        <w:tc>
          <w:tcPr>
            <w:tcW w:w="949" w:type="dxa"/>
            <w:shd w:val="clear" w:color="auto" w:fill="auto"/>
            <w:noWrap/>
            <w:vAlign w:val="center"/>
            <w:hideMark/>
          </w:tcPr>
          <w:p w14:paraId="50A7BDE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28</w:t>
            </w:r>
          </w:p>
        </w:tc>
        <w:tc>
          <w:tcPr>
            <w:tcW w:w="892" w:type="dxa"/>
            <w:shd w:val="clear" w:color="auto" w:fill="auto"/>
            <w:noWrap/>
            <w:vAlign w:val="center"/>
            <w:hideMark/>
          </w:tcPr>
          <w:p w14:paraId="4E2E407B" w14:textId="7FB50385"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5ECFE4C0" w14:textId="77777777" w:rsidTr="007662DF">
        <w:trPr>
          <w:trHeight w:val="660"/>
        </w:trPr>
        <w:tc>
          <w:tcPr>
            <w:tcW w:w="233" w:type="dxa"/>
            <w:shd w:val="clear" w:color="auto" w:fill="auto"/>
            <w:noWrap/>
            <w:vAlign w:val="center"/>
            <w:hideMark/>
          </w:tcPr>
          <w:p w14:paraId="6364DB57" w14:textId="5E550AE9"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2F3F7A03" w14:textId="16B8640D"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3138A406" w14:textId="3AE30031"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0" w:type="dxa"/>
            <w:shd w:val="clear" w:color="auto" w:fill="auto"/>
            <w:noWrap/>
            <w:vAlign w:val="center"/>
            <w:hideMark/>
          </w:tcPr>
          <w:p w14:paraId="64F95956" w14:textId="318B3DDB"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60" w:type="dxa"/>
            <w:shd w:val="clear" w:color="auto" w:fill="auto"/>
            <w:noWrap/>
            <w:vAlign w:val="center"/>
            <w:hideMark/>
          </w:tcPr>
          <w:p w14:paraId="4CE52C4E" w14:textId="45D0BD2B"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0" w:type="dxa"/>
            <w:shd w:val="clear" w:color="auto" w:fill="auto"/>
            <w:noWrap/>
            <w:vAlign w:val="center"/>
            <w:hideMark/>
          </w:tcPr>
          <w:p w14:paraId="0EE1940A" w14:textId="73F606D1"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32" w:type="dxa"/>
            <w:shd w:val="clear" w:color="auto" w:fill="auto"/>
            <w:noWrap/>
            <w:vAlign w:val="center"/>
            <w:hideMark/>
          </w:tcPr>
          <w:p w14:paraId="7EF9061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3.1</w:t>
            </w:r>
          </w:p>
        </w:tc>
        <w:tc>
          <w:tcPr>
            <w:tcW w:w="1019" w:type="dxa"/>
            <w:shd w:val="clear" w:color="auto" w:fill="auto"/>
            <w:noWrap/>
            <w:vAlign w:val="center"/>
            <w:hideMark/>
          </w:tcPr>
          <w:p w14:paraId="326BA4F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S7/IVC thrombus</w:t>
            </w:r>
          </w:p>
        </w:tc>
        <w:tc>
          <w:tcPr>
            <w:tcW w:w="613" w:type="dxa"/>
            <w:shd w:val="clear" w:color="auto" w:fill="auto"/>
            <w:noWrap/>
            <w:vAlign w:val="center"/>
            <w:hideMark/>
          </w:tcPr>
          <w:p w14:paraId="66A4F823" w14:textId="407064DB"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41" w:type="dxa"/>
            <w:shd w:val="clear" w:color="auto" w:fill="auto"/>
            <w:noWrap/>
            <w:vAlign w:val="center"/>
            <w:hideMark/>
          </w:tcPr>
          <w:p w14:paraId="61D05771" w14:textId="32D9F2D0"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6" w:type="dxa"/>
            <w:shd w:val="clear" w:color="auto" w:fill="auto"/>
            <w:noWrap/>
            <w:vAlign w:val="center"/>
            <w:hideMark/>
          </w:tcPr>
          <w:p w14:paraId="10B76624" w14:textId="6E44D373"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869" w:type="dxa"/>
            <w:shd w:val="clear" w:color="auto" w:fill="auto"/>
            <w:noWrap/>
            <w:vAlign w:val="center"/>
            <w:hideMark/>
          </w:tcPr>
          <w:p w14:paraId="66D62F9E" w14:textId="6170E454"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9" w:type="dxa"/>
            <w:shd w:val="clear" w:color="auto" w:fill="auto"/>
            <w:noWrap/>
            <w:vAlign w:val="center"/>
            <w:hideMark/>
          </w:tcPr>
          <w:p w14:paraId="41EDB79C" w14:textId="42F4469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72" w:type="dxa"/>
            <w:shd w:val="clear" w:color="auto" w:fill="auto"/>
            <w:noWrap/>
            <w:vAlign w:val="center"/>
            <w:hideMark/>
          </w:tcPr>
          <w:p w14:paraId="57A9B523" w14:textId="304564D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681" w:type="dxa"/>
            <w:shd w:val="clear" w:color="auto" w:fill="auto"/>
            <w:noWrap/>
            <w:vAlign w:val="center"/>
            <w:hideMark/>
          </w:tcPr>
          <w:p w14:paraId="2496D4E9" w14:textId="713AD00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3" w:type="dxa"/>
            <w:shd w:val="clear" w:color="auto" w:fill="auto"/>
            <w:noWrap/>
            <w:vAlign w:val="center"/>
            <w:hideMark/>
          </w:tcPr>
          <w:p w14:paraId="4972B647" w14:textId="784C0F75"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50C78E25" w14:textId="18F9F73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12A4FECE" w14:textId="488DA843"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4028EF91" w14:textId="77777777" w:rsidTr="007662DF">
        <w:trPr>
          <w:trHeight w:val="340"/>
        </w:trPr>
        <w:tc>
          <w:tcPr>
            <w:tcW w:w="233" w:type="dxa"/>
            <w:shd w:val="clear" w:color="auto" w:fill="auto"/>
            <w:noWrap/>
            <w:vAlign w:val="center"/>
            <w:hideMark/>
          </w:tcPr>
          <w:p w14:paraId="68877144" w14:textId="7D7CDD6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2F111D8A" w14:textId="3A472BD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3EA6F6D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66</w:t>
            </w:r>
          </w:p>
        </w:tc>
        <w:tc>
          <w:tcPr>
            <w:tcW w:w="1480" w:type="dxa"/>
            <w:shd w:val="clear" w:color="auto" w:fill="auto"/>
            <w:noWrap/>
            <w:vAlign w:val="center"/>
            <w:hideMark/>
          </w:tcPr>
          <w:p w14:paraId="2657BF4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81.8</w:t>
            </w:r>
          </w:p>
        </w:tc>
        <w:tc>
          <w:tcPr>
            <w:tcW w:w="360" w:type="dxa"/>
            <w:shd w:val="clear" w:color="auto" w:fill="auto"/>
            <w:noWrap/>
            <w:vAlign w:val="center"/>
            <w:hideMark/>
          </w:tcPr>
          <w:p w14:paraId="0F51598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shd w:val="clear" w:color="auto" w:fill="auto"/>
            <w:noWrap/>
            <w:vAlign w:val="center"/>
            <w:hideMark/>
          </w:tcPr>
          <w:p w14:paraId="3EE4C1B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532" w:type="dxa"/>
            <w:shd w:val="clear" w:color="auto" w:fill="auto"/>
            <w:noWrap/>
            <w:vAlign w:val="center"/>
            <w:hideMark/>
          </w:tcPr>
          <w:p w14:paraId="68E7BD3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1019" w:type="dxa"/>
            <w:shd w:val="clear" w:color="auto" w:fill="auto"/>
            <w:noWrap/>
            <w:vAlign w:val="center"/>
            <w:hideMark/>
          </w:tcPr>
          <w:p w14:paraId="1D52512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S8</w:t>
            </w:r>
          </w:p>
        </w:tc>
        <w:tc>
          <w:tcPr>
            <w:tcW w:w="613" w:type="dxa"/>
            <w:shd w:val="clear" w:color="auto" w:fill="auto"/>
            <w:noWrap/>
            <w:vAlign w:val="center"/>
            <w:hideMark/>
          </w:tcPr>
          <w:p w14:paraId="7A010AA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1502AAA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225A41A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7B95943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40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3463AEB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SD</w:t>
            </w:r>
          </w:p>
        </w:tc>
        <w:tc>
          <w:tcPr>
            <w:tcW w:w="972" w:type="dxa"/>
            <w:shd w:val="clear" w:color="auto" w:fill="auto"/>
            <w:noWrap/>
            <w:vAlign w:val="center"/>
            <w:hideMark/>
          </w:tcPr>
          <w:p w14:paraId="6F3266E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7BA20C7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3.3</w:t>
            </w:r>
          </w:p>
        </w:tc>
        <w:tc>
          <w:tcPr>
            <w:tcW w:w="1483" w:type="dxa"/>
            <w:shd w:val="clear" w:color="auto" w:fill="auto"/>
            <w:noWrap/>
            <w:vAlign w:val="center"/>
            <w:hideMark/>
          </w:tcPr>
          <w:p w14:paraId="12C46688" w14:textId="576A769B"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139E1F4A" w14:textId="2A54F06D"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34230FFB" w14:textId="17985074"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10EF9E89" w14:textId="77777777" w:rsidTr="007662DF">
        <w:trPr>
          <w:trHeight w:val="340"/>
        </w:trPr>
        <w:tc>
          <w:tcPr>
            <w:tcW w:w="233" w:type="dxa"/>
            <w:shd w:val="clear" w:color="auto" w:fill="auto"/>
            <w:noWrap/>
            <w:vAlign w:val="center"/>
            <w:hideMark/>
          </w:tcPr>
          <w:p w14:paraId="7D7B7047" w14:textId="49533739"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038F557F" w14:textId="187A71AE"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2CCFACCC" w14:textId="2C67F03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0" w:type="dxa"/>
            <w:shd w:val="clear" w:color="auto" w:fill="auto"/>
            <w:noWrap/>
            <w:vAlign w:val="center"/>
            <w:hideMark/>
          </w:tcPr>
          <w:p w14:paraId="3624E8C6" w14:textId="2A780756"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60" w:type="dxa"/>
            <w:shd w:val="clear" w:color="auto" w:fill="auto"/>
            <w:noWrap/>
            <w:vAlign w:val="center"/>
            <w:hideMark/>
          </w:tcPr>
          <w:p w14:paraId="4102C587" w14:textId="59BE4A67"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0" w:type="dxa"/>
            <w:shd w:val="clear" w:color="auto" w:fill="auto"/>
            <w:noWrap/>
            <w:vAlign w:val="center"/>
            <w:hideMark/>
          </w:tcPr>
          <w:p w14:paraId="22609E77" w14:textId="74393B4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32" w:type="dxa"/>
            <w:shd w:val="clear" w:color="auto" w:fill="auto"/>
            <w:noWrap/>
            <w:vAlign w:val="center"/>
            <w:hideMark/>
          </w:tcPr>
          <w:p w14:paraId="6FAC0D9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0.7</w:t>
            </w:r>
          </w:p>
        </w:tc>
        <w:tc>
          <w:tcPr>
            <w:tcW w:w="1019" w:type="dxa"/>
            <w:shd w:val="clear" w:color="auto" w:fill="auto"/>
            <w:noWrap/>
            <w:vAlign w:val="center"/>
            <w:hideMark/>
          </w:tcPr>
          <w:p w14:paraId="3691B22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S7</w:t>
            </w:r>
          </w:p>
        </w:tc>
        <w:tc>
          <w:tcPr>
            <w:tcW w:w="613" w:type="dxa"/>
            <w:shd w:val="clear" w:color="auto" w:fill="auto"/>
            <w:noWrap/>
            <w:vAlign w:val="center"/>
            <w:hideMark/>
          </w:tcPr>
          <w:p w14:paraId="0E6C0518" w14:textId="52A478F9"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41" w:type="dxa"/>
            <w:shd w:val="clear" w:color="auto" w:fill="auto"/>
            <w:noWrap/>
            <w:vAlign w:val="center"/>
            <w:hideMark/>
          </w:tcPr>
          <w:p w14:paraId="610C206A" w14:textId="0AC1C24D"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6" w:type="dxa"/>
            <w:shd w:val="clear" w:color="auto" w:fill="auto"/>
            <w:noWrap/>
            <w:vAlign w:val="center"/>
            <w:hideMark/>
          </w:tcPr>
          <w:p w14:paraId="29447347" w14:textId="4647AF48"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869" w:type="dxa"/>
            <w:shd w:val="clear" w:color="auto" w:fill="auto"/>
            <w:noWrap/>
            <w:vAlign w:val="center"/>
            <w:hideMark/>
          </w:tcPr>
          <w:p w14:paraId="42072C6E" w14:textId="471C368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9" w:type="dxa"/>
            <w:shd w:val="clear" w:color="auto" w:fill="auto"/>
            <w:noWrap/>
            <w:vAlign w:val="center"/>
            <w:hideMark/>
          </w:tcPr>
          <w:p w14:paraId="2840564C" w14:textId="20656716"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72" w:type="dxa"/>
            <w:shd w:val="clear" w:color="auto" w:fill="auto"/>
            <w:noWrap/>
            <w:vAlign w:val="center"/>
            <w:hideMark/>
          </w:tcPr>
          <w:p w14:paraId="473B6F63" w14:textId="6D3082BE"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681" w:type="dxa"/>
            <w:shd w:val="clear" w:color="auto" w:fill="auto"/>
            <w:noWrap/>
            <w:vAlign w:val="center"/>
            <w:hideMark/>
          </w:tcPr>
          <w:p w14:paraId="4E2CF145" w14:textId="7914A55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3" w:type="dxa"/>
            <w:shd w:val="clear" w:color="auto" w:fill="auto"/>
            <w:noWrap/>
            <w:vAlign w:val="center"/>
            <w:hideMark/>
          </w:tcPr>
          <w:p w14:paraId="2D30C8C6" w14:textId="2818C1D2"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43930C33" w14:textId="58D05175"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7B47EA2C" w14:textId="4AD1C9DF"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23E153F1" w14:textId="77777777" w:rsidTr="007662DF">
        <w:trPr>
          <w:trHeight w:val="340"/>
        </w:trPr>
        <w:tc>
          <w:tcPr>
            <w:tcW w:w="233" w:type="dxa"/>
            <w:shd w:val="clear" w:color="auto" w:fill="auto"/>
            <w:noWrap/>
            <w:vAlign w:val="center"/>
            <w:hideMark/>
          </w:tcPr>
          <w:p w14:paraId="53A1ADAF" w14:textId="6D3A5E14"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7C90EA16" w14:textId="73381EF2"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5E71543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67</w:t>
            </w:r>
          </w:p>
        </w:tc>
        <w:tc>
          <w:tcPr>
            <w:tcW w:w="1480" w:type="dxa"/>
            <w:shd w:val="clear" w:color="auto" w:fill="auto"/>
            <w:noWrap/>
            <w:vAlign w:val="center"/>
            <w:hideMark/>
          </w:tcPr>
          <w:p w14:paraId="3CB79B9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86.7</w:t>
            </w:r>
          </w:p>
        </w:tc>
        <w:tc>
          <w:tcPr>
            <w:tcW w:w="360" w:type="dxa"/>
            <w:shd w:val="clear" w:color="auto" w:fill="auto"/>
            <w:noWrap/>
            <w:vAlign w:val="center"/>
            <w:hideMark/>
          </w:tcPr>
          <w:p w14:paraId="6AD7D34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shd w:val="clear" w:color="auto" w:fill="auto"/>
            <w:noWrap/>
            <w:vAlign w:val="center"/>
            <w:hideMark/>
          </w:tcPr>
          <w:p w14:paraId="74D04CB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761AE15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1.2</w:t>
            </w:r>
          </w:p>
        </w:tc>
        <w:tc>
          <w:tcPr>
            <w:tcW w:w="1019" w:type="dxa"/>
            <w:shd w:val="clear" w:color="auto" w:fill="auto"/>
            <w:noWrap/>
            <w:vAlign w:val="center"/>
            <w:hideMark/>
          </w:tcPr>
          <w:p w14:paraId="0042B12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S6</w:t>
            </w:r>
          </w:p>
        </w:tc>
        <w:tc>
          <w:tcPr>
            <w:tcW w:w="613" w:type="dxa"/>
            <w:shd w:val="clear" w:color="auto" w:fill="auto"/>
            <w:noWrap/>
            <w:vAlign w:val="center"/>
            <w:hideMark/>
          </w:tcPr>
          <w:p w14:paraId="1991E43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0CED697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0AF43E7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570C989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40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19471B4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SD</w:t>
            </w:r>
          </w:p>
        </w:tc>
        <w:tc>
          <w:tcPr>
            <w:tcW w:w="972" w:type="dxa"/>
            <w:shd w:val="clear" w:color="auto" w:fill="auto"/>
            <w:noWrap/>
            <w:vAlign w:val="center"/>
            <w:hideMark/>
          </w:tcPr>
          <w:p w14:paraId="57EE3BD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697AD17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3.2</w:t>
            </w:r>
          </w:p>
        </w:tc>
        <w:tc>
          <w:tcPr>
            <w:tcW w:w="1483" w:type="dxa"/>
            <w:shd w:val="clear" w:color="auto" w:fill="auto"/>
            <w:noWrap/>
            <w:vAlign w:val="center"/>
            <w:hideMark/>
          </w:tcPr>
          <w:p w14:paraId="27C3AA90" w14:textId="4B082984"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18731D59" w14:textId="132D93AF"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13399A4E" w14:textId="5687552C"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7325C3F9" w14:textId="77777777" w:rsidTr="007662DF">
        <w:trPr>
          <w:trHeight w:val="660"/>
        </w:trPr>
        <w:tc>
          <w:tcPr>
            <w:tcW w:w="233" w:type="dxa"/>
            <w:shd w:val="clear" w:color="auto" w:fill="auto"/>
            <w:noWrap/>
            <w:vAlign w:val="center"/>
            <w:hideMark/>
          </w:tcPr>
          <w:p w14:paraId="165E017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w:t>
            </w:r>
          </w:p>
        </w:tc>
        <w:tc>
          <w:tcPr>
            <w:tcW w:w="284" w:type="dxa"/>
            <w:shd w:val="clear" w:color="auto" w:fill="auto"/>
            <w:noWrap/>
            <w:vAlign w:val="center"/>
            <w:hideMark/>
          </w:tcPr>
          <w:p w14:paraId="2F6B25E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3C9A939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60</w:t>
            </w:r>
          </w:p>
        </w:tc>
        <w:tc>
          <w:tcPr>
            <w:tcW w:w="1480" w:type="dxa"/>
            <w:shd w:val="clear" w:color="auto" w:fill="auto"/>
            <w:noWrap/>
            <w:vAlign w:val="center"/>
            <w:hideMark/>
          </w:tcPr>
          <w:p w14:paraId="111D054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12.5</w:t>
            </w:r>
          </w:p>
        </w:tc>
        <w:tc>
          <w:tcPr>
            <w:tcW w:w="360" w:type="dxa"/>
            <w:shd w:val="clear" w:color="auto" w:fill="auto"/>
            <w:noWrap/>
            <w:vAlign w:val="center"/>
            <w:hideMark/>
          </w:tcPr>
          <w:p w14:paraId="21609DE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Yes </w:t>
            </w:r>
          </w:p>
        </w:tc>
        <w:tc>
          <w:tcPr>
            <w:tcW w:w="300" w:type="dxa"/>
            <w:shd w:val="clear" w:color="auto" w:fill="auto"/>
            <w:noWrap/>
            <w:vAlign w:val="center"/>
            <w:hideMark/>
          </w:tcPr>
          <w:p w14:paraId="1296A5B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w:t>
            </w:r>
          </w:p>
        </w:tc>
        <w:tc>
          <w:tcPr>
            <w:tcW w:w="532" w:type="dxa"/>
            <w:shd w:val="clear" w:color="auto" w:fill="auto"/>
            <w:noWrap/>
            <w:vAlign w:val="center"/>
            <w:hideMark/>
          </w:tcPr>
          <w:p w14:paraId="385F846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3.3</w:t>
            </w:r>
          </w:p>
        </w:tc>
        <w:tc>
          <w:tcPr>
            <w:tcW w:w="1019" w:type="dxa"/>
            <w:shd w:val="clear" w:color="auto" w:fill="auto"/>
            <w:noWrap/>
            <w:vAlign w:val="center"/>
            <w:hideMark/>
          </w:tcPr>
          <w:p w14:paraId="4366CB4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S7/IVC thrombus</w:t>
            </w:r>
          </w:p>
        </w:tc>
        <w:tc>
          <w:tcPr>
            <w:tcW w:w="613" w:type="dxa"/>
            <w:shd w:val="clear" w:color="auto" w:fill="auto"/>
            <w:noWrap/>
            <w:vAlign w:val="center"/>
            <w:hideMark/>
          </w:tcPr>
          <w:p w14:paraId="5991C35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48003BF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EVL/Sorafenib</w:t>
            </w:r>
          </w:p>
        </w:tc>
        <w:tc>
          <w:tcPr>
            <w:tcW w:w="516" w:type="dxa"/>
            <w:shd w:val="clear" w:color="auto" w:fill="auto"/>
            <w:noWrap/>
            <w:vAlign w:val="center"/>
            <w:hideMark/>
          </w:tcPr>
          <w:p w14:paraId="4C0A797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48E3475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37.5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52349E6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shd w:val="clear" w:color="auto" w:fill="auto"/>
            <w:noWrap/>
            <w:vAlign w:val="center"/>
            <w:hideMark/>
          </w:tcPr>
          <w:p w14:paraId="47ADF8C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782D29C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10.3</w:t>
            </w:r>
          </w:p>
        </w:tc>
        <w:tc>
          <w:tcPr>
            <w:tcW w:w="1483" w:type="dxa"/>
            <w:shd w:val="clear" w:color="auto" w:fill="auto"/>
            <w:noWrap/>
            <w:vAlign w:val="center"/>
            <w:hideMark/>
          </w:tcPr>
          <w:p w14:paraId="77A8A86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19</w:t>
            </w:r>
          </w:p>
        </w:tc>
        <w:tc>
          <w:tcPr>
            <w:tcW w:w="949" w:type="dxa"/>
            <w:shd w:val="clear" w:color="auto" w:fill="auto"/>
            <w:noWrap/>
            <w:vAlign w:val="center"/>
            <w:hideMark/>
          </w:tcPr>
          <w:p w14:paraId="1C528EF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15.5</w:t>
            </w:r>
          </w:p>
        </w:tc>
        <w:tc>
          <w:tcPr>
            <w:tcW w:w="892" w:type="dxa"/>
            <w:shd w:val="clear" w:color="auto" w:fill="auto"/>
            <w:noWrap/>
            <w:vAlign w:val="center"/>
            <w:hideMark/>
          </w:tcPr>
          <w:p w14:paraId="2642FE6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Dyspepsia/1</w:t>
            </w:r>
          </w:p>
        </w:tc>
      </w:tr>
      <w:tr w:rsidR="002010A1" w:rsidRPr="00AC50FA" w14:paraId="264EE17E" w14:textId="77777777" w:rsidTr="007662DF">
        <w:trPr>
          <w:trHeight w:val="340"/>
        </w:trPr>
        <w:tc>
          <w:tcPr>
            <w:tcW w:w="233" w:type="dxa"/>
            <w:shd w:val="clear" w:color="auto" w:fill="auto"/>
            <w:noWrap/>
            <w:vAlign w:val="center"/>
            <w:hideMark/>
          </w:tcPr>
          <w:p w14:paraId="0ADC2783" w14:textId="20DB6675"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284" w:type="dxa"/>
            <w:shd w:val="clear" w:color="auto" w:fill="auto"/>
            <w:noWrap/>
            <w:vAlign w:val="center"/>
            <w:hideMark/>
          </w:tcPr>
          <w:p w14:paraId="3AE49067" w14:textId="1BF65871"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7" w:type="dxa"/>
            <w:shd w:val="clear" w:color="auto" w:fill="auto"/>
            <w:noWrap/>
            <w:vAlign w:val="center"/>
            <w:hideMark/>
          </w:tcPr>
          <w:p w14:paraId="6D8481A7" w14:textId="54ABBAE5"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0" w:type="dxa"/>
            <w:shd w:val="clear" w:color="auto" w:fill="auto"/>
            <w:noWrap/>
            <w:vAlign w:val="center"/>
            <w:hideMark/>
          </w:tcPr>
          <w:p w14:paraId="0F6ED364" w14:textId="5B2DC6D8"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60" w:type="dxa"/>
            <w:shd w:val="clear" w:color="auto" w:fill="auto"/>
            <w:noWrap/>
            <w:vAlign w:val="center"/>
            <w:hideMark/>
          </w:tcPr>
          <w:p w14:paraId="29B05036" w14:textId="06323CA4"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300" w:type="dxa"/>
            <w:shd w:val="clear" w:color="auto" w:fill="auto"/>
            <w:noWrap/>
            <w:vAlign w:val="center"/>
            <w:hideMark/>
          </w:tcPr>
          <w:p w14:paraId="6C01F9E3" w14:textId="504D0FD5"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32" w:type="dxa"/>
            <w:shd w:val="clear" w:color="auto" w:fill="auto"/>
            <w:noWrap/>
            <w:vAlign w:val="center"/>
            <w:hideMark/>
          </w:tcPr>
          <w:p w14:paraId="22DC643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2.3</w:t>
            </w:r>
          </w:p>
        </w:tc>
        <w:tc>
          <w:tcPr>
            <w:tcW w:w="1019" w:type="dxa"/>
            <w:shd w:val="clear" w:color="auto" w:fill="auto"/>
            <w:noWrap/>
            <w:vAlign w:val="center"/>
            <w:hideMark/>
          </w:tcPr>
          <w:p w14:paraId="7BFE4BD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S6</w:t>
            </w:r>
          </w:p>
        </w:tc>
        <w:tc>
          <w:tcPr>
            <w:tcW w:w="613" w:type="dxa"/>
            <w:shd w:val="clear" w:color="auto" w:fill="auto"/>
            <w:noWrap/>
            <w:vAlign w:val="center"/>
            <w:hideMark/>
          </w:tcPr>
          <w:p w14:paraId="65B0E646" w14:textId="37653752"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41" w:type="dxa"/>
            <w:shd w:val="clear" w:color="auto" w:fill="auto"/>
            <w:noWrap/>
            <w:vAlign w:val="center"/>
            <w:hideMark/>
          </w:tcPr>
          <w:p w14:paraId="4E7F03D7" w14:textId="41080F91"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6" w:type="dxa"/>
            <w:shd w:val="clear" w:color="auto" w:fill="auto"/>
            <w:noWrap/>
            <w:vAlign w:val="center"/>
            <w:hideMark/>
          </w:tcPr>
          <w:p w14:paraId="79C324F8" w14:textId="6D4A1227"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869" w:type="dxa"/>
            <w:shd w:val="clear" w:color="auto" w:fill="auto"/>
            <w:noWrap/>
            <w:vAlign w:val="center"/>
            <w:hideMark/>
          </w:tcPr>
          <w:p w14:paraId="4E6E4471" w14:textId="4DA75243"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519" w:type="dxa"/>
            <w:shd w:val="clear" w:color="auto" w:fill="auto"/>
            <w:noWrap/>
            <w:vAlign w:val="center"/>
            <w:hideMark/>
          </w:tcPr>
          <w:p w14:paraId="774470C0" w14:textId="270BA3FE"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972" w:type="dxa"/>
            <w:shd w:val="clear" w:color="auto" w:fill="auto"/>
            <w:noWrap/>
            <w:vAlign w:val="center"/>
            <w:hideMark/>
          </w:tcPr>
          <w:p w14:paraId="17A65D74" w14:textId="049EFDFA"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681" w:type="dxa"/>
            <w:shd w:val="clear" w:color="auto" w:fill="auto"/>
            <w:noWrap/>
            <w:vAlign w:val="center"/>
            <w:hideMark/>
          </w:tcPr>
          <w:p w14:paraId="645BED9A" w14:textId="628203DC" w:rsidR="007662DF" w:rsidRPr="007662DF" w:rsidRDefault="007662DF" w:rsidP="00AC50FA">
            <w:pPr>
              <w:snapToGrid w:val="0"/>
              <w:spacing w:after="0" w:line="360" w:lineRule="auto"/>
              <w:jc w:val="both"/>
              <w:rPr>
                <w:rFonts w:ascii="Book Antiqua" w:eastAsia="等线" w:hAnsi="Book Antiqua" w:cs="Calibri"/>
                <w:color w:val="000000" w:themeColor="text1"/>
                <w:sz w:val="24"/>
                <w:szCs w:val="24"/>
                <w:lang w:eastAsia="zh-CN"/>
              </w:rPr>
            </w:pPr>
          </w:p>
        </w:tc>
        <w:tc>
          <w:tcPr>
            <w:tcW w:w="1483" w:type="dxa"/>
            <w:shd w:val="clear" w:color="auto" w:fill="auto"/>
            <w:noWrap/>
            <w:vAlign w:val="center"/>
            <w:hideMark/>
          </w:tcPr>
          <w:p w14:paraId="35B70B35" w14:textId="30DAF6EC"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949" w:type="dxa"/>
            <w:shd w:val="clear" w:color="auto" w:fill="auto"/>
            <w:noWrap/>
            <w:vAlign w:val="center"/>
            <w:hideMark/>
          </w:tcPr>
          <w:p w14:paraId="4A35B710" w14:textId="5B3F9A11"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c>
          <w:tcPr>
            <w:tcW w:w="892" w:type="dxa"/>
            <w:shd w:val="clear" w:color="auto" w:fill="auto"/>
            <w:noWrap/>
            <w:vAlign w:val="center"/>
            <w:hideMark/>
          </w:tcPr>
          <w:p w14:paraId="09BCAD3E" w14:textId="32067251"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6C2BF835" w14:textId="77777777" w:rsidTr="007662DF">
        <w:trPr>
          <w:trHeight w:val="660"/>
        </w:trPr>
        <w:tc>
          <w:tcPr>
            <w:tcW w:w="233" w:type="dxa"/>
            <w:shd w:val="clear" w:color="auto" w:fill="auto"/>
            <w:noWrap/>
            <w:vAlign w:val="center"/>
            <w:hideMark/>
          </w:tcPr>
          <w:p w14:paraId="3B2D5A9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4</w:t>
            </w:r>
          </w:p>
        </w:tc>
        <w:tc>
          <w:tcPr>
            <w:tcW w:w="284" w:type="dxa"/>
            <w:shd w:val="clear" w:color="auto" w:fill="auto"/>
            <w:noWrap/>
            <w:vAlign w:val="center"/>
            <w:hideMark/>
          </w:tcPr>
          <w:p w14:paraId="55F8449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306B4AF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63</w:t>
            </w:r>
          </w:p>
        </w:tc>
        <w:tc>
          <w:tcPr>
            <w:tcW w:w="1480" w:type="dxa"/>
            <w:shd w:val="clear" w:color="auto" w:fill="auto"/>
            <w:noWrap/>
            <w:vAlign w:val="center"/>
            <w:hideMark/>
          </w:tcPr>
          <w:p w14:paraId="1F289D5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24.5</w:t>
            </w:r>
          </w:p>
        </w:tc>
        <w:tc>
          <w:tcPr>
            <w:tcW w:w="360" w:type="dxa"/>
            <w:shd w:val="clear" w:color="auto" w:fill="auto"/>
            <w:noWrap/>
            <w:vAlign w:val="center"/>
            <w:hideMark/>
          </w:tcPr>
          <w:p w14:paraId="742996E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Yes</w:t>
            </w:r>
          </w:p>
        </w:tc>
        <w:tc>
          <w:tcPr>
            <w:tcW w:w="300" w:type="dxa"/>
            <w:shd w:val="clear" w:color="auto" w:fill="auto"/>
            <w:noWrap/>
            <w:vAlign w:val="center"/>
            <w:hideMark/>
          </w:tcPr>
          <w:p w14:paraId="7A8F1CD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5F5361B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2.8</w:t>
            </w:r>
          </w:p>
        </w:tc>
        <w:tc>
          <w:tcPr>
            <w:tcW w:w="1019" w:type="dxa"/>
            <w:shd w:val="clear" w:color="auto" w:fill="auto"/>
            <w:noWrap/>
            <w:vAlign w:val="center"/>
            <w:hideMark/>
          </w:tcPr>
          <w:p w14:paraId="1CD8871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S3</w:t>
            </w:r>
          </w:p>
        </w:tc>
        <w:tc>
          <w:tcPr>
            <w:tcW w:w="613" w:type="dxa"/>
            <w:shd w:val="clear" w:color="auto" w:fill="auto"/>
            <w:noWrap/>
            <w:vAlign w:val="center"/>
            <w:hideMark/>
          </w:tcPr>
          <w:p w14:paraId="39C26BF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72B5E0C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467D865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5897933E"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37.5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49F890F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SD</w:t>
            </w:r>
          </w:p>
        </w:tc>
        <w:tc>
          <w:tcPr>
            <w:tcW w:w="972" w:type="dxa"/>
            <w:shd w:val="clear" w:color="auto" w:fill="auto"/>
            <w:noWrap/>
            <w:vAlign w:val="center"/>
            <w:hideMark/>
          </w:tcPr>
          <w:p w14:paraId="5FDED6C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Regional</w:t>
            </w:r>
          </w:p>
        </w:tc>
        <w:tc>
          <w:tcPr>
            <w:tcW w:w="681" w:type="dxa"/>
            <w:shd w:val="clear" w:color="auto" w:fill="auto"/>
            <w:noWrap/>
            <w:vAlign w:val="center"/>
            <w:hideMark/>
          </w:tcPr>
          <w:p w14:paraId="02E1A7B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3.3</w:t>
            </w:r>
          </w:p>
        </w:tc>
        <w:tc>
          <w:tcPr>
            <w:tcW w:w="1483" w:type="dxa"/>
            <w:shd w:val="clear" w:color="auto" w:fill="auto"/>
            <w:noWrap/>
            <w:vAlign w:val="center"/>
            <w:hideMark/>
          </w:tcPr>
          <w:p w14:paraId="25EB1BA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9</w:t>
            </w:r>
          </w:p>
        </w:tc>
        <w:tc>
          <w:tcPr>
            <w:tcW w:w="949" w:type="dxa"/>
            <w:shd w:val="clear" w:color="auto" w:fill="auto"/>
            <w:noWrap/>
            <w:vAlign w:val="center"/>
            <w:hideMark/>
          </w:tcPr>
          <w:p w14:paraId="478F994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6.4</w:t>
            </w:r>
          </w:p>
        </w:tc>
        <w:tc>
          <w:tcPr>
            <w:tcW w:w="892" w:type="dxa"/>
            <w:shd w:val="clear" w:color="auto" w:fill="auto"/>
            <w:noWrap/>
            <w:vAlign w:val="center"/>
            <w:hideMark/>
          </w:tcPr>
          <w:p w14:paraId="6AF8F71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Gastric ulcer/2</w:t>
            </w:r>
          </w:p>
        </w:tc>
      </w:tr>
      <w:tr w:rsidR="002010A1" w:rsidRPr="00AC50FA" w14:paraId="7752E065" w14:textId="77777777" w:rsidTr="007662DF">
        <w:trPr>
          <w:trHeight w:val="660"/>
        </w:trPr>
        <w:tc>
          <w:tcPr>
            <w:tcW w:w="233" w:type="dxa"/>
            <w:shd w:val="clear" w:color="auto" w:fill="auto"/>
            <w:noWrap/>
            <w:vAlign w:val="center"/>
            <w:hideMark/>
          </w:tcPr>
          <w:p w14:paraId="6DDDF4C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5</w:t>
            </w:r>
          </w:p>
        </w:tc>
        <w:tc>
          <w:tcPr>
            <w:tcW w:w="284" w:type="dxa"/>
            <w:shd w:val="clear" w:color="auto" w:fill="auto"/>
            <w:noWrap/>
            <w:vAlign w:val="center"/>
            <w:hideMark/>
          </w:tcPr>
          <w:p w14:paraId="770442F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798910DB"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57</w:t>
            </w:r>
          </w:p>
        </w:tc>
        <w:tc>
          <w:tcPr>
            <w:tcW w:w="1480" w:type="dxa"/>
            <w:shd w:val="clear" w:color="auto" w:fill="auto"/>
            <w:noWrap/>
            <w:vAlign w:val="center"/>
            <w:hideMark/>
          </w:tcPr>
          <w:p w14:paraId="1A58A4C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1.2</w:t>
            </w:r>
          </w:p>
        </w:tc>
        <w:tc>
          <w:tcPr>
            <w:tcW w:w="360" w:type="dxa"/>
            <w:shd w:val="clear" w:color="auto" w:fill="auto"/>
            <w:noWrap/>
            <w:vAlign w:val="center"/>
            <w:hideMark/>
          </w:tcPr>
          <w:p w14:paraId="55B5826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Yes</w:t>
            </w:r>
          </w:p>
        </w:tc>
        <w:tc>
          <w:tcPr>
            <w:tcW w:w="300" w:type="dxa"/>
            <w:shd w:val="clear" w:color="auto" w:fill="auto"/>
            <w:noWrap/>
            <w:vAlign w:val="center"/>
            <w:hideMark/>
          </w:tcPr>
          <w:p w14:paraId="2F58F17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0234AE6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1019" w:type="dxa"/>
            <w:shd w:val="clear" w:color="auto" w:fill="auto"/>
            <w:noWrap/>
            <w:vAlign w:val="center"/>
            <w:hideMark/>
          </w:tcPr>
          <w:p w14:paraId="3A13CAD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Portal LN</w:t>
            </w:r>
          </w:p>
        </w:tc>
        <w:tc>
          <w:tcPr>
            <w:tcW w:w="613" w:type="dxa"/>
            <w:shd w:val="clear" w:color="auto" w:fill="auto"/>
            <w:noWrap/>
            <w:vAlign w:val="center"/>
            <w:hideMark/>
          </w:tcPr>
          <w:p w14:paraId="245A362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33DCA461"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EVL/Lenvatinib</w:t>
            </w:r>
          </w:p>
        </w:tc>
        <w:tc>
          <w:tcPr>
            <w:tcW w:w="516" w:type="dxa"/>
            <w:shd w:val="clear" w:color="auto" w:fill="auto"/>
            <w:noWrap/>
            <w:vAlign w:val="center"/>
            <w:hideMark/>
          </w:tcPr>
          <w:p w14:paraId="329ADCC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869" w:type="dxa"/>
            <w:shd w:val="clear" w:color="auto" w:fill="auto"/>
            <w:noWrap/>
            <w:vAlign w:val="center"/>
            <w:hideMark/>
          </w:tcPr>
          <w:p w14:paraId="7A14995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45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034B1FF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shd w:val="clear" w:color="auto" w:fill="auto"/>
            <w:noWrap/>
            <w:vAlign w:val="center"/>
            <w:hideMark/>
          </w:tcPr>
          <w:p w14:paraId="7415B7F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681" w:type="dxa"/>
            <w:shd w:val="clear" w:color="auto" w:fill="auto"/>
            <w:noWrap/>
            <w:vAlign w:val="center"/>
            <w:hideMark/>
          </w:tcPr>
          <w:p w14:paraId="003F8742"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w:t>
            </w:r>
          </w:p>
        </w:tc>
        <w:tc>
          <w:tcPr>
            <w:tcW w:w="1483" w:type="dxa"/>
            <w:shd w:val="clear" w:color="auto" w:fill="auto"/>
            <w:noWrap/>
            <w:vAlign w:val="center"/>
            <w:hideMark/>
          </w:tcPr>
          <w:p w14:paraId="2034913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6.9</w:t>
            </w:r>
          </w:p>
        </w:tc>
        <w:tc>
          <w:tcPr>
            <w:tcW w:w="949" w:type="dxa"/>
            <w:shd w:val="clear" w:color="auto" w:fill="auto"/>
            <w:noWrap/>
            <w:vAlign w:val="center"/>
            <w:hideMark/>
          </w:tcPr>
          <w:p w14:paraId="1BB3EB9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6.3</w:t>
            </w:r>
          </w:p>
        </w:tc>
        <w:tc>
          <w:tcPr>
            <w:tcW w:w="892" w:type="dxa"/>
            <w:shd w:val="clear" w:color="auto" w:fill="auto"/>
            <w:noWrap/>
            <w:vAlign w:val="center"/>
            <w:hideMark/>
          </w:tcPr>
          <w:p w14:paraId="6060A97C" w14:textId="3C5C55BB"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
        </w:tc>
      </w:tr>
      <w:tr w:rsidR="002010A1" w:rsidRPr="00AC50FA" w14:paraId="3E0F528E" w14:textId="77777777" w:rsidTr="007662DF">
        <w:trPr>
          <w:trHeight w:val="660"/>
        </w:trPr>
        <w:tc>
          <w:tcPr>
            <w:tcW w:w="233" w:type="dxa"/>
            <w:shd w:val="clear" w:color="auto" w:fill="auto"/>
            <w:noWrap/>
            <w:vAlign w:val="center"/>
            <w:hideMark/>
          </w:tcPr>
          <w:p w14:paraId="4177878A"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6</w:t>
            </w:r>
          </w:p>
        </w:tc>
        <w:tc>
          <w:tcPr>
            <w:tcW w:w="284" w:type="dxa"/>
            <w:shd w:val="clear" w:color="auto" w:fill="auto"/>
            <w:noWrap/>
            <w:vAlign w:val="center"/>
            <w:hideMark/>
          </w:tcPr>
          <w:p w14:paraId="219794EC"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M</w:t>
            </w:r>
          </w:p>
        </w:tc>
        <w:tc>
          <w:tcPr>
            <w:tcW w:w="307" w:type="dxa"/>
            <w:shd w:val="clear" w:color="auto" w:fill="auto"/>
            <w:noWrap/>
            <w:vAlign w:val="center"/>
            <w:hideMark/>
          </w:tcPr>
          <w:p w14:paraId="4F38E8C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58</w:t>
            </w:r>
          </w:p>
        </w:tc>
        <w:tc>
          <w:tcPr>
            <w:tcW w:w="1480" w:type="dxa"/>
            <w:shd w:val="clear" w:color="auto" w:fill="auto"/>
            <w:noWrap/>
            <w:vAlign w:val="center"/>
            <w:hideMark/>
          </w:tcPr>
          <w:p w14:paraId="5546888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75.8</w:t>
            </w:r>
          </w:p>
        </w:tc>
        <w:tc>
          <w:tcPr>
            <w:tcW w:w="360" w:type="dxa"/>
            <w:shd w:val="clear" w:color="auto" w:fill="auto"/>
            <w:noWrap/>
            <w:vAlign w:val="center"/>
            <w:hideMark/>
          </w:tcPr>
          <w:p w14:paraId="0DF0C7BD"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300" w:type="dxa"/>
            <w:shd w:val="clear" w:color="auto" w:fill="auto"/>
            <w:noWrap/>
            <w:vAlign w:val="center"/>
            <w:hideMark/>
          </w:tcPr>
          <w:p w14:paraId="692B5A9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w:t>
            </w:r>
          </w:p>
        </w:tc>
        <w:tc>
          <w:tcPr>
            <w:tcW w:w="532" w:type="dxa"/>
            <w:shd w:val="clear" w:color="auto" w:fill="auto"/>
            <w:noWrap/>
            <w:vAlign w:val="center"/>
            <w:hideMark/>
          </w:tcPr>
          <w:p w14:paraId="3F3EAD18"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2.5</w:t>
            </w:r>
          </w:p>
        </w:tc>
        <w:tc>
          <w:tcPr>
            <w:tcW w:w="1019" w:type="dxa"/>
            <w:shd w:val="clear" w:color="auto" w:fill="auto"/>
            <w:noWrap/>
            <w:vAlign w:val="center"/>
            <w:hideMark/>
          </w:tcPr>
          <w:p w14:paraId="62833693"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S5</w:t>
            </w:r>
          </w:p>
        </w:tc>
        <w:tc>
          <w:tcPr>
            <w:tcW w:w="613" w:type="dxa"/>
            <w:shd w:val="clear" w:color="auto" w:fill="auto"/>
            <w:noWrap/>
            <w:vAlign w:val="center"/>
            <w:hideMark/>
          </w:tcPr>
          <w:p w14:paraId="5ED1A2D5"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941" w:type="dxa"/>
            <w:shd w:val="clear" w:color="auto" w:fill="auto"/>
            <w:noWrap/>
            <w:vAlign w:val="center"/>
            <w:hideMark/>
          </w:tcPr>
          <w:p w14:paraId="2B60A1C4"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EVL</w:t>
            </w:r>
          </w:p>
        </w:tc>
        <w:tc>
          <w:tcPr>
            <w:tcW w:w="516" w:type="dxa"/>
            <w:shd w:val="clear" w:color="auto" w:fill="auto"/>
            <w:noWrap/>
            <w:vAlign w:val="center"/>
            <w:hideMark/>
          </w:tcPr>
          <w:p w14:paraId="352AB49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TACE</w:t>
            </w:r>
          </w:p>
        </w:tc>
        <w:tc>
          <w:tcPr>
            <w:tcW w:w="869" w:type="dxa"/>
            <w:shd w:val="clear" w:color="auto" w:fill="auto"/>
            <w:noWrap/>
            <w:vAlign w:val="center"/>
            <w:hideMark/>
          </w:tcPr>
          <w:p w14:paraId="425FF820"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 xml:space="preserve">50 </w:t>
            </w:r>
            <w:proofErr w:type="spellStart"/>
            <w:r w:rsidRPr="007662DF">
              <w:rPr>
                <w:rFonts w:ascii="Book Antiqua" w:eastAsia="等线" w:hAnsi="Book Antiqua" w:cs="宋体"/>
                <w:color w:val="000000" w:themeColor="text1"/>
                <w:sz w:val="24"/>
                <w:szCs w:val="24"/>
                <w:lang w:eastAsia="zh-CN"/>
              </w:rPr>
              <w:t>Gy</w:t>
            </w:r>
            <w:proofErr w:type="spellEnd"/>
            <w:r w:rsidRPr="007662DF">
              <w:rPr>
                <w:rFonts w:ascii="Book Antiqua" w:eastAsia="等线" w:hAnsi="Book Antiqua" w:cs="宋体"/>
                <w:color w:val="000000" w:themeColor="text1"/>
                <w:sz w:val="24"/>
                <w:szCs w:val="24"/>
                <w:lang w:eastAsia="zh-CN"/>
              </w:rPr>
              <w:t>/5</w:t>
            </w:r>
          </w:p>
        </w:tc>
        <w:tc>
          <w:tcPr>
            <w:tcW w:w="519" w:type="dxa"/>
            <w:shd w:val="clear" w:color="auto" w:fill="auto"/>
            <w:noWrap/>
            <w:vAlign w:val="center"/>
            <w:hideMark/>
          </w:tcPr>
          <w:p w14:paraId="76BEBE96"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CR</w:t>
            </w:r>
          </w:p>
        </w:tc>
        <w:tc>
          <w:tcPr>
            <w:tcW w:w="972" w:type="dxa"/>
            <w:shd w:val="clear" w:color="auto" w:fill="auto"/>
            <w:noWrap/>
            <w:vAlign w:val="center"/>
            <w:hideMark/>
          </w:tcPr>
          <w:p w14:paraId="0EA26DF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No</w:t>
            </w:r>
          </w:p>
        </w:tc>
        <w:tc>
          <w:tcPr>
            <w:tcW w:w="681" w:type="dxa"/>
            <w:shd w:val="clear" w:color="auto" w:fill="auto"/>
            <w:noWrap/>
            <w:vAlign w:val="center"/>
            <w:hideMark/>
          </w:tcPr>
          <w:p w14:paraId="08615EBF"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w:t>
            </w:r>
          </w:p>
        </w:tc>
        <w:tc>
          <w:tcPr>
            <w:tcW w:w="1483" w:type="dxa"/>
            <w:shd w:val="clear" w:color="auto" w:fill="auto"/>
            <w:noWrap/>
            <w:vAlign w:val="center"/>
            <w:hideMark/>
          </w:tcPr>
          <w:p w14:paraId="1A7C79D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30.8</w:t>
            </w:r>
          </w:p>
        </w:tc>
        <w:tc>
          <w:tcPr>
            <w:tcW w:w="949" w:type="dxa"/>
            <w:shd w:val="clear" w:color="auto" w:fill="auto"/>
            <w:noWrap/>
            <w:vAlign w:val="center"/>
            <w:hideMark/>
          </w:tcPr>
          <w:p w14:paraId="345AE647"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r w:rsidRPr="007662DF">
              <w:rPr>
                <w:rFonts w:ascii="Book Antiqua" w:eastAsia="等线" w:hAnsi="Book Antiqua" w:cs="宋体"/>
                <w:color w:val="000000" w:themeColor="text1"/>
                <w:sz w:val="24"/>
                <w:szCs w:val="24"/>
                <w:lang w:eastAsia="zh-CN"/>
              </w:rPr>
              <w:t>1.8</w:t>
            </w:r>
          </w:p>
        </w:tc>
        <w:tc>
          <w:tcPr>
            <w:tcW w:w="892" w:type="dxa"/>
            <w:shd w:val="clear" w:color="auto" w:fill="auto"/>
            <w:noWrap/>
            <w:vAlign w:val="center"/>
            <w:hideMark/>
          </w:tcPr>
          <w:p w14:paraId="1E40FBF9" w14:textId="77777777" w:rsidR="007662DF" w:rsidRPr="007662DF" w:rsidRDefault="007662DF" w:rsidP="00AC50FA">
            <w:pPr>
              <w:snapToGrid w:val="0"/>
              <w:spacing w:after="0" w:line="360" w:lineRule="auto"/>
              <w:jc w:val="both"/>
              <w:rPr>
                <w:rFonts w:ascii="Book Antiqua" w:eastAsia="等线" w:hAnsi="Book Antiqua" w:cs="宋体"/>
                <w:color w:val="000000" w:themeColor="text1"/>
                <w:sz w:val="24"/>
                <w:szCs w:val="24"/>
                <w:lang w:eastAsia="zh-CN"/>
              </w:rPr>
            </w:pPr>
            <w:proofErr w:type="spellStart"/>
            <w:r w:rsidRPr="007662DF">
              <w:rPr>
                <w:rFonts w:ascii="Book Antiqua" w:eastAsia="等线" w:hAnsi="Book Antiqua" w:cs="宋体"/>
                <w:color w:val="000000" w:themeColor="text1"/>
                <w:sz w:val="24"/>
                <w:szCs w:val="24"/>
                <w:lang w:eastAsia="zh-CN"/>
              </w:rPr>
              <w:t>Diarrhoea</w:t>
            </w:r>
            <w:proofErr w:type="spellEnd"/>
            <w:r w:rsidRPr="007662DF">
              <w:rPr>
                <w:rFonts w:ascii="Book Antiqua" w:eastAsia="等线" w:hAnsi="Book Antiqua" w:cs="宋体"/>
                <w:color w:val="000000" w:themeColor="text1"/>
                <w:sz w:val="24"/>
                <w:szCs w:val="24"/>
                <w:lang w:eastAsia="zh-CN"/>
              </w:rPr>
              <w:t>/1</w:t>
            </w:r>
          </w:p>
        </w:tc>
      </w:tr>
    </w:tbl>
    <w:p w14:paraId="38E7F133" w14:textId="4354E027" w:rsidR="00435602" w:rsidRPr="00AC50FA" w:rsidRDefault="00CF2C01" w:rsidP="00AC50FA">
      <w:pPr>
        <w:snapToGrid w:val="0"/>
        <w:spacing w:after="0" w:line="360" w:lineRule="auto"/>
        <w:jc w:val="both"/>
        <w:rPr>
          <w:rFonts w:ascii="Book Antiqua" w:hAnsi="Book Antiqua"/>
          <w:color w:val="000000" w:themeColor="text1"/>
          <w:sz w:val="24"/>
          <w:szCs w:val="24"/>
          <w:lang w:val="en-GB" w:eastAsia="zh-CN"/>
        </w:rPr>
      </w:pPr>
      <w:r w:rsidRPr="00AC50FA">
        <w:rPr>
          <w:rFonts w:ascii="Book Antiqua" w:eastAsia="PMingLiU" w:hAnsi="Book Antiqua" w:cs="PMingLiU"/>
          <w:color w:val="000000" w:themeColor="text1"/>
          <w:sz w:val="24"/>
          <w:szCs w:val="24"/>
        </w:rPr>
        <w:lastRenderedPageBreak/>
        <w:t xml:space="preserve">CR: Complete response; EVL: </w:t>
      </w:r>
      <w:proofErr w:type="spellStart"/>
      <w:r w:rsidRPr="00AC50FA">
        <w:rPr>
          <w:rFonts w:ascii="Book Antiqua" w:eastAsia="PMingLiU" w:hAnsi="Book Antiqua" w:cs="PMingLiU"/>
          <w:color w:val="000000" w:themeColor="text1"/>
          <w:sz w:val="24"/>
          <w:szCs w:val="24"/>
        </w:rPr>
        <w:t>Everolimus</w:t>
      </w:r>
      <w:proofErr w:type="spellEnd"/>
      <w:r w:rsidRPr="00AC50FA">
        <w:rPr>
          <w:rFonts w:ascii="Book Antiqua" w:eastAsia="PMingLiU" w:hAnsi="Book Antiqua" w:cs="PMingLiU"/>
          <w:color w:val="000000" w:themeColor="text1"/>
          <w:sz w:val="24"/>
          <w:szCs w:val="24"/>
        </w:rPr>
        <w:t>; IVC: Inferior vena cava; LN: Lymph node, PR: Partial response; SD: Stable disease; SRL: Sirolimus; TACE: Trans-arterial chemoembolization</w:t>
      </w:r>
      <w:r w:rsidRPr="00AC50FA">
        <w:rPr>
          <w:rFonts w:ascii="Book Antiqua" w:hAnsi="Book Antiqua"/>
          <w:color w:val="000000" w:themeColor="text1"/>
          <w:sz w:val="24"/>
          <w:szCs w:val="24"/>
          <w:lang w:val="en-GB" w:eastAsia="zh-CN"/>
        </w:rPr>
        <w:t>.</w:t>
      </w:r>
    </w:p>
    <w:p w14:paraId="56DD18AF" w14:textId="779A88E4" w:rsidR="003B117A" w:rsidRPr="00AC50FA" w:rsidRDefault="003B117A" w:rsidP="00AC50FA">
      <w:pPr>
        <w:snapToGrid w:val="0"/>
        <w:spacing w:after="0" w:line="360" w:lineRule="auto"/>
        <w:jc w:val="both"/>
        <w:rPr>
          <w:rFonts w:ascii="Book Antiqua" w:hAnsi="Book Antiqua"/>
          <w:color w:val="000000" w:themeColor="text1"/>
          <w:sz w:val="24"/>
          <w:szCs w:val="24"/>
          <w:lang w:val="en-GB"/>
        </w:rPr>
      </w:pPr>
      <w:r w:rsidRPr="00AC50FA">
        <w:rPr>
          <w:rFonts w:ascii="Book Antiqua" w:hAnsi="Book Antiqua"/>
          <w:color w:val="000000" w:themeColor="text1"/>
          <w:sz w:val="24"/>
          <w:szCs w:val="24"/>
          <w:lang w:val="en-GB"/>
        </w:rPr>
        <w:br w:type="page"/>
      </w:r>
    </w:p>
    <w:p w14:paraId="13164D8B" w14:textId="77777777" w:rsidR="00AA056F" w:rsidRPr="00AC50FA" w:rsidRDefault="00AA056F" w:rsidP="00AC50FA">
      <w:pPr>
        <w:snapToGrid w:val="0"/>
        <w:spacing w:after="0" w:line="360" w:lineRule="auto"/>
        <w:jc w:val="both"/>
        <w:rPr>
          <w:rFonts w:ascii="Book Antiqua" w:hAnsi="Book Antiqua"/>
          <w:color w:val="000000" w:themeColor="text1"/>
          <w:sz w:val="24"/>
          <w:szCs w:val="24"/>
          <w:lang w:val="en-GB"/>
        </w:rPr>
        <w:sectPr w:rsidR="00AA056F" w:rsidRPr="00AC50FA" w:rsidSect="00AA056F">
          <w:pgSz w:w="15840" w:h="12240" w:orient="landscape"/>
          <w:pgMar w:top="1440" w:right="1440" w:bottom="1440" w:left="1440" w:header="720" w:footer="720" w:gutter="0"/>
          <w:cols w:space="720"/>
          <w:docGrid w:linePitch="360"/>
        </w:sectPr>
      </w:pPr>
    </w:p>
    <w:p w14:paraId="04610FF0" w14:textId="5D7E7173" w:rsidR="009E5859" w:rsidRPr="00AC50FA" w:rsidRDefault="009E5859" w:rsidP="00AC50FA">
      <w:pPr>
        <w:snapToGrid w:val="0"/>
        <w:spacing w:after="0" w:line="360" w:lineRule="auto"/>
        <w:jc w:val="both"/>
        <w:rPr>
          <w:rFonts w:ascii="Book Antiqua" w:hAnsi="Book Antiqua"/>
          <w:b/>
          <w:bCs/>
          <w:color w:val="000000" w:themeColor="text1"/>
          <w:sz w:val="24"/>
          <w:szCs w:val="24"/>
          <w:lang w:val="en-GB"/>
        </w:rPr>
      </w:pPr>
      <w:r w:rsidRPr="00AC50FA">
        <w:rPr>
          <w:rFonts w:ascii="Book Antiqua" w:hAnsi="Book Antiqua"/>
          <w:b/>
          <w:bCs/>
          <w:color w:val="000000" w:themeColor="text1"/>
          <w:sz w:val="24"/>
          <w:szCs w:val="24"/>
          <w:lang w:val="en-GB"/>
        </w:rPr>
        <w:lastRenderedPageBreak/>
        <w:t xml:space="preserve">Table 2 </w:t>
      </w:r>
      <w:r w:rsidR="00AA056F" w:rsidRPr="00AC50FA">
        <w:rPr>
          <w:rFonts w:ascii="Book Antiqua" w:hAnsi="Book Antiqua"/>
          <w:b/>
          <w:bCs/>
          <w:color w:val="000000" w:themeColor="text1"/>
          <w:sz w:val="24"/>
          <w:szCs w:val="24"/>
          <w:lang w:val="en-GB"/>
        </w:rPr>
        <w:t>Summary of patient, liver function, tumour and treatment characteristics</w:t>
      </w:r>
    </w:p>
    <w:tbl>
      <w:tblPr>
        <w:tblW w:w="6870" w:type="dxa"/>
        <w:tblInd w:w="13"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4377"/>
        <w:gridCol w:w="2493"/>
      </w:tblGrid>
      <w:tr w:rsidR="002010A1" w:rsidRPr="00AC50FA" w14:paraId="171943E0" w14:textId="77777777" w:rsidTr="004E34E7">
        <w:trPr>
          <w:trHeight w:val="315"/>
        </w:trPr>
        <w:tc>
          <w:tcPr>
            <w:tcW w:w="4377" w:type="dxa"/>
            <w:tcBorders>
              <w:top w:val="single" w:sz="4" w:space="0" w:color="auto"/>
              <w:bottom w:val="single" w:sz="4" w:space="0" w:color="auto"/>
            </w:tcBorders>
            <w:shd w:val="clear" w:color="auto" w:fill="auto"/>
            <w:noWrap/>
            <w:vAlign w:val="center"/>
          </w:tcPr>
          <w:p w14:paraId="3F28D1CE" w14:textId="77777777" w:rsidR="00CF2C01" w:rsidRPr="00AC50FA" w:rsidRDefault="00CF2C01" w:rsidP="00AC50FA">
            <w:pPr>
              <w:snapToGrid w:val="0"/>
              <w:spacing w:after="0" w:line="360" w:lineRule="auto"/>
              <w:jc w:val="both"/>
              <w:rPr>
                <w:rFonts w:ascii="Book Antiqua" w:eastAsia="PMingLiU" w:hAnsi="Book Antiqua" w:cs="PMingLiU"/>
                <w:b/>
                <w:bCs/>
                <w:color w:val="000000" w:themeColor="text1"/>
                <w:sz w:val="24"/>
                <w:szCs w:val="24"/>
              </w:rPr>
            </w:pPr>
          </w:p>
        </w:tc>
        <w:tc>
          <w:tcPr>
            <w:tcW w:w="2493" w:type="dxa"/>
            <w:tcBorders>
              <w:top w:val="single" w:sz="4" w:space="0" w:color="auto"/>
              <w:bottom w:val="single" w:sz="4" w:space="0" w:color="auto"/>
            </w:tcBorders>
            <w:shd w:val="clear" w:color="auto" w:fill="auto"/>
            <w:noWrap/>
            <w:vAlign w:val="center"/>
          </w:tcPr>
          <w:p w14:paraId="7D53E8DC" w14:textId="2B969106" w:rsidR="00CF2C01" w:rsidRPr="00AC50FA" w:rsidRDefault="00CF2C01" w:rsidP="00AC50FA">
            <w:pPr>
              <w:snapToGrid w:val="0"/>
              <w:spacing w:after="0" w:line="360" w:lineRule="auto"/>
              <w:jc w:val="both"/>
              <w:rPr>
                <w:rFonts w:ascii="Book Antiqua" w:eastAsia="PMingLiU" w:hAnsi="Book Antiqua" w:cs="PMingLiU"/>
                <w:b/>
                <w:bCs/>
                <w:color w:val="000000" w:themeColor="text1"/>
                <w:sz w:val="24"/>
                <w:szCs w:val="24"/>
              </w:rPr>
            </w:pPr>
            <w:r w:rsidRPr="00AC50FA">
              <w:rPr>
                <w:rFonts w:ascii="Book Antiqua" w:eastAsia="PMingLiU" w:hAnsi="Book Antiqua" w:cs="PMingLiU"/>
                <w:b/>
                <w:bCs/>
                <w:color w:val="000000" w:themeColor="text1"/>
                <w:sz w:val="24"/>
                <w:szCs w:val="24"/>
              </w:rPr>
              <w:t>Range</w:t>
            </w:r>
            <w:r w:rsidR="004E34E7" w:rsidRPr="00AC50FA">
              <w:rPr>
                <w:rFonts w:ascii="Book Antiqua" w:eastAsia="PMingLiU" w:hAnsi="Book Antiqua" w:cs="PMingLiU"/>
                <w:b/>
                <w:bCs/>
                <w:color w:val="000000" w:themeColor="text1"/>
                <w:sz w:val="24"/>
                <w:szCs w:val="24"/>
              </w:rPr>
              <w:t xml:space="preserve"> (</w:t>
            </w:r>
            <w:r w:rsidRPr="00AC50FA">
              <w:rPr>
                <w:rFonts w:ascii="Book Antiqua" w:eastAsia="PMingLiU" w:hAnsi="Book Antiqua" w:cs="PMingLiU"/>
                <w:b/>
                <w:bCs/>
                <w:color w:val="000000" w:themeColor="text1"/>
                <w:sz w:val="24"/>
                <w:szCs w:val="24"/>
              </w:rPr>
              <w:t>%</w:t>
            </w:r>
            <w:r w:rsidR="004E34E7" w:rsidRPr="00AC50FA">
              <w:rPr>
                <w:rFonts w:ascii="Book Antiqua" w:eastAsia="PMingLiU" w:hAnsi="Book Antiqua" w:cs="PMingLiU"/>
                <w:b/>
                <w:bCs/>
                <w:color w:val="000000" w:themeColor="text1"/>
                <w:sz w:val="24"/>
                <w:szCs w:val="24"/>
              </w:rPr>
              <w:t>)</w:t>
            </w:r>
          </w:p>
        </w:tc>
      </w:tr>
      <w:tr w:rsidR="002010A1" w:rsidRPr="00AC50FA" w14:paraId="44A44DC1" w14:textId="77777777" w:rsidTr="004E34E7">
        <w:trPr>
          <w:trHeight w:val="315"/>
        </w:trPr>
        <w:tc>
          <w:tcPr>
            <w:tcW w:w="4377" w:type="dxa"/>
            <w:tcBorders>
              <w:top w:val="single" w:sz="4" w:space="0" w:color="auto"/>
            </w:tcBorders>
            <w:shd w:val="clear" w:color="auto" w:fill="auto"/>
            <w:noWrap/>
            <w:vAlign w:val="center"/>
            <w:hideMark/>
          </w:tcPr>
          <w:p w14:paraId="798FCF70" w14:textId="77777777"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Age</w:t>
            </w:r>
          </w:p>
        </w:tc>
        <w:tc>
          <w:tcPr>
            <w:tcW w:w="2493" w:type="dxa"/>
            <w:tcBorders>
              <w:top w:val="single" w:sz="4" w:space="0" w:color="auto"/>
            </w:tcBorders>
            <w:shd w:val="clear" w:color="auto" w:fill="auto"/>
            <w:noWrap/>
            <w:vAlign w:val="center"/>
            <w:hideMark/>
          </w:tcPr>
          <w:p w14:paraId="7A0C4AF3" w14:textId="4B70984D"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59</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(31-66)</w:t>
            </w:r>
          </w:p>
        </w:tc>
      </w:tr>
      <w:tr w:rsidR="002010A1" w:rsidRPr="00AC50FA" w14:paraId="50E2D34A" w14:textId="77777777" w:rsidTr="004E34E7">
        <w:trPr>
          <w:trHeight w:val="315"/>
        </w:trPr>
        <w:tc>
          <w:tcPr>
            <w:tcW w:w="4377" w:type="dxa"/>
            <w:shd w:val="clear" w:color="auto" w:fill="auto"/>
            <w:noWrap/>
            <w:vAlign w:val="center"/>
            <w:hideMark/>
          </w:tcPr>
          <w:p w14:paraId="6E47BA28" w14:textId="40346148" w:rsidR="00CF2C01" w:rsidRPr="00AC50FA" w:rsidRDefault="00CF2C01" w:rsidP="0093723E">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Gender (male)</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73925C10" w14:textId="03C94175"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6</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(100)</w:t>
            </w:r>
          </w:p>
        </w:tc>
      </w:tr>
      <w:tr w:rsidR="002010A1" w:rsidRPr="00AC50FA" w14:paraId="39B9E565" w14:textId="77777777" w:rsidTr="004E34E7">
        <w:trPr>
          <w:trHeight w:val="315"/>
        </w:trPr>
        <w:tc>
          <w:tcPr>
            <w:tcW w:w="6870" w:type="dxa"/>
            <w:gridSpan w:val="2"/>
            <w:shd w:val="clear" w:color="auto" w:fill="auto"/>
            <w:noWrap/>
            <w:vAlign w:val="center"/>
            <w:hideMark/>
          </w:tcPr>
          <w:p w14:paraId="1D67FF4D" w14:textId="06903BA3"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Type of graft</w:t>
            </w:r>
          </w:p>
        </w:tc>
      </w:tr>
      <w:tr w:rsidR="002010A1" w:rsidRPr="00AC50FA" w14:paraId="70FDA8C3" w14:textId="77777777" w:rsidTr="004E34E7">
        <w:trPr>
          <w:trHeight w:val="315"/>
        </w:trPr>
        <w:tc>
          <w:tcPr>
            <w:tcW w:w="4377" w:type="dxa"/>
            <w:shd w:val="clear" w:color="auto" w:fill="auto"/>
            <w:noWrap/>
            <w:vAlign w:val="center"/>
            <w:hideMark/>
          </w:tcPr>
          <w:p w14:paraId="066EFAF4" w14:textId="77777777" w:rsidR="00CF2C01" w:rsidRPr="00AC50FA" w:rsidRDefault="00CF2C01" w:rsidP="00AC50FA">
            <w:pPr>
              <w:snapToGrid w:val="0"/>
              <w:spacing w:after="0" w:line="360" w:lineRule="auto"/>
              <w:ind w:firstLineChars="100" w:firstLine="240"/>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Whole</w:t>
            </w:r>
          </w:p>
        </w:tc>
        <w:tc>
          <w:tcPr>
            <w:tcW w:w="2493" w:type="dxa"/>
            <w:shd w:val="clear" w:color="auto" w:fill="auto"/>
            <w:noWrap/>
            <w:vAlign w:val="center"/>
            <w:hideMark/>
          </w:tcPr>
          <w:p w14:paraId="506FEDAB" w14:textId="7E922A58"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(67)</w:t>
            </w:r>
          </w:p>
        </w:tc>
      </w:tr>
      <w:tr w:rsidR="002010A1" w:rsidRPr="00AC50FA" w14:paraId="5B4EF91D" w14:textId="77777777" w:rsidTr="004E34E7">
        <w:trPr>
          <w:trHeight w:val="315"/>
        </w:trPr>
        <w:tc>
          <w:tcPr>
            <w:tcW w:w="4377" w:type="dxa"/>
            <w:shd w:val="clear" w:color="auto" w:fill="auto"/>
            <w:noWrap/>
            <w:vAlign w:val="center"/>
            <w:hideMark/>
          </w:tcPr>
          <w:p w14:paraId="1000EC49" w14:textId="77777777" w:rsidR="00CF2C01" w:rsidRPr="00AC50FA" w:rsidRDefault="00CF2C01" w:rsidP="00AC50FA">
            <w:pPr>
              <w:snapToGrid w:val="0"/>
              <w:spacing w:after="0" w:line="360" w:lineRule="auto"/>
              <w:ind w:firstLineChars="100" w:firstLine="240"/>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Right lobe</w:t>
            </w:r>
          </w:p>
        </w:tc>
        <w:tc>
          <w:tcPr>
            <w:tcW w:w="2493" w:type="dxa"/>
            <w:shd w:val="clear" w:color="auto" w:fill="auto"/>
            <w:noWrap/>
            <w:vAlign w:val="center"/>
            <w:hideMark/>
          </w:tcPr>
          <w:p w14:paraId="0D038697" w14:textId="0B3D9B32"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2</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(33)</w:t>
            </w:r>
          </w:p>
        </w:tc>
      </w:tr>
      <w:tr w:rsidR="002010A1" w:rsidRPr="00AC50FA" w14:paraId="1E389FF5" w14:textId="77777777" w:rsidTr="004E34E7">
        <w:trPr>
          <w:trHeight w:val="315"/>
        </w:trPr>
        <w:tc>
          <w:tcPr>
            <w:tcW w:w="4377" w:type="dxa"/>
            <w:shd w:val="clear" w:color="auto" w:fill="auto"/>
            <w:noWrap/>
            <w:vAlign w:val="center"/>
            <w:hideMark/>
          </w:tcPr>
          <w:p w14:paraId="7FB7B874" w14:textId="6B98CAF0"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Within UCSF</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296837FD" w14:textId="55627A82"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(67)</w:t>
            </w:r>
          </w:p>
        </w:tc>
      </w:tr>
      <w:tr w:rsidR="002010A1" w:rsidRPr="00AC50FA" w14:paraId="5BB52972" w14:textId="77777777" w:rsidTr="004E34E7">
        <w:trPr>
          <w:trHeight w:val="315"/>
        </w:trPr>
        <w:tc>
          <w:tcPr>
            <w:tcW w:w="4377" w:type="dxa"/>
            <w:shd w:val="clear" w:color="auto" w:fill="auto"/>
            <w:noWrap/>
            <w:vAlign w:val="center"/>
            <w:hideMark/>
          </w:tcPr>
          <w:p w14:paraId="7D5D3292" w14:textId="3E02A917"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Time to first recurrence (</w:t>
            </w:r>
            <w:proofErr w:type="spellStart"/>
            <w:r w:rsidRPr="00AC50FA">
              <w:rPr>
                <w:rFonts w:ascii="Book Antiqua" w:eastAsia="PMingLiU" w:hAnsi="Book Antiqua" w:cs="PMingLiU"/>
                <w:color w:val="000000" w:themeColor="text1"/>
                <w:sz w:val="24"/>
                <w:szCs w:val="24"/>
              </w:rPr>
              <w:t>mo</w:t>
            </w:r>
            <w:proofErr w:type="spellEnd"/>
            <w:r w:rsidRPr="00AC50FA">
              <w:rPr>
                <w:rFonts w:ascii="Book Antiqua" w:eastAsia="PMingLiU" w:hAnsi="Book Antiqua" w:cs="PMingLiU"/>
                <w:color w:val="000000" w:themeColor="text1"/>
                <w:sz w:val="24"/>
                <w:szCs w:val="24"/>
              </w:rPr>
              <w:t>)</w:t>
            </w:r>
          </w:p>
        </w:tc>
        <w:tc>
          <w:tcPr>
            <w:tcW w:w="2493" w:type="dxa"/>
            <w:shd w:val="clear" w:color="auto" w:fill="auto"/>
            <w:noWrap/>
            <w:vAlign w:val="center"/>
            <w:hideMark/>
          </w:tcPr>
          <w:p w14:paraId="05D872B4" w14:textId="011E713F"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18.5</w:t>
            </w:r>
            <w:r w:rsidR="004E34E7"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(1.2-69.4)</w:t>
            </w:r>
          </w:p>
        </w:tc>
      </w:tr>
      <w:tr w:rsidR="002010A1" w:rsidRPr="00AC50FA" w14:paraId="556613E7" w14:textId="77777777" w:rsidTr="004E34E7">
        <w:trPr>
          <w:trHeight w:val="315"/>
        </w:trPr>
        <w:tc>
          <w:tcPr>
            <w:tcW w:w="4377" w:type="dxa"/>
            <w:shd w:val="clear" w:color="auto" w:fill="auto"/>
            <w:noWrap/>
            <w:vAlign w:val="center"/>
            <w:hideMark/>
          </w:tcPr>
          <w:p w14:paraId="5003F43F" w14:textId="071DA55C"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Time to index recurrence (</w:t>
            </w:r>
            <w:proofErr w:type="spellStart"/>
            <w:r w:rsidRPr="00AC50FA">
              <w:rPr>
                <w:rFonts w:ascii="Book Antiqua" w:eastAsia="PMingLiU" w:hAnsi="Book Antiqua" w:cs="PMingLiU"/>
                <w:color w:val="000000" w:themeColor="text1"/>
                <w:sz w:val="24"/>
                <w:szCs w:val="24"/>
              </w:rPr>
              <w:t>mo</w:t>
            </w:r>
            <w:proofErr w:type="spellEnd"/>
            <w:r w:rsidRPr="00AC50FA">
              <w:rPr>
                <w:rFonts w:ascii="Book Antiqua" w:eastAsia="PMingLiU" w:hAnsi="Book Antiqua" w:cs="PMingLiU"/>
                <w:color w:val="000000" w:themeColor="text1"/>
                <w:sz w:val="24"/>
                <w:szCs w:val="24"/>
              </w:rPr>
              <w:t>)</w:t>
            </w:r>
          </w:p>
        </w:tc>
        <w:tc>
          <w:tcPr>
            <w:tcW w:w="2493" w:type="dxa"/>
            <w:shd w:val="clear" w:color="auto" w:fill="auto"/>
            <w:noWrap/>
            <w:vAlign w:val="center"/>
            <w:hideMark/>
          </w:tcPr>
          <w:p w14:paraId="7609148B" w14:textId="3FD125EB"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66.5</w:t>
            </w:r>
            <w:r w:rsidR="004E34E7"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(1.2-86.7)</w:t>
            </w:r>
          </w:p>
        </w:tc>
      </w:tr>
      <w:tr w:rsidR="002010A1" w:rsidRPr="00AC50FA" w14:paraId="2D6EF8E7" w14:textId="77777777" w:rsidTr="004E34E7">
        <w:trPr>
          <w:trHeight w:val="315"/>
        </w:trPr>
        <w:tc>
          <w:tcPr>
            <w:tcW w:w="4377" w:type="dxa"/>
            <w:shd w:val="clear" w:color="auto" w:fill="auto"/>
            <w:noWrap/>
            <w:vAlign w:val="center"/>
            <w:hideMark/>
          </w:tcPr>
          <w:p w14:paraId="4816650D" w14:textId="77777777"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ECOG</w:t>
            </w:r>
          </w:p>
        </w:tc>
        <w:tc>
          <w:tcPr>
            <w:tcW w:w="2493" w:type="dxa"/>
            <w:shd w:val="clear" w:color="auto" w:fill="auto"/>
            <w:noWrap/>
            <w:vAlign w:val="center"/>
            <w:hideMark/>
          </w:tcPr>
          <w:p w14:paraId="189BD60A" w14:textId="2CC898B9" w:rsidR="00CF2C01" w:rsidRPr="00AC50FA" w:rsidRDefault="00CF2C01"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w:t>
            </w:r>
            <w:r w:rsidR="004E34E7"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(0-1)</w:t>
            </w:r>
          </w:p>
        </w:tc>
      </w:tr>
      <w:tr w:rsidR="002010A1" w:rsidRPr="00AC50FA" w14:paraId="450EE902" w14:textId="77777777" w:rsidTr="004E34E7">
        <w:trPr>
          <w:trHeight w:val="315"/>
        </w:trPr>
        <w:tc>
          <w:tcPr>
            <w:tcW w:w="4377" w:type="dxa"/>
            <w:shd w:val="clear" w:color="auto" w:fill="auto"/>
            <w:noWrap/>
            <w:vAlign w:val="center"/>
            <w:hideMark/>
          </w:tcPr>
          <w:p w14:paraId="677DEBF5"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Bilirubin (</w:t>
            </w:r>
            <w:proofErr w:type="spellStart"/>
            <w:r w:rsidRPr="00AC50FA">
              <w:rPr>
                <w:rFonts w:ascii="Book Antiqua" w:eastAsia="PMingLiU" w:hAnsi="Book Antiqua" w:cs="PMingLiU"/>
                <w:color w:val="000000" w:themeColor="text1"/>
                <w:sz w:val="24"/>
                <w:szCs w:val="24"/>
              </w:rPr>
              <w:t>umol</w:t>
            </w:r>
            <w:proofErr w:type="spellEnd"/>
            <w:r w:rsidRPr="00AC50FA">
              <w:rPr>
                <w:rFonts w:ascii="Book Antiqua" w:eastAsia="PMingLiU" w:hAnsi="Book Antiqua" w:cs="PMingLiU"/>
                <w:color w:val="000000" w:themeColor="text1"/>
                <w:sz w:val="24"/>
                <w:szCs w:val="24"/>
              </w:rPr>
              <w:t>/L)</w:t>
            </w:r>
          </w:p>
        </w:tc>
        <w:tc>
          <w:tcPr>
            <w:tcW w:w="2493" w:type="dxa"/>
            <w:shd w:val="clear" w:color="auto" w:fill="auto"/>
            <w:noWrap/>
            <w:vAlign w:val="center"/>
            <w:hideMark/>
          </w:tcPr>
          <w:p w14:paraId="2CE0BF12" w14:textId="77E42A7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9 (4-23)</w:t>
            </w:r>
          </w:p>
        </w:tc>
      </w:tr>
      <w:tr w:rsidR="002010A1" w:rsidRPr="00AC50FA" w14:paraId="5DEAB2FB" w14:textId="77777777" w:rsidTr="004E34E7">
        <w:trPr>
          <w:trHeight w:val="315"/>
        </w:trPr>
        <w:tc>
          <w:tcPr>
            <w:tcW w:w="4377" w:type="dxa"/>
            <w:shd w:val="clear" w:color="auto" w:fill="auto"/>
            <w:noWrap/>
            <w:vAlign w:val="center"/>
            <w:hideMark/>
          </w:tcPr>
          <w:p w14:paraId="680DD8E7"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Albumin (g/L)</w:t>
            </w:r>
          </w:p>
        </w:tc>
        <w:tc>
          <w:tcPr>
            <w:tcW w:w="2493" w:type="dxa"/>
            <w:shd w:val="clear" w:color="auto" w:fill="auto"/>
            <w:noWrap/>
            <w:vAlign w:val="center"/>
            <w:hideMark/>
          </w:tcPr>
          <w:p w14:paraId="70A0A519" w14:textId="6F3EBCF4"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43</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(39-47)</w:t>
            </w:r>
          </w:p>
        </w:tc>
      </w:tr>
      <w:tr w:rsidR="002010A1" w:rsidRPr="00AC50FA" w14:paraId="5BE237FA" w14:textId="77777777" w:rsidTr="004E34E7">
        <w:trPr>
          <w:trHeight w:val="315"/>
        </w:trPr>
        <w:tc>
          <w:tcPr>
            <w:tcW w:w="4377" w:type="dxa"/>
            <w:shd w:val="clear" w:color="auto" w:fill="auto"/>
            <w:noWrap/>
            <w:vAlign w:val="center"/>
            <w:hideMark/>
          </w:tcPr>
          <w:p w14:paraId="0FE12D9D"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ALT (U/L)</w:t>
            </w:r>
          </w:p>
        </w:tc>
        <w:tc>
          <w:tcPr>
            <w:tcW w:w="2493" w:type="dxa"/>
            <w:shd w:val="clear" w:color="auto" w:fill="auto"/>
            <w:noWrap/>
            <w:vAlign w:val="center"/>
            <w:hideMark/>
          </w:tcPr>
          <w:p w14:paraId="59603BC7" w14:textId="1F4C5B3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28</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(19-44)</w:t>
            </w:r>
          </w:p>
        </w:tc>
      </w:tr>
      <w:tr w:rsidR="002010A1" w:rsidRPr="00AC50FA" w14:paraId="2EAFDCB7" w14:textId="77777777" w:rsidTr="004E34E7">
        <w:trPr>
          <w:trHeight w:val="315"/>
        </w:trPr>
        <w:tc>
          <w:tcPr>
            <w:tcW w:w="4377" w:type="dxa"/>
            <w:shd w:val="clear" w:color="auto" w:fill="auto"/>
            <w:noWrap/>
            <w:vAlign w:val="center"/>
            <w:hideMark/>
          </w:tcPr>
          <w:p w14:paraId="108A673C"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AST (U/L)</w:t>
            </w:r>
          </w:p>
        </w:tc>
        <w:tc>
          <w:tcPr>
            <w:tcW w:w="2493" w:type="dxa"/>
            <w:shd w:val="clear" w:color="auto" w:fill="auto"/>
            <w:noWrap/>
            <w:vAlign w:val="center"/>
            <w:hideMark/>
          </w:tcPr>
          <w:p w14:paraId="0F6EF4BE" w14:textId="4498EC5B"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33</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(18-58)</w:t>
            </w:r>
          </w:p>
        </w:tc>
      </w:tr>
      <w:tr w:rsidR="002010A1" w:rsidRPr="00AC50FA" w14:paraId="25A15242" w14:textId="77777777" w:rsidTr="004E34E7">
        <w:trPr>
          <w:trHeight w:val="315"/>
        </w:trPr>
        <w:tc>
          <w:tcPr>
            <w:tcW w:w="4377" w:type="dxa"/>
            <w:shd w:val="clear" w:color="auto" w:fill="auto"/>
            <w:noWrap/>
            <w:vAlign w:val="center"/>
            <w:hideMark/>
          </w:tcPr>
          <w:p w14:paraId="2BB31B18"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INR</w:t>
            </w:r>
          </w:p>
        </w:tc>
        <w:tc>
          <w:tcPr>
            <w:tcW w:w="2493" w:type="dxa"/>
            <w:shd w:val="clear" w:color="auto" w:fill="auto"/>
            <w:noWrap/>
            <w:vAlign w:val="center"/>
            <w:hideMark/>
          </w:tcPr>
          <w:p w14:paraId="7AAEF95D" w14:textId="7797929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1.0</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(1.0-1.5)</w:t>
            </w:r>
            <w:r w:rsidRPr="00AC50FA">
              <w:rPr>
                <w:rFonts w:ascii="Book Antiqua" w:eastAsia="PMingLiU" w:hAnsi="Book Antiqua" w:cs="PMingLiU"/>
                <w:color w:val="000000" w:themeColor="text1"/>
                <w:sz w:val="24"/>
                <w:szCs w:val="24"/>
                <w:vertAlign w:val="superscript"/>
              </w:rPr>
              <w:t>1</w:t>
            </w:r>
          </w:p>
        </w:tc>
      </w:tr>
      <w:tr w:rsidR="002010A1" w:rsidRPr="00AC50FA" w14:paraId="0BAB6327" w14:textId="77777777" w:rsidTr="004E34E7">
        <w:trPr>
          <w:trHeight w:val="315"/>
        </w:trPr>
        <w:tc>
          <w:tcPr>
            <w:tcW w:w="4377" w:type="dxa"/>
            <w:shd w:val="clear" w:color="auto" w:fill="auto"/>
            <w:noWrap/>
            <w:vAlign w:val="center"/>
            <w:hideMark/>
          </w:tcPr>
          <w:p w14:paraId="38DD6FFD" w14:textId="79288F04"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Platelet (× 10</w:t>
            </w:r>
            <w:r w:rsidRPr="00AC50FA">
              <w:rPr>
                <w:rFonts w:ascii="Book Antiqua" w:eastAsia="PMingLiU" w:hAnsi="Book Antiqua" w:cs="PMingLiU"/>
                <w:color w:val="000000" w:themeColor="text1"/>
                <w:sz w:val="24"/>
                <w:szCs w:val="24"/>
                <w:vertAlign w:val="superscript"/>
              </w:rPr>
              <w:t>9</w:t>
            </w:r>
            <w:r w:rsidRPr="00AC50FA">
              <w:rPr>
                <w:rFonts w:ascii="Book Antiqua" w:eastAsia="PMingLiU" w:hAnsi="Book Antiqua" w:cs="PMingLiU"/>
                <w:color w:val="000000" w:themeColor="text1"/>
                <w:sz w:val="24"/>
                <w:szCs w:val="24"/>
              </w:rPr>
              <w:t>/L)</w:t>
            </w:r>
          </w:p>
        </w:tc>
        <w:tc>
          <w:tcPr>
            <w:tcW w:w="2493" w:type="dxa"/>
            <w:shd w:val="clear" w:color="auto" w:fill="auto"/>
            <w:noWrap/>
            <w:vAlign w:val="center"/>
            <w:hideMark/>
          </w:tcPr>
          <w:p w14:paraId="4C2A3E78" w14:textId="0B8C1CEB"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124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(43-255)</w:t>
            </w:r>
          </w:p>
        </w:tc>
      </w:tr>
      <w:tr w:rsidR="002010A1" w:rsidRPr="00AC50FA" w14:paraId="61EC6268" w14:textId="77777777" w:rsidTr="004E34E7">
        <w:trPr>
          <w:trHeight w:val="315"/>
        </w:trPr>
        <w:tc>
          <w:tcPr>
            <w:tcW w:w="4377" w:type="dxa"/>
            <w:shd w:val="clear" w:color="auto" w:fill="auto"/>
            <w:noWrap/>
            <w:vAlign w:val="center"/>
            <w:hideMark/>
          </w:tcPr>
          <w:p w14:paraId="490795AD"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Creatinine (</w:t>
            </w:r>
            <w:proofErr w:type="spellStart"/>
            <w:r w:rsidRPr="00AC50FA">
              <w:rPr>
                <w:rFonts w:ascii="Book Antiqua" w:eastAsia="PMingLiU" w:hAnsi="Book Antiqua" w:cs="PMingLiU"/>
                <w:color w:val="000000" w:themeColor="text1"/>
                <w:sz w:val="24"/>
                <w:szCs w:val="24"/>
              </w:rPr>
              <w:t>umol</w:t>
            </w:r>
            <w:proofErr w:type="spellEnd"/>
            <w:r w:rsidRPr="00AC50FA">
              <w:rPr>
                <w:rFonts w:ascii="Book Antiqua" w:eastAsia="PMingLiU" w:hAnsi="Book Antiqua" w:cs="PMingLiU"/>
                <w:color w:val="000000" w:themeColor="text1"/>
                <w:sz w:val="24"/>
                <w:szCs w:val="24"/>
              </w:rPr>
              <w:t>/L)</w:t>
            </w:r>
          </w:p>
        </w:tc>
        <w:tc>
          <w:tcPr>
            <w:tcW w:w="2493" w:type="dxa"/>
            <w:shd w:val="clear" w:color="auto" w:fill="auto"/>
            <w:noWrap/>
            <w:vAlign w:val="center"/>
            <w:hideMark/>
          </w:tcPr>
          <w:p w14:paraId="62048197" w14:textId="5E8AB2D9"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107</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(78-121)</w:t>
            </w:r>
          </w:p>
        </w:tc>
      </w:tr>
      <w:tr w:rsidR="002010A1" w:rsidRPr="00AC50FA" w14:paraId="7400CFAE" w14:textId="77777777" w:rsidTr="004E34E7">
        <w:trPr>
          <w:trHeight w:val="315"/>
        </w:trPr>
        <w:tc>
          <w:tcPr>
            <w:tcW w:w="4377" w:type="dxa"/>
            <w:shd w:val="clear" w:color="auto" w:fill="auto"/>
            <w:noWrap/>
            <w:vAlign w:val="center"/>
            <w:hideMark/>
          </w:tcPr>
          <w:p w14:paraId="01765A9E" w14:textId="3E604662"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Index lesion as first recurrence</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29DBE584" w14:textId="3C843DAC"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(44)</w:t>
            </w:r>
          </w:p>
        </w:tc>
      </w:tr>
      <w:tr w:rsidR="002010A1" w:rsidRPr="00AC50FA" w14:paraId="3AFFF603" w14:textId="77777777" w:rsidTr="004E34E7">
        <w:trPr>
          <w:trHeight w:val="315"/>
        </w:trPr>
        <w:tc>
          <w:tcPr>
            <w:tcW w:w="4377" w:type="dxa"/>
            <w:shd w:val="clear" w:color="auto" w:fill="auto"/>
            <w:noWrap/>
            <w:vAlign w:val="center"/>
            <w:hideMark/>
          </w:tcPr>
          <w:p w14:paraId="5E2C3CC9"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Number of index lesions</w:t>
            </w:r>
          </w:p>
        </w:tc>
        <w:tc>
          <w:tcPr>
            <w:tcW w:w="2493" w:type="dxa"/>
            <w:shd w:val="clear" w:color="auto" w:fill="auto"/>
            <w:noWrap/>
            <w:vAlign w:val="center"/>
            <w:hideMark/>
          </w:tcPr>
          <w:p w14:paraId="091D101E" w14:textId="133B3FD8"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(1-2)</w:t>
            </w:r>
          </w:p>
        </w:tc>
      </w:tr>
      <w:tr w:rsidR="002010A1" w:rsidRPr="00AC50FA" w14:paraId="4DFF9E74" w14:textId="77777777" w:rsidTr="004E34E7">
        <w:trPr>
          <w:trHeight w:val="315"/>
        </w:trPr>
        <w:tc>
          <w:tcPr>
            <w:tcW w:w="4377" w:type="dxa"/>
            <w:shd w:val="clear" w:color="auto" w:fill="auto"/>
            <w:noWrap/>
            <w:vAlign w:val="center"/>
            <w:hideMark/>
          </w:tcPr>
          <w:p w14:paraId="088DA3E4"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proofErr w:type="spellStart"/>
            <w:r w:rsidRPr="00AC50FA">
              <w:rPr>
                <w:rFonts w:ascii="Book Antiqua" w:eastAsia="PMingLiU" w:hAnsi="Book Antiqua" w:cs="PMingLiU"/>
                <w:color w:val="000000" w:themeColor="text1"/>
                <w:sz w:val="24"/>
                <w:szCs w:val="24"/>
              </w:rPr>
              <w:t>Tumour</w:t>
            </w:r>
            <w:proofErr w:type="spellEnd"/>
            <w:r w:rsidRPr="00AC50FA">
              <w:rPr>
                <w:rFonts w:ascii="Book Antiqua" w:eastAsia="PMingLiU" w:hAnsi="Book Antiqua" w:cs="PMingLiU"/>
                <w:color w:val="000000" w:themeColor="text1"/>
                <w:sz w:val="24"/>
                <w:szCs w:val="24"/>
              </w:rPr>
              <w:t xml:space="preserve"> size (cm)</w:t>
            </w:r>
          </w:p>
        </w:tc>
        <w:tc>
          <w:tcPr>
            <w:tcW w:w="2493" w:type="dxa"/>
            <w:shd w:val="clear" w:color="auto" w:fill="auto"/>
            <w:noWrap/>
            <w:vAlign w:val="center"/>
            <w:hideMark/>
          </w:tcPr>
          <w:p w14:paraId="6091A1F8" w14:textId="6B898E0C"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2.3</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(0.7-3.6)</w:t>
            </w:r>
          </w:p>
        </w:tc>
      </w:tr>
      <w:tr w:rsidR="002010A1" w:rsidRPr="00AC50FA" w14:paraId="10172B30" w14:textId="77777777" w:rsidTr="004E34E7">
        <w:trPr>
          <w:trHeight w:val="315"/>
        </w:trPr>
        <w:tc>
          <w:tcPr>
            <w:tcW w:w="4377" w:type="dxa"/>
            <w:shd w:val="clear" w:color="auto" w:fill="auto"/>
            <w:noWrap/>
            <w:vAlign w:val="center"/>
            <w:hideMark/>
          </w:tcPr>
          <w:p w14:paraId="0B824E95" w14:textId="1197F6E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IVC invasion</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1E00645E" w14:textId="7F1AFE51"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2</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(22)</w:t>
            </w:r>
          </w:p>
        </w:tc>
      </w:tr>
      <w:tr w:rsidR="002010A1" w:rsidRPr="00AC50FA" w14:paraId="6FF2C8D3" w14:textId="77777777" w:rsidTr="004E34E7">
        <w:trPr>
          <w:trHeight w:val="315"/>
        </w:trPr>
        <w:tc>
          <w:tcPr>
            <w:tcW w:w="4377" w:type="dxa"/>
            <w:shd w:val="clear" w:color="auto" w:fill="auto"/>
            <w:noWrap/>
            <w:vAlign w:val="center"/>
            <w:hideMark/>
          </w:tcPr>
          <w:p w14:paraId="63E09D63" w14:textId="0CAAF0F3"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Distant recurrence</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2F913032" w14:textId="3E9D6DC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1</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(11)</w:t>
            </w:r>
          </w:p>
        </w:tc>
      </w:tr>
      <w:tr w:rsidR="002010A1" w:rsidRPr="00AC50FA" w14:paraId="5CE704FB" w14:textId="77777777" w:rsidTr="004E34E7">
        <w:trPr>
          <w:trHeight w:val="315"/>
        </w:trPr>
        <w:tc>
          <w:tcPr>
            <w:tcW w:w="4377" w:type="dxa"/>
            <w:shd w:val="clear" w:color="auto" w:fill="auto"/>
            <w:noWrap/>
            <w:vAlign w:val="center"/>
            <w:hideMark/>
          </w:tcPr>
          <w:p w14:paraId="500F3E9D" w14:textId="3CDDB5BF"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AFP (ng/mL)</w:t>
            </w:r>
          </w:p>
        </w:tc>
        <w:tc>
          <w:tcPr>
            <w:tcW w:w="2493" w:type="dxa"/>
            <w:shd w:val="clear" w:color="auto" w:fill="auto"/>
            <w:noWrap/>
            <w:vAlign w:val="center"/>
            <w:hideMark/>
          </w:tcPr>
          <w:p w14:paraId="2025958D" w14:textId="7BC336C4"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(2-1354)</w:t>
            </w:r>
          </w:p>
        </w:tc>
      </w:tr>
      <w:tr w:rsidR="002010A1" w:rsidRPr="00AC50FA" w14:paraId="7B669190" w14:textId="77777777" w:rsidTr="004E34E7">
        <w:trPr>
          <w:trHeight w:val="315"/>
        </w:trPr>
        <w:tc>
          <w:tcPr>
            <w:tcW w:w="4377" w:type="dxa"/>
            <w:shd w:val="clear" w:color="auto" w:fill="auto"/>
            <w:noWrap/>
            <w:vAlign w:val="center"/>
            <w:hideMark/>
          </w:tcPr>
          <w:p w14:paraId="46C9E782"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Prescribed dose (</w:t>
            </w:r>
            <w:proofErr w:type="spellStart"/>
            <w:r w:rsidRPr="00AC50FA">
              <w:rPr>
                <w:rFonts w:ascii="Book Antiqua" w:eastAsia="PMingLiU" w:hAnsi="Book Antiqua" w:cs="PMingLiU"/>
                <w:color w:val="000000" w:themeColor="text1"/>
                <w:sz w:val="24"/>
                <w:szCs w:val="24"/>
              </w:rPr>
              <w:t>Gy</w:t>
            </w:r>
            <w:proofErr w:type="spellEnd"/>
            <w:r w:rsidRPr="00AC50FA">
              <w:rPr>
                <w:rFonts w:ascii="Book Antiqua" w:eastAsia="PMingLiU" w:hAnsi="Book Antiqua" w:cs="PMingLiU"/>
                <w:color w:val="000000" w:themeColor="text1"/>
                <w:sz w:val="24"/>
                <w:szCs w:val="24"/>
              </w:rPr>
              <w:t>)</w:t>
            </w:r>
          </w:p>
        </w:tc>
        <w:tc>
          <w:tcPr>
            <w:tcW w:w="2493" w:type="dxa"/>
            <w:shd w:val="clear" w:color="auto" w:fill="auto"/>
            <w:noWrap/>
            <w:vAlign w:val="center"/>
            <w:hideMark/>
          </w:tcPr>
          <w:p w14:paraId="0E26A3CC" w14:textId="1F23A5B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45</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(37.5-50)</w:t>
            </w:r>
          </w:p>
        </w:tc>
      </w:tr>
      <w:tr w:rsidR="002010A1" w:rsidRPr="00AC50FA" w14:paraId="1888869D" w14:textId="77777777" w:rsidTr="004E34E7">
        <w:trPr>
          <w:trHeight w:val="315"/>
        </w:trPr>
        <w:tc>
          <w:tcPr>
            <w:tcW w:w="4377" w:type="dxa"/>
            <w:shd w:val="clear" w:color="auto" w:fill="auto"/>
            <w:noWrap/>
            <w:vAlign w:val="center"/>
            <w:hideMark/>
          </w:tcPr>
          <w:p w14:paraId="28EB33F4" w14:textId="7A9840CC"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Number of fractions</w:t>
            </w:r>
          </w:p>
        </w:tc>
        <w:tc>
          <w:tcPr>
            <w:tcW w:w="2493" w:type="dxa"/>
            <w:shd w:val="clear" w:color="auto" w:fill="auto"/>
            <w:noWrap/>
            <w:vAlign w:val="center"/>
            <w:hideMark/>
          </w:tcPr>
          <w:p w14:paraId="14BC57FF" w14:textId="0D58B29D"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5</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(5-6)</w:t>
            </w:r>
          </w:p>
        </w:tc>
      </w:tr>
      <w:tr w:rsidR="002010A1" w:rsidRPr="00AC50FA" w14:paraId="3D8DE79F" w14:textId="77777777" w:rsidTr="004E34E7">
        <w:trPr>
          <w:trHeight w:val="315"/>
        </w:trPr>
        <w:tc>
          <w:tcPr>
            <w:tcW w:w="4377" w:type="dxa"/>
            <w:shd w:val="clear" w:color="auto" w:fill="auto"/>
            <w:noWrap/>
            <w:vAlign w:val="center"/>
            <w:hideMark/>
          </w:tcPr>
          <w:p w14:paraId="48A0F89F" w14:textId="7777777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Dose per fraction (</w:t>
            </w:r>
            <w:proofErr w:type="spellStart"/>
            <w:r w:rsidRPr="00AC50FA">
              <w:rPr>
                <w:rFonts w:ascii="Book Antiqua" w:eastAsia="PMingLiU" w:hAnsi="Book Antiqua" w:cs="PMingLiU"/>
                <w:color w:val="000000" w:themeColor="text1"/>
                <w:sz w:val="24"/>
                <w:szCs w:val="24"/>
              </w:rPr>
              <w:t>Gy</w:t>
            </w:r>
            <w:proofErr w:type="spellEnd"/>
            <w:r w:rsidRPr="00AC50FA">
              <w:rPr>
                <w:rFonts w:ascii="Book Antiqua" w:eastAsia="PMingLiU" w:hAnsi="Book Antiqua" w:cs="PMingLiU"/>
                <w:color w:val="000000" w:themeColor="text1"/>
                <w:sz w:val="24"/>
                <w:szCs w:val="24"/>
              </w:rPr>
              <w:t>)</w:t>
            </w:r>
          </w:p>
        </w:tc>
        <w:tc>
          <w:tcPr>
            <w:tcW w:w="2493" w:type="dxa"/>
            <w:shd w:val="clear" w:color="auto" w:fill="auto"/>
            <w:noWrap/>
            <w:vAlign w:val="center"/>
            <w:hideMark/>
          </w:tcPr>
          <w:p w14:paraId="0EF08E40" w14:textId="4535EFD1"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8</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(7.5-10)</w:t>
            </w:r>
          </w:p>
        </w:tc>
      </w:tr>
      <w:tr w:rsidR="002010A1" w:rsidRPr="00AC50FA" w14:paraId="005F9B3D" w14:textId="77777777" w:rsidTr="004E34E7">
        <w:trPr>
          <w:trHeight w:val="315"/>
        </w:trPr>
        <w:tc>
          <w:tcPr>
            <w:tcW w:w="4377" w:type="dxa"/>
            <w:shd w:val="clear" w:color="auto" w:fill="auto"/>
            <w:noWrap/>
            <w:vAlign w:val="center"/>
            <w:hideMark/>
          </w:tcPr>
          <w:p w14:paraId="07FB8559" w14:textId="573498BA"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Treatment duration (d)</w:t>
            </w:r>
          </w:p>
        </w:tc>
        <w:tc>
          <w:tcPr>
            <w:tcW w:w="2493" w:type="dxa"/>
            <w:shd w:val="clear" w:color="auto" w:fill="auto"/>
            <w:noWrap/>
            <w:vAlign w:val="center"/>
            <w:hideMark/>
          </w:tcPr>
          <w:p w14:paraId="53019FE3" w14:textId="6A02F362"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5</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(5-14)</w:t>
            </w:r>
          </w:p>
        </w:tc>
      </w:tr>
      <w:tr w:rsidR="002010A1" w:rsidRPr="00AC50FA" w14:paraId="656A835B" w14:textId="77777777" w:rsidTr="004E34E7">
        <w:trPr>
          <w:trHeight w:val="315"/>
        </w:trPr>
        <w:tc>
          <w:tcPr>
            <w:tcW w:w="4377" w:type="dxa"/>
            <w:shd w:val="clear" w:color="auto" w:fill="auto"/>
            <w:noWrap/>
            <w:vAlign w:val="center"/>
            <w:hideMark/>
          </w:tcPr>
          <w:p w14:paraId="6ED3297B" w14:textId="7C3EF89B"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lastRenderedPageBreak/>
              <w:t xml:space="preserve">Concomitant </w:t>
            </w:r>
            <w:proofErr w:type="spellStart"/>
            <w:r w:rsidRPr="00AC50FA">
              <w:rPr>
                <w:rFonts w:ascii="Book Antiqua" w:eastAsia="PMingLiU" w:hAnsi="Book Antiqua" w:cs="PMingLiU"/>
                <w:color w:val="000000" w:themeColor="text1"/>
                <w:sz w:val="24"/>
                <w:szCs w:val="24"/>
              </w:rPr>
              <w:t>sysetmic</w:t>
            </w:r>
            <w:proofErr w:type="spellEnd"/>
            <w:r w:rsidRPr="00AC50FA">
              <w:rPr>
                <w:rFonts w:ascii="Book Antiqua" w:eastAsia="PMingLiU" w:hAnsi="Book Antiqua" w:cs="PMingLiU"/>
                <w:color w:val="000000" w:themeColor="text1"/>
                <w:sz w:val="24"/>
                <w:szCs w:val="24"/>
              </w:rPr>
              <w:t xml:space="preserve"> treatment</w:t>
            </w:r>
            <w:r w:rsidR="0093723E" w:rsidRPr="0093723E">
              <w:rPr>
                <w:rFonts w:ascii="Book Antiqua" w:eastAsia="PMingLiU" w:hAnsi="Book Antiqua" w:cs="PMingLiU"/>
                <w:color w:val="000000" w:themeColor="text1"/>
                <w:sz w:val="24"/>
                <w:szCs w:val="24"/>
              </w:rPr>
              <w:t xml:space="preserve">, </w:t>
            </w:r>
            <w:r w:rsidR="0093723E" w:rsidRPr="0093723E">
              <w:rPr>
                <w:rFonts w:ascii="Book Antiqua" w:eastAsia="PMingLiU" w:hAnsi="Book Antiqua" w:cs="PMingLiU"/>
                <w:i/>
                <w:color w:val="000000" w:themeColor="text1"/>
                <w:sz w:val="24"/>
                <w:szCs w:val="24"/>
              </w:rPr>
              <w:t>n</w:t>
            </w:r>
            <w:r w:rsidR="0093723E" w:rsidRPr="0093723E">
              <w:rPr>
                <w:rFonts w:ascii="Book Antiqua" w:eastAsia="PMingLiU" w:hAnsi="Book Antiqua" w:cs="PMingLiU"/>
                <w:color w:val="000000" w:themeColor="text1"/>
                <w:sz w:val="24"/>
                <w:szCs w:val="24"/>
              </w:rPr>
              <w:t xml:space="preserve"> (%)</w:t>
            </w:r>
          </w:p>
        </w:tc>
        <w:tc>
          <w:tcPr>
            <w:tcW w:w="2493" w:type="dxa"/>
            <w:shd w:val="clear" w:color="auto" w:fill="auto"/>
            <w:noWrap/>
            <w:vAlign w:val="center"/>
            <w:hideMark/>
          </w:tcPr>
          <w:p w14:paraId="2DD1D1CD" w14:textId="15AC74B7" w:rsidR="004E34E7" w:rsidRPr="00AC50FA"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rPr>
              <w:t>6</w:t>
            </w:r>
            <w:r w:rsidRPr="00AC50FA">
              <w:rPr>
                <w:rFonts w:ascii="Book Antiqua" w:eastAsia="PMingLiU" w:hAnsi="Book Antiqua" w:cs="PMingLiU"/>
                <w:color w:val="000000" w:themeColor="text1"/>
                <w:sz w:val="24"/>
                <w:szCs w:val="24"/>
                <w:lang w:eastAsia="zh-CN"/>
              </w:rPr>
              <w:t xml:space="preserve"> </w:t>
            </w:r>
            <w:r w:rsidRPr="00AC50FA">
              <w:rPr>
                <w:rFonts w:ascii="Book Antiqua" w:eastAsia="PMingLiU" w:hAnsi="Book Antiqua" w:cs="PMingLiU"/>
                <w:color w:val="000000" w:themeColor="text1"/>
                <w:sz w:val="24"/>
                <w:szCs w:val="24"/>
              </w:rPr>
              <w:t>(100)</w:t>
            </w:r>
          </w:p>
        </w:tc>
      </w:tr>
    </w:tbl>
    <w:p w14:paraId="5D20A080" w14:textId="1AB3518D" w:rsidR="004E34E7" w:rsidRPr="00083BCD" w:rsidRDefault="004E34E7" w:rsidP="00AC50FA">
      <w:pPr>
        <w:snapToGrid w:val="0"/>
        <w:spacing w:after="0" w:line="360" w:lineRule="auto"/>
        <w:jc w:val="both"/>
        <w:rPr>
          <w:rFonts w:ascii="Book Antiqua" w:eastAsia="PMingLiU" w:hAnsi="Book Antiqua" w:cs="PMingLiU"/>
          <w:color w:val="000000" w:themeColor="text1"/>
          <w:sz w:val="24"/>
          <w:szCs w:val="24"/>
        </w:rPr>
      </w:pPr>
      <w:r w:rsidRPr="00AC50FA">
        <w:rPr>
          <w:rFonts w:ascii="Book Antiqua" w:eastAsia="PMingLiU" w:hAnsi="Book Antiqua" w:cs="PMingLiU"/>
          <w:color w:val="000000" w:themeColor="text1"/>
          <w:sz w:val="24"/>
          <w:szCs w:val="24"/>
          <w:vertAlign w:val="superscript"/>
        </w:rPr>
        <w:t>1</w:t>
      </w:r>
      <w:r w:rsidRPr="00AC50FA">
        <w:rPr>
          <w:rFonts w:ascii="Book Antiqua" w:eastAsia="PMingLiU" w:hAnsi="Book Antiqua" w:cs="PMingLiU"/>
          <w:color w:val="000000" w:themeColor="text1"/>
          <w:sz w:val="24"/>
          <w:szCs w:val="24"/>
        </w:rPr>
        <w:t xml:space="preserve">One patient on warfarin had INR </w:t>
      </w:r>
      <w:r w:rsidRPr="00AC50FA">
        <w:rPr>
          <w:rFonts w:ascii="Book Antiqua" w:eastAsia="PMingLiU" w:hAnsi="Book Antiqua" w:cs="Calibri"/>
          <w:color w:val="000000" w:themeColor="text1"/>
          <w:sz w:val="24"/>
          <w:szCs w:val="24"/>
        </w:rPr>
        <w:t>≥</w:t>
      </w:r>
      <w:r w:rsidRPr="00AC50FA">
        <w:rPr>
          <w:rFonts w:ascii="Book Antiqua" w:eastAsia="PMingLiU" w:hAnsi="Book Antiqua" w:cs="PMingLiU"/>
          <w:color w:val="000000" w:themeColor="text1"/>
          <w:sz w:val="24"/>
          <w:szCs w:val="24"/>
        </w:rPr>
        <w:t xml:space="preserve"> 1.5.</w:t>
      </w:r>
      <w:r w:rsidR="00083BCD">
        <w:rPr>
          <w:rFonts w:ascii="Book Antiqua" w:eastAsia="宋体" w:hAnsi="Book Antiqua" w:cs="PMingLiU" w:hint="eastAsia"/>
          <w:color w:val="000000" w:themeColor="text1"/>
          <w:sz w:val="24"/>
          <w:szCs w:val="24"/>
          <w:lang w:eastAsia="zh-CN"/>
        </w:rPr>
        <w:t xml:space="preserve"> </w:t>
      </w:r>
      <w:r w:rsidR="00B41683" w:rsidRPr="00545036">
        <w:rPr>
          <w:rFonts w:ascii="Book Antiqua" w:hAnsi="Book Antiqua"/>
          <w:bCs/>
          <w:color w:val="000000" w:themeColor="text1"/>
          <w:sz w:val="24"/>
          <w:szCs w:val="24"/>
          <w:lang w:val="en-GB" w:eastAsia="zh-CN"/>
        </w:rPr>
        <w:t xml:space="preserve">ECOG: </w:t>
      </w:r>
      <w:r w:rsidR="00B41683" w:rsidRPr="00AC50FA">
        <w:rPr>
          <w:rFonts w:ascii="Book Antiqua" w:hAnsi="Book Antiqua"/>
          <w:color w:val="000000" w:themeColor="text1"/>
          <w:sz w:val="24"/>
          <w:szCs w:val="24"/>
        </w:rPr>
        <w:t xml:space="preserve">Eastern Cooperative Oncology Group; </w:t>
      </w:r>
      <w:r w:rsidR="00B41683" w:rsidRPr="00AC50FA">
        <w:rPr>
          <w:rFonts w:ascii="Book Antiqua" w:hAnsi="Book Antiqua"/>
          <w:color w:val="000000" w:themeColor="text1"/>
          <w:sz w:val="24"/>
          <w:szCs w:val="24"/>
          <w:lang w:eastAsia="zh-CN"/>
        </w:rPr>
        <w:t xml:space="preserve">INR: </w:t>
      </w:r>
      <w:r w:rsidR="00B41683" w:rsidRPr="00AC50FA">
        <w:rPr>
          <w:rFonts w:ascii="Book Antiqua" w:hAnsi="Book Antiqua"/>
          <w:color w:val="000000" w:themeColor="text1"/>
          <w:sz w:val="24"/>
          <w:szCs w:val="24"/>
        </w:rPr>
        <w:t xml:space="preserve">International normalized ratio; </w:t>
      </w:r>
      <w:r w:rsidR="002010A1" w:rsidRPr="00AC50FA">
        <w:rPr>
          <w:rFonts w:ascii="Book Antiqua" w:hAnsi="Book Antiqua"/>
          <w:color w:val="000000" w:themeColor="text1"/>
          <w:sz w:val="24"/>
          <w:szCs w:val="24"/>
        </w:rPr>
        <w:t xml:space="preserve">ALT: </w:t>
      </w:r>
      <w:r w:rsidR="002010A1" w:rsidRPr="00AC50FA">
        <w:rPr>
          <w:rFonts w:ascii="Book Antiqua" w:hAnsi="Book Antiqua"/>
          <w:color w:val="000000" w:themeColor="text1"/>
          <w:sz w:val="24"/>
          <w:szCs w:val="24"/>
          <w:lang w:val="en-GB"/>
        </w:rPr>
        <w:t xml:space="preserve">Alanine transaminase; </w:t>
      </w:r>
      <w:r w:rsidR="002010A1" w:rsidRPr="00AC50FA">
        <w:rPr>
          <w:rFonts w:ascii="Book Antiqua" w:hAnsi="Book Antiqua"/>
          <w:color w:val="000000" w:themeColor="text1"/>
          <w:sz w:val="24"/>
          <w:szCs w:val="24"/>
          <w:lang w:val="en-GB" w:eastAsia="zh-CN"/>
        </w:rPr>
        <w:t xml:space="preserve">AST: </w:t>
      </w:r>
      <w:r w:rsidR="002010A1" w:rsidRPr="00AC50FA">
        <w:rPr>
          <w:rFonts w:ascii="Book Antiqua" w:hAnsi="Book Antiqua"/>
          <w:color w:val="000000" w:themeColor="text1"/>
          <w:sz w:val="24"/>
          <w:szCs w:val="24"/>
        </w:rPr>
        <w:t xml:space="preserve">Aspartate aminotransferase; AFP: </w:t>
      </w:r>
      <w:r w:rsidR="002010A1" w:rsidRPr="00AC50FA">
        <w:rPr>
          <w:rFonts w:ascii="Book Antiqua" w:hAnsi="Book Antiqua"/>
          <w:color w:val="000000" w:themeColor="text1"/>
          <w:sz w:val="24"/>
          <w:szCs w:val="24"/>
          <w:lang w:val="en-GB"/>
        </w:rPr>
        <w:t xml:space="preserve">Alpha-fetoprotein; USCF: </w:t>
      </w:r>
      <w:r w:rsidR="002010A1" w:rsidRPr="00AC50FA">
        <w:rPr>
          <w:rFonts w:ascii="Book Antiqua" w:hAnsi="Book Antiqua"/>
          <w:color w:val="000000" w:themeColor="text1"/>
          <w:sz w:val="24"/>
          <w:szCs w:val="24"/>
        </w:rPr>
        <w:t xml:space="preserve">University of California San Francisco; </w:t>
      </w:r>
      <w:r w:rsidR="002010A1" w:rsidRPr="00AC50FA">
        <w:rPr>
          <w:rFonts w:ascii="Book Antiqua" w:eastAsia="PMingLiU" w:hAnsi="Book Antiqua" w:cs="PMingLiU"/>
          <w:color w:val="000000" w:themeColor="text1"/>
          <w:sz w:val="24"/>
          <w:szCs w:val="24"/>
        </w:rPr>
        <w:t>IVC: Inferior vena cava</w:t>
      </w:r>
      <w:r w:rsidR="00545036">
        <w:rPr>
          <w:rFonts w:ascii="Book Antiqua" w:eastAsia="PMingLiU" w:hAnsi="Book Antiqua" w:cs="PMingLiU" w:hint="eastAsia"/>
          <w:color w:val="000000" w:themeColor="text1"/>
          <w:sz w:val="24"/>
          <w:szCs w:val="24"/>
          <w:lang w:eastAsia="zh-CN"/>
        </w:rPr>
        <w:t>.</w:t>
      </w:r>
    </w:p>
    <w:sectPr w:rsidR="004E34E7" w:rsidRPr="00083BCD" w:rsidSect="00AA05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1FA37" w14:textId="77777777" w:rsidR="00DD655D" w:rsidRDefault="00DD655D" w:rsidP="0079037A">
      <w:pPr>
        <w:spacing w:after="0" w:line="240" w:lineRule="auto"/>
      </w:pPr>
      <w:r>
        <w:separator/>
      </w:r>
    </w:p>
  </w:endnote>
  <w:endnote w:type="continuationSeparator" w:id="0">
    <w:p w14:paraId="4A131875" w14:textId="77777777" w:rsidR="00DD655D" w:rsidRDefault="00DD655D" w:rsidP="00790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altName w:val="微软雅黑"/>
    <w:panose1 w:val="020105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6569545"/>
      <w:docPartObj>
        <w:docPartGallery w:val="Page Numbers (Bottom of Page)"/>
        <w:docPartUnique/>
      </w:docPartObj>
    </w:sdtPr>
    <w:sdtEndPr/>
    <w:sdtContent>
      <w:p w14:paraId="04C65717" w14:textId="6B9D4723" w:rsidR="0081325E" w:rsidRDefault="0081325E">
        <w:pPr>
          <w:pStyle w:val="a6"/>
          <w:jc w:val="right"/>
        </w:pPr>
        <w:r>
          <w:fldChar w:fldCharType="begin"/>
        </w:r>
        <w:r>
          <w:instrText>PAGE   \* MERGEFORMAT</w:instrText>
        </w:r>
        <w:r>
          <w:fldChar w:fldCharType="separate"/>
        </w:r>
        <w:r w:rsidR="0093723E" w:rsidRPr="0093723E">
          <w:rPr>
            <w:noProof/>
            <w:lang w:val="zh-TW"/>
          </w:rPr>
          <w:t>27</w:t>
        </w:r>
        <w:r>
          <w:fldChar w:fldCharType="end"/>
        </w:r>
      </w:p>
    </w:sdtContent>
  </w:sdt>
  <w:p w14:paraId="22F3F066" w14:textId="77777777" w:rsidR="0081325E" w:rsidRDefault="0081325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46BB1" w14:textId="77777777" w:rsidR="00DD655D" w:rsidRDefault="00DD655D" w:rsidP="0079037A">
      <w:pPr>
        <w:spacing w:after="0" w:line="240" w:lineRule="auto"/>
      </w:pPr>
      <w:r>
        <w:separator/>
      </w:r>
    </w:p>
  </w:footnote>
  <w:footnote w:type="continuationSeparator" w:id="0">
    <w:p w14:paraId="4FCBAF12" w14:textId="77777777" w:rsidR="00DD655D" w:rsidRDefault="00DD655D" w:rsidP="00790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C4719"/>
    <w:multiLevelType w:val="hybridMultilevel"/>
    <w:tmpl w:val="5EA0AC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87850"/>
    <w:multiLevelType w:val="hybridMultilevel"/>
    <w:tmpl w:val="4760B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CF1"/>
    <w:rsid w:val="000007C4"/>
    <w:rsid w:val="00020DC9"/>
    <w:rsid w:val="0002739D"/>
    <w:rsid w:val="00027708"/>
    <w:rsid w:val="0003410A"/>
    <w:rsid w:val="00037B2C"/>
    <w:rsid w:val="0004251B"/>
    <w:rsid w:val="000431A8"/>
    <w:rsid w:val="0004322D"/>
    <w:rsid w:val="00044BA6"/>
    <w:rsid w:val="00052841"/>
    <w:rsid w:val="0005518A"/>
    <w:rsid w:val="00071640"/>
    <w:rsid w:val="00083BCD"/>
    <w:rsid w:val="00086A1B"/>
    <w:rsid w:val="0009411D"/>
    <w:rsid w:val="00097EBE"/>
    <w:rsid w:val="000A4017"/>
    <w:rsid w:val="000B61CA"/>
    <w:rsid w:val="000C3150"/>
    <w:rsid w:val="000C3F5F"/>
    <w:rsid w:val="000C7E38"/>
    <w:rsid w:val="000D0D5D"/>
    <w:rsid w:val="000D2493"/>
    <w:rsid w:val="000D4A4A"/>
    <w:rsid w:val="000D62DA"/>
    <w:rsid w:val="000E66F1"/>
    <w:rsid w:val="000E6ED6"/>
    <w:rsid w:val="0010060A"/>
    <w:rsid w:val="001047C6"/>
    <w:rsid w:val="00110186"/>
    <w:rsid w:val="00115119"/>
    <w:rsid w:val="0012020D"/>
    <w:rsid w:val="0012368F"/>
    <w:rsid w:val="00125333"/>
    <w:rsid w:val="0012581C"/>
    <w:rsid w:val="0015236F"/>
    <w:rsid w:val="001534C6"/>
    <w:rsid w:val="00163FA1"/>
    <w:rsid w:val="00177EA2"/>
    <w:rsid w:val="001830CE"/>
    <w:rsid w:val="00184743"/>
    <w:rsid w:val="0018592E"/>
    <w:rsid w:val="001A1A93"/>
    <w:rsid w:val="001A37A6"/>
    <w:rsid w:val="001A6276"/>
    <w:rsid w:val="001B60D0"/>
    <w:rsid w:val="001C5DA5"/>
    <w:rsid w:val="001D6707"/>
    <w:rsid w:val="001E0D86"/>
    <w:rsid w:val="001F12CC"/>
    <w:rsid w:val="001F199E"/>
    <w:rsid w:val="001F4BDF"/>
    <w:rsid w:val="002010A1"/>
    <w:rsid w:val="0021393F"/>
    <w:rsid w:val="00215C6D"/>
    <w:rsid w:val="00217149"/>
    <w:rsid w:val="0023181E"/>
    <w:rsid w:val="002363CB"/>
    <w:rsid w:val="00244EC4"/>
    <w:rsid w:val="0026542B"/>
    <w:rsid w:val="0027082E"/>
    <w:rsid w:val="00274DFE"/>
    <w:rsid w:val="00276241"/>
    <w:rsid w:val="00277FDE"/>
    <w:rsid w:val="0028080C"/>
    <w:rsid w:val="00281708"/>
    <w:rsid w:val="0028480F"/>
    <w:rsid w:val="0028517E"/>
    <w:rsid w:val="0029331B"/>
    <w:rsid w:val="00294A3B"/>
    <w:rsid w:val="002A0B09"/>
    <w:rsid w:val="002B3140"/>
    <w:rsid w:val="002C0C84"/>
    <w:rsid w:val="002D5AFA"/>
    <w:rsid w:val="002F2C89"/>
    <w:rsid w:val="003034FB"/>
    <w:rsid w:val="00305079"/>
    <w:rsid w:val="00314256"/>
    <w:rsid w:val="00316893"/>
    <w:rsid w:val="0031715A"/>
    <w:rsid w:val="00326B0E"/>
    <w:rsid w:val="00326C94"/>
    <w:rsid w:val="0033436D"/>
    <w:rsid w:val="003417CB"/>
    <w:rsid w:val="00355DE4"/>
    <w:rsid w:val="003614C0"/>
    <w:rsid w:val="003638F5"/>
    <w:rsid w:val="00370E8D"/>
    <w:rsid w:val="00383112"/>
    <w:rsid w:val="00385800"/>
    <w:rsid w:val="003A4475"/>
    <w:rsid w:val="003B117A"/>
    <w:rsid w:val="003B1BFC"/>
    <w:rsid w:val="003B3632"/>
    <w:rsid w:val="003B60AE"/>
    <w:rsid w:val="003C182D"/>
    <w:rsid w:val="003C53EF"/>
    <w:rsid w:val="003D39D4"/>
    <w:rsid w:val="003D526E"/>
    <w:rsid w:val="003F17C7"/>
    <w:rsid w:val="003F2BA5"/>
    <w:rsid w:val="003F4630"/>
    <w:rsid w:val="0040024A"/>
    <w:rsid w:val="00400AF3"/>
    <w:rsid w:val="00434976"/>
    <w:rsid w:val="00435602"/>
    <w:rsid w:val="00445855"/>
    <w:rsid w:val="004545F7"/>
    <w:rsid w:val="004607CC"/>
    <w:rsid w:val="0047278B"/>
    <w:rsid w:val="0048575F"/>
    <w:rsid w:val="00493CC1"/>
    <w:rsid w:val="004961FF"/>
    <w:rsid w:val="004A157D"/>
    <w:rsid w:val="004B4812"/>
    <w:rsid w:val="004C0883"/>
    <w:rsid w:val="004C6029"/>
    <w:rsid w:val="004D73C7"/>
    <w:rsid w:val="004E09FA"/>
    <w:rsid w:val="004E34E7"/>
    <w:rsid w:val="004F3A3F"/>
    <w:rsid w:val="004F6F75"/>
    <w:rsid w:val="00500639"/>
    <w:rsid w:val="005111C0"/>
    <w:rsid w:val="00514E0B"/>
    <w:rsid w:val="00524A81"/>
    <w:rsid w:val="00531516"/>
    <w:rsid w:val="005327F4"/>
    <w:rsid w:val="005420CE"/>
    <w:rsid w:val="00544648"/>
    <w:rsid w:val="00545036"/>
    <w:rsid w:val="0054504B"/>
    <w:rsid w:val="005558D2"/>
    <w:rsid w:val="0056769E"/>
    <w:rsid w:val="00570559"/>
    <w:rsid w:val="005760F6"/>
    <w:rsid w:val="00580D85"/>
    <w:rsid w:val="005826C7"/>
    <w:rsid w:val="00595E7F"/>
    <w:rsid w:val="00596C71"/>
    <w:rsid w:val="005A4F84"/>
    <w:rsid w:val="005B4BEE"/>
    <w:rsid w:val="005C0269"/>
    <w:rsid w:val="005C3ABC"/>
    <w:rsid w:val="005C509C"/>
    <w:rsid w:val="005D081E"/>
    <w:rsid w:val="005D36B6"/>
    <w:rsid w:val="005D6022"/>
    <w:rsid w:val="005D654A"/>
    <w:rsid w:val="005E7D32"/>
    <w:rsid w:val="005F1A5F"/>
    <w:rsid w:val="005F240C"/>
    <w:rsid w:val="00605B7C"/>
    <w:rsid w:val="006239B2"/>
    <w:rsid w:val="00631450"/>
    <w:rsid w:val="006349FA"/>
    <w:rsid w:val="006370B1"/>
    <w:rsid w:val="00644879"/>
    <w:rsid w:val="006461F5"/>
    <w:rsid w:val="00650F0F"/>
    <w:rsid w:val="006536DF"/>
    <w:rsid w:val="00661617"/>
    <w:rsid w:val="00665D6A"/>
    <w:rsid w:val="006667B0"/>
    <w:rsid w:val="0067216F"/>
    <w:rsid w:val="00676AEB"/>
    <w:rsid w:val="00686B00"/>
    <w:rsid w:val="006A0076"/>
    <w:rsid w:val="006B0B08"/>
    <w:rsid w:val="006D4CA4"/>
    <w:rsid w:val="006D5C21"/>
    <w:rsid w:val="006E591F"/>
    <w:rsid w:val="006F55BA"/>
    <w:rsid w:val="006F5C89"/>
    <w:rsid w:val="0070793A"/>
    <w:rsid w:val="007126CA"/>
    <w:rsid w:val="00740FCE"/>
    <w:rsid w:val="00755867"/>
    <w:rsid w:val="007662DF"/>
    <w:rsid w:val="007719DB"/>
    <w:rsid w:val="0077543D"/>
    <w:rsid w:val="0079037A"/>
    <w:rsid w:val="007913F8"/>
    <w:rsid w:val="00791E4D"/>
    <w:rsid w:val="00794A0D"/>
    <w:rsid w:val="007A1AA4"/>
    <w:rsid w:val="007C5927"/>
    <w:rsid w:val="007D18D4"/>
    <w:rsid w:val="007D5E8F"/>
    <w:rsid w:val="007E0651"/>
    <w:rsid w:val="007E0798"/>
    <w:rsid w:val="007E1B98"/>
    <w:rsid w:val="007E3BDB"/>
    <w:rsid w:val="007E6585"/>
    <w:rsid w:val="007F77BC"/>
    <w:rsid w:val="00810D49"/>
    <w:rsid w:val="0081325E"/>
    <w:rsid w:val="00830FED"/>
    <w:rsid w:val="00833173"/>
    <w:rsid w:val="00860FA5"/>
    <w:rsid w:val="008635E6"/>
    <w:rsid w:val="00872E3D"/>
    <w:rsid w:val="00873DE3"/>
    <w:rsid w:val="00874E5A"/>
    <w:rsid w:val="008926AC"/>
    <w:rsid w:val="008A64B4"/>
    <w:rsid w:val="008B177B"/>
    <w:rsid w:val="008C19F0"/>
    <w:rsid w:val="008D75C1"/>
    <w:rsid w:val="008E13C0"/>
    <w:rsid w:val="008F611A"/>
    <w:rsid w:val="0090315A"/>
    <w:rsid w:val="00916FC8"/>
    <w:rsid w:val="009235C4"/>
    <w:rsid w:val="0093723E"/>
    <w:rsid w:val="00944DAF"/>
    <w:rsid w:val="0095283E"/>
    <w:rsid w:val="00955DE7"/>
    <w:rsid w:val="00963D2C"/>
    <w:rsid w:val="00971004"/>
    <w:rsid w:val="009860B9"/>
    <w:rsid w:val="009879BE"/>
    <w:rsid w:val="0099156C"/>
    <w:rsid w:val="00991B72"/>
    <w:rsid w:val="009A1820"/>
    <w:rsid w:val="009B4380"/>
    <w:rsid w:val="009E3384"/>
    <w:rsid w:val="009E5859"/>
    <w:rsid w:val="009F6813"/>
    <w:rsid w:val="00A02D9B"/>
    <w:rsid w:val="00A06DAD"/>
    <w:rsid w:val="00A10217"/>
    <w:rsid w:val="00A12021"/>
    <w:rsid w:val="00A17D5D"/>
    <w:rsid w:val="00A33B0A"/>
    <w:rsid w:val="00A35023"/>
    <w:rsid w:val="00A3588F"/>
    <w:rsid w:val="00A36DD8"/>
    <w:rsid w:val="00A47947"/>
    <w:rsid w:val="00A5231F"/>
    <w:rsid w:val="00A52B00"/>
    <w:rsid w:val="00A54A98"/>
    <w:rsid w:val="00A56463"/>
    <w:rsid w:val="00A61303"/>
    <w:rsid w:val="00A74981"/>
    <w:rsid w:val="00A75879"/>
    <w:rsid w:val="00A87B71"/>
    <w:rsid w:val="00AA056F"/>
    <w:rsid w:val="00AA76D2"/>
    <w:rsid w:val="00AB175B"/>
    <w:rsid w:val="00AB29C9"/>
    <w:rsid w:val="00AB4A38"/>
    <w:rsid w:val="00AC2CA6"/>
    <w:rsid w:val="00AC301F"/>
    <w:rsid w:val="00AC50FA"/>
    <w:rsid w:val="00AD2931"/>
    <w:rsid w:val="00AD724F"/>
    <w:rsid w:val="00AE474F"/>
    <w:rsid w:val="00AE4E5D"/>
    <w:rsid w:val="00AE5DE2"/>
    <w:rsid w:val="00AF08A0"/>
    <w:rsid w:val="00B11359"/>
    <w:rsid w:val="00B2048F"/>
    <w:rsid w:val="00B22823"/>
    <w:rsid w:val="00B37290"/>
    <w:rsid w:val="00B41683"/>
    <w:rsid w:val="00B729BC"/>
    <w:rsid w:val="00B878C8"/>
    <w:rsid w:val="00B94653"/>
    <w:rsid w:val="00BE627D"/>
    <w:rsid w:val="00BE6904"/>
    <w:rsid w:val="00C04EDD"/>
    <w:rsid w:val="00C117C0"/>
    <w:rsid w:val="00C36198"/>
    <w:rsid w:val="00C61F00"/>
    <w:rsid w:val="00C81C7C"/>
    <w:rsid w:val="00C87CDA"/>
    <w:rsid w:val="00CA1C94"/>
    <w:rsid w:val="00CA39E8"/>
    <w:rsid w:val="00CB20FE"/>
    <w:rsid w:val="00CB3CAE"/>
    <w:rsid w:val="00CD5A4B"/>
    <w:rsid w:val="00CE18A6"/>
    <w:rsid w:val="00CF2C01"/>
    <w:rsid w:val="00D01EB4"/>
    <w:rsid w:val="00D12263"/>
    <w:rsid w:val="00D13FF2"/>
    <w:rsid w:val="00D260EA"/>
    <w:rsid w:val="00D313A9"/>
    <w:rsid w:val="00D324EC"/>
    <w:rsid w:val="00D42B96"/>
    <w:rsid w:val="00D570AE"/>
    <w:rsid w:val="00D604B3"/>
    <w:rsid w:val="00D60C7F"/>
    <w:rsid w:val="00D626E6"/>
    <w:rsid w:val="00D6519A"/>
    <w:rsid w:val="00D74A16"/>
    <w:rsid w:val="00D74AEC"/>
    <w:rsid w:val="00D83737"/>
    <w:rsid w:val="00D94601"/>
    <w:rsid w:val="00D94D64"/>
    <w:rsid w:val="00DA16A1"/>
    <w:rsid w:val="00DA402F"/>
    <w:rsid w:val="00DB2FFB"/>
    <w:rsid w:val="00DC0CDC"/>
    <w:rsid w:val="00DC2111"/>
    <w:rsid w:val="00DD1EBC"/>
    <w:rsid w:val="00DD47F1"/>
    <w:rsid w:val="00DD64E2"/>
    <w:rsid w:val="00DD655D"/>
    <w:rsid w:val="00E037FF"/>
    <w:rsid w:val="00E12D4E"/>
    <w:rsid w:val="00E13A6F"/>
    <w:rsid w:val="00E30DDE"/>
    <w:rsid w:val="00E33020"/>
    <w:rsid w:val="00E4136D"/>
    <w:rsid w:val="00E42083"/>
    <w:rsid w:val="00E4289F"/>
    <w:rsid w:val="00E56736"/>
    <w:rsid w:val="00E65C6A"/>
    <w:rsid w:val="00E75ED1"/>
    <w:rsid w:val="00E819CA"/>
    <w:rsid w:val="00E87C7F"/>
    <w:rsid w:val="00E92ED4"/>
    <w:rsid w:val="00EB173B"/>
    <w:rsid w:val="00EC44BB"/>
    <w:rsid w:val="00EC6CF1"/>
    <w:rsid w:val="00ED078E"/>
    <w:rsid w:val="00ED750D"/>
    <w:rsid w:val="00EE0592"/>
    <w:rsid w:val="00EE0B44"/>
    <w:rsid w:val="00EE1B86"/>
    <w:rsid w:val="00F02D81"/>
    <w:rsid w:val="00F050C5"/>
    <w:rsid w:val="00F07DB4"/>
    <w:rsid w:val="00F155BA"/>
    <w:rsid w:val="00F24180"/>
    <w:rsid w:val="00F275B9"/>
    <w:rsid w:val="00F36B1D"/>
    <w:rsid w:val="00F44656"/>
    <w:rsid w:val="00F4688C"/>
    <w:rsid w:val="00F469A8"/>
    <w:rsid w:val="00F540B2"/>
    <w:rsid w:val="00F61924"/>
    <w:rsid w:val="00F80125"/>
    <w:rsid w:val="00F85E46"/>
    <w:rsid w:val="00F9255F"/>
    <w:rsid w:val="00F94264"/>
    <w:rsid w:val="00FA493A"/>
    <w:rsid w:val="00FA51D9"/>
    <w:rsid w:val="00FB16B5"/>
    <w:rsid w:val="00FB3134"/>
    <w:rsid w:val="00FB6020"/>
    <w:rsid w:val="00FB6113"/>
    <w:rsid w:val="00FC0666"/>
    <w:rsid w:val="00FC16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BE237"/>
  <w15:docId w15:val="{D5DE6AC5-A5A8-4485-9532-9D66FAF9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EC6C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EC6CF1"/>
    <w:rPr>
      <w:rFonts w:ascii="Times New Roman" w:eastAsia="Times New Roman" w:hAnsi="Times New Roman" w:cs="Times New Roman"/>
      <w:b/>
      <w:bCs/>
      <w:sz w:val="27"/>
      <w:szCs w:val="27"/>
    </w:rPr>
  </w:style>
  <w:style w:type="paragraph" w:styleId="a3">
    <w:name w:val="Normal (Web)"/>
    <w:basedOn w:val="a"/>
    <w:uiPriority w:val="99"/>
    <w:semiHidden/>
    <w:unhideWhenUsed/>
    <w:rsid w:val="00EC6CF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79037A"/>
    <w:pPr>
      <w:tabs>
        <w:tab w:val="center" w:pos="4153"/>
        <w:tab w:val="right" w:pos="8306"/>
      </w:tabs>
      <w:snapToGrid w:val="0"/>
    </w:pPr>
    <w:rPr>
      <w:sz w:val="20"/>
      <w:szCs w:val="20"/>
    </w:rPr>
  </w:style>
  <w:style w:type="character" w:customStyle="1" w:styleId="a5">
    <w:name w:val="页眉 字符"/>
    <w:basedOn w:val="a0"/>
    <w:link w:val="a4"/>
    <w:uiPriority w:val="99"/>
    <w:rsid w:val="0079037A"/>
    <w:rPr>
      <w:sz w:val="20"/>
      <w:szCs w:val="20"/>
    </w:rPr>
  </w:style>
  <w:style w:type="paragraph" w:styleId="a6">
    <w:name w:val="footer"/>
    <w:basedOn w:val="a"/>
    <w:link w:val="a7"/>
    <w:uiPriority w:val="99"/>
    <w:unhideWhenUsed/>
    <w:rsid w:val="0079037A"/>
    <w:pPr>
      <w:tabs>
        <w:tab w:val="center" w:pos="4153"/>
        <w:tab w:val="right" w:pos="8306"/>
      </w:tabs>
      <w:snapToGrid w:val="0"/>
    </w:pPr>
    <w:rPr>
      <w:sz w:val="20"/>
      <w:szCs w:val="20"/>
    </w:rPr>
  </w:style>
  <w:style w:type="character" w:customStyle="1" w:styleId="a7">
    <w:name w:val="页脚 字符"/>
    <w:basedOn w:val="a0"/>
    <w:link w:val="a6"/>
    <w:uiPriority w:val="99"/>
    <w:rsid w:val="0079037A"/>
    <w:rPr>
      <w:sz w:val="20"/>
      <w:szCs w:val="20"/>
    </w:rPr>
  </w:style>
  <w:style w:type="paragraph" w:styleId="a8">
    <w:name w:val="Balloon Text"/>
    <w:basedOn w:val="a"/>
    <w:link w:val="a9"/>
    <w:uiPriority w:val="99"/>
    <w:semiHidden/>
    <w:unhideWhenUsed/>
    <w:rsid w:val="004607CC"/>
    <w:pPr>
      <w:spacing w:after="0" w:line="240" w:lineRule="auto"/>
    </w:pPr>
    <w:rPr>
      <w:rFonts w:asciiTheme="majorHAnsi" w:eastAsiaTheme="majorEastAsia" w:hAnsiTheme="majorHAnsi" w:cstheme="majorBidi"/>
      <w:sz w:val="18"/>
      <w:szCs w:val="18"/>
    </w:rPr>
  </w:style>
  <w:style w:type="character" w:customStyle="1" w:styleId="a9">
    <w:name w:val="批注框文本 字符"/>
    <w:basedOn w:val="a0"/>
    <w:link w:val="a8"/>
    <w:uiPriority w:val="99"/>
    <w:semiHidden/>
    <w:rsid w:val="004607CC"/>
    <w:rPr>
      <w:rFonts w:asciiTheme="majorHAnsi" w:eastAsiaTheme="majorEastAsia" w:hAnsiTheme="majorHAnsi" w:cstheme="majorBidi"/>
      <w:sz w:val="18"/>
      <w:szCs w:val="18"/>
    </w:rPr>
  </w:style>
  <w:style w:type="paragraph" w:styleId="aa">
    <w:name w:val="footnote text"/>
    <w:basedOn w:val="a"/>
    <w:link w:val="ab"/>
    <w:uiPriority w:val="99"/>
    <w:semiHidden/>
    <w:unhideWhenUsed/>
    <w:rsid w:val="002D5AFA"/>
    <w:pPr>
      <w:snapToGrid w:val="0"/>
    </w:pPr>
    <w:rPr>
      <w:sz w:val="20"/>
      <w:szCs w:val="20"/>
    </w:rPr>
  </w:style>
  <w:style w:type="character" w:customStyle="1" w:styleId="ab">
    <w:name w:val="脚注文本 字符"/>
    <w:basedOn w:val="a0"/>
    <w:link w:val="aa"/>
    <w:uiPriority w:val="99"/>
    <w:semiHidden/>
    <w:rsid w:val="002D5AFA"/>
    <w:rPr>
      <w:sz w:val="20"/>
      <w:szCs w:val="20"/>
    </w:rPr>
  </w:style>
  <w:style w:type="character" w:styleId="ac">
    <w:name w:val="footnote reference"/>
    <w:basedOn w:val="a0"/>
    <w:uiPriority w:val="99"/>
    <w:semiHidden/>
    <w:unhideWhenUsed/>
    <w:rsid w:val="002D5AFA"/>
    <w:rPr>
      <w:vertAlign w:val="superscript"/>
    </w:rPr>
  </w:style>
  <w:style w:type="paragraph" w:styleId="ad">
    <w:name w:val="annotation text"/>
    <w:basedOn w:val="a"/>
    <w:link w:val="ae"/>
    <w:uiPriority w:val="99"/>
    <w:unhideWhenUsed/>
    <w:qFormat/>
  </w:style>
  <w:style w:type="character" w:customStyle="1" w:styleId="ae">
    <w:name w:val="批注文字 字符"/>
    <w:basedOn w:val="a0"/>
    <w:link w:val="ad"/>
    <w:uiPriority w:val="99"/>
    <w:semiHidden/>
  </w:style>
  <w:style w:type="character" w:styleId="af">
    <w:name w:val="annotation reference"/>
    <w:basedOn w:val="a0"/>
    <w:uiPriority w:val="99"/>
    <w:unhideWhenUsed/>
    <w:qFormat/>
    <w:rPr>
      <w:sz w:val="18"/>
      <w:szCs w:val="18"/>
    </w:rPr>
  </w:style>
  <w:style w:type="paragraph" w:styleId="af0">
    <w:name w:val="annotation subject"/>
    <w:basedOn w:val="ad"/>
    <w:next w:val="ad"/>
    <w:link w:val="af1"/>
    <w:uiPriority w:val="99"/>
    <w:semiHidden/>
    <w:unhideWhenUsed/>
    <w:rsid w:val="00A54A98"/>
    <w:rPr>
      <w:b/>
      <w:bCs/>
    </w:rPr>
  </w:style>
  <w:style w:type="character" w:customStyle="1" w:styleId="af1">
    <w:name w:val="批注主题 字符"/>
    <w:basedOn w:val="ae"/>
    <w:link w:val="af0"/>
    <w:uiPriority w:val="99"/>
    <w:semiHidden/>
    <w:rsid w:val="00A54A98"/>
    <w:rPr>
      <w:b/>
      <w:bCs/>
    </w:rPr>
  </w:style>
  <w:style w:type="character" w:customStyle="1" w:styleId="1">
    <w:name w:val="批注文字 字符1"/>
    <w:basedOn w:val="a0"/>
    <w:uiPriority w:val="99"/>
    <w:qFormat/>
    <w:rsid w:val="00A54A98"/>
    <w:rPr>
      <w:rFonts w:eastAsiaTheme="minorEastAsia"/>
      <w:kern w:val="2"/>
      <w:sz w:val="21"/>
    </w:rPr>
  </w:style>
  <w:style w:type="paragraph" w:styleId="af2">
    <w:name w:val="List Paragraph"/>
    <w:basedOn w:val="a"/>
    <w:uiPriority w:val="34"/>
    <w:qFormat/>
    <w:rsid w:val="001E0D86"/>
    <w:pPr>
      <w:ind w:left="720"/>
      <w:contextualSpacing/>
    </w:pPr>
  </w:style>
  <w:style w:type="character" w:styleId="af3">
    <w:name w:val="Hyperlink"/>
    <w:basedOn w:val="a0"/>
    <w:uiPriority w:val="99"/>
    <w:unhideWhenUsed/>
    <w:rsid w:val="00A17D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30528">
      <w:bodyDiv w:val="1"/>
      <w:marLeft w:val="0"/>
      <w:marRight w:val="0"/>
      <w:marTop w:val="0"/>
      <w:marBottom w:val="0"/>
      <w:divBdr>
        <w:top w:val="none" w:sz="0" w:space="0" w:color="auto"/>
        <w:left w:val="none" w:sz="0" w:space="0" w:color="auto"/>
        <w:bottom w:val="none" w:sz="0" w:space="0" w:color="auto"/>
        <w:right w:val="none" w:sz="0" w:space="0" w:color="auto"/>
      </w:divBdr>
    </w:div>
    <w:div w:id="77099615">
      <w:bodyDiv w:val="1"/>
      <w:marLeft w:val="0"/>
      <w:marRight w:val="0"/>
      <w:marTop w:val="0"/>
      <w:marBottom w:val="0"/>
      <w:divBdr>
        <w:top w:val="none" w:sz="0" w:space="0" w:color="auto"/>
        <w:left w:val="none" w:sz="0" w:space="0" w:color="auto"/>
        <w:bottom w:val="none" w:sz="0" w:space="0" w:color="auto"/>
        <w:right w:val="none" w:sz="0" w:space="0" w:color="auto"/>
      </w:divBdr>
    </w:div>
    <w:div w:id="114569489">
      <w:bodyDiv w:val="1"/>
      <w:marLeft w:val="0"/>
      <w:marRight w:val="0"/>
      <w:marTop w:val="0"/>
      <w:marBottom w:val="0"/>
      <w:divBdr>
        <w:top w:val="none" w:sz="0" w:space="0" w:color="auto"/>
        <w:left w:val="none" w:sz="0" w:space="0" w:color="auto"/>
        <w:bottom w:val="none" w:sz="0" w:space="0" w:color="auto"/>
        <w:right w:val="none" w:sz="0" w:space="0" w:color="auto"/>
      </w:divBdr>
    </w:div>
    <w:div w:id="131103130">
      <w:bodyDiv w:val="1"/>
      <w:marLeft w:val="0"/>
      <w:marRight w:val="0"/>
      <w:marTop w:val="0"/>
      <w:marBottom w:val="0"/>
      <w:divBdr>
        <w:top w:val="none" w:sz="0" w:space="0" w:color="auto"/>
        <w:left w:val="none" w:sz="0" w:space="0" w:color="auto"/>
        <w:bottom w:val="none" w:sz="0" w:space="0" w:color="auto"/>
        <w:right w:val="none" w:sz="0" w:space="0" w:color="auto"/>
      </w:divBdr>
    </w:div>
    <w:div w:id="184832427">
      <w:bodyDiv w:val="1"/>
      <w:marLeft w:val="0"/>
      <w:marRight w:val="0"/>
      <w:marTop w:val="0"/>
      <w:marBottom w:val="0"/>
      <w:divBdr>
        <w:top w:val="none" w:sz="0" w:space="0" w:color="auto"/>
        <w:left w:val="none" w:sz="0" w:space="0" w:color="auto"/>
        <w:bottom w:val="none" w:sz="0" w:space="0" w:color="auto"/>
        <w:right w:val="none" w:sz="0" w:space="0" w:color="auto"/>
      </w:divBdr>
    </w:div>
    <w:div w:id="210965756">
      <w:bodyDiv w:val="1"/>
      <w:marLeft w:val="0"/>
      <w:marRight w:val="0"/>
      <w:marTop w:val="0"/>
      <w:marBottom w:val="0"/>
      <w:divBdr>
        <w:top w:val="none" w:sz="0" w:space="0" w:color="auto"/>
        <w:left w:val="none" w:sz="0" w:space="0" w:color="auto"/>
        <w:bottom w:val="none" w:sz="0" w:space="0" w:color="auto"/>
        <w:right w:val="none" w:sz="0" w:space="0" w:color="auto"/>
      </w:divBdr>
    </w:div>
    <w:div w:id="318658975">
      <w:bodyDiv w:val="1"/>
      <w:marLeft w:val="0"/>
      <w:marRight w:val="0"/>
      <w:marTop w:val="0"/>
      <w:marBottom w:val="0"/>
      <w:divBdr>
        <w:top w:val="none" w:sz="0" w:space="0" w:color="auto"/>
        <w:left w:val="none" w:sz="0" w:space="0" w:color="auto"/>
        <w:bottom w:val="none" w:sz="0" w:space="0" w:color="auto"/>
        <w:right w:val="none" w:sz="0" w:space="0" w:color="auto"/>
      </w:divBdr>
    </w:div>
    <w:div w:id="343672919">
      <w:bodyDiv w:val="1"/>
      <w:marLeft w:val="0"/>
      <w:marRight w:val="0"/>
      <w:marTop w:val="0"/>
      <w:marBottom w:val="0"/>
      <w:divBdr>
        <w:top w:val="none" w:sz="0" w:space="0" w:color="auto"/>
        <w:left w:val="none" w:sz="0" w:space="0" w:color="auto"/>
        <w:bottom w:val="none" w:sz="0" w:space="0" w:color="auto"/>
        <w:right w:val="none" w:sz="0" w:space="0" w:color="auto"/>
      </w:divBdr>
    </w:div>
    <w:div w:id="359670272">
      <w:bodyDiv w:val="1"/>
      <w:marLeft w:val="0"/>
      <w:marRight w:val="0"/>
      <w:marTop w:val="0"/>
      <w:marBottom w:val="0"/>
      <w:divBdr>
        <w:top w:val="none" w:sz="0" w:space="0" w:color="auto"/>
        <w:left w:val="none" w:sz="0" w:space="0" w:color="auto"/>
        <w:bottom w:val="none" w:sz="0" w:space="0" w:color="auto"/>
        <w:right w:val="none" w:sz="0" w:space="0" w:color="auto"/>
      </w:divBdr>
    </w:div>
    <w:div w:id="372189932">
      <w:bodyDiv w:val="1"/>
      <w:marLeft w:val="0"/>
      <w:marRight w:val="0"/>
      <w:marTop w:val="0"/>
      <w:marBottom w:val="0"/>
      <w:divBdr>
        <w:top w:val="none" w:sz="0" w:space="0" w:color="auto"/>
        <w:left w:val="none" w:sz="0" w:space="0" w:color="auto"/>
        <w:bottom w:val="none" w:sz="0" w:space="0" w:color="auto"/>
        <w:right w:val="none" w:sz="0" w:space="0" w:color="auto"/>
      </w:divBdr>
    </w:div>
    <w:div w:id="471681760">
      <w:bodyDiv w:val="1"/>
      <w:marLeft w:val="0"/>
      <w:marRight w:val="0"/>
      <w:marTop w:val="0"/>
      <w:marBottom w:val="0"/>
      <w:divBdr>
        <w:top w:val="none" w:sz="0" w:space="0" w:color="auto"/>
        <w:left w:val="none" w:sz="0" w:space="0" w:color="auto"/>
        <w:bottom w:val="none" w:sz="0" w:space="0" w:color="auto"/>
        <w:right w:val="none" w:sz="0" w:space="0" w:color="auto"/>
      </w:divBdr>
    </w:div>
    <w:div w:id="481120094">
      <w:bodyDiv w:val="1"/>
      <w:marLeft w:val="0"/>
      <w:marRight w:val="0"/>
      <w:marTop w:val="0"/>
      <w:marBottom w:val="0"/>
      <w:divBdr>
        <w:top w:val="none" w:sz="0" w:space="0" w:color="auto"/>
        <w:left w:val="none" w:sz="0" w:space="0" w:color="auto"/>
        <w:bottom w:val="none" w:sz="0" w:space="0" w:color="auto"/>
        <w:right w:val="none" w:sz="0" w:space="0" w:color="auto"/>
      </w:divBdr>
    </w:div>
    <w:div w:id="509411879">
      <w:bodyDiv w:val="1"/>
      <w:marLeft w:val="0"/>
      <w:marRight w:val="0"/>
      <w:marTop w:val="0"/>
      <w:marBottom w:val="0"/>
      <w:divBdr>
        <w:top w:val="none" w:sz="0" w:space="0" w:color="auto"/>
        <w:left w:val="none" w:sz="0" w:space="0" w:color="auto"/>
        <w:bottom w:val="none" w:sz="0" w:space="0" w:color="auto"/>
        <w:right w:val="none" w:sz="0" w:space="0" w:color="auto"/>
      </w:divBdr>
    </w:div>
    <w:div w:id="572664916">
      <w:bodyDiv w:val="1"/>
      <w:marLeft w:val="0"/>
      <w:marRight w:val="0"/>
      <w:marTop w:val="0"/>
      <w:marBottom w:val="0"/>
      <w:divBdr>
        <w:top w:val="none" w:sz="0" w:space="0" w:color="auto"/>
        <w:left w:val="none" w:sz="0" w:space="0" w:color="auto"/>
        <w:bottom w:val="none" w:sz="0" w:space="0" w:color="auto"/>
        <w:right w:val="none" w:sz="0" w:space="0" w:color="auto"/>
      </w:divBdr>
    </w:div>
    <w:div w:id="604923878">
      <w:bodyDiv w:val="1"/>
      <w:marLeft w:val="0"/>
      <w:marRight w:val="0"/>
      <w:marTop w:val="0"/>
      <w:marBottom w:val="0"/>
      <w:divBdr>
        <w:top w:val="none" w:sz="0" w:space="0" w:color="auto"/>
        <w:left w:val="none" w:sz="0" w:space="0" w:color="auto"/>
        <w:bottom w:val="none" w:sz="0" w:space="0" w:color="auto"/>
        <w:right w:val="none" w:sz="0" w:space="0" w:color="auto"/>
      </w:divBdr>
    </w:div>
    <w:div w:id="616527234">
      <w:bodyDiv w:val="1"/>
      <w:marLeft w:val="0"/>
      <w:marRight w:val="0"/>
      <w:marTop w:val="0"/>
      <w:marBottom w:val="0"/>
      <w:divBdr>
        <w:top w:val="none" w:sz="0" w:space="0" w:color="auto"/>
        <w:left w:val="none" w:sz="0" w:space="0" w:color="auto"/>
        <w:bottom w:val="none" w:sz="0" w:space="0" w:color="auto"/>
        <w:right w:val="none" w:sz="0" w:space="0" w:color="auto"/>
      </w:divBdr>
    </w:div>
    <w:div w:id="620457268">
      <w:bodyDiv w:val="1"/>
      <w:marLeft w:val="0"/>
      <w:marRight w:val="0"/>
      <w:marTop w:val="0"/>
      <w:marBottom w:val="0"/>
      <w:divBdr>
        <w:top w:val="none" w:sz="0" w:space="0" w:color="auto"/>
        <w:left w:val="none" w:sz="0" w:space="0" w:color="auto"/>
        <w:bottom w:val="none" w:sz="0" w:space="0" w:color="auto"/>
        <w:right w:val="none" w:sz="0" w:space="0" w:color="auto"/>
      </w:divBdr>
    </w:div>
    <w:div w:id="648486371">
      <w:bodyDiv w:val="1"/>
      <w:marLeft w:val="0"/>
      <w:marRight w:val="0"/>
      <w:marTop w:val="0"/>
      <w:marBottom w:val="0"/>
      <w:divBdr>
        <w:top w:val="none" w:sz="0" w:space="0" w:color="auto"/>
        <w:left w:val="none" w:sz="0" w:space="0" w:color="auto"/>
        <w:bottom w:val="none" w:sz="0" w:space="0" w:color="auto"/>
        <w:right w:val="none" w:sz="0" w:space="0" w:color="auto"/>
      </w:divBdr>
    </w:div>
    <w:div w:id="739669219">
      <w:bodyDiv w:val="1"/>
      <w:marLeft w:val="0"/>
      <w:marRight w:val="0"/>
      <w:marTop w:val="0"/>
      <w:marBottom w:val="0"/>
      <w:divBdr>
        <w:top w:val="none" w:sz="0" w:space="0" w:color="auto"/>
        <w:left w:val="none" w:sz="0" w:space="0" w:color="auto"/>
        <w:bottom w:val="none" w:sz="0" w:space="0" w:color="auto"/>
        <w:right w:val="none" w:sz="0" w:space="0" w:color="auto"/>
      </w:divBdr>
    </w:div>
    <w:div w:id="755397652">
      <w:bodyDiv w:val="1"/>
      <w:marLeft w:val="0"/>
      <w:marRight w:val="0"/>
      <w:marTop w:val="0"/>
      <w:marBottom w:val="0"/>
      <w:divBdr>
        <w:top w:val="none" w:sz="0" w:space="0" w:color="auto"/>
        <w:left w:val="none" w:sz="0" w:space="0" w:color="auto"/>
        <w:bottom w:val="none" w:sz="0" w:space="0" w:color="auto"/>
        <w:right w:val="none" w:sz="0" w:space="0" w:color="auto"/>
      </w:divBdr>
    </w:div>
    <w:div w:id="787623467">
      <w:bodyDiv w:val="1"/>
      <w:marLeft w:val="0"/>
      <w:marRight w:val="0"/>
      <w:marTop w:val="0"/>
      <w:marBottom w:val="0"/>
      <w:divBdr>
        <w:top w:val="none" w:sz="0" w:space="0" w:color="auto"/>
        <w:left w:val="none" w:sz="0" w:space="0" w:color="auto"/>
        <w:bottom w:val="none" w:sz="0" w:space="0" w:color="auto"/>
        <w:right w:val="none" w:sz="0" w:space="0" w:color="auto"/>
      </w:divBdr>
    </w:div>
    <w:div w:id="799766275">
      <w:bodyDiv w:val="1"/>
      <w:marLeft w:val="0"/>
      <w:marRight w:val="0"/>
      <w:marTop w:val="0"/>
      <w:marBottom w:val="0"/>
      <w:divBdr>
        <w:top w:val="none" w:sz="0" w:space="0" w:color="auto"/>
        <w:left w:val="none" w:sz="0" w:space="0" w:color="auto"/>
        <w:bottom w:val="none" w:sz="0" w:space="0" w:color="auto"/>
        <w:right w:val="none" w:sz="0" w:space="0" w:color="auto"/>
      </w:divBdr>
    </w:div>
    <w:div w:id="808283931">
      <w:bodyDiv w:val="1"/>
      <w:marLeft w:val="0"/>
      <w:marRight w:val="0"/>
      <w:marTop w:val="0"/>
      <w:marBottom w:val="0"/>
      <w:divBdr>
        <w:top w:val="none" w:sz="0" w:space="0" w:color="auto"/>
        <w:left w:val="none" w:sz="0" w:space="0" w:color="auto"/>
        <w:bottom w:val="none" w:sz="0" w:space="0" w:color="auto"/>
        <w:right w:val="none" w:sz="0" w:space="0" w:color="auto"/>
      </w:divBdr>
    </w:div>
    <w:div w:id="1039008941">
      <w:bodyDiv w:val="1"/>
      <w:marLeft w:val="0"/>
      <w:marRight w:val="0"/>
      <w:marTop w:val="0"/>
      <w:marBottom w:val="0"/>
      <w:divBdr>
        <w:top w:val="none" w:sz="0" w:space="0" w:color="auto"/>
        <w:left w:val="none" w:sz="0" w:space="0" w:color="auto"/>
        <w:bottom w:val="none" w:sz="0" w:space="0" w:color="auto"/>
        <w:right w:val="none" w:sz="0" w:space="0" w:color="auto"/>
      </w:divBdr>
    </w:div>
    <w:div w:id="1177228723">
      <w:bodyDiv w:val="1"/>
      <w:marLeft w:val="0"/>
      <w:marRight w:val="0"/>
      <w:marTop w:val="0"/>
      <w:marBottom w:val="0"/>
      <w:divBdr>
        <w:top w:val="none" w:sz="0" w:space="0" w:color="auto"/>
        <w:left w:val="none" w:sz="0" w:space="0" w:color="auto"/>
        <w:bottom w:val="none" w:sz="0" w:space="0" w:color="auto"/>
        <w:right w:val="none" w:sz="0" w:space="0" w:color="auto"/>
      </w:divBdr>
    </w:div>
    <w:div w:id="1186477267">
      <w:bodyDiv w:val="1"/>
      <w:marLeft w:val="0"/>
      <w:marRight w:val="0"/>
      <w:marTop w:val="0"/>
      <w:marBottom w:val="0"/>
      <w:divBdr>
        <w:top w:val="none" w:sz="0" w:space="0" w:color="auto"/>
        <w:left w:val="none" w:sz="0" w:space="0" w:color="auto"/>
        <w:bottom w:val="none" w:sz="0" w:space="0" w:color="auto"/>
        <w:right w:val="none" w:sz="0" w:space="0" w:color="auto"/>
      </w:divBdr>
    </w:div>
    <w:div w:id="1305356857">
      <w:bodyDiv w:val="1"/>
      <w:marLeft w:val="0"/>
      <w:marRight w:val="0"/>
      <w:marTop w:val="0"/>
      <w:marBottom w:val="0"/>
      <w:divBdr>
        <w:top w:val="none" w:sz="0" w:space="0" w:color="auto"/>
        <w:left w:val="none" w:sz="0" w:space="0" w:color="auto"/>
        <w:bottom w:val="none" w:sz="0" w:space="0" w:color="auto"/>
        <w:right w:val="none" w:sz="0" w:space="0" w:color="auto"/>
      </w:divBdr>
      <w:divsChild>
        <w:div w:id="1387953227">
          <w:marLeft w:val="0"/>
          <w:marRight w:val="0"/>
          <w:marTop w:val="0"/>
          <w:marBottom w:val="0"/>
          <w:divBdr>
            <w:top w:val="none" w:sz="0" w:space="0" w:color="auto"/>
            <w:left w:val="none" w:sz="0" w:space="0" w:color="auto"/>
            <w:bottom w:val="none" w:sz="0" w:space="0" w:color="auto"/>
            <w:right w:val="none" w:sz="0" w:space="0" w:color="auto"/>
          </w:divBdr>
        </w:div>
        <w:div w:id="62795133">
          <w:marLeft w:val="0"/>
          <w:marRight w:val="0"/>
          <w:marTop w:val="0"/>
          <w:marBottom w:val="0"/>
          <w:divBdr>
            <w:top w:val="none" w:sz="0" w:space="0" w:color="auto"/>
            <w:left w:val="none" w:sz="0" w:space="0" w:color="auto"/>
            <w:bottom w:val="none" w:sz="0" w:space="0" w:color="auto"/>
            <w:right w:val="none" w:sz="0" w:space="0" w:color="auto"/>
          </w:divBdr>
        </w:div>
        <w:div w:id="549733578">
          <w:marLeft w:val="0"/>
          <w:marRight w:val="0"/>
          <w:marTop w:val="0"/>
          <w:marBottom w:val="0"/>
          <w:divBdr>
            <w:top w:val="none" w:sz="0" w:space="0" w:color="auto"/>
            <w:left w:val="none" w:sz="0" w:space="0" w:color="auto"/>
            <w:bottom w:val="none" w:sz="0" w:space="0" w:color="auto"/>
            <w:right w:val="none" w:sz="0" w:space="0" w:color="auto"/>
          </w:divBdr>
        </w:div>
        <w:div w:id="354769264">
          <w:marLeft w:val="0"/>
          <w:marRight w:val="0"/>
          <w:marTop w:val="0"/>
          <w:marBottom w:val="0"/>
          <w:divBdr>
            <w:top w:val="none" w:sz="0" w:space="0" w:color="auto"/>
            <w:left w:val="none" w:sz="0" w:space="0" w:color="auto"/>
            <w:bottom w:val="none" w:sz="0" w:space="0" w:color="auto"/>
            <w:right w:val="none" w:sz="0" w:space="0" w:color="auto"/>
          </w:divBdr>
        </w:div>
      </w:divsChild>
    </w:div>
    <w:div w:id="1313564384">
      <w:bodyDiv w:val="1"/>
      <w:marLeft w:val="0"/>
      <w:marRight w:val="0"/>
      <w:marTop w:val="0"/>
      <w:marBottom w:val="0"/>
      <w:divBdr>
        <w:top w:val="none" w:sz="0" w:space="0" w:color="auto"/>
        <w:left w:val="none" w:sz="0" w:space="0" w:color="auto"/>
        <w:bottom w:val="none" w:sz="0" w:space="0" w:color="auto"/>
        <w:right w:val="none" w:sz="0" w:space="0" w:color="auto"/>
      </w:divBdr>
    </w:div>
    <w:div w:id="1434015648">
      <w:bodyDiv w:val="1"/>
      <w:marLeft w:val="0"/>
      <w:marRight w:val="0"/>
      <w:marTop w:val="0"/>
      <w:marBottom w:val="0"/>
      <w:divBdr>
        <w:top w:val="none" w:sz="0" w:space="0" w:color="auto"/>
        <w:left w:val="none" w:sz="0" w:space="0" w:color="auto"/>
        <w:bottom w:val="none" w:sz="0" w:space="0" w:color="auto"/>
        <w:right w:val="none" w:sz="0" w:space="0" w:color="auto"/>
      </w:divBdr>
    </w:div>
    <w:div w:id="1435325896">
      <w:bodyDiv w:val="1"/>
      <w:marLeft w:val="0"/>
      <w:marRight w:val="0"/>
      <w:marTop w:val="0"/>
      <w:marBottom w:val="0"/>
      <w:divBdr>
        <w:top w:val="none" w:sz="0" w:space="0" w:color="auto"/>
        <w:left w:val="none" w:sz="0" w:space="0" w:color="auto"/>
        <w:bottom w:val="none" w:sz="0" w:space="0" w:color="auto"/>
        <w:right w:val="none" w:sz="0" w:space="0" w:color="auto"/>
      </w:divBdr>
    </w:div>
    <w:div w:id="1463160030">
      <w:bodyDiv w:val="1"/>
      <w:marLeft w:val="0"/>
      <w:marRight w:val="0"/>
      <w:marTop w:val="0"/>
      <w:marBottom w:val="0"/>
      <w:divBdr>
        <w:top w:val="none" w:sz="0" w:space="0" w:color="auto"/>
        <w:left w:val="none" w:sz="0" w:space="0" w:color="auto"/>
        <w:bottom w:val="none" w:sz="0" w:space="0" w:color="auto"/>
        <w:right w:val="none" w:sz="0" w:space="0" w:color="auto"/>
      </w:divBdr>
    </w:div>
    <w:div w:id="1575506939">
      <w:bodyDiv w:val="1"/>
      <w:marLeft w:val="0"/>
      <w:marRight w:val="0"/>
      <w:marTop w:val="0"/>
      <w:marBottom w:val="0"/>
      <w:divBdr>
        <w:top w:val="none" w:sz="0" w:space="0" w:color="auto"/>
        <w:left w:val="none" w:sz="0" w:space="0" w:color="auto"/>
        <w:bottom w:val="none" w:sz="0" w:space="0" w:color="auto"/>
        <w:right w:val="none" w:sz="0" w:space="0" w:color="auto"/>
      </w:divBdr>
    </w:div>
    <w:div w:id="1646861252">
      <w:bodyDiv w:val="1"/>
      <w:marLeft w:val="0"/>
      <w:marRight w:val="0"/>
      <w:marTop w:val="0"/>
      <w:marBottom w:val="0"/>
      <w:divBdr>
        <w:top w:val="none" w:sz="0" w:space="0" w:color="auto"/>
        <w:left w:val="none" w:sz="0" w:space="0" w:color="auto"/>
        <w:bottom w:val="none" w:sz="0" w:space="0" w:color="auto"/>
        <w:right w:val="none" w:sz="0" w:space="0" w:color="auto"/>
      </w:divBdr>
    </w:div>
    <w:div w:id="1670214851">
      <w:bodyDiv w:val="1"/>
      <w:marLeft w:val="0"/>
      <w:marRight w:val="0"/>
      <w:marTop w:val="0"/>
      <w:marBottom w:val="0"/>
      <w:divBdr>
        <w:top w:val="none" w:sz="0" w:space="0" w:color="auto"/>
        <w:left w:val="none" w:sz="0" w:space="0" w:color="auto"/>
        <w:bottom w:val="none" w:sz="0" w:space="0" w:color="auto"/>
        <w:right w:val="none" w:sz="0" w:space="0" w:color="auto"/>
      </w:divBdr>
    </w:div>
    <w:div w:id="1685354746">
      <w:bodyDiv w:val="1"/>
      <w:marLeft w:val="0"/>
      <w:marRight w:val="0"/>
      <w:marTop w:val="0"/>
      <w:marBottom w:val="0"/>
      <w:divBdr>
        <w:top w:val="none" w:sz="0" w:space="0" w:color="auto"/>
        <w:left w:val="none" w:sz="0" w:space="0" w:color="auto"/>
        <w:bottom w:val="none" w:sz="0" w:space="0" w:color="auto"/>
        <w:right w:val="none" w:sz="0" w:space="0" w:color="auto"/>
      </w:divBdr>
    </w:div>
    <w:div w:id="1733842296">
      <w:bodyDiv w:val="1"/>
      <w:marLeft w:val="0"/>
      <w:marRight w:val="0"/>
      <w:marTop w:val="0"/>
      <w:marBottom w:val="0"/>
      <w:divBdr>
        <w:top w:val="none" w:sz="0" w:space="0" w:color="auto"/>
        <w:left w:val="none" w:sz="0" w:space="0" w:color="auto"/>
        <w:bottom w:val="none" w:sz="0" w:space="0" w:color="auto"/>
        <w:right w:val="none" w:sz="0" w:space="0" w:color="auto"/>
      </w:divBdr>
    </w:div>
    <w:div w:id="1753119223">
      <w:bodyDiv w:val="1"/>
      <w:marLeft w:val="0"/>
      <w:marRight w:val="0"/>
      <w:marTop w:val="0"/>
      <w:marBottom w:val="0"/>
      <w:divBdr>
        <w:top w:val="none" w:sz="0" w:space="0" w:color="auto"/>
        <w:left w:val="none" w:sz="0" w:space="0" w:color="auto"/>
        <w:bottom w:val="none" w:sz="0" w:space="0" w:color="auto"/>
        <w:right w:val="none" w:sz="0" w:space="0" w:color="auto"/>
      </w:divBdr>
    </w:div>
    <w:div w:id="1789008508">
      <w:bodyDiv w:val="1"/>
      <w:marLeft w:val="0"/>
      <w:marRight w:val="0"/>
      <w:marTop w:val="0"/>
      <w:marBottom w:val="0"/>
      <w:divBdr>
        <w:top w:val="none" w:sz="0" w:space="0" w:color="auto"/>
        <w:left w:val="none" w:sz="0" w:space="0" w:color="auto"/>
        <w:bottom w:val="none" w:sz="0" w:space="0" w:color="auto"/>
        <w:right w:val="none" w:sz="0" w:space="0" w:color="auto"/>
      </w:divBdr>
    </w:div>
    <w:div w:id="1793357358">
      <w:bodyDiv w:val="1"/>
      <w:marLeft w:val="0"/>
      <w:marRight w:val="0"/>
      <w:marTop w:val="0"/>
      <w:marBottom w:val="0"/>
      <w:divBdr>
        <w:top w:val="none" w:sz="0" w:space="0" w:color="auto"/>
        <w:left w:val="none" w:sz="0" w:space="0" w:color="auto"/>
        <w:bottom w:val="none" w:sz="0" w:space="0" w:color="auto"/>
        <w:right w:val="none" w:sz="0" w:space="0" w:color="auto"/>
      </w:divBdr>
    </w:div>
    <w:div w:id="1812018195">
      <w:bodyDiv w:val="1"/>
      <w:marLeft w:val="0"/>
      <w:marRight w:val="0"/>
      <w:marTop w:val="0"/>
      <w:marBottom w:val="0"/>
      <w:divBdr>
        <w:top w:val="none" w:sz="0" w:space="0" w:color="auto"/>
        <w:left w:val="none" w:sz="0" w:space="0" w:color="auto"/>
        <w:bottom w:val="none" w:sz="0" w:space="0" w:color="auto"/>
        <w:right w:val="none" w:sz="0" w:space="0" w:color="auto"/>
      </w:divBdr>
    </w:div>
    <w:div w:id="1828132714">
      <w:bodyDiv w:val="1"/>
      <w:marLeft w:val="0"/>
      <w:marRight w:val="0"/>
      <w:marTop w:val="0"/>
      <w:marBottom w:val="0"/>
      <w:divBdr>
        <w:top w:val="none" w:sz="0" w:space="0" w:color="auto"/>
        <w:left w:val="none" w:sz="0" w:space="0" w:color="auto"/>
        <w:bottom w:val="none" w:sz="0" w:space="0" w:color="auto"/>
        <w:right w:val="none" w:sz="0" w:space="0" w:color="auto"/>
      </w:divBdr>
    </w:div>
    <w:div w:id="1840389046">
      <w:bodyDiv w:val="1"/>
      <w:marLeft w:val="0"/>
      <w:marRight w:val="0"/>
      <w:marTop w:val="0"/>
      <w:marBottom w:val="0"/>
      <w:divBdr>
        <w:top w:val="none" w:sz="0" w:space="0" w:color="auto"/>
        <w:left w:val="none" w:sz="0" w:space="0" w:color="auto"/>
        <w:bottom w:val="none" w:sz="0" w:space="0" w:color="auto"/>
        <w:right w:val="none" w:sz="0" w:space="0" w:color="auto"/>
      </w:divBdr>
    </w:div>
    <w:div w:id="1844314942">
      <w:bodyDiv w:val="1"/>
      <w:marLeft w:val="0"/>
      <w:marRight w:val="0"/>
      <w:marTop w:val="0"/>
      <w:marBottom w:val="0"/>
      <w:divBdr>
        <w:top w:val="none" w:sz="0" w:space="0" w:color="auto"/>
        <w:left w:val="none" w:sz="0" w:space="0" w:color="auto"/>
        <w:bottom w:val="none" w:sz="0" w:space="0" w:color="auto"/>
        <w:right w:val="none" w:sz="0" w:space="0" w:color="auto"/>
      </w:divBdr>
    </w:div>
    <w:div w:id="1870071366">
      <w:bodyDiv w:val="1"/>
      <w:marLeft w:val="0"/>
      <w:marRight w:val="0"/>
      <w:marTop w:val="0"/>
      <w:marBottom w:val="0"/>
      <w:divBdr>
        <w:top w:val="none" w:sz="0" w:space="0" w:color="auto"/>
        <w:left w:val="none" w:sz="0" w:space="0" w:color="auto"/>
        <w:bottom w:val="none" w:sz="0" w:space="0" w:color="auto"/>
        <w:right w:val="none" w:sz="0" w:space="0" w:color="auto"/>
      </w:divBdr>
    </w:div>
    <w:div w:id="1884711905">
      <w:bodyDiv w:val="1"/>
      <w:marLeft w:val="0"/>
      <w:marRight w:val="0"/>
      <w:marTop w:val="0"/>
      <w:marBottom w:val="0"/>
      <w:divBdr>
        <w:top w:val="none" w:sz="0" w:space="0" w:color="auto"/>
        <w:left w:val="none" w:sz="0" w:space="0" w:color="auto"/>
        <w:bottom w:val="none" w:sz="0" w:space="0" w:color="auto"/>
        <w:right w:val="none" w:sz="0" w:space="0" w:color="auto"/>
      </w:divBdr>
    </w:div>
    <w:div w:id="1924335349">
      <w:bodyDiv w:val="1"/>
      <w:marLeft w:val="0"/>
      <w:marRight w:val="0"/>
      <w:marTop w:val="0"/>
      <w:marBottom w:val="0"/>
      <w:divBdr>
        <w:top w:val="none" w:sz="0" w:space="0" w:color="auto"/>
        <w:left w:val="none" w:sz="0" w:space="0" w:color="auto"/>
        <w:bottom w:val="none" w:sz="0" w:space="0" w:color="auto"/>
        <w:right w:val="none" w:sz="0" w:space="0" w:color="auto"/>
      </w:divBdr>
    </w:div>
    <w:div w:id="1938980289">
      <w:bodyDiv w:val="1"/>
      <w:marLeft w:val="0"/>
      <w:marRight w:val="0"/>
      <w:marTop w:val="0"/>
      <w:marBottom w:val="0"/>
      <w:divBdr>
        <w:top w:val="none" w:sz="0" w:space="0" w:color="auto"/>
        <w:left w:val="none" w:sz="0" w:space="0" w:color="auto"/>
        <w:bottom w:val="none" w:sz="0" w:space="0" w:color="auto"/>
        <w:right w:val="none" w:sz="0" w:space="0" w:color="auto"/>
      </w:divBdr>
    </w:div>
    <w:div w:id="1958830283">
      <w:bodyDiv w:val="1"/>
      <w:marLeft w:val="0"/>
      <w:marRight w:val="0"/>
      <w:marTop w:val="0"/>
      <w:marBottom w:val="0"/>
      <w:divBdr>
        <w:top w:val="none" w:sz="0" w:space="0" w:color="auto"/>
        <w:left w:val="none" w:sz="0" w:space="0" w:color="auto"/>
        <w:bottom w:val="none" w:sz="0" w:space="0" w:color="auto"/>
        <w:right w:val="none" w:sz="0" w:space="0" w:color="auto"/>
      </w:divBdr>
    </w:div>
    <w:div w:id="1998146394">
      <w:bodyDiv w:val="1"/>
      <w:marLeft w:val="0"/>
      <w:marRight w:val="0"/>
      <w:marTop w:val="0"/>
      <w:marBottom w:val="0"/>
      <w:divBdr>
        <w:top w:val="none" w:sz="0" w:space="0" w:color="auto"/>
        <w:left w:val="none" w:sz="0" w:space="0" w:color="auto"/>
        <w:bottom w:val="none" w:sz="0" w:space="0" w:color="auto"/>
        <w:right w:val="none" w:sz="0" w:space="0" w:color="auto"/>
      </w:divBdr>
    </w:div>
    <w:div w:id="2014990449">
      <w:bodyDiv w:val="1"/>
      <w:marLeft w:val="0"/>
      <w:marRight w:val="0"/>
      <w:marTop w:val="0"/>
      <w:marBottom w:val="0"/>
      <w:divBdr>
        <w:top w:val="none" w:sz="0" w:space="0" w:color="auto"/>
        <w:left w:val="none" w:sz="0" w:space="0" w:color="auto"/>
        <w:bottom w:val="none" w:sz="0" w:space="0" w:color="auto"/>
        <w:right w:val="none" w:sz="0" w:space="0" w:color="auto"/>
      </w:divBdr>
    </w:div>
    <w:div w:id="202978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tog.org/Portals/0/RTOG%20Broadcasts/Attachments/1112_master_w_update_5.7.13.pdf"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tep.cancer.gov/protocolDevelopment/electronic_applications/docs/CTCAE_v5_Quick_Reference_8.5x11.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492A08C-FD66-4DF6-99C8-F60D2749E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15691</Words>
  <Characters>89441</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 Au</dc:creator>
  <cp:keywords/>
  <dc:description/>
  <cp:lastModifiedBy>Liansheng Ma</cp:lastModifiedBy>
  <cp:revision>2</cp:revision>
  <dcterms:created xsi:type="dcterms:W3CDTF">2020-05-18T17:01:00Z</dcterms:created>
  <dcterms:modified xsi:type="dcterms:W3CDTF">2020-05-18T17:01:00Z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65902618-9472-3c63-ad4b-4e45582f3ac9</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