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19B8314" w14:textId="77777777" w:rsidR="00680D85" w:rsidRDefault="00BD58DD">
      <w:pPr>
        <w:snapToGrid w:val="0"/>
        <w:spacing w:line="360" w:lineRule="auto"/>
        <w:rPr>
          <w:rFonts w:ascii="Book Antiqua" w:hAnsi="Book Antiqua"/>
          <w:b/>
          <w:bCs/>
          <w:color w:val="000000"/>
          <w:kern w:val="44"/>
          <w:sz w:val="20"/>
          <w:szCs w:val="20"/>
        </w:rPr>
      </w:pPr>
      <w:r>
        <w:rPr>
          <w:rFonts w:ascii="Book Antiqua" w:hAnsi="Book Antiqua"/>
          <w:b/>
          <w:bCs/>
          <w:color w:val="000000"/>
          <w:kern w:val="44"/>
          <w:sz w:val="20"/>
          <w:szCs w:val="20"/>
        </w:rPr>
        <w:t xml:space="preserve">Name of Journal: </w:t>
      </w:r>
      <w:r>
        <w:rPr>
          <w:rFonts w:ascii="Book Antiqua" w:hAnsi="Book Antiqua"/>
          <w:bCs/>
          <w:i/>
          <w:color w:val="000000"/>
          <w:kern w:val="44"/>
          <w:sz w:val="20"/>
          <w:szCs w:val="20"/>
        </w:rPr>
        <w:t>World Journal of Clinical Cases</w:t>
      </w:r>
    </w:p>
    <w:p w14:paraId="560087C8" w14:textId="77777777" w:rsidR="00680D85" w:rsidRDefault="00BD58DD">
      <w:pPr>
        <w:snapToGrid w:val="0"/>
        <w:spacing w:line="360" w:lineRule="auto"/>
        <w:rPr>
          <w:rFonts w:ascii="Book Antiqua" w:hAnsi="Book Antiqua"/>
          <w:bCs/>
          <w:color w:val="000000"/>
          <w:kern w:val="44"/>
          <w:sz w:val="20"/>
          <w:szCs w:val="20"/>
        </w:rPr>
      </w:pPr>
      <w:r>
        <w:rPr>
          <w:rFonts w:ascii="Book Antiqua" w:hAnsi="Book Antiqua"/>
          <w:b/>
          <w:bCs/>
          <w:color w:val="000000"/>
          <w:kern w:val="44"/>
          <w:sz w:val="20"/>
          <w:szCs w:val="20"/>
        </w:rPr>
        <w:t xml:space="preserve">Manuscript NO: </w:t>
      </w:r>
      <w:r>
        <w:rPr>
          <w:rFonts w:ascii="Book Antiqua" w:hAnsi="Book Antiqua"/>
          <w:bCs/>
          <w:color w:val="000000"/>
          <w:kern w:val="44"/>
          <w:sz w:val="20"/>
          <w:szCs w:val="20"/>
        </w:rPr>
        <w:t>52924</w:t>
      </w:r>
    </w:p>
    <w:p w14:paraId="6D65E49C" w14:textId="77777777" w:rsidR="00680D85" w:rsidRDefault="00BD58DD">
      <w:pPr>
        <w:snapToGrid w:val="0"/>
        <w:spacing w:line="360" w:lineRule="auto"/>
        <w:rPr>
          <w:rFonts w:ascii="Book Antiqua" w:hAnsi="Book Antiqua"/>
          <w:bCs/>
          <w:color w:val="000000"/>
          <w:kern w:val="44"/>
          <w:sz w:val="20"/>
          <w:szCs w:val="20"/>
        </w:rPr>
      </w:pPr>
      <w:r>
        <w:rPr>
          <w:rFonts w:ascii="Book Antiqua" w:hAnsi="Book Antiqua"/>
          <w:b/>
          <w:bCs/>
          <w:color w:val="000000"/>
          <w:kern w:val="44"/>
          <w:sz w:val="20"/>
          <w:szCs w:val="20"/>
        </w:rPr>
        <w:t>Manuscript Type:</w:t>
      </w:r>
      <w:r>
        <w:rPr>
          <w:rFonts w:ascii="Book Antiqua" w:hAnsi="Book Antiqua"/>
          <w:bCs/>
          <w:color w:val="000000"/>
          <w:kern w:val="44"/>
          <w:sz w:val="20"/>
          <w:szCs w:val="20"/>
        </w:rPr>
        <w:t xml:space="preserve"> CASE REPORT</w:t>
      </w:r>
    </w:p>
    <w:p w14:paraId="79003685" w14:textId="77777777" w:rsidR="00680D85" w:rsidRDefault="00680D85">
      <w:pPr>
        <w:snapToGrid w:val="0"/>
        <w:spacing w:line="360" w:lineRule="auto"/>
        <w:rPr>
          <w:rFonts w:ascii="Book Antiqua" w:hAnsi="Book Antiqua"/>
          <w:bCs/>
          <w:color w:val="000000"/>
          <w:kern w:val="44"/>
          <w:sz w:val="20"/>
          <w:szCs w:val="20"/>
        </w:rPr>
      </w:pPr>
    </w:p>
    <w:p w14:paraId="18388448" w14:textId="77777777" w:rsidR="00680D85" w:rsidRDefault="00BD58DD">
      <w:pPr>
        <w:snapToGrid w:val="0"/>
        <w:spacing w:line="360" w:lineRule="auto"/>
        <w:rPr>
          <w:rFonts w:ascii="Book Antiqua" w:hAnsi="Book Antiqua"/>
          <w:bCs/>
          <w:color w:val="000000"/>
          <w:kern w:val="44"/>
          <w:sz w:val="20"/>
          <w:szCs w:val="20"/>
        </w:rPr>
      </w:pPr>
      <w:r>
        <w:rPr>
          <w:rFonts w:ascii="Book Antiqua" w:hAnsi="Book Antiqua"/>
          <w:b/>
          <w:bCs/>
          <w:color w:val="000000"/>
          <w:kern w:val="44"/>
          <w:sz w:val="20"/>
          <w:szCs w:val="20"/>
        </w:rPr>
        <w:t xml:space="preserve">Hyoid-complex elevation and stimulation technique restores swallowing function in patients with </w:t>
      </w:r>
      <w:r>
        <w:rPr>
          <w:rFonts w:ascii="Book Antiqua" w:hAnsi="Book Antiqua"/>
          <w:b/>
          <w:bCs/>
          <w:iCs/>
          <w:color w:val="000000"/>
          <w:kern w:val="44"/>
          <w:sz w:val="20"/>
          <w:szCs w:val="20"/>
        </w:rPr>
        <w:t>lateral medullary syndrome:</w:t>
      </w:r>
      <w:r>
        <w:rPr>
          <w:rFonts w:ascii="Book Antiqua" w:hAnsi="Book Antiqua"/>
          <w:b/>
          <w:bCs/>
          <w:color w:val="000000"/>
          <w:kern w:val="44"/>
          <w:sz w:val="20"/>
          <w:szCs w:val="20"/>
        </w:rPr>
        <w:t xml:space="preserve"> Two case reports</w:t>
      </w:r>
    </w:p>
    <w:p w14:paraId="4B376A4A" w14:textId="77777777" w:rsidR="00680D85" w:rsidRDefault="00680D85">
      <w:pPr>
        <w:snapToGrid w:val="0"/>
        <w:spacing w:line="360" w:lineRule="auto"/>
        <w:rPr>
          <w:rFonts w:ascii="Book Antiqua" w:hAnsi="Book Antiqua"/>
          <w:bCs/>
          <w:color w:val="000000"/>
          <w:kern w:val="44"/>
          <w:sz w:val="20"/>
          <w:szCs w:val="20"/>
        </w:rPr>
      </w:pPr>
    </w:p>
    <w:p w14:paraId="27F57233" w14:textId="77777777" w:rsidR="00680D85" w:rsidRDefault="00BD58DD">
      <w:pPr>
        <w:snapToGrid w:val="0"/>
        <w:spacing w:line="360" w:lineRule="auto"/>
        <w:rPr>
          <w:rFonts w:ascii="Book Antiqua" w:hAnsi="Book Antiqua"/>
          <w:bCs/>
          <w:color w:val="000000"/>
          <w:kern w:val="44"/>
          <w:sz w:val="20"/>
          <w:szCs w:val="20"/>
        </w:rPr>
      </w:pPr>
      <w:r>
        <w:rPr>
          <w:rFonts w:ascii="Book Antiqua" w:hAnsi="Book Antiqua"/>
          <w:color w:val="000000"/>
          <w:sz w:val="20"/>
          <w:szCs w:val="20"/>
        </w:rPr>
        <w:t xml:space="preserve">Jiang YE </w:t>
      </w:r>
      <w:r>
        <w:rPr>
          <w:rFonts w:ascii="Book Antiqua" w:hAnsi="Book Antiqua"/>
          <w:i/>
          <w:color w:val="000000"/>
          <w:sz w:val="20"/>
          <w:szCs w:val="20"/>
        </w:rPr>
        <w:t>et al</w:t>
      </w:r>
      <w:r>
        <w:rPr>
          <w:rFonts w:ascii="Book Antiqua" w:hAnsi="Book Antiqua"/>
          <w:color w:val="000000"/>
          <w:sz w:val="20"/>
          <w:szCs w:val="20"/>
        </w:rPr>
        <w:t xml:space="preserve">. </w:t>
      </w:r>
      <w:r>
        <w:rPr>
          <w:rFonts w:ascii="Book Antiqua" w:hAnsi="Book Antiqua"/>
          <w:bCs/>
          <w:color w:val="000000"/>
          <w:kern w:val="44"/>
          <w:sz w:val="20"/>
          <w:szCs w:val="20"/>
        </w:rPr>
        <w:t>HEST restores swallowing function in LMS</w:t>
      </w:r>
    </w:p>
    <w:p w14:paraId="0E2AD5CA" w14:textId="77777777" w:rsidR="00680D85" w:rsidRDefault="00680D85">
      <w:pPr>
        <w:snapToGrid w:val="0"/>
        <w:spacing w:line="360" w:lineRule="auto"/>
        <w:rPr>
          <w:rFonts w:ascii="Book Antiqua" w:hAnsi="Book Antiqua"/>
          <w:bCs/>
          <w:color w:val="000000"/>
          <w:kern w:val="44"/>
          <w:sz w:val="20"/>
          <w:szCs w:val="20"/>
        </w:rPr>
      </w:pPr>
    </w:p>
    <w:p w14:paraId="02FDCFCC" w14:textId="5E8D8597" w:rsidR="00680D85" w:rsidRDefault="00BD58DD">
      <w:pPr>
        <w:snapToGrid w:val="0"/>
        <w:spacing w:line="360" w:lineRule="auto"/>
        <w:rPr>
          <w:rFonts w:ascii="Book Antiqua" w:hAnsi="Book Antiqua" w:hint="eastAsia"/>
          <w:bCs/>
          <w:color w:val="000000"/>
          <w:kern w:val="44"/>
          <w:sz w:val="20"/>
          <w:szCs w:val="20"/>
        </w:rPr>
      </w:pPr>
      <w:r>
        <w:rPr>
          <w:rFonts w:ascii="Book Antiqua" w:hAnsi="Book Antiqua"/>
          <w:color w:val="000000"/>
          <w:sz w:val="20"/>
          <w:szCs w:val="20"/>
        </w:rPr>
        <w:t>Yu-Er Jiang, Qian-Qian Lyu, Feng Lin, Xue-Ting You, Zhong-Li Jiang</w:t>
      </w:r>
    </w:p>
    <w:p w14:paraId="288D623C" w14:textId="5288FE85" w:rsidR="00680D85" w:rsidRDefault="00BD58DD">
      <w:pPr>
        <w:snapToGrid w:val="0"/>
        <w:spacing w:line="360" w:lineRule="auto"/>
        <w:rPr>
          <w:rFonts w:ascii="Book Antiqua" w:hAnsi="Book Antiqua"/>
          <w:bCs/>
          <w:color w:val="000000"/>
          <w:kern w:val="44"/>
          <w:sz w:val="20"/>
          <w:szCs w:val="20"/>
        </w:rPr>
      </w:pPr>
      <w:r>
        <w:rPr>
          <w:rFonts w:ascii="Book Antiqua" w:hAnsi="Book Antiqua"/>
          <w:b/>
          <w:color w:val="000000"/>
          <w:sz w:val="20"/>
          <w:szCs w:val="20"/>
        </w:rPr>
        <w:t xml:space="preserve">Yu-Er Jiang, Qian-Qian Lyu, Feng Lin, Xue-Ting You, Zhong-Li Jiang, </w:t>
      </w:r>
      <w:r>
        <w:rPr>
          <w:rFonts w:ascii="Book Antiqua" w:hAnsi="Book Antiqua"/>
          <w:color w:val="000000"/>
          <w:sz w:val="20"/>
          <w:szCs w:val="20"/>
        </w:rPr>
        <w:t>Department of Rehabilitation Medicine, Sir Run Run Hospital, Nanjing Medical University, Nanjing 211100, Jiangsu Province, China</w:t>
      </w:r>
    </w:p>
    <w:p w14:paraId="52FE6B6B" w14:textId="77777777" w:rsidR="00680D85" w:rsidRDefault="00680D85">
      <w:pPr>
        <w:snapToGrid w:val="0"/>
        <w:spacing w:line="360" w:lineRule="auto"/>
        <w:rPr>
          <w:rFonts w:ascii="Book Antiqua" w:hAnsi="Book Antiqua"/>
          <w:bCs/>
          <w:color w:val="000000"/>
          <w:kern w:val="44"/>
          <w:sz w:val="20"/>
          <w:szCs w:val="20"/>
        </w:rPr>
      </w:pPr>
    </w:p>
    <w:p w14:paraId="6F04FA1D" w14:textId="77777777" w:rsidR="00A87F64" w:rsidRDefault="00A87F64" w:rsidP="00A87F64">
      <w:pPr>
        <w:snapToGrid w:val="0"/>
        <w:spacing w:line="360" w:lineRule="auto"/>
        <w:rPr>
          <w:rFonts w:ascii="Book Antiqua" w:hAnsi="Book Antiqua"/>
          <w:bCs/>
          <w:color w:val="000000"/>
          <w:kern w:val="44"/>
          <w:sz w:val="20"/>
          <w:szCs w:val="20"/>
        </w:rPr>
      </w:pPr>
      <w:r>
        <w:rPr>
          <w:rFonts w:ascii="Book Antiqua" w:hAnsi="Book Antiqua"/>
          <w:b/>
          <w:color w:val="000000"/>
          <w:sz w:val="20"/>
          <w:szCs w:val="20"/>
        </w:rPr>
        <w:t xml:space="preserve">Yu-Er Jiang, Qian-Qian Lyu, Feng Lin, Xue-Ting You, Zhong-Li Jiang, </w:t>
      </w:r>
      <w:r>
        <w:rPr>
          <w:rFonts w:ascii="Book Antiqua" w:hAnsi="Book Antiqua"/>
          <w:color w:val="000000"/>
          <w:sz w:val="20"/>
          <w:szCs w:val="20"/>
        </w:rPr>
        <w:t>Department of Rehabilitation Medicine, The First Affiliated Hospital of Nanjing Medical University, Nanjing 210029, Jiangsu Province, China</w:t>
      </w:r>
    </w:p>
    <w:p w14:paraId="2CFC26C5" w14:textId="77777777" w:rsidR="00A87F64" w:rsidRDefault="00A87F64" w:rsidP="00A87F64">
      <w:pPr>
        <w:snapToGrid w:val="0"/>
        <w:spacing w:line="360" w:lineRule="auto"/>
        <w:rPr>
          <w:rFonts w:ascii="Book Antiqua" w:hAnsi="Book Antiqua"/>
          <w:bCs/>
          <w:color w:val="000000"/>
          <w:kern w:val="44"/>
          <w:sz w:val="20"/>
          <w:szCs w:val="20"/>
        </w:rPr>
      </w:pPr>
    </w:p>
    <w:p w14:paraId="056BB6A0" w14:textId="3F6F588D" w:rsidR="00680D85" w:rsidRDefault="00BD58DD">
      <w:pPr>
        <w:snapToGrid w:val="0"/>
        <w:spacing w:line="360" w:lineRule="auto"/>
        <w:rPr>
          <w:rFonts w:ascii="Book Antiqua" w:hAnsi="Book Antiqua"/>
          <w:bCs/>
          <w:color w:val="000000"/>
          <w:kern w:val="44"/>
          <w:sz w:val="20"/>
          <w:szCs w:val="20"/>
        </w:rPr>
      </w:pPr>
      <w:r>
        <w:rPr>
          <w:rFonts w:ascii="Book Antiqua" w:hAnsi="Book Antiqua"/>
          <w:b/>
          <w:bCs/>
          <w:color w:val="000000"/>
          <w:sz w:val="20"/>
          <w:szCs w:val="20"/>
        </w:rPr>
        <w:t>Author contributions:</w:t>
      </w:r>
      <w:r>
        <w:rPr>
          <w:rFonts w:ascii="Book Antiqua" w:hAnsi="Book Antiqua"/>
          <w:color w:val="000000"/>
          <w:sz w:val="20"/>
          <w:szCs w:val="20"/>
        </w:rPr>
        <w:t xml:space="preserve"> Jiang YE performed the swallowing treatment for the two patients, reviewed the literature, and drafted the manuscript; Lyu QQ was the bedside clinician of Case 1 and contributed to manuscript drafting; You XT was the bedside clinician of Case 2 and contributed to manuscript drafting; Lin F and Jiang ZL were the proposers of the technique and responsible for the manuscript.</w:t>
      </w:r>
    </w:p>
    <w:p w14:paraId="1049C7EF" w14:textId="77777777" w:rsidR="00680D85" w:rsidRDefault="00680D85">
      <w:pPr>
        <w:snapToGrid w:val="0"/>
        <w:spacing w:line="360" w:lineRule="auto"/>
        <w:rPr>
          <w:rFonts w:ascii="Book Antiqua" w:hAnsi="Book Antiqua"/>
          <w:bCs/>
          <w:color w:val="000000"/>
          <w:kern w:val="44"/>
          <w:sz w:val="20"/>
          <w:szCs w:val="20"/>
        </w:rPr>
      </w:pPr>
    </w:p>
    <w:p w14:paraId="7987CAF3" w14:textId="77777777" w:rsidR="00680D85" w:rsidRDefault="00BD58DD">
      <w:pPr>
        <w:snapToGrid w:val="0"/>
        <w:spacing w:line="360" w:lineRule="auto"/>
        <w:rPr>
          <w:rFonts w:ascii="Book Antiqua" w:hAnsi="Book Antiqua"/>
          <w:bCs/>
          <w:color w:val="000000"/>
          <w:kern w:val="44"/>
          <w:sz w:val="20"/>
          <w:szCs w:val="20"/>
        </w:rPr>
      </w:pPr>
      <w:r>
        <w:rPr>
          <w:rFonts w:ascii="Book Antiqua" w:hAnsi="Book Antiqua"/>
          <w:b/>
          <w:color w:val="000000"/>
          <w:sz w:val="20"/>
          <w:szCs w:val="20"/>
        </w:rPr>
        <w:t>Corresponding author: Zhong-Li Jiang, MD, PhD, Director, Doctor, Full Professor, Postdoc,</w:t>
      </w:r>
      <w:r>
        <w:rPr>
          <w:rFonts w:ascii="Book Antiqua" w:hAnsi="Book Antiqua"/>
          <w:color w:val="000000"/>
          <w:sz w:val="20"/>
          <w:szCs w:val="20"/>
        </w:rPr>
        <w:t xml:space="preserve"> Department of Rehabilitation Medicine, Sir Run Run Hospital, Nanjing Medical University, 109 Longmian Avenue, Nanjing 211100, Jiangsu Province, China. jiangzhongli@njmu.edu.cn</w:t>
      </w:r>
    </w:p>
    <w:p w14:paraId="6981D625" w14:textId="77777777" w:rsidR="00680D85" w:rsidRDefault="00680D85">
      <w:pPr>
        <w:snapToGrid w:val="0"/>
        <w:spacing w:line="360" w:lineRule="auto"/>
        <w:rPr>
          <w:rFonts w:ascii="Book Antiqua" w:hAnsi="Book Antiqua"/>
          <w:bCs/>
          <w:color w:val="000000"/>
          <w:kern w:val="44"/>
          <w:sz w:val="20"/>
          <w:szCs w:val="20"/>
        </w:rPr>
      </w:pPr>
    </w:p>
    <w:p w14:paraId="35012BAC" w14:textId="77777777" w:rsidR="00680D85" w:rsidRDefault="00BD58DD">
      <w:pPr>
        <w:snapToGrid w:val="0"/>
        <w:spacing w:line="360" w:lineRule="auto"/>
        <w:rPr>
          <w:rFonts w:ascii="Book Antiqua" w:hAnsi="Book Antiqua"/>
          <w:bCs/>
          <w:color w:val="000000"/>
          <w:kern w:val="44"/>
          <w:sz w:val="20"/>
          <w:szCs w:val="20"/>
        </w:rPr>
      </w:pPr>
      <w:r>
        <w:rPr>
          <w:rFonts w:ascii="Book Antiqua" w:hAnsi="Book Antiqua"/>
          <w:b/>
          <w:color w:val="000000"/>
          <w:sz w:val="20"/>
          <w:szCs w:val="20"/>
        </w:rPr>
        <w:t xml:space="preserve">Received: </w:t>
      </w:r>
      <w:r>
        <w:rPr>
          <w:rFonts w:ascii="Book Antiqua" w:hAnsi="Book Antiqua"/>
          <w:color w:val="000000"/>
          <w:sz w:val="20"/>
          <w:szCs w:val="20"/>
        </w:rPr>
        <w:t>November 25, 2019</w:t>
      </w:r>
    </w:p>
    <w:p w14:paraId="08F54459" w14:textId="77777777" w:rsidR="00680D85" w:rsidRDefault="00BD58DD">
      <w:pPr>
        <w:snapToGrid w:val="0"/>
        <w:spacing w:line="360" w:lineRule="auto"/>
        <w:rPr>
          <w:rFonts w:ascii="Book Antiqua" w:hAnsi="Book Antiqua"/>
          <w:color w:val="000000"/>
          <w:sz w:val="20"/>
          <w:szCs w:val="20"/>
        </w:rPr>
      </w:pPr>
      <w:r>
        <w:rPr>
          <w:rFonts w:ascii="Book Antiqua" w:hAnsi="Book Antiqua"/>
          <w:b/>
          <w:color w:val="000000"/>
          <w:sz w:val="20"/>
          <w:szCs w:val="20"/>
        </w:rPr>
        <w:t>Revised:</w:t>
      </w:r>
      <w:r>
        <w:rPr>
          <w:rFonts w:ascii="Book Antiqua" w:hAnsi="Book Antiqua"/>
          <w:color w:val="000000"/>
          <w:sz w:val="20"/>
          <w:szCs w:val="20"/>
        </w:rPr>
        <w:t xml:space="preserve"> February 24, 2020</w:t>
      </w:r>
    </w:p>
    <w:p w14:paraId="444BBC29" w14:textId="77777777" w:rsidR="00680D85" w:rsidRDefault="00BD58DD">
      <w:pPr>
        <w:snapToGrid w:val="0"/>
        <w:spacing w:line="360" w:lineRule="auto"/>
        <w:rPr>
          <w:rFonts w:ascii="Book Antiqua" w:hAnsi="Book Antiqua"/>
          <w:b/>
          <w:color w:val="000000"/>
          <w:sz w:val="20"/>
          <w:szCs w:val="20"/>
        </w:rPr>
      </w:pPr>
      <w:r>
        <w:rPr>
          <w:rFonts w:ascii="Book Antiqua" w:hAnsi="Book Antiqua"/>
          <w:b/>
          <w:color w:val="000000"/>
          <w:sz w:val="20"/>
          <w:szCs w:val="20"/>
        </w:rPr>
        <w:t>Accepted:</w:t>
      </w:r>
      <w:r>
        <w:rPr>
          <w:rFonts w:ascii="Book Antiqua" w:hAnsi="Book Antiqua"/>
          <w:b/>
          <w:color w:val="000000" w:themeColor="text1"/>
          <w:kern w:val="0"/>
          <w:sz w:val="20"/>
          <w:szCs w:val="20"/>
        </w:rPr>
        <w:t xml:space="preserve"> </w:t>
      </w:r>
      <w:r>
        <w:rPr>
          <w:rFonts w:ascii="Book Antiqua" w:hAnsi="Book Antiqua"/>
          <w:bCs/>
          <w:color w:val="000000" w:themeColor="text1"/>
          <w:kern w:val="0"/>
          <w:sz w:val="20"/>
          <w:szCs w:val="20"/>
        </w:rPr>
        <w:t>March 5, 2020</w:t>
      </w:r>
      <w:r>
        <w:rPr>
          <w:rFonts w:ascii="Book Antiqua" w:hAnsi="Book Antiqua"/>
          <w:bCs/>
          <w:color w:val="000000"/>
          <w:sz w:val="20"/>
          <w:szCs w:val="20"/>
        </w:rPr>
        <w:t xml:space="preserve"> </w:t>
      </w:r>
    </w:p>
    <w:p w14:paraId="287E42B8" w14:textId="77777777" w:rsidR="00680D85" w:rsidRDefault="00BD58DD">
      <w:pPr>
        <w:snapToGrid w:val="0"/>
        <w:spacing w:line="360" w:lineRule="auto"/>
        <w:rPr>
          <w:rFonts w:ascii="Book Antiqua" w:hAnsi="Book Antiqua"/>
          <w:b/>
          <w:color w:val="000000"/>
          <w:sz w:val="20"/>
          <w:szCs w:val="20"/>
        </w:rPr>
      </w:pPr>
      <w:r>
        <w:rPr>
          <w:rFonts w:ascii="Book Antiqua" w:hAnsi="Book Antiqua"/>
          <w:b/>
          <w:color w:val="000000"/>
          <w:sz w:val="20"/>
          <w:szCs w:val="20"/>
        </w:rPr>
        <w:t xml:space="preserve">Published online: </w:t>
      </w:r>
    </w:p>
    <w:p w14:paraId="0ED24DCF" w14:textId="77777777" w:rsidR="00680D85" w:rsidRDefault="00BD58DD">
      <w:pPr>
        <w:snapToGrid w:val="0"/>
        <w:spacing w:line="360" w:lineRule="auto"/>
        <w:rPr>
          <w:rFonts w:ascii="Book Antiqua" w:eastAsia="DengXian" w:hAnsi="Book Antiqua"/>
          <w:b/>
          <w:color w:val="000000"/>
          <w:sz w:val="20"/>
          <w:szCs w:val="20"/>
        </w:rPr>
      </w:pPr>
      <w:r>
        <w:rPr>
          <w:rFonts w:ascii="Book Antiqua" w:hAnsi="Book Antiqua"/>
          <w:color w:val="000000"/>
          <w:sz w:val="20"/>
          <w:szCs w:val="20"/>
        </w:rPr>
        <w:br w:type="page"/>
      </w:r>
      <w:r>
        <w:rPr>
          <w:rFonts w:ascii="Book Antiqua" w:eastAsia="DengXian" w:hAnsi="Book Antiqua"/>
          <w:b/>
          <w:color w:val="000000"/>
          <w:sz w:val="20"/>
          <w:szCs w:val="20"/>
        </w:rPr>
        <w:lastRenderedPageBreak/>
        <w:t>Abstract</w:t>
      </w:r>
    </w:p>
    <w:p w14:paraId="34FFC42F" w14:textId="77777777"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BACKGROUND</w:t>
      </w:r>
    </w:p>
    <w:p w14:paraId="53160B93" w14:textId="71AB77F6"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 xml:space="preserve">A swallowing disorder may occur following a brainstem stroke, especially one that occurs in the swallowing centers. </w:t>
      </w:r>
      <w:r>
        <w:rPr>
          <w:rFonts w:ascii="Book Antiqua" w:eastAsia="DengXian" w:hAnsi="Book Antiqua"/>
          <w:color w:val="000000"/>
          <w:sz w:val="20"/>
          <w:szCs w:val="20"/>
        </w:rPr>
        <w:t>L</w:t>
      </w:r>
      <w:r>
        <w:rPr>
          <w:rFonts w:ascii="Book Antiqua" w:hAnsi="Book Antiqua"/>
          <w:color w:val="000000"/>
          <w:sz w:val="20"/>
          <w:szCs w:val="20"/>
        </w:rPr>
        <w:t>ateral medullary syndrome (referred to as LMS), a rare condition in which a vascular event occurs in the territory of the posterior inferior cerebellar artery or the vertebral artery, has been reported to lead to more severe and longer lasting dysphagia.</w:t>
      </w:r>
    </w:p>
    <w:p w14:paraId="0FC6F1B4" w14:textId="77777777" w:rsidR="00680D85" w:rsidRDefault="00680D85">
      <w:pPr>
        <w:snapToGrid w:val="0"/>
        <w:spacing w:line="360" w:lineRule="auto"/>
        <w:rPr>
          <w:rFonts w:ascii="Book Antiqua" w:hAnsi="Book Antiqua"/>
          <w:color w:val="000000"/>
          <w:sz w:val="20"/>
          <w:szCs w:val="20"/>
        </w:rPr>
      </w:pPr>
    </w:p>
    <w:p w14:paraId="5E333E10" w14:textId="77777777"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 xml:space="preserve">CASE SUMMARY </w:t>
      </w:r>
    </w:p>
    <w:p w14:paraId="6EE0C413" w14:textId="77777777"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 xml:space="preserve">We report two patients with dysphagia due to </w:t>
      </w:r>
      <w:r>
        <w:rPr>
          <w:rFonts w:ascii="Book Antiqua" w:eastAsia="DengXian" w:hAnsi="Book Antiqua"/>
          <w:color w:val="000000"/>
          <w:sz w:val="20"/>
          <w:szCs w:val="20"/>
        </w:rPr>
        <w:t>LMS</w:t>
      </w:r>
      <w:r>
        <w:rPr>
          <w:rFonts w:ascii="Book Antiqua" w:hAnsi="Book Antiqua"/>
          <w:color w:val="000000"/>
          <w:sz w:val="20"/>
          <w:szCs w:val="20"/>
        </w:rPr>
        <w:t xml:space="preserve"> and propose a novel technique named hyoid-complex elevation and stimulation technique (known as HEST). The two patients had no other functional incapacity back into life, but nasogastric feeding was the only possible way for nutrition because of severe aspirations. Swallowing function was evaluated by functional oral intake scale, modified water swallow test, surface electromyographic signal associated with video fluorography swallowing study to assess the situation of aspiration, pharyngeal residue, pharyngeal peristalsis, upper esophageal opening and the ability of deglutition. Both patients were treated with the HEST method for dysphagia and recovered quickly.</w:t>
      </w:r>
    </w:p>
    <w:p w14:paraId="3FCF0C0E" w14:textId="77777777" w:rsidR="00680D85" w:rsidRDefault="00680D85">
      <w:pPr>
        <w:snapToGrid w:val="0"/>
        <w:spacing w:line="360" w:lineRule="auto"/>
        <w:rPr>
          <w:rFonts w:ascii="Book Antiqua" w:hAnsi="Book Antiqua"/>
          <w:color w:val="000000"/>
          <w:sz w:val="20"/>
          <w:szCs w:val="20"/>
        </w:rPr>
      </w:pPr>
    </w:p>
    <w:p w14:paraId="050E585F" w14:textId="77777777"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 xml:space="preserve">CONCLUSION </w:t>
      </w:r>
    </w:p>
    <w:p w14:paraId="1260DB7A" w14:textId="44C602CE"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 xml:space="preserve">HEST is effective for shortening the in-hospital time and improving the quality of life for patients with dysphagia who suffer from </w:t>
      </w:r>
      <w:r>
        <w:rPr>
          <w:rFonts w:ascii="Book Antiqua" w:eastAsia="DengXian" w:hAnsi="Book Antiqua"/>
          <w:color w:val="000000"/>
          <w:sz w:val="20"/>
          <w:szCs w:val="20"/>
        </w:rPr>
        <w:t>LMS</w:t>
      </w:r>
      <w:r>
        <w:rPr>
          <w:rFonts w:ascii="Book Antiqua" w:hAnsi="Book Antiqua"/>
          <w:color w:val="000000"/>
          <w:sz w:val="20"/>
          <w:szCs w:val="20"/>
        </w:rPr>
        <w:t xml:space="preserve"> and likely other strokes.</w:t>
      </w:r>
    </w:p>
    <w:p w14:paraId="28D09C2E" w14:textId="77777777" w:rsidR="00680D85" w:rsidRDefault="00680D85">
      <w:pPr>
        <w:snapToGrid w:val="0"/>
        <w:spacing w:line="360" w:lineRule="auto"/>
        <w:rPr>
          <w:rFonts w:ascii="Book Antiqua" w:eastAsia="DengXian" w:hAnsi="Book Antiqua"/>
          <w:b/>
          <w:color w:val="000000"/>
          <w:sz w:val="20"/>
          <w:szCs w:val="20"/>
        </w:rPr>
      </w:pPr>
    </w:p>
    <w:p w14:paraId="660467C7" w14:textId="77777777" w:rsidR="00680D85" w:rsidRDefault="00BD58DD">
      <w:pPr>
        <w:snapToGrid w:val="0"/>
        <w:spacing w:line="360" w:lineRule="auto"/>
        <w:rPr>
          <w:rFonts w:ascii="Book Antiqua" w:hAnsi="Book Antiqua"/>
          <w:color w:val="000000"/>
          <w:sz w:val="20"/>
          <w:szCs w:val="20"/>
        </w:rPr>
      </w:pPr>
      <w:r>
        <w:rPr>
          <w:rFonts w:ascii="Book Antiqua" w:eastAsia="DengXian" w:hAnsi="Book Antiqua"/>
          <w:b/>
          <w:color w:val="000000"/>
          <w:sz w:val="20"/>
          <w:szCs w:val="20"/>
        </w:rPr>
        <w:t xml:space="preserve">Key words: </w:t>
      </w:r>
      <w:r>
        <w:rPr>
          <w:rFonts w:ascii="Book Antiqua" w:eastAsia="DengXian" w:hAnsi="Book Antiqua"/>
          <w:iCs/>
          <w:color w:val="000000"/>
          <w:sz w:val="20"/>
          <w:szCs w:val="20"/>
        </w:rPr>
        <w:t>L</w:t>
      </w:r>
      <w:r>
        <w:rPr>
          <w:rFonts w:ascii="Book Antiqua" w:hAnsi="Book Antiqua"/>
          <w:iCs/>
          <w:color w:val="000000"/>
          <w:sz w:val="20"/>
          <w:szCs w:val="20"/>
        </w:rPr>
        <w:t>ateral medullary syndrome</w:t>
      </w:r>
      <w:r>
        <w:rPr>
          <w:rFonts w:ascii="Book Antiqua" w:hAnsi="Book Antiqua"/>
          <w:color w:val="000000"/>
          <w:sz w:val="20"/>
          <w:szCs w:val="20"/>
        </w:rPr>
        <w:t>; Hyoid-complex elevation and stimulation technique; Upper esophageal sphincter; Dysphagia; Treatment; Case report</w:t>
      </w:r>
    </w:p>
    <w:p w14:paraId="520E19AE" w14:textId="77777777" w:rsidR="00680D85" w:rsidRDefault="00680D85">
      <w:pPr>
        <w:snapToGrid w:val="0"/>
        <w:spacing w:line="360" w:lineRule="auto"/>
        <w:rPr>
          <w:rFonts w:ascii="Book Antiqua" w:hAnsi="Book Antiqua"/>
          <w:color w:val="000000"/>
          <w:sz w:val="20"/>
          <w:szCs w:val="20"/>
        </w:rPr>
      </w:pPr>
    </w:p>
    <w:p w14:paraId="01FC00A1" w14:textId="77777777"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 xml:space="preserve">Jiang YE, Lyu QQ, Lin F, You XT, Jiang ZL. Hyoid-complex elevation and stimulation technique restores swallowing function in patients with lateral medullary syndrome: Two case reports. </w:t>
      </w:r>
      <w:r>
        <w:rPr>
          <w:rFonts w:ascii="Book Antiqua" w:hAnsi="Book Antiqua"/>
          <w:i/>
          <w:color w:val="000000"/>
          <w:sz w:val="20"/>
          <w:szCs w:val="20"/>
        </w:rPr>
        <w:t>World J Clin Cases</w:t>
      </w:r>
      <w:r>
        <w:rPr>
          <w:rFonts w:ascii="Book Antiqua" w:hAnsi="Book Antiqua"/>
          <w:color w:val="000000"/>
          <w:sz w:val="20"/>
          <w:szCs w:val="20"/>
        </w:rPr>
        <w:t xml:space="preserve"> 2020; In press</w:t>
      </w:r>
    </w:p>
    <w:p w14:paraId="3BB0E0DA" w14:textId="77777777" w:rsidR="00680D85" w:rsidRDefault="00680D85">
      <w:pPr>
        <w:snapToGrid w:val="0"/>
        <w:spacing w:line="360" w:lineRule="auto"/>
        <w:rPr>
          <w:rFonts w:ascii="Book Antiqua" w:hAnsi="Book Antiqua"/>
          <w:color w:val="000000"/>
          <w:sz w:val="20"/>
          <w:szCs w:val="20"/>
        </w:rPr>
      </w:pPr>
    </w:p>
    <w:p w14:paraId="0BAEE62A" w14:textId="2E75DC72" w:rsidR="00680D85" w:rsidRDefault="00BD58DD">
      <w:pPr>
        <w:snapToGrid w:val="0"/>
        <w:spacing w:line="360" w:lineRule="auto"/>
        <w:rPr>
          <w:rFonts w:ascii="Book Antiqua" w:hAnsi="Book Antiqua"/>
          <w:color w:val="000000"/>
          <w:sz w:val="20"/>
          <w:szCs w:val="20"/>
        </w:rPr>
      </w:pPr>
      <w:r>
        <w:rPr>
          <w:rFonts w:ascii="Book Antiqua" w:hAnsi="Book Antiqua"/>
          <w:b/>
          <w:color w:val="000000"/>
          <w:sz w:val="20"/>
          <w:szCs w:val="20"/>
        </w:rPr>
        <w:t>Core tip:</w:t>
      </w:r>
      <w:r>
        <w:rPr>
          <w:rFonts w:ascii="Book Antiqua" w:hAnsi="Book Antiqua"/>
          <w:color w:val="000000"/>
          <w:sz w:val="20"/>
          <w:szCs w:val="20"/>
        </w:rPr>
        <w:t xml:space="preserve"> For dysphagia treatment of </w:t>
      </w:r>
      <w:r>
        <w:rPr>
          <w:rFonts w:ascii="Book Antiqua" w:eastAsia="DengXian" w:hAnsi="Book Antiqua"/>
          <w:color w:val="000000"/>
          <w:sz w:val="20"/>
          <w:szCs w:val="20"/>
        </w:rPr>
        <w:t>l</w:t>
      </w:r>
      <w:r>
        <w:rPr>
          <w:rFonts w:ascii="Book Antiqua" w:hAnsi="Book Antiqua"/>
          <w:color w:val="000000"/>
          <w:sz w:val="20"/>
          <w:szCs w:val="20"/>
        </w:rPr>
        <w:t>ateral medullary syndrome, hyoid-complex elevation and stimulation technique is a novel technique that combines balloon dilation with electromyography-triggered electrical stimulation to restore swallowing function. It is easy to operate, safe for patients, and effective for shortening the in-hospital time. This case report suggests a new treatment for dysphagia patients, especially for those who cannot achieve the expected effect with traditional therapy.</w:t>
      </w:r>
    </w:p>
    <w:p w14:paraId="4FC09101" w14:textId="77777777" w:rsidR="00680D85" w:rsidRDefault="00BD58DD">
      <w:pPr>
        <w:snapToGrid w:val="0"/>
        <w:spacing w:line="360" w:lineRule="auto"/>
        <w:rPr>
          <w:rFonts w:ascii="Book Antiqua" w:eastAsia="DengXian" w:hAnsi="Book Antiqua"/>
          <w:b/>
          <w:color w:val="000000"/>
          <w:sz w:val="20"/>
          <w:szCs w:val="20"/>
          <w:u w:val="single"/>
        </w:rPr>
      </w:pPr>
      <w:r>
        <w:rPr>
          <w:rFonts w:ascii="Book Antiqua" w:hAnsi="Book Antiqua"/>
          <w:color w:val="000000"/>
          <w:sz w:val="20"/>
          <w:szCs w:val="20"/>
        </w:rPr>
        <w:br w:type="page"/>
      </w:r>
      <w:r>
        <w:rPr>
          <w:rFonts w:ascii="Book Antiqua" w:eastAsia="DengXian" w:hAnsi="Book Antiqua"/>
          <w:b/>
          <w:color w:val="000000"/>
          <w:sz w:val="20"/>
          <w:szCs w:val="20"/>
          <w:u w:val="single"/>
        </w:rPr>
        <w:lastRenderedPageBreak/>
        <w:t>INTRODUCTION</w:t>
      </w:r>
    </w:p>
    <w:p w14:paraId="2987B299" w14:textId="0BFBBF86"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 xml:space="preserve">A swallowing disorder (dysphagia) may occur following a brainstem stroke, especially one that occurs in the swallowing centers in the posterior and lateral regions of the medulla oblongata. </w:t>
      </w:r>
      <w:r>
        <w:rPr>
          <w:rFonts w:ascii="Book Antiqua" w:eastAsia="DengXian" w:hAnsi="Book Antiqua"/>
          <w:color w:val="000000"/>
          <w:sz w:val="20"/>
          <w:szCs w:val="20"/>
        </w:rPr>
        <w:t>L</w:t>
      </w:r>
      <w:r>
        <w:rPr>
          <w:rFonts w:ascii="Book Antiqua" w:hAnsi="Book Antiqua"/>
          <w:color w:val="000000"/>
          <w:sz w:val="20"/>
          <w:szCs w:val="20"/>
        </w:rPr>
        <w:t>ateral medullary syndrome (LMS), also known as Wallenberg syndrome, is a rare condition in which a vascular event occurs in the territory of the posterior inferior cerebellar artery or the vertebral artery</w:t>
      </w:r>
      <w:r>
        <w:rPr>
          <w:rFonts w:ascii="Book Antiqua" w:hAnsi="Book Antiqua"/>
          <w:color w:val="000000"/>
          <w:sz w:val="20"/>
          <w:szCs w:val="20"/>
          <w:vertAlign w:val="superscript"/>
        </w:rPr>
        <w:t>[1]</w:t>
      </w:r>
      <w:r>
        <w:rPr>
          <w:rFonts w:ascii="Book Antiqua" w:hAnsi="Book Antiqua"/>
          <w:color w:val="000000"/>
          <w:sz w:val="20"/>
          <w:szCs w:val="20"/>
        </w:rPr>
        <w:t xml:space="preserve"> and reportedly leads to severe and long-lasting dysphagia</w:t>
      </w:r>
      <w:r>
        <w:rPr>
          <w:rFonts w:ascii="Book Antiqua" w:hAnsi="Book Antiqua"/>
          <w:color w:val="000000"/>
          <w:sz w:val="20"/>
          <w:szCs w:val="20"/>
          <w:vertAlign w:val="superscript"/>
        </w:rPr>
        <w:t>[2]</w:t>
      </w:r>
      <w:r>
        <w:rPr>
          <w:rFonts w:ascii="Book Antiqua" w:hAnsi="Book Antiqua"/>
          <w:color w:val="000000"/>
          <w:sz w:val="20"/>
          <w:szCs w:val="20"/>
        </w:rPr>
        <w:t xml:space="preserve"> due to the absence of the swallowing reflex, extension of swallowing latency, dysfunction of the upper esophageal sphincter (UES) opening, and pharyngeal constriction. Nasogastric feeding has been the only possible method for obtaining nutrition because of severe aspiration. For patients with LMS, swallowing training is an indispensable treatment, and recovery of swallowing occurs with the restoration of pharyngeal function</w:t>
      </w:r>
      <w:r>
        <w:rPr>
          <w:rFonts w:ascii="Book Antiqua" w:hAnsi="Book Antiqua"/>
          <w:color w:val="000000"/>
          <w:sz w:val="20"/>
          <w:szCs w:val="20"/>
          <w:vertAlign w:val="superscript"/>
        </w:rPr>
        <w:t>[3]</w:t>
      </w:r>
      <w:r>
        <w:rPr>
          <w:rFonts w:ascii="Book Antiqua" w:hAnsi="Book Antiqua"/>
          <w:color w:val="000000"/>
          <w:sz w:val="20"/>
          <w:szCs w:val="20"/>
        </w:rPr>
        <w:t>.</w:t>
      </w:r>
    </w:p>
    <w:p w14:paraId="55DB6C40" w14:textId="1AC75EA7" w:rsidR="00680D85" w:rsidRDefault="00BD58DD">
      <w:pPr>
        <w:snapToGrid w:val="0"/>
        <w:spacing w:line="360" w:lineRule="auto"/>
        <w:ind w:firstLineChars="100" w:firstLine="200"/>
        <w:rPr>
          <w:rFonts w:ascii="Book Antiqua" w:hAnsi="Book Antiqua"/>
          <w:color w:val="000000"/>
          <w:sz w:val="20"/>
          <w:szCs w:val="20"/>
        </w:rPr>
      </w:pPr>
      <w:r>
        <w:rPr>
          <w:rFonts w:ascii="Book Antiqua" w:hAnsi="Book Antiqua"/>
          <w:color w:val="000000"/>
          <w:sz w:val="20"/>
          <w:szCs w:val="20"/>
        </w:rPr>
        <w:t>Here, we report two cases of patients with LMS who had restored swallowing function in a short period of time by using a hyoid-complex (the hyoid bone with pedunculus or epiglottidean complex tissues) elevation and stimulation technique (HEST). The operation procedure of this technique was as follows (Figure 1). First, a balloon catheter was inserted through the mouth to the edge of the UES, and the balloon was inflated by water when it was located at the lower edge of the cricoid cartilage and the UES. Then the balloon was lifted up at the same time as the hyoid-complex. Finally, patients were asked to swallow hard while the suprahyoid muscles were facilitated by electrical stimulation with a stimulus intensity dependent on the measured surface myoelectricity results. When an effective swallow was completed, the inflated balloon was very easy to remove. Aside from dysphagia due to lateral medullary infarction, neither patient with LMS had other functional incapacities in daily life.</w:t>
      </w:r>
    </w:p>
    <w:p w14:paraId="5DD4B6D4" w14:textId="77777777" w:rsidR="00680D85" w:rsidRDefault="00680D85">
      <w:pPr>
        <w:snapToGrid w:val="0"/>
        <w:spacing w:line="360" w:lineRule="auto"/>
        <w:rPr>
          <w:rFonts w:ascii="Book Antiqua" w:hAnsi="Book Antiqua"/>
          <w:color w:val="000000"/>
          <w:sz w:val="20"/>
          <w:szCs w:val="20"/>
        </w:rPr>
      </w:pPr>
    </w:p>
    <w:p w14:paraId="4476CC37" w14:textId="77777777" w:rsidR="00680D85" w:rsidRDefault="00BD58DD">
      <w:pPr>
        <w:snapToGrid w:val="0"/>
        <w:spacing w:line="360" w:lineRule="auto"/>
        <w:rPr>
          <w:rFonts w:ascii="Book Antiqua" w:eastAsia="DengXian" w:hAnsi="Book Antiqua"/>
          <w:b/>
          <w:color w:val="000000"/>
          <w:sz w:val="20"/>
          <w:szCs w:val="20"/>
          <w:u w:val="single"/>
        </w:rPr>
      </w:pPr>
      <w:r>
        <w:rPr>
          <w:rFonts w:ascii="Book Antiqua" w:eastAsia="DengXian" w:hAnsi="Book Antiqua"/>
          <w:b/>
          <w:color w:val="000000"/>
          <w:sz w:val="20"/>
          <w:szCs w:val="20"/>
          <w:u w:val="single"/>
        </w:rPr>
        <w:t>CASE PRESENTATION</w:t>
      </w:r>
    </w:p>
    <w:p w14:paraId="1C8534B9" w14:textId="77777777" w:rsidR="00680D85" w:rsidRDefault="00BD58DD">
      <w:pPr>
        <w:snapToGrid w:val="0"/>
        <w:spacing w:line="360" w:lineRule="auto"/>
        <w:rPr>
          <w:rFonts w:ascii="Book Antiqua" w:eastAsia="DengXian" w:hAnsi="Book Antiqua"/>
          <w:b/>
          <w:i/>
          <w:color w:val="000000"/>
          <w:sz w:val="20"/>
          <w:szCs w:val="20"/>
        </w:rPr>
      </w:pPr>
      <w:r>
        <w:rPr>
          <w:rFonts w:ascii="Book Antiqua" w:eastAsia="DengXian" w:hAnsi="Book Antiqua"/>
          <w:b/>
          <w:i/>
          <w:color w:val="000000"/>
          <w:sz w:val="20"/>
          <w:szCs w:val="20"/>
        </w:rPr>
        <w:t>Chief complaints</w:t>
      </w:r>
    </w:p>
    <w:p w14:paraId="3D444F69" w14:textId="77777777" w:rsidR="00680D85" w:rsidRDefault="00BD58DD">
      <w:pPr>
        <w:snapToGrid w:val="0"/>
        <w:spacing w:line="360" w:lineRule="auto"/>
        <w:rPr>
          <w:rFonts w:ascii="Book Antiqua" w:hAnsi="Book Antiqua"/>
          <w:color w:val="000000"/>
          <w:sz w:val="20"/>
          <w:szCs w:val="20"/>
        </w:rPr>
      </w:pPr>
      <w:r>
        <w:rPr>
          <w:rFonts w:ascii="Book Antiqua" w:eastAsia="DengXian" w:hAnsi="Book Antiqua"/>
          <w:b/>
          <w:color w:val="000000"/>
          <w:sz w:val="20"/>
          <w:szCs w:val="20"/>
        </w:rPr>
        <w:t xml:space="preserve">Case 1: </w:t>
      </w:r>
      <w:r>
        <w:rPr>
          <w:rFonts w:ascii="Book Antiqua" w:hAnsi="Book Antiqua"/>
          <w:color w:val="000000"/>
          <w:sz w:val="20"/>
          <w:szCs w:val="20"/>
        </w:rPr>
        <w:t>A 58-year-old male with LMS was admitted to the hospital with a chief complaint of “aphagosis for 20 d accompanying salivation and emaciation”.</w:t>
      </w:r>
    </w:p>
    <w:p w14:paraId="00A73D73" w14:textId="77777777" w:rsidR="00680D85" w:rsidRDefault="00680D85">
      <w:pPr>
        <w:snapToGrid w:val="0"/>
        <w:spacing w:line="360" w:lineRule="auto"/>
        <w:rPr>
          <w:rFonts w:ascii="Book Antiqua" w:hAnsi="Book Antiqua"/>
          <w:color w:val="000000"/>
          <w:sz w:val="20"/>
          <w:szCs w:val="20"/>
        </w:rPr>
      </w:pPr>
    </w:p>
    <w:p w14:paraId="2AED1123" w14:textId="77777777" w:rsidR="00680D85" w:rsidRDefault="00BD58DD">
      <w:pPr>
        <w:snapToGrid w:val="0"/>
        <w:spacing w:line="360" w:lineRule="auto"/>
        <w:rPr>
          <w:rFonts w:ascii="Book Antiqua" w:hAnsi="Book Antiqua"/>
          <w:color w:val="000000"/>
          <w:sz w:val="20"/>
          <w:szCs w:val="20"/>
        </w:rPr>
      </w:pPr>
      <w:r>
        <w:rPr>
          <w:rFonts w:ascii="Book Antiqua" w:eastAsia="DengXian" w:hAnsi="Book Antiqua"/>
          <w:b/>
          <w:color w:val="000000"/>
          <w:sz w:val="20"/>
          <w:szCs w:val="20"/>
        </w:rPr>
        <w:t xml:space="preserve">Case 2: </w:t>
      </w:r>
      <w:r>
        <w:rPr>
          <w:rFonts w:ascii="Book Antiqua" w:hAnsi="Book Antiqua"/>
          <w:color w:val="000000"/>
          <w:sz w:val="20"/>
          <w:szCs w:val="20"/>
        </w:rPr>
        <w:t>A 72-year-old male with LMS was admitted to the hospital with a chief complaint of “dysphagia for 24 d”.</w:t>
      </w:r>
    </w:p>
    <w:p w14:paraId="63B73392" w14:textId="77777777" w:rsidR="00680D85" w:rsidRDefault="00680D85">
      <w:pPr>
        <w:snapToGrid w:val="0"/>
        <w:spacing w:line="360" w:lineRule="auto"/>
        <w:rPr>
          <w:rFonts w:ascii="Book Antiqua" w:hAnsi="Book Antiqua"/>
          <w:color w:val="000000"/>
          <w:sz w:val="20"/>
          <w:szCs w:val="20"/>
        </w:rPr>
      </w:pPr>
    </w:p>
    <w:p w14:paraId="064254CD" w14:textId="77777777" w:rsidR="00680D85" w:rsidRDefault="00BD58DD">
      <w:pPr>
        <w:snapToGrid w:val="0"/>
        <w:spacing w:line="360" w:lineRule="auto"/>
        <w:rPr>
          <w:rFonts w:ascii="Book Antiqua" w:eastAsia="DengXian" w:hAnsi="Book Antiqua"/>
          <w:b/>
          <w:i/>
          <w:color w:val="000000"/>
          <w:sz w:val="20"/>
          <w:szCs w:val="20"/>
        </w:rPr>
      </w:pPr>
      <w:r>
        <w:rPr>
          <w:rFonts w:ascii="Book Antiqua" w:eastAsia="DengXian" w:hAnsi="Book Antiqua"/>
          <w:b/>
          <w:i/>
          <w:color w:val="000000"/>
          <w:sz w:val="20"/>
          <w:szCs w:val="20"/>
        </w:rPr>
        <w:t>History of present illness and past illness</w:t>
      </w:r>
    </w:p>
    <w:p w14:paraId="39BBF5B8" w14:textId="77777777" w:rsidR="00680D85" w:rsidRDefault="00BD58DD">
      <w:pPr>
        <w:snapToGrid w:val="0"/>
        <w:spacing w:line="360" w:lineRule="auto"/>
        <w:rPr>
          <w:rFonts w:ascii="Book Antiqua" w:hAnsi="Book Antiqua"/>
          <w:color w:val="000000"/>
          <w:sz w:val="20"/>
          <w:szCs w:val="20"/>
        </w:rPr>
      </w:pPr>
      <w:r>
        <w:rPr>
          <w:rFonts w:ascii="Book Antiqua" w:eastAsia="DengXian" w:hAnsi="Book Antiqua"/>
          <w:b/>
          <w:color w:val="000000"/>
          <w:sz w:val="20"/>
          <w:szCs w:val="20"/>
        </w:rPr>
        <w:t xml:space="preserve">Case 1: </w:t>
      </w:r>
      <w:r>
        <w:rPr>
          <w:rFonts w:ascii="Book Antiqua" w:hAnsi="Book Antiqua"/>
          <w:color w:val="000000"/>
          <w:sz w:val="20"/>
          <w:szCs w:val="20"/>
        </w:rPr>
        <w:t>The patient had lost approximately 3 kg over the past 20 d and exhibited nutritional deficiency caused by dysphagia.</w:t>
      </w:r>
    </w:p>
    <w:p w14:paraId="7ACE64FD" w14:textId="77777777" w:rsidR="00680D85" w:rsidRDefault="00680D85">
      <w:pPr>
        <w:snapToGrid w:val="0"/>
        <w:spacing w:line="360" w:lineRule="auto"/>
        <w:rPr>
          <w:rFonts w:ascii="Book Antiqua" w:hAnsi="Book Antiqua"/>
          <w:color w:val="000000"/>
          <w:sz w:val="20"/>
          <w:szCs w:val="20"/>
        </w:rPr>
      </w:pPr>
    </w:p>
    <w:p w14:paraId="5B05333F" w14:textId="77777777" w:rsidR="00680D85" w:rsidRDefault="00BD58DD">
      <w:pPr>
        <w:snapToGrid w:val="0"/>
        <w:spacing w:line="360" w:lineRule="auto"/>
        <w:rPr>
          <w:rFonts w:ascii="Book Antiqua" w:hAnsi="Book Antiqua"/>
          <w:color w:val="000000"/>
          <w:sz w:val="20"/>
          <w:szCs w:val="20"/>
        </w:rPr>
      </w:pPr>
      <w:r>
        <w:rPr>
          <w:rFonts w:ascii="Book Antiqua" w:hAnsi="Book Antiqua"/>
          <w:b/>
          <w:bCs/>
          <w:color w:val="000000"/>
          <w:sz w:val="20"/>
          <w:szCs w:val="20"/>
        </w:rPr>
        <w:t xml:space="preserve">Case 2: </w:t>
      </w:r>
      <w:r>
        <w:rPr>
          <w:rFonts w:ascii="Book Antiqua" w:hAnsi="Book Antiqua"/>
          <w:color w:val="000000"/>
          <w:sz w:val="20"/>
          <w:szCs w:val="20"/>
        </w:rPr>
        <w:t>The patient had lost approximately 5 kg over the past 24 d and exhibited nutritional deficiency caused by dysphagia.</w:t>
      </w:r>
    </w:p>
    <w:p w14:paraId="718BE31B" w14:textId="77777777" w:rsidR="00680D85" w:rsidRDefault="00680D85">
      <w:pPr>
        <w:snapToGrid w:val="0"/>
        <w:spacing w:line="360" w:lineRule="auto"/>
        <w:rPr>
          <w:rFonts w:ascii="Book Antiqua" w:hAnsi="Book Antiqua"/>
          <w:color w:val="000000"/>
          <w:sz w:val="20"/>
          <w:szCs w:val="20"/>
        </w:rPr>
      </w:pPr>
    </w:p>
    <w:p w14:paraId="1E94803E" w14:textId="77777777" w:rsidR="00680D85" w:rsidRDefault="00BD58DD">
      <w:pPr>
        <w:snapToGrid w:val="0"/>
        <w:spacing w:line="360" w:lineRule="auto"/>
        <w:rPr>
          <w:rFonts w:ascii="Book Antiqua" w:hAnsi="Book Antiqua"/>
          <w:b/>
          <w:i/>
          <w:iCs/>
          <w:color w:val="000000"/>
          <w:sz w:val="20"/>
          <w:szCs w:val="20"/>
        </w:rPr>
      </w:pPr>
      <w:r>
        <w:rPr>
          <w:rFonts w:ascii="Book Antiqua" w:hAnsi="Book Antiqua"/>
          <w:b/>
          <w:i/>
          <w:iCs/>
          <w:color w:val="000000"/>
          <w:sz w:val="20"/>
          <w:szCs w:val="20"/>
        </w:rPr>
        <w:t>History of past illness</w:t>
      </w:r>
    </w:p>
    <w:p w14:paraId="420880B2" w14:textId="6D86E948" w:rsidR="00680D85" w:rsidRDefault="00BD58DD">
      <w:pPr>
        <w:snapToGrid w:val="0"/>
        <w:spacing w:line="360" w:lineRule="auto"/>
        <w:rPr>
          <w:rFonts w:ascii="Book Antiqua" w:hAnsi="Book Antiqua"/>
          <w:color w:val="000000"/>
          <w:sz w:val="20"/>
          <w:szCs w:val="20"/>
        </w:rPr>
      </w:pPr>
      <w:r>
        <w:rPr>
          <w:rFonts w:ascii="Book Antiqua" w:eastAsia="DengXian" w:hAnsi="Book Antiqua"/>
          <w:b/>
          <w:color w:val="000000"/>
          <w:sz w:val="20"/>
          <w:szCs w:val="20"/>
        </w:rPr>
        <w:lastRenderedPageBreak/>
        <w:t xml:space="preserve">Case 1: </w:t>
      </w:r>
      <w:r>
        <w:rPr>
          <w:rFonts w:ascii="Book Antiqua" w:hAnsi="Book Antiqua"/>
          <w:color w:val="000000"/>
          <w:sz w:val="20"/>
          <w:szCs w:val="20"/>
        </w:rPr>
        <w:t>The patient was diagnosed with diabetes at the age of 48. His family members were all healthy.</w:t>
      </w:r>
    </w:p>
    <w:p w14:paraId="5B3E1304" w14:textId="77777777" w:rsidR="00680D85" w:rsidRDefault="00680D85">
      <w:pPr>
        <w:snapToGrid w:val="0"/>
        <w:spacing w:line="360" w:lineRule="auto"/>
        <w:rPr>
          <w:rFonts w:ascii="Book Antiqua" w:hAnsi="Book Antiqua"/>
          <w:color w:val="000000"/>
          <w:sz w:val="20"/>
          <w:szCs w:val="20"/>
        </w:rPr>
      </w:pPr>
    </w:p>
    <w:p w14:paraId="776C5EEF" w14:textId="6BB06D55" w:rsidR="00680D85" w:rsidRDefault="00BD58DD">
      <w:pPr>
        <w:snapToGrid w:val="0"/>
        <w:spacing w:line="360" w:lineRule="auto"/>
        <w:rPr>
          <w:rFonts w:ascii="Book Antiqua" w:hAnsi="Book Antiqua"/>
          <w:color w:val="000000"/>
          <w:sz w:val="20"/>
          <w:szCs w:val="20"/>
        </w:rPr>
      </w:pPr>
      <w:r>
        <w:rPr>
          <w:rFonts w:ascii="Book Antiqua" w:hAnsi="Book Antiqua"/>
          <w:b/>
          <w:bCs/>
          <w:color w:val="000000"/>
          <w:sz w:val="20"/>
          <w:szCs w:val="20"/>
        </w:rPr>
        <w:t xml:space="preserve">Case 2: </w:t>
      </w:r>
      <w:r>
        <w:rPr>
          <w:rFonts w:ascii="Book Antiqua" w:hAnsi="Book Antiqua"/>
          <w:color w:val="000000"/>
          <w:sz w:val="20"/>
          <w:szCs w:val="20"/>
        </w:rPr>
        <w:t xml:space="preserve">The patient had suffered from hypertension for over 10 years and from diabetes for over 5 years. His family members were all healthy. </w:t>
      </w:r>
    </w:p>
    <w:p w14:paraId="1382F8E7" w14:textId="77777777" w:rsidR="00680D85" w:rsidRDefault="00680D85">
      <w:pPr>
        <w:snapToGrid w:val="0"/>
        <w:spacing w:line="360" w:lineRule="auto"/>
        <w:rPr>
          <w:rFonts w:ascii="Book Antiqua" w:hAnsi="Book Antiqua"/>
          <w:color w:val="000000"/>
          <w:sz w:val="20"/>
          <w:szCs w:val="20"/>
        </w:rPr>
      </w:pPr>
    </w:p>
    <w:p w14:paraId="229375FC" w14:textId="77777777" w:rsidR="00680D85" w:rsidRDefault="00BD58DD">
      <w:pPr>
        <w:snapToGrid w:val="0"/>
        <w:spacing w:line="360" w:lineRule="auto"/>
        <w:rPr>
          <w:rFonts w:ascii="Book Antiqua" w:eastAsia="DengXian" w:hAnsi="Book Antiqua"/>
          <w:b/>
          <w:i/>
          <w:color w:val="000000"/>
          <w:sz w:val="20"/>
          <w:szCs w:val="20"/>
        </w:rPr>
      </w:pPr>
      <w:r>
        <w:rPr>
          <w:rFonts w:ascii="Book Antiqua" w:eastAsia="DengXian" w:hAnsi="Book Antiqua"/>
          <w:b/>
          <w:i/>
          <w:color w:val="000000"/>
          <w:sz w:val="20"/>
          <w:szCs w:val="20"/>
        </w:rPr>
        <w:t>Examinations</w:t>
      </w:r>
    </w:p>
    <w:p w14:paraId="0E2203A4" w14:textId="7CFCEFBB" w:rsidR="00680D85" w:rsidRDefault="00BD58DD">
      <w:pPr>
        <w:snapToGrid w:val="0"/>
        <w:spacing w:line="360" w:lineRule="auto"/>
        <w:rPr>
          <w:rFonts w:ascii="Book Antiqua" w:hAnsi="Book Antiqua"/>
          <w:color w:val="000000"/>
          <w:sz w:val="20"/>
          <w:szCs w:val="20"/>
        </w:rPr>
      </w:pPr>
      <w:r>
        <w:rPr>
          <w:rFonts w:ascii="Book Antiqua" w:eastAsia="DengXian" w:hAnsi="Book Antiqua"/>
          <w:b/>
          <w:color w:val="000000"/>
          <w:sz w:val="20"/>
          <w:szCs w:val="20"/>
        </w:rPr>
        <w:t xml:space="preserve">Case 1: </w:t>
      </w:r>
      <w:r>
        <w:rPr>
          <w:rFonts w:ascii="Book Antiqua" w:hAnsi="Book Antiqua"/>
          <w:color w:val="000000"/>
          <w:sz w:val="20"/>
          <w:szCs w:val="20"/>
        </w:rPr>
        <w:t xml:space="preserve">An absent gag reflex, dystaxia in the left arm and leg, and decreased pain and temperature sensations in the right side of body were noted. Magnetic resonance imaging showed a left lateral medullary infarction (Figure 2A). The final diagnosis of the presented case was </w:t>
      </w:r>
      <w:r>
        <w:rPr>
          <w:rFonts w:ascii="Book Antiqua" w:eastAsia="DengXian" w:hAnsi="Book Antiqua"/>
          <w:iCs/>
          <w:color w:val="000000"/>
          <w:sz w:val="20"/>
          <w:szCs w:val="20"/>
        </w:rPr>
        <w:t>LMS</w:t>
      </w:r>
      <w:r>
        <w:rPr>
          <w:rFonts w:ascii="Book Antiqua" w:hAnsi="Book Antiqua"/>
          <w:color w:val="000000"/>
          <w:sz w:val="20"/>
          <w:szCs w:val="20"/>
        </w:rPr>
        <w:t>. In the very beginning, the patient was unable to initiate a swallowing motion due to the absence of a swallowing reflex. The result of functional oral intake scale (FOIS) was performed at 20 d after the onset of stroke was level 1 (nothing by mouth), and the result of the modified water swallow test (MWST) was grade 1 (dysphagia with bucking, a wet voice and palatal paresis). On the 4</w:t>
      </w:r>
      <w:r>
        <w:rPr>
          <w:rFonts w:ascii="Book Antiqua" w:hAnsi="Book Antiqua"/>
          <w:color w:val="000000"/>
          <w:sz w:val="20"/>
          <w:szCs w:val="20"/>
          <w:vertAlign w:val="superscript"/>
        </w:rPr>
        <w:t>th</w:t>
      </w:r>
      <w:r>
        <w:rPr>
          <w:rFonts w:ascii="Book Antiqua" w:hAnsi="Book Antiqua"/>
          <w:color w:val="000000"/>
          <w:sz w:val="20"/>
          <w:szCs w:val="20"/>
        </w:rPr>
        <w:t xml:space="preserve"> d after hospitalization, the surface electromyography (sEMG) signals of the suprahyoid muscles were recorded when the patient was asked to try to swallow, in which an imperfect swallowing motion and delayed pharyngeal transit time could also be observed (Figure 3A). A video fluorography swallowing study (VFSS) was examined on the 5</w:t>
      </w:r>
      <w:r>
        <w:rPr>
          <w:rFonts w:ascii="Book Antiqua" w:hAnsi="Book Antiqua"/>
          <w:color w:val="000000"/>
          <w:sz w:val="20"/>
          <w:szCs w:val="20"/>
          <w:vertAlign w:val="superscript"/>
        </w:rPr>
        <w:t>th</w:t>
      </w:r>
      <w:r>
        <w:rPr>
          <w:rFonts w:ascii="Book Antiqua" w:hAnsi="Book Antiqua"/>
          <w:color w:val="000000"/>
          <w:sz w:val="20"/>
          <w:szCs w:val="20"/>
        </w:rPr>
        <w:t xml:space="preserve"> d after hospitalization, which showed leakage or aspiration, pharyngeal residue, incomplete epiglottic closure and UES dysfunction (Figure 4A). In addition, the fiberoptic endoscopic evaluation of swallowing examination (FEES) demonstrated epiglottis insufficiencies (Figure 5).</w:t>
      </w:r>
    </w:p>
    <w:p w14:paraId="49F25BCE" w14:textId="77777777" w:rsidR="00680D85" w:rsidRDefault="00680D85">
      <w:pPr>
        <w:snapToGrid w:val="0"/>
        <w:spacing w:line="360" w:lineRule="auto"/>
        <w:rPr>
          <w:rFonts w:ascii="Book Antiqua" w:hAnsi="Book Antiqua"/>
          <w:color w:val="000000"/>
          <w:sz w:val="20"/>
          <w:szCs w:val="20"/>
        </w:rPr>
      </w:pPr>
    </w:p>
    <w:p w14:paraId="71B8D4A3" w14:textId="40C53B6E" w:rsidR="00680D85" w:rsidRDefault="00BD58DD">
      <w:pPr>
        <w:snapToGrid w:val="0"/>
        <w:spacing w:line="360" w:lineRule="auto"/>
        <w:rPr>
          <w:rFonts w:ascii="Book Antiqua" w:hAnsi="Book Antiqua"/>
          <w:color w:val="000000"/>
          <w:sz w:val="20"/>
          <w:szCs w:val="20"/>
        </w:rPr>
      </w:pPr>
      <w:r>
        <w:rPr>
          <w:rFonts w:ascii="Book Antiqua" w:hAnsi="Book Antiqua"/>
          <w:b/>
          <w:bCs/>
          <w:color w:val="000000"/>
          <w:sz w:val="20"/>
          <w:szCs w:val="20"/>
        </w:rPr>
        <w:t xml:space="preserve">Case 2: </w:t>
      </w:r>
      <w:r>
        <w:rPr>
          <w:rFonts w:ascii="Book Antiqua" w:hAnsi="Book Antiqua"/>
          <w:color w:val="000000"/>
          <w:sz w:val="20"/>
          <w:szCs w:val="20"/>
        </w:rPr>
        <w:t xml:space="preserve">An absent gag reflex and decreased sensation on the left side of the body were found by physical examination. Magnetic resonance imaging showed a right lateral medullary infarction (Figure 2B). The final diagnosis of the presented case was </w:t>
      </w:r>
      <w:r>
        <w:rPr>
          <w:rFonts w:ascii="Book Antiqua" w:eastAsia="DengXian" w:hAnsi="Book Antiqua"/>
          <w:iCs/>
          <w:color w:val="000000"/>
          <w:sz w:val="20"/>
          <w:szCs w:val="20"/>
        </w:rPr>
        <w:t>LMS</w:t>
      </w:r>
      <w:r>
        <w:rPr>
          <w:rFonts w:ascii="Book Antiqua" w:hAnsi="Book Antiqua"/>
          <w:color w:val="000000"/>
          <w:sz w:val="20"/>
          <w:szCs w:val="20"/>
        </w:rPr>
        <w:t>. The initial FOIS result was level 1 (nothing by mouth). A VFSS was examined on the 19</w:t>
      </w:r>
      <w:r>
        <w:rPr>
          <w:rFonts w:ascii="Book Antiqua" w:hAnsi="Book Antiqua"/>
          <w:color w:val="000000"/>
          <w:sz w:val="20"/>
          <w:szCs w:val="20"/>
          <w:vertAlign w:val="superscript"/>
        </w:rPr>
        <w:t>th</w:t>
      </w:r>
      <w:r>
        <w:rPr>
          <w:rFonts w:ascii="Book Antiqua" w:hAnsi="Book Antiqua"/>
          <w:color w:val="000000"/>
          <w:sz w:val="20"/>
          <w:szCs w:val="20"/>
        </w:rPr>
        <w:t xml:space="preserve"> d after the onset of the stroke, which showed leakage or aspiration, pharyngeal residue, decreased laryngeal elevation and impaired opening of the UES (Figure 4B). The result of the MWST performed on the 24</w:t>
      </w:r>
      <w:r>
        <w:rPr>
          <w:rFonts w:ascii="Book Antiqua" w:hAnsi="Book Antiqua"/>
          <w:color w:val="000000"/>
          <w:sz w:val="20"/>
          <w:szCs w:val="20"/>
          <w:vertAlign w:val="superscript"/>
        </w:rPr>
        <w:t>th</w:t>
      </w:r>
      <w:r>
        <w:rPr>
          <w:rFonts w:ascii="Book Antiqua" w:hAnsi="Book Antiqua"/>
          <w:color w:val="000000"/>
          <w:sz w:val="20"/>
          <w:szCs w:val="20"/>
        </w:rPr>
        <w:t xml:space="preserve"> d after the onset of the stroke was grade 4 (no bucking, no residue and 1 swallowing movement could be initiated). Imperfect swallowing waves were observed by sEMG, especially when swallowing occurred on the left side (Figure 3B). </w:t>
      </w:r>
    </w:p>
    <w:p w14:paraId="5AC25325" w14:textId="77777777" w:rsidR="00680D85" w:rsidRDefault="00680D85">
      <w:pPr>
        <w:snapToGrid w:val="0"/>
        <w:spacing w:line="360" w:lineRule="auto"/>
        <w:rPr>
          <w:rFonts w:ascii="Book Antiqua" w:hAnsi="Book Antiqua"/>
          <w:color w:val="000000"/>
          <w:sz w:val="20"/>
          <w:szCs w:val="20"/>
        </w:rPr>
      </w:pPr>
    </w:p>
    <w:p w14:paraId="6BFC9BDD" w14:textId="77777777" w:rsidR="00680D85" w:rsidRDefault="00BD58DD">
      <w:pPr>
        <w:pStyle w:val="Default"/>
        <w:snapToGrid w:val="0"/>
        <w:spacing w:line="360" w:lineRule="auto"/>
        <w:jc w:val="both"/>
        <w:rPr>
          <w:rFonts w:eastAsia="宋体" w:cs="Times New Roman"/>
          <w:b/>
          <w:kern w:val="2"/>
          <w:sz w:val="20"/>
          <w:szCs w:val="20"/>
          <w:u w:val="single"/>
        </w:rPr>
      </w:pPr>
      <w:r>
        <w:rPr>
          <w:rFonts w:eastAsia="宋体" w:cs="Times New Roman"/>
          <w:b/>
          <w:kern w:val="2"/>
          <w:sz w:val="20"/>
          <w:szCs w:val="20"/>
          <w:u w:val="single"/>
        </w:rPr>
        <w:t>FINAL DIAGNOSIS</w:t>
      </w:r>
    </w:p>
    <w:p w14:paraId="54F45CED" w14:textId="6985B9EF"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The final diagnosis of the presented two cases was LMS.</w:t>
      </w:r>
    </w:p>
    <w:p w14:paraId="3D9DE2D0" w14:textId="77777777" w:rsidR="00680D85" w:rsidRDefault="00680D85">
      <w:pPr>
        <w:snapToGrid w:val="0"/>
        <w:spacing w:line="360" w:lineRule="auto"/>
        <w:rPr>
          <w:rFonts w:ascii="Book Antiqua" w:hAnsi="Book Antiqua"/>
          <w:color w:val="000000"/>
          <w:sz w:val="20"/>
          <w:szCs w:val="20"/>
        </w:rPr>
      </w:pPr>
    </w:p>
    <w:p w14:paraId="6D1322EC" w14:textId="77777777" w:rsidR="00680D85" w:rsidRDefault="00BD58DD">
      <w:pPr>
        <w:snapToGrid w:val="0"/>
        <w:spacing w:line="360" w:lineRule="auto"/>
        <w:rPr>
          <w:rFonts w:ascii="Book Antiqua" w:eastAsia="DengXian" w:hAnsi="Book Antiqua"/>
          <w:b/>
          <w:i/>
          <w:color w:val="000000"/>
          <w:sz w:val="20"/>
          <w:szCs w:val="20"/>
        </w:rPr>
      </w:pPr>
      <w:r>
        <w:rPr>
          <w:rFonts w:ascii="Book Antiqua" w:eastAsia="DengXian" w:hAnsi="Book Antiqua"/>
          <w:b/>
          <w:iCs/>
          <w:color w:val="000000"/>
          <w:sz w:val="20"/>
          <w:szCs w:val="20"/>
          <w:u w:val="single"/>
        </w:rPr>
        <w:t>TREATMENT</w:t>
      </w:r>
      <w:r>
        <w:rPr>
          <w:rFonts w:ascii="Book Antiqua" w:eastAsia="DengXian" w:hAnsi="Book Antiqua"/>
          <w:b/>
          <w:i/>
          <w:color w:val="000000"/>
          <w:sz w:val="20"/>
          <w:szCs w:val="20"/>
        </w:rPr>
        <w:t xml:space="preserve"> </w:t>
      </w:r>
    </w:p>
    <w:p w14:paraId="122F9E04" w14:textId="77777777" w:rsidR="00680D85" w:rsidRDefault="00BD58DD">
      <w:pPr>
        <w:snapToGrid w:val="0"/>
        <w:spacing w:line="360" w:lineRule="auto"/>
        <w:rPr>
          <w:rFonts w:ascii="Book Antiqua" w:eastAsia="DengXian" w:hAnsi="Book Antiqua"/>
          <w:b/>
          <w:i/>
          <w:iCs/>
          <w:color w:val="000000"/>
          <w:sz w:val="20"/>
          <w:szCs w:val="20"/>
        </w:rPr>
      </w:pPr>
      <w:r>
        <w:rPr>
          <w:rFonts w:ascii="Book Antiqua" w:eastAsia="DengXian" w:hAnsi="Book Antiqua"/>
          <w:b/>
          <w:i/>
          <w:iCs/>
          <w:color w:val="000000"/>
          <w:sz w:val="20"/>
          <w:szCs w:val="20"/>
        </w:rPr>
        <w:t>Case 1</w:t>
      </w:r>
    </w:p>
    <w:p w14:paraId="47CDB0AE" w14:textId="5A47CE34"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 xml:space="preserve">During the patient’s first week in the hospital, he received conventional treatment, including a behavioral approach and electrical stimulation. Swallowing function was not significantly improved. </w:t>
      </w:r>
      <w:r>
        <w:rPr>
          <w:rFonts w:ascii="Book Antiqua" w:hAnsi="Book Antiqua"/>
          <w:color w:val="000000"/>
          <w:sz w:val="20"/>
          <w:szCs w:val="20"/>
        </w:rPr>
        <w:lastRenderedPageBreak/>
        <w:t>HEST was adopted in the second week and performed twice a day, 5 d per wk.</w:t>
      </w:r>
    </w:p>
    <w:p w14:paraId="38FFEA03" w14:textId="77777777" w:rsidR="00680D85" w:rsidRDefault="00680D85">
      <w:pPr>
        <w:snapToGrid w:val="0"/>
        <w:spacing w:line="360" w:lineRule="auto"/>
        <w:rPr>
          <w:rFonts w:ascii="Book Antiqua" w:hAnsi="Book Antiqua"/>
          <w:color w:val="000000"/>
          <w:sz w:val="20"/>
          <w:szCs w:val="20"/>
        </w:rPr>
      </w:pPr>
    </w:p>
    <w:p w14:paraId="4CC15705" w14:textId="77777777" w:rsidR="00680D85" w:rsidRDefault="00BD58DD">
      <w:pPr>
        <w:snapToGrid w:val="0"/>
        <w:spacing w:line="360" w:lineRule="auto"/>
        <w:rPr>
          <w:rFonts w:ascii="Book Antiqua" w:eastAsia="DengXian" w:hAnsi="Book Antiqua"/>
          <w:b/>
          <w:i/>
          <w:iCs/>
          <w:color w:val="000000"/>
          <w:sz w:val="20"/>
          <w:szCs w:val="20"/>
        </w:rPr>
      </w:pPr>
      <w:r>
        <w:rPr>
          <w:rFonts w:ascii="Book Antiqua" w:eastAsia="DengXian" w:hAnsi="Book Antiqua"/>
          <w:b/>
          <w:i/>
          <w:iCs/>
          <w:color w:val="000000"/>
          <w:sz w:val="20"/>
          <w:szCs w:val="20"/>
        </w:rPr>
        <w:t>Case 2</w:t>
      </w:r>
    </w:p>
    <w:p w14:paraId="3034442B" w14:textId="77777777"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HEST was performed twice a day as well.</w:t>
      </w:r>
    </w:p>
    <w:p w14:paraId="6027E7EE" w14:textId="77777777" w:rsidR="00680D85" w:rsidRDefault="00680D85">
      <w:pPr>
        <w:snapToGrid w:val="0"/>
        <w:spacing w:line="360" w:lineRule="auto"/>
        <w:rPr>
          <w:rFonts w:ascii="Book Antiqua" w:hAnsi="Book Antiqua"/>
          <w:color w:val="000000"/>
          <w:sz w:val="20"/>
          <w:szCs w:val="20"/>
        </w:rPr>
      </w:pPr>
    </w:p>
    <w:p w14:paraId="75F98C25" w14:textId="77777777" w:rsidR="00680D85" w:rsidRDefault="00BD58DD">
      <w:pPr>
        <w:snapToGrid w:val="0"/>
        <w:spacing w:line="360" w:lineRule="auto"/>
        <w:rPr>
          <w:rFonts w:ascii="Book Antiqua" w:hAnsi="Book Antiqua"/>
          <w:b/>
          <w:color w:val="000000"/>
          <w:sz w:val="20"/>
          <w:szCs w:val="20"/>
          <w:u w:val="single"/>
        </w:rPr>
      </w:pPr>
      <w:r>
        <w:rPr>
          <w:rFonts w:ascii="Book Antiqua" w:hAnsi="Book Antiqua"/>
          <w:b/>
          <w:bCs/>
          <w:color w:val="000000"/>
          <w:sz w:val="20"/>
          <w:szCs w:val="20"/>
          <w:u w:val="single"/>
        </w:rPr>
        <w:t>OUTCOME AND FOLLOW-UP</w:t>
      </w:r>
    </w:p>
    <w:p w14:paraId="01825CDC" w14:textId="77777777" w:rsidR="00680D85" w:rsidRDefault="00BD58DD">
      <w:pPr>
        <w:snapToGrid w:val="0"/>
        <w:spacing w:line="360" w:lineRule="auto"/>
        <w:rPr>
          <w:rFonts w:ascii="Book Antiqua" w:eastAsia="DengXian" w:hAnsi="Book Antiqua"/>
          <w:b/>
          <w:i/>
          <w:iCs/>
          <w:color w:val="000000"/>
          <w:sz w:val="20"/>
          <w:szCs w:val="20"/>
        </w:rPr>
      </w:pPr>
      <w:r>
        <w:rPr>
          <w:rFonts w:ascii="Book Antiqua" w:eastAsia="DengXian" w:hAnsi="Book Antiqua"/>
          <w:b/>
          <w:i/>
          <w:iCs/>
          <w:color w:val="000000"/>
          <w:sz w:val="20"/>
          <w:szCs w:val="20"/>
        </w:rPr>
        <w:t>Case 1</w:t>
      </w:r>
    </w:p>
    <w:p w14:paraId="01310951" w14:textId="77777777"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After 2 wk of treatment, the patient was able to resume oral feeding, and the nasogastric tube was removed. The second examination showed that the FOIS result was improved to level 7 (total oral diet with no restrictions) and the MWST result improved to grade 5 (no bucking, no residue and at least 2 or more swallowing motions could be initiated), and the sEMG signals resembled normal swallowing. At each initial swallowing movement, the target value could be easily achieved, but the latency became longer in the second and subsequent movements (Figure 3C). After discharge, the patient was advised to continue endurance training for a long time. The long-term outcome was investigated 12 mo later over the telephone because the present address of the patient was quite far away from the hospital. The only possible evaluation was FOIS, which maintained level 7 and the nutrition way maintained oral feeding. The time required for each meal was limited in 30 min.</w:t>
      </w:r>
    </w:p>
    <w:p w14:paraId="513F0E0A" w14:textId="77777777" w:rsidR="00680D85" w:rsidRDefault="00680D85">
      <w:pPr>
        <w:snapToGrid w:val="0"/>
        <w:spacing w:line="360" w:lineRule="auto"/>
        <w:rPr>
          <w:rFonts w:ascii="Book Antiqua" w:hAnsi="Book Antiqua"/>
          <w:color w:val="000000"/>
          <w:sz w:val="20"/>
          <w:szCs w:val="20"/>
        </w:rPr>
      </w:pPr>
    </w:p>
    <w:p w14:paraId="7B0A8203" w14:textId="77777777" w:rsidR="00680D85" w:rsidRDefault="00BD58DD">
      <w:pPr>
        <w:snapToGrid w:val="0"/>
        <w:spacing w:line="360" w:lineRule="auto"/>
        <w:rPr>
          <w:rFonts w:ascii="Book Antiqua" w:eastAsia="DengXian" w:hAnsi="Book Antiqua"/>
          <w:b/>
          <w:i/>
          <w:iCs/>
          <w:color w:val="000000"/>
          <w:sz w:val="20"/>
          <w:szCs w:val="20"/>
        </w:rPr>
      </w:pPr>
      <w:r>
        <w:rPr>
          <w:rFonts w:ascii="Book Antiqua" w:eastAsia="DengXian" w:hAnsi="Book Antiqua"/>
          <w:b/>
          <w:i/>
          <w:iCs/>
          <w:color w:val="000000"/>
          <w:sz w:val="20"/>
          <w:szCs w:val="20"/>
        </w:rPr>
        <w:t>Case 2</w:t>
      </w:r>
    </w:p>
    <w:p w14:paraId="5D2A9FA7" w14:textId="0FBE788F"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 xml:space="preserve">On the third day after treatment, the patient was able to resume oral feeding, and the nasogastric tube was removed. The second examination showed that the FOIS result was level 7 (total oral diet with no restrictions), and the MWST result was grade 5 (no bucking, no residue and at least 2 or more swallowing movements could be initiated). Normal swallowing waves were observed by sEMG (Figure 3D). The follow-up was investigated 9 mo later over the telephone because the patient felt free to eat all kinds of foods and believed there was no need to be hospitalized. The FOIS of the patient-maintained level 7 as well. The nutrition way remained the same with </w:t>
      </w:r>
      <w:r>
        <w:rPr>
          <w:rFonts w:ascii="Book Antiqua" w:eastAsia="DengXian" w:hAnsi="Book Antiqua"/>
          <w:color w:val="000000"/>
          <w:sz w:val="20"/>
          <w:szCs w:val="20"/>
        </w:rPr>
        <w:t>each meal finished within 30 min.</w:t>
      </w:r>
    </w:p>
    <w:p w14:paraId="473BBF88" w14:textId="77777777" w:rsidR="00680D85" w:rsidRDefault="00BD58DD">
      <w:pPr>
        <w:snapToGrid w:val="0"/>
        <w:spacing w:line="360" w:lineRule="auto"/>
        <w:ind w:firstLineChars="100" w:firstLine="200"/>
        <w:rPr>
          <w:rFonts w:ascii="Book Antiqua" w:hAnsi="Book Antiqua"/>
          <w:color w:val="000000"/>
          <w:sz w:val="20"/>
          <w:szCs w:val="20"/>
        </w:rPr>
      </w:pPr>
      <w:r>
        <w:rPr>
          <w:rFonts w:ascii="Book Antiqua" w:hAnsi="Book Antiqua"/>
          <w:color w:val="000000"/>
          <w:sz w:val="20"/>
          <w:szCs w:val="20"/>
        </w:rPr>
        <w:t>The clinical treatment schedule of the two patients is shown in Table 1.</w:t>
      </w:r>
    </w:p>
    <w:p w14:paraId="5A2F9387" w14:textId="77777777" w:rsidR="00680D85" w:rsidRDefault="00680D85">
      <w:pPr>
        <w:snapToGrid w:val="0"/>
        <w:spacing w:line="360" w:lineRule="auto"/>
        <w:rPr>
          <w:rFonts w:ascii="Book Antiqua" w:hAnsi="Book Antiqua"/>
          <w:color w:val="000000"/>
          <w:sz w:val="20"/>
          <w:szCs w:val="20"/>
        </w:rPr>
      </w:pPr>
    </w:p>
    <w:p w14:paraId="6E3B9B0D" w14:textId="77777777" w:rsidR="00680D85" w:rsidRDefault="00BD58DD">
      <w:pPr>
        <w:snapToGrid w:val="0"/>
        <w:spacing w:line="360" w:lineRule="auto"/>
        <w:rPr>
          <w:rFonts w:ascii="Book Antiqua" w:eastAsia="DengXian" w:hAnsi="Book Antiqua"/>
          <w:b/>
          <w:color w:val="000000"/>
          <w:sz w:val="20"/>
          <w:szCs w:val="20"/>
          <w:u w:val="single"/>
        </w:rPr>
      </w:pPr>
      <w:r>
        <w:rPr>
          <w:rFonts w:ascii="Book Antiqua" w:eastAsia="DengXian" w:hAnsi="Book Antiqua"/>
          <w:b/>
          <w:color w:val="000000"/>
          <w:sz w:val="20"/>
          <w:szCs w:val="20"/>
          <w:u w:val="single"/>
        </w:rPr>
        <w:t>DISCUSSION</w:t>
      </w:r>
    </w:p>
    <w:p w14:paraId="7FB828F8" w14:textId="77777777"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Traditional therapy for dysphagia involves exercises to strengthen the oropharyngeal musculatures, lifting and compensatory maneuvers to facilitate laryngeal elevation and closure, techniques to stimulate and strengthen the swallowing reflex and diet modifications</w:t>
      </w:r>
      <w:r>
        <w:rPr>
          <w:rFonts w:ascii="Book Antiqua" w:hAnsi="Book Antiqua"/>
          <w:color w:val="000000"/>
          <w:sz w:val="20"/>
          <w:szCs w:val="20"/>
          <w:vertAlign w:val="superscript"/>
        </w:rPr>
        <w:t>[4]</w:t>
      </w:r>
      <w:r>
        <w:rPr>
          <w:rFonts w:ascii="Book Antiqua" w:hAnsi="Book Antiqua"/>
          <w:color w:val="000000"/>
          <w:sz w:val="20"/>
          <w:szCs w:val="20"/>
        </w:rPr>
        <w:t xml:space="preserve">. HEST therapy combines balloon techniques with electromyography-triggered electrical stimulation (ETS) patterns to reshape the physiological order of swallowing. The former technique was used to loosen the UES and elevate the hyoid-complex, meanwhile the latter technique was used for myoelectric biofeedback training. First, a No. 14 balloon catheter was gently inserted through the pharyngeal into the esophagus. If the patient did not cough and phonation was normal, 3 ml of water was injected into the balloon, and </w:t>
      </w:r>
      <w:r>
        <w:rPr>
          <w:rFonts w:ascii="Book Antiqua" w:hAnsi="Book Antiqua"/>
          <w:color w:val="000000"/>
          <w:sz w:val="20"/>
          <w:szCs w:val="20"/>
        </w:rPr>
        <w:lastRenderedPageBreak/>
        <w:t>then the catheter was pulled upward until resistance was encountered, indicating the balloon was positioned at the lowest edge of the UES</w:t>
      </w:r>
      <w:r>
        <w:rPr>
          <w:rFonts w:ascii="Book Antiqua" w:hAnsi="Book Antiqua"/>
          <w:color w:val="000000"/>
          <w:sz w:val="20"/>
          <w:szCs w:val="20"/>
          <w:vertAlign w:val="superscript"/>
        </w:rPr>
        <w:t>[5]</w:t>
      </w:r>
      <w:r>
        <w:rPr>
          <w:rFonts w:ascii="Book Antiqua" w:hAnsi="Book Antiqua"/>
          <w:color w:val="000000"/>
          <w:sz w:val="20"/>
          <w:szCs w:val="20"/>
        </w:rPr>
        <w:t>. The plump balloon distracted the UES and lifted up when the sustaining resistance generated. Second, 2 electrodes of ETS were placed on mylohyoid muscles in the submental region above the hyoid bone</w:t>
      </w:r>
      <w:r>
        <w:rPr>
          <w:rFonts w:ascii="Book Antiqua" w:hAnsi="Book Antiqua"/>
          <w:color w:val="000000"/>
          <w:sz w:val="20"/>
          <w:szCs w:val="20"/>
          <w:vertAlign w:val="superscript"/>
        </w:rPr>
        <w:t>[6]</w:t>
      </w:r>
      <w:r>
        <w:rPr>
          <w:rFonts w:ascii="Book Antiqua" w:hAnsi="Book Antiqua"/>
          <w:color w:val="000000"/>
          <w:sz w:val="20"/>
          <w:szCs w:val="20"/>
        </w:rPr>
        <w:t>. ETS patterns were observed with the Guardian Aspire2</w:t>
      </w:r>
      <w:r>
        <w:rPr>
          <w:rFonts w:ascii="Book Antiqua" w:hAnsi="Book Antiqua"/>
          <w:color w:val="000000"/>
          <w:sz w:val="20"/>
          <w:szCs w:val="20"/>
          <w:vertAlign w:val="superscript"/>
        </w:rPr>
        <w:t>[7]</w:t>
      </w:r>
      <w:r>
        <w:rPr>
          <w:rFonts w:ascii="Book Antiqua" w:hAnsi="Book Antiqua"/>
          <w:color w:val="000000"/>
          <w:sz w:val="20"/>
          <w:szCs w:val="20"/>
        </w:rPr>
        <w:t>, which incorporates neuromuscular electrical stimulation and surface electromyography biofeedback technology for measurement and treatment. The threshold value of the electrical stimulation was set in advance depending on the intensity to evoke the macroscopic contraction of mylohyoid muscles, which could be revealed by the movement of prominentia laryngea. In other words, ETS patterns were delivered to help accomplish the complete swallowing at the moment of every beginning. Hence, when the inflated balloon encountered resistance, the patients were instructed to swallow with effort, and ETS stimulation was simultaneously administered. A complete swallowing exercise was completed when the balloon could be pulled out with ease, which means the UES was loosen up and the hyoid-complex was elevated. This treatment was terminated when the patients reported restoration of full oral intake.</w:t>
      </w:r>
    </w:p>
    <w:p w14:paraId="5708BDFC" w14:textId="7F56916A" w:rsidR="00680D85" w:rsidRDefault="00BD58DD">
      <w:pPr>
        <w:snapToGrid w:val="0"/>
        <w:spacing w:line="360" w:lineRule="auto"/>
        <w:ind w:firstLineChars="100" w:firstLine="200"/>
        <w:rPr>
          <w:rFonts w:ascii="Book Antiqua" w:hAnsi="Book Antiqua"/>
          <w:color w:val="000000"/>
          <w:sz w:val="20"/>
          <w:szCs w:val="20"/>
          <w:vertAlign w:val="superscript"/>
        </w:rPr>
      </w:pPr>
      <w:r>
        <w:rPr>
          <w:rFonts w:ascii="Book Antiqua" w:hAnsi="Book Antiqua"/>
          <w:color w:val="000000"/>
          <w:sz w:val="20"/>
          <w:szCs w:val="20"/>
        </w:rPr>
        <w:t>Swallowing is a patterned sequence of motor activity coordinated by bilateral swallowing centers in the rostral dorsolateral medulla</w:t>
      </w:r>
      <w:r>
        <w:rPr>
          <w:rFonts w:ascii="Book Antiqua" w:hAnsi="Book Antiqua"/>
          <w:color w:val="000000"/>
          <w:sz w:val="20"/>
          <w:szCs w:val="20"/>
          <w:vertAlign w:val="superscript"/>
        </w:rPr>
        <w:t>[8]</w:t>
      </w:r>
      <w:r>
        <w:rPr>
          <w:rFonts w:ascii="Book Antiqua" w:hAnsi="Book Antiqua"/>
          <w:color w:val="000000"/>
          <w:sz w:val="20"/>
          <w:szCs w:val="20"/>
        </w:rPr>
        <w:t>. The swallowing sequence involved with pharyngeal function followed seven steps</w:t>
      </w:r>
      <w:r>
        <w:rPr>
          <w:rFonts w:ascii="Book Antiqua" w:hAnsi="Book Antiqua"/>
          <w:color w:val="000000"/>
          <w:sz w:val="20"/>
          <w:szCs w:val="20"/>
          <w:vertAlign w:val="superscript"/>
        </w:rPr>
        <w:t>[9]</w:t>
      </w:r>
      <w:r>
        <w:rPr>
          <w:rFonts w:ascii="Book Antiqua" w:hAnsi="Book Antiqua"/>
          <w:color w:val="000000"/>
          <w:sz w:val="20"/>
          <w:szCs w:val="20"/>
        </w:rPr>
        <w:t>: (1) laryngeal elevation; (2) anterior hyoid motion; (3) epiglottis movement; (4) laryngeal closure; (5) pharyngeal stripping wave; (6) pharyngeal contraction; and (7) pharyngoesophageal segment opening (Figure 6). Lateral medullary infarction impairs the sequence of swallowing events</w:t>
      </w:r>
      <w:r>
        <w:rPr>
          <w:rFonts w:ascii="Book Antiqua" w:hAnsi="Book Antiqua"/>
          <w:color w:val="000000"/>
          <w:sz w:val="20"/>
          <w:szCs w:val="20"/>
          <w:vertAlign w:val="superscript"/>
        </w:rPr>
        <w:t>[10]</w:t>
      </w:r>
      <w:r>
        <w:rPr>
          <w:rFonts w:ascii="Book Antiqua" w:hAnsi="Book Antiqua"/>
          <w:color w:val="000000"/>
          <w:sz w:val="20"/>
          <w:szCs w:val="20"/>
        </w:rPr>
        <w:t>. The patients cannot initiate contraction of the suprahyoid muscles for complete swallowing, and thus, the movements of the pharynx and the root of the tongue are affected. Without enough pressure from the tongue base, the epiglottis loses the ability to sufficiently close. However, HEST helps elevate the hyoid-complex and opens the UES at the right time, which are the beginning and ending of the normal swallowing movements, respectively. To be specific, ETS stimulation and balloon lifting work together to upraise the hyoid bone with pedunculus and epiglottidean complex tissues, while the active swallowing along with the balloon dilation help loosen the UES.</w:t>
      </w:r>
    </w:p>
    <w:p w14:paraId="056D4B2F" w14:textId="56417547" w:rsidR="00680D85" w:rsidRDefault="00BD58DD">
      <w:pPr>
        <w:snapToGrid w:val="0"/>
        <w:spacing w:line="360" w:lineRule="auto"/>
        <w:ind w:firstLineChars="100" w:firstLine="200"/>
        <w:rPr>
          <w:rFonts w:ascii="Book Antiqua" w:hAnsi="Book Antiqua"/>
          <w:color w:val="000000"/>
          <w:sz w:val="20"/>
          <w:szCs w:val="20"/>
        </w:rPr>
      </w:pPr>
      <w:r>
        <w:rPr>
          <w:rFonts w:ascii="Book Antiqua" w:hAnsi="Book Antiqua"/>
          <w:color w:val="000000"/>
          <w:sz w:val="20"/>
          <w:szCs w:val="20"/>
        </w:rPr>
        <w:t>Compared with isolated muscle strength exercises such as the Mendelson maneuver, Masako maneuver, and electrical stimulation, HEST can improve the strength of suprahyoid muscles and lift the hyoid bone as well. In addition, HEST solves the tricky problem of UES opening, which results in leaking or aspiration from residue. On the other hand, balloon dilatation is an effective approach for UES opening and pharyngeal contraction</w:t>
      </w:r>
      <w:r>
        <w:rPr>
          <w:rFonts w:ascii="Book Antiqua" w:hAnsi="Book Antiqua"/>
          <w:color w:val="000000"/>
          <w:sz w:val="20"/>
          <w:szCs w:val="20"/>
          <w:vertAlign w:val="superscript"/>
        </w:rPr>
        <w:t>[11]</w:t>
      </w:r>
      <w:r>
        <w:rPr>
          <w:rFonts w:ascii="Book Antiqua" w:hAnsi="Book Antiqua"/>
          <w:color w:val="000000"/>
          <w:sz w:val="20"/>
          <w:szCs w:val="20"/>
        </w:rPr>
        <w:t>. However, patients with LMS require UES relaxation only during swallowing movements instead of plastic deformation</w:t>
      </w:r>
      <w:r>
        <w:rPr>
          <w:rFonts w:ascii="Book Antiqua" w:hAnsi="Book Antiqua"/>
          <w:color w:val="000000"/>
          <w:sz w:val="20"/>
          <w:szCs w:val="20"/>
          <w:vertAlign w:val="superscript"/>
        </w:rPr>
        <w:t>[12,13]</w:t>
      </w:r>
      <w:r>
        <w:rPr>
          <w:rFonts w:ascii="Book Antiqua" w:hAnsi="Book Antiqua"/>
          <w:color w:val="000000"/>
          <w:sz w:val="20"/>
          <w:szCs w:val="20"/>
        </w:rPr>
        <w:t>. The use of balloon dilatation alone does not improve laryngeal elevation, epiglottic closure, or pharyngeal contraction, which are necessary for swallowing efficiency and safety. In contrast, HEST can help reestablish a normal swallowing mechanism that follow the appropriate steps and complete the integrated movement.</w:t>
      </w:r>
    </w:p>
    <w:p w14:paraId="4CEA0D5C" w14:textId="77777777" w:rsidR="00680D85" w:rsidRDefault="00680D85">
      <w:pPr>
        <w:snapToGrid w:val="0"/>
        <w:spacing w:line="360" w:lineRule="auto"/>
        <w:rPr>
          <w:rFonts w:ascii="Book Antiqua" w:hAnsi="Book Antiqua"/>
          <w:color w:val="000000"/>
          <w:sz w:val="20"/>
          <w:szCs w:val="20"/>
        </w:rPr>
      </w:pPr>
    </w:p>
    <w:p w14:paraId="4A0F609B" w14:textId="77777777" w:rsidR="00680D85" w:rsidRDefault="00BD58DD">
      <w:pPr>
        <w:snapToGrid w:val="0"/>
        <w:spacing w:line="360" w:lineRule="auto"/>
        <w:rPr>
          <w:rFonts w:ascii="Book Antiqua" w:hAnsi="Book Antiqua"/>
          <w:color w:val="000000"/>
          <w:sz w:val="20"/>
          <w:szCs w:val="20"/>
          <w:u w:val="single"/>
        </w:rPr>
      </w:pPr>
      <w:r>
        <w:rPr>
          <w:rFonts w:ascii="Book Antiqua" w:eastAsia="DengXian" w:hAnsi="Book Antiqua"/>
          <w:b/>
          <w:color w:val="000000"/>
          <w:sz w:val="20"/>
          <w:szCs w:val="20"/>
          <w:u w:val="single"/>
        </w:rPr>
        <w:t>CONCLUSION</w:t>
      </w:r>
    </w:p>
    <w:p w14:paraId="4AFA0083" w14:textId="562C2240"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lastRenderedPageBreak/>
        <w:t>We report two patients with dysphagia, who were treated with HEST technique and had restored swallowing function within a short time. Because this technique is effective, easy to operate, and safe, the possibility of a wider application of HEST is suggested to restore swallowing function in patients with oropharyngeal dysphagia. Further studies with a larger population are needed to clearly verify the underlying mechanisms.</w:t>
      </w:r>
    </w:p>
    <w:p w14:paraId="73F27223" w14:textId="77777777" w:rsidR="00680D85" w:rsidRDefault="00680D85">
      <w:pPr>
        <w:snapToGrid w:val="0"/>
        <w:spacing w:line="360" w:lineRule="auto"/>
        <w:rPr>
          <w:rFonts w:ascii="Book Antiqua" w:hAnsi="Book Antiqua"/>
          <w:color w:val="000000"/>
          <w:sz w:val="20"/>
          <w:szCs w:val="20"/>
        </w:rPr>
      </w:pPr>
    </w:p>
    <w:p w14:paraId="37118CAC" w14:textId="77777777" w:rsidR="00680D85" w:rsidRDefault="00BD58DD">
      <w:pPr>
        <w:snapToGrid w:val="0"/>
        <w:spacing w:line="360" w:lineRule="auto"/>
        <w:rPr>
          <w:rFonts w:ascii="Book Antiqua" w:hAnsi="Book Antiqua"/>
          <w:color w:val="000000"/>
          <w:sz w:val="20"/>
          <w:szCs w:val="20"/>
        </w:rPr>
      </w:pPr>
      <w:r>
        <w:rPr>
          <w:rFonts w:ascii="Book Antiqua" w:eastAsia="DengXian" w:hAnsi="Book Antiqua"/>
          <w:b/>
          <w:color w:val="000000"/>
          <w:sz w:val="20"/>
          <w:szCs w:val="20"/>
          <w:u w:val="single"/>
        </w:rPr>
        <w:t>ACKNOWLEDGEMENTS</w:t>
      </w:r>
    </w:p>
    <w:p w14:paraId="374E61F3" w14:textId="762ACE62" w:rsidR="00680D85" w:rsidRDefault="00BD58DD">
      <w:pPr>
        <w:autoSpaceDE w:val="0"/>
        <w:autoSpaceDN w:val="0"/>
        <w:adjustRightInd w:val="0"/>
        <w:snapToGrid w:val="0"/>
        <w:spacing w:line="360" w:lineRule="auto"/>
        <w:rPr>
          <w:rFonts w:ascii="Book Antiqua" w:hAnsi="Book Antiqua"/>
          <w:color w:val="000000"/>
          <w:sz w:val="20"/>
          <w:szCs w:val="20"/>
        </w:rPr>
      </w:pPr>
      <w:r>
        <w:rPr>
          <w:rFonts w:ascii="Book Antiqua" w:hAnsi="Book Antiqua"/>
          <w:color w:val="000000"/>
          <w:sz w:val="20"/>
          <w:szCs w:val="20"/>
        </w:rPr>
        <w:t>The authors would like to thank the rehabilitation team at Sir Run Run Hospital for their collaboration and our patients. The patients were informed about, and consented to, publication of the case details.</w:t>
      </w:r>
    </w:p>
    <w:p w14:paraId="55107B59" w14:textId="77777777" w:rsidR="00680D85" w:rsidRDefault="00680D85">
      <w:pPr>
        <w:autoSpaceDE w:val="0"/>
        <w:autoSpaceDN w:val="0"/>
        <w:adjustRightInd w:val="0"/>
        <w:snapToGrid w:val="0"/>
        <w:spacing w:line="360" w:lineRule="auto"/>
        <w:rPr>
          <w:rFonts w:ascii="Book Antiqua" w:hAnsi="Book Antiqua"/>
          <w:color w:val="000000"/>
          <w:sz w:val="20"/>
          <w:szCs w:val="20"/>
        </w:rPr>
      </w:pPr>
    </w:p>
    <w:p w14:paraId="7458D787" w14:textId="77777777" w:rsidR="00680D85" w:rsidRDefault="00BD58DD">
      <w:pPr>
        <w:autoSpaceDE w:val="0"/>
        <w:autoSpaceDN w:val="0"/>
        <w:adjustRightInd w:val="0"/>
        <w:snapToGrid w:val="0"/>
        <w:spacing w:line="360" w:lineRule="auto"/>
        <w:rPr>
          <w:rFonts w:ascii="Book Antiqua" w:hAnsi="Book Antiqua"/>
          <w:color w:val="000000"/>
          <w:sz w:val="20"/>
          <w:szCs w:val="20"/>
        </w:rPr>
      </w:pPr>
      <w:r>
        <w:rPr>
          <w:rFonts w:ascii="Book Antiqua" w:eastAsia="DengXian" w:hAnsi="Book Antiqua"/>
          <w:b/>
          <w:color w:val="000000"/>
          <w:sz w:val="20"/>
          <w:szCs w:val="20"/>
        </w:rPr>
        <w:t>REFERENCES</w:t>
      </w:r>
    </w:p>
    <w:p w14:paraId="0F5139DA"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1 </w:t>
      </w:r>
      <w:r>
        <w:rPr>
          <w:rFonts w:ascii="Book Antiqua" w:hAnsi="Book Antiqua"/>
          <w:b/>
          <w:sz w:val="20"/>
          <w:szCs w:val="20"/>
        </w:rPr>
        <w:t>El Mekkaoui A</w:t>
      </w:r>
      <w:r>
        <w:rPr>
          <w:rFonts w:ascii="Book Antiqua" w:hAnsi="Book Antiqua"/>
          <w:sz w:val="20"/>
          <w:szCs w:val="20"/>
        </w:rPr>
        <w:t xml:space="preserve">, Irhoudane H, Ibrahimi A, El Yousfi M. Dysphagia caused by a lateral medullary infarction syndrome (Wallenberg's syndrome). </w:t>
      </w:r>
      <w:r>
        <w:rPr>
          <w:rFonts w:ascii="Book Antiqua" w:hAnsi="Book Antiqua"/>
          <w:i/>
          <w:sz w:val="20"/>
          <w:szCs w:val="20"/>
        </w:rPr>
        <w:t>Pan Afr Med J</w:t>
      </w:r>
      <w:r>
        <w:rPr>
          <w:rFonts w:ascii="Book Antiqua" w:hAnsi="Book Antiqua"/>
          <w:sz w:val="20"/>
          <w:szCs w:val="20"/>
        </w:rPr>
        <w:t xml:space="preserve"> 2012; </w:t>
      </w:r>
      <w:r>
        <w:rPr>
          <w:rFonts w:ascii="Book Antiqua" w:hAnsi="Book Antiqua"/>
          <w:b/>
          <w:sz w:val="20"/>
          <w:szCs w:val="20"/>
        </w:rPr>
        <w:t>12</w:t>
      </w:r>
      <w:r>
        <w:rPr>
          <w:rFonts w:ascii="Book Antiqua" w:hAnsi="Book Antiqua"/>
          <w:sz w:val="20"/>
          <w:szCs w:val="20"/>
        </w:rPr>
        <w:t>: 92 [PMID: 23077713]</w:t>
      </w:r>
    </w:p>
    <w:p w14:paraId="3A251193"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2 </w:t>
      </w:r>
      <w:r>
        <w:rPr>
          <w:rFonts w:ascii="Book Antiqua" w:hAnsi="Book Antiqua"/>
          <w:b/>
          <w:sz w:val="20"/>
          <w:szCs w:val="20"/>
        </w:rPr>
        <w:t>Eker A</w:t>
      </w:r>
      <w:r>
        <w:rPr>
          <w:rFonts w:ascii="Book Antiqua" w:hAnsi="Book Antiqua"/>
          <w:sz w:val="20"/>
          <w:szCs w:val="20"/>
        </w:rPr>
        <w:t xml:space="preserve">, Kaymakamzade B, Akpinar S. Treatment of Wallenberg's Syndrome related dysphagia with pyridostigmine. </w:t>
      </w:r>
      <w:r>
        <w:rPr>
          <w:rFonts w:ascii="Book Antiqua" w:hAnsi="Book Antiqua"/>
          <w:i/>
          <w:sz w:val="20"/>
          <w:szCs w:val="20"/>
        </w:rPr>
        <w:t>Acta Neurol Belg</w:t>
      </w:r>
      <w:r>
        <w:rPr>
          <w:rFonts w:ascii="Book Antiqua" w:hAnsi="Book Antiqua"/>
          <w:sz w:val="20"/>
          <w:szCs w:val="20"/>
        </w:rPr>
        <w:t xml:space="preserve"> 2017; </w:t>
      </w:r>
      <w:r>
        <w:rPr>
          <w:rFonts w:ascii="Book Antiqua" w:hAnsi="Book Antiqua"/>
          <w:b/>
          <w:sz w:val="20"/>
          <w:szCs w:val="20"/>
        </w:rPr>
        <w:t>117</w:t>
      </w:r>
      <w:r>
        <w:rPr>
          <w:rFonts w:ascii="Book Antiqua" w:hAnsi="Book Antiqua"/>
          <w:sz w:val="20"/>
          <w:szCs w:val="20"/>
        </w:rPr>
        <w:t>: 329-331 [PMID: 27424039 DOI: 10.1007/s13760-016-0664-8]</w:t>
      </w:r>
    </w:p>
    <w:p w14:paraId="3B2002C7"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3 </w:t>
      </w:r>
      <w:r>
        <w:rPr>
          <w:rFonts w:ascii="Book Antiqua" w:hAnsi="Book Antiqua"/>
          <w:b/>
          <w:sz w:val="20"/>
          <w:szCs w:val="20"/>
        </w:rPr>
        <w:t>Vigderman AM</w:t>
      </w:r>
      <w:r>
        <w:rPr>
          <w:rFonts w:ascii="Book Antiqua" w:hAnsi="Book Antiqua"/>
          <w:sz w:val="20"/>
          <w:szCs w:val="20"/>
        </w:rPr>
        <w:t xml:space="preserve">, Chavin JM, Kososky C, Tahmoush AJ. Aphagia due to pharyngeal constrictor paresis from acute lateral medullary infarction. </w:t>
      </w:r>
      <w:r>
        <w:rPr>
          <w:rFonts w:ascii="Book Antiqua" w:hAnsi="Book Antiqua"/>
          <w:i/>
          <w:sz w:val="20"/>
          <w:szCs w:val="20"/>
        </w:rPr>
        <w:t>J Neurol Sci</w:t>
      </w:r>
      <w:r>
        <w:rPr>
          <w:rFonts w:ascii="Book Antiqua" w:hAnsi="Book Antiqua"/>
          <w:sz w:val="20"/>
          <w:szCs w:val="20"/>
        </w:rPr>
        <w:t xml:space="preserve"> 1998; </w:t>
      </w:r>
      <w:r>
        <w:rPr>
          <w:rFonts w:ascii="Book Antiqua" w:hAnsi="Book Antiqua"/>
          <w:b/>
          <w:sz w:val="20"/>
          <w:szCs w:val="20"/>
        </w:rPr>
        <w:t>155</w:t>
      </w:r>
      <w:r>
        <w:rPr>
          <w:rFonts w:ascii="Book Antiqua" w:hAnsi="Book Antiqua"/>
          <w:sz w:val="20"/>
          <w:szCs w:val="20"/>
        </w:rPr>
        <w:t>: 208-210 [PMID: 9562269 DOI: 10.1016/S0022-510X(97)00307-9]</w:t>
      </w:r>
    </w:p>
    <w:p w14:paraId="561765FB"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4 </w:t>
      </w:r>
      <w:r>
        <w:rPr>
          <w:rFonts w:ascii="Book Antiqua" w:hAnsi="Book Antiqua"/>
          <w:b/>
          <w:sz w:val="20"/>
          <w:szCs w:val="20"/>
        </w:rPr>
        <w:t>Frost J</w:t>
      </w:r>
      <w:r>
        <w:rPr>
          <w:rFonts w:ascii="Book Antiqua" w:hAnsi="Book Antiqua"/>
          <w:sz w:val="20"/>
          <w:szCs w:val="20"/>
        </w:rPr>
        <w:t xml:space="preserve">, Robinson HF, Hibberd J. A comparison of neuromuscular electrical stimulation and traditional therapy, versus traditional therapy in patients with longstanding dysphagia. </w:t>
      </w:r>
      <w:r>
        <w:rPr>
          <w:rFonts w:ascii="Book Antiqua" w:hAnsi="Book Antiqua"/>
          <w:i/>
          <w:sz w:val="20"/>
          <w:szCs w:val="20"/>
        </w:rPr>
        <w:t>Curr Opin Otolaryngol Head Neck Surg</w:t>
      </w:r>
      <w:r>
        <w:rPr>
          <w:rFonts w:ascii="Book Antiqua" w:hAnsi="Book Antiqua"/>
          <w:sz w:val="20"/>
          <w:szCs w:val="20"/>
        </w:rPr>
        <w:t xml:space="preserve"> 2018; </w:t>
      </w:r>
      <w:r>
        <w:rPr>
          <w:rFonts w:ascii="Book Antiqua" w:hAnsi="Book Antiqua"/>
          <w:b/>
          <w:sz w:val="20"/>
          <w:szCs w:val="20"/>
        </w:rPr>
        <w:t>26</w:t>
      </w:r>
      <w:r>
        <w:rPr>
          <w:rFonts w:ascii="Book Antiqua" w:hAnsi="Book Antiqua"/>
          <w:sz w:val="20"/>
          <w:szCs w:val="20"/>
        </w:rPr>
        <w:t>: 167-173 [PMID: 29553959 DOI: 10.1097/MOO.0000000000000454]</w:t>
      </w:r>
    </w:p>
    <w:p w14:paraId="5AB03848"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5 </w:t>
      </w:r>
      <w:r>
        <w:rPr>
          <w:rFonts w:ascii="Book Antiqua" w:hAnsi="Book Antiqua"/>
          <w:b/>
          <w:sz w:val="20"/>
          <w:szCs w:val="20"/>
        </w:rPr>
        <w:t>Wei X</w:t>
      </w:r>
      <w:r>
        <w:rPr>
          <w:rFonts w:ascii="Book Antiqua" w:hAnsi="Book Antiqua"/>
          <w:sz w:val="20"/>
          <w:szCs w:val="20"/>
        </w:rPr>
        <w:t xml:space="preserve">, Yu F, Dai M, Xie C, Wan G, Wang Y, Dou Z. Change in Excitability of Cortical Projection After Modified Catheter Balloon Dilatation Therapy in Brainstem Stroke Patients with Dysphagia: A Prospective Controlled Study. </w:t>
      </w:r>
      <w:r>
        <w:rPr>
          <w:rFonts w:ascii="Book Antiqua" w:hAnsi="Book Antiqua"/>
          <w:i/>
          <w:sz w:val="20"/>
          <w:szCs w:val="20"/>
        </w:rPr>
        <w:t>Dysphagia</w:t>
      </w:r>
      <w:r>
        <w:rPr>
          <w:rFonts w:ascii="Book Antiqua" w:hAnsi="Book Antiqua"/>
          <w:sz w:val="20"/>
          <w:szCs w:val="20"/>
        </w:rPr>
        <w:t xml:space="preserve"> 2017; </w:t>
      </w:r>
      <w:r>
        <w:rPr>
          <w:rFonts w:ascii="Book Antiqua" w:hAnsi="Book Antiqua"/>
          <w:b/>
          <w:sz w:val="20"/>
          <w:szCs w:val="20"/>
        </w:rPr>
        <w:t>32</w:t>
      </w:r>
      <w:r>
        <w:rPr>
          <w:rFonts w:ascii="Book Antiqua" w:hAnsi="Book Antiqua"/>
          <w:sz w:val="20"/>
          <w:szCs w:val="20"/>
        </w:rPr>
        <w:t>: 645-656 [PMID: 28550485 DOI: 10.1007/s00455-017-9810-6]</w:t>
      </w:r>
    </w:p>
    <w:p w14:paraId="356C03CA"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6 </w:t>
      </w:r>
      <w:r>
        <w:rPr>
          <w:rFonts w:ascii="Book Antiqua" w:hAnsi="Book Antiqua"/>
          <w:b/>
          <w:sz w:val="20"/>
          <w:szCs w:val="20"/>
        </w:rPr>
        <w:t>Zhang M</w:t>
      </w:r>
      <w:r>
        <w:rPr>
          <w:rFonts w:ascii="Book Antiqua" w:hAnsi="Book Antiqua"/>
          <w:sz w:val="20"/>
          <w:szCs w:val="20"/>
        </w:rPr>
        <w:t xml:space="preserve">, Tao T, Zhang ZB, Zhu X, Fan WG, Pu LJ, Chu L, Yue SW. Effectiveness of Neuromuscular Electrical Stimulation on Patients With Dysphagia With Medullary Infarction. </w:t>
      </w:r>
      <w:r>
        <w:rPr>
          <w:rFonts w:ascii="Book Antiqua" w:hAnsi="Book Antiqua"/>
          <w:i/>
          <w:sz w:val="20"/>
          <w:szCs w:val="20"/>
        </w:rPr>
        <w:t>Arch Phys Med Rehabil</w:t>
      </w:r>
      <w:r>
        <w:rPr>
          <w:rFonts w:ascii="Book Antiqua" w:hAnsi="Book Antiqua"/>
          <w:sz w:val="20"/>
          <w:szCs w:val="20"/>
        </w:rPr>
        <w:t xml:space="preserve"> 2016; </w:t>
      </w:r>
      <w:r>
        <w:rPr>
          <w:rFonts w:ascii="Book Antiqua" w:hAnsi="Book Antiqua"/>
          <w:b/>
          <w:sz w:val="20"/>
          <w:szCs w:val="20"/>
        </w:rPr>
        <w:t>97</w:t>
      </w:r>
      <w:r>
        <w:rPr>
          <w:rFonts w:ascii="Book Antiqua" w:hAnsi="Book Antiqua"/>
          <w:sz w:val="20"/>
          <w:szCs w:val="20"/>
        </w:rPr>
        <w:t>: 355-362 [PMID: 26606872 DOI: 10.1016/j.apmr.2015.10.104]</w:t>
      </w:r>
    </w:p>
    <w:p w14:paraId="0BDA29DD"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7 </w:t>
      </w:r>
      <w:r>
        <w:rPr>
          <w:rFonts w:ascii="Book Antiqua" w:hAnsi="Book Antiqua"/>
          <w:b/>
          <w:bCs/>
          <w:sz w:val="20"/>
          <w:szCs w:val="20"/>
        </w:rPr>
        <w:t>ASHA</w:t>
      </w:r>
      <w:r>
        <w:rPr>
          <w:rFonts w:ascii="Book Antiqua" w:hAnsi="Book Antiqua"/>
          <w:sz w:val="20"/>
          <w:szCs w:val="20"/>
        </w:rPr>
        <w:t>. National Outcomes Measurement System (NOMS): Adult Speech-Language Pathology User’s Guide. 2003. Available from: http://docshare01.docshare.tips/files/7828/78286027.pdf</w:t>
      </w:r>
    </w:p>
    <w:p w14:paraId="4B84AFB8"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8 </w:t>
      </w:r>
      <w:r>
        <w:rPr>
          <w:rFonts w:ascii="Book Antiqua" w:hAnsi="Book Antiqua"/>
          <w:b/>
          <w:sz w:val="20"/>
          <w:szCs w:val="20"/>
        </w:rPr>
        <w:t>Aydogdu I</w:t>
      </w:r>
      <w:r>
        <w:rPr>
          <w:rFonts w:ascii="Book Antiqua" w:hAnsi="Book Antiqua"/>
          <w:sz w:val="20"/>
          <w:szCs w:val="20"/>
        </w:rPr>
        <w:t xml:space="preserve">, Ertekin C, Tarlaci S, Turman B, Kiylioglu N, Secil Y. Dysphagia in lateral medullary infarction (Wallenberg's syndrome): an acute disconnection syndrome in premotor neurons related to swallowing activity? </w:t>
      </w:r>
      <w:r>
        <w:rPr>
          <w:rFonts w:ascii="Book Antiqua" w:hAnsi="Book Antiqua"/>
          <w:i/>
          <w:sz w:val="20"/>
          <w:szCs w:val="20"/>
        </w:rPr>
        <w:t>Stroke</w:t>
      </w:r>
      <w:r>
        <w:rPr>
          <w:rFonts w:ascii="Book Antiqua" w:hAnsi="Book Antiqua"/>
          <w:sz w:val="20"/>
          <w:szCs w:val="20"/>
        </w:rPr>
        <w:t xml:space="preserve"> 2001; </w:t>
      </w:r>
      <w:r>
        <w:rPr>
          <w:rFonts w:ascii="Book Antiqua" w:hAnsi="Book Antiqua"/>
          <w:b/>
          <w:sz w:val="20"/>
          <w:szCs w:val="20"/>
        </w:rPr>
        <w:t>32</w:t>
      </w:r>
      <w:r>
        <w:rPr>
          <w:rFonts w:ascii="Book Antiqua" w:hAnsi="Book Antiqua"/>
          <w:sz w:val="20"/>
          <w:szCs w:val="20"/>
        </w:rPr>
        <w:t>: 2081-2087 [PMID: 11546900 DOI: 10.1161/hs0901.094278]</w:t>
      </w:r>
    </w:p>
    <w:p w14:paraId="3C55F4AB"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9 </w:t>
      </w:r>
      <w:r>
        <w:rPr>
          <w:rFonts w:ascii="Book Antiqua" w:hAnsi="Book Antiqua"/>
          <w:b/>
          <w:sz w:val="20"/>
          <w:szCs w:val="20"/>
        </w:rPr>
        <w:t>Martin-Harris B</w:t>
      </w:r>
      <w:r>
        <w:rPr>
          <w:rFonts w:ascii="Book Antiqua" w:hAnsi="Book Antiqua"/>
          <w:sz w:val="20"/>
          <w:szCs w:val="20"/>
        </w:rPr>
        <w:t xml:space="preserve">, Brodsky MB, Michel Y, Castell DO, Schleicher M, Sandidge J, Maxwell R, Blair J. MBS measurement tool for swallow impairment--MBSImp: establishing a standard. </w:t>
      </w:r>
      <w:r>
        <w:rPr>
          <w:rFonts w:ascii="Book Antiqua" w:hAnsi="Book Antiqua"/>
          <w:i/>
          <w:sz w:val="20"/>
          <w:szCs w:val="20"/>
        </w:rPr>
        <w:t>Dysphagia</w:t>
      </w:r>
      <w:r>
        <w:rPr>
          <w:rFonts w:ascii="Book Antiqua" w:hAnsi="Book Antiqua"/>
          <w:sz w:val="20"/>
          <w:szCs w:val="20"/>
        </w:rPr>
        <w:t xml:space="preserve"> 2008; </w:t>
      </w:r>
      <w:r>
        <w:rPr>
          <w:rFonts w:ascii="Book Antiqua" w:hAnsi="Book Antiqua"/>
          <w:b/>
          <w:sz w:val="20"/>
          <w:szCs w:val="20"/>
        </w:rPr>
        <w:t>23</w:t>
      </w:r>
      <w:r>
        <w:rPr>
          <w:rFonts w:ascii="Book Antiqua" w:hAnsi="Book Antiqua"/>
          <w:sz w:val="20"/>
          <w:szCs w:val="20"/>
        </w:rPr>
        <w:t>: 392-405 [PMID: 18855050 DOI: 10.1007/s00455-008-9185-9]</w:t>
      </w:r>
    </w:p>
    <w:p w14:paraId="48982142"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10 </w:t>
      </w:r>
      <w:r>
        <w:rPr>
          <w:rFonts w:ascii="Book Antiqua" w:hAnsi="Book Antiqua"/>
          <w:b/>
          <w:sz w:val="20"/>
          <w:szCs w:val="20"/>
        </w:rPr>
        <w:t>Nakao M</w:t>
      </w:r>
      <w:r>
        <w:rPr>
          <w:rFonts w:ascii="Book Antiqua" w:hAnsi="Book Antiqua"/>
          <w:sz w:val="20"/>
          <w:szCs w:val="20"/>
        </w:rPr>
        <w:t xml:space="preserve">, Oshima F, Maeno Y, Izumi S. Disruption of the Obligatory Swallowing Sequence in </w:t>
      </w:r>
      <w:r>
        <w:rPr>
          <w:rFonts w:ascii="Book Antiqua" w:hAnsi="Book Antiqua"/>
          <w:sz w:val="20"/>
          <w:szCs w:val="20"/>
        </w:rPr>
        <w:lastRenderedPageBreak/>
        <w:t xml:space="preserve">Patients with Wallenberg Syndrome. </w:t>
      </w:r>
      <w:r>
        <w:rPr>
          <w:rFonts w:ascii="Book Antiqua" w:hAnsi="Book Antiqua"/>
          <w:i/>
          <w:sz w:val="20"/>
          <w:szCs w:val="20"/>
        </w:rPr>
        <w:t>Dysphagia</w:t>
      </w:r>
      <w:r>
        <w:rPr>
          <w:rFonts w:ascii="Book Antiqua" w:hAnsi="Book Antiqua"/>
          <w:sz w:val="20"/>
          <w:szCs w:val="20"/>
        </w:rPr>
        <w:t xml:space="preserve"> 2019; </w:t>
      </w:r>
      <w:r>
        <w:rPr>
          <w:rFonts w:ascii="Book Antiqua" w:hAnsi="Book Antiqua"/>
          <w:b/>
          <w:sz w:val="20"/>
          <w:szCs w:val="20"/>
        </w:rPr>
        <w:t>34</w:t>
      </w:r>
      <w:r>
        <w:rPr>
          <w:rFonts w:ascii="Book Antiqua" w:hAnsi="Book Antiqua"/>
          <w:sz w:val="20"/>
          <w:szCs w:val="20"/>
        </w:rPr>
        <w:t>: 673-680 [PMID: 30617841 DOI: 10.1007/s00455-018-09970-9]</w:t>
      </w:r>
    </w:p>
    <w:p w14:paraId="0F40B25A"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11 </w:t>
      </w:r>
      <w:r>
        <w:rPr>
          <w:rFonts w:ascii="Book Antiqua" w:hAnsi="Book Antiqua"/>
          <w:b/>
          <w:sz w:val="20"/>
          <w:szCs w:val="20"/>
        </w:rPr>
        <w:t>Lan Y</w:t>
      </w:r>
      <w:r>
        <w:rPr>
          <w:rFonts w:ascii="Book Antiqua" w:hAnsi="Book Antiqua"/>
          <w:sz w:val="20"/>
          <w:szCs w:val="20"/>
        </w:rPr>
        <w:t xml:space="preserve">, Xu G, Dou Z, Wan G, Yu F, Lin T. Biomechanical changes in the pharynx and upper esophageal sphincter after modified balloon dilatation in brainstem stroke patients with dysphagia. </w:t>
      </w:r>
      <w:r>
        <w:rPr>
          <w:rFonts w:ascii="Book Antiqua" w:hAnsi="Book Antiqua"/>
          <w:i/>
          <w:sz w:val="20"/>
          <w:szCs w:val="20"/>
        </w:rPr>
        <w:t>Neurogastroenterol Motil</w:t>
      </w:r>
      <w:r>
        <w:rPr>
          <w:rFonts w:ascii="Book Antiqua" w:hAnsi="Book Antiqua"/>
          <w:sz w:val="20"/>
          <w:szCs w:val="20"/>
        </w:rPr>
        <w:t xml:space="preserve"> 2013; </w:t>
      </w:r>
      <w:r>
        <w:rPr>
          <w:rFonts w:ascii="Book Antiqua" w:hAnsi="Book Antiqua"/>
          <w:b/>
          <w:sz w:val="20"/>
          <w:szCs w:val="20"/>
        </w:rPr>
        <w:t>25</w:t>
      </w:r>
      <w:r>
        <w:rPr>
          <w:rFonts w:ascii="Book Antiqua" w:hAnsi="Book Antiqua"/>
          <w:sz w:val="20"/>
          <w:szCs w:val="20"/>
        </w:rPr>
        <w:t>: e821-e829 [PMID: 23941282 DOI: 10.1111/nmo.12209]</w:t>
      </w:r>
    </w:p>
    <w:p w14:paraId="4006E436"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12 </w:t>
      </w:r>
      <w:r>
        <w:rPr>
          <w:rFonts w:ascii="Book Antiqua" w:hAnsi="Book Antiqua"/>
          <w:b/>
          <w:sz w:val="20"/>
          <w:szCs w:val="20"/>
        </w:rPr>
        <w:t>Mendell DA</w:t>
      </w:r>
      <w:r>
        <w:rPr>
          <w:rFonts w:ascii="Book Antiqua" w:hAnsi="Book Antiqua"/>
          <w:sz w:val="20"/>
          <w:szCs w:val="20"/>
        </w:rPr>
        <w:t xml:space="preserve">, Logemann JA. Temporal sequence of swallow events during the oropharyngeal swallow. </w:t>
      </w:r>
      <w:r>
        <w:rPr>
          <w:rFonts w:ascii="Book Antiqua" w:hAnsi="Book Antiqua"/>
          <w:i/>
          <w:sz w:val="20"/>
          <w:szCs w:val="20"/>
        </w:rPr>
        <w:t>J Speech Lang Hear Res</w:t>
      </w:r>
      <w:r>
        <w:rPr>
          <w:rFonts w:ascii="Book Antiqua" w:hAnsi="Book Antiqua"/>
          <w:sz w:val="20"/>
          <w:szCs w:val="20"/>
        </w:rPr>
        <w:t xml:space="preserve"> 2007; </w:t>
      </w:r>
      <w:r>
        <w:rPr>
          <w:rFonts w:ascii="Book Antiqua" w:hAnsi="Book Antiqua"/>
          <w:b/>
          <w:sz w:val="20"/>
          <w:szCs w:val="20"/>
        </w:rPr>
        <w:t>50</w:t>
      </w:r>
      <w:r>
        <w:rPr>
          <w:rFonts w:ascii="Book Antiqua" w:hAnsi="Book Antiqua"/>
          <w:sz w:val="20"/>
          <w:szCs w:val="20"/>
        </w:rPr>
        <w:t>: 1256-1271 [PMID: 17905910 DOI: 10.1044/1092-4388(2007/088)]</w:t>
      </w:r>
    </w:p>
    <w:p w14:paraId="636DCA53" w14:textId="77777777" w:rsidR="00680D85" w:rsidRDefault="00BD58DD">
      <w:pPr>
        <w:snapToGrid w:val="0"/>
        <w:spacing w:line="360" w:lineRule="auto"/>
        <w:rPr>
          <w:rFonts w:ascii="Book Antiqua" w:hAnsi="Book Antiqua"/>
          <w:sz w:val="20"/>
          <w:szCs w:val="20"/>
        </w:rPr>
      </w:pPr>
      <w:r>
        <w:rPr>
          <w:rFonts w:ascii="Book Antiqua" w:hAnsi="Book Antiqua"/>
          <w:sz w:val="20"/>
          <w:szCs w:val="20"/>
        </w:rPr>
        <w:t xml:space="preserve">13 </w:t>
      </w:r>
      <w:r>
        <w:rPr>
          <w:rFonts w:ascii="Book Antiqua" w:hAnsi="Book Antiqua"/>
          <w:b/>
          <w:sz w:val="20"/>
          <w:szCs w:val="20"/>
        </w:rPr>
        <w:t>Herzberg EG</w:t>
      </w:r>
      <w:r>
        <w:rPr>
          <w:rFonts w:ascii="Book Antiqua" w:hAnsi="Book Antiqua"/>
          <w:sz w:val="20"/>
          <w:szCs w:val="20"/>
        </w:rPr>
        <w:t xml:space="preserve">, Lazarus CL, Steele CM, Molfenter SM. Swallow Event Sequencing: Comparing Healthy Older and Younger Adults. </w:t>
      </w:r>
      <w:r>
        <w:rPr>
          <w:rFonts w:ascii="Book Antiqua" w:hAnsi="Book Antiqua"/>
          <w:i/>
          <w:sz w:val="20"/>
          <w:szCs w:val="20"/>
        </w:rPr>
        <w:t>Dysphagia</w:t>
      </w:r>
      <w:r>
        <w:rPr>
          <w:rFonts w:ascii="Book Antiqua" w:hAnsi="Book Antiqua"/>
          <w:sz w:val="20"/>
          <w:szCs w:val="20"/>
        </w:rPr>
        <w:t xml:space="preserve"> 2018; </w:t>
      </w:r>
      <w:r>
        <w:rPr>
          <w:rFonts w:ascii="Book Antiqua" w:hAnsi="Book Antiqua"/>
          <w:b/>
          <w:sz w:val="20"/>
          <w:szCs w:val="20"/>
        </w:rPr>
        <w:t>33</w:t>
      </w:r>
      <w:r>
        <w:rPr>
          <w:rFonts w:ascii="Book Antiqua" w:hAnsi="Book Antiqua"/>
          <w:sz w:val="20"/>
          <w:szCs w:val="20"/>
        </w:rPr>
        <w:t>: 759-767 [PMID: 29687354 DOI: 10.1007/s00455-018-9898-3]</w:t>
      </w:r>
    </w:p>
    <w:p w14:paraId="05F7C2C6" w14:textId="77777777" w:rsidR="00680D85" w:rsidRDefault="00BD58DD">
      <w:pPr>
        <w:pStyle w:val="Default"/>
        <w:snapToGrid w:val="0"/>
        <w:spacing w:line="360" w:lineRule="auto"/>
        <w:jc w:val="both"/>
        <w:rPr>
          <w:sz w:val="20"/>
          <w:szCs w:val="20"/>
        </w:rPr>
      </w:pPr>
      <w:r>
        <w:rPr>
          <w:rFonts w:cs="Times"/>
          <w:b/>
          <w:sz w:val="20"/>
          <w:szCs w:val="20"/>
        </w:rPr>
        <w:br w:type="page"/>
      </w:r>
      <w:r>
        <w:rPr>
          <w:b/>
          <w:bCs/>
          <w:sz w:val="20"/>
          <w:szCs w:val="20"/>
        </w:rPr>
        <w:lastRenderedPageBreak/>
        <w:t>Footnotes</w:t>
      </w:r>
    </w:p>
    <w:p w14:paraId="0CF7D9A2"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b/>
          <w:bCs/>
          <w:sz w:val="20"/>
          <w:szCs w:val="20"/>
        </w:rPr>
        <w:t xml:space="preserve">Informed consent statement: </w:t>
      </w:r>
      <w:r>
        <w:rPr>
          <w:rFonts w:ascii="Book Antiqua" w:hAnsi="Book Antiqua" w:cs="Book Antiqua"/>
          <w:color w:val="000000"/>
          <w:kern w:val="0"/>
          <w:sz w:val="20"/>
          <w:szCs w:val="20"/>
        </w:rPr>
        <w:t>Informed written consent was obtained from the patient for publication of this report and any accompanying images.</w:t>
      </w:r>
    </w:p>
    <w:p w14:paraId="1B64DC11" w14:textId="77777777" w:rsidR="00680D85" w:rsidRDefault="00680D85">
      <w:pPr>
        <w:widowControl/>
        <w:autoSpaceDE w:val="0"/>
        <w:autoSpaceDN w:val="0"/>
        <w:adjustRightInd w:val="0"/>
        <w:snapToGrid w:val="0"/>
        <w:spacing w:line="360" w:lineRule="auto"/>
        <w:rPr>
          <w:rFonts w:ascii="Book Antiqua" w:hAnsi="Book Antiqua" w:cs="Book Antiqua"/>
          <w:color w:val="000000"/>
          <w:kern w:val="0"/>
          <w:sz w:val="20"/>
          <w:szCs w:val="20"/>
        </w:rPr>
      </w:pPr>
    </w:p>
    <w:p w14:paraId="075B4535"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b/>
          <w:bCs/>
          <w:sz w:val="20"/>
          <w:szCs w:val="20"/>
        </w:rPr>
        <w:t xml:space="preserve">Conflict-of-interest statement: </w:t>
      </w:r>
      <w:r>
        <w:rPr>
          <w:rFonts w:ascii="Book Antiqua" w:hAnsi="Book Antiqua" w:cs="Book Antiqua"/>
          <w:color w:val="000000"/>
          <w:kern w:val="0"/>
          <w:sz w:val="20"/>
          <w:szCs w:val="20"/>
        </w:rPr>
        <w:t xml:space="preserve">The authors declare that they have no conflicts of interest. </w:t>
      </w:r>
    </w:p>
    <w:p w14:paraId="537AAB3D" w14:textId="77777777" w:rsidR="00680D85" w:rsidRDefault="00680D85">
      <w:pPr>
        <w:widowControl/>
        <w:autoSpaceDE w:val="0"/>
        <w:autoSpaceDN w:val="0"/>
        <w:adjustRightInd w:val="0"/>
        <w:snapToGrid w:val="0"/>
        <w:spacing w:line="360" w:lineRule="auto"/>
        <w:rPr>
          <w:rFonts w:ascii="Book Antiqua" w:hAnsi="Book Antiqua" w:cs="Book Antiqua"/>
          <w:color w:val="000000"/>
          <w:kern w:val="0"/>
          <w:sz w:val="20"/>
          <w:szCs w:val="20"/>
        </w:rPr>
      </w:pPr>
    </w:p>
    <w:p w14:paraId="24082AB7"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Tahoma"/>
          <w:b/>
          <w:sz w:val="20"/>
          <w:szCs w:val="20"/>
        </w:rPr>
        <w:t>CARE Checklist (2016) statement:</w:t>
      </w:r>
      <w:r>
        <w:rPr>
          <w:rFonts w:ascii="Book Antiqua" w:hAnsi="Book Antiqua" w:cs="Tahoma"/>
          <w:sz w:val="20"/>
          <w:szCs w:val="20"/>
        </w:rPr>
        <w:t xml:space="preserve"> </w:t>
      </w:r>
      <w:r>
        <w:rPr>
          <w:rFonts w:ascii="Book Antiqua" w:hAnsi="Book Antiqua" w:cs="Book Antiqua"/>
          <w:color w:val="000000"/>
          <w:kern w:val="0"/>
          <w:sz w:val="20"/>
          <w:szCs w:val="20"/>
        </w:rPr>
        <w:t xml:space="preserve">The authors have read the CARE Checklist (2016), and the manuscript was prepared and revised according to the CARE Checklist (2016). </w:t>
      </w:r>
    </w:p>
    <w:p w14:paraId="685B6301" w14:textId="77777777" w:rsidR="00680D85" w:rsidRDefault="00680D85">
      <w:pPr>
        <w:widowControl/>
        <w:autoSpaceDE w:val="0"/>
        <w:autoSpaceDN w:val="0"/>
        <w:adjustRightInd w:val="0"/>
        <w:snapToGrid w:val="0"/>
        <w:spacing w:line="360" w:lineRule="auto"/>
        <w:rPr>
          <w:rFonts w:ascii="Book Antiqua" w:hAnsi="Book Antiqua" w:cs="Book Antiqua"/>
          <w:color w:val="000000"/>
          <w:kern w:val="0"/>
          <w:sz w:val="20"/>
          <w:szCs w:val="20"/>
        </w:rPr>
      </w:pPr>
    </w:p>
    <w:p w14:paraId="14F203DE"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b/>
          <w:color w:val="000000"/>
          <w:sz w:val="20"/>
          <w:szCs w:val="20"/>
        </w:rPr>
        <w:t>Open-Access:</w:t>
      </w:r>
      <w:r>
        <w:rPr>
          <w:rFonts w:ascii="Book Antiqua" w:hAnsi="Book Antiqua"/>
          <w:color w:val="000000"/>
          <w:sz w:val="20"/>
          <w:szCs w:val="20"/>
        </w:rPr>
        <w:t xml:space="preserve"> This article is an open-access </w:t>
      </w:r>
      <w:r>
        <w:rPr>
          <w:rFonts w:ascii="Book Antiqua" w:hAnsi="Book Antiqua"/>
          <w:sz w:val="20"/>
          <w:szCs w:val="20"/>
        </w:rPr>
        <w:t xml:space="preserve">article that was selected </w:t>
      </w:r>
      <w:r>
        <w:rPr>
          <w:rFonts w:ascii="Book Antiqua" w:hAnsi="Book Antiqua"/>
          <w:color w:val="000000"/>
          <w:sz w:val="20"/>
          <w:szCs w:val="20"/>
        </w:rPr>
        <w:t>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38B21B5" w14:textId="77777777" w:rsidR="00680D85" w:rsidRDefault="00680D85">
      <w:pPr>
        <w:adjustRightInd w:val="0"/>
        <w:snapToGrid w:val="0"/>
        <w:spacing w:line="360" w:lineRule="auto"/>
        <w:rPr>
          <w:rFonts w:ascii="Book Antiqua" w:hAnsi="Book Antiqua" w:cs="DengXian"/>
          <w:b/>
          <w:bCs/>
          <w:sz w:val="20"/>
          <w:szCs w:val="20"/>
        </w:rPr>
      </w:pPr>
    </w:p>
    <w:p w14:paraId="2B98F03A" w14:textId="77777777" w:rsidR="00680D85" w:rsidRDefault="00BD58DD">
      <w:pPr>
        <w:pStyle w:val="Default"/>
        <w:snapToGrid w:val="0"/>
        <w:spacing w:line="360" w:lineRule="auto"/>
        <w:jc w:val="both"/>
        <w:rPr>
          <w:sz w:val="20"/>
          <w:szCs w:val="20"/>
        </w:rPr>
      </w:pPr>
      <w:r>
        <w:rPr>
          <w:rFonts w:eastAsia="宋体" w:cs="宋体"/>
          <w:b/>
          <w:sz w:val="20"/>
          <w:szCs w:val="20"/>
        </w:rPr>
        <w:t>Manuscript source:</w:t>
      </w:r>
      <w:r>
        <w:rPr>
          <w:rFonts w:eastAsia="宋体" w:cs="宋体"/>
          <w:sz w:val="20"/>
          <w:szCs w:val="20"/>
        </w:rPr>
        <w:t> </w:t>
      </w:r>
      <w:r>
        <w:rPr>
          <w:sz w:val="20"/>
          <w:szCs w:val="20"/>
        </w:rPr>
        <w:t xml:space="preserve">Unsolicited manuscript </w:t>
      </w:r>
    </w:p>
    <w:p w14:paraId="2544A1E3" w14:textId="77777777" w:rsidR="00680D85" w:rsidRDefault="00680D85">
      <w:pPr>
        <w:widowControl/>
        <w:autoSpaceDE w:val="0"/>
        <w:autoSpaceDN w:val="0"/>
        <w:adjustRightInd w:val="0"/>
        <w:snapToGrid w:val="0"/>
        <w:spacing w:line="360" w:lineRule="auto"/>
        <w:rPr>
          <w:rFonts w:ascii="Book Antiqua" w:hAnsi="Book Antiqua" w:cs="Times"/>
          <w:b/>
          <w:color w:val="000000"/>
          <w:kern w:val="0"/>
          <w:sz w:val="20"/>
          <w:szCs w:val="20"/>
        </w:rPr>
      </w:pPr>
    </w:p>
    <w:p w14:paraId="55033983"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Times"/>
          <w:b/>
          <w:color w:val="000000"/>
          <w:kern w:val="0"/>
          <w:sz w:val="20"/>
          <w:szCs w:val="20"/>
        </w:rPr>
        <w:t xml:space="preserve">Peer-review started: </w:t>
      </w:r>
      <w:r>
        <w:rPr>
          <w:rFonts w:ascii="Book Antiqua" w:hAnsi="Book Antiqua" w:cs="Book Antiqua"/>
          <w:color w:val="000000"/>
          <w:kern w:val="0"/>
          <w:sz w:val="20"/>
          <w:szCs w:val="20"/>
        </w:rPr>
        <w:t>November 25, 2019</w:t>
      </w:r>
    </w:p>
    <w:p w14:paraId="77C22B55"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Times"/>
          <w:b/>
          <w:color w:val="000000"/>
          <w:kern w:val="0"/>
          <w:sz w:val="20"/>
          <w:szCs w:val="20"/>
        </w:rPr>
        <w:t>First decision:</w:t>
      </w:r>
      <w:r>
        <w:rPr>
          <w:rFonts w:ascii="Book Antiqua" w:hAnsi="Book Antiqua" w:cs="Times"/>
          <w:color w:val="000000"/>
          <w:kern w:val="0"/>
          <w:sz w:val="20"/>
          <w:szCs w:val="20"/>
        </w:rPr>
        <w:t xml:space="preserve"> </w:t>
      </w:r>
      <w:r>
        <w:rPr>
          <w:rFonts w:ascii="Book Antiqua" w:hAnsi="Book Antiqua" w:cs="Book Antiqua"/>
          <w:color w:val="000000"/>
          <w:kern w:val="0"/>
          <w:sz w:val="20"/>
          <w:szCs w:val="20"/>
        </w:rPr>
        <w:t>February 20, 2020</w:t>
      </w:r>
    </w:p>
    <w:p w14:paraId="6F05466D" w14:textId="77777777" w:rsidR="00680D85" w:rsidRDefault="00BD58DD">
      <w:pPr>
        <w:widowControl/>
        <w:autoSpaceDE w:val="0"/>
        <w:autoSpaceDN w:val="0"/>
        <w:adjustRightInd w:val="0"/>
        <w:snapToGrid w:val="0"/>
        <w:spacing w:afterLines="100" w:after="312" w:line="360" w:lineRule="auto"/>
        <w:rPr>
          <w:rFonts w:ascii="Book Antiqua" w:hAnsi="Book Antiqua" w:cs="Times"/>
          <w:b/>
          <w:color w:val="000000"/>
          <w:kern w:val="0"/>
          <w:sz w:val="20"/>
          <w:szCs w:val="20"/>
        </w:rPr>
      </w:pPr>
      <w:r>
        <w:rPr>
          <w:rFonts w:ascii="Book Antiqua" w:hAnsi="Book Antiqua" w:cs="Times"/>
          <w:b/>
          <w:color w:val="000000"/>
          <w:kern w:val="0"/>
          <w:sz w:val="20"/>
          <w:szCs w:val="20"/>
        </w:rPr>
        <w:t xml:space="preserve">Article in press: </w:t>
      </w:r>
    </w:p>
    <w:p w14:paraId="386BA8D4"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Times"/>
          <w:b/>
          <w:color w:val="000000"/>
          <w:kern w:val="0"/>
          <w:sz w:val="20"/>
          <w:szCs w:val="20"/>
        </w:rPr>
        <w:t>Specialty type:</w:t>
      </w:r>
      <w:r>
        <w:rPr>
          <w:rFonts w:ascii="Book Antiqua" w:hAnsi="Book Antiqua" w:cs="Times"/>
          <w:color w:val="000000"/>
          <w:kern w:val="0"/>
          <w:sz w:val="20"/>
          <w:szCs w:val="20"/>
        </w:rPr>
        <w:t xml:space="preserve"> </w:t>
      </w:r>
      <w:r>
        <w:rPr>
          <w:rFonts w:ascii="Book Antiqua" w:hAnsi="Book Antiqua" w:cs="Book Antiqua"/>
          <w:color w:val="000000"/>
          <w:kern w:val="0"/>
          <w:sz w:val="20"/>
          <w:szCs w:val="20"/>
        </w:rPr>
        <w:t>Medicine, research and experimental</w:t>
      </w:r>
    </w:p>
    <w:p w14:paraId="15388FC8"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Times"/>
          <w:b/>
          <w:color w:val="000000"/>
          <w:kern w:val="0"/>
          <w:sz w:val="20"/>
          <w:szCs w:val="20"/>
        </w:rPr>
        <w:t>Country of origin:</w:t>
      </w:r>
      <w:r>
        <w:rPr>
          <w:rFonts w:ascii="Book Antiqua" w:hAnsi="Book Antiqua" w:cs="Times"/>
          <w:color w:val="000000"/>
          <w:kern w:val="0"/>
          <w:sz w:val="20"/>
          <w:szCs w:val="20"/>
        </w:rPr>
        <w:t xml:space="preserve"> China</w:t>
      </w:r>
    </w:p>
    <w:p w14:paraId="35F09910" w14:textId="77777777" w:rsidR="00680D85" w:rsidRDefault="00BD58DD">
      <w:pPr>
        <w:widowControl/>
        <w:autoSpaceDE w:val="0"/>
        <w:autoSpaceDN w:val="0"/>
        <w:adjustRightInd w:val="0"/>
        <w:snapToGrid w:val="0"/>
        <w:spacing w:line="360" w:lineRule="auto"/>
        <w:rPr>
          <w:rFonts w:ascii="Book Antiqua" w:hAnsi="Book Antiqua" w:cs="Times"/>
          <w:b/>
          <w:color w:val="000000"/>
          <w:kern w:val="0"/>
          <w:sz w:val="20"/>
          <w:szCs w:val="20"/>
        </w:rPr>
      </w:pPr>
      <w:r>
        <w:rPr>
          <w:rFonts w:ascii="Book Antiqua" w:hAnsi="Book Antiqua" w:cs="Times"/>
          <w:b/>
          <w:color w:val="000000"/>
          <w:kern w:val="0"/>
          <w:sz w:val="20"/>
          <w:szCs w:val="20"/>
        </w:rPr>
        <w:t>Peer-review report classification</w:t>
      </w:r>
    </w:p>
    <w:p w14:paraId="6A2CD77F"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Book Antiqua"/>
          <w:color w:val="000000"/>
          <w:kern w:val="0"/>
          <w:sz w:val="20"/>
          <w:szCs w:val="20"/>
        </w:rPr>
        <w:t xml:space="preserve">Grade A (Excellent): 0 </w:t>
      </w:r>
    </w:p>
    <w:p w14:paraId="5554176D"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Book Antiqua"/>
          <w:color w:val="000000"/>
          <w:kern w:val="0"/>
          <w:sz w:val="20"/>
          <w:szCs w:val="20"/>
        </w:rPr>
        <w:t xml:space="preserve">Grade B (Very good): 0 </w:t>
      </w:r>
    </w:p>
    <w:p w14:paraId="161386D8"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Book Antiqua"/>
          <w:color w:val="000000"/>
          <w:kern w:val="0"/>
          <w:sz w:val="20"/>
          <w:szCs w:val="20"/>
        </w:rPr>
        <w:t>Grade C (Good): C, C</w:t>
      </w:r>
    </w:p>
    <w:p w14:paraId="0628C292"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Book Antiqua"/>
          <w:color w:val="000000"/>
          <w:kern w:val="0"/>
          <w:sz w:val="20"/>
          <w:szCs w:val="20"/>
        </w:rPr>
        <w:t xml:space="preserve">Grade D (Fair): 0 </w:t>
      </w:r>
    </w:p>
    <w:p w14:paraId="64BD140F" w14:textId="77777777" w:rsidR="00680D85" w:rsidRDefault="00BD58DD">
      <w:pPr>
        <w:widowControl/>
        <w:autoSpaceDE w:val="0"/>
        <w:autoSpaceDN w:val="0"/>
        <w:adjustRightInd w:val="0"/>
        <w:snapToGrid w:val="0"/>
        <w:spacing w:line="360" w:lineRule="auto"/>
        <w:rPr>
          <w:rFonts w:ascii="Book Antiqua" w:hAnsi="Book Antiqua" w:cs="Book Antiqua"/>
          <w:color w:val="000000"/>
          <w:kern w:val="0"/>
          <w:sz w:val="20"/>
          <w:szCs w:val="20"/>
        </w:rPr>
      </w:pPr>
      <w:r>
        <w:rPr>
          <w:rFonts w:ascii="Book Antiqua" w:hAnsi="Book Antiqua" w:cs="Book Antiqua"/>
          <w:color w:val="000000"/>
          <w:kern w:val="0"/>
          <w:sz w:val="20"/>
          <w:szCs w:val="20"/>
        </w:rPr>
        <w:t xml:space="preserve">Grade E (Poor): 0 </w:t>
      </w:r>
    </w:p>
    <w:p w14:paraId="44B7660E" w14:textId="77777777" w:rsidR="00680D85" w:rsidRDefault="00680D85">
      <w:pPr>
        <w:widowControl/>
        <w:autoSpaceDE w:val="0"/>
        <w:autoSpaceDN w:val="0"/>
        <w:adjustRightInd w:val="0"/>
        <w:snapToGrid w:val="0"/>
        <w:spacing w:line="360" w:lineRule="auto"/>
        <w:rPr>
          <w:rFonts w:ascii="Book Antiqua" w:hAnsi="Book Antiqua" w:cs="Times"/>
          <w:color w:val="000000"/>
          <w:kern w:val="0"/>
          <w:sz w:val="20"/>
          <w:szCs w:val="20"/>
        </w:rPr>
      </w:pPr>
    </w:p>
    <w:p w14:paraId="4AD3026C" w14:textId="77777777" w:rsidR="00680D85" w:rsidRDefault="00BD58DD">
      <w:pPr>
        <w:widowControl/>
        <w:autoSpaceDE w:val="0"/>
        <w:autoSpaceDN w:val="0"/>
        <w:adjustRightInd w:val="0"/>
        <w:snapToGrid w:val="0"/>
        <w:spacing w:line="360" w:lineRule="auto"/>
        <w:rPr>
          <w:rFonts w:ascii="Book Antiqua" w:hAnsi="Book Antiqua" w:cs="Times"/>
          <w:b/>
          <w:color w:val="000000"/>
          <w:kern w:val="0"/>
          <w:sz w:val="20"/>
          <w:szCs w:val="20"/>
        </w:rPr>
      </w:pPr>
      <w:r>
        <w:rPr>
          <w:rFonts w:ascii="Book Antiqua" w:hAnsi="Book Antiqua" w:cs="Times"/>
          <w:b/>
          <w:color w:val="000000"/>
          <w:kern w:val="0"/>
          <w:sz w:val="20"/>
          <w:szCs w:val="20"/>
        </w:rPr>
        <w:t>P-Reviewer:</w:t>
      </w:r>
      <w:r>
        <w:rPr>
          <w:rFonts w:ascii="Book Antiqua" w:hAnsi="Book Antiqua" w:cs="Times"/>
          <w:color w:val="000000"/>
          <w:kern w:val="0"/>
          <w:sz w:val="20"/>
          <w:szCs w:val="20"/>
        </w:rPr>
        <w:t xml:space="preserve"> </w:t>
      </w:r>
      <w:r>
        <w:rPr>
          <w:rFonts w:ascii="Book Antiqua" w:hAnsi="Book Antiqua" w:cs="Book Antiqua"/>
          <w:color w:val="000000"/>
          <w:kern w:val="0"/>
          <w:sz w:val="20"/>
          <w:szCs w:val="20"/>
        </w:rPr>
        <w:t xml:space="preserve">Paredes-Vieyra JP, Yen HH </w:t>
      </w:r>
      <w:r>
        <w:rPr>
          <w:rFonts w:ascii="Book Antiqua" w:hAnsi="Book Antiqua" w:cs="Times"/>
          <w:b/>
          <w:color w:val="000000"/>
          <w:kern w:val="0"/>
          <w:sz w:val="20"/>
          <w:szCs w:val="20"/>
        </w:rPr>
        <w:t>S-Editor:</w:t>
      </w:r>
      <w:r>
        <w:rPr>
          <w:rFonts w:ascii="Book Antiqua" w:hAnsi="Book Antiqua" w:cs="Times"/>
          <w:color w:val="000000"/>
          <w:kern w:val="0"/>
          <w:sz w:val="20"/>
          <w:szCs w:val="20"/>
        </w:rPr>
        <w:t xml:space="preserve"> Dou Y </w:t>
      </w:r>
      <w:r>
        <w:rPr>
          <w:rFonts w:ascii="Book Antiqua" w:hAnsi="Book Antiqua" w:cs="Times"/>
          <w:b/>
          <w:color w:val="000000"/>
          <w:kern w:val="0"/>
          <w:sz w:val="20"/>
          <w:szCs w:val="20"/>
        </w:rPr>
        <w:t xml:space="preserve">L-Editor: </w:t>
      </w:r>
      <w:r>
        <w:rPr>
          <w:rFonts w:ascii="Book Antiqua" w:hAnsi="Book Antiqua" w:cs="Times"/>
          <w:bCs/>
          <w:color w:val="000000"/>
          <w:kern w:val="0"/>
          <w:sz w:val="20"/>
          <w:szCs w:val="20"/>
        </w:rPr>
        <w:t xml:space="preserve">Filipodia </w:t>
      </w:r>
      <w:r>
        <w:rPr>
          <w:rFonts w:ascii="Book Antiqua" w:hAnsi="Book Antiqua" w:cs="Times"/>
          <w:b/>
          <w:color w:val="000000"/>
          <w:kern w:val="0"/>
          <w:sz w:val="20"/>
          <w:szCs w:val="20"/>
        </w:rPr>
        <w:t xml:space="preserve">E-Editor: </w:t>
      </w:r>
    </w:p>
    <w:p w14:paraId="1C10D32F" w14:textId="77777777" w:rsidR="00680D85" w:rsidRDefault="00BD58DD">
      <w:pPr>
        <w:snapToGrid w:val="0"/>
        <w:spacing w:line="360" w:lineRule="auto"/>
        <w:rPr>
          <w:rFonts w:ascii="Book Antiqua" w:hAnsi="Book Antiqua"/>
          <w:sz w:val="20"/>
          <w:szCs w:val="20"/>
        </w:rPr>
      </w:pPr>
      <w:r>
        <w:rPr>
          <w:rFonts w:ascii="Book Antiqua" w:hAnsi="Book Antiqua" w:cs="Times"/>
          <w:color w:val="000000"/>
          <w:kern w:val="0"/>
          <w:sz w:val="20"/>
          <w:szCs w:val="20"/>
        </w:rPr>
        <w:br w:type="page"/>
      </w:r>
      <w:r>
        <w:rPr>
          <w:rFonts w:ascii="Book Antiqua" w:hAnsi="Book Antiqua"/>
          <w:b/>
          <w:bCs/>
          <w:sz w:val="20"/>
          <w:szCs w:val="20"/>
        </w:rPr>
        <w:lastRenderedPageBreak/>
        <w:t>Figure Legends</w:t>
      </w:r>
    </w:p>
    <w:p w14:paraId="4C8285C5" w14:textId="77777777" w:rsidR="00680D85" w:rsidRDefault="00BD58DD">
      <w:pPr>
        <w:snapToGrid w:val="0"/>
        <w:spacing w:line="360" w:lineRule="auto"/>
        <w:rPr>
          <w:rFonts w:ascii="Book Antiqua" w:hAnsi="Book Antiqua"/>
          <w:b/>
          <w:color w:val="000000"/>
          <w:sz w:val="20"/>
          <w:szCs w:val="20"/>
        </w:rPr>
      </w:pPr>
      <w:r>
        <w:rPr>
          <w:rFonts w:ascii="Book Antiqua" w:hAnsi="Book Antiqua"/>
          <w:noProof/>
          <w:color w:val="000000"/>
          <w:sz w:val="20"/>
          <w:szCs w:val="20"/>
        </w:rPr>
        <w:drawing>
          <wp:inline distT="0" distB="0" distL="0" distR="0" wp14:anchorId="2CD12188" wp14:editId="6E00353F">
            <wp:extent cx="3456940" cy="3295650"/>
            <wp:effectExtent l="0" t="0" r="0" b="0"/>
            <wp:docPr id="1" name="图片 1" descr="figure1_"/>
            <wp:cNvGraphicFramePr/>
            <a:graphic xmlns:a="http://schemas.openxmlformats.org/drawingml/2006/main">
              <a:graphicData uri="http://schemas.openxmlformats.org/drawingml/2006/picture">
                <pic:pic xmlns:pic="http://schemas.openxmlformats.org/drawingml/2006/picture">
                  <pic:nvPicPr>
                    <pic:cNvPr id="1" name="图片 1" descr="figure1_"/>
                    <pic:cNvPicPr/>
                  </pic:nvPicPr>
                  <pic:blipFill>
                    <a:blip r:embed="rId7">
                      <a:extLst>
                        <a:ext uri="{28A0092B-C50C-407E-A947-70E740481C1C}">
                          <a14:useLocalDpi xmlns:a14="http://schemas.microsoft.com/office/drawing/2010/main" val="0"/>
                        </a:ext>
                      </a:extLst>
                    </a:blip>
                    <a:srcRect/>
                    <a:stretch>
                      <a:fillRect/>
                    </a:stretch>
                  </pic:blipFill>
                  <pic:spPr>
                    <a:xfrm>
                      <a:off x="0" y="0"/>
                      <a:ext cx="3456940" cy="3295650"/>
                    </a:xfrm>
                    <a:prstGeom prst="rect">
                      <a:avLst/>
                    </a:prstGeom>
                    <a:noFill/>
                    <a:ln>
                      <a:noFill/>
                    </a:ln>
                  </pic:spPr>
                </pic:pic>
              </a:graphicData>
            </a:graphic>
          </wp:inline>
        </w:drawing>
      </w:r>
    </w:p>
    <w:p w14:paraId="4652AC49" w14:textId="77777777" w:rsidR="00680D85" w:rsidRDefault="00BD58DD">
      <w:pPr>
        <w:snapToGrid w:val="0"/>
        <w:spacing w:line="360" w:lineRule="auto"/>
        <w:rPr>
          <w:rFonts w:ascii="Book Antiqua" w:hAnsi="Book Antiqua"/>
          <w:b/>
          <w:color w:val="000000"/>
          <w:sz w:val="20"/>
          <w:szCs w:val="20"/>
        </w:rPr>
      </w:pPr>
      <w:r>
        <w:rPr>
          <w:rFonts w:ascii="Book Antiqua" w:hAnsi="Book Antiqua"/>
          <w:b/>
          <w:color w:val="000000"/>
          <w:sz w:val="20"/>
          <w:szCs w:val="20"/>
        </w:rPr>
        <w:t>Figure 1 Placement of electrical stimulation and balloon dilatation in the hyoid-complex elevation and stimulation technique.</w:t>
      </w:r>
    </w:p>
    <w:p w14:paraId="6CA83E90" w14:textId="77777777" w:rsidR="00680D85" w:rsidRDefault="00BD58DD">
      <w:pPr>
        <w:snapToGrid w:val="0"/>
        <w:spacing w:line="360" w:lineRule="auto"/>
        <w:rPr>
          <w:rFonts w:ascii="Book Antiqua" w:hAnsi="Book Antiqua"/>
          <w:b/>
          <w:color w:val="000000"/>
          <w:sz w:val="20"/>
          <w:szCs w:val="20"/>
        </w:rPr>
      </w:pPr>
      <w:r>
        <w:rPr>
          <w:rFonts w:ascii="Book Antiqua" w:hAnsi="Book Antiqua"/>
          <w:b/>
          <w:color w:val="000000"/>
          <w:sz w:val="20"/>
          <w:szCs w:val="20"/>
        </w:rPr>
        <w:br w:type="page"/>
      </w:r>
      <w:r>
        <w:rPr>
          <w:rFonts w:ascii="Book Antiqua" w:hAnsi="Book Antiqua"/>
          <w:noProof/>
          <w:color w:val="000000"/>
          <w:sz w:val="20"/>
          <w:szCs w:val="20"/>
        </w:rPr>
        <w:lastRenderedPageBreak/>
        <w:drawing>
          <wp:inline distT="0" distB="0" distL="0" distR="0" wp14:anchorId="19079FBC" wp14:editId="5487ADDC">
            <wp:extent cx="5757545" cy="1738630"/>
            <wp:effectExtent l="0" t="0" r="0" b="0"/>
            <wp:docPr id="2" name="图片 2" descr="figure"/>
            <wp:cNvGraphicFramePr/>
            <a:graphic xmlns:a="http://schemas.openxmlformats.org/drawingml/2006/main">
              <a:graphicData uri="http://schemas.openxmlformats.org/drawingml/2006/picture">
                <pic:pic xmlns:pic="http://schemas.openxmlformats.org/drawingml/2006/picture">
                  <pic:nvPicPr>
                    <pic:cNvPr id="2" name="图片 2" descr="figure"/>
                    <pic:cNvPicPr/>
                  </pic:nvPicPr>
                  <pic:blipFill>
                    <a:blip r:embed="rId8">
                      <a:extLst>
                        <a:ext uri="{28A0092B-C50C-407E-A947-70E740481C1C}">
                          <a14:useLocalDpi xmlns:a14="http://schemas.microsoft.com/office/drawing/2010/main" val="0"/>
                        </a:ext>
                      </a:extLst>
                    </a:blip>
                    <a:srcRect/>
                    <a:stretch>
                      <a:fillRect/>
                    </a:stretch>
                  </pic:blipFill>
                  <pic:spPr>
                    <a:xfrm>
                      <a:off x="0" y="0"/>
                      <a:ext cx="5757545" cy="1738630"/>
                    </a:xfrm>
                    <a:prstGeom prst="rect">
                      <a:avLst/>
                    </a:prstGeom>
                    <a:noFill/>
                    <a:ln>
                      <a:noFill/>
                    </a:ln>
                  </pic:spPr>
                </pic:pic>
              </a:graphicData>
            </a:graphic>
          </wp:inline>
        </w:drawing>
      </w:r>
    </w:p>
    <w:p w14:paraId="0D75168C" w14:textId="77777777" w:rsidR="00680D85" w:rsidRDefault="00BD58DD">
      <w:pPr>
        <w:snapToGrid w:val="0"/>
        <w:spacing w:line="360" w:lineRule="auto"/>
        <w:rPr>
          <w:rFonts w:ascii="Book Antiqua" w:hAnsi="Book Antiqua"/>
          <w:b/>
          <w:color w:val="000000"/>
          <w:sz w:val="20"/>
          <w:szCs w:val="20"/>
        </w:rPr>
      </w:pPr>
      <w:r>
        <w:rPr>
          <w:rFonts w:ascii="Book Antiqua" w:hAnsi="Book Antiqua"/>
          <w:noProof/>
          <w:color w:val="000000"/>
          <w:sz w:val="20"/>
          <w:szCs w:val="20"/>
        </w:rPr>
        <w:drawing>
          <wp:inline distT="0" distB="0" distL="0" distR="0" wp14:anchorId="7425C475" wp14:editId="67EEC027">
            <wp:extent cx="2682875" cy="1878965"/>
            <wp:effectExtent l="0" t="0" r="0" b="0"/>
            <wp:docPr id="3" name="图片 3" descr="figure"/>
            <wp:cNvGraphicFramePr/>
            <a:graphic xmlns:a="http://schemas.openxmlformats.org/drawingml/2006/main">
              <a:graphicData uri="http://schemas.openxmlformats.org/drawingml/2006/picture">
                <pic:pic xmlns:pic="http://schemas.openxmlformats.org/drawingml/2006/picture">
                  <pic:nvPicPr>
                    <pic:cNvPr id="3" name="图片 3" descr="figure"/>
                    <pic:cNvPicPr/>
                  </pic:nvPicPr>
                  <pic:blipFill>
                    <a:blip r:embed="rId9">
                      <a:extLst>
                        <a:ext uri="{28A0092B-C50C-407E-A947-70E740481C1C}">
                          <a14:useLocalDpi xmlns:a14="http://schemas.microsoft.com/office/drawing/2010/main" val="0"/>
                        </a:ext>
                      </a:extLst>
                    </a:blip>
                    <a:srcRect/>
                    <a:stretch>
                      <a:fillRect/>
                    </a:stretch>
                  </pic:blipFill>
                  <pic:spPr>
                    <a:xfrm>
                      <a:off x="0" y="0"/>
                      <a:ext cx="2682875" cy="1878965"/>
                    </a:xfrm>
                    <a:prstGeom prst="rect">
                      <a:avLst/>
                    </a:prstGeom>
                    <a:noFill/>
                    <a:ln>
                      <a:noFill/>
                    </a:ln>
                  </pic:spPr>
                </pic:pic>
              </a:graphicData>
            </a:graphic>
          </wp:inline>
        </w:drawing>
      </w:r>
    </w:p>
    <w:p w14:paraId="5FEEB2A1" w14:textId="678C357D" w:rsidR="00680D85" w:rsidRDefault="00BD58DD">
      <w:pPr>
        <w:snapToGrid w:val="0"/>
        <w:spacing w:line="360" w:lineRule="auto"/>
        <w:rPr>
          <w:rFonts w:ascii="Book Antiqua" w:hAnsi="Book Antiqua"/>
          <w:color w:val="000000"/>
          <w:sz w:val="20"/>
          <w:szCs w:val="20"/>
        </w:rPr>
      </w:pPr>
      <w:r>
        <w:rPr>
          <w:rFonts w:ascii="Book Antiqua" w:hAnsi="Book Antiqua"/>
          <w:b/>
          <w:color w:val="000000"/>
          <w:sz w:val="20"/>
          <w:szCs w:val="20"/>
        </w:rPr>
        <w:t>Figure 2</w:t>
      </w:r>
      <w:r>
        <w:rPr>
          <w:rFonts w:ascii="Book Antiqua" w:hAnsi="Book Antiqua"/>
          <w:color w:val="000000"/>
          <w:sz w:val="20"/>
          <w:szCs w:val="20"/>
        </w:rPr>
        <w:t xml:space="preserve"> </w:t>
      </w:r>
      <w:r>
        <w:rPr>
          <w:rFonts w:ascii="Book Antiqua" w:hAnsi="Book Antiqua"/>
          <w:b/>
          <w:color w:val="000000"/>
          <w:sz w:val="20"/>
          <w:szCs w:val="20"/>
        </w:rPr>
        <w:t>Magnetic resonance imaging of the head.</w:t>
      </w:r>
      <w:r>
        <w:rPr>
          <w:rFonts w:ascii="Book Antiqua" w:hAnsi="Book Antiqua"/>
          <w:color w:val="000000"/>
          <w:sz w:val="20"/>
          <w:szCs w:val="20"/>
        </w:rPr>
        <w:t xml:space="preserve"> A: Diffusion-weighted axial magnetic resonance image showing a left lateral medullary infarction in Case 1 (see arrow); B: Diffusion-weighted axial magnetic resonance image showing a right lateral medullary infarction in Case 2 (see arrow).</w:t>
      </w:r>
    </w:p>
    <w:p w14:paraId="6347A60C" w14:textId="77777777" w:rsidR="00680D85" w:rsidRDefault="00BD58DD">
      <w:pPr>
        <w:widowControl/>
        <w:snapToGrid w:val="0"/>
        <w:spacing w:line="360" w:lineRule="auto"/>
        <w:jc w:val="left"/>
        <w:rPr>
          <w:rFonts w:ascii="Book Antiqua" w:hAnsi="Book Antiqua"/>
          <w:color w:val="000000"/>
          <w:sz w:val="20"/>
          <w:szCs w:val="20"/>
        </w:rPr>
      </w:pPr>
      <w:r>
        <w:rPr>
          <w:rFonts w:ascii="Book Antiqua" w:hAnsi="Book Antiqua"/>
          <w:color w:val="000000"/>
          <w:sz w:val="20"/>
          <w:szCs w:val="20"/>
        </w:rPr>
        <w:br w:type="page"/>
      </w:r>
    </w:p>
    <w:p w14:paraId="4EBA1936" w14:textId="77777777" w:rsidR="00680D85" w:rsidRDefault="00BD58DD">
      <w:pPr>
        <w:snapToGrid w:val="0"/>
        <w:spacing w:line="360" w:lineRule="auto"/>
        <w:rPr>
          <w:rFonts w:ascii="Book Antiqua" w:hAnsi="Book Antiqua"/>
          <w:color w:val="000000"/>
          <w:sz w:val="20"/>
          <w:szCs w:val="20"/>
        </w:rPr>
      </w:pPr>
      <w:r>
        <w:rPr>
          <w:rFonts w:ascii="Book Antiqua" w:hAnsi="Book Antiqua"/>
          <w:noProof/>
          <w:color w:val="000000"/>
          <w:sz w:val="20"/>
          <w:szCs w:val="20"/>
        </w:rPr>
        <w:lastRenderedPageBreak/>
        <w:drawing>
          <wp:inline distT="0" distB="0" distL="0" distR="0" wp14:anchorId="4D4E778D" wp14:editId="564D3ED4">
            <wp:extent cx="5756275" cy="2727960"/>
            <wp:effectExtent l="0" t="0" r="0" b="2540"/>
            <wp:docPr id="12" name="图片 12" descr="图片包含 墙壁, 室内, 时钟&#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图片包含 墙壁, 室内, 时钟&#10;&#10;描述已自动生成"/>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56275" cy="2727960"/>
                    </a:xfrm>
                    <a:prstGeom prst="rect">
                      <a:avLst/>
                    </a:prstGeom>
                  </pic:spPr>
                </pic:pic>
              </a:graphicData>
            </a:graphic>
          </wp:inline>
        </w:drawing>
      </w:r>
    </w:p>
    <w:p w14:paraId="54661A50" w14:textId="201C6F7A" w:rsidR="00680D85" w:rsidRDefault="00BD58DD">
      <w:pPr>
        <w:snapToGrid w:val="0"/>
        <w:spacing w:line="360" w:lineRule="auto"/>
        <w:rPr>
          <w:rFonts w:ascii="Book Antiqua" w:hAnsi="Book Antiqua"/>
          <w:color w:val="000000"/>
          <w:sz w:val="20"/>
          <w:szCs w:val="20"/>
        </w:rPr>
      </w:pPr>
      <w:r>
        <w:rPr>
          <w:rFonts w:ascii="Book Antiqua" w:hAnsi="Book Antiqua"/>
          <w:b/>
          <w:color w:val="000000"/>
          <w:sz w:val="20"/>
          <w:szCs w:val="20"/>
        </w:rPr>
        <w:t>Figure 3</w:t>
      </w:r>
      <w:r>
        <w:rPr>
          <w:rFonts w:ascii="Book Antiqua" w:hAnsi="Book Antiqua"/>
          <w:color w:val="000000"/>
          <w:sz w:val="20"/>
          <w:szCs w:val="20"/>
        </w:rPr>
        <w:t xml:space="preserve"> </w:t>
      </w:r>
      <w:r>
        <w:rPr>
          <w:rFonts w:ascii="Book Antiqua" w:hAnsi="Book Antiqua"/>
          <w:b/>
          <w:color w:val="000000"/>
          <w:sz w:val="20"/>
          <w:szCs w:val="20"/>
        </w:rPr>
        <w:t>S</w:t>
      </w:r>
      <w:r>
        <w:rPr>
          <w:rFonts w:ascii="Book Antiqua" w:hAnsi="Book Antiqua"/>
          <w:b/>
          <w:bCs/>
          <w:color w:val="000000"/>
          <w:sz w:val="20"/>
          <w:szCs w:val="20"/>
        </w:rPr>
        <w:t>urface electromyographic signal</w:t>
      </w:r>
      <w:r>
        <w:rPr>
          <w:rFonts w:ascii="Book Antiqua" w:hAnsi="Book Antiqua"/>
          <w:b/>
          <w:color w:val="000000"/>
          <w:sz w:val="20"/>
          <w:szCs w:val="20"/>
        </w:rPr>
        <w:t xml:space="preserve"> recording of two patients before and after hyoid-complex elevation and stimulation technique treatment.</w:t>
      </w:r>
      <w:r>
        <w:rPr>
          <w:rFonts w:ascii="Book Antiqua" w:hAnsi="Book Antiqua"/>
          <w:bCs/>
          <w:color w:val="000000"/>
          <w:sz w:val="20"/>
          <w:szCs w:val="20"/>
        </w:rPr>
        <w:t xml:space="preserve"> A, B: </w:t>
      </w:r>
      <w:r>
        <w:rPr>
          <w:rFonts w:ascii="Book Antiqua" w:hAnsi="Book Antiqua"/>
          <w:color w:val="000000"/>
          <w:sz w:val="20"/>
          <w:szCs w:val="20"/>
        </w:rPr>
        <w:t>For Case 1, the surface electromyographic signal recording peaked lower than 180 mV after 4-d traditional therapy (A) and higher than 270 mV after the hyoid-complex elevation and stimulation technique (B); C, D: For Case 2, the surface electromyographic signal recordings differed before (C) and after the hyoid-complex elevation and stimulation technique (D).</w:t>
      </w:r>
    </w:p>
    <w:p w14:paraId="6C0C45E7" w14:textId="77777777"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br w:type="page"/>
      </w:r>
      <w:r>
        <w:rPr>
          <w:rFonts w:ascii="Book Antiqua" w:hAnsi="Book Antiqua"/>
          <w:noProof/>
          <w:color w:val="000000"/>
          <w:sz w:val="20"/>
          <w:szCs w:val="20"/>
        </w:rPr>
        <w:lastRenderedPageBreak/>
        <w:drawing>
          <wp:inline distT="0" distB="0" distL="0" distR="0" wp14:anchorId="6C70265A" wp14:editId="257C34A5">
            <wp:extent cx="2562225" cy="2833370"/>
            <wp:effectExtent l="0" t="0" r="0" b="0"/>
            <wp:docPr id="8" name="图片 8" descr="figure"/>
            <wp:cNvGraphicFramePr/>
            <a:graphic xmlns:a="http://schemas.openxmlformats.org/drawingml/2006/main">
              <a:graphicData uri="http://schemas.openxmlformats.org/drawingml/2006/picture">
                <pic:pic xmlns:pic="http://schemas.openxmlformats.org/drawingml/2006/picture">
                  <pic:nvPicPr>
                    <pic:cNvPr id="8" name="图片 8" descr="figure"/>
                    <pic:cNvPicPr/>
                  </pic:nvPicPr>
                  <pic:blipFill>
                    <a:blip r:embed="rId11">
                      <a:extLst>
                        <a:ext uri="{28A0092B-C50C-407E-A947-70E740481C1C}">
                          <a14:useLocalDpi xmlns:a14="http://schemas.microsoft.com/office/drawing/2010/main" val="0"/>
                        </a:ext>
                      </a:extLst>
                    </a:blip>
                    <a:srcRect/>
                    <a:stretch>
                      <a:fillRect/>
                    </a:stretch>
                  </pic:blipFill>
                  <pic:spPr>
                    <a:xfrm>
                      <a:off x="0" y="0"/>
                      <a:ext cx="2562225" cy="2833370"/>
                    </a:xfrm>
                    <a:prstGeom prst="rect">
                      <a:avLst/>
                    </a:prstGeom>
                    <a:noFill/>
                    <a:ln>
                      <a:noFill/>
                    </a:ln>
                  </pic:spPr>
                </pic:pic>
              </a:graphicData>
            </a:graphic>
          </wp:inline>
        </w:drawing>
      </w:r>
      <w:r>
        <w:rPr>
          <w:rFonts w:ascii="Book Antiqua" w:hAnsi="Book Antiqua"/>
          <w:color w:val="000000"/>
          <w:sz w:val="20"/>
          <w:szCs w:val="20"/>
        </w:rPr>
        <w:t xml:space="preserve"> </w:t>
      </w:r>
      <w:r>
        <w:rPr>
          <w:rFonts w:ascii="Book Antiqua" w:hAnsi="Book Antiqua"/>
          <w:noProof/>
          <w:color w:val="000000"/>
          <w:sz w:val="20"/>
          <w:szCs w:val="20"/>
        </w:rPr>
        <w:drawing>
          <wp:inline distT="0" distB="0" distL="0" distR="0" wp14:anchorId="28FC71CA" wp14:editId="77A60FAC">
            <wp:extent cx="2552065" cy="2823845"/>
            <wp:effectExtent l="0" t="0" r="0" b="0"/>
            <wp:docPr id="9" name="图片 9" descr="figure"/>
            <wp:cNvGraphicFramePr/>
            <a:graphic xmlns:a="http://schemas.openxmlformats.org/drawingml/2006/main">
              <a:graphicData uri="http://schemas.openxmlformats.org/drawingml/2006/picture">
                <pic:pic xmlns:pic="http://schemas.openxmlformats.org/drawingml/2006/picture">
                  <pic:nvPicPr>
                    <pic:cNvPr id="9" name="图片 9" descr="figure"/>
                    <pic:cNvPicPr/>
                  </pic:nvPicPr>
                  <pic:blipFill>
                    <a:blip r:embed="rId12">
                      <a:extLst>
                        <a:ext uri="{28A0092B-C50C-407E-A947-70E740481C1C}">
                          <a14:useLocalDpi xmlns:a14="http://schemas.microsoft.com/office/drawing/2010/main" val="0"/>
                        </a:ext>
                      </a:extLst>
                    </a:blip>
                    <a:srcRect/>
                    <a:stretch>
                      <a:fillRect/>
                    </a:stretch>
                  </pic:blipFill>
                  <pic:spPr>
                    <a:xfrm>
                      <a:off x="0" y="0"/>
                      <a:ext cx="2552065" cy="2823845"/>
                    </a:xfrm>
                    <a:prstGeom prst="rect">
                      <a:avLst/>
                    </a:prstGeom>
                    <a:noFill/>
                    <a:ln>
                      <a:noFill/>
                    </a:ln>
                  </pic:spPr>
                </pic:pic>
              </a:graphicData>
            </a:graphic>
          </wp:inline>
        </w:drawing>
      </w:r>
    </w:p>
    <w:p w14:paraId="2DE29CC4" w14:textId="7DED717C" w:rsidR="00680D85" w:rsidRDefault="00BD58DD">
      <w:pPr>
        <w:snapToGrid w:val="0"/>
        <w:spacing w:line="360" w:lineRule="auto"/>
        <w:rPr>
          <w:rFonts w:ascii="Book Antiqua" w:hAnsi="Book Antiqua"/>
          <w:b/>
          <w:color w:val="000000"/>
          <w:sz w:val="20"/>
          <w:szCs w:val="20"/>
        </w:rPr>
      </w:pPr>
      <w:r>
        <w:rPr>
          <w:rFonts w:ascii="Book Antiqua" w:hAnsi="Book Antiqua"/>
          <w:b/>
          <w:color w:val="000000"/>
          <w:sz w:val="20"/>
          <w:szCs w:val="20"/>
        </w:rPr>
        <w:t>Figure 4</w:t>
      </w:r>
      <w:r>
        <w:rPr>
          <w:rFonts w:ascii="Book Antiqua" w:hAnsi="Book Antiqua"/>
          <w:color w:val="000000"/>
          <w:sz w:val="20"/>
          <w:szCs w:val="20"/>
        </w:rPr>
        <w:t xml:space="preserve"> </w:t>
      </w:r>
      <w:r>
        <w:rPr>
          <w:rFonts w:ascii="Book Antiqua" w:hAnsi="Book Antiqua"/>
          <w:b/>
          <w:color w:val="000000"/>
          <w:sz w:val="20"/>
          <w:szCs w:val="20"/>
        </w:rPr>
        <w:t xml:space="preserve">Initial </w:t>
      </w:r>
      <w:r>
        <w:rPr>
          <w:rFonts w:ascii="Book Antiqua" w:hAnsi="Book Antiqua"/>
          <w:b/>
          <w:bCs/>
          <w:color w:val="000000"/>
          <w:sz w:val="20"/>
          <w:szCs w:val="20"/>
        </w:rPr>
        <w:t xml:space="preserve">video fluorography swallowing study </w:t>
      </w:r>
      <w:r>
        <w:rPr>
          <w:rFonts w:ascii="Book Antiqua" w:hAnsi="Book Antiqua"/>
          <w:b/>
          <w:color w:val="000000"/>
          <w:sz w:val="20"/>
          <w:szCs w:val="20"/>
        </w:rPr>
        <w:t xml:space="preserve">showing pharyngeal residue (see arrow). </w:t>
      </w:r>
      <w:r>
        <w:rPr>
          <w:rFonts w:ascii="Book Antiqua" w:hAnsi="Book Antiqua"/>
          <w:bCs/>
          <w:color w:val="000000"/>
          <w:sz w:val="20"/>
          <w:szCs w:val="20"/>
        </w:rPr>
        <w:t>A: Case 1; B: Case 2.</w:t>
      </w:r>
    </w:p>
    <w:p w14:paraId="69A4C9C4" w14:textId="77777777" w:rsidR="00680D85" w:rsidRDefault="00BD58DD">
      <w:pPr>
        <w:widowControl/>
        <w:snapToGrid w:val="0"/>
        <w:spacing w:line="360" w:lineRule="auto"/>
        <w:jc w:val="left"/>
        <w:rPr>
          <w:rFonts w:ascii="Book Antiqua" w:hAnsi="Book Antiqua"/>
          <w:b/>
          <w:color w:val="000000"/>
          <w:sz w:val="20"/>
          <w:szCs w:val="20"/>
        </w:rPr>
      </w:pPr>
      <w:r>
        <w:rPr>
          <w:rFonts w:ascii="Book Antiqua" w:hAnsi="Book Antiqua"/>
          <w:b/>
          <w:color w:val="000000"/>
          <w:sz w:val="20"/>
          <w:szCs w:val="20"/>
        </w:rPr>
        <w:br w:type="page"/>
      </w:r>
    </w:p>
    <w:p w14:paraId="71DD57BD" w14:textId="77777777" w:rsidR="00680D85" w:rsidRDefault="00BD58DD">
      <w:pPr>
        <w:snapToGrid w:val="0"/>
        <w:spacing w:line="360" w:lineRule="auto"/>
        <w:rPr>
          <w:rFonts w:ascii="Book Antiqua" w:hAnsi="Book Antiqua"/>
          <w:b/>
          <w:color w:val="000000"/>
          <w:sz w:val="20"/>
          <w:szCs w:val="20"/>
        </w:rPr>
      </w:pPr>
      <w:r>
        <w:rPr>
          <w:rFonts w:ascii="Book Antiqua" w:hAnsi="Book Antiqua"/>
          <w:noProof/>
          <w:color w:val="000000"/>
          <w:sz w:val="20"/>
          <w:szCs w:val="20"/>
        </w:rPr>
        <w:lastRenderedPageBreak/>
        <w:drawing>
          <wp:inline distT="0" distB="0" distL="0" distR="0" wp14:anchorId="38B429A7" wp14:editId="72AEC25B">
            <wp:extent cx="2099945" cy="1838960"/>
            <wp:effectExtent l="0" t="0" r="0" b="0"/>
            <wp:docPr id="10" name="图片 10" descr="7151562135853_"/>
            <wp:cNvGraphicFramePr/>
            <a:graphic xmlns:a="http://schemas.openxmlformats.org/drawingml/2006/main">
              <a:graphicData uri="http://schemas.openxmlformats.org/drawingml/2006/picture">
                <pic:pic xmlns:pic="http://schemas.openxmlformats.org/drawingml/2006/picture">
                  <pic:nvPicPr>
                    <pic:cNvPr id="10" name="图片 10" descr="7151562135853_"/>
                    <pic:cNvPicPr/>
                  </pic:nvPicPr>
                  <pic:blipFill>
                    <a:blip r:embed="rId13">
                      <a:extLst>
                        <a:ext uri="{28A0092B-C50C-407E-A947-70E740481C1C}">
                          <a14:useLocalDpi xmlns:a14="http://schemas.microsoft.com/office/drawing/2010/main" val="0"/>
                        </a:ext>
                      </a:extLst>
                    </a:blip>
                    <a:srcRect/>
                    <a:stretch>
                      <a:fillRect/>
                    </a:stretch>
                  </pic:blipFill>
                  <pic:spPr>
                    <a:xfrm>
                      <a:off x="0" y="0"/>
                      <a:ext cx="2099945" cy="1838960"/>
                    </a:xfrm>
                    <a:prstGeom prst="rect">
                      <a:avLst/>
                    </a:prstGeom>
                    <a:noFill/>
                    <a:ln>
                      <a:noFill/>
                    </a:ln>
                  </pic:spPr>
                </pic:pic>
              </a:graphicData>
            </a:graphic>
          </wp:inline>
        </w:drawing>
      </w:r>
    </w:p>
    <w:p w14:paraId="537BF14F" w14:textId="1FE18A80" w:rsidR="00680D85" w:rsidRDefault="00BD58DD">
      <w:pPr>
        <w:snapToGrid w:val="0"/>
        <w:spacing w:line="360" w:lineRule="auto"/>
        <w:rPr>
          <w:rFonts w:ascii="Book Antiqua" w:hAnsi="Book Antiqua"/>
          <w:b/>
          <w:color w:val="000000"/>
          <w:sz w:val="20"/>
          <w:szCs w:val="20"/>
        </w:rPr>
      </w:pPr>
      <w:r>
        <w:rPr>
          <w:rFonts w:ascii="Book Antiqua" w:hAnsi="Book Antiqua"/>
          <w:b/>
          <w:color w:val="000000"/>
          <w:sz w:val="20"/>
          <w:szCs w:val="20"/>
        </w:rPr>
        <w:t xml:space="preserve">Figure 5 Initial </w:t>
      </w:r>
      <w:r>
        <w:rPr>
          <w:rFonts w:ascii="Book Antiqua" w:hAnsi="Book Antiqua"/>
          <w:b/>
          <w:bCs/>
          <w:color w:val="000000"/>
          <w:sz w:val="20"/>
          <w:szCs w:val="20"/>
        </w:rPr>
        <w:t xml:space="preserve">fiberoptic endoscopic evaluation of swallowing examination </w:t>
      </w:r>
      <w:r>
        <w:rPr>
          <w:rFonts w:ascii="Book Antiqua" w:hAnsi="Book Antiqua"/>
          <w:b/>
          <w:color w:val="000000"/>
          <w:sz w:val="20"/>
          <w:szCs w:val="20"/>
        </w:rPr>
        <w:t>showing epiglottis insufficiency in Case 1.</w:t>
      </w:r>
    </w:p>
    <w:p w14:paraId="54E54315" w14:textId="77777777" w:rsidR="00680D85" w:rsidRDefault="00BD58DD">
      <w:pPr>
        <w:widowControl/>
        <w:snapToGrid w:val="0"/>
        <w:spacing w:line="360" w:lineRule="auto"/>
        <w:jc w:val="left"/>
        <w:rPr>
          <w:rFonts w:ascii="Book Antiqua" w:hAnsi="Book Antiqua"/>
          <w:b/>
          <w:color w:val="000000"/>
          <w:sz w:val="20"/>
          <w:szCs w:val="20"/>
        </w:rPr>
      </w:pPr>
      <w:r>
        <w:rPr>
          <w:rFonts w:ascii="Book Antiqua" w:hAnsi="Book Antiqua"/>
          <w:b/>
          <w:color w:val="000000"/>
          <w:sz w:val="20"/>
          <w:szCs w:val="20"/>
        </w:rPr>
        <w:br w:type="page"/>
      </w:r>
    </w:p>
    <w:p w14:paraId="7A4B5F3B" w14:textId="77777777" w:rsidR="00680D85" w:rsidRDefault="00BD58DD">
      <w:pPr>
        <w:snapToGrid w:val="0"/>
        <w:spacing w:line="360" w:lineRule="auto"/>
        <w:rPr>
          <w:rFonts w:ascii="Book Antiqua" w:hAnsi="Book Antiqua"/>
          <w:b/>
          <w:color w:val="000000"/>
          <w:sz w:val="20"/>
          <w:szCs w:val="20"/>
        </w:rPr>
      </w:pPr>
      <w:r>
        <w:rPr>
          <w:rFonts w:ascii="Book Antiqua" w:hAnsi="Book Antiqua"/>
          <w:noProof/>
          <w:color w:val="000000"/>
          <w:sz w:val="20"/>
          <w:szCs w:val="20"/>
        </w:rPr>
        <w:lastRenderedPageBreak/>
        <w:drawing>
          <wp:inline distT="0" distB="0" distL="0" distR="0" wp14:anchorId="35632355" wp14:editId="374F3A8A">
            <wp:extent cx="3808095" cy="3557270"/>
            <wp:effectExtent l="0" t="0" r="0" b="0"/>
            <wp:docPr id="11" name="图片 11" descr="figure6_"/>
            <wp:cNvGraphicFramePr/>
            <a:graphic xmlns:a="http://schemas.openxmlformats.org/drawingml/2006/main">
              <a:graphicData uri="http://schemas.openxmlformats.org/drawingml/2006/picture">
                <pic:pic xmlns:pic="http://schemas.openxmlformats.org/drawingml/2006/picture">
                  <pic:nvPicPr>
                    <pic:cNvPr id="11" name="图片 11" descr="figure6_"/>
                    <pic:cNvPicPr/>
                  </pic:nvPicPr>
                  <pic:blipFill>
                    <a:blip r:embed="rId14">
                      <a:extLst>
                        <a:ext uri="{28A0092B-C50C-407E-A947-70E740481C1C}">
                          <a14:useLocalDpi xmlns:a14="http://schemas.microsoft.com/office/drawing/2010/main" val="0"/>
                        </a:ext>
                      </a:extLst>
                    </a:blip>
                    <a:srcRect/>
                    <a:stretch>
                      <a:fillRect/>
                    </a:stretch>
                  </pic:blipFill>
                  <pic:spPr>
                    <a:xfrm>
                      <a:off x="0" y="0"/>
                      <a:ext cx="3808095" cy="3557270"/>
                    </a:xfrm>
                    <a:prstGeom prst="rect">
                      <a:avLst/>
                    </a:prstGeom>
                    <a:noFill/>
                    <a:ln>
                      <a:noFill/>
                    </a:ln>
                  </pic:spPr>
                </pic:pic>
              </a:graphicData>
            </a:graphic>
          </wp:inline>
        </w:drawing>
      </w:r>
    </w:p>
    <w:p w14:paraId="38915C23" w14:textId="77777777" w:rsidR="00680D85" w:rsidRDefault="00BD58DD">
      <w:pPr>
        <w:snapToGrid w:val="0"/>
        <w:spacing w:line="360" w:lineRule="auto"/>
        <w:rPr>
          <w:rFonts w:ascii="Book Antiqua" w:hAnsi="Book Antiqua"/>
          <w:color w:val="000000"/>
          <w:sz w:val="20"/>
          <w:szCs w:val="20"/>
        </w:rPr>
      </w:pPr>
      <w:r>
        <w:rPr>
          <w:rFonts w:ascii="Book Antiqua" w:hAnsi="Book Antiqua"/>
          <w:b/>
          <w:color w:val="000000"/>
          <w:sz w:val="20"/>
          <w:szCs w:val="20"/>
        </w:rPr>
        <w:t>Figure 6 The swallowing sequence of pharyngeal movement.</w:t>
      </w:r>
    </w:p>
    <w:p w14:paraId="3B886E60" w14:textId="77777777" w:rsidR="00680D85" w:rsidRDefault="00680D85">
      <w:pPr>
        <w:snapToGrid w:val="0"/>
        <w:spacing w:line="360" w:lineRule="auto"/>
        <w:rPr>
          <w:rFonts w:ascii="Book Antiqua" w:hAnsi="Book Antiqua"/>
          <w:b/>
          <w:color w:val="000000"/>
          <w:sz w:val="20"/>
          <w:szCs w:val="20"/>
        </w:rPr>
      </w:pPr>
    </w:p>
    <w:p w14:paraId="7BFF3389" w14:textId="77777777" w:rsidR="00680D85" w:rsidRDefault="00BD58DD">
      <w:pPr>
        <w:widowControl/>
        <w:autoSpaceDE w:val="0"/>
        <w:autoSpaceDN w:val="0"/>
        <w:adjustRightInd w:val="0"/>
        <w:snapToGrid w:val="0"/>
        <w:spacing w:line="360" w:lineRule="auto"/>
        <w:rPr>
          <w:rFonts w:ascii="Book Antiqua" w:hAnsi="Book Antiqua"/>
          <w:b/>
          <w:color w:val="000000"/>
          <w:sz w:val="20"/>
          <w:szCs w:val="20"/>
        </w:rPr>
      </w:pPr>
      <w:r>
        <w:rPr>
          <w:rFonts w:ascii="Book Antiqua" w:hAnsi="Book Antiqua"/>
          <w:b/>
          <w:color w:val="000000"/>
          <w:sz w:val="20"/>
          <w:szCs w:val="20"/>
        </w:rPr>
        <w:br w:type="page"/>
      </w:r>
      <w:r>
        <w:rPr>
          <w:rFonts w:ascii="Book Antiqua" w:hAnsi="Book Antiqua"/>
          <w:b/>
          <w:color w:val="000000"/>
          <w:sz w:val="20"/>
          <w:szCs w:val="20"/>
        </w:rPr>
        <w:lastRenderedPageBreak/>
        <w:t>Table 1 Clinical course and treatment timeline</w:t>
      </w:r>
    </w:p>
    <w:tbl>
      <w:tblPr>
        <w:tblW w:w="0" w:type="auto"/>
        <w:jc w:val="center"/>
        <w:tblBorders>
          <w:top w:val="single" w:sz="4" w:space="0" w:color="auto"/>
          <w:bottom w:val="single" w:sz="4" w:space="0" w:color="auto"/>
        </w:tblBorders>
        <w:tblLook w:val="04A0" w:firstRow="1" w:lastRow="0" w:firstColumn="1" w:lastColumn="0" w:noHBand="0" w:noVBand="1"/>
      </w:tblPr>
      <w:tblGrid>
        <w:gridCol w:w="1576"/>
        <w:gridCol w:w="3708"/>
        <w:gridCol w:w="3681"/>
      </w:tblGrid>
      <w:tr w:rsidR="00680D85" w14:paraId="1AA4020D" w14:textId="77777777">
        <w:trPr>
          <w:jc w:val="center"/>
        </w:trPr>
        <w:tc>
          <w:tcPr>
            <w:tcW w:w="1576" w:type="dxa"/>
            <w:tcBorders>
              <w:top w:val="single" w:sz="4" w:space="0" w:color="auto"/>
              <w:bottom w:val="single" w:sz="4" w:space="0" w:color="auto"/>
            </w:tcBorders>
            <w:shd w:val="clear" w:color="auto" w:fill="auto"/>
          </w:tcPr>
          <w:p w14:paraId="086906BC" w14:textId="77777777" w:rsidR="00680D85" w:rsidRDefault="00680D85">
            <w:pPr>
              <w:snapToGrid w:val="0"/>
              <w:spacing w:line="360" w:lineRule="auto"/>
              <w:rPr>
                <w:rFonts w:ascii="Book Antiqua" w:eastAsia="DengXian" w:hAnsi="Book Antiqua"/>
                <w:b/>
                <w:color w:val="000000"/>
                <w:sz w:val="20"/>
                <w:szCs w:val="20"/>
              </w:rPr>
            </w:pPr>
          </w:p>
        </w:tc>
        <w:tc>
          <w:tcPr>
            <w:tcW w:w="3708" w:type="dxa"/>
            <w:tcBorders>
              <w:top w:val="single" w:sz="4" w:space="0" w:color="auto"/>
              <w:bottom w:val="single" w:sz="4" w:space="0" w:color="auto"/>
            </w:tcBorders>
            <w:shd w:val="clear" w:color="auto" w:fill="auto"/>
          </w:tcPr>
          <w:p w14:paraId="4034066E" w14:textId="77777777" w:rsidR="00680D85" w:rsidRDefault="00BD58DD">
            <w:pPr>
              <w:snapToGrid w:val="0"/>
              <w:spacing w:line="360" w:lineRule="auto"/>
              <w:rPr>
                <w:rFonts w:ascii="Book Antiqua" w:eastAsia="DengXian" w:hAnsi="Book Antiqua"/>
                <w:b/>
                <w:color w:val="000000"/>
                <w:sz w:val="20"/>
                <w:szCs w:val="20"/>
              </w:rPr>
            </w:pPr>
            <w:r>
              <w:rPr>
                <w:rFonts w:ascii="Book Antiqua" w:eastAsia="DengXian" w:hAnsi="Book Antiqua"/>
                <w:b/>
                <w:color w:val="000000"/>
                <w:sz w:val="20"/>
                <w:szCs w:val="20"/>
              </w:rPr>
              <w:t>Case 1</w:t>
            </w:r>
          </w:p>
        </w:tc>
        <w:tc>
          <w:tcPr>
            <w:tcW w:w="3681" w:type="dxa"/>
            <w:tcBorders>
              <w:top w:val="single" w:sz="4" w:space="0" w:color="auto"/>
              <w:bottom w:val="single" w:sz="4" w:space="0" w:color="auto"/>
            </w:tcBorders>
            <w:shd w:val="clear" w:color="auto" w:fill="auto"/>
          </w:tcPr>
          <w:p w14:paraId="26E78347" w14:textId="77777777" w:rsidR="00680D85" w:rsidRDefault="00BD58DD">
            <w:pPr>
              <w:snapToGrid w:val="0"/>
              <w:spacing w:line="360" w:lineRule="auto"/>
              <w:rPr>
                <w:rFonts w:ascii="Book Antiqua" w:eastAsia="DengXian" w:hAnsi="Book Antiqua"/>
                <w:b/>
                <w:color w:val="000000"/>
                <w:sz w:val="20"/>
                <w:szCs w:val="20"/>
              </w:rPr>
            </w:pPr>
            <w:r>
              <w:rPr>
                <w:rFonts w:ascii="Book Antiqua" w:eastAsia="DengXian" w:hAnsi="Book Antiqua"/>
                <w:b/>
                <w:color w:val="000000"/>
                <w:sz w:val="20"/>
                <w:szCs w:val="20"/>
              </w:rPr>
              <w:t>Case 2</w:t>
            </w:r>
          </w:p>
        </w:tc>
      </w:tr>
      <w:tr w:rsidR="00680D85" w14:paraId="0E05B173" w14:textId="77777777">
        <w:trPr>
          <w:jc w:val="center"/>
        </w:trPr>
        <w:tc>
          <w:tcPr>
            <w:tcW w:w="1576" w:type="dxa"/>
            <w:tcBorders>
              <w:top w:val="single" w:sz="4" w:space="0" w:color="auto"/>
            </w:tcBorders>
            <w:shd w:val="clear" w:color="auto" w:fill="auto"/>
            <w:vAlign w:val="center"/>
          </w:tcPr>
          <w:p w14:paraId="20EF7C99"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Chief complaint</w:t>
            </w:r>
          </w:p>
        </w:tc>
        <w:tc>
          <w:tcPr>
            <w:tcW w:w="3708" w:type="dxa"/>
            <w:tcBorders>
              <w:top w:val="single" w:sz="4" w:space="0" w:color="auto"/>
            </w:tcBorders>
            <w:shd w:val="clear" w:color="auto" w:fill="auto"/>
          </w:tcPr>
          <w:p w14:paraId="1E8BC530"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Aphagosis for 20 d accompanying salivation and emaciation</w:t>
            </w:r>
          </w:p>
        </w:tc>
        <w:tc>
          <w:tcPr>
            <w:tcW w:w="3681" w:type="dxa"/>
            <w:tcBorders>
              <w:top w:val="single" w:sz="4" w:space="0" w:color="auto"/>
            </w:tcBorders>
            <w:shd w:val="clear" w:color="auto" w:fill="auto"/>
          </w:tcPr>
          <w:p w14:paraId="7318807A"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Dysphagia for 24 d</w:t>
            </w:r>
          </w:p>
        </w:tc>
      </w:tr>
      <w:tr w:rsidR="00680D85" w14:paraId="544420A6" w14:textId="77777777">
        <w:trPr>
          <w:jc w:val="center"/>
        </w:trPr>
        <w:tc>
          <w:tcPr>
            <w:tcW w:w="1576" w:type="dxa"/>
            <w:shd w:val="clear" w:color="auto" w:fill="auto"/>
            <w:vAlign w:val="center"/>
          </w:tcPr>
          <w:p w14:paraId="0B753643"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MRI examination</w:t>
            </w:r>
          </w:p>
        </w:tc>
        <w:tc>
          <w:tcPr>
            <w:tcW w:w="3708" w:type="dxa"/>
            <w:shd w:val="clear" w:color="auto" w:fill="auto"/>
          </w:tcPr>
          <w:p w14:paraId="2AAF65A2"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Left lateral medullary infarction</w:t>
            </w:r>
          </w:p>
        </w:tc>
        <w:tc>
          <w:tcPr>
            <w:tcW w:w="3681" w:type="dxa"/>
            <w:shd w:val="clear" w:color="auto" w:fill="auto"/>
          </w:tcPr>
          <w:p w14:paraId="25DAC1A8"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Right lateral medullary infarction</w:t>
            </w:r>
          </w:p>
        </w:tc>
      </w:tr>
      <w:tr w:rsidR="00680D85" w14:paraId="0CC023E5" w14:textId="77777777">
        <w:trPr>
          <w:trHeight w:val="389"/>
          <w:jc w:val="center"/>
        </w:trPr>
        <w:tc>
          <w:tcPr>
            <w:tcW w:w="1576" w:type="dxa"/>
            <w:vMerge w:val="restart"/>
            <w:shd w:val="clear" w:color="auto" w:fill="auto"/>
            <w:vAlign w:val="center"/>
          </w:tcPr>
          <w:p w14:paraId="54A5593E"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Admission evaluation</w:t>
            </w:r>
          </w:p>
        </w:tc>
        <w:tc>
          <w:tcPr>
            <w:tcW w:w="3708" w:type="dxa"/>
            <w:shd w:val="clear" w:color="auto" w:fill="auto"/>
          </w:tcPr>
          <w:p w14:paraId="665D90AA"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FOIS: level 1</w:t>
            </w:r>
          </w:p>
        </w:tc>
        <w:tc>
          <w:tcPr>
            <w:tcW w:w="3681" w:type="dxa"/>
            <w:shd w:val="clear" w:color="auto" w:fill="auto"/>
          </w:tcPr>
          <w:p w14:paraId="2E83AE3D"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FOIS: level 1</w:t>
            </w:r>
          </w:p>
        </w:tc>
      </w:tr>
      <w:tr w:rsidR="00680D85" w14:paraId="4D15E270" w14:textId="77777777">
        <w:trPr>
          <w:trHeight w:val="527"/>
          <w:jc w:val="center"/>
        </w:trPr>
        <w:tc>
          <w:tcPr>
            <w:tcW w:w="1576" w:type="dxa"/>
            <w:vMerge/>
            <w:shd w:val="clear" w:color="auto" w:fill="auto"/>
            <w:vAlign w:val="center"/>
          </w:tcPr>
          <w:p w14:paraId="422DB17A" w14:textId="77777777" w:rsidR="00680D85" w:rsidRDefault="00680D85">
            <w:pPr>
              <w:snapToGrid w:val="0"/>
              <w:spacing w:line="360" w:lineRule="auto"/>
              <w:rPr>
                <w:rFonts w:ascii="Book Antiqua" w:eastAsia="DengXian" w:hAnsi="Book Antiqua"/>
                <w:bCs/>
                <w:color w:val="000000"/>
                <w:sz w:val="20"/>
                <w:szCs w:val="20"/>
              </w:rPr>
            </w:pPr>
          </w:p>
        </w:tc>
        <w:tc>
          <w:tcPr>
            <w:tcW w:w="3708" w:type="dxa"/>
            <w:shd w:val="clear" w:color="auto" w:fill="auto"/>
          </w:tcPr>
          <w:p w14:paraId="6DFE7261"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MWST: grade 1</w:t>
            </w:r>
          </w:p>
        </w:tc>
        <w:tc>
          <w:tcPr>
            <w:tcW w:w="3681" w:type="dxa"/>
            <w:shd w:val="clear" w:color="auto" w:fill="auto"/>
          </w:tcPr>
          <w:p w14:paraId="5576E401"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MWST: grade 4</w:t>
            </w:r>
          </w:p>
        </w:tc>
      </w:tr>
      <w:tr w:rsidR="00680D85" w14:paraId="43675143" w14:textId="77777777">
        <w:trPr>
          <w:trHeight w:val="1359"/>
          <w:jc w:val="center"/>
        </w:trPr>
        <w:tc>
          <w:tcPr>
            <w:tcW w:w="1576" w:type="dxa"/>
            <w:vMerge/>
            <w:shd w:val="clear" w:color="auto" w:fill="auto"/>
            <w:vAlign w:val="center"/>
          </w:tcPr>
          <w:p w14:paraId="5B9CC7FD" w14:textId="77777777" w:rsidR="00680D85" w:rsidRDefault="00680D85">
            <w:pPr>
              <w:snapToGrid w:val="0"/>
              <w:spacing w:line="360" w:lineRule="auto"/>
              <w:rPr>
                <w:rFonts w:ascii="Book Antiqua" w:eastAsia="DengXian" w:hAnsi="Book Antiqua"/>
                <w:bCs/>
                <w:color w:val="000000"/>
                <w:sz w:val="20"/>
                <w:szCs w:val="20"/>
              </w:rPr>
            </w:pPr>
          </w:p>
        </w:tc>
        <w:tc>
          <w:tcPr>
            <w:tcW w:w="3708" w:type="dxa"/>
            <w:shd w:val="clear" w:color="auto" w:fill="auto"/>
          </w:tcPr>
          <w:p w14:paraId="28B124EE"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sEMG: imperfect swallowing motion and delayed pharyngeal transit time</w:t>
            </w:r>
          </w:p>
        </w:tc>
        <w:tc>
          <w:tcPr>
            <w:tcW w:w="3681" w:type="dxa"/>
            <w:shd w:val="clear" w:color="auto" w:fill="auto"/>
          </w:tcPr>
          <w:p w14:paraId="2EE28725"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sEMG: imperfect swallowing waves especially when swallowing at the left side</w:t>
            </w:r>
          </w:p>
        </w:tc>
      </w:tr>
      <w:tr w:rsidR="00680D85" w14:paraId="7ADA86A8" w14:textId="77777777">
        <w:trPr>
          <w:trHeight w:val="1704"/>
          <w:jc w:val="center"/>
        </w:trPr>
        <w:tc>
          <w:tcPr>
            <w:tcW w:w="1576" w:type="dxa"/>
            <w:vMerge/>
            <w:shd w:val="clear" w:color="auto" w:fill="auto"/>
            <w:vAlign w:val="center"/>
          </w:tcPr>
          <w:p w14:paraId="6DA5415E" w14:textId="77777777" w:rsidR="00680D85" w:rsidRDefault="00680D85">
            <w:pPr>
              <w:snapToGrid w:val="0"/>
              <w:spacing w:line="360" w:lineRule="auto"/>
              <w:rPr>
                <w:rFonts w:ascii="Book Antiqua" w:eastAsia="DengXian" w:hAnsi="Book Antiqua"/>
                <w:bCs/>
                <w:color w:val="000000"/>
                <w:sz w:val="20"/>
                <w:szCs w:val="20"/>
              </w:rPr>
            </w:pPr>
          </w:p>
        </w:tc>
        <w:tc>
          <w:tcPr>
            <w:tcW w:w="3708" w:type="dxa"/>
            <w:shd w:val="clear" w:color="auto" w:fill="auto"/>
          </w:tcPr>
          <w:p w14:paraId="77C99EAB"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VFSS: leakage or aspiration, pharyngeal residue, incomplete epiglottic closure and UES dysfunction</w:t>
            </w:r>
          </w:p>
        </w:tc>
        <w:tc>
          <w:tcPr>
            <w:tcW w:w="3681" w:type="dxa"/>
            <w:shd w:val="clear" w:color="auto" w:fill="auto"/>
          </w:tcPr>
          <w:p w14:paraId="0CD8F924"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VFSS: leakage or aspiration, pharyngeal residue, decreased laryngeal elevation and impaired opening of UES</w:t>
            </w:r>
          </w:p>
        </w:tc>
      </w:tr>
      <w:tr w:rsidR="00680D85" w14:paraId="1F356F77" w14:textId="77777777">
        <w:trPr>
          <w:trHeight w:val="512"/>
          <w:jc w:val="center"/>
        </w:trPr>
        <w:tc>
          <w:tcPr>
            <w:tcW w:w="1576" w:type="dxa"/>
            <w:vMerge/>
            <w:shd w:val="clear" w:color="auto" w:fill="auto"/>
            <w:vAlign w:val="center"/>
          </w:tcPr>
          <w:p w14:paraId="2C6CDE28" w14:textId="77777777" w:rsidR="00680D85" w:rsidRDefault="00680D85">
            <w:pPr>
              <w:snapToGrid w:val="0"/>
              <w:spacing w:line="360" w:lineRule="auto"/>
              <w:rPr>
                <w:rFonts w:ascii="Book Antiqua" w:eastAsia="DengXian" w:hAnsi="Book Antiqua"/>
                <w:bCs/>
                <w:color w:val="000000"/>
                <w:sz w:val="20"/>
                <w:szCs w:val="20"/>
              </w:rPr>
            </w:pPr>
          </w:p>
        </w:tc>
        <w:tc>
          <w:tcPr>
            <w:tcW w:w="3708" w:type="dxa"/>
            <w:shd w:val="clear" w:color="auto" w:fill="auto"/>
          </w:tcPr>
          <w:p w14:paraId="67937993"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FEES: epiglottis insufficiency</w:t>
            </w:r>
          </w:p>
        </w:tc>
        <w:tc>
          <w:tcPr>
            <w:tcW w:w="3681" w:type="dxa"/>
            <w:shd w:val="clear" w:color="auto" w:fill="auto"/>
          </w:tcPr>
          <w:p w14:paraId="1FABDC76" w14:textId="77777777" w:rsidR="00680D85" w:rsidRDefault="00680D85">
            <w:pPr>
              <w:snapToGrid w:val="0"/>
              <w:spacing w:line="360" w:lineRule="auto"/>
              <w:rPr>
                <w:rFonts w:ascii="Book Antiqua" w:eastAsia="DengXian" w:hAnsi="Book Antiqua"/>
                <w:bCs/>
                <w:color w:val="000000"/>
                <w:sz w:val="20"/>
                <w:szCs w:val="20"/>
              </w:rPr>
            </w:pPr>
          </w:p>
        </w:tc>
      </w:tr>
      <w:tr w:rsidR="00680D85" w14:paraId="361285A3" w14:textId="77777777">
        <w:trPr>
          <w:jc w:val="center"/>
        </w:trPr>
        <w:tc>
          <w:tcPr>
            <w:tcW w:w="1576" w:type="dxa"/>
            <w:shd w:val="clear" w:color="auto" w:fill="auto"/>
            <w:vAlign w:val="center"/>
          </w:tcPr>
          <w:p w14:paraId="6001DE7A"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Start times of HEST</w:t>
            </w:r>
          </w:p>
        </w:tc>
        <w:tc>
          <w:tcPr>
            <w:tcW w:w="3708" w:type="dxa"/>
            <w:shd w:val="clear" w:color="auto" w:fill="auto"/>
          </w:tcPr>
          <w:p w14:paraId="42C0DBA4"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The 2</w:t>
            </w:r>
            <w:r>
              <w:rPr>
                <w:rFonts w:ascii="Book Antiqua" w:eastAsia="DengXian" w:hAnsi="Book Antiqua"/>
                <w:bCs/>
                <w:color w:val="000000"/>
                <w:sz w:val="20"/>
                <w:szCs w:val="20"/>
                <w:vertAlign w:val="superscript"/>
              </w:rPr>
              <w:t>nd</w:t>
            </w:r>
            <w:r>
              <w:rPr>
                <w:rFonts w:ascii="Book Antiqua" w:eastAsia="DengXian" w:hAnsi="Book Antiqua"/>
                <w:bCs/>
                <w:color w:val="000000"/>
                <w:sz w:val="20"/>
                <w:szCs w:val="20"/>
              </w:rPr>
              <w:t xml:space="preserve"> wk (After 2 wk, the patient was able to resume oral feeding)</w:t>
            </w:r>
          </w:p>
        </w:tc>
        <w:tc>
          <w:tcPr>
            <w:tcW w:w="3681" w:type="dxa"/>
            <w:shd w:val="clear" w:color="auto" w:fill="auto"/>
          </w:tcPr>
          <w:p w14:paraId="7BB6FCF0"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The 1</w:t>
            </w:r>
            <w:r>
              <w:rPr>
                <w:rFonts w:ascii="Book Antiqua" w:eastAsia="DengXian" w:hAnsi="Book Antiqua"/>
                <w:bCs/>
                <w:color w:val="000000"/>
                <w:sz w:val="20"/>
                <w:szCs w:val="20"/>
                <w:vertAlign w:val="superscript"/>
              </w:rPr>
              <w:t>st</w:t>
            </w:r>
            <w:r>
              <w:rPr>
                <w:rFonts w:ascii="Book Antiqua" w:eastAsia="DengXian" w:hAnsi="Book Antiqua"/>
                <w:bCs/>
                <w:color w:val="000000"/>
                <w:sz w:val="20"/>
                <w:szCs w:val="20"/>
              </w:rPr>
              <w:t xml:space="preserve"> d (After 3 d, the patient was able to resume normal oral feeding)</w:t>
            </w:r>
          </w:p>
        </w:tc>
      </w:tr>
      <w:tr w:rsidR="00680D85" w14:paraId="00F45C9E" w14:textId="77777777">
        <w:trPr>
          <w:trHeight w:val="425"/>
          <w:jc w:val="center"/>
        </w:trPr>
        <w:tc>
          <w:tcPr>
            <w:tcW w:w="1576" w:type="dxa"/>
            <w:vMerge w:val="restart"/>
            <w:shd w:val="clear" w:color="auto" w:fill="auto"/>
            <w:vAlign w:val="center"/>
          </w:tcPr>
          <w:p w14:paraId="7F9DA131"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Discharge evaluation</w:t>
            </w:r>
          </w:p>
        </w:tc>
        <w:tc>
          <w:tcPr>
            <w:tcW w:w="3708" w:type="dxa"/>
            <w:shd w:val="clear" w:color="auto" w:fill="auto"/>
          </w:tcPr>
          <w:p w14:paraId="5D3DD2FB"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FOIS: level 7</w:t>
            </w:r>
          </w:p>
        </w:tc>
        <w:tc>
          <w:tcPr>
            <w:tcW w:w="3681" w:type="dxa"/>
            <w:shd w:val="clear" w:color="auto" w:fill="auto"/>
          </w:tcPr>
          <w:p w14:paraId="27D3BC87"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FOIS: level 7</w:t>
            </w:r>
          </w:p>
        </w:tc>
      </w:tr>
      <w:tr w:rsidR="00680D85" w14:paraId="7FFA2D62" w14:textId="77777777">
        <w:trPr>
          <w:trHeight w:val="427"/>
          <w:jc w:val="center"/>
        </w:trPr>
        <w:tc>
          <w:tcPr>
            <w:tcW w:w="1576" w:type="dxa"/>
            <w:vMerge/>
            <w:shd w:val="clear" w:color="auto" w:fill="auto"/>
            <w:vAlign w:val="center"/>
          </w:tcPr>
          <w:p w14:paraId="3991B725" w14:textId="77777777" w:rsidR="00680D85" w:rsidRDefault="00680D85">
            <w:pPr>
              <w:snapToGrid w:val="0"/>
              <w:spacing w:line="360" w:lineRule="auto"/>
              <w:rPr>
                <w:rFonts w:ascii="Book Antiqua" w:eastAsia="DengXian" w:hAnsi="Book Antiqua"/>
                <w:bCs/>
                <w:color w:val="000000"/>
                <w:sz w:val="20"/>
                <w:szCs w:val="20"/>
              </w:rPr>
            </w:pPr>
          </w:p>
        </w:tc>
        <w:tc>
          <w:tcPr>
            <w:tcW w:w="3708" w:type="dxa"/>
            <w:shd w:val="clear" w:color="auto" w:fill="auto"/>
          </w:tcPr>
          <w:p w14:paraId="262BE48E"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MWST: grade 5</w:t>
            </w:r>
          </w:p>
        </w:tc>
        <w:tc>
          <w:tcPr>
            <w:tcW w:w="3681" w:type="dxa"/>
            <w:shd w:val="clear" w:color="auto" w:fill="auto"/>
          </w:tcPr>
          <w:p w14:paraId="7CEBDFEB"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MWST: grade 5</w:t>
            </w:r>
          </w:p>
        </w:tc>
      </w:tr>
      <w:tr w:rsidR="00680D85" w14:paraId="100DEEDD" w14:textId="77777777">
        <w:trPr>
          <w:trHeight w:val="527"/>
          <w:jc w:val="center"/>
        </w:trPr>
        <w:tc>
          <w:tcPr>
            <w:tcW w:w="1576" w:type="dxa"/>
            <w:vMerge/>
            <w:shd w:val="clear" w:color="auto" w:fill="auto"/>
            <w:vAlign w:val="center"/>
          </w:tcPr>
          <w:p w14:paraId="3BAC01E9" w14:textId="77777777" w:rsidR="00680D85" w:rsidRDefault="00680D85">
            <w:pPr>
              <w:snapToGrid w:val="0"/>
              <w:spacing w:line="360" w:lineRule="auto"/>
              <w:rPr>
                <w:rFonts w:ascii="Book Antiqua" w:eastAsia="DengXian" w:hAnsi="Book Antiqua"/>
                <w:bCs/>
                <w:color w:val="000000"/>
                <w:sz w:val="20"/>
                <w:szCs w:val="20"/>
              </w:rPr>
            </w:pPr>
          </w:p>
        </w:tc>
        <w:tc>
          <w:tcPr>
            <w:tcW w:w="3708" w:type="dxa"/>
            <w:shd w:val="clear" w:color="auto" w:fill="auto"/>
          </w:tcPr>
          <w:p w14:paraId="50D2247B"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 xml:space="preserve">sEMG: normal </w:t>
            </w:r>
          </w:p>
        </w:tc>
        <w:tc>
          <w:tcPr>
            <w:tcW w:w="3681" w:type="dxa"/>
            <w:shd w:val="clear" w:color="auto" w:fill="auto"/>
          </w:tcPr>
          <w:p w14:paraId="28CE5E8C"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 xml:space="preserve">sEMG: normal </w:t>
            </w:r>
          </w:p>
        </w:tc>
      </w:tr>
      <w:tr w:rsidR="00680D85" w14:paraId="3C371EFF" w14:textId="77777777">
        <w:trPr>
          <w:trHeight w:val="365"/>
          <w:jc w:val="center"/>
        </w:trPr>
        <w:tc>
          <w:tcPr>
            <w:tcW w:w="1576" w:type="dxa"/>
            <w:vMerge w:val="restart"/>
            <w:shd w:val="clear" w:color="auto" w:fill="auto"/>
            <w:vAlign w:val="center"/>
          </w:tcPr>
          <w:p w14:paraId="01914B23"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Follow-up</w:t>
            </w:r>
          </w:p>
        </w:tc>
        <w:tc>
          <w:tcPr>
            <w:tcW w:w="3708" w:type="dxa"/>
            <w:shd w:val="clear" w:color="auto" w:fill="auto"/>
          </w:tcPr>
          <w:p w14:paraId="3DFC2FB1"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FOIS: level 7</w:t>
            </w:r>
          </w:p>
        </w:tc>
        <w:tc>
          <w:tcPr>
            <w:tcW w:w="3681" w:type="dxa"/>
            <w:shd w:val="clear" w:color="auto" w:fill="auto"/>
          </w:tcPr>
          <w:p w14:paraId="0EBE7910"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FOIS: level 7</w:t>
            </w:r>
          </w:p>
        </w:tc>
      </w:tr>
      <w:tr w:rsidR="00680D85" w14:paraId="14625A7A" w14:textId="77777777">
        <w:trPr>
          <w:trHeight w:val="1075"/>
          <w:jc w:val="center"/>
        </w:trPr>
        <w:tc>
          <w:tcPr>
            <w:tcW w:w="1576" w:type="dxa"/>
            <w:vMerge/>
            <w:shd w:val="clear" w:color="auto" w:fill="auto"/>
            <w:vAlign w:val="center"/>
          </w:tcPr>
          <w:p w14:paraId="29AD01B7" w14:textId="77777777" w:rsidR="00680D85" w:rsidRDefault="00680D85">
            <w:pPr>
              <w:snapToGrid w:val="0"/>
              <w:spacing w:line="360" w:lineRule="auto"/>
              <w:rPr>
                <w:rFonts w:ascii="Book Antiqua" w:eastAsia="DengXian" w:hAnsi="Book Antiqua"/>
                <w:bCs/>
                <w:color w:val="000000"/>
                <w:sz w:val="20"/>
                <w:szCs w:val="20"/>
              </w:rPr>
            </w:pPr>
          </w:p>
        </w:tc>
        <w:tc>
          <w:tcPr>
            <w:tcW w:w="3708" w:type="dxa"/>
            <w:shd w:val="clear" w:color="auto" w:fill="auto"/>
          </w:tcPr>
          <w:p w14:paraId="6D27A497"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Oral feeding (Each meal could be finished within 30 min)</w:t>
            </w:r>
          </w:p>
        </w:tc>
        <w:tc>
          <w:tcPr>
            <w:tcW w:w="3681" w:type="dxa"/>
            <w:shd w:val="clear" w:color="auto" w:fill="auto"/>
          </w:tcPr>
          <w:p w14:paraId="24E23044" w14:textId="77777777" w:rsidR="00680D85" w:rsidRDefault="00BD58DD">
            <w:pPr>
              <w:snapToGrid w:val="0"/>
              <w:spacing w:line="360" w:lineRule="auto"/>
              <w:rPr>
                <w:rFonts w:ascii="Book Antiqua" w:eastAsia="DengXian" w:hAnsi="Book Antiqua"/>
                <w:bCs/>
                <w:color w:val="000000"/>
                <w:sz w:val="20"/>
                <w:szCs w:val="20"/>
              </w:rPr>
            </w:pPr>
            <w:r>
              <w:rPr>
                <w:rFonts w:ascii="Book Antiqua" w:eastAsia="DengXian" w:hAnsi="Book Antiqua"/>
                <w:bCs/>
                <w:color w:val="000000"/>
                <w:sz w:val="20"/>
                <w:szCs w:val="20"/>
              </w:rPr>
              <w:t>Oral feeding (Each meal could be finished within 30 min)</w:t>
            </w:r>
          </w:p>
        </w:tc>
      </w:tr>
    </w:tbl>
    <w:p w14:paraId="1C35AF86" w14:textId="2A8B1356" w:rsidR="00680D85" w:rsidRDefault="00BD58DD">
      <w:pPr>
        <w:snapToGrid w:val="0"/>
        <w:spacing w:line="360" w:lineRule="auto"/>
        <w:rPr>
          <w:rFonts w:ascii="Book Antiqua" w:hAnsi="Book Antiqua"/>
          <w:color w:val="000000"/>
          <w:sz w:val="20"/>
          <w:szCs w:val="20"/>
        </w:rPr>
      </w:pPr>
      <w:r>
        <w:rPr>
          <w:rFonts w:ascii="Book Antiqua" w:hAnsi="Book Antiqua"/>
          <w:color w:val="000000"/>
          <w:sz w:val="20"/>
          <w:szCs w:val="20"/>
        </w:rPr>
        <w:t>FOIS: Functional oral intake scale; MWST: Modified water swallow test; sEMG: Surface electromyography; VFSS: Video fluorography swallowing study; FEES: Fiberoptic endoscopic evaluation of swallowing examination; MRI: Magnetic resonance imaging.</w:t>
      </w:r>
    </w:p>
    <w:p w14:paraId="529B59CE" w14:textId="77777777" w:rsidR="00680D85" w:rsidRDefault="00680D85">
      <w:pPr>
        <w:snapToGrid w:val="0"/>
        <w:spacing w:line="360" w:lineRule="auto"/>
        <w:rPr>
          <w:rFonts w:ascii="Book Antiqua" w:hAnsi="Book Antiqua"/>
          <w:color w:val="000000"/>
          <w:sz w:val="20"/>
          <w:szCs w:val="20"/>
        </w:rPr>
      </w:pPr>
    </w:p>
    <w:sectPr w:rsidR="00680D85">
      <w:headerReference w:type="even" r:id="rId15"/>
      <w:headerReference w:type="default" r:id="rId16"/>
      <w:footerReference w:type="even" r:id="rId17"/>
      <w:footerReference w:type="default" r:id="rId18"/>
      <w:pgSz w:w="11901" w:h="16817"/>
      <w:pgMar w:top="1440" w:right="1440" w:bottom="1440" w:left="1440" w:header="850" w:footer="994"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216144" w14:textId="77777777" w:rsidR="00C81F21" w:rsidRDefault="00C81F21">
      <w:r>
        <w:separator/>
      </w:r>
    </w:p>
  </w:endnote>
  <w:endnote w:type="continuationSeparator" w:id="0">
    <w:p w14:paraId="4EBB5722" w14:textId="77777777" w:rsidR="00C81F21" w:rsidRDefault="00C81F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楷体_GB2312">
    <w:altName w:val="楷体"/>
    <w:panose1 w:val="020B0604020202020204"/>
    <w:charset w:val="86"/>
    <w:family w:val="modern"/>
    <w:pitch w:val="default"/>
    <w:sig w:usb0="00000000" w:usb1="00000000" w:usb2="00000010" w:usb3="00000000" w:csb0="00040000" w:csb1="00000000"/>
  </w:font>
  <w:font w:name="DengXian">
    <w:altName w:val="等线"/>
    <w:panose1 w:val="02010600030101010101"/>
    <w:charset w:val="86"/>
    <w:family w:val="auto"/>
    <w:pitch w:val="variable"/>
    <w:sig w:usb0="A00002BF"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Times">
    <w:panose1 w:val="0000050000000002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8E0A9" w14:textId="77777777" w:rsidR="00680D85" w:rsidRDefault="00BD58DD">
    <w:pPr>
      <w:pStyle w:val="a7"/>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2DCFA968" w14:textId="77777777" w:rsidR="00680D85" w:rsidRDefault="00680D85">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4223BF" w14:textId="77777777" w:rsidR="00680D85" w:rsidRPr="00335FD1" w:rsidRDefault="00BD58DD">
    <w:pPr>
      <w:pStyle w:val="a7"/>
      <w:framePr w:wrap="around" w:vAnchor="text" w:hAnchor="margin" w:xAlign="center" w:y="1"/>
      <w:rPr>
        <w:rStyle w:val="ad"/>
        <w:rFonts w:ascii="Book Antiqua" w:hAnsi="Book Antiqua"/>
        <w:sz w:val="20"/>
        <w:szCs w:val="20"/>
      </w:rPr>
    </w:pPr>
    <w:r w:rsidRPr="00335FD1">
      <w:rPr>
        <w:rStyle w:val="ad"/>
        <w:rFonts w:ascii="Book Antiqua" w:hAnsi="Book Antiqua"/>
        <w:sz w:val="20"/>
        <w:szCs w:val="20"/>
      </w:rPr>
      <w:fldChar w:fldCharType="begin"/>
    </w:r>
    <w:r w:rsidRPr="00335FD1">
      <w:rPr>
        <w:rStyle w:val="ad"/>
        <w:rFonts w:ascii="Book Antiqua" w:hAnsi="Book Antiqua"/>
        <w:sz w:val="20"/>
        <w:szCs w:val="20"/>
      </w:rPr>
      <w:instrText xml:space="preserve">PAGE  </w:instrText>
    </w:r>
    <w:r w:rsidRPr="00335FD1">
      <w:rPr>
        <w:rStyle w:val="ad"/>
        <w:rFonts w:ascii="Book Antiqua" w:hAnsi="Book Antiqua"/>
        <w:sz w:val="20"/>
        <w:szCs w:val="20"/>
      </w:rPr>
      <w:fldChar w:fldCharType="separate"/>
    </w:r>
    <w:r w:rsidR="00A87F64">
      <w:rPr>
        <w:rStyle w:val="ad"/>
        <w:rFonts w:ascii="Book Antiqua" w:hAnsi="Book Antiqua"/>
        <w:noProof/>
        <w:sz w:val="20"/>
        <w:szCs w:val="20"/>
      </w:rPr>
      <w:t>7</w:t>
    </w:r>
    <w:r w:rsidRPr="00335FD1">
      <w:rPr>
        <w:rStyle w:val="ad"/>
        <w:rFonts w:ascii="Book Antiqua" w:hAnsi="Book Antiqua"/>
        <w:sz w:val="20"/>
        <w:szCs w:val="20"/>
      </w:rPr>
      <w:fldChar w:fldCharType="end"/>
    </w:r>
  </w:p>
  <w:p w14:paraId="606213E7" w14:textId="77777777" w:rsidR="00680D85" w:rsidRDefault="00680D85">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1F204C" w14:textId="77777777" w:rsidR="00C81F21" w:rsidRDefault="00C81F21">
      <w:r>
        <w:separator/>
      </w:r>
    </w:p>
  </w:footnote>
  <w:footnote w:type="continuationSeparator" w:id="0">
    <w:p w14:paraId="632946FC" w14:textId="77777777" w:rsidR="00C81F21" w:rsidRDefault="00C81F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FADD6" w14:textId="77777777" w:rsidR="00680D85" w:rsidRDefault="00BD58DD">
    <w:pPr>
      <w:pStyle w:val="a9"/>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062CE88D" w14:textId="77777777" w:rsidR="00680D85" w:rsidRDefault="00680D85">
    <w:pPr>
      <w:pStyle w:val="a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515241" w14:textId="77777777" w:rsidR="00680D85" w:rsidRDefault="00680D85" w:rsidP="00335FD1">
    <w:pPr>
      <w:pStyle w:val="a9"/>
      <w:pBdr>
        <w:bottom w:val="none" w:sz="0" w:space="0" w:color="auto"/>
      </w:pBdr>
      <w:jc w:val="both"/>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145A"/>
    <w:rsid w:val="00004977"/>
    <w:rsid w:val="000114F4"/>
    <w:rsid w:val="000115FC"/>
    <w:rsid w:val="00011BD8"/>
    <w:rsid w:val="000169CE"/>
    <w:rsid w:val="00032A84"/>
    <w:rsid w:val="00032D45"/>
    <w:rsid w:val="00033F8A"/>
    <w:rsid w:val="0004018C"/>
    <w:rsid w:val="00042575"/>
    <w:rsid w:val="000511C4"/>
    <w:rsid w:val="00063BD8"/>
    <w:rsid w:val="00064C16"/>
    <w:rsid w:val="000653C5"/>
    <w:rsid w:val="00077160"/>
    <w:rsid w:val="00077EB2"/>
    <w:rsid w:val="00080D9D"/>
    <w:rsid w:val="000841C2"/>
    <w:rsid w:val="00084AF0"/>
    <w:rsid w:val="00095672"/>
    <w:rsid w:val="00095FA3"/>
    <w:rsid w:val="000A3961"/>
    <w:rsid w:val="000B46FC"/>
    <w:rsid w:val="000B586D"/>
    <w:rsid w:val="000C07CA"/>
    <w:rsid w:val="000D0900"/>
    <w:rsid w:val="000D0BE4"/>
    <w:rsid w:val="000D1D78"/>
    <w:rsid w:val="000D3821"/>
    <w:rsid w:val="000D5225"/>
    <w:rsid w:val="000D5E95"/>
    <w:rsid w:val="000E27ED"/>
    <w:rsid w:val="000F332D"/>
    <w:rsid w:val="000F3FF6"/>
    <w:rsid w:val="000F4A4D"/>
    <w:rsid w:val="00100648"/>
    <w:rsid w:val="00101153"/>
    <w:rsid w:val="00105035"/>
    <w:rsid w:val="001075BD"/>
    <w:rsid w:val="00107F27"/>
    <w:rsid w:val="0011237E"/>
    <w:rsid w:val="001156D5"/>
    <w:rsid w:val="00115C4F"/>
    <w:rsid w:val="00123CF5"/>
    <w:rsid w:val="001304B0"/>
    <w:rsid w:val="0014179C"/>
    <w:rsid w:val="0014390F"/>
    <w:rsid w:val="001548CE"/>
    <w:rsid w:val="001637BF"/>
    <w:rsid w:val="00171002"/>
    <w:rsid w:val="00180246"/>
    <w:rsid w:val="001A1ED1"/>
    <w:rsid w:val="001A3FA5"/>
    <w:rsid w:val="001A6ACC"/>
    <w:rsid w:val="001A6E7B"/>
    <w:rsid w:val="001B0509"/>
    <w:rsid w:val="001B3414"/>
    <w:rsid w:val="001C62E8"/>
    <w:rsid w:val="001D0ACE"/>
    <w:rsid w:val="001D1B2D"/>
    <w:rsid w:val="001D2325"/>
    <w:rsid w:val="001D2C46"/>
    <w:rsid w:val="001E0F82"/>
    <w:rsid w:val="001E302A"/>
    <w:rsid w:val="001E322E"/>
    <w:rsid w:val="001E7968"/>
    <w:rsid w:val="001F533C"/>
    <w:rsid w:val="00200E83"/>
    <w:rsid w:val="0020176E"/>
    <w:rsid w:val="002026BC"/>
    <w:rsid w:val="0020528D"/>
    <w:rsid w:val="00217A81"/>
    <w:rsid w:val="00221238"/>
    <w:rsid w:val="00231378"/>
    <w:rsid w:val="002319D4"/>
    <w:rsid w:val="00233976"/>
    <w:rsid w:val="00236DC4"/>
    <w:rsid w:val="00240551"/>
    <w:rsid w:val="00245225"/>
    <w:rsid w:val="00245BF5"/>
    <w:rsid w:val="0025257F"/>
    <w:rsid w:val="002549C6"/>
    <w:rsid w:val="00255DEB"/>
    <w:rsid w:val="00266D56"/>
    <w:rsid w:val="00267E74"/>
    <w:rsid w:val="002716A4"/>
    <w:rsid w:val="00272797"/>
    <w:rsid w:val="00273DC5"/>
    <w:rsid w:val="00274E41"/>
    <w:rsid w:val="00277FD0"/>
    <w:rsid w:val="00280136"/>
    <w:rsid w:val="002806D3"/>
    <w:rsid w:val="002815C8"/>
    <w:rsid w:val="0028597A"/>
    <w:rsid w:val="00285E8E"/>
    <w:rsid w:val="00285F65"/>
    <w:rsid w:val="002A24BD"/>
    <w:rsid w:val="002A3943"/>
    <w:rsid w:val="002A56A1"/>
    <w:rsid w:val="002A5A5A"/>
    <w:rsid w:val="002A74E0"/>
    <w:rsid w:val="002B104A"/>
    <w:rsid w:val="002B3312"/>
    <w:rsid w:val="002C36EF"/>
    <w:rsid w:val="002C5756"/>
    <w:rsid w:val="002C6FA9"/>
    <w:rsid w:val="002E12D4"/>
    <w:rsid w:val="002E67C5"/>
    <w:rsid w:val="002F0D1C"/>
    <w:rsid w:val="002F1747"/>
    <w:rsid w:val="002F32F7"/>
    <w:rsid w:val="002F5DFC"/>
    <w:rsid w:val="002F793B"/>
    <w:rsid w:val="00311803"/>
    <w:rsid w:val="00312715"/>
    <w:rsid w:val="00314D50"/>
    <w:rsid w:val="003166F4"/>
    <w:rsid w:val="00317093"/>
    <w:rsid w:val="0031776D"/>
    <w:rsid w:val="0031787E"/>
    <w:rsid w:val="00322A2F"/>
    <w:rsid w:val="00322EDD"/>
    <w:rsid w:val="003243AA"/>
    <w:rsid w:val="0032512B"/>
    <w:rsid w:val="00326443"/>
    <w:rsid w:val="00327BF2"/>
    <w:rsid w:val="00330046"/>
    <w:rsid w:val="0033219F"/>
    <w:rsid w:val="003336CD"/>
    <w:rsid w:val="00334C23"/>
    <w:rsid w:val="00334D81"/>
    <w:rsid w:val="00335FD1"/>
    <w:rsid w:val="00337B14"/>
    <w:rsid w:val="00337E08"/>
    <w:rsid w:val="00341E19"/>
    <w:rsid w:val="003467F9"/>
    <w:rsid w:val="00350809"/>
    <w:rsid w:val="00351BEE"/>
    <w:rsid w:val="00351DEC"/>
    <w:rsid w:val="00351E84"/>
    <w:rsid w:val="003611CF"/>
    <w:rsid w:val="0036278F"/>
    <w:rsid w:val="00364742"/>
    <w:rsid w:val="003734EE"/>
    <w:rsid w:val="00373740"/>
    <w:rsid w:val="00374DD8"/>
    <w:rsid w:val="0037746A"/>
    <w:rsid w:val="003869AC"/>
    <w:rsid w:val="0038725A"/>
    <w:rsid w:val="00395D9D"/>
    <w:rsid w:val="00397D04"/>
    <w:rsid w:val="003A3AD5"/>
    <w:rsid w:val="003A4EC2"/>
    <w:rsid w:val="003A5244"/>
    <w:rsid w:val="003A6DBC"/>
    <w:rsid w:val="003B46A7"/>
    <w:rsid w:val="003B5DB1"/>
    <w:rsid w:val="003B5E7E"/>
    <w:rsid w:val="003B7667"/>
    <w:rsid w:val="003C0D1E"/>
    <w:rsid w:val="003C5C67"/>
    <w:rsid w:val="003C78D2"/>
    <w:rsid w:val="003D0625"/>
    <w:rsid w:val="003D45FB"/>
    <w:rsid w:val="003D5D4C"/>
    <w:rsid w:val="003D676B"/>
    <w:rsid w:val="003E16EE"/>
    <w:rsid w:val="003E18E9"/>
    <w:rsid w:val="003E488F"/>
    <w:rsid w:val="003E4BDC"/>
    <w:rsid w:val="003E5A47"/>
    <w:rsid w:val="003E6D5D"/>
    <w:rsid w:val="003F0393"/>
    <w:rsid w:val="003F3342"/>
    <w:rsid w:val="003F4744"/>
    <w:rsid w:val="003F719B"/>
    <w:rsid w:val="003F7D63"/>
    <w:rsid w:val="00417807"/>
    <w:rsid w:val="0042329F"/>
    <w:rsid w:val="00425D1C"/>
    <w:rsid w:val="00430B64"/>
    <w:rsid w:val="00433D1E"/>
    <w:rsid w:val="00441400"/>
    <w:rsid w:val="00445C39"/>
    <w:rsid w:val="00450849"/>
    <w:rsid w:val="00451A89"/>
    <w:rsid w:val="00452B54"/>
    <w:rsid w:val="0045600C"/>
    <w:rsid w:val="0046039E"/>
    <w:rsid w:val="004646A0"/>
    <w:rsid w:val="0046515D"/>
    <w:rsid w:val="004670A5"/>
    <w:rsid w:val="004738E8"/>
    <w:rsid w:val="00475491"/>
    <w:rsid w:val="004755C0"/>
    <w:rsid w:val="004755CC"/>
    <w:rsid w:val="00481B6D"/>
    <w:rsid w:val="00486A4B"/>
    <w:rsid w:val="00490888"/>
    <w:rsid w:val="00494A93"/>
    <w:rsid w:val="00495B96"/>
    <w:rsid w:val="004A3BC8"/>
    <w:rsid w:val="004B22A8"/>
    <w:rsid w:val="004B5800"/>
    <w:rsid w:val="004C2AD2"/>
    <w:rsid w:val="004C371D"/>
    <w:rsid w:val="004C5108"/>
    <w:rsid w:val="004C5364"/>
    <w:rsid w:val="004C70DC"/>
    <w:rsid w:val="004D387F"/>
    <w:rsid w:val="004E4C79"/>
    <w:rsid w:val="004F1099"/>
    <w:rsid w:val="004F4B9A"/>
    <w:rsid w:val="005035C2"/>
    <w:rsid w:val="00504E94"/>
    <w:rsid w:val="00515F15"/>
    <w:rsid w:val="00520FB7"/>
    <w:rsid w:val="005212B0"/>
    <w:rsid w:val="005223CF"/>
    <w:rsid w:val="00523AC5"/>
    <w:rsid w:val="005266A2"/>
    <w:rsid w:val="0053352E"/>
    <w:rsid w:val="00540752"/>
    <w:rsid w:val="00542069"/>
    <w:rsid w:val="00543FC2"/>
    <w:rsid w:val="005509EB"/>
    <w:rsid w:val="0055188E"/>
    <w:rsid w:val="00552E78"/>
    <w:rsid w:val="005541B4"/>
    <w:rsid w:val="00556CF2"/>
    <w:rsid w:val="00557027"/>
    <w:rsid w:val="00557896"/>
    <w:rsid w:val="00560867"/>
    <w:rsid w:val="00560B36"/>
    <w:rsid w:val="005706FE"/>
    <w:rsid w:val="00571EF1"/>
    <w:rsid w:val="00575405"/>
    <w:rsid w:val="00577518"/>
    <w:rsid w:val="00583B61"/>
    <w:rsid w:val="00586E0D"/>
    <w:rsid w:val="0058781C"/>
    <w:rsid w:val="0059161A"/>
    <w:rsid w:val="00593350"/>
    <w:rsid w:val="005A0898"/>
    <w:rsid w:val="005A518C"/>
    <w:rsid w:val="005A77B0"/>
    <w:rsid w:val="005B05FB"/>
    <w:rsid w:val="005B11A8"/>
    <w:rsid w:val="005B1B47"/>
    <w:rsid w:val="005B2A53"/>
    <w:rsid w:val="005B4640"/>
    <w:rsid w:val="005B7F90"/>
    <w:rsid w:val="005C5672"/>
    <w:rsid w:val="005C6133"/>
    <w:rsid w:val="005C636F"/>
    <w:rsid w:val="005C7F2F"/>
    <w:rsid w:val="005D534B"/>
    <w:rsid w:val="005E0B8B"/>
    <w:rsid w:val="005E145A"/>
    <w:rsid w:val="005F2D05"/>
    <w:rsid w:val="005F3C12"/>
    <w:rsid w:val="005F7590"/>
    <w:rsid w:val="006028E0"/>
    <w:rsid w:val="00603359"/>
    <w:rsid w:val="006046E1"/>
    <w:rsid w:val="006064F6"/>
    <w:rsid w:val="006108DC"/>
    <w:rsid w:val="00616275"/>
    <w:rsid w:val="00622BCA"/>
    <w:rsid w:val="00624F74"/>
    <w:rsid w:val="0062776F"/>
    <w:rsid w:val="0063021A"/>
    <w:rsid w:val="0063193D"/>
    <w:rsid w:val="00632985"/>
    <w:rsid w:val="0064200A"/>
    <w:rsid w:val="0064394C"/>
    <w:rsid w:val="00646B8E"/>
    <w:rsid w:val="00647164"/>
    <w:rsid w:val="00650185"/>
    <w:rsid w:val="00653FBC"/>
    <w:rsid w:val="00654945"/>
    <w:rsid w:val="00655FFC"/>
    <w:rsid w:val="00656EA8"/>
    <w:rsid w:val="006605ED"/>
    <w:rsid w:val="006652AA"/>
    <w:rsid w:val="006656F6"/>
    <w:rsid w:val="006708A2"/>
    <w:rsid w:val="006747CF"/>
    <w:rsid w:val="00676E1D"/>
    <w:rsid w:val="00680D85"/>
    <w:rsid w:val="00682048"/>
    <w:rsid w:val="00690D4C"/>
    <w:rsid w:val="00696600"/>
    <w:rsid w:val="00696940"/>
    <w:rsid w:val="006A04A3"/>
    <w:rsid w:val="006A4BDB"/>
    <w:rsid w:val="006A5AE8"/>
    <w:rsid w:val="006B11C6"/>
    <w:rsid w:val="006B4221"/>
    <w:rsid w:val="006C1A98"/>
    <w:rsid w:val="006C7220"/>
    <w:rsid w:val="006E1A8D"/>
    <w:rsid w:val="006E2918"/>
    <w:rsid w:val="006E659C"/>
    <w:rsid w:val="006F6735"/>
    <w:rsid w:val="00702063"/>
    <w:rsid w:val="00712B2F"/>
    <w:rsid w:val="00716CDA"/>
    <w:rsid w:val="00721549"/>
    <w:rsid w:val="007219F5"/>
    <w:rsid w:val="00724202"/>
    <w:rsid w:val="00725F59"/>
    <w:rsid w:val="00730B95"/>
    <w:rsid w:val="00732128"/>
    <w:rsid w:val="00734C10"/>
    <w:rsid w:val="00734E95"/>
    <w:rsid w:val="00737902"/>
    <w:rsid w:val="00746521"/>
    <w:rsid w:val="00747AE9"/>
    <w:rsid w:val="007502E8"/>
    <w:rsid w:val="007605D0"/>
    <w:rsid w:val="00761301"/>
    <w:rsid w:val="007624B7"/>
    <w:rsid w:val="00765676"/>
    <w:rsid w:val="00765C34"/>
    <w:rsid w:val="007710DF"/>
    <w:rsid w:val="007756B3"/>
    <w:rsid w:val="0078203E"/>
    <w:rsid w:val="007851AA"/>
    <w:rsid w:val="007911F6"/>
    <w:rsid w:val="00794867"/>
    <w:rsid w:val="007A1935"/>
    <w:rsid w:val="007A1CC8"/>
    <w:rsid w:val="007B594D"/>
    <w:rsid w:val="007B66BA"/>
    <w:rsid w:val="007B7808"/>
    <w:rsid w:val="007C1EFF"/>
    <w:rsid w:val="007C390B"/>
    <w:rsid w:val="007C3C16"/>
    <w:rsid w:val="007D28C4"/>
    <w:rsid w:val="007D3498"/>
    <w:rsid w:val="007D3816"/>
    <w:rsid w:val="007D3D77"/>
    <w:rsid w:val="007D6A37"/>
    <w:rsid w:val="007D7513"/>
    <w:rsid w:val="007D77EF"/>
    <w:rsid w:val="007D7B33"/>
    <w:rsid w:val="007E0182"/>
    <w:rsid w:val="007E4C29"/>
    <w:rsid w:val="007E73E1"/>
    <w:rsid w:val="007F021A"/>
    <w:rsid w:val="007F22E4"/>
    <w:rsid w:val="008004EB"/>
    <w:rsid w:val="00800879"/>
    <w:rsid w:val="0080156A"/>
    <w:rsid w:val="00803157"/>
    <w:rsid w:val="00803729"/>
    <w:rsid w:val="00805BC4"/>
    <w:rsid w:val="0080770B"/>
    <w:rsid w:val="00815FA0"/>
    <w:rsid w:val="008173A0"/>
    <w:rsid w:val="00823EE5"/>
    <w:rsid w:val="00826BFB"/>
    <w:rsid w:val="00834BA2"/>
    <w:rsid w:val="00835C54"/>
    <w:rsid w:val="0083607B"/>
    <w:rsid w:val="008467FE"/>
    <w:rsid w:val="00847B81"/>
    <w:rsid w:val="008509AC"/>
    <w:rsid w:val="00853128"/>
    <w:rsid w:val="0085491A"/>
    <w:rsid w:val="00861911"/>
    <w:rsid w:val="00861F18"/>
    <w:rsid w:val="008645A9"/>
    <w:rsid w:val="00864D74"/>
    <w:rsid w:val="008674E8"/>
    <w:rsid w:val="0087222A"/>
    <w:rsid w:val="00874926"/>
    <w:rsid w:val="008806A5"/>
    <w:rsid w:val="008828C5"/>
    <w:rsid w:val="008846B9"/>
    <w:rsid w:val="00886406"/>
    <w:rsid w:val="008871E7"/>
    <w:rsid w:val="00890457"/>
    <w:rsid w:val="0089147F"/>
    <w:rsid w:val="00896FCE"/>
    <w:rsid w:val="0089759C"/>
    <w:rsid w:val="008A1A2C"/>
    <w:rsid w:val="008B0A5A"/>
    <w:rsid w:val="008D106E"/>
    <w:rsid w:val="008D5DAB"/>
    <w:rsid w:val="008D7A6C"/>
    <w:rsid w:val="008D7CB3"/>
    <w:rsid w:val="008E463E"/>
    <w:rsid w:val="008F0356"/>
    <w:rsid w:val="008F3389"/>
    <w:rsid w:val="008F6D76"/>
    <w:rsid w:val="00902FD0"/>
    <w:rsid w:val="009038D1"/>
    <w:rsid w:val="00904029"/>
    <w:rsid w:val="009042DB"/>
    <w:rsid w:val="009113E6"/>
    <w:rsid w:val="00912CD4"/>
    <w:rsid w:val="009157D2"/>
    <w:rsid w:val="00922444"/>
    <w:rsid w:val="00924030"/>
    <w:rsid w:val="00930E02"/>
    <w:rsid w:val="00935435"/>
    <w:rsid w:val="0094269E"/>
    <w:rsid w:val="009431FD"/>
    <w:rsid w:val="00955F22"/>
    <w:rsid w:val="00956703"/>
    <w:rsid w:val="00960A26"/>
    <w:rsid w:val="009633A0"/>
    <w:rsid w:val="0096659F"/>
    <w:rsid w:val="00972910"/>
    <w:rsid w:val="0097623E"/>
    <w:rsid w:val="00981B4A"/>
    <w:rsid w:val="00981EE6"/>
    <w:rsid w:val="00986D4D"/>
    <w:rsid w:val="009952A0"/>
    <w:rsid w:val="009A57C1"/>
    <w:rsid w:val="009B57B6"/>
    <w:rsid w:val="009B6E8F"/>
    <w:rsid w:val="009C2106"/>
    <w:rsid w:val="009C2ECE"/>
    <w:rsid w:val="009C4D6B"/>
    <w:rsid w:val="009C5A73"/>
    <w:rsid w:val="009C6743"/>
    <w:rsid w:val="009D4B7B"/>
    <w:rsid w:val="009D79FC"/>
    <w:rsid w:val="009D7EB1"/>
    <w:rsid w:val="009E3BCB"/>
    <w:rsid w:val="009E6DB7"/>
    <w:rsid w:val="009F6BD9"/>
    <w:rsid w:val="009F7DC7"/>
    <w:rsid w:val="00A0077B"/>
    <w:rsid w:val="00A01EE1"/>
    <w:rsid w:val="00A07A37"/>
    <w:rsid w:val="00A11117"/>
    <w:rsid w:val="00A11389"/>
    <w:rsid w:val="00A151BA"/>
    <w:rsid w:val="00A15AFE"/>
    <w:rsid w:val="00A16CF1"/>
    <w:rsid w:val="00A247A0"/>
    <w:rsid w:val="00A32A49"/>
    <w:rsid w:val="00A36C81"/>
    <w:rsid w:val="00A3723D"/>
    <w:rsid w:val="00A45829"/>
    <w:rsid w:val="00A45A27"/>
    <w:rsid w:val="00A504AE"/>
    <w:rsid w:val="00A528EE"/>
    <w:rsid w:val="00A54FE4"/>
    <w:rsid w:val="00A604CE"/>
    <w:rsid w:val="00A60FDD"/>
    <w:rsid w:val="00A66142"/>
    <w:rsid w:val="00A74A1A"/>
    <w:rsid w:val="00A752CA"/>
    <w:rsid w:val="00A75367"/>
    <w:rsid w:val="00A8002F"/>
    <w:rsid w:val="00A850FE"/>
    <w:rsid w:val="00A85E58"/>
    <w:rsid w:val="00A87735"/>
    <w:rsid w:val="00A87F64"/>
    <w:rsid w:val="00A91653"/>
    <w:rsid w:val="00A91A0D"/>
    <w:rsid w:val="00A9714B"/>
    <w:rsid w:val="00AA3697"/>
    <w:rsid w:val="00AB5B56"/>
    <w:rsid w:val="00AB7D04"/>
    <w:rsid w:val="00AC7E8A"/>
    <w:rsid w:val="00AD0A8B"/>
    <w:rsid w:val="00AD2A65"/>
    <w:rsid w:val="00AD431D"/>
    <w:rsid w:val="00AE069D"/>
    <w:rsid w:val="00AE5940"/>
    <w:rsid w:val="00AE66CF"/>
    <w:rsid w:val="00AF337D"/>
    <w:rsid w:val="00AF35E7"/>
    <w:rsid w:val="00AF396B"/>
    <w:rsid w:val="00AF3E37"/>
    <w:rsid w:val="00B00AEE"/>
    <w:rsid w:val="00B00CD3"/>
    <w:rsid w:val="00B119D2"/>
    <w:rsid w:val="00B11B31"/>
    <w:rsid w:val="00B131FE"/>
    <w:rsid w:val="00B16163"/>
    <w:rsid w:val="00B228FE"/>
    <w:rsid w:val="00B22C32"/>
    <w:rsid w:val="00B24CB8"/>
    <w:rsid w:val="00B25F96"/>
    <w:rsid w:val="00B32373"/>
    <w:rsid w:val="00B34135"/>
    <w:rsid w:val="00B34FF1"/>
    <w:rsid w:val="00B36869"/>
    <w:rsid w:val="00B40A13"/>
    <w:rsid w:val="00B44855"/>
    <w:rsid w:val="00B5468D"/>
    <w:rsid w:val="00B6491E"/>
    <w:rsid w:val="00B64F5C"/>
    <w:rsid w:val="00B7315A"/>
    <w:rsid w:val="00B8100F"/>
    <w:rsid w:val="00B82E81"/>
    <w:rsid w:val="00B87124"/>
    <w:rsid w:val="00B92037"/>
    <w:rsid w:val="00B93B59"/>
    <w:rsid w:val="00BA64A3"/>
    <w:rsid w:val="00BB0ED3"/>
    <w:rsid w:val="00BD2CD3"/>
    <w:rsid w:val="00BD58DD"/>
    <w:rsid w:val="00BE18EF"/>
    <w:rsid w:val="00BE1E5C"/>
    <w:rsid w:val="00BE269C"/>
    <w:rsid w:val="00BE31E8"/>
    <w:rsid w:val="00BE3E64"/>
    <w:rsid w:val="00BE5BFE"/>
    <w:rsid w:val="00BE6B30"/>
    <w:rsid w:val="00BF04EE"/>
    <w:rsid w:val="00BF1F78"/>
    <w:rsid w:val="00C01E65"/>
    <w:rsid w:val="00C054B9"/>
    <w:rsid w:val="00C064C5"/>
    <w:rsid w:val="00C10837"/>
    <w:rsid w:val="00C14935"/>
    <w:rsid w:val="00C24367"/>
    <w:rsid w:val="00C25AB3"/>
    <w:rsid w:val="00C30153"/>
    <w:rsid w:val="00C30664"/>
    <w:rsid w:val="00C33948"/>
    <w:rsid w:val="00C37000"/>
    <w:rsid w:val="00C4065F"/>
    <w:rsid w:val="00C440AB"/>
    <w:rsid w:val="00C47FE3"/>
    <w:rsid w:val="00C524FC"/>
    <w:rsid w:val="00C56A49"/>
    <w:rsid w:val="00C575CA"/>
    <w:rsid w:val="00C65CB4"/>
    <w:rsid w:val="00C6727C"/>
    <w:rsid w:val="00C733A7"/>
    <w:rsid w:val="00C81104"/>
    <w:rsid w:val="00C81F21"/>
    <w:rsid w:val="00C849BA"/>
    <w:rsid w:val="00CA63F9"/>
    <w:rsid w:val="00CB23AB"/>
    <w:rsid w:val="00CB25C5"/>
    <w:rsid w:val="00CD041C"/>
    <w:rsid w:val="00CD22CB"/>
    <w:rsid w:val="00CD2677"/>
    <w:rsid w:val="00CD2EF0"/>
    <w:rsid w:val="00CD4957"/>
    <w:rsid w:val="00CE0B95"/>
    <w:rsid w:val="00CE5B6E"/>
    <w:rsid w:val="00CF5BE7"/>
    <w:rsid w:val="00CF6F5E"/>
    <w:rsid w:val="00D01AB2"/>
    <w:rsid w:val="00D028AB"/>
    <w:rsid w:val="00D03592"/>
    <w:rsid w:val="00D03E24"/>
    <w:rsid w:val="00D04132"/>
    <w:rsid w:val="00D1239A"/>
    <w:rsid w:val="00D15284"/>
    <w:rsid w:val="00D16BFF"/>
    <w:rsid w:val="00D20BB1"/>
    <w:rsid w:val="00D211C5"/>
    <w:rsid w:val="00D30B8A"/>
    <w:rsid w:val="00D37BCD"/>
    <w:rsid w:val="00D42143"/>
    <w:rsid w:val="00D429B1"/>
    <w:rsid w:val="00D45F84"/>
    <w:rsid w:val="00D505E8"/>
    <w:rsid w:val="00D506A6"/>
    <w:rsid w:val="00D53270"/>
    <w:rsid w:val="00D53302"/>
    <w:rsid w:val="00D6101A"/>
    <w:rsid w:val="00D63C3A"/>
    <w:rsid w:val="00D6423B"/>
    <w:rsid w:val="00D64778"/>
    <w:rsid w:val="00D7329D"/>
    <w:rsid w:val="00D8055D"/>
    <w:rsid w:val="00D917A4"/>
    <w:rsid w:val="00DA6BC9"/>
    <w:rsid w:val="00DB0EB4"/>
    <w:rsid w:val="00DB17BB"/>
    <w:rsid w:val="00DB1AA7"/>
    <w:rsid w:val="00DB6D5E"/>
    <w:rsid w:val="00DC1EFE"/>
    <w:rsid w:val="00DD35D3"/>
    <w:rsid w:val="00DD79AC"/>
    <w:rsid w:val="00DE365C"/>
    <w:rsid w:val="00DE7E0B"/>
    <w:rsid w:val="00DF314E"/>
    <w:rsid w:val="00DF342C"/>
    <w:rsid w:val="00DF447A"/>
    <w:rsid w:val="00E0197E"/>
    <w:rsid w:val="00E05A05"/>
    <w:rsid w:val="00E05EF0"/>
    <w:rsid w:val="00E06446"/>
    <w:rsid w:val="00E1125F"/>
    <w:rsid w:val="00E2226A"/>
    <w:rsid w:val="00E24969"/>
    <w:rsid w:val="00E271FD"/>
    <w:rsid w:val="00E3171E"/>
    <w:rsid w:val="00E35C89"/>
    <w:rsid w:val="00E46F5F"/>
    <w:rsid w:val="00E53946"/>
    <w:rsid w:val="00E55862"/>
    <w:rsid w:val="00E65D02"/>
    <w:rsid w:val="00E73134"/>
    <w:rsid w:val="00E74A0D"/>
    <w:rsid w:val="00E75E2C"/>
    <w:rsid w:val="00E773A2"/>
    <w:rsid w:val="00E8080E"/>
    <w:rsid w:val="00E82A89"/>
    <w:rsid w:val="00E839FE"/>
    <w:rsid w:val="00E85A22"/>
    <w:rsid w:val="00E86EDC"/>
    <w:rsid w:val="00E875D8"/>
    <w:rsid w:val="00EA4FF3"/>
    <w:rsid w:val="00EA7AC4"/>
    <w:rsid w:val="00EB19C1"/>
    <w:rsid w:val="00EB19ED"/>
    <w:rsid w:val="00EB36C5"/>
    <w:rsid w:val="00EB39C6"/>
    <w:rsid w:val="00EB49FE"/>
    <w:rsid w:val="00EB5CC6"/>
    <w:rsid w:val="00EC064D"/>
    <w:rsid w:val="00EC3F7E"/>
    <w:rsid w:val="00ED23F1"/>
    <w:rsid w:val="00ED4FA7"/>
    <w:rsid w:val="00EE55A4"/>
    <w:rsid w:val="00EF2A53"/>
    <w:rsid w:val="00EF2F04"/>
    <w:rsid w:val="00EF373A"/>
    <w:rsid w:val="00EF59F3"/>
    <w:rsid w:val="00F01342"/>
    <w:rsid w:val="00F146BB"/>
    <w:rsid w:val="00F15ABB"/>
    <w:rsid w:val="00F15AE7"/>
    <w:rsid w:val="00F16909"/>
    <w:rsid w:val="00F16FE8"/>
    <w:rsid w:val="00F27E8D"/>
    <w:rsid w:val="00F326A4"/>
    <w:rsid w:val="00F32B38"/>
    <w:rsid w:val="00F3348A"/>
    <w:rsid w:val="00F34254"/>
    <w:rsid w:val="00F44188"/>
    <w:rsid w:val="00F56580"/>
    <w:rsid w:val="00F60BA5"/>
    <w:rsid w:val="00F60EE6"/>
    <w:rsid w:val="00F61C33"/>
    <w:rsid w:val="00F63E50"/>
    <w:rsid w:val="00F71462"/>
    <w:rsid w:val="00F74CEC"/>
    <w:rsid w:val="00F74EC1"/>
    <w:rsid w:val="00F76B1A"/>
    <w:rsid w:val="00F774CE"/>
    <w:rsid w:val="00F80C70"/>
    <w:rsid w:val="00F91E57"/>
    <w:rsid w:val="00F9376C"/>
    <w:rsid w:val="00FA72E1"/>
    <w:rsid w:val="00FB2854"/>
    <w:rsid w:val="00FB3C8D"/>
    <w:rsid w:val="00FB57A3"/>
    <w:rsid w:val="00FB7FCF"/>
    <w:rsid w:val="00FC0988"/>
    <w:rsid w:val="00FC770C"/>
    <w:rsid w:val="00FD1186"/>
    <w:rsid w:val="00FD2775"/>
    <w:rsid w:val="00FD3DCE"/>
    <w:rsid w:val="00FD56E9"/>
    <w:rsid w:val="00FD7411"/>
    <w:rsid w:val="00FE1229"/>
    <w:rsid w:val="00FF1518"/>
    <w:rsid w:val="00FF3DBE"/>
    <w:rsid w:val="00FF4CFC"/>
    <w:rsid w:val="00FF4E1D"/>
    <w:rsid w:val="00FF6C50"/>
    <w:rsid w:val="31693C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decimalSymbol w:val="."/>
  <w:listSeparator w:val=","/>
  <w14:docId w14:val="1CA70292"/>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qFormat="1"/>
    <w:lsdException w:name="footnote text" w:semiHidden="1" w:qFormat="1"/>
    <w:lsdException w:name="annotation text" w:semiHidden="1" w:unhideWhenUsed="1"/>
    <w:lsdException w:name="header" w:qFormat="1"/>
    <w:lsdException w:name="footer"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lsdException w:name="lin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qFormat="1"/>
    <w:lsdException w:name="Emphasis" w:qFormat="1"/>
    <w:lsdException w:name="Document Map" w:semiHidden="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a">
    <w:name w:val="Normal"/>
    <w:qFormat/>
    <w:pPr>
      <w:widowControl w:val="0"/>
      <w:jc w:val="both"/>
    </w:pPr>
    <w:rPr>
      <w:kern w:val="2"/>
      <w:sz w:val="21"/>
      <w:szCs w:val="24"/>
    </w:rPr>
  </w:style>
  <w:style w:type="paragraph" w:styleId="1">
    <w:name w:val="heading 1"/>
    <w:basedOn w:val="a"/>
    <w:next w:val="a"/>
    <w:qFormat/>
    <w:pPr>
      <w:keepNext/>
      <w:keepLines/>
      <w:spacing w:before="340" w:after="330" w:line="578" w:lineRule="auto"/>
      <w:outlineLvl w:val="0"/>
    </w:pPr>
    <w:rPr>
      <w:b/>
      <w:bCs/>
      <w:kern w:val="44"/>
      <w:sz w:val="44"/>
      <w:szCs w:val="44"/>
    </w:rPr>
  </w:style>
  <w:style w:type="paragraph" w:styleId="3">
    <w:name w:val="heading 3"/>
    <w:basedOn w:val="a"/>
    <w:next w:val="a0"/>
    <w:qFormat/>
    <w:pPr>
      <w:keepNext/>
      <w:keepLines/>
      <w:spacing w:line="480" w:lineRule="auto"/>
      <w:ind w:firstLineChars="128" w:firstLine="320"/>
      <w:jc w:val="center"/>
      <w:outlineLvl w:val="2"/>
    </w:pPr>
    <w:rPr>
      <w:rFonts w:eastAsia="楷体_GB2312"/>
      <w:bCs/>
      <w:kern w:val="0"/>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Document Map"/>
    <w:basedOn w:val="a"/>
    <w:semiHidden/>
    <w:qFormat/>
    <w:pPr>
      <w:shd w:val="clear" w:color="auto" w:fill="000080"/>
    </w:pPr>
  </w:style>
  <w:style w:type="paragraph" w:styleId="a5">
    <w:name w:val="Balloon Text"/>
    <w:basedOn w:val="a"/>
    <w:link w:val="a6"/>
    <w:rPr>
      <w:rFonts w:ascii="宋体"/>
      <w:sz w:val="18"/>
      <w:szCs w:val="18"/>
    </w:rPr>
  </w:style>
  <w:style w:type="paragraph" w:styleId="a7">
    <w:name w:val="footer"/>
    <w:basedOn w:val="a"/>
    <w:link w:val="a8"/>
    <w:qFormat/>
    <w:pPr>
      <w:tabs>
        <w:tab w:val="center" w:pos="4153"/>
        <w:tab w:val="right" w:pos="8306"/>
      </w:tabs>
      <w:snapToGrid w:val="0"/>
      <w:jc w:val="left"/>
    </w:pPr>
    <w:rPr>
      <w:sz w:val="18"/>
      <w:szCs w:val="18"/>
    </w:rPr>
  </w:style>
  <w:style w:type="paragraph" w:styleId="a9">
    <w:name w:val="header"/>
    <w:basedOn w:val="a"/>
    <w:link w:val="aa"/>
    <w:qFormat/>
    <w:pPr>
      <w:pBdr>
        <w:bottom w:val="single" w:sz="6" w:space="1" w:color="auto"/>
      </w:pBdr>
      <w:tabs>
        <w:tab w:val="center" w:pos="4153"/>
        <w:tab w:val="right" w:pos="8306"/>
      </w:tabs>
      <w:snapToGrid w:val="0"/>
      <w:jc w:val="center"/>
    </w:pPr>
    <w:rPr>
      <w:sz w:val="18"/>
      <w:szCs w:val="18"/>
    </w:rPr>
  </w:style>
  <w:style w:type="paragraph" w:styleId="ab">
    <w:name w:val="footnote text"/>
    <w:basedOn w:val="a"/>
    <w:semiHidden/>
    <w:qFormat/>
    <w:pPr>
      <w:snapToGrid w:val="0"/>
      <w:jc w:val="left"/>
    </w:pPr>
    <w:rPr>
      <w:sz w:val="18"/>
      <w:szCs w:val="18"/>
    </w:rPr>
  </w:style>
  <w:style w:type="table" w:styleId="ac">
    <w:name w:val="Table Grid"/>
    <w:basedOn w:val="a2"/>
    <w:uiPriority w:val="39"/>
    <w:qFormat/>
    <w:rPr>
      <w:rFonts w:ascii="DengXian" w:eastAsia="DengXian" w:hAnsi="DengXian"/>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style>
  <w:style w:type="character" w:styleId="ae">
    <w:name w:val="line number"/>
    <w:qFormat/>
  </w:style>
  <w:style w:type="character" w:styleId="af">
    <w:name w:val="Hyperlink"/>
    <w:qFormat/>
    <w:rPr>
      <w:color w:val="0000FF"/>
      <w:u w:val="single"/>
    </w:rPr>
  </w:style>
  <w:style w:type="character" w:styleId="af0">
    <w:name w:val="footnote reference"/>
    <w:semiHidden/>
    <w:qFormat/>
    <w:rPr>
      <w:vertAlign w:val="superscript"/>
    </w:rPr>
  </w:style>
  <w:style w:type="paragraph" w:customStyle="1" w:styleId="10">
    <w:name w:val="书目1"/>
    <w:basedOn w:val="a"/>
    <w:qFormat/>
    <w:pPr>
      <w:tabs>
        <w:tab w:val="left" w:pos="260"/>
        <w:tab w:val="left" w:pos="380"/>
      </w:tabs>
      <w:autoSpaceDE w:val="0"/>
      <w:autoSpaceDN w:val="0"/>
      <w:adjustRightInd w:val="0"/>
      <w:ind w:left="384" w:hanging="384"/>
      <w:jc w:val="left"/>
    </w:pPr>
    <w:rPr>
      <w:b/>
      <w:sz w:val="24"/>
    </w:rPr>
  </w:style>
  <w:style w:type="character" w:customStyle="1" w:styleId="aa">
    <w:name w:val="页眉 字符"/>
    <w:link w:val="a9"/>
    <w:qFormat/>
    <w:rPr>
      <w:kern w:val="2"/>
      <w:sz w:val="18"/>
      <w:szCs w:val="18"/>
    </w:rPr>
  </w:style>
  <w:style w:type="character" w:customStyle="1" w:styleId="a8">
    <w:name w:val="页脚 字符"/>
    <w:link w:val="a7"/>
    <w:rPr>
      <w:kern w:val="2"/>
      <w:sz w:val="18"/>
      <w:szCs w:val="18"/>
    </w:rPr>
  </w:style>
  <w:style w:type="character" w:customStyle="1" w:styleId="a6">
    <w:name w:val="批注框文本 字符"/>
    <w:link w:val="a5"/>
    <w:rPr>
      <w:rFonts w:ascii="宋体"/>
      <w:kern w:val="2"/>
      <w:sz w:val="18"/>
      <w:szCs w:val="18"/>
    </w:rPr>
  </w:style>
  <w:style w:type="paragraph" w:customStyle="1" w:styleId="Default">
    <w:name w:val="Default"/>
    <w:pPr>
      <w:widowControl w:val="0"/>
      <w:autoSpaceDE w:val="0"/>
      <w:autoSpaceDN w:val="0"/>
      <w:adjustRightInd w:val="0"/>
    </w:pPr>
    <w:rPr>
      <w:rFonts w:ascii="Book Antiqua" w:eastAsia="DengXian" w:hAnsi="Book Antiqua" w:cs="Book Antiqua"/>
      <w:color w:val="000000"/>
      <w:sz w:val="24"/>
      <w:szCs w:val="24"/>
    </w:rPr>
  </w:style>
  <w:style w:type="character" w:customStyle="1" w:styleId="UnresolvedMention1">
    <w:name w:val="Unresolved Mention1"/>
    <w:basedOn w:val="a1"/>
    <w:uiPriority w:val="4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16</Pages>
  <Words>3381</Words>
  <Characters>19275</Characters>
  <Application>Microsoft Office Word</Application>
  <DocSecurity>0</DocSecurity>
  <Lines>160</Lines>
  <Paragraphs>45</Paragraphs>
  <ScaleCrop>false</ScaleCrop>
  <Company>rehabilitation</Company>
  <LinksUpToDate>false</LinksUpToDate>
  <CharactersWithSpaces>22611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Effect of endurance exercise on the activity of NFB in dorsal root ganglia of diabetic rats induced by STZ</dc:title>
  <dc:creator>林枫</dc:creator>
  <cp:lastModifiedBy>마 유림</cp:lastModifiedBy>
  <cp:revision>4</cp:revision>
  <dcterms:created xsi:type="dcterms:W3CDTF">2020-03-10T07:12:00Z</dcterms:created>
  <dcterms:modified xsi:type="dcterms:W3CDTF">2020-03-12T03:49:00Z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zotero-version="5.0.66"&gt;&lt;session id="yZ41aHdX"/&gt;&lt;style id="http://www.zotero.org/styles/elsevier-with-titles" hasBibliography="1" bibliographyStyleHasBeenSet="1"/&gt;&lt;prefs&gt;&lt;pref name="fieldType" value="Field"/&gt;&lt;/prefs&gt;&lt;/data&gt;</vt:lpwstr>
  </property>
  <property fmtid="{D5CDD505-2E9C-101B-9397-08002B2CF9AE}" pid="3" name="ZOTERO_PREF_2">
    <vt:lpwstr/>
  </property>
  <property fmtid="{D5CDD505-2E9C-101B-9397-08002B2CF9AE}" pid="4" name="KSOProductBuildVer">
    <vt:lpwstr>2052-11.1.0.9513</vt:lpwstr>
  </property>
</Properties>
</file>