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BF286" w14:textId="77777777" w:rsidR="00814B32" w:rsidRPr="0024525A" w:rsidRDefault="00814B32" w:rsidP="0024525A">
      <w:pPr>
        <w:adjustRightInd w:val="0"/>
        <w:snapToGrid w:val="0"/>
        <w:spacing w:line="360" w:lineRule="auto"/>
        <w:rPr>
          <w:rFonts w:ascii="Book Antiqua" w:hAnsi="Book Antiqua"/>
          <w:b/>
          <w:sz w:val="20"/>
          <w:szCs w:val="20"/>
        </w:rPr>
      </w:pPr>
      <w:bookmarkStart w:id="0" w:name="_GoBack"/>
      <w:bookmarkEnd w:id="0"/>
      <w:r w:rsidRPr="0024525A">
        <w:rPr>
          <w:rFonts w:ascii="Book Antiqua" w:hAnsi="Book Antiqua" w:cs="Arial"/>
          <w:b/>
          <w:sz w:val="20"/>
          <w:szCs w:val="20"/>
          <w:shd w:val="clear" w:color="auto" w:fill="FFFFFF"/>
        </w:rPr>
        <w:t xml:space="preserve">Name of Journal: </w:t>
      </w:r>
      <w:r w:rsidRPr="0024525A">
        <w:rPr>
          <w:rFonts w:ascii="Book Antiqua" w:hAnsi="Book Antiqua" w:cs="Arial"/>
          <w:i/>
          <w:sz w:val="20"/>
          <w:szCs w:val="20"/>
          <w:shd w:val="clear" w:color="auto" w:fill="FFFFFF"/>
        </w:rPr>
        <w:t>World Journal of Gastroenterology</w:t>
      </w:r>
    </w:p>
    <w:p w14:paraId="3003A6C5" w14:textId="7FE176BA" w:rsidR="00814B32" w:rsidRPr="0024525A" w:rsidRDefault="00814B32" w:rsidP="0024525A">
      <w:pPr>
        <w:adjustRightInd w:val="0"/>
        <w:snapToGrid w:val="0"/>
        <w:spacing w:line="360" w:lineRule="auto"/>
        <w:rPr>
          <w:rFonts w:ascii="Book Antiqua" w:eastAsia="宋体" w:hAnsi="Book Antiqua" w:cs="Arial"/>
          <w:b/>
          <w:sz w:val="20"/>
          <w:szCs w:val="20"/>
          <w:shd w:val="clear" w:color="auto" w:fill="FFFFFF"/>
        </w:rPr>
      </w:pPr>
      <w:r w:rsidRPr="0024525A">
        <w:rPr>
          <w:rFonts w:ascii="Book Antiqua" w:hAnsi="Book Antiqua" w:cs="Arial"/>
          <w:b/>
          <w:sz w:val="20"/>
          <w:szCs w:val="20"/>
          <w:shd w:val="clear" w:color="auto" w:fill="FFFFFF"/>
        </w:rPr>
        <w:t xml:space="preserve">Manuscript NO: </w:t>
      </w:r>
      <w:r w:rsidRPr="0024525A">
        <w:rPr>
          <w:rFonts w:ascii="Book Antiqua" w:eastAsia="宋体" w:hAnsi="Book Antiqua" w:cs="Arial"/>
          <w:sz w:val="20"/>
          <w:szCs w:val="20"/>
          <w:shd w:val="clear" w:color="auto" w:fill="FFFFFF"/>
        </w:rPr>
        <w:t>52932</w:t>
      </w:r>
    </w:p>
    <w:p w14:paraId="17218DDD" w14:textId="398D3B1A" w:rsidR="00814B32" w:rsidRPr="0024525A" w:rsidRDefault="00814B32" w:rsidP="0024525A">
      <w:pPr>
        <w:adjustRightInd w:val="0"/>
        <w:snapToGrid w:val="0"/>
        <w:spacing w:line="360" w:lineRule="auto"/>
        <w:rPr>
          <w:rFonts w:ascii="Book Antiqua" w:eastAsia="宋体" w:hAnsi="Book Antiqua" w:cs="AdvAGaramond-R"/>
          <w:b/>
          <w:caps/>
          <w:kern w:val="0"/>
          <w:sz w:val="20"/>
          <w:szCs w:val="20"/>
          <w:lang w:bidi="en-US"/>
        </w:rPr>
      </w:pPr>
      <w:bookmarkStart w:id="1" w:name="OLE_LINK3"/>
      <w:bookmarkStart w:id="2" w:name="OLE_LINK4"/>
      <w:r w:rsidRPr="0024525A">
        <w:rPr>
          <w:rFonts w:ascii="Book Antiqua" w:hAnsi="Book Antiqua"/>
          <w:b/>
          <w:sz w:val="20"/>
          <w:szCs w:val="20"/>
          <w:shd w:val="clear" w:color="auto" w:fill="FFFFFF"/>
        </w:rPr>
        <w:t>Manuscript Type</w:t>
      </w:r>
      <w:bookmarkEnd w:id="1"/>
      <w:bookmarkEnd w:id="2"/>
      <w:r w:rsidRPr="0024525A">
        <w:rPr>
          <w:rFonts w:ascii="Book Antiqua" w:hAnsi="Book Antiqua" w:cs="Arial"/>
          <w:b/>
          <w:sz w:val="20"/>
          <w:szCs w:val="20"/>
          <w:shd w:val="clear" w:color="auto" w:fill="FFFFFF"/>
        </w:rPr>
        <w:t xml:space="preserve">: </w:t>
      </w:r>
      <w:r w:rsidRPr="0024525A">
        <w:rPr>
          <w:rFonts w:ascii="Book Antiqua" w:hAnsi="Book Antiqua" w:cs="AdvAGaramond-R"/>
          <w:caps/>
          <w:kern w:val="0"/>
          <w:sz w:val="20"/>
          <w:szCs w:val="20"/>
          <w:lang w:bidi="en-US"/>
        </w:rPr>
        <w:t>Letter to the Editor</w:t>
      </w:r>
    </w:p>
    <w:p w14:paraId="6B17578F"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14932D0C" w14:textId="232FF4C7" w:rsidR="00112006" w:rsidRPr="0024525A" w:rsidRDefault="00300F22" w:rsidP="0024525A">
      <w:pPr>
        <w:adjustRightInd w:val="0"/>
        <w:snapToGrid w:val="0"/>
        <w:spacing w:line="360" w:lineRule="auto"/>
        <w:rPr>
          <w:rFonts w:ascii="Book Antiqua" w:hAnsi="Book Antiqua" w:cs="Times New Roman"/>
          <w:b/>
          <w:sz w:val="20"/>
          <w:szCs w:val="20"/>
        </w:rPr>
      </w:pPr>
      <w:bookmarkStart w:id="3" w:name="OLE_LINK5"/>
      <w:r w:rsidRPr="0024525A">
        <w:rPr>
          <w:rFonts w:ascii="Book Antiqua" w:hAnsi="Book Antiqua" w:cs="Times New Roman"/>
          <w:b/>
          <w:sz w:val="20"/>
          <w:szCs w:val="20"/>
        </w:rPr>
        <w:t xml:space="preserve">Results of </w:t>
      </w:r>
      <w:r w:rsidR="00814B32" w:rsidRPr="0024525A">
        <w:rPr>
          <w:rFonts w:ascii="Book Antiqua" w:hAnsi="Book Antiqua" w:cs="Times New Roman"/>
          <w:b/>
          <w:sz w:val="20"/>
          <w:szCs w:val="20"/>
        </w:rPr>
        <w:t>meta</w:t>
      </w:r>
      <w:r w:rsidRPr="0024525A">
        <w:rPr>
          <w:rFonts w:ascii="Book Antiqua" w:hAnsi="Book Antiqua" w:cs="Times New Roman"/>
          <w:b/>
          <w:sz w:val="20"/>
          <w:szCs w:val="20"/>
        </w:rPr>
        <w:t>-analysis should be treated critically</w:t>
      </w:r>
    </w:p>
    <w:bookmarkEnd w:id="3"/>
    <w:p w14:paraId="726FCAC2"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5F9ABFEA" w14:textId="1F206E37" w:rsidR="00814B32" w:rsidRPr="0024525A" w:rsidRDefault="00814B32" w:rsidP="0024525A">
      <w:pPr>
        <w:adjustRightInd w:val="0"/>
        <w:snapToGrid w:val="0"/>
        <w:spacing w:line="360" w:lineRule="auto"/>
        <w:rPr>
          <w:rFonts w:ascii="Book Antiqua" w:hAnsi="Book Antiqua" w:cs="Times New Roman"/>
          <w:bCs/>
          <w:sz w:val="20"/>
          <w:szCs w:val="20"/>
        </w:rPr>
      </w:pPr>
      <w:r w:rsidRPr="0024525A">
        <w:rPr>
          <w:rFonts w:ascii="Book Antiqua" w:hAnsi="Book Antiqua" w:cs="Times New Roman"/>
          <w:bCs/>
          <w:sz w:val="20"/>
          <w:szCs w:val="20"/>
        </w:rPr>
        <w:t xml:space="preserve">Liu RQ </w:t>
      </w:r>
      <w:r w:rsidRPr="0024525A">
        <w:rPr>
          <w:rFonts w:ascii="Book Antiqua" w:hAnsi="Book Antiqua" w:cs="Times New Roman"/>
          <w:bCs/>
          <w:i/>
          <w:iCs/>
          <w:sz w:val="20"/>
          <w:szCs w:val="20"/>
        </w:rPr>
        <w:t>et al</w:t>
      </w:r>
      <w:r w:rsidRPr="0024525A">
        <w:rPr>
          <w:rFonts w:ascii="Book Antiqua" w:hAnsi="Book Antiqua" w:cs="Times New Roman"/>
          <w:bCs/>
          <w:sz w:val="20"/>
          <w:szCs w:val="20"/>
        </w:rPr>
        <w:t xml:space="preserve">. </w:t>
      </w:r>
      <w:bookmarkStart w:id="4" w:name="OLE_LINK6"/>
      <w:bookmarkStart w:id="5" w:name="OLE_LINK7"/>
      <w:r w:rsidRPr="0024525A">
        <w:rPr>
          <w:rFonts w:ascii="Book Antiqua" w:hAnsi="Book Antiqua" w:cs="Times New Roman"/>
          <w:bCs/>
          <w:sz w:val="20"/>
          <w:szCs w:val="20"/>
        </w:rPr>
        <w:t>Important Results of meta-analysis</w:t>
      </w:r>
      <w:bookmarkEnd w:id="4"/>
      <w:bookmarkEnd w:id="5"/>
    </w:p>
    <w:p w14:paraId="6933AA04" w14:textId="77777777" w:rsidR="00814B32" w:rsidRPr="0024525A" w:rsidRDefault="00814B32" w:rsidP="0024525A">
      <w:pPr>
        <w:adjustRightInd w:val="0"/>
        <w:snapToGrid w:val="0"/>
        <w:spacing w:line="360" w:lineRule="auto"/>
        <w:rPr>
          <w:rFonts w:ascii="Book Antiqua" w:hAnsi="Book Antiqua" w:cs="Times New Roman"/>
          <w:bCs/>
          <w:sz w:val="20"/>
          <w:szCs w:val="20"/>
        </w:rPr>
      </w:pPr>
    </w:p>
    <w:p w14:paraId="6D33DAC8" w14:textId="48B1D48B" w:rsidR="00112006" w:rsidRPr="0024525A" w:rsidRDefault="00300F22" w:rsidP="0024525A">
      <w:pPr>
        <w:adjustRightInd w:val="0"/>
        <w:snapToGrid w:val="0"/>
        <w:spacing w:line="360" w:lineRule="auto"/>
        <w:rPr>
          <w:rFonts w:ascii="Book Antiqua" w:hAnsi="Book Antiqua" w:cs="Times New Roman"/>
          <w:bCs/>
          <w:sz w:val="20"/>
          <w:szCs w:val="20"/>
          <w:vertAlign w:val="superscript"/>
        </w:rPr>
      </w:pPr>
      <w:r w:rsidRPr="0024525A">
        <w:rPr>
          <w:rFonts w:ascii="Book Antiqua" w:hAnsi="Book Antiqua" w:cs="Times New Roman"/>
          <w:bCs/>
          <w:sz w:val="20"/>
          <w:szCs w:val="20"/>
        </w:rPr>
        <w:t>Rong</w:t>
      </w:r>
      <w:r w:rsidR="00814B32" w:rsidRPr="0024525A">
        <w:rPr>
          <w:rFonts w:ascii="Book Antiqua" w:hAnsi="Book Antiqua" w:cs="Times New Roman"/>
          <w:bCs/>
          <w:sz w:val="20"/>
          <w:szCs w:val="20"/>
        </w:rPr>
        <w:t xml:space="preserve">-Qiang </w:t>
      </w:r>
      <w:r w:rsidRPr="0024525A">
        <w:rPr>
          <w:rFonts w:ascii="Book Antiqua" w:hAnsi="Book Antiqua" w:cs="Times New Roman"/>
          <w:bCs/>
          <w:sz w:val="20"/>
          <w:szCs w:val="20"/>
        </w:rPr>
        <w:t>Liu, Yi Shao</w:t>
      </w:r>
    </w:p>
    <w:p w14:paraId="505F04D2"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2DE6E193" w14:textId="3B289DEC" w:rsidR="00814B32"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b/>
          <w:sz w:val="20"/>
          <w:szCs w:val="20"/>
        </w:rPr>
        <w:t>Rong</w:t>
      </w:r>
      <w:r w:rsidR="00814B32" w:rsidRPr="0024525A">
        <w:rPr>
          <w:rFonts w:ascii="Book Antiqua" w:hAnsi="Book Antiqua" w:cs="Times New Roman"/>
          <w:b/>
          <w:sz w:val="20"/>
          <w:szCs w:val="20"/>
        </w:rPr>
        <w:t xml:space="preserve">-Qiang </w:t>
      </w:r>
      <w:r w:rsidRPr="0024525A">
        <w:rPr>
          <w:rFonts w:ascii="Book Antiqua" w:hAnsi="Book Antiqua" w:cs="Times New Roman"/>
          <w:b/>
          <w:sz w:val="20"/>
          <w:szCs w:val="20"/>
        </w:rPr>
        <w:t>Liu,</w:t>
      </w:r>
      <w:r w:rsidRPr="0024525A">
        <w:rPr>
          <w:rFonts w:ascii="Book Antiqua" w:hAnsi="Book Antiqua" w:cs="Times New Roman"/>
          <w:sz w:val="20"/>
          <w:szCs w:val="20"/>
        </w:rPr>
        <w:t xml:space="preserve"> Department of Ophthalmology, The First Affiliated Hospital of Nanchang University, Nanchang 330006, Jiangxi</w:t>
      </w:r>
      <w:r w:rsidR="00814B32" w:rsidRPr="0024525A">
        <w:rPr>
          <w:rFonts w:ascii="Book Antiqua" w:hAnsi="Book Antiqua" w:cs="Times New Roman"/>
          <w:sz w:val="20"/>
          <w:szCs w:val="20"/>
        </w:rPr>
        <w:t xml:space="preserve"> Province</w:t>
      </w:r>
      <w:r w:rsidRPr="0024525A">
        <w:rPr>
          <w:rFonts w:ascii="Book Antiqua" w:hAnsi="Book Antiqua" w:cs="Times New Roman"/>
          <w:sz w:val="20"/>
          <w:szCs w:val="20"/>
        </w:rPr>
        <w:t>, China</w:t>
      </w:r>
    </w:p>
    <w:p w14:paraId="7D3E93B9" w14:textId="77777777" w:rsidR="00814B32" w:rsidRPr="0024525A" w:rsidRDefault="00814B32" w:rsidP="0024525A">
      <w:pPr>
        <w:adjustRightInd w:val="0"/>
        <w:snapToGrid w:val="0"/>
        <w:spacing w:line="360" w:lineRule="auto"/>
        <w:rPr>
          <w:rFonts w:ascii="Book Antiqua" w:hAnsi="Book Antiqua" w:cs="Times New Roman"/>
          <w:sz w:val="20"/>
          <w:szCs w:val="20"/>
        </w:rPr>
      </w:pPr>
    </w:p>
    <w:p w14:paraId="795D180C" w14:textId="1445960D" w:rsidR="00112006" w:rsidRPr="0024525A" w:rsidRDefault="00814B3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b/>
          <w:sz w:val="20"/>
          <w:szCs w:val="20"/>
        </w:rPr>
        <w:t>Rong-Qiang Liu,</w:t>
      </w:r>
      <w:r w:rsidR="00300F22" w:rsidRPr="0024525A">
        <w:rPr>
          <w:rFonts w:ascii="Book Antiqua" w:hAnsi="Book Antiqua" w:cs="Times New Roman"/>
          <w:sz w:val="20"/>
          <w:szCs w:val="20"/>
        </w:rPr>
        <w:t xml:space="preserve"> </w:t>
      </w:r>
      <w:r w:rsidRPr="0024525A">
        <w:rPr>
          <w:rFonts w:ascii="Book Antiqua" w:hAnsi="Book Antiqua" w:cs="Times New Roman"/>
          <w:sz w:val="20"/>
          <w:szCs w:val="20"/>
        </w:rPr>
        <w:t xml:space="preserve">Department </w:t>
      </w:r>
      <w:r w:rsidR="00300F22" w:rsidRPr="0024525A">
        <w:rPr>
          <w:rFonts w:ascii="Book Antiqua" w:hAnsi="Book Antiqua" w:cs="Times New Roman"/>
          <w:sz w:val="20"/>
          <w:szCs w:val="20"/>
        </w:rPr>
        <w:t xml:space="preserve">of </w:t>
      </w:r>
      <w:r w:rsidR="00300F22" w:rsidRPr="0024525A">
        <w:rPr>
          <w:rFonts w:ascii="Book Antiqua" w:hAnsi="Book Antiqua" w:cs="Times New Roman"/>
          <w:caps/>
          <w:sz w:val="20"/>
          <w:szCs w:val="20"/>
        </w:rPr>
        <w:t>h</w:t>
      </w:r>
      <w:r w:rsidR="00300F22" w:rsidRPr="0024525A">
        <w:rPr>
          <w:rFonts w:ascii="Book Antiqua" w:hAnsi="Book Antiqua" w:cs="Times New Roman"/>
          <w:sz w:val="20"/>
          <w:szCs w:val="20"/>
        </w:rPr>
        <w:t xml:space="preserve">epatobiliary </w:t>
      </w:r>
      <w:r w:rsidR="00300F22" w:rsidRPr="0024525A">
        <w:rPr>
          <w:rFonts w:ascii="Book Antiqua" w:hAnsi="Book Antiqua" w:cs="Times New Roman"/>
          <w:caps/>
          <w:sz w:val="20"/>
          <w:szCs w:val="20"/>
        </w:rPr>
        <w:t>s</w:t>
      </w:r>
      <w:r w:rsidR="00300F22" w:rsidRPr="0024525A">
        <w:rPr>
          <w:rFonts w:ascii="Book Antiqua" w:hAnsi="Book Antiqua" w:cs="Times New Roman"/>
          <w:sz w:val="20"/>
          <w:szCs w:val="20"/>
        </w:rPr>
        <w:t>urgery, The First Affiliated Hospital of Guangzhou Medical University, Guangzhou 510220, Guangdong</w:t>
      </w:r>
      <w:r w:rsidRPr="0024525A">
        <w:rPr>
          <w:rFonts w:ascii="Book Antiqua" w:hAnsi="Book Antiqua" w:cs="Times New Roman"/>
          <w:sz w:val="20"/>
          <w:szCs w:val="20"/>
        </w:rPr>
        <w:t xml:space="preserve"> Province</w:t>
      </w:r>
      <w:r w:rsidR="00300F22" w:rsidRPr="0024525A">
        <w:rPr>
          <w:rFonts w:ascii="Book Antiqua" w:hAnsi="Book Antiqua" w:cs="Times New Roman"/>
          <w:sz w:val="20"/>
          <w:szCs w:val="20"/>
        </w:rPr>
        <w:t>, China</w:t>
      </w:r>
    </w:p>
    <w:p w14:paraId="49859C6E" w14:textId="77777777" w:rsidR="00814B32" w:rsidRPr="0024525A" w:rsidRDefault="00814B32" w:rsidP="0024525A">
      <w:pPr>
        <w:adjustRightInd w:val="0"/>
        <w:snapToGrid w:val="0"/>
        <w:spacing w:line="360" w:lineRule="auto"/>
        <w:rPr>
          <w:rFonts w:ascii="Book Antiqua" w:hAnsi="Book Antiqua" w:cs="Times New Roman"/>
          <w:b/>
          <w:sz w:val="20"/>
          <w:szCs w:val="20"/>
        </w:rPr>
      </w:pPr>
    </w:p>
    <w:p w14:paraId="03708C0F" w14:textId="2E2E2405" w:rsidR="00112006" w:rsidRPr="0024525A" w:rsidRDefault="00300F22" w:rsidP="0024525A">
      <w:pPr>
        <w:adjustRightInd w:val="0"/>
        <w:snapToGrid w:val="0"/>
        <w:spacing w:line="360" w:lineRule="auto"/>
        <w:rPr>
          <w:rStyle w:val="fontstyle01"/>
          <w:rFonts w:ascii="Book Antiqua" w:hAnsi="Book Antiqua" w:cs="Times New Roman"/>
          <w:color w:val="auto"/>
          <w:sz w:val="20"/>
          <w:szCs w:val="20"/>
        </w:rPr>
      </w:pPr>
      <w:r w:rsidRPr="0024525A">
        <w:rPr>
          <w:rFonts w:ascii="Book Antiqua" w:hAnsi="Book Antiqua" w:cs="Times New Roman"/>
          <w:b/>
          <w:sz w:val="20"/>
          <w:szCs w:val="20"/>
        </w:rPr>
        <w:t>Yi Shao,</w:t>
      </w:r>
      <w:r w:rsidRPr="0024525A">
        <w:rPr>
          <w:rStyle w:val="fontstyle01"/>
          <w:rFonts w:ascii="Book Antiqua" w:hAnsi="Book Antiqua" w:cs="Times New Roman"/>
          <w:color w:val="auto"/>
          <w:sz w:val="20"/>
          <w:szCs w:val="20"/>
        </w:rPr>
        <w:t xml:space="preserve"> Department of Ophthalmology, The First Affiliated Hospital of</w:t>
      </w:r>
      <w:r w:rsidRPr="0024525A">
        <w:rPr>
          <w:rFonts w:ascii="Book Antiqua" w:hAnsi="Book Antiqua" w:cs="Times New Roman"/>
          <w:sz w:val="20"/>
          <w:szCs w:val="20"/>
        </w:rPr>
        <w:t xml:space="preserve"> </w:t>
      </w:r>
      <w:r w:rsidRPr="0024525A">
        <w:rPr>
          <w:rStyle w:val="fontstyle01"/>
          <w:rFonts w:ascii="Book Antiqua" w:hAnsi="Book Antiqua" w:cs="Times New Roman"/>
          <w:color w:val="auto"/>
          <w:sz w:val="20"/>
          <w:szCs w:val="20"/>
        </w:rPr>
        <w:t xml:space="preserve">Nanchang University, Nanchang 330006, </w:t>
      </w:r>
      <w:r w:rsidR="00814B32" w:rsidRPr="0024525A">
        <w:rPr>
          <w:rFonts w:ascii="Book Antiqua" w:hAnsi="Book Antiqua" w:cs="Times New Roman"/>
          <w:sz w:val="20"/>
          <w:szCs w:val="20"/>
        </w:rPr>
        <w:t>Jiangxi Province, China</w:t>
      </w:r>
    </w:p>
    <w:p w14:paraId="40F03248" w14:textId="77777777" w:rsidR="00814B32" w:rsidRPr="0024525A" w:rsidRDefault="00814B32" w:rsidP="0024525A">
      <w:pPr>
        <w:adjustRightInd w:val="0"/>
        <w:snapToGrid w:val="0"/>
        <w:spacing w:line="360" w:lineRule="auto"/>
        <w:rPr>
          <w:rFonts w:ascii="Book Antiqua" w:hAnsi="Book Antiqua" w:cs="Times New Roman"/>
          <w:b/>
          <w:bCs/>
          <w:sz w:val="20"/>
          <w:szCs w:val="20"/>
        </w:rPr>
      </w:pPr>
    </w:p>
    <w:p w14:paraId="65FF2EDF" w14:textId="34F88AF1" w:rsidR="00112006" w:rsidRPr="0024525A" w:rsidRDefault="00300F22" w:rsidP="0024525A">
      <w:pPr>
        <w:adjustRightInd w:val="0"/>
        <w:snapToGrid w:val="0"/>
        <w:spacing w:line="360" w:lineRule="auto"/>
        <w:rPr>
          <w:rFonts w:ascii="Book Antiqua" w:hAnsi="Book Antiqua" w:cs="Times New Roman"/>
          <w:bCs/>
          <w:sz w:val="20"/>
          <w:szCs w:val="20"/>
        </w:rPr>
      </w:pPr>
      <w:r w:rsidRPr="0024525A">
        <w:rPr>
          <w:rFonts w:ascii="Book Antiqua" w:hAnsi="Book Antiqua" w:cs="Times New Roman"/>
          <w:b/>
          <w:bCs/>
          <w:sz w:val="20"/>
          <w:szCs w:val="20"/>
        </w:rPr>
        <w:t>Author contributions:</w:t>
      </w:r>
      <w:r w:rsidRPr="0024525A">
        <w:rPr>
          <w:rFonts w:ascii="Book Antiqua" w:hAnsi="Book Antiqua" w:cs="Times New Roman"/>
          <w:bCs/>
          <w:sz w:val="20"/>
          <w:szCs w:val="20"/>
        </w:rPr>
        <w:t xml:space="preserve"> </w:t>
      </w:r>
      <w:r w:rsidRPr="0024525A">
        <w:rPr>
          <w:rFonts w:ascii="Book Antiqua" w:hAnsi="Book Antiqua" w:cs="Times New Roman"/>
          <w:sz w:val="20"/>
          <w:szCs w:val="20"/>
        </w:rPr>
        <w:t>Liu</w:t>
      </w:r>
      <w:r w:rsidR="00814B32" w:rsidRPr="0024525A">
        <w:rPr>
          <w:rFonts w:ascii="Book Antiqua" w:hAnsi="Book Antiqua" w:cs="Times New Roman"/>
          <w:sz w:val="20"/>
          <w:szCs w:val="20"/>
        </w:rPr>
        <w:t xml:space="preserve"> RQ</w:t>
      </w:r>
      <w:r w:rsidRPr="0024525A">
        <w:rPr>
          <w:rFonts w:ascii="Book Antiqua" w:hAnsi="Book Antiqua" w:cs="Times New Roman"/>
          <w:bCs/>
          <w:sz w:val="20"/>
          <w:szCs w:val="20"/>
        </w:rPr>
        <w:t xml:space="preserve"> and </w:t>
      </w:r>
      <w:r w:rsidRPr="0024525A">
        <w:rPr>
          <w:rFonts w:ascii="Book Antiqua" w:hAnsi="Book Antiqua" w:cs="Times New Roman"/>
          <w:sz w:val="20"/>
          <w:szCs w:val="20"/>
        </w:rPr>
        <w:t>Shao</w:t>
      </w:r>
      <w:r w:rsidR="00814B32" w:rsidRPr="0024525A">
        <w:rPr>
          <w:rFonts w:ascii="Book Antiqua" w:hAnsi="Book Antiqua" w:cs="Times New Roman"/>
          <w:sz w:val="20"/>
          <w:szCs w:val="20"/>
        </w:rPr>
        <w:t xml:space="preserve"> Y</w:t>
      </w:r>
      <w:r w:rsidRPr="0024525A">
        <w:rPr>
          <w:rFonts w:ascii="Book Antiqua" w:hAnsi="Book Antiqua" w:cs="Times New Roman"/>
          <w:bCs/>
          <w:sz w:val="20"/>
          <w:szCs w:val="20"/>
        </w:rPr>
        <w:t xml:space="preserve"> designed and performed the research, and analyzed </w:t>
      </w:r>
      <w:r w:rsidR="00284F07" w:rsidRPr="0024525A">
        <w:rPr>
          <w:rFonts w:ascii="Book Antiqua" w:hAnsi="Book Antiqua" w:cs="Times New Roman"/>
          <w:bCs/>
          <w:sz w:val="20"/>
          <w:szCs w:val="20"/>
        </w:rPr>
        <w:t xml:space="preserve">the </w:t>
      </w:r>
      <w:r w:rsidRPr="0024525A">
        <w:rPr>
          <w:rFonts w:ascii="Book Antiqua" w:hAnsi="Book Antiqua" w:cs="Times New Roman"/>
          <w:bCs/>
          <w:sz w:val="20"/>
          <w:szCs w:val="20"/>
        </w:rPr>
        <w:t xml:space="preserve">data; </w:t>
      </w:r>
      <w:r w:rsidRPr="0024525A">
        <w:rPr>
          <w:rFonts w:ascii="Book Antiqua" w:hAnsi="Book Antiqua" w:cs="Times New Roman"/>
          <w:sz w:val="20"/>
          <w:szCs w:val="20"/>
        </w:rPr>
        <w:t>Liu</w:t>
      </w:r>
      <w:r w:rsidR="00814B32" w:rsidRPr="0024525A">
        <w:rPr>
          <w:rFonts w:ascii="Book Antiqua" w:hAnsi="Book Antiqua" w:cs="Times New Roman"/>
          <w:sz w:val="20"/>
          <w:szCs w:val="20"/>
        </w:rPr>
        <w:t xml:space="preserve"> RQ</w:t>
      </w:r>
      <w:r w:rsidRPr="0024525A">
        <w:rPr>
          <w:rFonts w:ascii="Book Antiqua" w:hAnsi="Book Antiqua" w:cs="Times New Roman"/>
          <w:bCs/>
          <w:sz w:val="20"/>
          <w:szCs w:val="20"/>
        </w:rPr>
        <w:t xml:space="preserve"> wrote the letter; </w:t>
      </w:r>
      <w:r w:rsidRPr="0024525A">
        <w:rPr>
          <w:rFonts w:ascii="Book Antiqua" w:hAnsi="Book Antiqua" w:cs="Times New Roman"/>
          <w:sz w:val="20"/>
          <w:szCs w:val="20"/>
        </w:rPr>
        <w:t>Liu</w:t>
      </w:r>
      <w:r w:rsidR="00814B32" w:rsidRPr="0024525A">
        <w:rPr>
          <w:rFonts w:ascii="Book Antiqua" w:hAnsi="Book Antiqua" w:cs="Times New Roman"/>
          <w:sz w:val="20"/>
          <w:szCs w:val="20"/>
        </w:rPr>
        <w:t xml:space="preserve"> RQ</w:t>
      </w:r>
      <w:r w:rsidRPr="0024525A">
        <w:rPr>
          <w:rFonts w:ascii="Book Antiqua" w:hAnsi="Book Antiqua" w:cs="Times New Roman"/>
          <w:bCs/>
          <w:sz w:val="20"/>
          <w:szCs w:val="20"/>
        </w:rPr>
        <w:t xml:space="preserve"> revised the letter.</w:t>
      </w:r>
    </w:p>
    <w:p w14:paraId="14D87D2C" w14:textId="77777777" w:rsidR="00814B32" w:rsidRPr="0024525A" w:rsidRDefault="00814B32" w:rsidP="0024525A">
      <w:pPr>
        <w:adjustRightInd w:val="0"/>
        <w:snapToGrid w:val="0"/>
        <w:spacing w:line="360" w:lineRule="auto"/>
        <w:rPr>
          <w:rFonts w:ascii="Book Antiqua" w:hAnsi="Book Antiqua" w:cs="Times New Roman"/>
          <w:b/>
          <w:bCs/>
          <w:sz w:val="20"/>
          <w:szCs w:val="20"/>
        </w:rPr>
      </w:pPr>
    </w:p>
    <w:p w14:paraId="28A6E95D" w14:textId="1365B914" w:rsidR="00112006" w:rsidRPr="0024525A" w:rsidRDefault="00814B3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b/>
          <w:bCs/>
          <w:sz w:val="20"/>
          <w:szCs w:val="20"/>
        </w:rPr>
        <w:t xml:space="preserve">Supported </w:t>
      </w:r>
      <w:r w:rsidR="00300F22" w:rsidRPr="0024525A">
        <w:rPr>
          <w:rFonts w:ascii="Book Antiqua" w:hAnsi="Book Antiqua" w:cs="Times New Roman"/>
          <w:b/>
          <w:bCs/>
          <w:sz w:val="20"/>
          <w:szCs w:val="20"/>
        </w:rPr>
        <w:t>by</w:t>
      </w:r>
      <w:r w:rsidR="00300F22" w:rsidRPr="0024525A">
        <w:rPr>
          <w:rFonts w:ascii="Book Antiqua" w:hAnsi="Book Antiqua" w:cs="Times New Roman"/>
          <w:sz w:val="20"/>
          <w:szCs w:val="20"/>
        </w:rPr>
        <w:t xml:space="preserve"> National Natural Science Foundation of China</w:t>
      </w:r>
      <w:r w:rsidRPr="0024525A">
        <w:rPr>
          <w:rFonts w:ascii="Book Antiqua" w:hAnsi="Book Antiqua" w:cs="Times New Roman"/>
          <w:sz w:val="20"/>
          <w:szCs w:val="20"/>
        </w:rPr>
        <w:t xml:space="preserve">, </w:t>
      </w:r>
      <w:r w:rsidR="00300F22" w:rsidRPr="0024525A">
        <w:rPr>
          <w:rFonts w:ascii="Book Antiqua" w:hAnsi="Book Antiqua" w:cs="Times New Roman"/>
          <w:sz w:val="20"/>
          <w:szCs w:val="20"/>
        </w:rPr>
        <w:t>No</w:t>
      </w:r>
      <w:r w:rsidRPr="0024525A">
        <w:rPr>
          <w:rFonts w:ascii="Book Antiqua" w:hAnsi="Book Antiqua" w:cs="Times New Roman"/>
          <w:sz w:val="20"/>
          <w:szCs w:val="20"/>
        </w:rPr>
        <w:t xml:space="preserve">. </w:t>
      </w:r>
      <w:r w:rsidR="00300F22" w:rsidRPr="0024525A">
        <w:rPr>
          <w:rFonts w:ascii="Book Antiqua" w:hAnsi="Book Antiqua" w:cs="Times New Roman"/>
          <w:sz w:val="20"/>
          <w:szCs w:val="20"/>
        </w:rPr>
        <w:t>81</w:t>
      </w:r>
      <w:r w:rsidR="007A4FD3" w:rsidRPr="0024525A">
        <w:rPr>
          <w:rFonts w:ascii="Book Antiqua" w:hAnsi="Book Antiqua" w:cs="Times New Roman"/>
          <w:sz w:val="20"/>
          <w:szCs w:val="20"/>
        </w:rPr>
        <w:t>400372</w:t>
      </w:r>
      <w:r w:rsidR="00390671" w:rsidRPr="0024525A">
        <w:rPr>
          <w:rFonts w:ascii="Book Antiqua" w:hAnsi="Book Antiqua" w:cs="Times New Roman"/>
          <w:sz w:val="20"/>
          <w:szCs w:val="20"/>
        </w:rPr>
        <w:t>; Youth Science Foundation of Jiangxi Province, No. 20151BAB21516; Science and Technology Plan Project of Jiangxi Province, No. 20151BBG70223; Association for Science and Technology of Jiangxi Province, No. 20111BBG70026-2</w:t>
      </w:r>
      <w:r w:rsidR="00FE5E17" w:rsidRPr="0024525A">
        <w:rPr>
          <w:rFonts w:ascii="Book Antiqua" w:hAnsi="Book Antiqua" w:cs="Times New Roman"/>
          <w:sz w:val="20"/>
          <w:szCs w:val="20"/>
        </w:rPr>
        <w:t>; Science and Technology Plan of Jiangxi Provincial Health and Family Planning Commission, No. 20164017 and No. 20155154.</w:t>
      </w:r>
    </w:p>
    <w:p w14:paraId="089401B6" w14:textId="77777777" w:rsidR="00814B32" w:rsidRPr="0024525A" w:rsidRDefault="00814B32" w:rsidP="0024525A">
      <w:pPr>
        <w:adjustRightInd w:val="0"/>
        <w:snapToGrid w:val="0"/>
        <w:spacing w:line="360" w:lineRule="auto"/>
        <w:rPr>
          <w:rFonts w:ascii="Book Antiqua" w:hAnsi="Book Antiqua" w:cs="Times New Roman"/>
          <w:b/>
          <w:bCs/>
          <w:sz w:val="20"/>
          <w:szCs w:val="20"/>
        </w:rPr>
      </w:pPr>
    </w:p>
    <w:p w14:paraId="0047C9B0" w14:textId="4FB1E0EC" w:rsidR="00112006" w:rsidRPr="0024525A" w:rsidRDefault="00814B32" w:rsidP="0024525A">
      <w:pPr>
        <w:adjustRightInd w:val="0"/>
        <w:snapToGrid w:val="0"/>
        <w:spacing w:line="360" w:lineRule="auto"/>
        <w:rPr>
          <w:rFonts w:ascii="Book Antiqua" w:hAnsi="Book Antiqua" w:cs="Times New Roman"/>
          <w:sz w:val="20"/>
          <w:szCs w:val="20"/>
        </w:rPr>
      </w:pPr>
      <w:r w:rsidRPr="0024525A">
        <w:rPr>
          <w:rFonts w:ascii="Book Antiqua" w:hAnsi="Book Antiqua"/>
          <w:b/>
          <w:sz w:val="20"/>
          <w:szCs w:val="20"/>
        </w:rPr>
        <w:t>Corresponding author:</w:t>
      </w:r>
      <w:r w:rsidR="00300F22" w:rsidRPr="0024525A">
        <w:rPr>
          <w:rFonts w:ascii="Book Antiqua" w:hAnsi="Book Antiqua" w:cs="Times New Roman"/>
          <w:b/>
          <w:bCs/>
          <w:sz w:val="20"/>
          <w:szCs w:val="20"/>
        </w:rPr>
        <w:t xml:space="preserve"> Yi Shao,</w:t>
      </w:r>
      <w:r w:rsidRPr="0024525A">
        <w:rPr>
          <w:rFonts w:ascii="Book Antiqua" w:hAnsi="Book Antiqua"/>
          <w:b/>
          <w:bCs/>
          <w:sz w:val="20"/>
          <w:szCs w:val="20"/>
        </w:rPr>
        <w:t xml:space="preserve"> MD, PhD, Director, Doctor,</w:t>
      </w:r>
      <w:r w:rsidRPr="0024525A">
        <w:rPr>
          <w:rFonts w:ascii="Book Antiqua" w:hAnsi="Book Antiqua"/>
          <w:sz w:val="20"/>
          <w:szCs w:val="20"/>
        </w:rPr>
        <w:t xml:space="preserve"> </w:t>
      </w:r>
      <w:r w:rsidR="00300F22" w:rsidRPr="0024525A">
        <w:rPr>
          <w:rFonts w:ascii="Book Antiqua" w:hAnsi="Book Antiqua" w:cs="Times New Roman"/>
          <w:sz w:val="20"/>
          <w:szCs w:val="20"/>
        </w:rPr>
        <w:t xml:space="preserve">Department of </w:t>
      </w:r>
      <w:r w:rsidR="00300F22" w:rsidRPr="0024525A">
        <w:rPr>
          <w:rFonts w:ascii="Book Antiqua" w:hAnsi="Book Antiqua" w:cs="Times New Roman"/>
          <w:caps/>
          <w:sz w:val="20"/>
          <w:szCs w:val="20"/>
        </w:rPr>
        <w:t>o</w:t>
      </w:r>
      <w:r w:rsidR="00300F22" w:rsidRPr="0024525A">
        <w:rPr>
          <w:rFonts w:ascii="Book Antiqua" w:hAnsi="Book Antiqua" w:cs="Times New Roman"/>
          <w:sz w:val="20"/>
          <w:szCs w:val="20"/>
        </w:rPr>
        <w:t>phthalmology, The First Affiliated Hospital of Nanchang University, No</w:t>
      </w:r>
      <w:r w:rsidRPr="0024525A">
        <w:rPr>
          <w:rFonts w:ascii="Book Antiqua" w:hAnsi="Book Antiqua" w:cs="Times New Roman"/>
          <w:sz w:val="20"/>
          <w:szCs w:val="20"/>
        </w:rPr>
        <w:t>.</w:t>
      </w:r>
      <w:r w:rsidR="00300F22" w:rsidRPr="0024525A">
        <w:rPr>
          <w:rFonts w:ascii="Book Antiqua" w:hAnsi="Book Antiqua" w:cs="Times New Roman"/>
          <w:sz w:val="20"/>
          <w:szCs w:val="20"/>
        </w:rPr>
        <w:t xml:space="preserve"> 17, YongWaiZheng Street, DongHu District, Nanchang 330006, Jiangxi</w:t>
      </w:r>
      <w:r w:rsidRPr="0024525A">
        <w:rPr>
          <w:rFonts w:ascii="Book Antiqua" w:hAnsi="Book Antiqua" w:cs="Times New Roman"/>
          <w:sz w:val="20"/>
          <w:szCs w:val="20"/>
        </w:rPr>
        <w:t xml:space="preserve"> Province</w:t>
      </w:r>
      <w:r w:rsidR="00300F22" w:rsidRPr="0024525A">
        <w:rPr>
          <w:rFonts w:ascii="Book Antiqua" w:hAnsi="Book Antiqua" w:cs="Times New Roman"/>
          <w:sz w:val="20"/>
          <w:szCs w:val="20"/>
        </w:rPr>
        <w:t>, China. freebee99@163.com</w:t>
      </w:r>
    </w:p>
    <w:p w14:paraId="5D1113B1" w14:textId="77777777" w:rsidR="00112006" w:rsidRPr="0024525A" w:rsidRDefault="00112006" w:rsidP="0024525A">
      <w:pPr>
        <w:adjustRightInd w:val="0"/>
        <w:snapToGrid w:val="0"/>
        <w:spacing w:line="360" w:lineRule="auto"/>
        <w:rPr>
          <w:rFonts w:ascii="Book Antiqua" w:hAnsi="Book Antiqua" w:cs="Times New Roman"/>
          <w:sz w:val="20"/>
          <w:szCs w:val="20"/>
        </w:rPr>
      </w:pPr>
    </w:p>
    <w:p w14:paraId="79CBCF34" w14:textId="199FEE47"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t xml:space="preserve">Received: </w:t>
      </w:r>
      <w:r w:rsidRPr="0024525A">
        <w:rPr>
          <w:rFonts w:ascii="Book Antiqua" w:hAnsi="Book Antiqua"/>
          <w:sz w:val="20"/>
          <w:szCs w:val="20"/>
        </w:rPr>
        <w:t>November</w:t>
      </w:r>
      <w:r w:rsidRPr="0024525A">
        <w:rPr>
          <w:rFonts w:ascii="Book Antiqua" w:eastAsia="宋体" w:hAnsi="Book Antiqua"/>
          <w:sz w:val="20"/>
          <w:szCs w:val="20"/>
        </w:rPr>
        <w:t xml:space="preserve"> 25, 2019</w:t>
      </w:r>
    </w:p>
    <w:p w14:paraId="1AD8EF2F" w14:textId="4E7AF2B2"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t xml:space="preserve">Revised: </w:t>
      </w:r>
      <w:r w:rsidRPr="0024525A">
        <w:rPr>
          <w:rFonts w:ascii="Book Antiqua" w:hAnsi="Book Antiqua"/>
          <w:sz w:val="20"/>
          <w:szCs w:val="20"/>
        </w:rPr>
        <w:t>January</w:t>
      </w:r>
      <w:r w:rsidRPr="0024525A">
        <w:rPr>
          <w:rFonts w:ascii="Book Antiqua" w:eastAsia="宋体" w:hAnsi="Book Antiqua"/>
          <w:sz w:val="20"/>
          <w:szCs w:val="20"/>
        </w:rPr>
        <w:t xml:space="preserve"> 14, 2020</w:t>
      </w:r>
    </w:p>
    <w:p w14:paraId="0F5CAA21" w14:textId="323DA94B" w:rsidR="00814B32" w:rsidRPr="0024525A" w:rsidRDefault="00814B32"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t>Accepted:</w:t>
      </w:r>
      <w:r w:rsidR="009F286B" w:rsidRPr="0024525A">
        <w:rPr>
          <w:sz w:val="20"/>
          <w:szCs w:val="20"/>
        </w:rPr>
        <w:t xml:space="preserve"> </w:t>
      </w:r>
      <w:r w:rsidR="009F286B" w:rsidRPr="0024525A">
        <w:rPr>
          <w:rFonts w:ascii="Book Antiqua" w:hAnsi="Book Antiqua"/>
          <w:bCs/>
          <w:sz w:val="20"/>
          <w:szCs w:val="20"/>
        </w:rPr>
        <w:t>January 19, 2020</w:t>
      </w:r>
    </w:p>
    <w:p w14:paraId="70F77579" w14:textId="77777777" w:rsidR="00814B32" w:rsidRPr="0024525A" w:rsidRDefault="00814B32" w:rsidP="0024525A">
      <w:pPr>
        <w:adjustRightInd w:val="0"/>
        <w:snapToGrid w:val="0"/>
        <w:spacing w:line="360" w:lineRule="auto"/>
        <w:rPr>
          <w:rFonts w:ascii="Book Antiqua" w:hAnsi="Book Antiqua"/>
          <w:sz w:val="20"/>
          <w:szCs w:val="20"/>
        </w:rPr>
      </w:pPr>
      <w:r w:rsidRPr="0024525A">
        <w:rPr>
          <w:rFonts w:ascii="Book Antiqua" w:hAnsi="Book Antiqua"/>
          <w:b/>
          <w:sz w:val="20"/>
          <w:szCs w:val="20"/>
        </w:rPr>
        <w:t>Published online:</w:t>
      </w:r>
    </w:p>
    <w:p w14:paraId="0962052A" w14:textId="5DBD6E7B" w:rsidR="00814B32" w:rsidRPr="0024525A" w:rsidRDefault="00814B32" w:rsidP="0024525A">
      <w:pPr>
        <w:widowControl/>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br w:type="page"/>
      </w:r>
    </w:p>
    <w:p w14:paraId="106CDA01" w14:textId="77777777" w:rsidR="00112006" w:rsidRPr="0024525A" w:rsidRDefault="00300F22"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lastRenderedPageBreak/>
        <w:t>Abstract</w:t>
      </w:r>
    </w:p>
    <w:p w14:paraId="3AF3FF40" w14:textId="310E7829" w:rsidR="00112006"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t>Proton pump inhibitors use increases hepatic encephalopathy risk in patients with liver disease</w:t>
      </w:r>
      <w:r w:rsidR="00814B32" w:rsidRPr="0024525A">
        <w:rPr>
          <w:rFonts w:ascii="Book Antiqua" w:hAnsi="Book Antiqua" w:cs="Times New Roman"/>
          <w:sz w:val="20"/>
          <w:szCs w:val="20"/>
        </w:rPr>
        <w:t>.</w:t>
      </w:r>
    </w:p>
    <w:p w14:paraId="3D941E81" w14:textId="77777777" w:rsidR="00112006" w:rsidRPr="0024525A" w:rsidRDefault="00112006" w:rsidP="0024525A">
      <w:pPr>
        <w:adjustRightInd w:val="0"/>
        <w:snapToGrid w:val="0"/>
        <w:spacing w:line="360" w:lineRule="auto"/>
        <w:rPr>
          <w:rFonts w:ascii="Book Antiqua" w:hAnsi="Book Antiqua" w:cs="Times New Roman"/>
          <w:sz w:val="20"/>
          <w:szCs w:val="20"/>
        </w:rPr>
      </w:pPr>
    </w:p>
    <w:p w14:paraId="7663160C" w14:textId="68EB86D5" w:rsidR="00112006" w:rsidRPr="0024525A" w:rsidRDefault="00300F22"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Key words:</w:t>
      </w:r>
      <w:r w:rsidRPr="0024525A">
        <w:rPr>
          <w:rFonts w:ascii="Book Antiqua" w:hAnsi="Book Antiqua" w:cs="Times New Roman"/>
          <w:sz w:val="20"/>
          <w:szCs w:val="20"/>
        </w:rPr>
        <w:t xml:space="preserve"> </w:t>
      </w:r>
      <w:bookmarkStart w:id="6" w:name="OLE_LINK9"/>
      <w:bookmarkStart w:id="7" w:name="OLE_LINK10"/>
      <w:r w:rsidRPr="0024525A">
        <w:rPr>
          <w:rFonts w:ascii="Book Antiqua" w:hAnsi="Book Antiqua" w:cs="Times New Roman"/>
          <w:sz w:val="20"/>
          <w:szCs w:val="20"/>
        </w:rPr>
        <w:t>Proton pump inhibitor</w:t>
      </w:r>
      <w:bookmarkEnd w:id="6"/>
      <w:bookmarkEnd w:id="7"/>
      <w:r w:rsidRPr="0024525A">
        <w:rPr>
          <w:rFonts w:ascii="Book Antiqua" w:hAnsi="Book Antiqua" w:cs="Times New Roman"/>
          <w:sz w:val="20"/>
          <w:szCs w:val="20"/>
        </w:rPr>
        <w:t xml:space="preserve">; </w:t>
      </w:r>
      <w:bookmarkStart w:id="8" w:name="OLE_LINK11"/>
      <w:r w:rsidRPr="0024525A">
        <w:rPr>
          <w:rFonts w:ascii="Book Antiqua" w:hAnsi="Book Antiqua" w:cs="Times New Roman"/>
          <w:sz w:val="20"/>
          <w:szCs w:val="20"/>
        </w:rPr>
        <w:t>Hepatic encephalopathy</w:t>
      </w:r>
      <w:bookmarkEnd w:id="8"/>
      <w:r w:rsidRPr="0024525A">
        <w:rPr>
          <w:rFonts w:ascii="Book Antiqua" w:hAnsi="Book Antiqua" w:cs="Times New Roman"/>
          <w:sz w:val="20"/>
          <w:szCs w:val="20"/>
        </w:rPr>
        <w:t xml:space="preserve">; </w:t>
      </w:r>
      <w:bookmarkStart w:id="9" w:name="OLE_LINK12"/>
      <w:bookmarkStart w:id="10" w:name="OLE_LINK13"/>
      <w:r w:rsidRPr="0024525A">
        <w:rPr>
          <w:rFonts w:ascii="Book Antiqua" w:hAnsi="Book Antiqua" w:cs="Times New Roman"/>
          <w:sz w:val="20"/>
          <w:szCs w:val="20"/>
        </w:rPr>
        <w:t>Liver disease</w:t>
      </w:r>
      <w:bookmarkEnd w:id="9"/>
      <w:bookmarkEnd w:id="10"/>
    </w:p>
    <w:p w14:paraId="5251CCBC" w14:textId="7FEC8723" w:rsidR="00112006" w:rsidRPr="0024525A" w:rsidRDefault="00112006" w:rsidP="0024525A">
      <w:pPr>
        <w:adjustRightInd w:val="0"/>
        <w:snapToGrid w:val="0"/>
        <w:spacing w:line="360" w:lineRule="auto"/>
        <w:rPr>
          <w:rFonts w:ascii="Book Antiqua" w:hAnsi="Book Antiqua" w:cs="Times New Roman"/>
          <w:sz w:val="20"/>
          <w:szCs w:val="20"/>
        </w:rPr>
      </w:pPr>
    </w:p>
    <w:p w14:paraId="1B406433" w14:textId="0AC60D5E" w:rsidR="00814B32" w:rsidRPr="0024525A" w:rsidRDefault="00814B32" w:rsidP="0024525A">
      <w:pPr>
        <w:adjustRightInd w:val="0"/>
        <w:snapToGrid w:val="0"/>
        <w:spacing w:line="360" w:lineRule="auto"/>
        <w:rPr>
          <w:rFonts w:ascii="Book Antiqua" w:eastAsia="宋体" w:hAnsi="Book Antiqua"/>
          <w:bCs/>
          <w:sz w:val="20"/>
          <w:szCs w:val="20"/>
        </w:rPr>
      </w:pPr>
      <w:r w:rsidRPr="0024525A">
        <w:rPr>
          <w:rFonts w:ascii="Book Antiqua" w:hAnsi="Book Antiqua" w:cs="Times New Roman"/>
          <w:bCs/>
          <w:sz w:val="20"/>
          <w:szCs w:val="20"/>
        </w:rPr>
        <w:t>Liu RQ, Shao Y. Results of meta-analysis should be treated critically.</w:t>
      </w:r>
      <w:r w:rsidRPr="0024525A">
        <w:rPr>
          <w:rFonts w:ascii="Book Antiqua" w:hAnsi="Book Antiqua"/>
          <w:i/>
          <w:sz w:val="20"/>
          <w:szCs w:val="20"/>
        </w:rPr>
        <w:t xml:space="preserve"> World J Gastroenterol</w:t>
      </w:r>
      <w:r w:rsidRPr="0024525A">
        <w:rPr>
          <w:rFonts w:ascii="Book Antiqua" w:hAnsi="Book Antiqua"/>
          <w:sz w:val="20"/>
          <w:szCs w:val="20"/>
        </w:rPr>
        <w:t xml:space="preserve"> 2020;</w:t>
      </w:r>
      <w:r w:rsidRPr="0024525A">
        <w:rPr>
          <w:rFonts w:ascii="Book Antiqua" w:hAnsi="Book Antiqua"/>
          <w:bCs/>
          <w:sz w:val="20"/>
          <w:szCs w:val="20"/>
        </w:rPr>
        <w:t xml:space="preserve"> In press</w:t>
      </w:r>
    </w:p>
    <w:p w14:paraId="1D73936F" w14:textId="1050A93C" w:rsidR="00814B32" w:rsidRPr="0024525A" w:rsidRDefault="00814B32" w:rsidP="0024525A">
      <w:pPr>
        <w:adjustRightInd w:val="0"/>
        <w:snapToGrid w:val="0"/>
        <w:spacing w:line="360" w:lineRule="auto"/>
        <w:rPr>
          <w:rFonts w:ascii="Book Antiqua" w:hAnsi="Book Antiqua" w:cs="Times New Roman"/>
          <w:bCs/>
          <w:sz w:val="20"/>
          <w:szCs w:val="20"/>
        </w:rPr>
      </w:pPr>
    </w:p>
    <w:p w14:paraId="2728243C" w14:textId="3AAAF227" w:rsidR="00112006"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b/>
          <w:sz w:val="20"/>
          <w:szCs w:val="20"/>
        </w:rPr>
        <w:t>Core tip:</w:t>
      </w:r>
      <w:r w:rsidRPr="0024525A">
        <w:rPr>
          <w:rFonts w:ascii="Book Antiqua" w:hAnsi="Book Antiqua"/>
          <w:sz w:val="20"/>
          <w:szCs w:val="20"/>
        </w:rPr>
        <w:t xml:space="preserve"> </w:t>
      </w:r>
      <w:bookmarkStart w:id="11" w:name="OLE_LINK14"/>
      <w:r w:rsidRPr="0024525A">
        <w:rPr>
          <w:rFonts w:ascii="Book Antiqua" w:hAnsi="Book Antiqua" w:cs="Times New Roman"/>
          <w:sz w:val="20"/>
          <w:szCs w:val="20"/>
        </w:rPr>
        <w:t>Proton pump inhibitors (PPIs) have been widely used in patients with liver disease. In general, PPIs are considered safe. However, accumulating evidence indicates that long-term and excessive use of PPIs without clear indication can lead to serious adverse reactions.</w:t>
      </w:r>
      <w:r w:rsidRPr="0024525A">
        <w:rPr>
          <w:rStyle w:val="fontstyle01"/>
          <w:rFonts w:ascii="Book Antiqua" w:hAnsi="Book Antiqua"/>
          <w:color w:val="auto"/>
          <w:sz w:val="20"/>
          <w:szCs w:val="20"/>
        </w:rPr>
        <w:t xml:space="preserve"> </w:t>
      </w:r>
      <w:r w:rsidRPr="0024525A">
        <w:rPr>
          <w:rFonts w:ascii="Book Antiqua" w:hAnsi="Book Antiqua"/>
          <w:sz w:val="20"/>
          <w:szCs w:val="20"/>
        </w:rPr>
        <w:t xml:space="preserve">Some epidemiological studies have investigated the association of PPI use with the risk of </w:t>
      </w:r>
      <w:r w:rsidRPr="0024525A">
        <w:rPr>
          <w:rFonts w:ascii="Book Antiqua" w:hAnsi="Book Antiqua" w:cs="Times New Roman"/>
          <w:sz w:val="20"/>
          <w:szCs w:val="20"/>
        </w:rPr>
        <w:t>hepatic encephalopathy.</w:t>
      </w:r>
      <w:r w:rsidRPr="0024525A">
        <w:rPr>
          <w:rStyle w:val="fontstyle01"/>
          <w:rFonts w:ascii="Book Antiqua" w:hAnsi="Book Antiqua"/>
          <w:color w:val="auto"/>
          <w:sz w:val="20"/>
          <w:szCs w:val="20"/>
        </w:rPr>
        <w:t xml:space="preserve"> </w:t>
      </w:r>
      <w:r w:rsidRPr="0024525A">
        <w:rPr>
          <w:rFonts w:ascii="Book Antiqua" w:hAnsi="Book Antiqua"/>
          <w:sz w:val="20"/>
          <w:szCs w:val="20"/>
        </w:rPr>
        <w:t>However, the results are controversial.</w:t>
      </w:r>
      <w:r w:rsidRPr="0024525A">
        <w:rPr>
          <w:rFonts w:ascii="Book Antiqua" w:hAnsi="Book Antiqua" w:cs="Times New Roman"/>
          <w:sz w:val="20"/>
          <w:szCs w:val="20"/>
        </w:rPr>
        <w:t xml:space="preserve"> The study reveals that PPI use increases </w:t>
      </w:r>
      <w:r w:rsidR="00814B32" w:rsidRPr="0024525A">
        <w:rPr>
          <w:rFonts w:ascii="Book Antiqua" w:hAnsi="Book Antiqua" w:cs="Times New Roman"/>
          <w:sz w:val="20"/>
          <w:szCs w:val="20"/>
        </w:rPr>
        <w:t>hepatic encephalopathy</w:t>
      </w:r>
      <w:r w:rsidRPr="0024525A">
        <w:rPr>
          <w:rFonts w:ascii="Book Antiqua" w:hAnsi="Book Antiqua" w:cs="Times New Roman"/>
          <w:sz w:val="20"/>
          <w:szCs w:val="20"/>
        </w:rPr>
        <w:t xml:space="preserve"> risk in patients with liver disease.</w:t>
      </w:r>
      <w:r w:rsidRPr="0024525A">
        <w:rPr>
          <w:rFonts w:ascii="Book Antiqua" w:hAnsi="Book Antiqua"/>
          <w:sz w:val="20"/>
          <w:szCs w:val="20"/>
        </w:rPr>
        <w:t xml:space="preserve"> </w:t>
      </w:r>
      <w:r w:rsidRPr="0024525A">
        <w:rPr>
          <w:rFonts w:ascii="Book Antiqua" w:hAnsi="Book Antiqua" w:cs="Times New Roman"/>
          <w:sz w:val="20"/>
          <w:szCs w:val="20"/>
        </w:rPr>
        <w:t xml:space="preserve">This reminds clinicians </w:t>
      </w:r>
      <w:r w:rsidR="00284F07" w:rsidRPr="0024525A">
        <w:rPr>
          <w:rFonts w:ascii="Book Antiqua" w:hAnsi="Book Antiqua" w:cs="Times New Roman"/>
          <w:sz w:val="20"/>
          <w:szCs w:val="20"/>
        </w:rPr>
        <w:t>to</w:t>
      </w:r>
      <w:r w:rsidRPr="0024525A">
        <w:rPr>
          <w:rFonts w:ascii="Book Antiqua" w:hAnsi="Book Antiqua" w:cs="Times New Roman"/>
          <w:sz w:val="20"/>
          <w:szCs w:val="20"/>
        </w:rPr>
        <w:t xml:space="preserve"> be more cautious </w:t>
      </w:r>
      <w:r w:rsidR="00284F07" w:rsidRPr="0024525A">
        <w:rPr>
          <w:rFonts w:ascii="Book Antiqua" w:hAnsi="Book Antiqua" w:cs="Times New Roman"/>
          <w:sz w:val="20"/>
          <w:szCs w:val="20"/>
        </w:rPr>
        <w:t>when</w:t>
      </w:r>
      <w:r w:rsidRPr="0024525A">
        <w:rPr>
          <w:rFonts w:ascii="Book Antiqua" w:hAnsi="Book Antiqua" w:cs="Times New Roman"/>
          <w:sz w:val="20"/>
          <w:szCs w:val="20"/>
        </w:rPr>
        <w:t xml:space="preserve"> us</w:t>
      </w:r>
      <w:r w:rsidR="00284F07" w:rsidRPr="0024525A">
        <w:rPr>
          <w:rFonts w:ascii="Book Antiqua" w:hAnsi="Book Antiqua" w:cs="Times New Roman"/>
          <w:sz w:val="20"/>
          <w:szCs w:val="20"/>
        </w:rPr>
        <w:t>ing</w:t>
      </w:r>
      <w:r w:rsidRPr="0024525A">
        <w:rPr>
          <w:rFonts w:ascii="Book Antiqua" w:hAnsi="Book Antiqua" w:cs="Times New Roman"/>
          <w:sz w:val="20"/>
          <w:szCs w:val="20"/>
        </w:rPr>
        <w:t xml:space="preserve"> PPIs in patients with liver disease.</w:t>
      </w:r>
    </w:p>
    <w:bookmarkEnd w:id="11"/>
    <w:p w14:paraId="3D836D41" w14:textId="77777777" w:rsidR="00814B32" w:rsidRPr="0024525A" w:rsidRDefault="00814B32" w:rsidP="0024525A">
      <w:pPr>
        <w:widowControl/>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br w:type="page"/>
      </w:r>
    </w:p>
    <w:p w14:paraId="7540EE79" w14:textId="77777777" w:rsidR="00814B32" w:rsidRPr="0024525A" w:rsidRDefault="00814B32" w:rsidP="0024525A">
      <w:pPr>
        <w:widowControl/>
        <w:autoSpaceDE w:val="0"/>
        <w:autoSpaceDN w:val="0"/>
        <w:adjustRightInd w:val="0"/>
        <w:snapToGrid w:val="0"/>
        <w:spacing w:line="360" w:lineRule="auto"/>
        <w:rPr>
          <w:rFonts w:ascii="Book Antiqua" w:eastAsia="宋体" w:hAnsi="Book Antiqua" w:cs="Times New Roman"/>
          <w:b/>
          <w:caps/>
          <w:sz w:val="20"/>
          <w:szCs w:val="20"/>
          <w:u w:val="single"/>
        </w:rPr>
      </w:pPr>
      <w:r w:rsidRPr="0024525A">
        <w:rPr>
          <w:rFonts w:ascii="Book Antiqua" w:hAnsi="Book Antiqua" w:cs="Times New Roman"/>
          <w:b/>
          <w:caps/>
          <w:sz w:val="20"/>
          <w:szCs w:val="20"/>
          <w:u w:val="single"/>
        </w:rPr>
        <w:lastRenderedPageBreak/>
        <w:t>To the Editor</w:t>
      </w:r>
    </w:p>
    <w:p w14:paraId="293E6827" w14:textId="17925D48" w:rsidR="006D39EB" w:rsidRPr="0024525A" w:rsidRDefault="00300F22" w:rsidP="0024525A">
      <w:pPr>
        <w:adjustRightInd w:val="0"/>
        <w:snapToGrid w:val="0"/>
        <w:spacing w:line="360" w:lineRule="auto"/>
        <w:rPr>
          <w:rFonts w:ascii="Book Antiqua" w:hAnsi="Book Antiqua" w:cs="Times New Roman"/>
          <w:sz w:val="20"/>
          <w:szCs w:val="20"/>
        </w:rPr>
      </w:pPr>
      <w:r w:rsidRPr="0024525A">
        <w:rPr>
          <w:rFonts w:ascii="Book Antiqua" w:hAnsi="Book Antiqua" w:cs="Times New Roman"/>
          <w:sz w:val="20"/>
          <w:szCs w:val="20"/>
        </w:rPr>
        <w:t xml:space="preserve">We read the recently published meta-analysis on </w:t>
      </w:r>
      <w:r w:rsidR="00284F07" w:rsidRPr="0024525A">
        <w:rPr>
          <w:rFonts w:ascii="Book Antiqua" w:hAnsi="Book Antiqua" w:cs="Times New Roman"/>
          <w:sz w:val="20"/>
          <w:szCs w:val="20"/>
        </w:rPr>
        <w:t xml:space="preserve">the </w:t>
      </w:r>
      <w:r w:rsidRPr="0024525A">
        <w:rPr>
          <w:rFonts w:ascii="Book Antiqua" w:hAnsi="Book Antiqua" w:cs="Times New Roman"/>
          <w:sz w:val="20"/>
          <w:szCs w:val="20"/>
        </w:rPr>
        <w:t>association between proton pump inhibitor</w:t>
      </w:r>
      <w:r w:rsidR="00814B32" w:rsidRPr="0024525A">
        <w:rPr>
          <w:rFonts w:ascii="Book Antiqua" w:hAnsi="Book Antiqua" w:cs="Times New Roman"/>
          <w:sz w:val="20"/>
          <w:szCs w:val="20"/>
        </w:rPr>
        <w:t xml:space="preserve"> </w:t>
      </w:r>
      <w:r w:rsidRPr="0024525A">
        <w:rPr>
          <w:rFonts w:ascii="Book Antiqua" w:hAnsi="Book Antiqua" w:cs="Times New Roman"/>
          <w:sz w:val="20"/>
          <w:szCs w:val="20"/>
        </w:rPr>
        <w:t>(PPI) and hepatic encephalopathy</w:t>
      </w:r>
      <w:r w:rsidR="00814B32" w:rsidRPr="0024525A">
        <w:rPr>
          <w:rFonts w:ascii="Book Antiqua" w:hAnsi="Book Antiqua" w:cs="Times New Roman"/>
          <w:sz w:val="20"/>
          <w:szCs w:val="20"/>
        </w:rPr>
        <w:t xml:space="preserve"> </w:t>
      </w:r>
      <w:r w:rsidRPr="0024525A">
        <w:rPr>
          <w:rFonts w:ascii="Book Antiqua" w:hAnsi="Book Antiqua" w:cs="Times New Roman"/>
          <w:sz w:val="20"/>
          <w:szCs w:val="20"/>
        </w:rPr>
        <w:t>(HE)</w:t>
      </w:r>
      <w:r w:rsidRPr="0024525A">
        <w:rPr>
          <w:rFonts w:ascii="Book Antiqua" w:hAnsi="Book Antiqua" w:cs="Times New Roman"/>
          <w:sz w:val="20"/>
          <w:szCs w:val="20"/>
          <w:vertAlign w:val="superscript"/>
        </w:rPr>
        <w:t>[</w:t>
      </w:r>
      <w:hyperlink w:anchor="_ENREF_1" w:tooltip="Ma, 2019 #37008" w:history="1">
        <w:r w:rsidRPr="0024525A">
          <w:rPr>
            <w:rFonts w:ascii="Book Antiqua" w:hAnsi="Book Antiqua" w:cs="Times New Roman"/>
            <w:sz w:val="20"/>
            <w:szCs w:val="20"/>
          </w:rPr>
          <w:fldChar w:fldCharType="begin"/>
        </w:r>
        <w:r w:rsidRPr="0024525A">
          <w:rPr>
            <w:rFonts w:ascii="Book Antiqua" w:hAnsi="Book Antiqua" w:cs="Times New Roman"/>
            <w:sz w:val="20"/>
            <w:szCs w:val="20"/>
          </w:rPr>
          <w:instrText xml:space="preserve"> ADDIN EN.CITE &lt;EndNote&gt;&lt;Cite&gt;&lt;Author&gt;Ma&lt;/Author&gt;&lt;Year&gt;2019&lt;/Year&gt;&lt;RecNum&gt;37008&lt;/RecNum&gt;&lt;DisplayText&gt;&lt;style face="superscript"&gt;1&lt;/style&gt;&lt;/DisplayText&gt;&lt;record&gt;&lt;rec-number&gt;37008&lt;/rec-number&gt;&lt;foreign-keys&gt;&lt;key app="EN" db-id="t90vz2e5srxrw4ewwazvafd4efs0pfzrzspt"&gt;37008&lt;/key&gt;&lt;/foreign-keys&gt;&lt;ref-type name="Journal Article"&gt;17&lt;/ref-type&gt;&lt;contributors&gt;&lt;authors&gt;&lt;author&gt;Ma, Y. J.&lt;/author&gt;&lt;author&gt;Cao, Z. X.&lt;/author&gt;&lt;author&gt;Li, Y.&lt;/author&gt;&lt;author&gt;Feng, S. Y.&lt;/author&gt;&lt;/authors&gt;&lt;/contributors&gt;&lt;auth-address&gt;Emergency Department, Cangzhou Central Hospital, Cangzhou 061000, Hebei Province, China.&lt;/auth-address&gt;&lt;titles&gt;&lt;title&gt;Proton pump inhibitor use increases hepatic encephalopathy risk: A systematic review and meta-analysis&lt;/title&gt;&lt;secondary-title&gt;World J Gastroenterol&lt;/secondary-title&gt;&lt;alt-title&gt;World journal of gastroenterology&lt;/alt-title&gt;&lt;/titles&gt;&lt;periodical&gt;&lt;full-title&gt;World J Gastroenterol&lt;/full-title&gt;&lt;abbr-1&gt;World journal of gastroenterology&lt;/abbr-1&gt;&lt;/periodical&gt;&lt;alt-periodical&gt;&lt;full-title&gt;World J Gastroenterol&lt;/full-title&gt;&lt;abbr-1&gt;World journal of gastroenterology&lt;/abbr-1&gt;&lt;/alt-periodical&gt;&lt;pages&gt;2675-2682&lt;/pages&gt;&lt;volume&gt;25&lt;/volume&gt;&lt;number&gt;21&lt;/number&gt;&lt;edition&gt;2019/06/19&lt;/edition&gt;&lt;dates&gt;&lt;year&gt;2019&lt;/year&gt;&lt;pub-dates&gt;&lt;date&gt;Jun 7&lt;/date&gt;&lt;/pub-dates&gt;&lt;/dates&gt;&lt;isbn&gt;1007-9327&lt;/isbn&gt;&lt;accession-num&gt;31210718&lt;/accession-num&gt;&lt;urls&gt;&lt;/urls&gt;&lt;custom2&gt;Pmc6558435&lt;/custom2&gt;&lt;electronic-resource-num&gt;10.3748/wjg.v25.i21.2675&lt;/electronic-resource-num&gt;&lt;remote-database-provider&gt;Nlm&lt;/remote-database-provider&gt;&lt;language&gt;eng&lt;/language&gt;&lt;/record&gt;&lt;/Cite&gt;&lt;/EndNote&gt;</w:instrText>
        </w:r>
        <w:r w:rsidRPr="0024525A">
          <w:rPr>
            <w:rFonts w:ascii="Book Antiqua" w:hAnsi="Book Antiqua" w:cs="Times New Roman"/>
            <w:sz w:val="20"/>
            <w:szCs w:val="20"/>
          </w:rPr>
          <w:fldChar w:fldCharType="separate"/>
        </w:r>
        <w:r w:rsidRPr="0024525A">
          <w:rPr>
            <w:rFonts w:ascii="Book Antiqua" w:hAnsi="Book Antiqua" w:cs="Times New Roman"/>
            <w:sz w:val="20"/>
            <w:szCs w:val="20"/>
            <w:vertAlign w:val="superscript"/>
          </w:rPr>
          <w:t>1</w:t>
        </w:r>
        <w:r w:rsidRPr="0024525A">
          <w:rPr>
            <w:rFonts w:ascii="Book Antiqua" w:hAnsi="Book Antiqua" w:cs="Times New Roman"/>
            <w:sz w:val="20"/>
            <w:szCs w:val="20"/>
          </w:rPr>
          <w:fldChar w:fldCharType="end"/>
        </w:r>
      </w:hyperlink>
      <w:r w:rsidRPr="0024525A">
        <w:rPr>
          <w:rFonts w:ascii="Book Antiqua" w:hAnsi="Book Antiqua" w:cs="Times New Roman"/>
          <w:sz w:val="20"/>
          <w:szCs w:val="20"/>
          <w:vertAlign w:val="superscript"/>
        </w:rPr>
        <w:t>]</w:t>
      </w:r>
      <w:r w:rsidRPr="0024525A">
        <w:rPr>
          <w:rFonts w:ascii="Book Antiqua" w:hAnsi="Book Antiqua" w:cs="Times New Roman"/>
          <w:sz w:val="20"/>
          <w:szCs w:val="20"/>
        </w:rPr>
        <w:t>. The authors found that there was a significant association between PPI use and HE risk with low heterogeneity (</w:t>
      </w:r>
      <w:r w:rsidRPr="0024525A">
        <w:rPr>
          <w:rFonts w:ascii="Book Antiqua" w:hAnsi="Book Antiqua" w:cs="Times New Roman"/>
          <w:i/>
          <w:iCs/>
          <w:sz w:val="20"/>
          <w:szCs w:val="20"/>
        </w:rPr>
        <w:t>I</w:t>
      </w:r>
      <w:r w:rsidRPr="0024525A">
        <w:rPr>
          <w:rFonts w:ascii="Book Antiqua" w:hAnsi="Book Antiqua" w:cs="Times New Roman"/>
          <w:sz w:val="20"/>
          <w:szCs w:val="20"/>
          <w:vertAlign w:val="superscript"/>
        </w:rPr>
        <w:t>2</w:t>
      </w:r>
      <w:r w:rsidRPr="0024525A">
        <w:rPr>
          <w:rFonts w:ascii="Book Antiqua" w:hAnsi="Book Antiqua" w:cs="Times New Roman"/>
          <w:sz w:val="20"/>
          <w:szCs w:val="20"/>
        </w:rPr>
        <w:t xml:space="preserve"> = 14.2%).</w:t>
      </w:r>
      <w:r w:rsidR="00814B32" w:rsidRPr="0024525A">
        <w:rPr>
          <w:rFonts w:ascii="Book Antiqua" w:hAnsi="Book Antiqua" w:cs="Times New Roman"/>
          <w:sz w:val="20"/>
          <w:szCs w:val="20"/>
        </w:rPr>
        <w:t xml:space="preserve"> </w:t>
      </w:r>
      <w:r w:rsidRPr="0024525A">
        <w:rPr>
          <w:rFonts w:ascii="Book Antiqua" w:hAnsi="Book Antiqua" w:cs="Times New Roman"/>
          <w:sz w:val="20"/>
          <w:szCs w:val="20"/>
        </w:rPr>
        <w:t>In fact, a correct analysis show</w:t>
      </w:r>
      <w:r w:rsidR="00284F07" w:rsidRPr="0024525A">
        <w:rPr>
          <w:rFonts w:ascii="Book Antiqua" w:hAnsi="Book Antiqua" w:cs="Times New Roman"/>
          <w:sz w:val="20"/>
          <w:szCs w:val="20"/>
        </w:rPr>
        <w:t>ed</w:t>
      </w:r>
      <w:r w:rsidRPr="0024525A">
        <w:rPr>
          <w:rFonts w:ascii="Book Antiqua" w:hAnsi="Book Antiqua" w:cs="Times New Roman"/>
          <w:sz w:val="20"/>
          <w:szCs w:val="20"/>
        </w:rPr>
        <w:t xml:space="preserve"> an even stronger association. First, the author made an error in extracting the data. The study by Tsai </w:t>
      </w:r>
      <w:r w:rsidRPr="0024525A">
        <w:rPr>
          <w:rFonts w:ascii="Book Antiqua" w:eastAsia="Microsoft YaHei UI" w:hAnsi="Book Antiqua" w:cs="Times New Roman"/>
          <w:i/>
          <w:iCs/>
          <w:kern w:val="0"/>
          <w:sz w:val="20"/>
          <w:szCs w:val="20"/>
        </w:rPr>
        <w:t>et al</w:t>
      </w:r>
      <w:r w:rsidR="00814B32" w:rsidRPr="0024525A">
        <w:rPr>
          <w:rFonts w:ascii="Book Antiqua" w:eastAsia="Microsoft YaHei UI" w:hAnsi="Book Antiqua" w:cs="Times New Roman"/>
          <w:kern w:val="0"/>
          <w:sz w:val="20"/>
          <w:szCs w:val="20"/>
          <w:vertAlign w:val="superscript"/>
        </w:rPr>
        <w:t>[2]</w:t>
      </w:r>
      <w:r w:rsidRPr="0024525A">
        <w:rPr>
          <w:rFonts w:ascii="Book Antiqua" w:eastAsia="Microsoft YaHei UI" w:hAnsi="Book Antiqua" w:cs="Times New Roman"/>
          <w:kern w:val="0"/>
          <w:sz w:val="20"/>
          <w:szCs w:val="20"/>
        </w:rPr>
        <w:t xml:space="preserve"> </w:t>
      </w:r>
      <w:r w:rsidR="00284F07" w:rsidRPr="0024525A">
        <w:rPr>
          <w:rFonts w:ascii="Book Antiqua" w:eastAsia="Microsoft YaHei UI" w:hAnsi="Book Antiqua" w:cs="Times New Roman"/>
          <w:kern w:val="0"/>
          <w:sz w:val="20"/>
          <w:szCs w:val="20"/>
        </w:rPr>
        <w:t>provided</w:t>
      </w:r>
      <w:r w:rsidRPr="0024525A">
        <w:rPr>
          <w:rFonts w:ascii="Book Antiqua" w:eastAsia="Microsoft YaHei UI" w:hAnsi="Book Antiqua" w:cs="Times New Roman"/>
          <w:kern w:val="0"/>
          <w:sz w:val="20"/>
          <w:szCs w:val="20"/>
        </w:rPr>
        <w:t xml:space="preserve"> three dose-related </w:t>
      </w:r>
      <w:r w:rsidR="00284F07" w:rsidRPr="0024525A">
        <w:rPr>
          <w:rFonts w:ascii="Book Antiqua" w:eastAsia="Microsoft YaHei UI" w:hAnsi="Book Antiqua" w:cs="Times New Roman"/>
          <w:kern w:val="0"/>
          <w:sz w:val="20"/>
          <w:szCs w:val="20"/>
        </w:rPr>
        <w:t>odds ratios (</w:t>
      </w:r>
      <w:r w:rsidRPr="0024525A">
        <w:rPr>
          <w:rFonts w:ascii="Book Antiqua" w:eastAsia="Microsoft YaHei UI" w:hAnsi="Book Antiqua" w:cs="Times New Roman"/>
          <w:kern w:val="0"/>
          <w:sz w:val="20"/>
          <w:szCs w:val="20"/>
        </w:rPr>
        <w:t>ORs</w:t>
      </w:r>
      <w:r w:rsidR="00284F07" w:rsidRPr="0024525A">
        <w:rPr>
          <w:rFonts w:ascii="Book Antiqua" w:eastAsia="Microsoft YaHei UI" w:hAnsi="Book Antiqua" w:cs="Times New Roman"/>
          <w:kern w:val="0"/>
          <w:sz w:val="20"/>
          <w:szCs w:val="20"/>
        </w:rPr>
        <w:t>)</w:t>
      </w:r>
      <w:r w:rsidRPr="0024525A">
        <w:rPr>
          <w:rFonts w:ascii="Book Antiqua" w:eastAsia="Microsoft YaHei UI" w:hAnsi="Book Antiqua" w:cs="Times New Roman"/>
          <w:kern w:val="0"/>
          <w:sz w:val="20"/>
          <w:szCs w:val="20"/>
        </w:rPr>
        <w:t xml:space="preserve"> of 1.41 (1.09-1.84), 1.51 (1.11-2.06) and 3.01 (1.78-5.10), and the meta-analysis by Ma </w:t>
      </w:r>
      <w:r w:rsidRPr="0024525A">
        <w:rPr>
          <w:rFonts w:ascii="Book Antiqua" w:eastAsia="Microsoft YaHei UI" w:hAnsi="Book Antiqua" w:cs="Times New Roman"/>
          <w:i/>
          <w:iCs/>
          <w:kern w:val="0"/>
          <w:sz w:val="20"/>
          <w:szCs w:val="20"/>
        </w:rPr>
        <w:t>et al</w:t>
      </w:r>
      <w:r w:rsidR="006D39EB" w:rsidRPr="0024525A">
        <w:rPr>
          <w:rFonts w:ascii="Book Antiqua" w:eastAsia="Microsoft YaHei UI" w:hAnsi="Book Antiqua" w:cs="Times New Roman"/>
          <w:kern w:val="0"/>
          <w:sz w:val="20"/>
          <w:szCs w:val="20"/>
          <w:vertAlign w:val="superscript"/>
        </w:rPr>
        <w:t>[1]</w:t>
      </w:r>
      <w:r w:rsidRPr="0024525A">
        <w:rPr>
          <w:rFonts w:ascii="Book Antiqua" w:eastAsia="Microsoft YaHei UI" w:hAnsi="Book Antiqua" w:cs="Times New Roman"/>
          <w:kern w:val="0"/>
          <w:sz w:val="20"/>
          <w:szCs w:val="20"/>
        </w:rPr>
        <w:t xml:space="preserve"> incorrectly use</w:t>
      </w:r>
      <w:r w:rsidR="00284F07" w:rsidRPr="0024525A">
        <w:rPr>
          <w:rFonts w:ascii="Book Antiqua" w:eastAsia="Microsoft YaHei UI" w:hAnsi="Book Antiqua" w:cs="Times New Roman"/>
          <w:kern w:val="0"/>
          <w:sz w:val="20"/>
          <w:szCs w:val="20"/>
        </w:rPr>
        <w:t>d</w:t>
      </w:r>
      <w:r w:rsidRPr="0024525A">
        <w:rPr>
          <w:rFonts w:ascii="Book Antiqua" w:eastAsia="Microsoft YaHei UI" w:hAnsi="Book Antiqua" w:cs="Times New Roman"/>
          <w:kern w:val="0"/>
          <w:sz w:val="20"/>
          <w:szCs w:val="20"/>
        </w:rPr>
        <w:t xml:space="preserve"> only the first OR. </w:t>
      </w:r>
      <w:r w:rsidRPr="0024525A">
        <w:rPr>
          <w:rFonts w:ascii="Book Antiqua" w:hAnsi="Book Antiqua" w:cs="Times New Roman"/>
          <w:sz w:val="20"/>
          <w:szCs w:val="20"/>
        </w:rPr>
        <w:t xml:space="preserve">According to the study of Hamling </w:t>
      </w:r>
      <w:r w:rsidRPr="0024525A">
        <w:rPr>
          <w:rFonts w:ascii="Book Antiqua" w:hAnsi="Book Antiqua" w:cs="Times New Roman"/>
          <w:i/>
          <w:iCs/>
          <w:sz w:val="20"/>
          <w:szCs w:val="20"/>
        </w:rPr>
        <w:t>et al</w:t>
      </w:r>
      <w:r w:rsidR="006D39EB" w:rsidRPr="0024525A">
        <w:rPr>
          <w:rFonts w:ascii="Book Antiqua" w:hAnsi="Book Antiqua" w:cs="Times New Roman"/>
          <w:sz w:val="20"/>
          <w:szCs w:val="20"/>
          <w:vertAlign w:val="superscript"/>
        </w:rPr>
        <w:t>[3]</w:t>
      </w:r>
      <w:r w:rsidRPr="0024525A">
        <w:rPr>
          <w:rFonts w:ascii="Book Antiqua" w:hAnsi="Book Antiqua" w:cs="Times New Roman"/>
          <w:sz w:val="20"/>
          <w:szCs w:val="20"/>
        </w:rPr>
        <w:t>, we recalculated that the correct OR was 1.59 (1.30-1.95). The results of the meta-analysis revealed that PPI use was significantly associated with the risk of HE with a pooled OR of 1.97 (95%</w:t>
      </w:r>
      <w:r w:rsidR="00284F07" w:rsidRPr="0024525A">
        <w:rPr>
          <w:rFonts w:ascii="Book Antiqua" w:hAnsi="Book Antiqua" w:cs="Times New Roman"/>
          <w:sz w:val="20"/>
          <w:szCs w:val="20"/>
        </w:rPr>
        <w:t xml:space="preserve"> confidence interval [</w:t>
      </w:r>
      <w:r w:rsidRPr="0024525A">
        <w:rPr>
          <w:rFonts w:ascii="Book Antiqua" w:hAnsi="Book Antiqua" w:cs="Times New Roman"/>
          <w:sz w:val="20"/>
          <w:szCs w:val="20"/>
        </w:rPr>
        <w:t>CI</w:t>
      </w:r>
      <w:r w:rsidR="00284F07" w:rsidRPr="0024525A">
        <w:rPr>
          <w:rFonts w:ascii="Book Antiqua" w:hAnsi="Book Antiqua" w:cs="Times New Roman"/>
          <w:sz w:val="20"/>
          <w:szCs w:val="20"/>
        </w:rPr>
        <w:t>]</w:t>
      </w:r>
      <w:r w:rsidRPr="0024525A">
        <w:rPr>
          <w:rFonts w:ascii="Book Antiqua" w:hAnsi="Book Antiqua" w:cs="Times New Roman"/>
          <w:sz w:val="20"/>
          <w:szCs w:val="20"/>
        </w:rPr>
        <w:t xml:space="preserve">: 1.51–2.58) by using a </w:t>
      </w:r>
      <w:r w:rsidRPr="0024525A">
        <w:rPr>
          <w:rFonts w:ascii="Book Antiqua" w:hAnsi="Book Antiqua"/>
          <w:bCs/>
          <w:sz w:val="20"/>
          <w:szCs w:val="20"/>
        </w:rPr>
        <w:t>random effects model</w:t>
      </w:r>
      <w:r w:rsidRPr="0024525A">
        <w:rPr>
          <w:rFonts w:ascii="Book Antiqua" w:hAnsi="Book Antiqua" w:cs="Times New Roman"/>
          <w:sz w:val="20"/>
          <w:szCs w:val="20"/>
        </w:rPr>
        <w:t xml:space="preserve"> (</w:t>
      </w:r>
      <w:r w:rsidRPr="0024525A">
        <w:rPr>
          <w:rFonts w:ascii="Book Antiqua" w:hAnsi="Book Antiqua" w:cs="Times New Roman"/>
          <w:i/>
          <w:iCs/>
          <w:sz w:val="20"/>
          <w:szCs w:val="20"/>
        </w:rPr>
        <w:t>I</w:t>
      </w:r>
      <w:r w:rsidRPr="0024525A">
        <w:rPr>
          <w:rFonts w:ascii="Book Antiqua" w:hAnsi="Book Antiqua" w:cs="Times New Roman"/>
          <w:sz w:val="20"/>
          <w:szCs w:val="20"/>
          <w:vertAlign w:val="superscript"/>
        </w:rPr>
        <w:t>2</w:t>
      </w:r>
      <w:r w:rsidR="006D39EB" w:rsidRPr="0024525A">
        <w:rPr>
          <w:rFonts w:ascii="Book Antiqua" w:hAnsi="Book Antiqua" w:cs="Times New Roman"/>
          <w:sz w:val="20"/>
          <w:szCs w:val="20"/>
          <w:vertAlign w:val="superscript"/>
        </w:rPr>
        <w:t xml:space="preserve"> </w:t>
      </w:r>
      <w:r w:rsidRPr="0024525A">
        <w:rPr>
          <w:rFonts w:ascii="Book Antiqua" w:hAnsi="Book Antiqua" w:cs="Times New Roman"/>
          <w:sz w:val="20"/>
          <w:szCs w:val="20"/>
        </w:rPr>
        <w:t>=</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57.1%).</w:t>
      </w:r>
      <w:r w:rsidRPr="0024525A">
        <w:rPr>
          <w:rStyle w:val="fontstyle01"/>
          <w:rFonts w:ascii="Book Antiqua" w:hAnsi="Book Antiqua" w:cs="Times New Roman"/>
          <w:color w:val="auto"/>
          <w:sz w:val="20"/>
          <w:szCs w:val="20"/>
        </w:rPr>
        <w:t xml:space="preserve"> </w:t>
      </w:r>
      <w:r w:rsidRPr="0024525A">
        <w:rPr>
          <w:rFonts w:ascii="Book Antiqua" w:hAnsi="Book Antiqua" w:cs="Times New Roman"/>
          <w:sz w:val="20"/>
          <w:szCs w:val="20"/>
        </w:rPr>
        <w:t>The forest plot is shown in Figure 1.</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In addition</w:t>
      </w:r>
      <w:r w:rsidR="00284F07" w:rsidRPr="0024525A">
        <w:rPr>
          <w:rFonts w:ascii="Book Antiqua" w:hAnsi="Book Antiqua" w:cs="Times New Roman"/>
          <w:sz w:val="20"/>
          <w:szCs w:val="20"/>
        </w:rPr>
        <w:t xml:space="preserve">, </w:t>
      </w:r>
      <w:r w:rsidRPr="0024525A">
        <w:rPr>
          <w:rFonts w:ascii="Book Antiqua" w:hAnsi="Book Antiqua" w:cs="Times New Roman"/>
          <w:sz w:val="20"/>
          <w:szCs w:val="20"/>
        </w:rPr>
        <w:t xml:space="preserve">we used the data which were given by Ma </w:t>
      </w:r>
      <w:r w:rsidRPr="0024525A">
        <w:rPr>
          <w:rFonts w:ascii="Book Antiqua" w:hAnsi="Book Antiqua" w:cs="Times New Roman"/>
          <w:i/>
          <w:iCs/>
          <w:sz w:val="20"/>
          <w:szCs w:val="20"/>
        </w:rPr>
        <w:t>et al</w:t>
      </w:r>
      <w:r w:rsidR="006D39EB" w:rsidRPr="0024525A">
        <w:rPr>
          <w:rFonts w:ascii="Book Antiqua" w:hAnsi="Book Antiqua" w:cs="Times New Roman"/>
          <w:sz w:val="20"/>
          <w:szCs w:val="20"/>
          <w:vertAlign w:val="superscript"/>
        </w:rPr>
        <w:t>[1]</w:t>
      </w:r>
      <w:r w:rsidRPr="0024525A">
        <w:rPr>
          <w:rFonts w:ascii="Book Antiqua" w:hAnsi="Book Antiqua" w:cs="Times New Roman"/>
          <w:sz w:val="20"/>
          <w:szCs w:val="20"/>
        </w:rPr>
        <w:t xml:space="preserve"> to perform comprehensive analysis. The pooled OR was 1.97</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(1.47, 2.65) instead of 1.50</w:t>
      </w:r>
      <w:r w:rsidR="006D39EB" w:rsidRPr="0024525A">
        <w:rPr>
          <w:rFonts w:ascii="Book Antiqua" w:hAnsi="Book Antiqua" w:cs="Times New Roman"/>
          <w:sz w:val="20"/>
          <w:szCs w:val="20"/>
        </w:rPr>
        <w:t xml:space="preserve"> </w:t>
      </w:r>
      <w:r w:rsidRPr="0024525A">
        <w:rPr>
          <w:rFonts w:ascii="Book Antiqua" w:hAnsi="Book Antiqua" w:cs="Times New Roman"/>
          <w:sz w:val="20"/>
          <w:szCs w:val="20"/>
        </w:rPr>
        <w:t xml:space="preserve">(1.25, 1.75) and the </w:t>
      </w:r>
      <w:r w:rsidRPr="0024525A">
        <w:rPr>
          <w:rFonts w:ascii="Book Antiqua" w:hAnsi="Book Antiqua" w:cs="Times New Roman"/>
          <w:i/>
          <w:iCs/>
          <w:sz w:val="20"/>
          <w:szCs w:val="20"/>
        </w:rPr>
        <w:t>I</w:t>
      </w:r>
      <w:r w:rsidRPr="0024525A">
        <w:rPr>
          <w:rFonts w:ascii="Book Antiqua" w:hAnsi="Book Antiqua" w:cs="Times New Roman"/>
          <w:sz w:val="20"/>
          <w:szCs w:val="20"/>
          <w:vertAlign w:val="superscript"/>
        </w:rPr>
        <w:t>2</w:t>
      </w:r>
      <w:r w:rsidRPr="0024525A">
        <w:rPr>
          <w:rFonts w:ascii="Book Antiqua" w:hAnsi="Book Antiqua" w:cs="Times New Roman"/>
          <w:sz w:val="20"/>
          <w:szCs w:val="20"/>
        </w:rPr>
        <w:t xml:space="preserve"> was 61.2% instead of 14.2%. The results are shown in Figure 2. The incorrect operations of Ma </w:t>
      </w:r>
      <w:r w:rsidRPr="0024525A">
        <w:rPr>
          <w:rFonts w:ascii="Book Antiqua" w:hAnsi="Book Antiqua" w:cs="Times New Roman"/>
          <w:i/>
          <w:iCs/>
          <w:sz w:val="20"/>
          <w:szCs w:val="20"/>
        </w:rPr>
        <w:t>et al</w:t>
      </w:r>
      <w:r w:rsidR="006D39EB" w:rsidRPr="0024525A">
        <w:rPr>
          <w:rFonts w:ascii="Book Antiqua" w:hAnsi="Book Antiqua" w:cs="Times New Roman"/>
          <w:sz w:val="20"/>
          <w:szCs w:val="20"/>
          <w:vertAlign w:val="superscript"/>
        </w:rPr>
        <w:t>[1]</w:t>
      </w:r>
      <w:r w:rsidRPr="0024525A">
        <w:rPr>
          <w:rFonts w:ascii="Book Antiqua" w:hAnsi="Book Antiqua" w:cs="Times New Roman"/>
          <w:sz w:val="20"/>
          <w:szCs w:val="20"/>
        </w:rPr>
        <w:t xml:space="preserve"> </w:t>
      </w:r>
      <w:r w:rsidR="00284F07" w:rsidRPr="0024525A">
        <w:rPr>
          <w:rFonts w:ascii="Book Antiqua" w:hAnsi="Book Antiqua" w:cs="Times New Roman"/>
          <w:sz w:val="20"/>
          <w:szCs w:val="20"/>
        </w:rPr>
        <w:t>from</w:t>
      </w:r>
      <w:r w:rsidRPr="0024525A">
        <w:rPr>
          <w:rFonts w:ascii="Book Antiqua" w:hAnsi="Book Antiqua" w:cs="Times New Roman"/>
          <w:sz w:val="20"/>
          <w:szCs w:val="20"/>
        </w:rPr>
        <w:t xml:space="preserve"> using software </w:t>
      </w:r>
      <w:r w:rsidR="00284F07" w:rsidRPr="0024525A">
        <w:rPr>
          <w:rFonts w:ascii="Book Antiqua" w:hAnsi="Book Antiqua" w:cs="Times New Roman"/>
          <w:sz w:val="20"/>
          <w:szCs w:val="20"/>
        </w:rPr>
        <w:t xml:space="preserve">may </w:t>
      </w:r>
      <w:r w:rsidRPr="0024525A">
        <w:rPr>
          <w:rFonts w:ascii="Book Antiqua" w:hAnsi="Book Antiqua" w:cs="Times New Roman"/>
          <w:sz w:val="20"/>
          <w:szCs w:val="20"/>
        </w:rPr>
        <w:t>be the cause of inconsistencies. Due to the obvious heterogeneity, subgroup analysis and meta-regression should be performed to explore the sources of heterogeneity.</w:t>
      </w:r>
    </w:p>
    <w:p w14:paraId="08A8C199" w14:textId="595C5640" w:rsidR="00112006" w:rsidRPr="0024525A" w:rsidRDefault="00300F22" w:rsidP="0024525A">
      <w:pPr>
        <w:adjustRightInd w:val="0"/>
        <w:snapToGrid w:val="0"/>
        <w:spacing w:line="360" w:lineRule="auto"/>
        <w:ind w:firstLineChars="100" w:firstLine="200"/>
        <w:rPr>
          <w:rStyle w:val="apple-converted-space"/>
          <w:rFonts w:ascii="Book Antiqua" w:hAnsi="Book Antiqua"/>
          <w:sz w:val="20"/>
          <w:szCs w:val="20"/>
        </w:rPr>
      </w:pPr>
      <w:r w:rsidRPr="0024525A">
        <w:rPr>
          <w:rStyle w:val="apple-converted-space"/>
          <w:rFonts w:ascii="Book Antiqua" w:hAnsi="Book Antiqua"/>
          <w:sz w:val="20"/>
          <w:szCs w:val="20"/>
        </w:rPr>
        <w:t>The fixed effect</w:t>
      </w:r>
      <w:r w:rsidR="00284F07" w:rsidRPr="0024525A">
        <w:rPr>
          <w:rStyle w:val="apple-converted-space"/>
          <w:rFonts w:ascii="Book Antiqua" w:hAnsi="Book Antiqua"/>
          <w:sz w:val="20"/>
          <w:szCs w:val="20"/>
        </w:rPr>
        <w:t>s</w:t>
      </w:r>
      <w:r w:rsidRPr="0024525A">
        <w:rPr>
          <w:rStyle w:val="apple-converted-space"/>
          <w:rFonts w:ascii="Book Antiqua" w:hAnsi="Book Antiqua"/>
          <w:sz w:val="20"/>
          <w:szCs w:val="20"/>
        </w:rPr>
        <w:t xml:space="preserve"> model assumes that all the included studies have the same true effect size, while the true effect size in the random effect</w:t>
      </w:r>
      <w:r w:rsidR="00284F07" w:rsidRPr="0024525A">
        <w:rPr>
          <w:rStyle w:val="apple-converted-space"/>
          <w:rFonts w:ascii="Book Antiqua" w:hAnsi="Book Antiqua"/>
          <w:sz w:val="20"/>
          <w:szCs w:val="20"/>
        </w:rPr>
        <w:t>s</w:t>
      </w:r>
      <w:r w:rsidRPr="0024525A">
        <w:rPr>
          <w:rStyle w:val="apple-converted-space"/>
          <w:rFonts w:ascii="Book Antiqua" w:hAnsi="Book Antiqua"/>
          <w:sz w:val="20"/>
          <w:szCs w:val="20"/>
        </w:rPr>
        <w:t xml:space="preserve"> model varies with different studies. When the observed effect size of each study approaches or equals its true effect size, the heterogeneity is not obvious and the fixed effect model should be used</w:t>
      </w:r>
      <w:r w:rsidR="00284F07" w:rsidRPr="0024525A">
        <w:rPr>
          <w:rStyle w:val="apple-converted-space"/>
          <w:rFonts w:ascii="Book Antiqua" w:hAnsi="Book Antiqua"/>
          <w:sz w:val="20"/>
          <w:szCs w:val="20"/>
        </w:rPr>
        <w:t>.</w:t>
      </w:r>
      <w:r w:rsidRPr="0024525A">
        <w:rPr>
          <w:rStyle w:val="apple-converted-space"/>
          <w:rFonts w:ascii="Book Antiqua" w:hAnsi="Book Antiqua"/>
          <w:sz w:val="20"/>
          <w:szCs w:val="20"/>
        </w:rPr>
        <w:t xml:space="preserve"> Otherwise</w:t>
      </w:r>
      <w:r w:rsidR="00284F07" w:rsidRPr="0024525A">
        <w:rPr>
          <w:rStyle w:val="apple-converted-space"/>
          <w:rFonts w:ascii="Book Antiqua" w:hAnsi="Book Antiqua"/>
          <w:sz w:val="20"/>
          <w:szCs w:val="20"/>
        </w:rPr>
        <w:t xml:space="preserve">, </w:t>
      </w:r>
      <w:r w:rsidRPr="0024525A">
        <w:rPr>
          <w:rStyle w:val="apple-converted-space"/>
          <w:rFonts w:ascii="Book Antiqua" w:hAnsi="Book Antiqua"/>
          <w:sz w:val="20"/>
          <w:szCs w:val="20"/>
        </w:rPr>
        <w:t xml:space="preserve">the random effects model </w:t>
      </w:r>
      <w:r w:rsidR="00284F07" w:rsidRPr="0024525A">
        <w:rPr>
          <w:rStyle w:val="apple-converted-space"/>
          <w:rFonts w:ascii="Book Antiqua" w:hAnsi="Book Antiqua"/>
          <w:sz w:val="20"/>
          <w:szCs w:val="20"/>
        </w:rPr>
        <w:t>i</w:t>
      </w:r>
      <w:r w:rsidRPr="0024525A">
        <w:rPr>
          <w:rStyle w:val="apple-converted-space"/>
          <w:rFonts w:ascii="Book Antiqua" w:hAnsi="Book Antiqua"/>
          <w:sz w:val="20"/>
          <w:szCs w:val="20"/>
        </w:rPr>
        <w:t xml:space="preserve">s used. The Cochrane Handbook has stated that when </w:t>
      </w:r>
      <w:r w:rsidRPr="0024525A">
        <w:rPr>
          <w:rStyle w:val="apple-converted-space"/>
          <w:rFonts w:ascii="Book Antiqua" w:hAnsi="Book Antiqua"/>
          <w:i/>
          <w:iCs/>
          <w:sz w:val="20"/>
          <w:szCs w:val="20"/>
        </w:rPr>
        <w:t>I</w:t>
      </w:r>
      <w:r w:rsidRPr="0024525A">
        <w:rPr>
          <w:rStyle w:val="apple-converted-space"/>
          <w:rFonts w:ascii="Book Antiqua" w:hAnsi="Book Antiqua"/>
          <w:sz w:val="20"/>
          <w:szCs w:val="20"/>
          <w:vertAlign w:val="superscript"/>
        </w:rPr>
        <w:t>2</w:t>
      </w:r>
      <w:r w:rsidRPr="0024525A">
        <w:rPr>
          <w:rStyle w:val="apple-converted-space"/>
          <w:rFonts w:ascii="Book Antiqua" w:hAnsi="Book Antiqua"/>
          <w:sz w:val="20"/>
          <w:szCs w:val="20"/>
        </w:rPr>
        <w:t xml:space="preserve"> is less than 40%, a fixed effects model should be used for meta-analysis</w:t>
      </w:r>
      <w:r w:rsidR="00284F07" w:rsidRPr="0024525A">
        <w:rPr>
          <w:rStyle w:val="apple-converted-space"/>
          <w:rFonts w:ascii="Book Antiqua" w:hAnsi="Book Antiqua"/>
          <w:sz w:val="20"/>
          <w:szCs w:val="20"/>
        </w:rPr>
        <w:t>.</w:t>
      </w:r>
      <w:r w:rsidRPr="0024525A">
        <w:rPr>
          <w:rStyle w:val="apple-converted-space"/>
          <w:rFonts w:ascii="Book Antiqua" w:hAnsi="Book Antiqua"/>
          <w:sz w:val="20"/>
          <w:szCs w:val="20"/>
        </w:rPr>
        <w:t xml:space="preserve"> Otherwise</w:t>
      </w:r>
      <w:r w:rsidR="00284F07" w:rsidRPr="0024525A">
        <w:rPr>
          <w:rStyle w:val="apple-converted-space"/>
          <w:rFonts w:ascii="Book Antiqua" w:hAnsi="Book Antiqua"/>
          <w:sz w:val="20"/>
          <w:szCs w:val="20"/>
        </w:rPr>
        <w:t xml:space="preserve">, </w:t>
      </w:r>
      <w:r w:rsidRPr="0024525A">
        <w:rPr>
          <w:rStyle w:val="apple-converted-space"/>
          <w:rFonts w:ascii="Book Antiqua" w:hAnsi="Book Antiqua"/>
          <w:sz w:val="20"/>
          <w:szCs w:val="20"/>
        </w:rPr>
        <w:t>a random effect model should be used.</w:t>
      </w:r>
      <w:r w:rsidRPr="0024525A">
        <w:rPr>
          <w:rFonts w:ascii="Book Antiqua" w:hAnsi="Book Antiqua"/>
          <w:sz w:val="20"/>
          <w:szCs w:val="20"/>
        </w:rPr>
        <w:t xml:space="preserve"> </w:t>
      </w:r>
      <w:r w:rsidRPr="0024525A">
        <w:rPr>
          <w:rStyle w:val="apple-converted-space"/>
          <w:rFonts w:ascii="Book Antiqua" w:hAnsi="Book Antiqua"/>
          <w:sz w:val="20"/>
          <w:szCs w:val="20"/>
        </w:rPr>
        <w:t>In general, the conclusions obtained by random effects models tend to be conservative</w:t>
      </w:r>
      <w:r w:rsidR="00284F07" w:rsidRPr="0024525A">
        <w:rPr>
          <w:rStyle w:val="apple-converted-space"/>
          <w:rFonts w:ascii="Book Antiqua" w:hAnsi="Book Antiqua"/>
          <w:sz w:val="20"/>
          <w:szCs w:val="20"/>
        </w:rPr>
        <w:t>, and thus</w:t>
      </w:r>
      <w:r w:rsidRPr="0024525A">
        <w:rPr>
          <w:rFonts w:ascii="Book Antiqua" w:hAnsi="Book Antiqua"/>
          <w:sz w:val="20"/>
          <w:szCs w:val="20"/>
        </w:rPr>
        <w:t xml:space="preserve"> </w:t>
      </w:r>
      <w:r w:rsidRPr="0024525A">
        <w:rPr>
          <w:rStyle w:val="apple-converted-space"/>
          <w:rFonts w:ascii="Book Antiqua" w:hAnsi="Book Antiqua"/>
          <w:sz w:val="20"/>
          <w:szCs w:val="20"/>
        </w:rPr>
        <w:t>can be used in any case.</w:t>
      </w:r>
      <w:r w:rsidRPr="0024525A">
        <w:rPr>
          <w:rFonts w:ascii="Book Antiqua" w:hAnsi="Book Antiqua"/>
          <w:sz w:val="20"/>
          <w:szCs w:val="20"/>
        </w:rPr>
        <w:t xml:space="preserve"> </w:t>
      </w:r>
      <w:r w:rsidRPr="0024525A">
        <w:rPr>
          <w:rStyle w:val="apple-converted-space"/>
          <w:rFonts w:ascii="Book Antiqua" w:hAnsi="Book Antiqua"/>
          <w:sz w:val="20"/>
          <w:szCs w:val="20"/>
        </w:rPr>
        <w:t>However, when the heterogeneity is significant, only the random effect model can be used</w:t>
      </w:r>
      <w:r w:rsidR="00284F07" w:rsidRPr="0024525A">
        <w:rPr>
          <w:rStyle w:val="apple-converted-space"/>
          <w:rFonts w:ascii="Book Antiqua" w:hAnsi="Book Antiqua"/>
          <w:sz w:val="20"/>
          <w:szCs w:val="20"/>
        </w:rPr>
        <w:t>,</w:t>
      </w:r>
      <w:r w:rsidRPr="0024525A">
        <w:rPr>
          <w:rStyle w:val="apple-converted-space"/>
          <w:rFonts w:ascii="Book Antiqua" w:hAnsi="Book Antiqua"/>
          <w:sz w:val="20"/>
          <w:szCs w:val="20"/>
        </w:rPr>
        <w:t xml:space="preserve"> and further analysis is needed to find </w:t>
      </w:r>
      <w:r w:rsidRPr="0024525A">
        <w:rPr>
          <w:rFonts w:ascii="Book Antiqua" w:hAnsi="Book Antiqua"/>
          <w:sz w:val="20"/>
          <w:szCs w:val="20"/>
        </w:rPr>
        <w:t>the sources of heterogeneity</w:t>
      </w:r>
      <w:r w:rsidRPr="0024525A">
        <w:rPr>
          <w:rStyle w:val="apple-converted-space"/>
          <w:rFonts w:ascii="Book Antiqua" w:hAnsi="Book Antiqua"/>
          <w:sz w:val="20"/>
          <w:szCs w:val="20"/>
        </w:rPr>
        <w:t>.</w:t>
      </w:r>
    </w:p>
    <w:p w14:paraId="4D17B238" w14:textId="490E7397" w:rsidR="00112006" w:rsidRPr="0024525A" w:rsidRDefault="00300F22" w:rsidP="0024525A">
      <w:pPr>
        <w:adjustRightInd w:val="0"/>
        <w:snapToGrid w:val="0"/>
        <w:spacing w:line="360" w:lineRule="auto"/>
        <w:ind w:firstLineChars="100" w:firstLine="200"/>
        <w:rPr>
          <w:rFonts w:ascii="Book Antiqua" w:hAnsi="Book Antiqua" w:cs="Times New Roman"/>
          <w:sz w:val="20"/>
          <w:szCs w:val="20"/>
        </w:rPr>
      </w:pPr>
      <w:r w:rsidRPr="0024525A">
        <w:rPr>
          <w:rFonts w:ascii="Book Antiqua" w:hAnsi="Book Antiqua" w:cs="Times New Roman"/>
          <w:sz w:val="20"/>
          <w:szCs w:val="20"/>
        </w:rPr>
        <w:t>In conclusion, our results</w:t>
      </w:r>
      <w:r w:rsidRPr="0024525A">
        <w:rPr>
          <w:rStyle w:val="fontstyle01"/>
          <w:rFonts w:ascii="Book Antiqua" w:hAnsi="Book Antiqua" w:cs="Times New Roman"/>
          <w:color w:val="auto"/>
          <w:sz w:val="20"/>
          <w:szCs w:val="20"/>
        </w:rPr>
        <w:t xml:space="preserve"> </w:t>
      </w:r>
      <w:r w:rsidRPr="0024525A">
        <w:rPr>
          <w:rFonts w:ascii="Book Antiqua" w:hAnsi="Book Antiqua" w:cs="Times New Roman"/>
          <w:sz w:val="20"/>
          <w:szCs w:val="20"/>
        </w:rPr>
        <w:t>demonstrated that PPI use increase</w:t>
      </w:r>
      <w:r w:rsidR="00284F07" w:rsidRPr="0024525A">
        <w:rPr>
          <w:rFonts w:ascii="Book Antiqua" w:hAnsi="Book Antiqua" w:cs="Times New Roman"/>
          <w:sz w:val="20"/>
          <w:szCs w:val="20"/>
        </w:rPr>
        <w:t>d</w:t>
      </w:r>
      <w:r w:rsidRPr="0024525A">
        <w:rPr>
          <w:rFonts w:ascii="Book Antiqua" w:hAnsi="Book Antiqua" w:cs="Times New Roman"/>
          <w:sz w:val="20"/>
          <w:szCs w:val="20"/>
        </w:rPr>
        <w:t xml:space="preserve"> HE risk, consistent with the study of Ma </w:t>
      </w:r>
      <w:r w:rsidRPr="0024525A">
        <w:rPr>
          <w:rFonts w:ascii="Book Antiqua" w:hAnsi="Book Antiqua" w:cs="Times New Roman"/>
          <w:i/>
          <w:iCs/>
          <w:sz w:val="20"/>
          <w:szCs w:val="20"/>
        </w:rPr>
        <w:t>et al</w:t>
      </w:r>
      <w:r w:rsidR="006D39EB" w:rsidRPr="0024525A">
        <w:rPr>
          <w:rFonts w:ascii="Book Antiqua" w:hAnsi="Book Antiqua" w:cs="Times New Roman"/>
          <w:sz w:val="20"/>
          <w:szCs w:val="20"/>
          <w:vertAlign w:val="superscript"/>
        </w:rPr>
        <w:t>[1]</w:t>
      </w:r>
      <w:r w:rsidRPr="0024525A">
        <w:rPr>
          <w:rFonts w:ascii="Book Antiqua" w:hAnsi="Book Antiqua" w:cs="Times New Roman"/>
          <w:sz w:val="20"/>
          <w:szCs w:val="20"/>
        </w:rPr>
        <w:t xml:space="preserve">. However, the </w:t>
      </w:r>
      <w:r w:rsidRPr="0024525A">
        <w:rPr>
          <w:rFonts w:ascii="Book Antiqua" w:eastAsia="Microsoft YaHei UI" w:hAnsi="Book Antiqua" w:cs="Times New Roman"/>
          <w:kern w:val="0"/>
          <w:sz w:val="20"/>
          <w:szCs w:val="20"/>
        </w:rPr>
        <w:t xml:space="preserve">meta-analysis by Ma </w:t>
      </w:r>
      <w:r w:rsidRPr="0024525A">
        <w:rPr>
          <w:rFonts w:ascii="Book Antiqua" w:eastAsia="Microsoft YaHei UI" w:hAnsi="Book Antiqua" w:cs="Times New Roman"/>
          <w:i/>
          <w:iCs/>
          <w:kern w:val="0"/>
          <w:sz w:val="20"/>
          <w:szCs w:val="20"/>
        </w:rPr>
        <w:t>et al</w:t>
      </w:r>
      <w:r w:rsidR="006D39EB" w:rsidRPr="0024525A">
        <w:rPr>
          <w:rFonts w:ascii="Book Antiqua" w:eastAsia="Microsoft YaHei UI" w:hAnsi="Book Antiqua" w:cs="Times New Roman"/>
          <w:kern w:val="0"/>
          <w:sz w:val="20"/>
          <w:szCs w:val="20"/>
          <w:vertAlign w:val="superscript"/>
        </w:rPr>
        <w:t>[1]</w:t>
      </w:r>
      <w:r w:rsidRPr="0024525A">
        <w:rPr>
          <w:rFonts w:ascii="Book Antiqua" w:hAnsi="Book Antiqua" w:cs="Times New Roman"/>
          <w:sz w:val="20"/>
          <w:szCs w:val="20"/>
        </w:rPr>
        <w:t xml:space="preserve"> is flawed. More accurate statistical analysis is necessary to improve the quality of this meta-analysis.</w:t>
      </w:r>
    </w:p>
    <w:p w14:paraId="211CEB8F" w14:textId="77777777" w:rsidR="00112006" w:rsidRPr="0024525A" w:rsidRDefault="00112006" w:rsidP="0024525A">
      <w:pPr>
        <w:adjustRightInd w:val="0"/>
        <w:snapToGrid w:val="0"/>
        <w:spacing w:line="360" w:lineRule="auto"/>
        <w:rPr>
          <w:rFonts w:ascii="Book Antiqua" w:hAnsi="Book Antiqua" w:cs="Times New Roman"/>
          <w:sz w:val="20"/>
          <w:szCs w:val="20"/>
        </w:rPr>
      </w:pPr>
    </w:p>
    <w:p w14:paraId="63C10A9D" w14:textId="0CB8F07A" w:rsidR="00112006" w:rsidRPr="0024525A" w:rsidRDefault="006D39EB"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REFERENCES</w:t>
      </w:r>
    </w:p>
    <w:p w14:paraId="35EDE78E" w14:textId="77777777" w:rsidR="006D39EB" w:rsidRPr="0024525A" w:rsidRDefault="006D39EB" w:rsidP="0024525A">
      <w:pPr>
        <w:adjustRightInd w:val="0"/>
        <w:snapToGrid w:val="0"/>
        <w:spacing w:line="360" w:lineRule="auto"/>
        <w:rPr>
          <w:rFonts w:ascii="Book Antiqua" w:hAnsi="Book Antiqua"/>
          <w:sz w:val="20"/>
          <w:szCs w:val="20"/>
        </w:rPr>
      </w:pPr>
      <w:r w:rsidRPr="0024525A">
        <w:rPr>
          <w:rFonts w:ascii="Book Antiqua" w:hAnsi="Book Antiqua"/>
          <w:sz w:val="20"/>
          <w:szCs w:val="20"/>
        </w:rPr>
        <w:t xml:space="preserve">1 </w:t>
      </w:r>
      <w:r w:rsidRPr="0024525A">
        <w:rPr>
          <w:rFonts w:ascii="Book Antiqua" w:hAnsi="Book Antiqua"/>
          <w:b/>
          <w:sz w:val="20"/>
          <w:szCs w:val="20"/>
        </w:rPr>
        <w:t>Ma YJ</w:t>
      </w:r>
      <w:r w:rsidRPr="0024525A">
        <w:rPr>
          <w:rFonts w:ascii="Book Antiqua" w:hAnsi="Book Antiqua"/>
          <w:sz w:val="20"/>
          <w:szCs w:val="20"/>
        </w:rPr>
        <w:t xml:space="preserve">, Cao ZX, Li Y, Feng SY. Proton pump inhibitor use increases hepatic encephalopathy risk: A systematic review and meta-analysis. </w:t>
      </w:r>
      <w:r w:rsidRPr="0024525A">
        <w:rPr>
          <w:rFonts w:ascii="Book Antiqua" w:hAnsi="Book Antiqua"/>
          <w:i/>
          <w:sz w:val="20"/>
          <w:szCs w:val="20"/>
        </w:rPr>
        <w:t>World J Gastroenterol</w:t>
      </w:r>
      <w:r w:rsidRPr="0024525A">
        <w:rPr>
          <w:rFonts w:ascii="Book Antiqua" w:hAnsi="Book Antiqua"/>
          <w:sz w:val="20"/>
          <w:szCs w:val="20"/>
        </w:rPr>
        <w:t xml:space="preserve"> 2019; </w:t>
      </w:r>
      <w:r w:rsidRPr="0024525A">
        <w:rPr>
          <w:rFonts w:ascii="Book Antiqua" w:hAnsi="Book Antiqua"/>
          <w:b/>
          <w:sz w:val="20"/>
          <w:szCs w:val="20"/>
        </w:rPr>
        <w:t>25</w:t>
      </w:r>
      <w:r w:rsidRPr="0024525A">
        <w:rPr>
          <w:rFonts w:ascii="Book Antiqua" w:hAnsi="Book Antiqua"/>
          <w:sz w:val="20"/>
          <w:szCs w:val="20"/>
        </w:rPr>
        <w:t>: 2675-2682 [PMID: 31210718 DOI: 10.3748/wjg.v25.i21.2675]</w:t>
      </w:r>
    </w:p>
    <w:p w14:paraId="02D900E4" w14:textId="77777777" w:rsidR="006D39EB" w:rsidRPr="0024525A" w:rsidRDefault="006D39EB" w:rsidP="0024525A">
      <w:pPr>
        <w:adjustRightInd w:val="0"/>
        <w:snapToGrid w:val="0"/>
        <w:spacing w:line="360" w:lineRule="auto"/>
        <w:rPr>
          <w:rFonts w:ascii="Book Antiqua" w:hAnsi="Book Antiqua"/>
          <w:sz w:val="20"/>
          <w:szCs w:val="20"/>
        </w:rPr>
      </w:pPr>
      <w:r w:rsidRPr="0024525A">
        <w:rPr>
          <w:rFonts w:ascii="Book Antiqua" w:hAnsi="Book Antiqua"/>
          <w:sz w:val="20"/>
          <w:szCs w:val="20"/>
        </w:rPr>
        <w:t xml:space="preserve">2 </w:t>
      </w:r>
      <w:r w:rsidRPr="0024525A">
        <w:rPr>
          <w:rFonts w:ascii="Book Antiqua" w:hAnsi="Book Antiqua"/>
          <w:b/>
          <w:sz w:val="20"/>
          <w:szCs w:val="20"/>
        </w:rPr>
        <w:t>Tsai CF</w:t>
      </w:r>
      <w:r w:rsidRPr="0024525A">
        <w:rPr>
          <w:rFonts w:ascii="Book Antiqua" w:hAnsi="Book Antiqua"/>
          <w:sz w:val="20"/>
          <w:szCs w:val="20"/>
        </w:rPr>
        <w:t xml:space="preserve">, Chen MH, Wang YP, Chu CJ, Huang YH, Lin HC, Hou MC, Lee FY, Su TP, Lu CL. Proton Pump Inhibitors Increase Risk for Hepatic Encephalopathy in Patients With Cirrhosis in A Population Study. </w:t>
      </w:r>
      <w:r w:rsidRPr="0024525A">
        <w:rPr>
          <w:rFonts w:ascii="Book Antiqua" w:hAnsi="Book Antiqua"/>
          <w:i/>
          <w:sz w:val="20"/>
          <w:szCs w:val="20"/>
        </w:rPr>
        <w:t>Gastroenterology</w:t>
      </w:r>
      <w:r w:rsidRPr="0024525A">
        <w:rPr>
          <w:rFonts w:ascii="Book Antiqua" w:hAnsi="Book Antiqua"/>
          <w:sz w:val="20"/>
          <w:szCs w:val="20"/>
        </w:rPr>
        <w:t xml:space="preserve"> 2017; </w:t>
      </w:r>
      <w:r w:rsidRPr="0024525A">
        <w:rPr>
          <w:rFonts w:ascii="Book Antiqua" w:hAnsi="Book Antiqua"/>
          <w:b/>
          <w:sz w:val="20"/>
          <w:szCs w:val="20"/>
        </w:rPr>
        <w:t>152</w:t>
      </w:r>
      <w:r w:rsidRPr="0024525A">
        <w:rPr>
          <w:rFonts w:ascii="Book Antiqua" w:hAnsi="Book Antiqua"/>
          <w:sz w:val="20"/>
          <w:szCs w:val="20"/>
        </w:rPr>
        <w:t>: 134-141 [PMID: 27639806 DOI: 10.1053/j.gastro.2016.09.007]</w:t>
      </w:r>
    </w:p>
    <w:p w14:paraId="2DEE30E5" w14:textId="4A7556F9" w:rsidR="006D39EB" w:rsidRPr="0024525A" w:rsidRDefault="006D39EB" w:rsidP="00720879">
      <w:pPr>
        <w:adjustRightInd w:val="0"/>
        <w:snapToGrid w:val="0"/>
        <w:spacing w:line="360" w:lineRule="auto"/>
        <w:rPr>
          <w:rFonts w:ascii="Book Antiqua" w:hAnsi="Book Antiqua" w:cs="Times New Roman"/>
          <w:b/>
          <w:sz w:val="20"/>
          <w:szCs w:val="20"/>
        </w:rPr>
      </w:pPr>
      <w:r w:rsidRPr="0024525A">
        <w:rPr>
          <w:rFonts w:ascii="Book Antiqua" w:hAnsi="Book Antiqua"/>
          <w:sz w:val="20"/>
          <w:szCs w:val="20"/>
        </w:rPr>
        <w:t xml:space="preserve">3 </w:t>
      </w:r>
      <w:r w:rsidRPr="0024525A">
        <w:rPr>
          <w:rFonts w:ascii="Book Antiqua" w:hAnsi="Book Antiqua"/>
          <w:b/>
          <w:sz w:val="20"/>
          <w:szCs w:val="20"/>
        </w:rPr>
        <w:t>Hamling J</w:t>
      </w:r>
      <w:r w:rsidRPr="0024525A">
        <w:rPr>
          <w:rFonts w:ascii="Book Antiqua" w:hAnsi="Book Antiqua"/>
          <w:sz w:val="20"/>
          <w:szCs w:val="20"/>
        </w:rPr>
        <w:t xml:space="preserve">, Lee P, Weitkunat R, Ambühl M. Facilitating meta-analyses by deriving relative effect and precision estimates for alternative comparisons from a set of estimates presented by exposure level or disease category. </w:t>
      </w:r>
      <w:r w:rsidRPr="0024525A">
        <w:rPr>
          <w:rFonts w:ascii="Book Antiqua" w:hAnsi="Book Antiqua"/>
          <w:i/>
          <w:sz w:val="20"/>
          <w:szCs w:val="20"/>
        </w:rPr>
        <w:t>Stat Med</w:t>
      </w:r>
      <w:r w:rsidRPr="0024525A">
        <w:rPr>
          <w:rFonts w:ascii="Book Antiqua" w:hAnsi="Book Antiqua"/>
          <w:sz w:val="20"/>
          <w:szCs w:val="20"/>
        </w:rPr>
        <w:t xml:space="preserve"> 2008; </w:t>
      </w:r>
      <w:r w:rsidRPr="0024525A">
        <w:rPr>
          <w:rFonts w:ascii="Book Antiqua" w:hAnsi="Book Antiqua"/>
          <w:b/>
          <w:sz w:val="20"/>
          <w:szCs w:val="20"/>
        </w:rPr>
        <w:t>27</w:t>
      </w:r>
      <w:r w:rsidRPr="0024525A">
        <w:rPr>
          <w:rFonts w:ascii="Book Antiqua" w:hAnsi="Book Antiqua"/>
          <w:sz w:val="20"/>
          <w:szCs w:val="20"/>
        </w:rPr>
        <w:t>: 954-970 [PMID: 17676579 DOI: 10.1002/sim.3013]</w:t>
      </w:r>
      <w:r w:rsidRPr="0024525A">
        <w:rPr>
          <w:rFonts w:ascii="Book Antiqua" w:hAnsi="Book Antiqua" w:cs="Times New Roman"/>
          <w:b/>
          <w:sz w:val="20"/>
          <w:szCs w:val="20"/>
        </w:rPr>
        <w:br w:type="page"/>
      </w:r>
    </w:p>
    <w:p w14:paraId="14E8602D" w14:textId="77777777" w:rsidR="006D39EB" w:rsidRPr="0024525A" w:rsidRDefault="006D39EB" w:rsidP="0024525A">
      <w:pPr>
        <w:adjustRightInd w:val="0"/>
        <w:snapToGrid w:val="0"/>
        <w:spacing w:line="360" w:lineRule="auto"/>
        <w:rPr>
          <w:rFonts w:ascii="Book Antiqua" w:hAnsi="Book Antiqua"/>
          <w:b/>
          <w:sz w:val="20"/>
          <w:szCs w:val="20"/>
        </w:rPr>
      </w:pPr>
      <w:r w:rsidRPr="0024525A">
        <w:rPr>
          <w:rFonts w:ascii="Book Antiqua" w:hAnsi="Book Antiqua"/>
          <w:b/>
          <w:sz w:val="20"/>
          <w:szCs w:val="20"/>
        </w:rPr>
        <w:lastRenderedPageBreak/>
        <w:t>Footnotes</w:t>
      </w:r>
    </w:p>
    <w:p w14:paraId="31BE64EE" w14:textId="77777777" w:rsidR="006D39EB" w:rsidRPr="0024525A" w:rsidRDefault="006D39EB" w:rsidP="0024525A">
      <w:pPr>
        <w:adjustRightInd w:val="0"/>
        <w:snapToGrid w:val="0"/>
        <w:spacing w:line="360" w:lineRule="auto"/>
        <w:rPr>
          <w:rFonts w:ascii="Book Antiqua" w:hAnsi="Book Antiqua"/>
          <w:color w:val="000000" w:themeColor="text1"/>
          <w:sz w:val="20"/>
          <w:szCs w:val="20"/>
        </w:rPr>
      </w:pPr>
      <w:r w:rsidRPr="0024525A">
        <w:rPr>
          <w:rFonts w:ascii="Book Antiqua" w:hAnsi="Book Antiqua"/>
          <w:b/>
          <w:color w:val="000000" w:themeColor="text1"/>
          <w:sz w:val="20"/>
          <w:szCs w:val="20"/>
        </w:rPr>
        <w:t>Conflict-of-interest statement</w:t>
      </w:r>
      <w:r w:rsidRPr="0024525A">
        <w:rPr>
          <w:rFonts w:ascii="Book Antiqua" w:hAnsi="Book Antiqua" w:cs="Times New Roman"/>
          <w:b/>
          <w:color w:val="000000" w:themeColor="text1"/>
          <w:sz w:val="20"/>
          <w:szCs w:val="20"/>
        </w:rPr>
        <w:t>:</w:t>
      </w:r>
      <w:r w:rsidRPr="0024525A">
        <w:rPr>
          <w:rFonts w:ascii="Book Antiqua" w:eastAsia="宋体" w:hAnsi="Book Antiqua" w:cs="Times New Roman"/>
          <w:b/>
          <w:color w:val="000000" w:themeColor="text1"/>
          <w:sz w:val="20"/>
          <w:szCs w:val="20"/>
        </w:rPr>
        <w:t xml:space="preserve"> </w:t>
      </w:r>
      <w:r w:rsidRPr="0024525A">
        <w:rPr>
          <w:rFonts w:ascii="Book Antiqua" w:eastAsia="ヒラギノ角ゴ Pro W3" w:hAnsi="Book Antiqua" w:cs="Times New Roman"/>
          <w:bCs/>
          <w:color w:val="000000" w:themeColor="text1"/>
          <w:kern w:val="0"/>
          <w:sz w:val="20"/>
          <w:szCs w:val="20"/>
        </w:rPr>
        <w:t xml:space="preserve">Osamu Yokosuka </w:t>
      </w:r>
      <w:r w:rsidRPr="0024525A">
        <w:rPr>
          <w:rFonts w:ascii="Book Antiqua" w:eastAsia="ヒラギノ角ゴ Pro W3" w:hAnsi="Book Antiqua" w:cs="Times New Roman"/>
          <w:color w:val="000000" w:themeColor="text1"/>
          <w:kern w:val="0"/>
          <w:sz w:val="20"/>
          <w:szCs w:val="20"/>
        </w:rPr>
        <w:t>has received research funding from Chugai Pharma.</w:t>
      </w:r>
    </w:p>
    <w:p w14:paraId="7032DC58" w14:textId="77777777"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p>
    <w:p w14:paraId="6A3C0CA9" w14:textId="77777777" w:rsidR="006D39EB" w:rsidRPr="0024525A" w:rsidRDefault="006D39EB" w:rsidP="0024525A">
      <w:pPr>
        <w:adjustRightInd w:val="0"/>
        <w:snapToGrid w:val="0"/>
        <w:spacing w:line="360" w:lineRule="auto"/>
        <w:rPr>
          <w:rFonts w:ascii="Book Antiqua" w:hAnsi="Book Antiqua"/>
          <w:color w:val="000000" w:themeColor="text1"/>
          <w:sz w:val="20"/>
          <w:szCs w:val="20"/>
        </w:rPr>
      </w:pPr>
      <w:r w:rsidRPr="0024525A">
        <w:rPr>
          <w:rFonts w:ascii="Book Antiqua" w:hAnsi="Book Antiqua"/>
          <w:b/>
          <w:color w:val="000000"/>
          <w:sz w:val="20"/>
          <w:szCs w:val="20"/>
        </w:rPr>
        <w:t>Open-Access:</w:t>
      </w:r>
      <w:r w:rsidRPr="0024525A">
        <w:rPr>
          <w:rFonts w:ascii="Book Antiqua" w:hAnsi="Book Antiqua"/>
          <w:color w:val="000000"/>
          <w:sz w:val="20"/>
          <w:szCs w:val="20"/>
        </w:rPr>
        <w:t xml:space="preserve"> </w:t>
      </w:r>
      <w:bookmarkStart w:id="12" w:name="OLE_LINK8"/>
      <w:r w:rsidRPr="0024525A">
        <w:rPr>
          <w:rFonts w:ascii="Book Antiqua" w:hAnsi="Book Antiqua"/>
          <w:color w:val="000000"/>
          <w:sz w:val="20"/>
          <w:szCs w:val="20"/>
        </w:rPr>
        <w:t xml:space="preserve">This article is an open-access </w:t>
      </w:r>
      <w:r w:rsidRPr="0024525A">
        <w:rPr>
          <w:rFonts w:ascii="Book Antiqua" w:hAnsi="Book Antiqua"/>
          <w:sz w:val="20"/>
          <w:szCs w:val="20"/>
        </w:rPr>
        <w:t xml:space="preserve">article that was selected </w:t>
      </w:r>
      <w:r w:rsidRPr="0024525A">
        <w:rPr>
          <w:rFonts w:ascii="Book Antiqua" w:hAnsi="Book Antiqua"/>
          <w:color w:val="000000"/>
          <w:sz w:val="20"/>
          <w:szCs w:val="2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p w14:paraId="1CBE906E" w14:textId="77777777" w:rsidR="006D39EB" w:rsidRPr="0024525A" w:rsidRDefault="006D39EB" w:rsidP="0024525A">
      <w:pPr>
        <w:widowControl/>
        <w:adjustRightInd w:val="0"/>
        <w:snapToGrid w:val="0"/>
        <w:spacing w:line="360" w:lineRule="auto"/>
        <w:rPr>
          <w:rFonts w:ascii="Book Antiqua" w:eastAsia="宋体" w:hAnsi="Book Antiqua" w:cs="宋体"/>
          <w:color w:val="000000" w:themeColor="text1"/>
          <w:kern w:val="0"/>
          <w:sz w:val="20"/>
          <w:szCs w:val="20"/>
        </w:rPr>
      </w:pPr>
    </w:p>
    <w:p w14:paraId="55B7880D" w14:textId="77777777" w:rsidR="006D39EB" w:rsidRPr="0024525A" w:rsidRDefault="006D39EB" w:rsidP="0024525A">
      <w:pPr>
        <w:adjustRightInd w:val="0"/>
        <w:snapToGrid w:val="0"/>
        <w:spacing w:line="360" w:lineRule="auto"/>
        <w:rPr>
          <w:rFonts w:ascii="Book Antiqua" w:hAnsi="Book Antiqua"/>
          <w:bCs/>
          <w:color w:val="000000"/>
          <w:sz w:val="20"/>
          <w:szCs w:val="20"/>
        </w:rPr>
      </w:pPr>
      <w:r w:rsidRPr="0024525A">
        <w:rPr>
          <w:rFonts w:ascii="Book Antiqua" w:hAnsi="Book Antiqua"/>
          <w:b/>
          <w:bCs/>
          <w:color w:val="000000"/>
          <w:sz w:val="20"/>
          <w:szCs w:val="20"/>
          <w:lang w:eastAsia="pl-PL"/>
        </w:rPr>
        <w:t>Manuscript source:</w:t>
      </w:r>
      <w:r w:rsidRPr="0024525A">
        <w:rPr>
          <w:rFonts w:ascii="Book Antiqua" w:hAnsi="Book Antiqua"/>
          <w:b/>
          <w:bCs/>
          <w:color w:val="000000"/>
          <w:sz w:val="20"/>
          <w:szCs w:val="20"/>
        </w:rPr>
        <w:t xml:space="preserve"> </w:t>
      </w:r>
      <w:r w:rsidRPr="0024525A">
        <w:rPr>
          <w:rFonts w:ascii="Book Antiqua" w:hAnsi="Book Antiqua"/>
          <w:bCs/>
          <w:color w:val="000000"/>
          <w:sz w:val="20"/>
          <w:szCs w:val="20"/>
          <w:lang w:eastAsia="pl-PL"/>
        </w:rPr>
        <w:t>Unsolicited manuscript</w:t>
      </w:r>
    </w:p>
    <w:p w14:paraId="22EA401C" w14:textId="77777777" w:rsidR="006D39EB" w:rsidRPr="0024525A" w:rsidRDefault="006D39EB" w:rsidP="0024525A">
      <w:pPr>
        <w:adjustRightInd w:val="0"/>
        <w:snapToGrid w:val="0"/>
        <w:spacing w:line="360" w:lineRule="auto"/>
        <w:rPr>
          <w:rFonts w:ascii="Book Antiqua" w:hAnsi="Book Antiqua"/>
          <w:b/>
          <w:sz w:val="20"/>
          <w:szCs w:val="20"/>
        </w:rPr>
      </w:pPr>
    </w:p>
    <w:p w14:paraId="0FAA2893" w14:textId="510B2B3A"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r w:rsidRPr="0024525A">
        <w:rPr>
          <w:rFonts w:ascii="Book Antiqua" w:hAnsi="Book Antiqua"/>
          <w:b/>
          <w:color w:val="000000" w:themeColor="text1"/>
          <w:sz w:val="20"/>
          <w:szCs w:val="20"/>
        </w:rPr>
        <w:t>Peer-review started:</w:t>
      </w:r>
      <w:r w:rsidRPr="0024525A">
        <w:rPr>
          <w:rFonts w:ascii="Book Antiqua" w:eastAsia="宋体" w:hAnsi="Book Antiqua"/>
          <w:b/>
          <w:color w:val="000000" w:themeColor="text1"/>
          <w:sz w:val="20"/>
          <w:szCs w:val="20"/>
        </w:rPr>
        <w:t xml:space="preserve"> </w:t>
      </w:r>
      <w:r w:rsidRPr="0024525A">
        <w:rPr>
          <w:rFonts w:ascii="Book Antiqua" w:hAnsi="Book Antiqua"/>
          <w:color w:val="000000" w:themeColor="text1"/>
          <w:sz w:val="20"/>
          <w:szCs w:val="20"/>
        </w:rPr>
        <w:t>November</w:t>
      </w:r>
      <w:r w:rsidRPr="0024525A">
        <w:rPr>
          <w:rFonts w:ascii="Book Antiqua" w:eastAsia="宋体" w:hAnsi="Book Antiqua"/>
          <w:color w:val="000000" w:themeColor="text1"/>
          <w:sz w:val="20"/>
          <w:szCs w:val="20"/>
        </w:rPr>
        <w:t xml:space="preserve"> 25, 2019</w:t>
      </w:r>
    </w:p>
    <w:p w14:paraId="0DE33DF0" w14:textId="5939C74C"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r w:rsidRPr="0024525A">
        <w:rPr>
          <w:rFonts w:ascii="Book Antiqua" w:hAnsi="Book Antiqua"/>
          <w:b/>
          <w:color w:val="000000" w:themeColor="text1"/>
          <w:sz w:val="20"/>
          <w:szCs w:val="20"/>
        </w:rPr>
        <w:t>First decision:</w:t>
      </w:r>
      <w:r w:rsidRPr="0024525A">
        <w:rPr>
          <w:rFonts w:ascii="Book Antiqua" w:eastAsia="宋体" w:hAnsi="Book Antiqua"/>
          <w:b/>
          <w:color w:val="000000" w:themeColor="text1"/>
          <w:sz w:val="20"/>
          <w:szCs w:val="20"/>
        </w:rPr>
        <w:t xml:space="preserve"> </w:t>
      </w:r>
      <w:r w:rsidRPr="0024525A">
        <w:rPr>
          <w:rFonts w:ascii="Book Antiqua" w:hAnsi="Book Antiqua"/>
          <w:color w:val="000000" w:themeColor="text1"/>
          <w:sz w:val="20"/>
          <w:szCs w:val="20"/>
        </w:rPr>
        <w:t>December</w:t>
      </w:r>
      <w:r w:rsidRPr="0024525A">
        <w:rPr>
          <w:rFonts w:ascii="Book Antiqua" w:eastAsia="宋体" w:hAnsi="Book Antiqua"/>
          <w:color w:val="000000" w:themeColor="text1"/>
          <w:sz w:val="20"/>
          <w:szCs w:val="20"/>
        </w:rPr>
        <w:t xml:space="preserve"> 23, 2019</w:t>
      </w:r>
    </w:p>
    <w:p w14:paraId="61CBCBF2" w14:textId="77777777"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r w:rsidRPr="0024525A">
        <w:rPr>
          <w:rFonts w:ascii="Book Antiqua" w:hAnsi="Book Antiqua"/>
          <w:b/>
          <w:color w:val="000000" w:themeColor="text1"/>
          <w:sz w:val="20"/>
          <w:szCs w:val="20"/>
        </w:rPr>
        <w:t>Article in press:</w:t>
      </w:r>
    </w:p>
    <w:p w14:paraId="625BDFC0" w14:textId="77777777" w:rsidR="006D39EB" w:rsidRPr="0024525A" w:rsidRDefault="006D39EB" w:rsidP="0024525A">
      <w:pPr>
        <w:adjustRightInd w:val="0"/>
        <w:snapToGrid w:val="0"/>
        <w:spacing w:line="360" w:lineRule="auto"/>
        <w:rPr>
          <w:rFonts w:ascii="Book Antiqua" w:eastAsia="宋体" w:hAnsi="Book Antiqua"/>
          <w:b/>
          <w:color w:val="000000" w:themeColor="text1"/>
          <w:sz w:val="20"/>
          <w:szCs w:val="20"/>
        </w:rPr>
      </w:pPr>
    </w:p>
    <w:p w14:paraId="79A3A49C" w14:textId="77777777" w:rsidR="006D39EB" w:rsidRPr="0024525A" w:rsidRDefault="006D39EB" w:rsidP="0024525A">
      <w:pPr>
        <w:adjustRightInd w:val="0"/>
        <w:snapToGrid w:val="0"/>
        <w:spacing w:line="360" w:lineRule="auto"/>
        <w:rPr>
          <w:rFonts w:ascii="Book Antiqua" w:eastAsia="微软雅黑" w:hAnsi="Book Antiqua" w:cs="宋体"/>
          <w:sz w:val="20"/>
          <w:szCs w:val="20"/>
        </w:rPr>
      </w:pPr>
      <w:r w:rsidRPr="0024525A">
        <w:rPr>
          <w:rFonts w:ascii="Book Antiqua" w:hAnsi="Book Antiqua" w:cs="宋体"/>
          <w:b/>
          <w:sz w:val="20"/>
          <w:szCs w:val="20"/>
        </w:rPr>
        <w:t xml:space="preserve">Specialty type: </w:t>
      </w:r>
      <w:r w:rsidRPr="0024525A">
        <w:rPr>
          <w:rFonts w:ascii="Book Antiqua" w:eastAsia="微软雅黑" w:hAnsi="Book Antiqua" w:cs="宋体"/>
          <w:sz w:val="20"/>
          <w:szCs w:val="20"/>
        </w:rPr>
        <w:t>Gastroenterology and hepatology</w:t>
      </w:r>
    </w:p>
    <w:p w14:paraId="15EEE90A" w14:textId="69E715E4" w:rsidR="006D39EB" w:rsidRPr="0024525A" w:rsidRDefault="006D39EB" w:rsidP="0024525A">
      <w:pPr>
        <w:adjustRightInd w:val="0"/>
        <w:snapToGrid w:val="0"/>
        <w:spacing w:line="360" w:lineRule="auto"/>
        <w:rPr>
          <w:rFonts w:ascii="Book Antiqua" w:hAnsi="Book Antiqua" w:cs="宋体"/>
          <w:bCs/>
          <w:sz w:val="20"/>
          <w:szCs w:val="20"/>
        </w:rPr>
      </w:pPr>
      <w:r w:rsidRPr="0024525A">
        <w:rPr>
          <w:rFonts w:ascii="Book Antiqua" w:hAnsi="Book Antiqua" w:cs="宋体"/>
          <w:b/>
          <w:sz w:val="20"/>
          <w:szCs w:val="20"/>
        </w:rPr>
        <w:t>Country of origin:</w:t>
      </w:r>
      <w:r w:rsidRPr="0024525A">
        <w:rPr>
          <w:sz w:val="20"/>
          <w:szCs w:val="20"/>
        </w:rPr>
        <w:t xml:space="preserve"> </w:t>
      </w:r>
      <w:r w:rsidRPr="0024525A">
        <w:rPr>
          <w:rFonts w:ascii="Book Antiqua" w:hAnsi="Book Antiqua" w:cs="宋体"/>
          <w:bCs/>
          <w:sz w:val="20"/>
          <w:szCs w:val="20"/>
        </w:rPr>
        <w:t>China</w:t>
      </w:r>
    </w:p>
    <w:p w14:paraId="096EDB8F" w14:textId="77777777" w:rsidR="006D39EB" w:rsidRPr="0024525A" w:rsidRDefault="006D39EB" w:rsidP="0024525A">
      <w:pPr>
        <w:adjustRightInd w:val="0"/>
        <w:snapToGrid w:val="0"/>
        <w:spacing w:line="360" w:lineRule="auto"/>
        <w:rPr>
          <w:rFonts w:ascii="Book Antiqua" w:hAnsi="Book Antiqua" w:cs="宋体"/>
          <w:b/>
          <w:sz w:val="20"/>
          <w:szCs w:val="20"/>
        </w:rPr>
      </w:pPr>
      <w:r w:rsidRPr="0024525A">
        <w:rPr>
          <w:rFonts w:ascii="Book Antiqua" w:hAnsi="Book Antiqua" w:cs="宋体"/>
          <w:b/>
          <w:sz w:val="20"/>
          <w:szCs w:val="20"/>
        </w:rPr>
        <w:t>Peer-review report classification</w:t>
      </w:r>
    </w:p>
    <w:p w14:paraId="7CE9B5E4" w14:textId="77777777"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A (Excellent): A</w:t>
      </w:r>
    </w:p>
    <w:p w14:paraId="2CF3EDD5" w14:textId="6272BAE7"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B (Very good): B</w:t>
      </w:r>
    </w:p>
    <w:p w14:paraId="24F7BD8D" w14:textId="4EF92C4F"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C (Good): 0</w:t>
      </w:r>
    </w:p>
    <w:p w14:paraId="4F2F9467" w14:textId="77777777" w:rsidR="006D39EB" w:rsidRPr="0024525A" w:rsidRDefault="006D39EB" w:rsidP="0024525A">
      <w:pPr>
        <w:adjustRightInd w:val="0"/>
        <w:snapToGrid w:val="0"/>
        <w:spacing w:line="360" w:lineRule="auto"/>
        <w:rPr>
          <w:rFonts w:ascii="Book Antiqua" w:hAnsi="Book Antiqua" w:cs="宋体"/>
          <w:sz w:val="20"/>
          <w:szCs w:val="20"/>
        </w:rPr>
      </w:pPr>
      <w:r w:rsidRPr="0024525A">
        <w:rPr>
          <w:rFonts w:ascii="Book Antiqua" w:hAnsi="Book Antiqua" w:cs="宋体"/>
          <w:sz w:val="20"/>
          <w:szCs w:val="20"/>
        </w:rPr>
        <w:t>Grade D (Fair): 0</w:t>
      </w:r>
    </w:p>
    <w:p w14:paraId="6F5D0683" w14:textId="6889D99B" w:rsidR="006D39EB" w:rsidRPr="0024525A" w:rsidRDefault="006D39EB" w:rsidP="0024525A">
      <w:pPr>
        <w:adjustRightInd w:val="0"/>
        <w:snapToGrid w:val="0"/>
        <w:spacing w:line="360" w:lineRule="auto"/>
        <w:rPr>
          <w:rFonts w:ascii="Book Antiqua" w:eastAsia="DengXian" w:hAnsi="Book Antiqua"/>
          <w:sz w:val="20"/>
          <w:szCs w:val="20"/>
        </w:rPr>
      </w:pPr>
      <w:r w:rsidRPr="0024525A">
        <w:rPr>
          <w:rFonts w:ascii="Book Antiqua" w:hAnsi="Book Antiqua" w:cs="宋体"/>
          <w:sz w:val="20"/>
          <w:szCs w:val="20"/>
        </w:rPr>
        <w:t>Grade E (Poor): E</w:t>
      </w:r>
    </w:p>
    <w:p w14:paraId="5ECFBA49" w14:textId="77777777" w:rsidR="006D39EB" w:rsidRPr="0024525A" w:rsidRDefault="006D39EB" w:rsidP="0024525A">
      <w:pPr>
        <w:adjustRightInd w:val="0"/>
        <w:snapToGrid w:val="0"/>
        <w:spacing w:line="360" w:lineRule="auto"/>
        <w:rPr>
          <w:rFonts w:ascii="Book Antiqua" w:eastAsia="宋体" w:hAnsi="Book Antiqua" w:cs="宋体"/>
          <w:color w:val="000000" w:themeColor="text1"/>
          <w:kern w:val="0"/>
          <w:sz w:val="20"/>
          <w:szCs w:val="20"/>
        </w:rPr>
      </w:pPr>
    </w:p>
    <w:p w14:paraId="622A7588" w14:textId="5BEC2C26" w:rsidR="006D39EB" w:rsidRPr="0024525A" w:rsidRDefault="006D39EB" w:rsidP="0024525A">
      <w:pPr>
        <w:adjustRightInd w:val="0"/>
        <w:snapToGrid w:val="0"/>
        <w:spacing w:line="360" w:lineRule="auto"/>
        <w:rPr>
          <w:rFonts w:ascii="Book Antiqua" w:hAnsi="Book Antiqua"/>
          <w:b/>
          <w:bCs/>
          <w:color w:val="000000" w:themeColor="text1"/>
          <w:sz w:val="20"/>
          <w:szCs w:val="20"/>
        </w:rPr>
      </w:pPr>
      <w:r w:rsidRPr="0024525A">
        <w:rPr>
          <w:rFonts w:ascii="Book Antiqua" w:hAnsi="Book Antiqua"/>
          <w:b/>
          <w:bCs/>
          <w:color w:val="000000" w:themeColor="text1"/>
          <w:sz w:val="20"/>
          <w:szCs w:val="20"/>
        </w:rPr>
        <w:t xml:space="preserve">P-Reviewer: </w:t>
      </w:r>
      <w:r w:rsidRPr="0024525A">
        <w:rPr>
          <w:rFonts w:ascii="Book Antiqua" w:hAnsi="Book Antiqua"/>
          <w:bCs/>
          <w:color w:val="000000" w:themeColor="text1"/>
          <w:sz w:val="20"/>
          <w:szCs w:val="20"/>
        </w:rPr>
        <w:t>Barreto SG, Chiu CC, Triantafyllou K</w:t>
      </w:r>
      <w:r w:rsidRPr="0024525A">
        <w:rPr>
          <w:rFonts w:ascii="Book Antiqua" w:hAnsi="Book Antiqua"/>
          <w:b/>
          <w:bCs/>
          <w:color w:val="000000" w:themeColor="text1"/>
          <w:sz w:val="20"/>
          <w:szCs w:val="20"/>
        </w:rPr>
        <w:t xml:space="preserve"> S-Editor:</w:t>
      </w:r>
      <w:r w:rsidRPr="0024525A">
        <w:rPr>
          <w:rFonts w:ascii="Book Antiqua" w:hAnsi="Book Antiqua"/>
          <w:color w:val="000000" w:themeColor="text1"/>
          <w:sz w:val="20"/>
          <w:szCs w:val="20"/>
        </w:rPr>
        <w:t xml:space="preserve"> </w:t>
      </w:r>
      <w:r w:rsidRPr="0024525A">
        <w:rPr>
          <w:rFonts w:ascii="Book Antiqua" w:eastAsia="宋体" w:hAnsi="Book Antiqua"/>
          <w:color w:val="000000" w:themeColor="text1"/>
          <w:sz w:val="20"/>
          <w:szCs w:val="20"/>
        </w:rPr>
        <w:t>Zhang L</w:t>
      </w:r>
      <w:r w:rsidRPr="0024525A">
        <w:rPr>
          <w:rFonts w:ascii="Book Antiqua" w:hAnsi="Book Antiqua"/>
          <w:color w:val="000000" w:themeColor="text1"/>
          <w:sz w:val="20"/>
          <w:szCs w:val="20"/>
        </w:rPr>
        <w:t xml:space="preserve"> </w:t>
      </w:r>
      <w:r w:rsidRPr="0024525A">
        <w:rPr>
          <w:rFonts w:ascii="Book Antiqua" w:hAnsi="Book Antiqua"/>
          <w:b/>
          <w:bCs/>
          <w:color w:val="000000" w:themeColor="text1"/>
          <w:sz w:val="20"/>
          <w:szCs w:val="20"/>
        </w:rPr>
        <w:t>L-Editor:</w:t>
      </w:r>
      <w:r w:rsidRPr="0024525A">
        <w:rPr>
          <w:rFonts w:ascii="Book Antiqua" w:hAnsi="Book Antiqua"/>
          <w:color w:val="000000" w:themeColor="text1"/>
          <w:sz w:val="20"/>
          <w:szCs w:val="20"/>
        </w:rPr>
        <w:t xml:space="preserve"> </w:t>
      </w:r>
      <w:r w:rsidR="00582CA1" w:rsidRPr="0024525A">
        <w:rPr>
          <w:rFonts w:ascii="Book Antiqua" w:hAnsi="Book Antiqua"/>
          <w:color w:val="000000" w:themeColor="text1"/>
          <w:sz w:val="20"/>
          <w:szCs w:val="20"/>
        </w:rPr>
        <w:t xml:space="preserve">Filipodia </w:t>
      </w:r>
      <w:r w:rsidRPr="0024525A">
        <w:rPr>
          <w:rFonts w:ascii="Book Antiqua" w:hAnsi="Book Antiqua"/>
          <w:b/>
          <w:bCs/>
          <w:color w:val="000000" w:themeColor="text1"/>
          <w:sz w:val="20"/>
          <w:szCs w:val="20"/>
        </w:rPr>
        <w:t>E-Editor:</w:t>
      </w:r>
    </w:p>
    <w:p w14:paraId="2055F860" w14:textId="2A6E6A0B" w:rsidR="006D39EB" w:rsidRPr="0024525A" w:rsidRDefault="006D39EB" w:rsidP="0024525A">
      <w:pPr>
        <w:adjustRightInd w:val="0"/>
        <w:snapToGrid w:val="0"/>
        <w:spacing w:line="360" w:lineRule="auto"/>
        <w:rPr>
          <w:rFonts w:ascii="Book Antiqua" w:eastAsia="宋体" w:hAnsi="Book Antiqua" w:cs="Times New Roman"/>
          <w:color w:val="000000" w:themeColor="text1"/>
          <w:sz w:val="20"/>
          <w:szCs w:val="20"/>
        </w:rPr>
      </w:pPr>
    </w:p>
    <w:p w14:paraId="68E6F7A5" w14:textId="436B1C5A" w:rsidR="008D7834" w:rsidRPr="0024525A" w:rsidRDefault="008D7834" w:rsidP="0024525A">
      <w:pPr>
        <w:adjustRightInd w:val="0"/>
        <w:snapToGrid w:val="0"/>
        <w:spacing w:line="360" w:lineRule="auto"/>
        <w:rPr>
          <w:rFonts w:ascii="Book Antiqua" w:eastAsia="宋体" w:hAnsi="Book Antiqua"/>
          <w:b/>
          <w:sz w:val="20"/>
          <w:szCs w:val="20"/>
        </w:rPr>
      </w:pPr>
      <w:r w:rsidRPr="0024525A">
        <w:rPr>
          <w:rFonts w:ascii="Book Antiqua" w:eastAsia="宋体" w:hAnsi="Book Antiqua"/>
          <w:b/>
          <w:sz w:val="20"/>
          <w:szCs w:val="20"/>
        </w:rPr>
        <w:br w:type="page"/>
      </w:r>
    </w:p>
    <w:p w14:paraId="7F2B8B73" w14:textId="77777777" w:rsidR="006D39EB" w:rsidRPr="0024525A" w:rsidRDefault="006D39EB" w:rsidP="0024525A">
      <w:pPr>
        <w:adjustRightInd w:val="0"/>
        <w:snapToGrid w:val="0"/>
        <w:spacing w:line="360" w:lineRule="auto"/>
        <w:rPr>
          <w:rFonts w:ascii="Book Antiqua" w:eastAsia="宋体" w:hAnsi="Book Antiqua"/>
          <w:b/>
          <w:sz w:val="20"/>
          <w:szCs w:val="20"/>
        </w:rPr>
      </w:pPr>
    </w:p>
    <w:p w14:paraId="1D262D87" w14:textId="77777777" w:rsidR="006D39EB" w:rsidRPr="0024525A" w:rsidRDefault="006D39EB" w:rsidP="0024525A">
      <w:pPr>
        <w:adjustRightInd w:val="0"/>
        <w:snapToGrid w:val="0"/>
        <w:spacing w:line="360" w:lineRule="auto"/>
        <w:rPr>
          <w:rFonts w:ascii="Book Antiqua" w:eastAsia="宋体" w:hAnsi="Book Antiqua"/>
          <w:b/>
          <w:sz w:val="20"/>
          <w:szCs w:val="20"/>
        </w:rPr>
      </w:pPr>
      <w:r w:rsidRPr="0024525A">
        <w:rPr>
          <w:rFonts w:ascii="Book Antiqua" w:hAnsi="Book Antiqua"/>
          <w:b/>
          <w:sz w:val="20"/>
          <w:szCs w:val="20"/>
        </w:rPr>
        <w:t>Figure Legends</w:t>
      </w:r>
    </w:p>
    <w:p w14:paraId="0BA19DAA" w14:textId="3891EBEB" w:rsidR="00F666F9"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noProof/>
          <w:sz w:val="20"/>
          <w:szCs w:val="20"/>
          <w:lang w:eastAsia="en-US"/>
        </w:rPr>
        <w:drawing>
          <wp:inline distT="0" distB="0" distL="0" distR="0" wp14:anchorId="511464AC" wp14:editId="402815F5">
            <wp:extent cx="5274310" cy="37236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tif"/>
                    <pic:cNvPicPr/>
                  </pic:nvPicPr>
                  <pic:blipFill>
                    <a:blip r:embed="rId8">
                      <a:extLst>
                        <a:ext uri="{28A0092B-C50C-407E-A947-70E740481C1C}">
                          <a14:useLocalDpi xmlns:a14="http://schemas.microsoft.com/office/drawing/2010/main" val="0"/>
                        </a:ext>
                      </a:extLst>
                    </a:blip>
                    <a:stretch>
                      <a:fillRect/>
                    </a:stretch>
                  </pic:blipFill>
                  <pic:spPr>
                    <a:xfrm>
                      <a:off x="0" y="0"/>
                      <a:ext cx="5274310" cy="3723640"/>
                    </a:xfrm>
                    <a:prstGeom prst="rect">
                      <a:avLst/>
                    </a:prstGeom>
                  </pic:spPr>
                </pic:pic>
              </a:graphicData>
            </a:graphic>
          </wp:inline>
        </w:drawing>
      </w:r>
    </w:p>
    <w:p w14:paraId="32F991B3" w14:textId="57166F91" w:rsidR="00F666F9"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Figure 1 Forest plot of the association between proton pump inhibitor use and hepatic encephalopathy.</w:t>
      </w:r>
    </w:p>
    <w:p w14:paraId="41668425" w14:textId="12C2F9CD" w:rsidR="00F666F9" w:rsidRPr="0024525A" w:rsidRDefault="00F666F9" w:rsidP="0024525A">
      <w:pPr>
        <w:widowControl/>
        <w:snapToGrid w:val="0"/>
        <w:spacing w:line="360" w:lineRule="auto"/>
        <w:jc w:val="left"/>
        <w:rPr>
          <w:rFonts w:ascii="Book Antiqua" w:hAnsi="Book Antiqua" w:cs="Times New Roman"/>
          <w:b/>
          <w:sz w:val="20"/>
          <w:szCs w:val="20"/>
        </w:rPr>
      </w:pPr>
      <w:r w:rsidRPr="0024525A">
        <w:rPr>
          <w:rFonts w:ascii="Book Antiqua" w:hAnsi="Book Antiqua" w:cs="Times New Roman"/>
          <w:b/>
          <w:sz w:val="20"/>
          <w:szCs w:val="20"/>
        </w:rPr>
        <w:br w:type="page"/>
      </w:r>
    </w:p>
    <w:p w14:paraId="5CF5E511" w14:textId="37EAA434" w:rsidR="006D39EB"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noProof/>
          <w:sz w:val="20"/>
          <w:szCs w:val="20"/>
          <w:lang w:eastAsia="en-US"/>
        </w:rPr>
        <w:lastRenderedPageBreak/>
        <w:drawing>
          <wp:inline distT="0" distB="0" distL="0" distR="0" wp14:anchorId="4066B380" wp14:editId="5F64C51C">
            <wp:extent cx="5274310" cy="3560445"/>
            <wp:effectExtent l="0" t="0" r="254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2.tif"/>
                    <pic:cNvPicPr/>
                  </pic:nvPicPr>
                  <pic:blipFill>
                    <a:blip r:embed="rId9">
                      <a:extLst>
                        <a:ext uri="{28A0092B-C50C-407E-A947-70E740481C1C}">
                          <a14:useLocalDpi xmlns:a14="http://schemas.microsoft.com/office/drawing/2010/main" val="0"/>
                        </a:ext>
                      </a:extLst>
                    </a:blip>
                    <a:stretch>
                      <a:fillRect/>
                    </a:stretch>
                  </pic:blipFill>
                  <pic:spPr>
                    <a:xfrm>
                      <a:off x="0" y="0"/>
                      <a:ext cx="5274310" cy="3560445"/>
                    </a:xfrm>
                    <a:prstGeom prst="rect">
                      <a:avLst/>
                    </a:prstGeom>
                  </pic:spPr>
                </pic:pic>
              </a:graphicData>
            </a:graphic>
          </wp:inline>
        </w:drawing>
      </w:r>
    </w:p>
    <w:p w14:paraId="3FAA4159" w14:textId="1296769C" w:rsidR="00F666F9" w:rsidRPr="0024525A" w:rsidRDefault="00F666F9" w:rsidP="0024525A">
      <w:pPr>
        <w:adjustRightInd w:val="0"/>
        <w:snapToGrid w:val="0"/>
        <w:spacing w:line="360" w:lineRule="auto"/>
        <w:rPr>
          <w:rFonts w:ascii="Book Antiqua" w:hAnsi="Book Antiqua" w:cs="Times New Roman"/>
          <w:b/>
          <w:sz w:val="20"/>
          <w:szCs w:val="20"/>
        </w:rPr>
      </w:pPr>
      <w:r w:rsidRPr="0024525A">
        <w:rPr>
          <w:rFonts w:ascii="Book Antiqua" w:hAnsi="Book Antiqua" w:cs="Times New Roman"/>
          <w:b/>
          <w:sz w:val="20"/>
          <w:szCs w:val="20"/>
        </w:rPr>
        <w:t>Figure 2 Forest plot of proton pump inhibitor use and</w:t>
      </w:r>
      <w:r w:rsidR="00284F07" w:rsidRPr="0024525A">
        <w:rPr>
          <w:rFonts w:ascii="Book Antiqua" w:hAnsi="Book Antiqua" w:cs="Times New Roman"/>
          <w:b/>
          <w:sz w:val="20"/>
          <w:szCs w:val="20"/>
        </w:rPr>
        <w:t xml:space="preserve"> risk of</w:t>
      </w:r>
      <w:r w:rsidRPr="0024525A">
        <w:rPr>
          <w:rFonts w:ascii="Book Antiqua" w:hAnsi="Book Antiqua" w:cs="Times New Roman"/>
          <w:b/>
          <w:sz w:val="20"/>
          <w:szCs w:val="20"/>
        </w:rPr>
        <w:t xml:space="preserve"> hepatic encephalopathy.</w:t>
      </w:r>
    </w:p>
    <w:sectPr w:rsidR="00F666F9" w:rsidRPr="0024525A" w:rsidSect="0024525A">
      <w:footerReference w:type="even" r:id="rId10"/>
      <w:footerReference w:type="default" r:id="rId11"/>
      <w:pgSz w:w="11906" w:h="16838"/>
      <w:pgMar w:top="1440" w:right="1440" w:bottom="1440" w:left="1440" w:header="850" w:footer="99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FF9D5" w14:textId="77777777" w:rsidR="00C30898" w:rsidRDefault="00C30898" w:rsidP="00D930BB">
      <w:r>
        <w:separator/>
      </w:r>
    </w:p>
  </w:endnote>
  <w:endnote w:type="continuationSeparator" w:id="0">
    <w:p w14:paraId="636D25DF" w14:textId="77777777" w:rsidR="00C30898" w:rsidRDefault="00C30898" w:rsidP="00D93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83" w:usb1="00000000" w:usb2="00000000" w:usb3="00000000" w:csb0="00000009"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dvAGaramond-R">
    <w:altName w:val="Arial Unicode MS"/>
    <w:panose1 w:val="020B0604020202020204"/>
    <w:charset w:val="81"/>
    <w:family w:val="auto"/>
    <w:notTrueType/>
    <w:pitch w:val="default"/>
    <w:sig w:usb0="00000001" w:usb1="09060000" w:usb2="00000010" w:usb3="00000000" w:csb0="00080000" w:csb1="00000000"/>
  </w:font>
  <w:font w:name="Microsoft YaHei UI">
    <w:panose1 w:val="020B0503020204020204"/>
    <w:charset w:val="86"/>
    <w:family w:val="swiss"/>
    <w:pitch w:val="variable"/>
    <w:sig w:usb0="80000287" w:usb1="2ACF3C50" w:usb2="00000016" w:usb3="00000000" w:csb0="0004001F" w:csb1="00000000"/>
  </w:font>
  <w:font w:name="ヒラギノ角ゴ Pro W3">
    <w:panose1 w:val="020B0300000000000000"/>
    <w:charset w:val="4E"/>
    <w:family w:val="auto"/>
    <w:pitch w:val="variable"/>
    <w:sig w:usb0="E00002FF" w:usb1="7AC7FFFF" w:usb2="00000012" w:usb3="00000000" w:csb0="0002000D" w:csb1="00000000"/>
  </w:font>
  <w:font w:name="微软雅黑">
    <w:panose1 w:val="020B0503020204020204"/>
    <w:charset w:val="86"/>
    <w:family w:val="swiss"/>
    <w:pitch w:val="variable"/>
    <w:sig w:usb0="80000287" w:usb1="28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1CDB6" w14:textId="77777777" w:rsidR="00D930BB" w:rsidRDefault="00D930BB" w:rsidP="0020564E">
    <w:pPr>
      <w:pStyle w:val="a7"/>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21E52F9" w14:textId="77777777" w:rsidR="00D930BB" w:rsidRDefault="00D930B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1170C" w14:textId="77777777" w:rsidR="00D930BB" w:rsidRPr="00720879" w:rsidRDefault="00D930BB" w:rsidP="0020564E">
    <w:pPr>
      <w:pStyle w:val="a7"/>
      <w:framePr w:wrap="around" w:vAnchor="text" w:hAnchor="margin" w:xAlign="center" w:y="1"/>
      <w:rPr>
        <w:rStyle w:val="ac"/>
        <w:rFonts w:ascii="Book Antiqua" w:hAnsi="Book Antiqua"/>
        <w:sz w:val="20"/>
        <w:szCs w:val="20"/>
      </w:rPr>
    </w:pPr>
    <w:r w:rsidRPr="00720879">
      <w:rPr>
        <w:rStyle w:val="ac"/>
        <w:rFonts w:ascii="Book Antiqua" w:hAnsi="Book Antiqua"/>
        <w:sz w:val="20"/>
        <w:szCs w:val="20"/>
      </w:rPr>
      <w:fldChar w:fldCharType="begin"/>
    </w:r>
    <w:r w:rsidRPr="00720879">
      <w:rPr>
        <w:rStyle w:val="ac"/>
        <w:rFonts w:ascii="Book Antiqua" w:hAnsi="Book Antiqua"/>
        <w:sz w:val="20"/>
        <w:szCs w:val="20"/>
      </w:rPr>
      <w:instrText xml:space="preserve">PAGE  </w:instrText>
    </w:r>
    <w:r w:rsidRPr="00720879">
      <w:rPr>
        <w:rStyle w:val="ac"/>
        <w:rFonts w:ascii="Book Antiqua" w:hAnsi="Book Antiqua"/>
        <w:sz w:val="20"/>
        <w:szCs w:val="20"/>
      </w:rPr>
      <w:fldChar w:fldCharType="separate"/>
    </w:r>
    <w:r w:rsidR="00284F07" w:rsidRPr="00720879">
      <w:rPr>
        <w:rStyle w:val="ac"/>
        <w:rFonts w:ascii="Book Antiqua" w:hAnsi="Book Antiqua"/>
        <w:noProof/>
        <w:sz w:val="20"/>
        <w:szCs w:val="20"/>
      </w:rPr>
      <w:t>8</w:t>
    </w:r>
    <w:r w:rsidRPr="00720879">
      <w:rPr>
        <w:rStyle w:val="ac"/>
        <w:rFonts w:ascii="Book Antiqua" w:hAnsi="Book Antiqua"/>
        <w:sz w:val="20"/>
        <w:szCs w:val="20"/>
      </w:rPr>
      <w:fldChar w:fldCharType="end"/>
    </w:r>
  </w:p>
  <w:p w14:paraId="5D2672DB" w14:textId="77777777" w:rsidR="00D930BB" w:rsidRDefault="00D930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9E8E4" w14:textId="77777777" w:rsidR="00C30898" w:rsidRDefault="00C30898" w:rsidP="00D930BB">
      <w:r>
        <w:separator/>
      </w:r>
    </w:p>
  </w:footnote>
  <w:footnote w:type="continuationSeparator" w:id="0">
    <w:p w14:paraId="1713C966" w14:textId="77777777" w:rsidR="00C30898" w:rsidRDefault="00C30898" w:rsidP="00D93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Nurse Specialist&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90vz2e5srxrw4ewwazvafd4efs0pfzrzspt&quot;&gt;My EndNote Library强大大大&lt;record-ids&gt;&lt;item&gt;37008&lt;/item&gt;&lt;item&gt;37009&lt;/item&gt;&lt;item&gt;37010&lt;/item&gt;&lt;/record-ids&gt;&lt;/item&gt;&lt;/Libraries&gt;"/>
  </w:docVars>
  <w:rsids>
    <w:rsidRoot w:val="00F56A1F"/>
    <w:rsid w:val="00000A3D"/>
    <w:rsid w:val="00007DDD"/>
    <w:rsid w:val="00010C27"/>
    <w:rsid w:val="00022D35"/>
    <w:rsid w:val="00031547"/>
    <w:rsid w:val="000329B1"/>
    <w:rsid w:val="0005091F"/>
    <w:rsid w:val="00054B8A"/>
    <w:rsid w:val="0006707A"/>
    <w:rsid w:val="0008544E"/>
    <w:rsid w:val="000A02FC"/>
    <w:rsid w:val="000A1371"/>
    <w:rsid w:val="000A3E68"/>
    <w:rsid w:val="000B06C3"/>
    <w:rsid w:val="000B0FDF"/>
    <w:rsid w:val="000B37D2"/>
    <w:rsid w:val="000C04AE"/>
    <w:rsid w:val="000C3F66"/>
    <w:rsid w:val="000C4345"/>
    <w:rsid w:val="000F5AF6"/>
    <w:rsid w:val="00100F4A"/>
    <w:rsid w:val="00112006"/>
    <w:rsid w:val="00135059"/>
    <w:rsid w:val="00145203"/>
    <w:rsid w:val="0018590F"/>
    <w:rsid w:val="00185E77"/>
    <w:rsid w:val="001A117C"/>
    <w:rsid w:val="001A2253"/>
    <w:rsid w:val="001A2AD5"/>
    <w:rsid w:val="001B2223"/>
    <w:rsid w:val="001B57BE"/>
    <w:rsid w:val="001C265C"/>
    <w:rsid w:val="001E3686"/>
    <w:rsid w:val="001F36D7"/>
    <w:rsid w:val="00213540"/>
    <w:rsid w:val="00233491"/>
    <w:rsid w:val="00236A66"/>
    <w:rsid w:val="0024525A"/>
    <w:rsid w:val="00250C74"/>
    <w:rsid w:val="0026374B"/>
    <w:rsid w:val="0026402D"/>
    <w:rsid w:val="0027720F"/>
    <w:rsid w:val="00282F5C"/>
    <w:rsid w:val="00284F07"/>
    <w:rsid w:val="00285338"/>
    <w:rsid w:val="002869A1"/>
    <w:rsid w:val="002A5E75"/>
    <w:rsid w:val="002D0D7D"/>
    <w:rsid w:val="002D4446"/>
    <w:rsid w:val="002E0483"/>
    <w:rsid w:val="002E5C09"/>
    <w:rsid w:val="002F0998"/>
    <w:rsid w:val="00300F22"/>
    <w:rsid w:val="00315E91"/>
    <w:rsid w:val="003303A0"/>
    <w:rsid w:val="00336361"/>
    <w:rsid w:val="00341F56"/>
    <w:rsid w:val="00374403"/>
    <w:rsid w:val="00390671"/>
    <w:rsid w:val="003A203D"/>
    <w:rsid w:val="003A3177"/>
    <w:rsid w:val="003A60B7"/>
    <w:rsid w:val="003B23DA"/>
    <w:rsid w:val="003B394A"/>
    <w:rsid w:val="003C215E"/>
    <w:rsid w:val="003C563D"/>
    <w:rsid w:val="003D1ED6"/>
    <w:rsid w:val="00402054"/>
    <w:rsid w:val="00403673"/>
    <w:rsid w:val="00416714"/>
    <w:rsid w:val="0044122B"/>
    <w:rsid w:val="00441A8B"/>
    <w:rsid w:val="004429AF"/>
    <w:rsid w:val="00442B6C"/>
    <w:rsid w:val="00442B77"/>
    <w:rsid w:val="00444851"/>
    <w:rsid w:val="0044754C"/>
    <w:rsid w:val="00464A7A"/>
    <w:rsid w:val="004819D2"/>
    <w:rsid w:val="00491A2E"/>
    <w:rsid w:val="004A6175"/>
    <w:rsid w:val="004C1E9D"/>
    <w:rsid w:val="004F6C2B"/>
    <w:rsid w:val="005224E6"/>
    <w:rsid w:val="0054475A"/>
    <w:rsid w:val="00555780"/>
    <w:rsid w:val="005763BA"/>
    <w:rsid w:val="00581574"/>
    <w:rsid w:val="00582CA1"/>
    <w:rsid w:val="00585A64"/>
    <w:rsid w:val="00590E8B"/>
    <w:rsid w:val="00596235"/>
    <w:rsid w:val="005A0C19"/>
    <w:rsid w:val="005B14F6"/>
    <w:rsid w:val="005C1394"/>
    <w:rsid w:val="005C4A0B"/>
    <w:rsid w:val="00606E66"/>
    <w:rsid w:val="00610980"/>
    <w:rsid w:val="00643F70"/>
    <w:rsid w:val="006473A4"/>
    <w:rsid w:val="00692F85"/>
    <w:rsid w:val="006A6FCE"/>
    <w:rsid w:val="006A7073"/>
    <w:rsid w:val="006B385C"/>
    <w:rsid w:val="006C1570"/>
    <w:rsid w:val="006D39EB"/>
    <w:rsid w:val="006E6A32"/>
    <w:rsid w:val="00706C7A"/>
    <w:rsid w:val="00711F14"/>
    <w:rsid w:val="00715797"/>
    <w:rsid w:val="00720879"/>
    <w:rsid w:val="00742342"/>
    <w:rsid w:val="00743100"/>
    <w:rsid w:val="00752E74"/>
    <w:rsid w:val="007551EE"/>
    <w:rsid w:val="00766DC8"/>
    <w:rsid w:val="00776655"/>
    <w:rsid w:val="0079650E"/>
    <w:rsid w:val="007A0EA9"/>
    <w:rsid w:val="007A4FD3"/>
    <w:rsid w:val="007B61D8"/>
    <w:rsid w:val="007D4154"/>
    <w:rsid w:val="00800DF7"/>
    <w:rsid w:val="0080364E"/>
    <w:rsid w:val="008148C5"/>
    <w:rsid w:val="00814B32"/>
    <w:rsid w:val="008252F4"/>
    <w:rsid w:val="008645A1"/>
    <w:rsid w:val="008666D8"/>
    <w:rsid w:val="00877DB9"/>
    <w:rsid w:val="00882E85"/>
    <w:rsid w:val="0088787A"/>
    <w:rsid w:val="008C349B"/>
    <w:rsid w:val="008D7834"/>
    <w:rsid w:val="008E7157"/>
    <w:rsid w:val="008E797D"/>
    <w:rsid w:val="00916016"/>
    <w:rsid w:val="009249E7"/>
    <w:rsid w:val="0092786C"/>
    <w:rsid w:val="00935639"/>
    <w:rsid w:val="009400CC"/>
    <w:rsid w:val="009648E6"/>
    <w:rsid w:val="009E648F"/>
    <w:rsid w:val="009F1A27"/>
    <w:rsid w:val="009F286B"/>
    <w:rsid w:val="00A11359"/>
    <w:rsid w:val="00A13A3A"/>
    <w:rsid w:val="00A47390"/>
    <w:rsid w:val="00A57732"/>
    <w:rsid w:val="00A65C23"/>
    <w:rsid w:val="00A85924"/>
    <w:rsid w:val="00A93966"/>
    <w:rsid w:val="00A966B5"/>
    <w:rsid w:val="00AB3ED5"/>
    <w:rsid w:val="00AB683E"/>
    <w:rsid w:val="00AC165E"/>
    <w:rsid w:val="00AC205B"/>
    <w:rsid w:val="00AE61D7"/>
    <w:rsid w:val="00B26F88"/>
    <w:rsid w:val="00B2796A"/>
    <w:rsid w:val="00B456FF"/>
    <w:rsid w:val="00B6505C"/>
    <w:rsid w:val="00B65852"/>
    <w:rsid w:val="00B8675D"/>
    <w:rsid w:val="00B90BAC"/>
    <w:rsid w:val="00BA1CEA"/>
    <w:rsid w:val="00BA4298"/>
    <w:rsid w:val="00BB55E4"/>
    <w:rsid w:val="00BC5F98"/>
    <w:rsid w:val="00BE45AF"/>
    <w:rsid w:val="00BF6F6A"/>
    <w:rsid w:val="00BF7C19"/>
    <w:rsid w:val="00C0118A"/>
    <w:rsid w:val="00C13191"/>
    <w:rsid w:val="00C30898"/>
    <w:rsid w:val="00C33653"/>
    <w:rsid w:val="00C35E70"/>
    <w:rsid w:val="00C87513"/>
    <w:rsid w:val="00C95BAA"/>
    <w:rsid w:val="00CC7157"/>
    <w:rsid w:val="00CD4D2E"/>
    <w:rsid w:val="00CD7BB9"/>
    <w:rsid w:val="00CF7437"/>
    <w:rsid w:val="00D200F4"/>
    <w:rsid w:val="00D22052"/>
    <w:rsid w:val="00D27377"/>
    <w:rsid w:val="00D30E95"/>
    <w:rsid w:val="00D3174F"/>
    <w:rsid w:val="00D34CAE"/>
    <w:rsid w:val="00D4334A"/>
    <w:rsid w:val="00D566CD"/>
    <w:rsid w:val="00D6256D"/>
    <w:rsid w:val="00D6612D"/>
    <w:rsid w:val="00D7499F"/>
    <w:rsid w:val="00D819EB"/>
    <w:rsid w:val="00D87A15"/>
    <w:rsid w:val="00D9186B"/>
    <w:rsid w:val="00D930BB"/>
    <w:rsid w:val="00D94672"/>
    <w:rsid w:val="00D94673"/>
    <w:rsid w:val="00D97784"/>
    <w:rsid w:val="00DE24CB"/>
    <w:rsid w:val="00E44A1F"/>
    <w:rsid w:val="00E472CC"/>
    <w:rsid w:val="00E81620"/>
    <w:rsid w:val="00E95DB5"/>
    <w:rsid w:val="00EB54B8"/>
    <w:rsid w:val="00EC27C9"/>
    <w:rsid w:val="00ED1312"/>
    <w:rsid w:val="00F31502"/>
    <w:rsid w:val="00F52FE0"/>
    <w:rsid w:val="00F56A1F"/>
    <w:rsid w:val="00F64669"/>
    <w:rsid w:val="00F666F9"/>
    <w:rsid w:val="00F70556"/>
    <w:rsid w:val="00F713B4"/>
    <w:rsid w:val="00FA11DE"/>
    <w:rsid w:val="00FA5D03"/>
    <w:rsid w:val="00FC31BE"/>
    <w:rsid w:val="00FC3855"/>
    <w:rsid w:val="00FE5E17"/>
    <w:rsid w:val="00FF4F34"/>
    <w:rsid w:val="1F00191C"/>
    <w:rsid w:val="42751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80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rPr>
      <w:rFonts w:ascii="Calibri" w:eastAsia="宋体" w:hAnsi="Calibri" w:cs="Times New Roman"/>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character" w:styleId="ab">
    <w:name w:val="Hyperlink"/>
    <w:basedOn w:val="a0"/>
    <w:uiPriority w:val="99"/>
    <w:unhideWhenUsed/>
    <w:qFormat/>
    <w:rPr>
      <w:color w:val="0000FF" w:themeColor="hyperlink"/>
      <w:u w:val="single"/>
    </w:rPr>
  </w:style>
  <w:style w:type="character" w:customStyle="1" w:styleId="fontstyle01">
    <w:name w:val="fontstyle01"/>
    <w:basedOn w:val="a0"/>
    <w:qFormat/>
    <w:rPr>
      <w:rFonts w:ascii="TimesNewRomanPSMT" w:hAnsi="TimesNewRomanPSMT" w:hint="default"/>
      <w:color w:val="000000"/>
      <w:sz w:val="24"/>
      <w:szCs w:val="24"/>
    </w:rPr>
  </w:style>
  <w:style w:type="character" w:customStyle="1" w:styleId="fontstyle21">
    <w:name w:val="fontstyle21"/>
    <w:basedOn w:val="a0"/>
    <w:rPr>
      <w:rFonts w:ascii="TimesNewRomanPSMT" w:hAnsi="TimesNewRomanPSMT" w:hint="default"/>
      <w:color w:val="000000"/>
      <w:sz w:val="24"/>
      <w:szCs w:val="24"/>
    </w:rPr>
  </w:style>
  <w:style w:type="paragraph" w:customStyle="1" w:styleId="EndNoteBibliographyTitle">
    <w:name w:val="EndNote Bibliography Title"/>
    <w:basedOn w:val="a"/>
    <w:link w:val="EndNoteBibliographyTitleChar"/>
    <w:pPr>
      <w:jc w:val="center"/>
    </w:pPr>
    <w:rPr>
      <w:rFonts w:ascii="Calibri" w:hAnsi="Calibri"/>
      <w:sz w:val="20"/>
    </w:rPr>
  </w:style>
  <w:style w:type="character" w:customStyle="1" w:styleId="EndNoteBibliographyTitleChar">
    <w:name w:val="EndNote Bibliography Title Char"/>
    <w:basedOn w:val="a0"/>
    <w:link w:val="EndNoteBibliographyTitle"/>
    <w:rPr>
      <w:rFonts w:ascii="Calibri" w:hAnsi="Calibri"/>
      <w:sz w:val="20"/>
    </w:rPr>
  </w:style>
  <w:style w:type="paragraph" w:customStyle="1" w:styleId="EndNoteBibliography">
    <w:name w:val="EndNote Bibliography"/>
    <w:basedOn w:val="a"/>
    <w:link w:val="EndNoteBibliographyChar"/>
    <w:qFormat/>
    <w:rPr>
      <w:rFonts w:ascii="Calibri" w:hAnsi="Calibri"/>
      <w:sz w:val="20"/>
    </w:rPr>
  </w:style>
  <w:style w:type="character" w:customStyle="1" w:styleId="EndNoteBibliographyChar">
    <w:name w:val="EndNote Bibliography Char"/>
    <w:basedOn w:val="a0"/>
    <w:link w:val="EndNoteBibliography"/>
    <w:qFormat/>
    <w:rPr>
      <w:rFonts w:ascii="Calibri" w:hAnsi="Calibri"/>
      <w:sz w:val="20"/>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rPr>
      <w:rFonts w:ascii="Calibri" w:eastAsia="宋体" w:hAnsi="Calibri" w:cs="Times New Roman"/>
    </w:rPr>
  </w:style>
  <w:style w:type="character" w:customStyle="1" w:styleId="apple-converted-space">
    <w:name w:val="apple-converted-space"/>
    <w:basedOn w:val="a0"/>
    <w:qFormat/>
    <w:rPr>
      <w:rFonts w:cs="Times New Roman"/>
    </w:rPr>
  </w:style>
  <w:style w:type="character" w:styleId="ac">
    <w:name w:val="page number"/>
    <w:basedOn w:val="a0"/>
    <w:uiPriority w:val="99"/>
    <w:semiHidden/>
    <w:unhideWhenUsed/>
    <w:rsid w:val="00D9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83197">
      <w:bodyDiv w:val="1"/>
      <w:marLeft w:val="0"/>
      <w:marRight w:val="0"/>
      <w:marTop w:val="0"/>
      <w:marBottom w:val="0"/>
      <w:divBdr>
        <w:top w:val="none" w:sz="0" w:space="0" w:color="auto"/>
        <w:left w:val="none" w:sz="0" w:space="0" w:color="auto"/>
        <w:bottom w:val="none" w:sz="0" w:space="0" w:color="auto"/>
        <w:right w:val="none" w:sz="0" w:space="0" w:color="auto"/>
      </w:divBdr>
    </w:div>
    <w:div w:id="364983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67DA66-93E3-604E-8A6B-71AFD3A2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1302</Words>
  <Characters>7424</Characters>
  <Application>Microsoft Office Word</Application>
  <DocSecurity>0</DocSecurity>
  <Lines>61</Lines>
  <Paragraphs>17</Paragraphs>
  <ScaleCrop>false</ScaleCrop>
  <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2020-02-08T00:58:00Z</dcterms:created>
  <dcterms:modified xsi:type="dcterms:W3CDTF">2020-02-20T07:13:00Z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