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08FCB" w14:textId="60AB85D6" w:rsidR="00AA3A7E" w:rsidRPr="00F448FE" w:rsidRDefault="00AA3A7E" w:rsidP="000D04E0">
      <w:pPr>
        <w:adjustRightInd w:val="0"/>
        <w:snapToGrid w:val="0"/>
        <w:spacing w:line="360" w:lineRule="auto"/>
        <w:jc w:val="both"/>
        <w:rPr>
          <w:rFonts w:ascii="Book Antiqua" w:hAnsi="Book Antiqua"/>
          <w:b/>
          <w:i/>
          <w:lang w:eastAsia="en-US"/>
        </w:rPr>
      </w:pPr>
      <w:bookmarkStart w:id="0" w:name="_GoBack"/>
      <w:r w:rsidRPr="00F448FE">
        <w:rPr>
          <w:rFonts w:ascii="Book Antiqua" w:hAnsi="Book Antiqua"/>
          <w:b/>
          <w:lang w:eastAsia="en-US"/>
        </w:rPr>
        <w:t xml:space="preserve">Name of Journal: </w:t>
      </w:r>
      <w:r w:rsidRPr="00F448FE">
        <w:rPr>
          <w:rFonts w:ascii="Book Antiqua" w:hAnsi="Book Antiqua"/>
          <w:i/>
          <w:lang w:eastAsia="en-US"/>
        </w:rPr>
        <w:t>World Journal of Gastroenterology</w:t>
      </w:r>
    </w:p>
    <w:p w14:paraId="00A94A1F" w14:textId="7E87E978" w:rsidR="00AA3A7E" w:rsidRPr="00F448FE" w:rsidRDefault="00AA3A7E" w:rsidP="000D04E0">
      <w:pPr>
        <w:adjustRightInd w:val="0"/>
        <w:snapToGrid w:val="0"/>
        <w:spacing w:line="360" w:lineRule="auto"/>
        <w:jc w:val="both"/>
        <w:rPr>
          <w:rFonts w:ascii="Book Antiqua" w:hAnsi="Book Antiqua"/>
          <w:b/>
          <w:lang w:eastAsia="en-US"/>
        </w:rPr>
      </w:pPr>
      <w:r w:rsidRPr="00F448FE">
        <w:rPr>
          <w:rFonts w:ascii="Book Antiqua" w:hAnsi="Book Antiqua"/>
          <w:b/>
          <w:lang w:eastAsia="en-US"/>
        </w:rPr>
        <w:t xml:space="preserve">Manuscript NO: </w:t>
      </w:r>
      <w:r w:rsidRPr="00F448FE">
        <w:rPr>
          <w:rFonts w:ascii="Book Antiqua" w:hAnsi="Book Antiqua"/>
          <w:lang w:eastAsia="en-US"/>
        </w:rPr>
        <w:t>53063</w:t>
      </w:r>
    </w:p>
    <w:p w14:paraId="798D45F9" w14:textId="77777777" w:rsidR="00AA3A7E" w:rsidRPr="00F448FE" w:rsidRDefault="00AA3A7E" w:rsidP="000D04E0">
      <w:pPr>
        <w:adjustRightInd w:val="0"/>
        <w:snapToGrid w:val="0"/>
        <w:spacing w:line="360" w:lineRule="auto"/>
        <w:jc w:val="both"/>
        <w:rPr>
          <w:rFonts w:ascii="Book Antiqua" w:hAnsi="Book Antiqua"/>
          <w:b/>
          <w:lang w:eastAsia="en-US"/>
        </w:rPr>
      </w:pPr>
      <w:bookmarkStart w:id="1" w:name="OLE_LINK3"/>
      <w:bookmarkStart w:id="2" w:name="OLE_LINK4"/>
      <w:r w:rsidRPr="00F448FE">
        <w:rPr>
          <w:rFonts w:ascii="Book Antiqua" w:hAnsi="Book Antiqua"/>
          <w:b/>
          <w:shd w:val="clear" w:color="auto" w:fill="FFFFFF"/>
        </w:rPr>
        <w:t>Manuscript Type</w:t>
      </w:r>
      <w:bookmarkEnd w:id="1"/>
      <w:bookmarkEnd w:id="2"/>
      <w:r w:rsidRPr="00F448FE">
        <w:rPr>
          <w:rFonts w:ascii="Book Antiqua" w:hAnsi="Book Antiqua"/>
          <w:b/>
          <w:lang w:eastAsia="en-US"/>
        </w:rPr>
        <w:t xml:space="preserve">: </w:t>
      </w:r>
      <w:r w:rsidRPr="00F448FE">
        <w:rPr>
          <w:rFonts w:ascii="Book Antiqua" w:hAnsi="Book Antiqua"/>
          <w:lang w:eastAsia="en-US"/>
        </w:rPr>
        <w:t>REVIEW</w:t>
      </w:r>
    </w:p>
    <w:p w14:paraId="33945A48" w14:textId="77777777" w:rsidR="00377F72" w:rsidRPr="00F448FE" w:rsidRDefault="00377F72" w:rsidP="000D04E0">
      <w:pPr>
        <w:adjustRightInd w:val="0"/>
        <w:snapToGrid w:val="0"/>
        <w:spacing w:line="360" w:lineRule="auto"/>
        <w:jc w:val="both"/>
        <w:rPr>
          <w:rFonts w:ascii="Book Antiqua" w:hAnsi="Book Antiqua"/>
          <w:b/>
        </w:rPr>
      </w:pPr>
    </w:p>
    <w:p w14:paraId="4BA62E94" w14:textId="0487659B" w:rsidR="00A55DE8" w:rsidRPr="00F448FE" w:rsidRDefault="00E17B83" w:rsidP="000D04E0">
      <w:pPr>
        <w:adjustRightInd w:val="0"/>
        <w:snapToGrid w:val="0"/>
        <w:spacing w:line="360" w:lineRule="auto"/>
        <w:jc w:val="both"/>
        <w:rPr>
          <w:rFonts w:ascii="Book Antiqua" w:hAnsi="Book Antiqua"/>
          <w:b/>
        </w:rPr>
      </w:pPr>
      <w:r w:rsidRPr="00F448FE">
        <w:rPr>
          <w:rFonts w:ascii="Book Antiqua" w:hAnsi="Book Antiqua"/>
          <w:b/>
        </w:rPr>
        <w:t>P</w:t>
      </w:r>
      <w:r w:rsidR="00A55DE8" w:rsidRPr="00F448FE">
        <w:rPr>
          <w:rFonts w:ascii="Book Antiqua" w:hAnsi="Book Antiqua"/>
          <w:b/>
        </w:rPr>
        <w:t>ossible role of intestinal stem cells in the pathophysiology of irritable bowel syndrome</w:t>
      </w:r>
    </w:p>
    <w:p w14:paraId="3EE432DB" w14:textId="77777777" w:rsidR="00212407" w:rsidRPr="00F448FE" w:rsidRDefault="00212407" w:rsidP="000D04E0">
      <w:pPr>
        <w:adjustRightInd w:val="0"/>
        <w:snapToGrid w:val="0"/>
        <w:spacing w:line="360" w:lineRule="auto"/>
        <w:jc w:val="both"/>
        <w:rPr>
          <w:rFonts w:ascii="Book Antiqua" w:hAnsi="Book Antiqua"/>
          <w:b/>
        </w:rPr>
      </w:pPr>
    </w:p>
    <w:p w14:paraId="4155C553" w14:textId="5FE1E1CB" w:rsidR="00A55DE8" w:rsidRPr="00F448FE" w:rsidRDefault="00212407" w:rsidP="000D04E0">
      <w:pPr>
        <w:adjustRightInd w:val="0"/>
        <w:snapToGrid w:val="0"/>
        <w:spacing w:line="360" w:lineRule="auto"/>
        <w:jc w:val="both"/>
        <w:rPr>
          <w:rFonts w:ascii="Book Antiqua" w:hAnsi="Book Antiqua"/>
          <w:bCs/>
        </w:rPr>
      </w:pPr>
      <w:r w:rsidRPr="00F448FE">
        <w:rPr>
          <w:rFonts w:ascii="Book Antiqua" w:hAnsi="Book Antiqua"/>
          <w:lang w:val="nb-NO"/>
        </w:rPr>
        <w:t>El-Salhy M</w:t>
      </w:r>
      <w:r w:rsidR="000A22BB" w:rsidRPr="00F448FE">
        <w:rPr>
          <w:rFonts w:ascii="Book Antiqua" w:eastAsia="宋体" w:hAnsi="Book Antiqua" w:cs="宋体"/>
          <w:lang w:val="nb-NO" w:eastAsia="zh-CN"/>
        </w:rPr>
        <w:t>.</w:t>
      </w:r>
      <w:r w:rsidRPr="00F448FE">
        <w:rPr>
          <w:rFonts w:ascii="Book Antiqua" w:hAnsi="Book Antiqua"/>
          <w:lang w:val="nb-NO"/>
        </w:rPr>
        <w:t xml:space="preserve"> </w:t>
      </w:r>
      <w:r w:rsidRPr="00F448FE">
        <w:rPr>
          <w:rFonts w:ascii="Book Antiqua" w:hAnsi="Book Antiqua"/>
        </w:rPr>
        <w:t>S</w:t>
      </w:r>
      <w:r w:rsidRPr="00F448FE">
        <w:rPr>
          <w:rFonts w:ascii="Book Antiqua" w:hAnsi="Book Antiqua"/>
          <w:b/>
          <w:bCs/>
        </w:rPr>
        <w:t>t</w:t>
      </w:r>
      <w:r w:rsidRPr="00F448FE">
        <w:rPr>
          <w:rFonts w:ascii="Book Antiqua" w:hAnsi="Book Antiqua"/>
          <w:bCs/>
        </w:rPr>
        <w:t>em cells in IBS</w:t>
      </w:r>
    </w:p>
    <w:p w14:paraId="4B1FA157" w14:textId="77777777" w:rsidR="00212407" w:rsidRPr="00F448FE" w:rsidRDefault="00212407" w:rsidP="000D04E0">
      <w:pPr>
        <w:adjustRightInd w:val="0"/>
        <w:snapToGrid w:val="0"/>
        <w:spacing w:line="360" w:lineRule="auto"/>
        <w:jc w:val="both"/>
        <w:rPr>
          <w:rFonts w:ascii="Book Antiqua" w:hAnsi="Book Antiqua"/>
          <w:b/>
        </w:rPr>
      </w:pPr>
    </w:p>
    <w:p w14:paraId="1FAAA687" w14:textId="615E4959" w:rsidR="00212407" w:rsidRPr="00F448FE" w:rsidRDefault="00A55DE8" w:rsidP="000D04E0">
      <w:pPr>
        <w:adjustRightInd w:val="0"/>
        <w:snapToGrid w:val="0"/>
        <w:spacing w:line="360" w:lineRule="auto"/>
        <w:jc w:val="both"/>
        <w:outlineLvl w:val="0"/>
        <w:rPr>
          <w:rFonts w:ascii="Book Antiqua" w:hAnsi="Book Antiqua"/>
        </w:rPr>
      </w:pPr>
      <w:proofErr w:type="spellStart"/>
      <w:r w:rsidRPr="00F448FE">
        <w:rPr>
          <w:rFonts w:ascii="Book Antiqua" w:hAnsi="Book Antiqua"/>
        </w:rPr>
        <w:t>Magdy</w:t>
      </w:r>
      <w:proofErr w:type="spellEnd"/>
      <w:r w:rsidRPr="00F448FE">
        <w:rPr>
          <w:rFonts w:ascii="Book Antiqua" w:hAnsi="Book Antiqua"/>
        </w:rPr>
        <w:t xml:space="preserve"> El-</w:t>
      </w:r>
      <w:proofErr w:type="spellStart"/>
      <w:r w:rsidRPr="00F448FE">
        <w:rPr>
          <w:rFonts w:ascii="Book Antiqua" w:hAnsi="Book Antiqua"/>
        </w:rPr>
        <w:t>Salhy</w:t>
      </w:r>
      <w:proofErr w:type="spellEnd"/>
    </w:p>
    <w:p w14:paraId="7930B94A" w14:textId="77777777" w:rsidR="00212407" w:rsidRPr="00F448FE" w:rsidRDefault="00212407" w:rsidP="000D04E0">
      <w:pPr>
        <w:adjustRightInd w:val="0"/>
        <w:snapToGrid w:val="0"/>
        <w:spacing w:line="360" w:lineRule="auto"/>
        <w:jc w:val="both"/>
        <w:outlineLvl w:val="0"/>
        <w:rPr>
          <w:rFonts w:ascii="Book Antiqua" w:hAnsi="Book Antiqua"/>
          <w:vertAlign w:val="superscript"/>
        </w:rPr>
      </w:pPr>
    </w:p>
    <w:p w14:paraId="5B915B30" w14:textId="16160293" w:rsidR="00212407" w:rsidRPr="00F448FE" w:rsidRDefault="00212407" w:rsidP="000D04E0">
      <w:pPr>
        <w:adjustRightInd w:val="0"/>
        <w:snapToGrid w:val="0"/>
        <w:spacing w:line="360" w:lineRule="auto"/>
        <w:jc w:val="both"/>
        <w:outlineLvl w:val="0"/>
        <w:rPr>
          <w:rFonts w:ascii="Book Antiqua" w:hAnsi="Book Antiqua"/>
        </w:rPr>
      </w:pPr>
      <w:proofErr w:type="spellStart"/>
      <w:r w:rsidRPr="00F448FE">
        <w:rPr>
          <w:rFonts w:ascii="Book Antiqua" w:hAnsi="Book Antiqua"/>
          <w:b/>
          <w:bCs/>
        </w:rPr>
        <w:t>Magdy</w:t>
      </w:r>
      <w:proofErr w:type="spellEnd"/>
      <w:r w:rsidRPr="00F448FE">
        <w:rPr>
          <w:rFonts w:ascii="Book Antiqua" w:hAnsi="Book Antiqua"/>
          <w:b/>
          <w:bCs/>
        </w:rPr>
        <w:t xml:space="preserve"> El-</w:t>
      </w:r>
      <w:proofErr w:type="spellStart"/>
      <w:r w:rsidRPr="00F448FE">
        <w:rPr>
          <w:rFonts w:ascii="Book Antiqua" w:hAnsi="Book Antiqua"/>
          <w:b/>
          <w:bCs/>
        </w:rPr>
        <w:t>Salhy</w:t>
      </w:r>
      <w:proofErr w:type="spellEnd"/>
      <w:r w:rsidRPr="00F448FE">
        <w:rPr>
          <w:rFonts w:ascii="Book Antiqua" w:eastAsia="宋体" w:hAnsi="Book Antiqua" w:cs="宋体"/>
          <w:b/>
          <w:bCs/>
          <w:lang w:eastAsia="zh-CN"/>
        </w:rPr>
        <w:t>,</w:t>
      </w:r>
      <w:r w:rsidRPr="00F448FE">
        <w:rPr>
          <w:rFonts w:ascii="Book Antiqua" w:eastAsia="宋体" w:hAnsi="Book Antiqua" w:cs="宋体"/>
          <w:lang w:eastAsia="zh-CN"/>
        </w:rPr>
        <w:t xml:space="preserve"> </w:t>
      </w:r>
      <w:r w:rsidR="00A55DE8" w:rsidRPr="00F448FE">
        <w:rPr>
          <w:rFonts w:ascii="Book Antiqua" w:hAnsi="Book Antiqua"/>
        </w:rPr>
        <w:t>Section for Gastroenterology, Department of Medicine, Stord Hospital, Stord</w:t>
      </w:r>
      <w:r w:rsidR="00B359D4" w:rsidRPr="00F448FE">
        <w:rPr>
          <w:rFonts w:ascii="Book Antiqua" w:hAnsi="Book Antiqua"/>
        </w:rPr>
        <w:t xml:space="preserve"> 54 09</w:t>
      </w:r>
      <w:r w:rsidR="00A55DE8" w:rsidRPr="00F448FE">
        <w:rPr>
          <w:rFonts w:ascii="Book Antiqua" w:hAnsi="Book Antiqua"/>
        </w:rPr>
        <w:t>, Norway</w:t>
      </w:r>
    </w:p>
    <w:p w14:paraId="5AA40C71" w14:textId="77777777" w:rsidR="00212407" w:rsidRPr="00F448FE" w:rsidRDefault="00212407" w:rsidP="000D04E0">
      <w:pPr>
        <w:adjustRightInd w:val="0"/>
        <w:snapToGrid w:val="0"/>
        <w:spacing w:line="360" w:lineRule="auto"/>
        <w:jc w:val="both"/>
        <w:outlineLvl w:val="0"/>
        <w:rPr>
          <w:rFonts w:ascii="Book Antiqua" w:hAnsi="Book Antiqua"/>
        </w:rPr>
      </w:pPr>
    </w:p>
    <w:p w14:paraId="4B1B7550" w14:textId="37F95D50" w:rsidR="00A55DE8" w:rsidRPr="00F448FE" w:rsidRDefault="00212407" w:rsidP="000D04E0">
      <w:pPr>
        <w:adjustRightInd w:val="0"/>
        <w:snapToGrid w:val="0"/>
        <w:spacing w:line="360" w:lineRule="auto"/>
        <w:jc w:val="both"/>
        <w:outlineLvl w:val="0"/>
        <w:rPr>
          <w:rFonts w:ascii="Book Antiqua" w:hAnsi="Book Antiqua"/>
        </w:rPr>
      </w:pPr>
      <w:proofErr w:type="spellStart"/>
      <w:r w:rsidRPr="00F448FE">
        <w:rPr>
          <w:rFonts w:ascii="Book Antiqua" w:hAnsi="Book Antiqua"/>
          <w:b/>
          <w:bCs/>
        </w:rPr>
        <w:t>Magdy</w:t>
      </w:r>
      <w:proofErr w:type="spellEnd"/>
      <w:r w:rsidRPr="00F448FE">
        <w:rPr>
          <w:rFonts w:ascii="Book Antiqua" w:hAnsi="Book Antiqua"/>
          <w:b/>
          <w:bCs/>
        </w:rPr>
        <w:t xml:space="preserve"> El-</w:t>
      </w:r>
      <w:proofErr w:type="spellStart"/>
      <w:r w:rsidRPr="00F448FE">
        <w:rPr>
          <w:rFonts w:ascii="Book Antiqua" w:hAnsi="Book Antiqua"/>
          <w:b/>
          <w:bCs/>
        </w:rPr>
        <w:t>Salhy</w:t>
      </w:r>
      <w:proofErr w:type="spellEnd"/>
      <w:r w:rsidRPr="00F448FE">
        <w:rPr>
          <w:rFonts w:ascii="Book Antiqua" w:eastAsia="宋体" w:hAnsi="Book Antiqua" w:cs="宋体"/>
          <w:b/>
          <w:bCs/>
          <w:lang w:eastAsia="zh-CN"/>
        </w:rPr>
        <w:t xml:space="preserve">, </w:t>
      </w:r>
      <w:r w:rsidR="00A55DE8" w:rsidRPr="00F448FE">
        <w:rPr>
          <w:rFonts w:ascii="Book Antiqua" w:hAnsi="Book Antiqua"/>
        </w:rPr>
        <w:t>Department of Clinical Medicine, University of Bergen, Bergen</w:t>
      </w:r>
      <w:r w:rsidR="00B359D4" w:rsidRPr="00F448FE">
        <w:rPr>
          <w:rFonts w:ascii="Book Antiqua" w:hAnsi="Book Antiqua"/>
        </w:rPr>
        <w:t xml:space="preserve"> 50 21</w:t>
      </w:r>
      <w:r w:rsidR="00A55DE8" w:rsidRPr="00F448FE">
        <w:rPr>
          <w:rFonts w:ascii="Book Antiqua" w:hAnsi="Book Antiqua"/>
        </w:rPr>
        <w:t>, Norway</w:t>
      </w:r>
    </w:p>
    <w:p w14:paraId="77704C82" w14:textId="1D0209A0" w:rsidR="00A55DE8" w:rsidRPr="00F448FE" w:rsidRDefault="00A55DE8" w:rsidP="000D04E0">
      <w:pPr>
        <w:adjustRightInd w:val="0"/>
        <w:snapToGrid w:val="0"/>
        <w:spacing w:line="360" w:lineRule="auto"/>
        <w:jc w:val="both"/>
        <w:rPr>
          <w:rFonts w:ascii="Book Antiqua" w:hAnsi="Book Antiqua"/>
        </w:rPr>
      </w:pPr>
    </w:p>
    <w:p w14:paraId="22F55A0E" w14:textId="7D892944" w:rsidR="00A55DE8" w:rsidRPr="00F448FE" w:rsidRDefault="00212407" w:rsidP="000D04E0">
      <w:pPr>
        <w:adjustRightInd w:val="0"/>
        <w:snapToGrid w:val="0"/>
        <w:spacing w:line="360" w:lineRule="auto"/>
        <w:jc w:val="both"/>
        <w:rPr>
          <w:rFonts w:ascii="Book Antiqua" w:hAnsi="Book Antiqua"/>
          <w:b/>
          <w:bCs/>
        </w:rPr>
      </w:pPr>
      <w:r w:rsidRPr="00F448FE">
        <w:rPr>
          <w:rFonts w:ascii="Book Antiqua" w:hAnsi="Book Antiqua"/>
          <w:b/>
        </w:rPr>
        <w:t xml:space="preserve">Author contributions: </w:t>
      </w:r>
      <w:r w:rsidRPr="00F448FE">
        <w:rPr>
          <w:rFonts w:ascii="Book Antiqua" w:hAnsi="Book Antiqua"/>
        </w:rPr>
        <w:t>El-</w:t>
      </w:r>
      <w:proofErr w:type="spellStart"/>
      <w:r w:rsidRPr="00F448FE">
        <w:rPr>
          <w:rFonts w:ascii="Book Antiqua" w:hAnsi="Book Antiqua"/>
        </w:rPr>
        <w:t>Salhy</w:t>
      </w:r>
      <w:proofErr w:type="spellEnd"/>
      <w:r w:rsidRPr="00F448FE">
        <w:rPr>
          <w:rFonts w:ascii="Book Antiqua" w:hAnsi="Book Antiqua"/>
        </w:rPr>
        <w:t xml:space="preserve"> M wrote, </w:t>
      </w:r>
      <w:r w:rsidR="0068554A" w:rsidRPr="00F448FE">
        <w:rPr>
          <w:rFonts w:ascii="Book Antiqua" w:hAnsi="Book Antiqua"/>
        </w:rPr>
        <w:t xml:space="preserve">conceived and edited this </w:t>
      </w:r>
      <w:proofErr w:type="spellStart"/>
      <w:r w:rsidR="0068554A" w:rsidRPr="00F448FE">
        <w:rPr>
          <w:rFonts w:ascii="Book Antiqua" w:hAnsi="Book Antiqua"/>
        </w:rPr>
        <w:t>aricle</w:t>
      </w:r>
      <w:proofErr w:type="spellEnd"/>
      <w:r w:rsidR="0068554A" w:rsidRPr="00F448FE">
        <w:rPr>
          <w:rFonts w:ascii="Book Antiqua" w:hAnsi="Book Antiqua"/>
        </w:rPr>
        <w:t>.</w:t>
      </w:r>
    </w:p>
    <w:p w14:paraId="24EDDA23" w14:textId="77777777" w:rsidR="00A55DE8" w:rsidRPr="00F448FE" w:rsidRDefault="00A55DE8" w:rsidP="000D04E0">
      <w:pPr>
        <w:adjustRightInd w:val="0"/>
        <w:snapToGrid w:val="0"/>
        <w:spacing w:line="360" w:lineRule="auto"/>
        <w:jc w:val="both"/>
        <w:rPr>
          <w:rFonts w:ascii="Book Antiqua" w:hAnsi="Book Antiqua"/>
          <w:b/>
          <w:bCs/>
        </w:rPr>
      </w:pPr>
    </w:p>
    <w:p w14:paraId="0C3ED139" w14:textId="7A1BDCA6" w:rsidR="00A55DE8" w:rsidRPr="00F448FE" w:rsidRDefault="00A55DE8" w:rsidP="000D04E0">
      <w:pPr>
        <w:adjustRightInd w:val="0"/>
        <w:snapToGrid w:val="0"/>
        <w:spacing w:line="360" w:lineRule="auto"/>
        <w:jc w:val="both"/>
        <w:outlineLvl w:val="0"/>
        <w:rPr>
          <w:rFonts w:ascii="Book Antiqua" w:eastAsiaTheme="minorEastAsia" w:hAnsi="Book Antiqua"/>
          <w:lang w:eastAsia="zh-CN"/>
        </w:rPr>
      </w:pPr>
      <w:r w:rsidRPr="00F448FE">
        <w:rPr>
          <w:rFonts w:ascii="Book Antiqua" w:hAnsi="Book Antiqua"/>
          <w:b/>
          <w:bCs/>
        </w:rPr>
        <w:t>Corresponding author:</w:t>
      </w:r>
      <w:r w:rsidR="0068554A" w:rsidRPr="00F448FE">
        <w:rPr>
          <w:rFonts w:ascii="Book Antiqua" w:eastAsiaTheme="minorEastAsia" w:hAnsi="Book Antiqua"/>
          <w:lang w:eastAsia="zh-CN"/>
        </w:rPr>
        <w:t xml:space="preserve"> </w:t>
      </w:r>
      <w:proofErr w:type="spellStart"/>
      <w:r w:rsidRPr="00F448FE">
        <w:rPr>
          <w:rFonts w:ascii="Book Antiqua" w:hAnsi="Book Antiqua"/>
          <w:b/>
          <w:bCs/>
        </w:rPr>
        <w:t>Magdy</w:t>
      </w:r>
      <w:proofErr w:type="spellEnd"/>
      <w:r w:rsidRPr="00F448FE">
        <w:rPr>
          <w:rFonts w:ascii="Book Antiqua" w:hAnsi="Book Antiqua"/>
          <w:b/>
          <w:bCs/>
        </w:rPr>
        <w:t xml:space="preserve"> El-</w:t>
      </w:r>
      <w:proofErr w:type="spellStart"/>
      <w:r w:rsidRPr="00F448FE">
        <w:rPr>
          <w:rFonts w:ascii="Book Antiqua" w:hAnsi="Book Antiqua"/>
          <w:b/>
          <w:bCs/>
        </w:rPr>
        <w:t>Salhy</w:t>
      </w:r>
      <w:proofErr w:type="spellEnd"/>
      <w:r w:rsidRPr="00F448FE">
        <w:rPr>
          <w:rFonts w:ascii="Book Antiqua" w:hAnsi="Book Antiqua"/>
          <w:b/>
          <w:bCs/>
        </w:rPr>
        <w:t xml:space="preserve">, </w:t>
      </w:r>
      <w:r w:rsidR="0068554A" w:rsidRPr="00F448FE">
        <w:rPr>
          <w:rFonts w:ascii="Book Antiqua" w:hAnsi="Book Antiqua"/>
          <w:b/>
          <w:bCs/>
        </w:rPr>
        <w:t xml:space="preserve">BSc, MA, MD, PhD, Chief Doctor, </w:t>
      </w:r>
      <w:r w:rsidR="00FF54B2" w:rsidRPr="00F448FE">
        <w:rPr>
          <w:rFonts w:ascii="Book Antiqua" w:hAnsi="Book Antiqua"/>
          <w:b/>
          <w:bCs/>
        </w:rPr>
        <w:t>Doctor</w:t>
      </w:r>
      <w:r w:rsidR="00FF54B2" w:rsidRPr="00F448FE">
        <w:rPr>
          <w:rFonts w:ascii="Book Antiqua" w:eastAsia="宋体" w:hAnsi="Book Antiqua" w:cs="宋体"/>
          <w:b/>
          <w:bCs/>
          <w:lang w:eastAsia="zh-CN"/>
        </w:rPr>
        <w:t>,</w:t>
      </w:r>
      <w:r w:rsidR="00FF54B2" w:rsidRPr="00F448FE">
        <w:rPr>
          <w:rFonts w:ascii="Book Antiqua" w:hAnsi="Book Antiqua"/>
          <w:b/>
          <w:bCs/>
        </w:rPr>
        <w:t xml:space="preserve"> </w:t>
      </w:r>
      <w:r w:rsidR="0068554A" w:rsidRPr="00F448FE">
        <w:rPr>
          <w:rFonts w:ascii="Book Antiqua" w:hAnsi="Book Antiqua"/>
          <w:b/>
          <w:bCs/>
        </w:rPr>
        <w:t xml:space="preserve">Professor, </w:t>
      </w:r>
      <w:r w:rsidRPr="00F448FE">
        <w:rPr>
          <w:rFonts w:ascii="Book Antiqua" w:hAnsi="Book Antiqua"/>
          <w:b/>
          <w:bCs/>
        </w:rPr>
        <w:t>Consultant Gastroenterologist</w:t>
      </w:r>
      <w:r w:rsidR="0068554A" w:rsidRPr="00F448FE">
        <w:rPr>
          <w:rFonts w:ascii="Book Antiqua" w:hAnsi="Book Antiqua"/>
          <w:b/>
          <w:bCs/>
        </w:rPr>
        <w:t>,</w:t>
      </w:r>
      <w:r w:rsidR="0068554A" w:rsidRPr="00F448FE">
        <w:rPr>
          <w:rFonts w:ascii="Book Antiqua" w:eastAsiaTheme="minorEastAsia" w:hAnsi="Book Antiqua"/>
          <w:lang w:eastAsia="zh-CN"/>
        </w:rPr>
        <w:t xml:space="preserve"> </w:t>
      </w:r>
      <w:r w:rsidRPr="00F448FE">
        <w:rPr>
          <w:rFonts w:ascii="Book Antiqua" w:hAnsi="Book Antiqua"/>
        </w:rPr>
        <w:t>Section for Gastroenterology, Department of Medicine</w:t>
      </w:r>
      <w:r w:rsidR="0068554A" w:rsidRPr="00F448FE">
        <w:rPr>
          <w:rFonts w:ascii="Book Antiqua" w:hAnsi="Book Antiqua"/>
        </w:rPr>
        <w:t xml:space="preserve">, </w:t>
      </w:r>
      <w:r w:rsidRPr="00F448FE">
        <w:rPr>
          <w:rFonts w:ascii="Book Antiqua" w:hAnsi="Book Antiqua"/>
        </w:rPr>
        <w:t>Stord Hospital</w:t>
      </w:r>
      <w:r w:rsidR="0068554A" w:rsidRPr="00F448FE">
        <w:rPr>
          <w:rFonts w:ascii="Book Antiqua" w:eastAsiaTheme="minorEastAsia" w:hAnsi="Book Antiqua"/>
          <w:lang w:eastAsia="zh-CN"/>
        </w:rPr>
        <w:t xml:space="preserve">, </w:t>
      </w:r>
      <w:r w:rsidRPr="00F448FE">
        <w:rPr>
          <w:rFonts w:ascii="Book Antiqua" w:hAnsi="Book Antiqua"/>
        </w:rPr>
        <w:t>Box 4000, Stord</w:t>
      </w:r>
      <w:r w:rsidR="00B359D4" w:rsidRPr="00F448FE">
        <w:rPr>
          <w:rFonts w:ascii="Book Antiqua" w:hAnsi="Book Antiqua"/>
        </w:rPr>
        <w:t xml:space="preserve"> 54 09</w:t>
      </w:r>
      <w:r w:rsidRPr="00F448FE">
        <w:rPr>
          <w:rFonts w:ascii="Book Antiqua" w:hAnsi="Book Antiqua"/>
        </w:rPr>
        <w:t>, Norway</w:t>
      </w:r>
      <w:r w:rsidR="00D032C8" w:rsidRPr="00F448FE">
        <w:rPr>
          <w:rFonts w:ascii="Book Antiqua" w:eastAsiaTheme="minorEastAsia" w:hAnsi="Book Antiqua"/>
          <w:lang w:eastAsia="zh-CN"/>
        </w:rPr>
        <w:t xml:space="preserve">. </w:t>
      </w:r>
      <w:bookmarkStart w:id="3" w:name="OLE_LINK20"/>
      <w:bookmarkStart w:id="4" w:name="OLE_LINK21"/>
      <w:r w:rsidR="002A5266" w:rsidRPr="00D46209">
        <w:rPr>
          <w:rFonts w:ascii="Book Antiqua" w:hAnsi="Book Antiqua"/>
        </w:rPr>
        <w:t>magdy.el-salhy@helse-fonna.no</w:t>
      </w:r>
      <w:bookmarkEnd w:id="3"/>
      <w:bookmarkEnd w:id="4"/>
    </w:p>
    <w:p w14:paraId="3F6A4D7D" w14:textId="5AE62506" w:rsidR="002A5266" w:rsidRPr="00F448FE" w:rsidRDefault="002A5266" w:rsidP="000D04E0">
      <w:pPr>
        <w:adjustRightInd w:val="0"/>
        <w:snapToGrid w:val="0"/>
        <w:spacing w:line="360" w:lineRule="auto"/>
        <w:jc w:val="both"/>
        <w:outlineLvl w:val="0"/>
        <w:rPr>
          <w:rFonts w:ascii="Book Antiqua" w:hAnsi="Book Antiqua"/>
        </w:rPr>
      </w:pPr>
    </w:p>
    <w:p w14:paraId="5F2580BE" w14:textId="7A2CDD86" w:rsidR="002A5266" w:rsidRPr="00F448FE" w:rsidRDefault="002A5266" w:rsidP="000D04E0">
      <w:pPr>
        <w:adjustRightInd w:val="0"/>
        <w:snapToGrid w:val="0"/>
        <w:spacing w:line="360" w:lineRule="auto"/>
        <w:jc w:val="both"/>
        <w:rPr>
          <w:rFonts w:ascii="Book Antiqua" w:hAnsi="Book Antiqua"/>
          <w:b/>
        </w:rPr>
      </w:pPr>
      <w:r w:rsidRPr="00F448FE">
        <w:rPr>
          <w:rFonts w:ascii="Book Antiqua" w:hAnsi="Book Antiqua"/>
          <w:b/>
        </w:rPr>
        <w:t>Received:</w:t>
      </w:r>
      <w:r w:rsidRPr="00F448FE">
        <w:rPr>
          <w:rFonts w:ascii="Book Antiqua" w:eastAsia="宋体" w:hAnsi="Book Antiqua"/>
          <w:b/>
          <w:lang w:eastAsia="zh-CN"/>
        </w:rPr>
        <w:t xml:space="preserve"> </w:t>
      </w:r>
      <w:r w:rsidRPr="00F448FE">
        <w:rPr>
          <w:rFonts w:ascii="Book Antiqua" w:eastAsia="宋体" w:hAnsi="Book Antiqua"/>
          <w:lang w:eastAsia="zh-CN"/>
        </w:rPr>
        <w:t>December 3, 2019</w:t>
      </w:r>
      <w:r w:rsidRPr="00F448FE">
        <w:rPr>
          <w:rFonts w:ascii="Book Antiqua" w:hAnsi="Book Antiqua"/>
          <w:b/>
        </w:rPr>
        <w:t xml:space="preserve"> </w:t>
      </w:r>
    </w:p>
    <w:p w14:paraId="3CC8DDA7" w14:textId="79A53214" w:rsidR="002A5266" w:rsidRPr="00F448FE" w:rsidRDefault="002A5266" w:rsidP="000D04E0">
      <w:pPr>
        <w:adjustRightInd w:val="0"/>
        <w:snapToGrid w:val="0"/>
        <w:spacing w:line="360" w:lineRule="auto"/>
        <w:jc w:val="both"/>
        <w:rPr>
          <w:rFonts w:ascii="Book Antiqua" w:eastAsia="宋体" w:hAnsi="Book Antiqua"/>
          <w:b/>
          <w:lang w:eastAsia="zh-CN"/>
        </w:rPr>
      </w:pPr>
      <w:r w:rsidRPr="00F448FE">
        <w:rPr>
          <w:rFonts w:ascii="Book Antiqua" w:hAnsi="Book Antiqua"/>
          <w:b/>
        </w:rPr>
        <w:t xml:space="preserve">Revised: </w:t>
      </w:r>
      <w:r w:rsidR="007A1DCB" w:rsidRPr="00F448FE">
        <w:rPr>
          <w:rFonts w:ascii="Book Antiqua" w:eastAsia="宋体" w:hAnsi="Book Antiqua"/>
          <w:lang w:eastAsia="zh-CN"/>
        </w:rPr>
        <w:t xml:space="preserve">February </w:t>
      </w:r>
      <w:r w:rsidRPr="00F448FE">
        <w:rPr>
          <w:rFonts w:ascii="Book Antiqua" w:eastAsia="宋体" w:hAnsi="Book Antiqua"/>
          <w:lang w:eastAsia="zh-CN"/>
        </w:rPr>
        <w:t>8, 2020</w:t>
      </w:r>
    </w:p>
    <w:p w14:paraId="00EC2757" w14:textId="0DE5E357" w:rsidR="002A5266" w:rsidRPr="00F448FE" w:rsidRDefault="002A5266" w:rsidP="000D04E0">
      <w:pPr>
        <w:adjustRightInd w:val="0"/>
        <w:snapToGrid w:val="0"/>
        <w:spacing w:line="360" w:lineRule="auto"/>
        <w:jc w:val="both"/>
        <w:rPr>
          <w:rFonts w:ascii="Book Antiqua" w:hAnsi="Book Antiqua"/>
        </w:rPr>
      </w:pPr>
      <w:r w:rsidRPr="00F448FE">
        <w:rPr>
          <w:rFonts w:ascii="Book Antiqua" w:hAnsi="Book Antiqua"/>
          <w:b/>
        </w:rPr>
        <w:t>Accepted:</w:t>
      </w:r>
      <w:bookmarkStart w:id="5" w:name="OLE_LINK52"/>
      <w:bookmarkStart w:id="6" w:name="OLE_LINK53"/>
      <w:bookmarkStart w:id="7" w:name="OLE_LINK61"/>
      <w:bookmarkStart w:id="8" w:name="OLE_LINK98"/>
      <w:bookmarkStart w:id="9" w:name="OLE_LINK99"/>
      <w:bookmarkStart w:id="10" w:name="OLE_LINK110"/>
      <w:bookmarkStart w:id="11" w:name="OLE_LINK111"/>
      <w:bookmarkStart w:id="12" w:name="OLE_LINK115"/>
      <w:bookmarkStart w:id="13" w:name="OLE_LINK116"/>
      <w:r w:rsidR="00C17330" w:rsidRPr="00F448FE">
        <w:rPr>
          <w:rFonts w:ascii="Book Antiqua" w:hAnsi="Book Antiqua"/>
          <w:b/>
          <w:color w:val="000000" w:themeColor="text1"/>
        </w:rPr>
        <w:t xml:space="preserve"> </w:t>
      </w:r>
      <w:r w:rsidR="00C17330" w:rsidRPr="00F448FE">
        <w:rPr>
          <w:rFonts w:ascii="Book Antiqua" w:hAnsi="Book Antiqua"/>
          <w:bCs/>
          <w:color w:val="000000" w:themeColor="text1"/>
        </w:rPr>
        <w:t>March 14, 2020</w:t>
      </w:r>
      <w:bookmarkEnd w:id="5"/>
      <w:bookmarkEnd w:id="6"/>
      <w:bookmarkEnd w:id="7"/>
      <w:r w:rsidRPr="00F448FE">
        <w:rPr>
          <w:rFonts w:ascii="Book Antiqua" w:hAnsi="Book Antiqua"/>
          <w:bCs/>
        </w:rPr>
        <w:t xml:space="preserve"> </w:t>
      </w:r>
      <w:bookmarkEnd w:id="8"/>
      <w:bookmarkEnd w:id="9"/>
      <w:bookmarkEnd w:id="10"/>
      <w:bookmarkEnd w:id="11"/>
      <w:bookmarkEnd w:id="12"/>
      <w:bookmarkEnd w:id="13"/>
    </w:p>
    <w:p w14:paraId="7EADD5A5" w14:textId="13F66E9B" w:rsidR="002A5266" w:rsidRPr="00F448FE" w:rsidRDefault="002A5266" w:rsidP="000D04E0">
      <w:pPr>
        <w:adjustRightInd w:val="0"/>
        <w:snapToGrid w:val="0"/>
        <w:spacing w:line="360" w:lineRule="auto"/>
        <w:jc w:val="both"/>
        <w:rPr>
          <w:rFonts w:ascii="Book Antiqua" w:eastAsia="宋体" w:hAnsi="Book Antiqua" w:hint="eastAsia"/>
          <w:b/>
          <w:lang w:eastAsia="zh-CN"/>
        </w:rPr>
      </w:pPr>
      <w:r w:rsidRPr="00F448FE">
        <w:rPr>
          <w:rFonts w:ascii="Book Antiqua" w:hAnsi="Book Antiqua"/>
          <w:b/>
        </w:rPr>
        <w:t xml:space="preserve">Published online: </w:t>
      </w:r>
      <w:r w:rsidR="00F448FE" w:rsidRPr="00F448FE">
        <w:rPr>
          <w:rFonts w:ascii="Book Antiqua" w:eastAsia="宋体" w:hAnsi="Book Antiqua" w:hint="eastAsia"/>
          <w:b/>
          <w:lang w:eastAsia="zh-CN"/>
        </w:rPr>
        <w:t xml:space="preserve"> </w:t>
      </w:r>
      <w:r w:rsidR="00F448FE" w:rsidRPr="00F448FE">
        <w:rPr>
          <w:rFonts w:ascii="Book Antiqua" w:eastAsia="宋体" w:hAnsi="Book Antiqua" w:hint="eastAsia"/>
          <w:lang w:eastAsia="zh-CN"/>
        </w:rPr>
        <w:t>April 7</w:t>
      </w:r>
      <w:r w:rsidR="00F448FE" w:rsidRPr="00F448FE">
        <w:rPr>
          <w:rFonts w:ascii="Book Antiqua" w:eastAsia="宋体" w:hAnsi="Book Antiqua" w:hint="eastAsia"/>
          <w:lang w:eastAsia="zh-CN"/>
        </w:rPr>
        <w:t>，</w:t>
      </w:r>
      <w:r w:rsidR="00F448FE" w:rsidRPr="00F448FE">
        <w:rPr>
          <w:rFonts w:ascii="Book Antiqua" w:eastAsia="宋体" w:hAnsi="Book Antiqua" w:hint="eastAsia"/>
          <w:lang w:eastAsia="zh-CN"/>
        </w:rPr>
        <w:t xml:space="preserve"> 2020</w:t>
      </w:r>
    </w:p>
    <w:p w14:paraId="4A274240" w14:textId="77777777" w:rsidR="002A5266" w:rsidRPr="00F448FE" w:rsidRDefault="002A5266" w:rsidP="000D04E0">
      <w:pPr>
        <w:adjustRightInd w:val="0"/>
        <w:snapToGrid w:val="0"/>
        <w:spacing w:line="360" w:lineRule="auto"/>
        <w:jc w:val="both"/>
        <w:outlineLvl w:val="0"/>
        <w:rPr>
          <w:rFonts w:ascii="Book Antiqua" w:hAnsi="Book Antiqua"/>
        </w:rPr>
      </w:pPr>
    </w:p>
    <w:p w14:paraId="60ED2EED" w14:textId="77777777" w:rsidR="007179C6" w:rsidRPr="00F448FE" w:rsidRDefault="007179C6" w:rsidP="000D04E0">
      <w:pPr>
        <w:adjustRightInd w:val="0"/>
        <w:snapToGrid w:val="0"/>
        <w:spacing w:line="360" w:lineRule="auto"/>
        <w:jc w:val="both"/>
        <w:rPr>
          <w:rFonts w:ascii="Book Antiqua" w:hAnsi="Book Antiqua"/>
          <w:b/>
        </w:rPr>
      </w:pPr>
      <w:r w:rsidRPr="00F448FE">
        <w:rPr>
          <w:rFonts w:ascii="Book Antiqua" w:hAnsi="Book Antiqua"/>
          <w:b/>
        </w:rPr>
        <w:br w:type="page"/>
      </w:r>
    </w:p>
    <w:p w14:paraId="783D1B11" w14:textId="77777777" w:rsidR="00E331D3" w:rsidRPr="00F448FE" w:rsidRDefault="00E331D3" w:rsidP="000D04E0">
      <w:pPr>
        <w:adjustRightInd w:val="0"/>
        <w:snapToGrid w:val="0"/>
        <w:spacing w:line="360" w:lineRule="auto"/>
        <w:jc w:val="both"/>
        <w:rPr>
          <w:rFonts w:ascii="Book Antiqua" w:hAnsi="Book Antiqua"/>
          <w:b/>
        </w:rPr>
      </w:pPr>
      <w:r w:rsidRPr="00F448FE">
        <w:rPr>
          <w:rFonts w:ascii="Book Antiqua" w:hAnsi="Book Antiqua"/>
          <w:b/>
        </w:rPr>
        <w:lastRenderedPageBreak/>
        <w:t>Abstract</w:t>
      </w:r>
    </w:p>
    <w:p w14:paraId="0946A7D0" w14:textId="7DE291F7" w:rsidR="00A61FAA" w:rsidRPr="00F448FE" w:rsidRDefault="00A61FAA" w:rsidP="000D04E0">
      <w:pPr>
        <w:adjustRightInd w:val="0"/>
        <w:snapToGrid w:val="0"/>
        <w:spacing w:line="360" w:lineRule="auto"/>
        <w:jc w:val="both"/>
        <w:rPr>
          <w:rFonts w:ascii="Book Antiqua" w:hAnsi="Book Antiqua"/>
        </w:rPr>
      </w:pPr>
      <w:r w:rsidRPr="00F448FE">
        <w:rPr>
          <w:rFonts w:ascii="Book Antiqua" w:hAnsi="Book Antiqua"/>
        </w:rPr>
        <w:t>The pathophysiology of irritable bowel syndrome (IBS) is not completely understood. However, several factors are known to play a role in pathophysiology of IBS such as genetics, diet, gut microbiota, gut endocrine cells, stress and low-grade inflammation. Understanding the pathophysiology of IBS may open the way for new treatment approaches. Low density of intestinal stem cells and low differentiation toward enteroendocrine cells has been reported recently in patients with IBS. These abnormalities are believed to be the cause of the low density of enteroendocrine cells seen in patients with IBS. Enteroendocrine cells regulate gastrointestinal motility, secretion, absorption and visceral sensitivity. Gastrointestinal dysmotility, abnormal absorption/secretion and visceral hypersensitivity are all seen in patients with IBS and haven been attributed to the low density the intestinal enteroendocrine cells in these patients. The present review conducted a literature search in Medline (PubMed) covering the last ten years until November 2019, where articles in English were included. Articles about the intestinal stem cells and their possible role in the pathophysiology of IBS are discussed in the present review. The present review discusses the assumption that intestinal stem cells play a central role in the pathophysiology of IBS and that the other factors and that the other factors known to contribute to the pathophysiology of IBS such as genetics, diet gut microbiota, stress, and low-grade inflammation exert their effects through affecting the intestinal stem cells. It reports further the data that support this assumption on genetics, diet, gut microbiota, stress with depletion of glutamine, and inflammation.</w:t>
      </w:r>
    </w:p>
    <w:p w14:paraId="7806B341" w14:textId="77777777" w:rsidR="00C2596D" w:rsidRPr="00F448FE" w:rsidRDefault="00C2596D" w:rsidP="000D04E0">
      <w:pPr>
        <w:adjustRightInd w:val="0"/>
        <w:snapToGrid w:val="0"/>
        <w:spacing w:line="360" w:lineRule="auto"/>
        <w:jc w:val="both"/>
        <w:rPr>
          <w:rFonts w:ascii="Book Antiqua" w:hAnsi="Book Antiqua"/>
        </w:rPr>
      </w:pPr>
    </w:p>
    <w:p w14:paraId="0EC916EB" w14:textId="398CE17B" w:rsidR="00212FA2" w:rsidRPr="00F448FE" w:rsidRDefault="00212FA2" w:rsidP="000D04E0">
      <w:pPr>
        <w:adjustRightInd w:val="0"/>
        <w:snapToGrid w:val="0"/>
        <w:spacing w:line="360" w:lineRule="auto"/>
        <w:jc w:val="both"/>
        <w:rPr>
          <w:rFonts w:ascii="Book Antiqua" w:hAnsi="Book Antiqua"/>
          <w:b/>
        </w:rPr>
      </w:pPr>
      <w:r w:rsidRPr="00F448FE">
        <w:rPr>
          <w:rFonts w:ascii="Book Antiqua" w:hAnsi="Book Antiqua"/>
          <w:b/>
        </w:rPr>
        <w:t xml:space="preserve">Key words: </w:t>
      </w:r>
      <w:r w:rsidRPr="00F448FE">
        <w:rPr>
          <w:rFonts w:ascii="Book Antiqua" w:hAnsi="Book Antiqua"/>
        </w:rPr>
        <w:t>Diet</w:t>
      </w:r>
      <w:r w:rsidR="00C2596D" w:rsidRPr="00F448FE">
        <w:rPr>
          <w:rFonts w:ascii="Book Antiqua" w:hAnsi="Book Antiqua"/>
        </w:rPr>
        <w:t>;</w:t>
      </w:r>
      <w:r w:rsidRPr="00F448FE">
        <w:rPr>
          <w:rFonts w:ascii="Book Antiqua" w:hAnsi="Book Antiqua"/>
        </w:rPr>
        <w:t xml:space="preserve"> </w:t>
      </w:r>
      <w:r w:rsidR="00C2596D" w:rsidRPr="00F448FE">
        <w:rPr>
          <w:rFonts w:ascii="Book Antiqua" w:hAnsi="Book Antiqua"/>
        </w:rPr>
        <w:t>G</w:t>
      </w:r>
      <w:r w:rsidRPr="00F448FE">
        <w:rPr>
          <w:rFonts w:ascii="Book Antiqua" w:hAnsi="Book Antiqua"/>
        </w:rPr>
        <w:t>ut enteroendocrine cells</w:t>
      </w:r>
      <w:r w:rsidR="00C2596D" w:rsidRPr="00F448FE">
        <w:rPr>
          <w:rFonts w:ascii="Book Antiqua" w:hAnsi="Book Antiqua"/>
        </w:rPr>
        <w:t>;</w:t>
      </w:r>
      <w:r w:rsidRPr="00F448FE">
        <w:rPr>
          <w:rFonts w:ascii="Book Antiqua" w:hAnsi="Book Antiqua"/>
        </w:rPr>
        <w:t xml:space="preserve"> </w:t>
      </w:r>
      <w:r w:rsidR="00C2596D" w:rsidRPr="00F448FE">
        <w:rPr>
          <w:rFonts w:ascii="Book Antiqua" w:hAnsi="Book Antiqua"/>
        </w:rPr>
        <w:t>G</w:t>
      </w:r>
      <w:r w:rsidRPr="00F448FE">
        <w:rPr>
          <w:rFonts w:ascii="Book Antiqua" w:hAnsi="Book Antiqua"/>
        </w:rPr>
        <w:t>ut microbiota</w:t>
      </w:r>
      <w:r w:rsidR="00C2596D" w:rsidRPr="00F448FE">
        <w:rPr>
          <w:rFonts w:ascii="Book Antiqua" w:eastAsia="宋体" w:hAnsi="Book Antiqua" w:cs="宋体"/>
          <w:lang w:eastAsia="zh-CN"/>
        </w:rPr>
        <w:t>;</w:t>
      </w:r>
      <w:r w:rsidRPr="00F448FE">
        <w:rPr>
          <w:rFonts w:ascii="Book Antiqua" w:hAnsi="Book Antiqua"/>
        </w:rPr>
        <w:t xml:space="preserve"> </w:t>
      </w:r>
      <w:r w:rsidR="00C2596D" w:rsidRPr="00F448FE">
        <w:rPr>
          <w:rFonts w:ascii="Book Antiqua" w:hAnsi="Book Antiqua"/>
        </w:rPr>
        <w:t>L</w:t>
      </w:r>
      <w:r w:rsidRPr="00F448FE">
        <w:rPr>
          <w:rFonts w:ascii="Book Antiqua" w:hAnsi="Book Antiqua"/>
        </w:rPr>
        <w:t>ow grade inflammation</w:t>
      </w:r>
      <w:r w:rsidR="00C2596D" w:rsidRPr="00F448FE">
        <w:rPr>
          <w:rFonts w:ascii="Book Antiqua" w:hAnsi="Book Antiqua"/>
        </w:rPr>
        <w:t>;</w:t>
      </w:r>
      <w:r w:rsidRPr="00F448FE">
        <w:rPr>
          <w:rFonts w:ascii="Book Antiqua" w:hAnsi="Book Antiqua"/>
        </w:rPr>
        <w:t xml:space="preserve"> </w:t>
      </w:r>
      <w:r w:rsidR="00C2596D" w:rsidRPr="00F448FE">
        <w:rPr>
          <w:rFonts w:ascii="Book Antiqua" w:hAnsi="Book Antiqua"/>
        </w:rPr>
        <w:t>S</w:t>
      </w:r>
      <w:r w:rsidRPr="00F448FE">
        <w:rPr>
          <w:rFonts w:ascii="Book Antiqua" w:hAnsi="Book Antiqua"/>
        </w:rPr>
        <w:t>tress</w:t>
      </w:r>
    </w:p>
    <w:p w14:paraId="12A2A7D2" w14:textId="77777777" w:rsidR="00212FA2" w:rsidRPr="00F448FE" w:rsidRDefault="00212FA2" w:rsidP="000D04E0">
      <w:pPr>
        <w:adjustRightInd w:val="0"/>
        <w:snapToGrid w:val="0"/>
        <w:spacing w:line="360" w:lineRule="auto"/>
        <w:jc w:val="both"/>
        <w:rPr>
          <w:rFonts w:ascii="Book Antiqua" w:hAnsi="Book Antiqua"/>
          <w:b/>
        </w:rPr>
      </w:pPr>
    </w:p>
    <w:p w14:paraId="5111C6EB" w14:textId="77777777" w:rsidR="00F448FE" w:rsidRDefault="00F448FE" w:rsidP="00F448FE">
      <w:pPr>
        <w:adjustRightInd w:val="0"/>
        <w:snapToGrid w:val="0"/>
        <w:spacing w:line="360" w:lineRule="auto"/>
        <w:rPr>
          <w:rFonts w:ascii="Book Antiqua" w:eastAsia="宋体" w:hAnsi="Book Antiqua" w:hint="eastAsia"/>
          <w:iCs/>
          <w:lang w:eastAsia="zh-CN"/>
        </w:rPr>
      </w:pPr>
      <w:r w:rsidRPr="00F448FE">
        <w:rPr>
          <w:rFonts w:ascii="Book Antiqua" w:eastAsia="宋体" w:hAnsi="Book Antiqua" w:hint="eastAsia"/>
          <w:b/>
          <w:lang w:eastAsia="zh-CN"/>
        </w:rPr>
        <w:t>Citation:</w:t>
      </w:r>
      <w:r>
        <w:rPr>
          <w:rFonts w:ascii="Book Antiqua" w:eastAsia="宋体" w:hAnsi="Book Antiqua" w:hint="eastAsia"/>
          <w:lang w:eastAsia="zh-CN"/>
        </w:rPr>
        <w:t xml:space="preserve"> </w:t>
      </w:r>
      <w:r>
        <w:rPr>
          <w:rFonts w:ascii="Book Antiqua" w:hAnsi="Book Antiqua"/>
        </w:rPr>
        <w:t>El-</w:t>
      </w:r>
      <w:proofErr w:type="spellStart"/>
      <w:r>
        <w:rPr>
          <w:rFonts w:ascii="Book Antiqua" w:hAnsi="Book Antiqua"/>
        </w:rPr>
        <w:t>Salhy</w:t>
      </w:r>
      <w:proofErr w:type="spellEnd"/>
      <w:r>
        <w:rPr>
          <w:rFonts w:ascii="Book Antiqua" w:hAnsi="Book Antiqua"/>
        </w:rPr>
        <w:t xml:space="preserve"> M. </w:t>
      </w:r>
      <w:r>
        <w:rPr>
          <w:rFonts w:ascii="Book Antiqua" w:hAnsi="Book Antiqua"/>
          <w:bCs/>
        </w:rPr>
        <w:t xml:space="preserve">Possible role of intestinal stem cells in the pathophysiology of irritable bowel syndrome. </w:t>
      </w:r>
      <w:r>
        <w:rPr>
          <w:rFonts w:ascii="Book Antiqua" w:hAnsi="Book Antiqua"/>
          <w:i/>
          <w:iCs/>
        </w:rPr>
        <w:t xml:space="preserve">World J </w:t>
      </w:r>
      <w:proofErr w:type="spellStart"/>
      <w:r>
        <w:rPr>
          <w:rFonts w:ascii="Book Antiqua" w:hAnsi="Book Antiqua"/>
          <w:i/>
          <w:iCs/>
        </w:rPr>
        <w:t>Gastroenterol</w:t>
      </w:r>
      <w:proofErr w:type="spellEnd"/>
      <w:r>
        <w:rPr>
          <w:rFonts w:ascii="Book Antiqua" w:hAnsi="Book Antiqua"/>
          <w:iCs/>
        </w:rPr>
        <w:t xml:space="preserve"> 2020; 26(13): 1427-1438  </w:t>
      </w:r>
    </w:p>
    <w:p w14:paraId="20F0ECBC" w14:textId="58D9D1E4" w:rsidR="00F448FE" w:rsidRDefault="00F448FE" w:rsidP="00F448FE">
      <w:pPr>
        <w:adjustRightInd w:val="0"/>
        <w:snapToGrid w:val="0"/>
        <w:spacing w:line="360" w:lineRule="auto"/>
        <w:rPr>
          <w:rFonts w:ascii="Book Antiqua" w:eastAsia="宋体" w:hAnsi="Book Antiqua" w:hint="eastAsia"/>
          <w:iCs/>
          <w:lang w:eastAsia="zh-CN"/>
        </w:rPr>
      </w:pPr>
      <w:r w:rsidRPr="00F448FE">
        <w:rPr>
          <w:rFonts w:ascii="Book Antiqua" w:hAnsi="Book Antiqua"/>
          <w:b/>
          <w:iCs/>
        </w:rPr>
        <w:t>URL:</w:t>
      </w:r>
      <w:r>
        <w:rPr>
          <w:rFonts w:ascii="Book Antiqua" w:hAnsi="Book Antiqua"/>
          <w:iCs/>
        </w:rPr>
        <w:t xml:space="preserve"> </w:t>
      </w:r>
      <w:r w:rsidRPr="00D46209">
        <w:rPr>
          <w:rFonts w:ascii="Book Antiqua" w:hAnsi="Book Antiqua"/>
          <w:iCs/>
        </w:rPr>
        <w:t>https://www.wjgnet.com/1007-9327/full/v26/i13/1427.htm</w:t>
      </w:r>
      <w:r>
        <w:rPr>
          <w:rFonts w:ascii="Book Antiqua" w:hAnsi="Book Antiqua"/>
          <w:iCs/>
        </w:rPr>
        <w:t xml:space="preserve"> </w:t>
      </w:r>
    </w:p>
    <w:p w14:paraId="4E85FF07" w14:textId="55B6B998" w:rsidR="00F448FE" w:rsidRDefault="00F448FE" w:rsidP="00F448FE">
      <w:pPr>
        <w:adjustRightInd w:val="0"/>
        <w:snapToGrid w:val="0"/>
        <w:spacing w:line="360" w:lineRule="auto"/>
        <w:rPr>
          <w:rFonts w:ascii="Book Antiqua" w:hAnsi="Book Antiqua"/>
          <w:b/>
        </w:rPr>
      </w:pPr>
      <w:r w:rsidRPr="00F448FE">
        <w:rPr>
          <w:rFonts w:ascii="Book Antiqua" w:hAnsi="Book Antiqua"/>
          <w:b/>
          <w:iCs/>
        </w:rPr>
        <w:t xml:space="preserve"> DOI:</w:t>
      </w:r>
      <w:r>
        <w:rPr>
          <w:rFonts w:ascii="Book Antiqua" w:hAnsi="Book Antiqua"/>
          <w:iCs/>
        </w:rPr>
        <w:t xml:space="preserve"> https://dx.doi.org/10.3748/wjg.v26.i13.1427</w:t>
      </w:r>
    </w:p>
    <w:p w14:paraId="6B877574" w14:textId="77777777" w:rsidR="00880332" w:rsidRPr="00F448FE" w:rsidRDefault="00880332" w:rsidP="000D04E0">
      <w:pPr>
        <w:adjustRightInd w:val="0"/>
        <w:snapToGrid w:val="0"/>
        <w:spacing w:line="360" w:lineRule="auto"/>
        <w:jc w:val="both"/>
        <w:rPr>
          <w:rFonts w:ascii="Book Antiqua" w:hAnsi="Book Antiqua"/>
          <w:b/>
        </w:rPr>
      </w:pPr>
    </w:p>
    <w:p w14:paraId="649C5682" w14:textId="3939A12B" w:rsidR="00CF3E22" w:rsidRPr="00F448FE" w:rsidRDefault="00212FA2" w:rsidP="000D04E0">
      <w:pPr>
        <w:adjustRightInd w:val="0"/>
        <w:snapToGrid w:val="0"/>
        <w:spacing w:line="360" w:lineRule="auto"/>
        <w:jc w:val="both"/>
        <w:rPr>
          <w:rFonts w:ascii="Book Antiqua" w:hAnsi="Book Antiqua"/>
        </w:rPr>
      </w:pPr>
      <w:r w:rsidRPr="00F448FE">
        <w:rPr>
          <w:rFonts w:ascii="Book Antiqua" w:hAnsi="Book Antiqua"/>
          <w:b/>
        </w:rPr>
        <w:lastRenderedPageBreak/>
        <w:t>Core tip</w:t>
      </w:r>
      <w:r w:rsidR="00F3166A" w:rsidRPr="00F448FE">
        <w:rPr>
          <w:rFonts w:ascii="Book Antiqua" w:hAnsi="Book Antiqua"/>
          <w:b/>
        </w:rPr>
        <w:t xml:space="preserve">: </w:t>
      </w:r>
      <w:r w:rsidR="00F3166A" w:rsidRPr="00F448FE">
        <w:rPr>
          <w:rFonts w:ascii="Book Antiqua" w:hAnsi="Book Antiqua"/>
        </w:rPr>
        <w:t>The path</w:t>
      </w:r>
      <w:r w:rsidRPr="00F448FE">
        <w:rPr>
          <w:rFonts w:ascii="Book Antiqua" w:hAnsi="Book Antiqua"/>
        </w:rPr>
        <w:t xml:space="preserve">ophysiology of </w:t>
      </w:r>
      <w:r w:rsidR="00702545" w:rsidRPr="00F448FE">
        <w:rPr>
          <w:rFonts w:ascii="Book Antiqua" w:hAnsi="Book Antiqua"/>
        </w:rPr>
        <w:t>irritable bowel s</w:t>
      </w:r>
      <w:r w:rsidR="008D71E0" w:rsidRPr="00F448FE">
        <w:rPr>
          <w:rFonts w:ascii="Book Antiqua" w:hAnsi="Book Antiqua"/>
        </w:rPr>
        <w:t>y</w:t>
      </w:r>
      <w:r w:rsidR="00702545" w:rsidRPr="00F448FE">
        <w:rPr>
          <w:rFonts w:ascii="Book Antiqua" w:hAnsi="Book Antiqua"/>
        </w:rPr>
        <w:t>ndrome (</w:t>
      </w:r>
      <w:r w:rsidRPr="00F448FE">
        <w:rPr>
          <w:rFonts w:ascii="Book Antiqua" w:hAnsi="Book Antiqua"/>
        </w:rPr>
        <w:t>IBS</w:t>
      </w:r>
      <w:r w:rsidR="00702545" w:rsidRPr="00F448FE">
        <w:rPr>
          <w:rFonts w:ascii="Book Antiqua" w:hAnsi="Book Antiqua"/>
        </w:rPr>
        <w:t>)</w:t>
      </w:r>
      <w:r w:rsidRPr="00F448FE">
        <w:rPr>
          <w:rFonts w:ascii="Book Antiqua" w:hAnsi="Book Antiqua"/>
        </w:rPr>
        <w:t xml:space="preserve"> is not completely understood</w:t>
      </w:r>
      <w:r w:rsidR="00F3166A" w:rsidRPr="00F448FE">
        <w:rPr>
          <w:rFonts w:ascii="Book Antiqua" w:hAnsi="Book Antiqua"/>
          <w:b/>
        </w:rPr>
        <w:t xml:space="preserve">. </w:t>
      </w:r>
      <w:r w:rsidR="00F3166A" w:rsidRPr="00F448FE">
        <w:rPr>
          <w:rFonts w:ascii="Book Antiqua" w:hAnsi="Book Antiqua"/>
        </w:rPr>
        <w:t xml:space="preserve">Understanding the pathophysiology of IBS may enable us to find an effective treatment for this disorder. </w:t>
      </w:r>
      <w:r w:rsidR="000C61BA" w:rsidRPr="00F448FE">
        <w:rPr>
          <w:rFonts w:ascii="Book Antiqua" w:hAnsi="Book Antiqua"/>
        </w:rPr>
        <w:t>The density of intestinal stem cells is low in patients with IBS. Moreover, the differentiation of stem cells into enteroendocrine cells is abnormal. It seems that these abnormalities in intestinal stem cells is the cause of the low density of enteroendocrine cells seen in patients with IBS. It is believed that the low density of enteroendocrine cells is behind the gastrointestinal dysmotility, abnormal secretion/absorption and hypersensitivity observed in patients with IBS. This review present</w:t>
      </w:r>
      <w:r w:rsidR="00F76825" w:rsidRPr="00F448FE">
        <w:rPr>
          <w:rFonts w:ascii="Book Antiqua" w:hAnsi="Book Antiqua"/>
        </w:rPr>
        <w:t>s</w:t>
      </w:r>
      <w:r w:rsidR="000C61BA" w:rsidRPr="00F448FE">
        <w:rPr>
          <w:rFonts w:ascii="Book Antiqua" w:hAnsi="Book Antiqua"/>
        </w:rPr>
        <w:t xml:space="preserve"> the observations that suggest that the factors known to contribute to the pathophysiology of IBS </w:t>
      </w:r>
      <w:r w:rsidR="00880332" w:rsidRPr="00F448FE">
        <w:rPr>
          <w:rFonts w:ascii="Book Antiqua" w:hAnsi="Book Antiqua"/>
        </w:rPr>
        <w:t xml:space="preserve">may </w:t>
      </w:r>
      <w:r w:rsidR="000C61BA" w:rsidRPr="00F448FE">
        <w:rPr>
          <w:rFonts w:ascii="Book Antiqua" w:hAnsi="Book Antiqua"/>
        </w:rPr>
        <w:t>exert their effect</w:t>
      </w:r>
      <w:r w:rsidR="00880332" w:rsidRPr="00F448FE">
        <w:rPr>
          <w:rFonts w:ascii="Book Antiqua" w:hAnsi="Book Antiqua"/>
        </w:rPr>
        <w:t>s</w:t>
      </w:r>
      <w:r w:rsidR="000C61BA" w:rsidRPr="00F448FE">
        <w:rPr>
          <w:rFonts w:ascii="Book Antiqua" w:hAnsi="Book Antiqua"/>
        </w:rPr>
        <w:t xml:space="preserve"> through affecting the intestinal stem cells.</w:t>
      </w:r>
    </w:p>
    <w:p w14:paraId="1843725F" w14:textId="62B8BFA0" w:rsidR="00E331D3" w:rsidRPr="00F448FE" w:rsidRDefault="00E331D3" w:rsidP="000D04E0">
      <w:pPr>
        <w:adjustRightInd w:val="0"/>
        <w:snapToGrid w:val="0"/>
        <w:spacing w:line="360" w:lineRule="auto"/>
        <w:jc w:val="both"/>
        <w:rPr>
          <w:rFonts w:ascii="Book Antiqua" w:hAnsi="Book Antiqua"/>
          <w:b/>
        </w:rPr>
      </w:pPr>
      <w:r w:rsidRPr="00F448FE">
        <w:rPr>
          <w:rFonts w:ascii="Book Antiqua" w:hAnsi="Book Antiqua"/>
          <w:b/>
        </w:rPr>
        <w:br w:type="page"/>
      </w:r>
    </w:p>
    <w:p w14:paraId="648EA310" w14:textId="351551EC" w:rsidR="009959AB" w:rsidRPr="00F448FE" w:rsidRDefault="00F30C1D" w:rsidP="000D04E0">
      <w:pPr>
        <w:adjustRightInd w:val="0"/>
        <w:snapToGrid w:val="0"/>
        <w:spacing w:line="360" w:lineRule="auto"/>
        <w:jc w:val="both"/>
        <w:rPr>
          <w:rFonts w:ascii="Book Antiqua" w:hAnsi="Book Antiqua"/>
          <w:b/>
          <w:u w:val="single"/>
        </w:rPr>
      </w:pPr>
      <w:r w:rsidRPr="00F448FE">
        <w:rPr>
          <w:rFonts w:ascii="Book Antiqua" w:hAnsi="Book Antiqua"/>
          <w:b/>
          <w:u w:val="single"/>
        </w:rPr>
        <w:lastRenderedPageBreak/>
        <w:t>INTRODUCTION</w:t>
      </w:r>
    </w:p>
    <w:p w14:paraId="35BED64F" w14:textId="5275D769" w:rsidR="00992763" w:rsidRPr="00F448FE" w:rsidRDefault="00EF7143" w:rsidP="000D04E0">
      <w:pPr>
        <w:pStyle w:val="Default"/>
        <w:snapToGrid w:val="0"/>
        <w:spacing w:line="360" w:lineRule="auto"/>
        <w:jc w:val="both"/>
        <w:rPr>
          <w:rFonts w:ascii="Book Antiqua" w:hAnsi="Book Antiqua"/>
          <w:color w:val="auto"/>
          <w:lang w:val="en-US"/>
        </w:rPr>
      </w:pPr>
      <w:r w:rsidRPr="00F448FE">
        <w:rPr>
          <w:rFonts w:ascii="Book Antiqua" w:hAnsi="Book Antiqua"/>
          <w:color w:val="auto"/>
          <w:lang w:val="en-US"/>
        </w:rPr>
        <w:t xml:space="preserve">Irritable bowel syndrome (IBS) is a wide spread condition affecting 12.1% of the world </w:t>
      </w:r>
      <w:proofErr w:type="gramStart"/>
      <w:r w:rsidRPr="00F448FE">
        <w:rPr>
          <w:rFonts w:ascii="Book Antiqua" w:hAnsi="Book Antiqua"/>
          <w:color w:val="auto"/>
          <w:lang w:val="en-US"/>
        </w:rPr>
        <w:t>population</w:t>
      </w:r>
      <w:r w:rsidR="00863A1B" w:rsidRPr="00F448FE">
        <w:rPr>
          <w:rFonts w:ascii="Book Antiqua" w:hAnsi="Book Antiqua"/>
          <w:noProof/>
          <w:color w:val="auto"/>
          <w:vertAlign w:val="superscript"/>
          <w:lang w:val="en-US"/>
        </w:rPr>
        <w:t>[</w:t>
      </w:r>
      <w:proofErr w:type="gramEnd"/>
      <w:r w:rsidR="00863A1B" w:rsidRPr="00F448FE">
        <w:rPr>
          <w:rFonts w:ascii="Book Antiqua" w:hAnsi="Book Antiqua"/>
          <w:noProof/>
          <w:color w:val="auto"/>
          <w:vertAlign w:val="superscript"/>
          <w:lang w:val="en-US"/>
        </w:rPr>
        <w:t>1,2]</w:t>
      </w:r>
      <w:r w:rsidRPr="00F448FE">
        <w:rPr>
          <w:rFonts w:ascii="Book Antiqua" w:hAnsi="Book Antiqua"/>
          <w:color w:val="auto"/>
          <w:lang w:val="en-US"/>
        </w:rPr>
        <w:t xml:space="preserve">. </w:t>
      </w:r>
      <w:r w:rsidR="00094614" w:rsidRPr="00F448FE">
        <w:rPr>
          <w:rFonts w:ascii="Book Antiqua" w:hAnsi="Book Antiqua"/>
          <w:color w:val="auto"/>
          <w:lang w:val="en-US"/>
        </w:rPr>
        <w:t>T</w:t>
      </w:r>
      <w:r w:rsidR="00C879E7" w:rsidRPr="00F448FE">
        <w:rPr>
          <w:rFonts w:ascii="Book Antiqua" w:hAnsi="Book Antiqua"/>
          <w:color w:val="auto"/>
          <w:lang w:val="en-US"/>
        </w:rPr>
        <w:t>he prevalence of IBS differ</w:t>
      </w:r>
      <w:r w:rsidR="00094614" w:rsidRPr="00F448FE">
        <w:rPr>
          <w:rFonts w:ascii="Book Antiqua" w:hAnsi="Book Antiqua"/>
          <w:color w:val="auto"/>
          <w:lang w:val="en-US"/>
        </w:rPr>
        <w:t>s considerably</w:t>
      </w:r>
      <w:r w:rsidR="00C879E7" w:rsidRPr="00F448FE">
        <w:rPr>
          <w:rFonts w:ascii="Book Antiqua" w:hAnsi="Book Antiqua"/>
          <w:color w:val="auto"/>
          <w:lang w:val="en-US"/>
        </w:rPr>
        <w:t xml:space="preserve"> between different parts of the world with the lowest prevalence in Asia and </w:t>
      </w:r>
      <w:r w:rsidR="00923C93" w:rsidRPr="00F448FE">
        <w:rPr>
          <w:rFonts w:ascii="Book Antiqua" w:hAnsi="Book Antiqua"/>
          <w:color w:val="auto"/>
          <w:lang w:val="en-US"/>
        </w:rPr>
        <w:t xml:space="preserve">the </w:t>
      </w:r>
      <w:r w:rsidR="00C879E7" w:rsidRPr="00F448FE">
        <w:rPr>
          <w:rFonts w:ascii="Book Antiqua" w:hAnsi="Book Antiqua"/>
          <w:color w:val="auto"/>
          <w:lang w:val="en-US"/>
        </w:rPr>
        <w:t xml:space="preserve">highest in South </w:t>
      </w:r>
      <w:proofErr w:type="gramStart"/>
      <w:r w:rsidR="00C879E7" w:rsidRPr="00F448FE">
        <w:rPr>
          <w:rFonts w:ascii="Book Antiqua" w:hAnsi="Book Antiqua"/>
          <w:color w:val="auto"/>
          <w:lang w:val="en-US"/>
        </w:rPr>
        <w:t>America</w:t>
      </w:r>
      <w:r w:rsidR="00863A1B" w:rsidRPr="00F448FE">
        <w:rPr>
          <w:rFonts w:ascii="Book Antiqua" w:hAnsi="Book Antiqua"/>
          <w:noProof/>
          <w:color w:val="auto"/>
          <w:vertAlign w:val="superscript"/>
          <w:lang w:val="en-US"/>
        </w:rPr>
        <w:t>[</w:t>
      </w:r>
      <w:proofErr w:type="gramEnd"/>
      <w:r w:rsidR="00863A1B" w:rsidRPr="00F448FE">
        <w:rPr>
          <w:rFonts w:ascii="Book Antiqua" w:hAnsi="Book Antiqua"/>
          <w:noProof/>
          <w:color w:val="auto"/>
          <w:vertAlign w:val="superscript"/>
          <w:lang w:val="en-US"/>
        </w:rPr>
        <w:t>1]</w:t>
      </w:r>
      <w:r w:rsidR="00C879E7" w:rsidRPr="00F448FE">
        <w:rPr>
          <w:rFonts w:ascii="Book Antiqua" w:hAnsi="Book Antiqua"/>
          <w:color w:val="auto"/>
          <w:lang w:val="en-US"/>
        </w:rPr>
        <w:t>. The cardinal symptom of IBS is intermittent abdominal pain accompanied by altered bowel habits and abdominal bloating/</w:t>
      </w:r>
      <w:proofErr w:type="gramStart"/>
      <w:r w:rsidR="00C879E7" w:rsidRPr="00F448FE">
        <w:rPr>
          <w:rFonts w:ascii="Book Antiqua" w:hAnsi="Book Antiqua"/>
          <w:color w:val="auto"/>
          <w:lang w:val="en-US"/>
        </w:rPr>
        <w:t>distention</w:t>
      </w:r>
      <w:r w:rsidR="00863A1B" w:rsidRPr="00F448FE">
        <w:rPr>
          <w:rFonts w:ascii="Book Antiqua" w:hAnsi="Book Antiqua"/>
          <w:noProof/>
          <w:color w:val="auto"/>
          <w:vertAlign w:val="superscript"/>
          <w:lang w:val="en-US"/>
        </w:rPr>
        <w:t>[</w:t>
      </w:r>
      <w:proofErr w:type="gramEnd"/>
      <w:r w:rsidR="00863A1B" w:rsidRPr="00F448FE">
        <w:rPr>
          <w:rFonts w:ascii="Book Antiqua" w:hAnsi="Book Antiqua"/>
          <w:noProof/>
          <w:color w:val="auto"/>
          <w:vertAlign w:val="superscript"/>
          <w:lang w:val="en-US"/>
        </w:rPr>
        <w:t>3]</w:t>
      </w:r>
      <w:r w:rsidR="00C879E7" w:rsidRPr="00F448FE">
        <w:rPr>
          <w:rFonts w:ascii="Book Antiqua" w:hAnsi="Book Antiqua"/>
          <w:color w:val="auto"/>
          <w:lang w:val="en-US"/>
        </w:rPr>
        <w:t xml:space="preserve">. There is no biochemical, radiological or clinical test/examination for diagnosing IBS and the IBS diagnosis is based on symptoms </w:t>
      </w:r>
      <w:proofErr w:type="gramStart"/>
      <w:r w:rsidR="00C879E7" w:rsidRPr="00F448FE">
        <w:rPr>
          <w:rFonts w:ascii="Book Antiqua" w:hAnsi="Book Antiqua"/>
          <w:color w:val="auto"/>
          <w:lang w:val="en-US"/>
        </w:rPr>
        <w:t>assessment</w:t>
      </w:r>
      <w:r w:rsidR="00863A1B" w:rsidRPr="00F448FE">
        <w:rPr>
          <w:rFonts w:ascii="Book Antiqua" w:hAnsi="Book Antiqua"/>
          <w:noProof/>
          <w:color w:val="auto"/>
          <w:vertAlign w:val="superscript"/>
          <w:lang w:val="en-US"/>
        </w:rPr>
        <w:t>[</w:t>
      </w:r>
      <w:proofErr w:type="gramEnd"/>
      <w:r w:rsidR="00863A1B" w:rsidRPr="00F448FE">
        <w:rPr>
          <w:rFonts w:ascii="Book Antiqua" w:hAnsi="Book Antiqua"/>
          <w:noProof/>
          <w:color w:val="auto"/>
          <w:vertAlign w:val="superscript"/>
          <w:lang w:val="en-US"/>
        </w:rPr>
        <w:t>4]</w:t>
      </w:r>
      <w:r w:rsidR="00C879E7" w:rsidRPr="00F448FE">
        <w:rPr>
          <w:rFonts w:ascii="Book Antiqua" w:hAnsi="Book Antiqua"/>
          <w:color w:val="auto"/>
          <w:lang w:val="en-US"/>
        </w:rPr>
        <w:t xml:space="preserve">. </w:t>
      </w:r>
      <w:r w:rsidRPr="00F448FE">
        <w:rPr>
          <w:rFonts w:ascii="Book Antiqua" w:hAnsi="Book Antiqua"/>
          <w:color w:val="auto"/>
          <w:lang w:val="en-US"/>
        </w:rPr>
        <w:t xml:space="preserve">IBS reduces significantly the </w:t>
      </w:r>
      <w:r w:rsidR="00ED466C" w:rsidRPr="00F448FE">
        <w:rPr>
          <w:rFonts w:ascii="Book Antiqua" w:hAnsi="Book Antiqua"/>
          <w:color w:val="auto"/>
          <w:lang w:val="en-US"/>
        </w:rPr>
        <w:t>patients’</w:t>
      </w:r>
      <w:r w:rsidRPr="00F448FE">
        <w:rPr>
          <w:rFonts w:ascii="Book Antiqua" w:hAnsi="Book Antiqua"/>
          <w:color w:val="auto"/>
          <w:lang w:val="en-US"/>
        </w:rPr>
        <w:t xml:space="preserve"> quality of life </w:t>
      </w:r>
      <w:r w:rsidR="00C879E7" w:rsidRPr="00F448FE">
        <w:rPr>
          <w:rFonts w:ascii="Book Antiqua" w:hAnsi="Book Antiqua"/>
          <w:color w:val="auto"/>
          <w:lang w:val="en-US"/>
        </w:rPr>
        <w:t>in the same degree as major chronic diseases such heart failure</w:t>
      </w:r>
      <w:r w:rsidR="00C06107" w:rsidRPr="00F448FE">
        <w:rPr>
          <w:rFonts w:ascii="Book Antiqua" w:hAnsi="Book Antiqua"/>
          <w:color w:val="auto"/>
          <w:lang w:val="en-US"/>
        </w:rPr>
        <w:t>,</w:t>
      </w:r>
      <w:r w:rsidR="00C879E7" w:rsidRPr="00F448FE">
        <w:rPr>
          <w:rFonts w:ascii="Book Antiqua" w:hAnsi="Book Antiqua"/>
          <w:color w:val="auto"/>
          <w:lang w:val="en-US"/>
        </w:rPr>
        <w:t xml:space="preserve"> renal failure, diabetes, and inflammatory bowel </w:t>
      </w:r>
      <w:proofErr w:type="gramStart"/>
      <w:r w:rsidR="00C879E7" w:rsidRPr="00F448FE">
        <w:rPr>
          <w:rFonts w:ascii="Book Antiqua" w:hAnsi="Book Antiqua"/>
          <w:color w:val="auto"/>
          <w:lang w:val="en-US"/>
        </w:rPr>
        <w:t>disease</w:t>
      </w:r>
      <w:r w:rsidR="00863A1B" w:rsidRPr="00F448FE">
        <w:rPr>
          <w:rFonts w:ascii="Book Antiqua" w:hAnsi="Book Antiqua"/>
          <w:noProof/>
          <w:color w:val="auto"/>
          <w:vertAlign w:val="superscript"/>
          <w:lang w:val="en-US"/>
        </w:rPr>
        <w:t>[</w:t>
      </w:r>
      <w:proofErr w:type="gramEnd"/>
      <w:r w:rsidR="00863A1B" w:rsidRPr="00F448FE">
        <w:rPr>
          <w:rFonts w:ascii="Book Antiqua" w:hAnsi="Book Antiqua"/>
          <w:noProof/>
          <w:color w:val="auto"/>
          <w:vertAlign w:val="superscript"/>
          <w:lang w:val="en-US"/>
        </w:rPr>
        <w:t>2,3]</w:t>
      </w:r>
      <w:r w:rsidR="00ED466C" w:rsidRPr="00F448FE">
        <w:rPr>
          <w:rFonts w:ascii="Book Antiqua" w:hAnsi="Book Antiqua"/>
          <w:color w:val="auto"/>
          <w:lang w:val="en-US"/>
        </w:rPr>
        <w:t>.</w:t>
      </w:r>
      <w:r w:rsidR="00C879E7" w:rsidRPr="00F448FE">
        <w:rPr>
          <w:rFonts w:ascii="Book Antiqua" w:hAnsi="Book Antiqua"/>
          <w:color w:val="auto"/>
          <w:lang w:val="en-US"/>
        </w:rPr>
        <w:t xml:space="preserve"> </w:t>
      </w:r>
      <w:r w:rsidR="00E9745A" w:rsidRPr="00F448FE">
        <w:rPr>
          <w:rFonts w:ascii="Book Antiqua" w:hAnsi="Book Antiqua"/>
          <w:color w:val="auto"/>
          <w:lang w:val="en-US"/>
        </w:rPr>
        <w:t>It has been reported that 12</w:t>
      </w:r>
      <w:r w:rsidR="00CF3E22" w:rsidRPr="00F448FE">
        <w:rPr>
          <w:rFonts w:ascii="Book Antiqua" w:hAnsi="Book Antiqua"/>
          <w:color w:val="auto"/>
          <w:lang w:val="en-US"/>
        </w:rPr>
        <w:t>%</w:t>
      </w:r>
      <w:r w:rsidR="00E9745A" w:rsidRPr="00F448FE">
        <w:rPr>
          <w:rFonts w:ascii="Book Antiqua" w:hAnsi="Book Antiqua"/>
          <w:color w:val="auto"/>
          <w:lang w:val="en-US"/>
        </w:rPr>
        <w:t>-14% of primary care patient visit</w:t>
      </w:r>
      <w:r w:rsidR="00ED466C" w:rsidRPr="00F448FE">
        <w:rPr>
          <w:rFonts w:ascii="Book Antiqua" w:hAnsi="Book Antiqua"/>
          <w:color w:val="auto"/>
          <w:lang w:val="en-US"/>
        </w:rPr>
        <w:t xml:space="preserve">, and 28% of referrals to gastroenterologists are IBS </w:t>
      </w:r>
      <w:proofErr w:type="gramStart"/>
      <w:r w:rsidR="00ED466C" w:rsidRPr="00F448FE">
        <w:rPr>
          <w:rFonts w:ascii="Book Antiqua" w:hAnsi="Book Antiqua"/>
          <w:color w:val="auto"/>
          <w:lang w:val="en-US"/>
        </w:rPr>
        <w:t>patients</w:t>
      </w:r>
      <w:r w:rsidR="00863A1B" w:rsidRPr="00F448FE">
        <w:rPr>
          <w:rFonts w:ascii="Book Antiqua" w:hAnsi="Book Antiqua"/>
          <w:noProof/>
          <w:color w:val="auto"/>
          <w:vertAlign w:val="superscript"/>
          <w:lang w:val="en-US"/>
        </w:rPr>
        <w:t>[</w:t>
      </w:r>
      <w:proofErr w:type="gramEnd"/>
      <w:r w:rsidR="00863A1B" w:rsidRPr="00F448FE">
        <w:rPr>
          <w:rFonts w:ascii="Book Antiqua" w:hAnsi="Book Antiqua"/>
          <w:noProof/>
          <w:color w:val="auto"/>
          <w:vertAlign w:val="superscript"/>
          <w:lang w:val="en-US"/>
        </w:rPr>
        <w:t>5-7]</w:t>
      </w:r>
      <w:r w:rsidR="008B6E23" w:rsidRPr="00F448FE">
        <w:rPr>
          <w:rFonts w:ascii="Book Antiqua" w:hAnsi="Book Antiqua"/>
          <w:color w:val="auto"/>
          <w:lang w:val="en-US"/>
        </w:rPr>
        <w:t xml:space="preserve"> and consequently </w:t>
      </w:r>
      <w:r w:rsidR="00ED466C" w:rsidRPr="00F448FE">
        <w:rPr>
          <w:rFonts w:ascii="Book Antiqua" w:hAnsi="Book Antiqua"/>
          <w:color w:val="auto"/>
          <w:lang w:val="en-US"/>
        </w:rPr>
        <w:t xml:space="preserve">IBS </w:t>
      </w:r>
      <w:r w:rsidR="008B6E23" w:rsidRPr="00F448FE">
        <w:rPr>
          <w:rFonts w:ascii="Book Antiqua" w:hAnsi="Book Antiqua"/>
          <w:color w:val="auto"/>
          <w:lang w:val="en-US"/>
        </w:rPr>
        <w:t>patients are more common in the healthcare</w:t>
      </w:r>
      <w:r w:rsidR="00ED466C" w:rsidRPr="00F448FE">
        <w:rPr>
          <w:rFonts w:ascii="Book Antiqua" w:hAnsi="Book Antiqua"/>
          <w:color w:val="auto"/>
          <w:lang w:val="en-US"/>
        </w:rPr>
        <w:t xml:space="preserve"> than</w:t>
      </w:r>
      <w:r w:rsidR="008B6E23" w:rsidRPr="00F448FE">
        <w:rPr>
          <w:rFonts w:ascii="Book Antiqua" w:hAnsi="Book Antiqua"/>
          <w:color w:val="auto"/>
          <w:lang w:val="en-US"/>
        </w:rPr>
        <w:t xml:space="preserve"> patients with</w:t>
      </w:r>
      <w:r w:rsidR="00ED466C" w:rsidRPr="00F448FE">
        <w:rPr>
          <w:rFonts w:ascii="Book Antiqua" w:hAnsi="Book Antiqua"/>
          <w:color w:val="auto"/>
          <w:lang w:val="en-US"/>
        </w:rPr>
        <w:t xml:space="preserve"> diabetes, hypertension or asthma</w:t>
      </w:r>
      <w:r w:rsidR="00863A1B" w:rsidRPr="00F448FE">
        <w:rPr>
          <w:rFonts w:ascii="Book Antiqua" w:hAnsi="Book Antiqua"/>
          <w:noProof/>
          <w:color w:val="auto"/>
          <w:vertAlign w:val="superscript"/>
          <w:lang w:val="en-US"/>
        </w:rPr>
        <w:t>[8,9]</w:t>
      </w:r>
      <w:r w:rsidR="00ED466C" w:rsidRPr="00F448FE">
        <w:rPr>
          <w:rFonts w:ascii="Book Antiqua" w:hAnsi="Book Antiqua"/>
          <w:color w:val="auto"/>
          <w:lang w:val="en-US"/>
        </w:rPr>
        <w:t>.</w:t>
      </w:r>
      <w:r w:rsidR="00ED466C" w:rsidRPr="00F448FE">
        <w:rPr>
          <w:rFonts w:ascii="Book Antiqua" w:hAnsi="Book Antiqua"/>
          <w:color w:val="auto"/>
          <w:vertAlign w:val="superscript"/>
          <w:lang w:val="en-US"/>
        </w:rPr>
        <w:t xml:space="preserve"> </w:t>
      </w:r>
      <w:r w:rsidR="00992763" w:rsidRPr="00F448FE">
        <w:rPr>
          <w:rFonts w:ascii="Book Antiqua" w:hAnsi="Book Antiqua"/>
          <w:color w:val="auto"/>
          <w:lang w:val="en-US"/>
        </w:rPr>
        <w:t xml:space="preserve">There is no effective treatment for IBS and the available treatment in clinic is directed to symptom </w:t>
      </w:r>
      <w:proofErr w:type="gramStart"/>
      <w:r w:rsidR="00992763" w:rsidRPr="00F448FE">
        <w:rPr>
          <w:rFonts w:ascii="Book Antiqua" w:hAnsi="Book Antiqua"/>
          <w:color w:val="auto"/>
          <w:lang w:val="en-US"/>
        </w:rPr>
        <w:t>relief</w:t>
      </w:r>
      <w:r w:rsidR="00863A1B" w:rsidRPr="00F448FE">
        <w:rPr>
          <w:rFonts w:ascii="Book Antiqua" w:hAnsi="Book Antiqua"/>
          <w:noProof/>
          <w:color w:val="auto"/>
          <w:vertAlign w:val="superscript"/>
          <w:lang w:val="en-US"/>
        </w:rPr>
        <w:t>[</w:t>
      </w:r>
      <w:proofErr w:type="gramEnd"/>
      <w:r w:rsidR="00863A1B" w:rsidRPr="00F448FE">
        <w:rPr>
          <w:rFonts w:ascii="Book Antiqua" w:hAnsi="Book Antiqua"/>
          <w:noProof/>
          <w:color w:val="auto"/>
          <w:vertAlign w:val="superscript"/>
          <w:lang w:val="en-US"/>
        </w:rPr>
        <w:t>4]</w:t>
      </w:r>
      <w:r w:rsidR="00992763" w:rsidRPr="00F448FE">
        <w:rPr>
          <w:rFonts w:ascii="Book Antiqua" w:hAnsi="Book Antiqua"/>
          <w:color w:val="auto"/>
          <w:lang w:val="en-US"/>
        </w:rPr>
        <w:t>.</w:t>
      </w:r>
    </w:p>
    <w:p w14:paraId="753075A7" w14:textId="2D959710" w:rsidR="00992763" w:rsidRPr="00F448FE" w:rsidRDefault="00992763" w:rsidP="000D04E0">
      <w:pPr>
        <w:adjustRightInd w:val="0"/>
        <w:snapToGrid w:val="0"/>
        <w:spacing w:line="360" w:lineRule="auto"/>
        <w:ind w:firstLineChars="100" w:firstLine="240"/>
        <w:jc w:val="both"/>
        <w:rPr>
          <w:rFonts w:ascii="Book Antiqua" w:hAnsi="Book Antiqua"/>
        </w:rPr>
      </w:pPr>
      <w:r w:rsidRPr="00F448FE">
        <w:rPr>
          <w:rFonts w:ascii="Book Antiqua" w:hAnsi="Book Antiqua"/>
        </w:rPr>
        <w:t>S</w:t>
      </w:r>
      <w:r w:rsidR="00A55DE8" w:rsidRPr="00F448FE">
        <w:rPr>
          <w:rFonts w:ascii="Book Antiqua" w:hAnsi="Book Antiqua"/>
        </w:rPr>
        <w:t xml:space="preserve">everal factors are </w:t>
      </w:r>
      <w:r w:rsidRPr="00F448FE">
        <w:rPr>
          <w:rFonts w:ascii="Book Antiqua" w:hAnsi="Book Antiqua"/>
        </w:rPr>
        <w:t xml:space="preserve">known </w:t>
      </w:r>
      <w:r w:rsidR="00A55DE8" w:rsidRPr="00F448FE">
        <w:rPr>
          <w:rFonts w:ascii="Book Antiqua" w:hAnsi="Book Antiqua"/>
        </w:rPr>
        <w:t>to play pivot role in pathophysiology of IB</w:t>
      </w:r>
      <w:r w:rsidR="006556D0" w:rsidRPr="00F448FE">
        <w:rPr>
          <w:rFonts w:ascii="Book Antiqua" w:hAnsi="Book Antiqua"/>
        </w:rPr>
        <w:t xml:space="preserve">S. These factors are genetics, </w:t>
      </w:r>
      <w:r w:rsidR="00A55DE8" w:rsidRPr="00F448FE">
        <w:rPr>
          <w:rFonts w:ascii="Book Antiqua" w:hAnsi="Book Antiqua"/>
        </w:rPr>
        <w:t>diet, gut microbiota, gut endocrine cells</w:t>
      </w:r>
      <w:r w:rsidR="00C95E2F" w:rsidRPr="00F448FE">
        <w:rPr>
          <w:rFonts w:ascii="Book Antiqua" w:hAnsi="Book Antiqua"/>
        </w:rPr>
        <w:t>, stress</w:t>
      </w:r>
      <w:r w:rsidR="00A55DE8" w:rsidRPr="00F448FE">
        <w:rPr>
          <w:rFonts w:ascii="Book Antiqua" w:hAnsi="Book Antiqua"/>
        </w:rPr>
        <w:t xml:space="preserve"> and low-grade </w:t>
      </w:r>
      <w:proofErr w:type="gramStart"/>
      <w:r w:rsidR="00A55DE8" w:rsidRPr="00F448FE">
        <w:rPr>
          <w:rFonts w:ascii="Book Antiqua" w:hAnsi="Book Antiqua"/>
        </w:rPr>
        <w:t>inflammation</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2,10]</w:t>
      </w:r>
      <w:r w:rsidR="00A55DE8" w:rsidRPr="00F448FE">
        <w:rPr>
          <w:rFonts w:ascii="Book Antiqua" w:hAnsi="Book Antiqua"/>
        </w:rPr>
        <w:t xml:space="preserve">. </w:t>
      </w:r>
      <w:r w:rsidR="003626A7" w:rsidRPr="00F448FE">
        <w:rPr>
          <w:rFonts w:ascii="Book Antiqua" w:hAnsi="Book Antiqua"/>
        </w:rPr>
        <w:t xml:space="preserve">Abnormalities in the intestinal stem cells has been </w:t>
      </w:r>
      <w:r w:rsidR="00B02FDB" w:rsidRPr="00F448FE">
        <w:rPr>
          <w:rFonts w:ascii="Book Antiqua" w:hAnsi="Book Antiqua"/>
        </w:rPr>
        <w:t xml:space="preserve">reported </w:t>
      </w:r>
      <w:proofErr w:type="gramStart"/>
      <w:r w:rsidR="003626A7" w:rsidRPr="00F448FE">
        <w:rPr>
          <w:rFonts w:ascii="Book Antiqua" w:hAnsi="Book Antiqua"/>
        </w:rPr>
        <w:t>recently</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11-13]</w:t>
      </w:r>
      <w:r w:rsidR="00310AA1" w:rsidRPr="00F448FE">
        <w:rPr>
          <w:rFonts w:ascii="Book Antiqua" w:hAnsi="Book Antiqua"/>
        </w:rPr>
        <w:t xml:space="preserve">. The present review aimed at discussing </w:t>
      </w:r>
      <w:r w:rsidR="00DE1A63" w:rsidRPr="00F448FE">
        <w:rPr>
          <w:rFonts w:ascii="Book Antiqua" w:hAnsi="Book Antiqua"/>
        </w:rPr>
        <w:t>the possibility that the factors known to contribute</w:t>
      </w:r>
      <w:r w:rsidR="00867077" w:rsidRPr="00F448FE">
        <w:rPr>
          <w:rFonts w:ascii="Book Antiqua" w:hAnsi="Book Antiqua"/>
        </w:rPr>
        <w:t>.</w:t>
      </w:r>
      <w:r w:rsidR="00DE1A63" w:rsidRPr="00F448FE">
        <w:rPr>
          <w:rFonts w:ascii="Book Antiqua" w:hAnsi="Book Antiqua"/>
        </w:rPr>
        <w:t xml:space="preserve"> </w:t>
      </w:r>
      <w:r w:rsidR="00867077" w:rsidRPr="00F448FE">
        <w:rPr>
          <w:rFonts w:ascii="Book Antiqua" w:hAnsi="Book Antiqua"/>
        </w:rPr>
        <w:t xml:space="preserve">The present review conducted a literature search in </w:t>
      </w:r>
      <w:r w:rsidR="00867077" w:rsidRPr="00F448FE">
        <w:rPr>
          <w:rFonts w:ascii="Book Antiqua" w:hAnsi="Book Antiqua"/>
          <w:caps/>
        </w:rPr>
        <w:t>Medline</w:t>
      </w:r>
      <w:r w:rsidR="00867077" w:rsidRPr="00F448FE">
        <w:rPr>
          <w:rFonts w:ascii="Book Antiqua" w:hAnsi="Book Antiqua"/>
        </w:rPr>
        <w:t xml:space="preserve"> (PubMed) covering the last ten years until November 2019, where articles in English were included. Articles about the intestinal stem cells and their possible role in the pathophysiology of IBS are discussed.</w:t>
      </w:r>
    </w:p>
    <w:p w14:paraId="5EB15DB7" w14:textId="77777777" w:rsidR="00310AA1" w:rsidRPr="00F448FE" w:rsidRDefault="00310AA1" w:rsidP="000D04E0">
      <w:pPr>
        <w:adjustRightInd w:val="0"/>
        <w:snapToGrid w:val="0"/>
        <w:spacing w:line="360" w:lineRule="auto"/>
        <w:jc w:val="both"/>
        <w:rPr>
          <w:rFonts w:ascii="Book Antiqua" w:hAnsi="Book Antiqua" w:cs="Garamond"/>
        </w:rPr>
      </w:pPr>
    </w:p>
    <w:p w14:paraId="5566055F" w14:textId="5B94194A" w:rsidR="00AC2966" w:rsidRPr="00F448FE" w:rsidRDefault="00AC2966" w:rsidP="000D04E0">
      <w:pPr>
        <w:adjustRightInd w:val="0"/>
        <w:snapToGrid w:val="0"/>
        <w:spacing w:line="360" w:lineRule="auto"/>
        <w:jc w:val="both"/>
        <w:rPr>
          <w:rFonts w:ascii="Book Antiqua" w:hAnsi="Book Antiqua" w:cs="Garamond"/>
          <w:b/>
          <w:u w:val="single"/>
        </w:rPr>
      </w:pPr>
      <w:r w:rsidRPr="00F448FE">
        <w:rPr>
          <w:rFonts w:ascii="Book Antiqua" w:hAnsi="Book Antiqua" w:cs="Garamond"/>
          <w:b/>
          <w:u w:val="single"/>
        </w:rPr>
        <w:t>F</w:t>
      </w:r>
      <w:r w:rsidR="009C3DCD" w:rsidRPr="00F448FE">
        <w:rPr>
          <w:rFonts w:ascii="Book Antiqua" w:hAnsi="Book Antiqua" w:cs="Garamond"/>
          <w:b/>
          <w:u w:val="single"/>
        </w:rPr>
        <w:t>CACORS INVOLVED IN THE PATHOPHYSIOLOGY OF IBS</w:t>
      </w:r>
      <w:r w:rsidRPr="00F448FE">
        <w:rPr>
          <w:rFonts w:ascii="Book Antiqua" w:hAnsi="Book Antiqua" w:cs="Garamond"/>
          <w:b/>
          <w:u w:val="single"/>
        </w:rPr>
        <w:t xml:space="preserve"> </w:t>
      </w:r>
    </w:p>
    <w:p w14:paraId="21EF841E" w14:textId="461E5F4E" w:rsidR="00310AA1" w:rsidRPr="00F448FE" w:rsidRDefault="00CF3E22" w:rsidP="000D04E0">
      <w:pPr>
        <w:adjustRightInd w:val="0"/>
        <w:snapToGrid w:val="0"/>
        <w:spacing w:line="360" w:lineRule="auto"/>
        <w:jc w:val="both"/>
        <w:rPr>
          <w:rFonts w:ascii="Book Antiqua" w:hAnsi="Book Antiqua"/>
        </w:rPr>
      </w:pPr>
      <w:r w:rsidRPr="00F448FE">
        <w:rPr>
          <w:rFonts w:ascii="Book Antiqua" w:hAnsi="Book Antiqua" w:cs="Garamond"/>
          <w:b/>
          <w:i/>
        </w:rPr>
        <w:t>Genetics</w:t>
      </w:r>
      <w:r w:rsidRPr="00F448FE">
        <w:rPr>
          <w:rFonts w:ascii="Book Antiqua" w:hAnsi="Book Antiqua"/>
        </w:rPr>
        <w:t xml:space="preserve"> </w:t>
      </w:r>
    </w:p>
    <w:p w14:paraId="17B9ACC0" w14:textId="1F5C6C50" w:rsidR="00AC2966" w:rsidRPr="00F448FE" w:rsidRDefault="003626A7" w:rsidP="000D04E0">
      <w:pPr>
        <w:adjustRightInd w:val="0"/>
        <w:snapToGrid w:val="0"/>
        <w:spacing w:line="360" w:lineRule="auto"/>
        <w:jc w:val="both"/>
        <w:rPr>
          <w:rFonts w:ascii="Book Antiqua" w:hAnsi="Book Antiqua" w:cs="Garamond"/>
          <w:b/>
          <w:i/>
        </w:rPr>
      </w:pPr>
      <w:r w:rsidRPr="00F448FE">
        <w:rPr>
          <w:rFonts w:ascii="Book Antiqua" w:hAnsi="Book Antiqua"/>
        </w:rPr>
        <w:t>Studies of family history and family cluster as well as twin studies provide</w:t>
      </w:r>
      <w:r w:rsidR="00B02FDB" w:rsidRPr="00F448FE">
        <w:rPr>
          <w:rFonts w:ascii="Book Antiqua" w:hAnsi="Book Antiqua"/>
        </w:rPr>
        <w:t>d</w:t>
      </w:r>
      <w:r w:rsidRPr="00F448FE">
        <w:rPr>
          <w:rFonts w:ascii="Book Antiqua" w:hAnsi="Book Antiqua"/>
        </w:rPr>
        <w:t xml:space="preserve"> strong evidence</w:t>
      </w:r>
      <w:r w:rsidR="00B02FDB" w:rsidRPr="00F448FE">
        <w:rPr>
          <w:rFonts w:ascii="Book Antiqua" w:hAnsi="Book Antiqua"/>
        </w:rPr>
        <w:t>s</w:t>
      </w:r>
      <w:r w:rsidRPr="00F448FE">
        <w:rPr>
          <w:rFonts w:ascii="Book Antiqua" w:hAnsi="Book Antiqua"/>
        </w:rPr>
        <w:t xml:space="preserve"> that IBS is </w:t>
      </w:r>
      <w:proofErr w:type="gramStart"/>
      <w:r w:rsidRPr="00F448FE">
        <w:rPr>
          <w:rFonts w:ascii="Book Antiqua" w:hAnsi="Book Antiqua"/>
        </w:rPr>
        <w:t>hereditary</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14-21]</w:t>
      </w:r>
      <w:r w:rsidRPr="00F448FE">
        <w:rPr>
          <w:rFonts w:ascii="Book Antiqua" w:hAnsi="Book Antiqua" w:cs="Garamond"/>
        </w:rPr>
        <w:t>.</w:t>
      </w:r>
      <w:r w:rsidR="00310AA1" w:rsidRPr="00F448FE">
        <w:rPr>
          <w:rFonts w:ascii="Book Antiqua" w:hAnsi="Book Antiqua" w:cs="Garamond"/>
        </w:rPr>
        <w:t xml:space="preserve"> However, the possible mutant gene(s) responsible for IBS is/are not found </w:t>
      </w:r>
      <w:proofErr w:type="gramStart"/>
      <w:r w:rsidR="00310AA1" w:rsidRPr="00F448FE">
        <w:rPr>
          <w:rFonts w:ascii="Book Antiqua" w:hAnsi="Book Antiqua" w:cs="Garamond"/>
        </w:rPr>
        <w:t>yet</w:t>
      </w:r>
      <w:r w:rsidR="00863A1B" w:rsidRPr="00F448FE">
        <w:rPr>
          <w:rFonts w:ascii="Book Antiqua" w:hAnsi="Book Antiqua" w:cs="Garamond"/>
          <w:noProof/>
          <w:vertAlign w:val="superscript"/>
        </w:rPr>
        <w:t>[</w:t>
      </w:r>
      <w:proofErr w:type="gramEnd"/>
      <w:r w:rsidR="00863A1B" w:rsidRPr="00F448FE">
        <w:rPr>
          <w:rFonts w:ascii="Book Antiqua" w:hAnsi="Book Antiqua" w:cs="Garamond"/>
          <w:noProof/>
          <w:vertAlign w:val="superscript"/>
        </w:rPr>
        <w:t>2]</w:t>
      </w:r>
      <w:r w:rsidR="00310AA1" w:rsidRPr="00F448FE">
        <w:rPr>
          <w:rFonts w:ascii="Book Antiqua" w:hAnsi="Book Antiqua" w:cs="Garamond"/>
        </w:rPr>
        <w:t>.</w:t>
      </w:r>
    </w:p>
    <w:p w14:paraId="71398A8E" w14:textId="77777777" w:rsidR="00867077" w:rsidRPr="00F448FE" w:rsidRDefault="00867077" w:rsidP="000D04E0">
      <w:pPr>
        <w:adjustRightInd w:val="0"/>
        <w:snapToGrid w:val="0"/>
        <w:spacing w:line="360" w:lineRule="auto"/>
        <w:jc w:val="both"/>
        <w:rPr>
          <w:rFonts w:ascii="Book Antiqua" w:hAnsi="Book Antiqua" w:cs="Garamond"/>
          <w:b/>
          <w:i/>
        </w:rPr>
      </w:pPr>
    </w:p>
    <w:p w14:paraId="08232EF1" w14:textId="238D9169" w:rsidR="00AC2966" w:rsidRPr="00F448FE" w:rsidRDefault="00CF3E22" w:rsidP="000D04E0">
      <w:pPr>
        <w:adjustRightInd w:val="0"/>
        <w:snapToGrid w:val="0"/>
        <w:spacing w:line="360" w:lineRule="auto"/>
        <w:jc w:val="both"/>
        <w:rPr>
          <w:rFonts w:ascii="Book Antiqua" w:hAnsi="Book Antiqua" w:cs="Garamond"/>
          <w:b/>
          <w:i/>
        </w:rPr>
      </w:pPr>
      <w:r w:rsidRPr="00F448FE">
        <w:rPr>
          <w:rFonts w:ascii="Book Antiqua" w:hAnsi="Book Antiqua" w:cs="Garamond"/>
          <w:b/>
          <w:i/>
        </w:rPr>
        <w:t>Diet</w:t>
      </w:r>
    </w:p>
    <w:p w14:paraId="30D31DB9" w14:textId="3A460C9D" w:rsidR="00BD347E" w:rsidRPr="00F448FE" w:rsidRDefault="00BD347E" w:rsidP="000D04E0">
      <w:pPr>
        <w:widowControl w:val="0"/>
        <w:autoSpaceDE w:val="0"/>
        <w:autoSpaceDN w:val="0"/>
        <w:adjustRightInd w:val="0"/>
        <w:snapToGrid w:val="0"/>
        <w:spacing w:line="360" w:lineRule="auto"/>
        <w:jc w:val="both"/>
        <w:rPr>
          <w:rFonts w:ascii="Book Antiqua" w:hAnsi="Book Antiqua"/>
        </w:rPr>
      </w:pPr>
      <w:r w:rsidRPr="00F448FE">
        <w:rPr>
          <w:rFonts w:ascii="Book Antiqua" w:hAnsi="Book Antiqua"/>
        </w:rPr>
        <w:t xml:space="preserve">Patients with IBS avoid certain food items as they believe the worsen/trigger their </w:t>
      </w:r>
      <w:proofErr w:type="gramStart"/>
      <w:r w:rsidRPr="00F448FE">
        <w:rPr>
          <w:rFonts w:ascii="Book Antiqua" w:hAnsi="Book Antiqua"/>
        </w:rPr>
        <w:lastRenderedPageBreak/>
        <w:t>symptoms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22-26]</w:t>
      </w:r>
      <w:r w:rsidRPr="00F448FE">
        <w:rPr>
          <w:rFonts w:ascii="Book Antiqua" w:hAnsi="Book Antiqua"/>
        </w:rPr>
        <w:t xml:space="preserve">. However, there is no difference in intake of calories, or the meal patterns between IBS patients and community </w:t>
      </w:r>
      <w:proofErr w:type="gramStart"/>
      <w:r w:rsidRPr="00F448FE">
        <w:rPr>
          <w:rFonts w:ascii="Book Antiqua" w:hAnsi="Book Antiqua"/>
        </w:rPr>
        <w:t>controls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23,27,28]</w:t>
      </w:r>
      <w:r w:rsidRPr="00F448FE">
        <w:rPr>
          <w:rFonts w:ascii="Book Antiqua" w:hAnsi="Book Antiqua"/>
        </w:rPr>
        <w:t xml:space="preserve">. </w:t>
      </w:r>
    </w:p>
    <w:p w14:paraId="30CB1DD8" w14:textId="762F61B1" w:rsidR="000B7FF1" w:rsidRPr="00F448FE" w:rsidRDefault="00BD347E" w:rsidP="000D04E0">
      <w:pPr>
        <w:pStyle w:val="a6"/>
        <w:adjustRightInd w:val="0"/>
        <w:snapToGrid w:val="0"/>
        <w:spacing w:before="0" w:beforeAutospacing="0" w:after="0" w:afterAutospacing="0" w:line="360" w:lineRule="auto"/>
        <w:ind w:firstLineChars="100" w:firstLine="240"/>
        <w:jc w:val="both"/>
        <w:rPr>
          <w:rFonts w:ascii="Book Antiqua" w:hAnsi="Book Antiqua"/>
        </w:rPr>
      </w:pPr>
      <w:r w:rsidRPr="00F448FE">
        <w:rPr>
          <w:rFonts w:ascii="Book Antiqua" w:hAnsi="Book Antiqua"/>
        </w:rPr>
        <w:t>The effect of diet on IBS symptoms cannot be explained by food allergy/</w:t>
      </w:r>
      <w:proofErr w:type="gramStart"/>
      <w:r w:rsidRPr="00F448FE">
        <w:rPr>
          <w:rFonts w:ascii="Book Antiqua" w:hAnsi="Book Antiqua"/>
        </w:rPr>
        <w:t>intolerance</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29]</w:t>
      </w:r>
      <w:r w:rsidRPr="00F448FE">
        <w:rPr>
          <w:rFonts w:ascii="Book Antiqua" w:hAnsi="Book Antiqua"/>
        </w:rPr>
        <w:t xml:space="preserve">. However, it is generally accepted that poorly </w:t>
      </w:r>
      <w:r w:rsidR="00B02FDB" w:rsidRPr="00F448FE">
        <w:rPr>
          <w:rFonts w:ascii="Book Antiqua" w:hAnsi="Book Antiqua"/>
        </w:rPr>
        <w:t xml:space="preserve">absorbed carbohydrates and </w:t>
      </w:r>
      <w:proofErr w:type="spellStart"/>
      <w:r w:rsidR="00B02FDB" w:rsidRPr="00F448FE">
        <w:rPr>
          <w:rFonts w:ascii="Book Antiqua" w:hAnsi="Book Antiqua"/>
        </w:rPr>
        <w:t>fibers</w:t>
      </w:r>
      <w:proofErr w:type="spellEnd"/>
      <w:r w:rsidRPr="00F448FE">
        <w:rPr>
          <w:rFonts w:ascii="Book Antiqua" w:hAnsi="Book Antiqua"/>
        </w:rPr>
        <w:t xml:space="preserve"> play an important role in development IBS </w:t>
      </w:r>
      <w:proofErr w:type="gramStart"/>
      <w:r w:rsidRPr="00F448FE">
        <w:rPr>
          <w:rFonts w:ascii="Book Antiqua" w:hAnsi="Book Antiqua"/>
        </w:rPr>
        <w:t>symptoms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29,30]</w:t>
      </w:r>
      <w:r w:rsidRPr="00F448FE">
        <w:rPr>
          <w:rFonts w:ascii="Book Antiqua" w:hAnsi="Book Antiqua"/>
        </w:rPr>
        <w:t xml:space="preserve">. The intake of low fermentable oligo-, di-, monosaccharides and polyols-diet and National Institute for Health and Care Excellence-modified diet improve both symptoms and quality of life in IBS </w:t>
      </w:r>
      <w:proofErr w:type="gramStart"/>
      <w:r w:rsidRPr="00F448FE">
        <w:rPr>
          <w:rFonts w:ascii="Book Antiqua" w:hAnsi="Book Antiqua"/>
        </w:rPr>
        <w:t>patients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22,29,31,32]</w:t>
      </w:r>
      <w:r w:rsidRPr="00F448FE">
        <w:rPr>
          <w:rFonts w:ascii="Book Antiqua" w:hAnsi="Book Antiqua"/>
        </w:rPr>
        <w:t xml:space="preserve">. </w:t>
      </w:r>
      <w:r w:rsidR="005148EA" w:rsidRPr="00F448FE">
        <w:rPr>
          <w:rFonts w:ascii="Book Antiqua" w:hAnsi="Book Antiqua"/>
        </w:rPr>
        <w:t xml:space="preserve">However, a recent review and meta-analysis </w:t>
      </w:r>
      <w:r w:rsidR="000B7FF1" w:rsidRPr="00F448FE">
        <w:rPr>
          <w:rFonts w:ascii="Book Antiqua" w:hAnsi="Book Antiqua"/>
        </w:rPr>
        <w:t>showed that there is very low quality evidence showing</w:t>
      </w:r>
      <w:r w:rsidR="006E5E68" w:rsidRPr="00F448FE">
        <w:rPr>
          <w:rFonts w:ascii="Book Antiqua" w:hAnsi="Book Antiqua"/>
        </w:rPr>
        <w:t xml:space="preserve"> that </w:t>
      </w:r>
      <w:r w:rsidR="005148EA" w:rsidRPr="00F448FE">
        <w:rPr>
          <w:rFonts w:ascii="Book Antiqua" w:hAnsi="Book Antiqua"/>
        </w:rPr>
        <w:t xml:space="preserve">low </w:t>
      </w:r>
      <w:r w:rsidR="00CB0844" w:rsidRPr="00F448FE">
        <w:rPr>
          <w:rFonts w:ascii="Book Antiqua" w:hAnsi="Book Antiqua"/>
        </w:rPr>
        <w:t>fermentable oligo-, di-, monosaccharides and polyols</w:t>
      </w:r>
      <w:r w:rsidR="005148EA" w:rsidRPr="00F448FE">
        <w:rPr>
          <w:rFonts w:ascii="Book Antiqua" w:hAnsi="Book Antiqua"/>
        </w:rPr>
        <w:t xml:space="preserve"> diet</w:t>
      </w:r>
      <w:r w:rsidR="006E5E68" w:rsidRPr="00F448FE">
        <w:rPr>
          <w:rFonts w:ascii="Book Antiqua" w:hAnsi="Book Antiqua"/>
        </w:rPr>
        <w:t xml:space="preserve"> </w:t>
      </w:r>
      <w:r w:rsidR="000B7FF1" w:rsidRPr="00F448FE">
        <w:rPr>
          <w:rFonts w:ascii="Book Antiqua" w:hAnsi="Book Antiqua"/>
        </w:rPr>
        <w:t>relief</w:t>
      </w:r>
      <w:r w:rsidR="006E5E68" w:rsidRPr="00F448FE">
        <w:rPr>
          <w:rFonts w:ascii="Book Antiqua" w:hAnsi="Book Antiqua"/>
        </w:rPr>
        <w:t>s</w:t>
      </w:r>
      <w:r w:rsidR="000B7FF1" w:rsidRPr="00F448FE">
        <w:rPr>
          <w:rFonts w:ascii="Book Antiqua" w:hAnsi="Book Antiqua"/>
        </w:rPr>
        <w:t xml:space="preserve"> IBS </w:t>
      </w:r>
      <w:proofErr w:type="gramStart"/>
      <w:r w:rsidR="000B7FF1" w:rsidRPr="00F448FE">
        <w:rPr>
          <w:rFonts w:ascii="Book Antiqua" w:hAnsi="Book Antiqua"/>
        </w:rPr>
        <w:t>symptoms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33]</w:t>
      </w:r>
      <w:r w:rsidR="000B7FF1" w:rsidRPr="00F448FE">
        <w:rPr>
          <w:rFonts w:ascii="Book Antiqua" w:hAnsi="Book Antiqua"/>
        </w:rPr>
        <w:t>.</w:t>
      </w:r>
    </w:p>
    <w:p w14:paraId="2E28178D" w14:textId="2D4B09B7" w:rsidR="00BD347E" w:rsidRPr="00F448FE" w:rsidRDefault="00781881" w:rsidP="000D04E0">
      <w:pPr>
        <w:adjustRightInd w:val="0"/>
        <w:snapToGrid w:val="0"/>
        <w:spacing w:line="360" w:lineRule="auto"/>
        <w:ind w:firstLineChars="100" w:firstLine="240"/>
        <w:jc w:val="both"/>
        <w:rPr>
          <w:rFonts w:ascii="Book Antiqua" w:hAnsi="Book Antiqua"/>
        </w:rPr>
      </w:pPr>
      <w:r w:rsidRPr="00F448FE">
        <w:rPr>
          <w:rFonts w:ascii="Book Antiqua" w:hAnsi="Book Antiqua"/>
        </w:rPr>
        <w:t>Based on a case report published in 1978, non</w:t>
      </w:r>
      <w:r w:rsidR="00DE1A63" w:rsidRPr="00F448FE">
        <w:rPr>
          <w:rFonts w:ascii="Book Antiqua" w:hAnsi="Book Antiqua"/>
        </w:rPr>
        <w:t>-</w:t>
      </w:r>
      <w:r w:rsidRPr="00F448FE">
        <w:rPr>
          <w:rFonts w:ascii="Book Antiqua" w:hAnsi="Book Antiqua"/>
        </w:rPr>
        <w:t xml:space="preserve">celiac gluten sensitivity was </w:t>
      </w:r>
      <w:proofErr w:type="gramStart"/>
      <w:r w:rsidRPr="00F448FE">
        <w:rPr>
          <w:rFonts w:ascii="Book Antiqua" w:hAnsi="Book Antiqua"/>
        </w:rPr>
        <w:t>coined</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34-36]</w:t>
      </w:r>
      <w:r w:rsidRPr="00F448FE">
        <w:rPr>
          <w:rFonts w:ascii="Book Antiqua" w:hAnsi="Book Antiqua"/>
        </w:rPr>
        <w:t xml:space="preserve">. In this case, a patient without celiac disease, suffered from abdominal pain and </w:t>
      </w:r>
      <w:proofErr w:type="spellStart"/>
      <w:r w:rsidRPr="00F448FE">
        <w:rPr>
          <w:rFonts w:ascii="Book Antiqua" w:hAnsi="Book Antiqua"/>
        </w:rPr>
        <w:t>diarrhea</w:t>
      </w:r>
      <w:proofErr w:type="spellEnd"/>
      <w:r w:rsidRPr="00F448FE">
        <w:rPr>
          <w:rFonts w:ascii="Book Antiqua" w:hAnsi="Book Antiqua"/>
        </w:rPr>
        <w:t xml:space="preserve"> who experienced symptoms improved when she used gluten-free diet. Several studies showed that withdrawal of wheat products in patients with non</w:t>
      </w:r>
      <w:r w:rsidR="00DE1A63" w:rsidRPr="00F448FE">
        <w:rPr>
          <w:rFonts w:ascii="Book Antiqua" w:hAnsi="Book Antiqua"/>
        </w:rPr>
        <w:t>-</w:t>
      </w:r>
      <w:r w:rsidRPr="00F448FE">
        <w:rPr>
          <w:rFonts w:ascii="Book Antiqua" w:hAnsi="Book Antiqua"/>
        </w:rPr>
        <w:t xml:space="preserve">celiac IBS-like symptoms improve these </w:t>
      </w:r>
      <w:proofErr w:type="gramStart"/>
      <w:r w:rsidRPr="00F448FE">
        <w:rPr>
          <w:rFonts w:ascii="Book Antiqua" w:hAnsi="Book Antiqua"/>
        </w:rPr>
        <w:t>symptoms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37-42]</w:t>
      </w:r>
      <w:r w:rsidRPr="00F448FE">
        <w:rPr>
          <w:rFonts w:ascii="Book Antiqua" w:hAnsi="Book Antiqua"/>
        </w:rPr>
        <w:t xml:space="preserve">. </w:t>
      </w:r>
      <w:r w:rsidR="00B437F1" w:rsidRPr="00F448FE">
        <w:rPr>
          <w:rFonts w:ascii="Book Antiqua" w:hAnsi="Book Antiqua"/>
        </w:rPr>
        <w:t xml:space="preserve">However, a double-blind placebo-controlled study showed that it is </w:t>
      </w:r>
      <w:proofErr w:type="spellStart"/>
      <w:r w:rsidR="00B437F1" w:rsidRPr="00F448FE">
        <w:rPr>
          <w:rFonts w:ascii="Book Antiqua" w:hAnsi="Book Antiqua"/>
        </w:rPr>
        <w:t>fructan</w:t>
      </w:r>
      <w:proofErr w:type="spellEnd"/>
      <w:r w:rsidR="00B437F1" w:rsidRPr="00F448FE">
        <w:rPr>
          <w:rFonts w:ascii="Book Antiqua" w:hAnsi="Book Antiqua"/>
        </w:rPr>
        <w:t xml:space="preserve"> in the wheat </w:t>
      </w:r>
      <w:r w:rsidR="006E5E68" w:rsidRPr="00F448FE">
        <w:rPr>
          <w:rFonts w:ascii="Book Antiqua" w:hAnsi="Book Antiqua"/>
        </w:rPr>
        <w:t xml:space="preserve">rather </w:t>
      </w:r>
      <w:r w:rsidR="00B437F1" w:rsidRPr="00F448FE">
        <w:rPr>
          <w:rFonts w:ascii="Book Antiqua" w:hAnsi="Book Antiqua"/>
        </w:rPr>
        <w:t xml:space="preserve">than gluten that trigger IBS </w:t>
      </w:r>
      <w:proofErr w:type="gramStart"/>
      <w:r w:rsidR="00B437F1" w:rsidRPr="00F448FE">
        <w:rPr>
          <w:rFonts w:ascii="Book Antiqua" w:hAnsi="Book Antiqua"/>
        </w:rPr>
        <w:t>symptoms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43]</w:t>
      </w:r>
      <w:r w:rsidR="00B437F1" w:rsidRPr="00F448FE">
        <w:rPr>
          <w:rFonts w:ascii="Book Antiqua" w:hAnsi="Book Antiqua"/>
        </w:rPr>
        <w:t>. In a recently published meta-analysis</w:t>
      </w:r>
      <w:r w:rsidR="006E5E68" w:rsidRPr="00F448FE">
        <w:rPr>
          <w:rFonts w:ascii="Book Antiqua" w:hAnsi="Book Antiqua"/>
        </w:rPr>
        <w:t xml:space="preserve"> concluded that </w:t>
      </w:r>
      <w:r w:rsidR="00B437F1" w:rsidRPr="00F448FE">
        <w:rPr>
          <w:rFonts w:ascii="Book Antiqua" w:hAnsi="Book Antiqua"/>
        </w:rPr>
        <w:t xml:space="preserve">there </w:t>
      </w:r>
      <w:r w:rsidR="00686F6E" w:rsidRPr="00F448FE">
        <w:rPr>
          <w:rFonts w:ascii="Book Antiqua" w:hAnsi="Book Antiqua"/>
        </w:rPr>
        <w:t xml:space="preserve">is </w:t>
      </w:r>
      <w:r w:rsidR="00B437F1" w:rsidRPr="00F448FE">
        <w:rPr>
          <w:rFonts w:ascii="Book Antiqua" w:hAnsi="Book Antiqua"/>
        </w:rPr>
        <w:t xml:space="preserve">insufficient evidence that </w:t>
      </w:r>
      <w:r w:rsidR="00CB0844" w:rsidRPr="00F448FE">
        <w:rPr>
          <w:rFonts w:ascii="Book Antiqua" w:hAnsi="Book Antiqua"/>
        </w:rPr>
        <w:t>gluten-free diet</w:t>
      </w:r>
      <w:r w:rsidR="00B437F1" w:rsidRPr="00F448FE">
        <w:rPr>
          <w:rFonts w:ascii="Book Antiqua" w:hAnsi="Book Antiqua"/>
        </w:rPr>
        <w:t xml:space="preserve"> improves IBS </w:t>
      </w:r>
      <w:proofErr w:type="gramStart"/>
      <w:r w:rsidR="00B437F1" w:rsidRPr="00F448FE">
        <w:rPr>
          <w:rFonts w:ascii="Book Antiqua" w:hAnsi="Book Antiqua"/>
        </w:rPr>
        <w:t>symptoms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33]</w:t>
      </w:r>
      <w:r w:rsidR="00B437F1" w:rsidRPr="00F448FE">
        <w:rPr>
          <w:rFonts w:ascii="Book Antiqua" w:hAnsi="Book Antiqua"/>
        </w:rPr>
        <w:t>.</w:t>
      </w:r>
    </w:p>
    <w:p w14:paraId="77CA5381" w14:textId="77777777" w:rsidR="00DE1A63" w:rsidRPr="00F448FE" w:rsidRDefault="00DE1A63" w:rsidP="000D04E0">
      <w:pPr>
        <w:adjustRightInd w:val="0"/>
        <w:snapToGrid w:val="0"/>
        <w:spacing w:line="360" w:lineRule="auto"/>
        <w:jc w:val="both"/>
        <w:rPr>
          <w:rFonts w:ascii="Book Antiqua" w:hAnsi="Book Antiqua"/>
        </w:rPr>
      </w:pPr>
    </w:p>
    <w:p w14:paraId="6C6186D0" w14:textId="3B7791E5" w:rsidR="00AC2966" w:rsidRPr="00F448FE" w:rsidRDefault="00CF3E22" w:rsidP="000D04E0">
      <w:pPr>
        <w:adjustRightInd w:val="0"/>
        <w:snapToGrid w:val="0"/>
        <w:spacing w:line="360" w:lineRule="auto"/>
        <w:jc w:val="both"/>
        <w:rPr>
          <w:rFonts w:ascii="Book Antiqua" w:hAnsi="Book Antiqua" w:cs="Garamond"/>
          <w:b/>
          <w:i/>
        </w:rPr>
      </w:pPr>
      <w:r w:rsidRPr="00F448FE">
        <w:rPr>
          <w:rFonts w:ascii="Book Antiqua" w:hAnsi="Book Antiqua" w:cs="Garamond"/>
          <w:b/>
          <w:i/>
        </w:rPr>
        <w:t>Gut microbiota</w:t>
      </w:r>
    </w:p>
    <w:p w14:paraId="1E4EF8E4" w14:textId="348BFAB0" w:rsidR="005E6C03" w:rsidRPr="00F448FE" w:rsidRDefault="005E6C03" w:rsidP="000D04E0">
      <w:pPr>
        <w:adjustRightInd w:val="0"/>
        <w:snapToGrid w:val="0"/>
        <w:spacing w:line="360" w:lineRule="auto"/>
        <w:jc w:val="both"/>
        <w:rPr>
          <w:rFonts w:ascii="Book Antiqua" w:hAnsi="Book Antiqua"/>
          <w:shd w:val="clear" w:color="auto" w:fill="FFFFFF"/>
        </w:rPr>
      </w:pPr>
      <w:r w:rsidRPr="00F448FE">
        <w:rPr>
          <w:rFonts w:ascii="Book Antiqua" w:hAnsi="Book Antiqua"/>
        </w:rPr>
        <w:t>The gastrointestinal microbiota comprises 12 different bacteria phyla, but most of the gut bacteria belongs</w:t>
      </w:r>
      <w:r w:rsidRPr="00F448FE">
        <w:rPr>
          <w:rFonts w:ascii="Book Antiqua" w:hAnsi="Book Antiqua"/>
          <w:shd w:val="clear" w:color="auto" w:fill="FFFFFF"/>
        </w:rPr>
        <w:t xml:space="preserve"> to the Proteobacteria, </w:t>
      </w:r>
      <w:proofErr w:type="spellStart"/>
      <w:r w:rsidRPr="00F448FE">
        <w:rPr>
          <w:rFonts w:ascii="Book Antiqua" w:hAnsi="Book Antiqua"/>
          <w:shd w:val="clear" w:color="auto" w:fill="FFFFFF"/>
        </w:rPr>
        <w:t>Firmicutes</w:t>
      </w:r>
      <w:proofErr w:type="spellEnd"/>
      <w:r w:rsidRPr="00F448FE">
        <w:rPr>
          <w:rFonts w:ascii="Book Antiqua" w:hAnsi="Book Antiqua"/>
          <w:shd w:val="clear" w:color="auto" w:fill="FFFFFF"/>
        </w:rPr>
        <w:t xml:space="preserve">, </w:t>
      </w:r>
      <w:proofErr w:type="spellStart"/>
      <w:r w:rsidRPr="00F448FE">
        <w:rPr>
          <w:rFonts w:ascii="Book Antiqua" w:hAnsi="Book Antiqua"/>
          <w:shd w:val="clear" w:color="auto" w:fill="FFFFFF"/>
        </w:rPr>
        <w:t>Actinobacteria</w:t>
      </w:r>
      <w:proofErr w:type="spellEnd"/>
      <w:r w:rsidRPr="00F448FE">
        <w:rPr>
          <w:rFonts w:ascii="Book Antiqua" w:hAnsi="Book Antiqua"/>
          <w:shd w:val="clear" w:color="auto" w:fill="FFFFFF"/>
        </w:rPr>
        <w:t xml:space="preserve"> and </w:t>
      </w:r>
      <w:proofErr w:type="spellStart"/>
      <w:proofErr w:type="gramStart"/>
      <w:r w:rsidRPr="00F448FE">
        <w:rPr>
          <w:rFonts w:ascii="Book Antiqua" w:hAnsi="Book Antiqua"/>
          <w:shd w:val="clear" w:color="auto" w:fill="FFFFFF"/>
        </w:rPr>
        <w:t>Bacteroidetes</w:t>
      </w:r>
      <w:proofErr w:type="spellEnd"/>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44,45]</w:t>
      </w:r>
      <w:r w:rsidRPr="00F448FE">
        <w:rPr>
          <w:rFonts w:ascii="Book Antiqua" w:hAnsi="Book Antiqua"/>
          <w:shd w:val="clear" w:color="auto" w:fill="FFFFFF"/>
        </w:rPr>
        <w:t>.</w:t>
      </w:r>
      <w:r w:rsidRPr="00F448FE">
        <w:rPr>
          <w:rStyle w:val="apple-converted-space"/>
          <w:rFonts w:ascii="Book Antiqua" w:hAnsi="Book Antiqua"/>
          <w:shd w:val="clear" w:color="auto" w:fill="FFFFFF"/>
        </w:rPr>
        <w:t xml:space="preserve"> The </w:t>
      </w:r>
      <w:r w:rsidRPr="00F448FE">
        <w:rPr>
          <w:rFonts w:ascii="Book Antiqua" w:hAnsi="Book Antiqua"/>
          <w:shd w:val="clear" w:color="auto" w:fill="FFFFFF"/>
        </w:rPr>
        <w:t xml:space="preserve">anaerobic Firmicutes and Bacteroidetes phyla dominate the bacterial population in the intestinal of healthy adults, with a few members from of the </w:t>
      </w:r>
      <w:proofErr w:type="spellStart"/>
      <w:r w:rsidRPr="00F448FE">
        <w:rPr>
          <w:rFonts w:ascii="Book Antiqua" w:hAnsi="Book Antiqua"/>
          <w:shd w:val="clear" w:color="auto" w:fill="FFFFFF"/>
        </w:rPr>
        <w:t>Proteobacteria</w:t>
      </w:r>
      <w:proofErr w:type="spellEnd"/>
      <w:r w:rsidRPr="00F448FE">
        <w:rPr>
          <w:rFonts w:ascii="Book Antiqua" w:hAnsi="Book Antiqua"/>
          <w:shd w:val="clear" w:color="auto" w:fill="FFFFFF"/>
        </w:rPr>
        <w:t xml:space="preserve"> and </w:t>
      </w:r>
      <w:proofErr w:type="spellStart"/>
      <w:r w:rsidRPr="00F448FE">
        <w:rPr>
          <w:rFonts w:ascii="Book Antiqua" w:hAnsi="Book Antiqua"/>
          <w:shd w:val="clear" w:color="auto" w:fill="FFFFFF"/>
        </w:rPr>
        <w:t>Actinobacteria</w:t>
      </w:r>
      <w:proofErr w:type="spellEnd"/>
      <w:r w:rsidRPr="00F448FE">
        <w:rPr>
          <w:rFonts w:ascii="Book Antiqua" w:hAnsi="Book Antiqua"/>
          <w:shd w:val="clear" w:color="auto" w:fill="FFFFFF"/>
        </w:rPr>
        <w:t xml:space="preserve"> </w:t>
      </w:r>
      <w:proofErr w:type="gramStart"/>
      <w:r w:rsidRPr="00F448FE">
        <w:rPr>
          <w:rFonts w:ascii="Book Antiqua" w:hAnsi="Book Antiqua"/>
          <w:shd w:val="clear" w:color="auto" w:fill="FFFFFF"/>
        </w:rPr>
        <w:t>phyla</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45,46]</w:t>
      </w:r>
      <w:r w:rsidRPr="00F448FE">
        <w:rPr>
          <w:rFonts w:ascii="Book Antiqua" w:hAnsi="Book Antiqua"/>
        </w:rPr>
        <w:t xml:space="preserve">. A </w:t>
      </w:r>
      <w:r w:rsidRPr="00F448FE">
        <w:rPr>
          <w:rFonts w:ascii="Book Antiqua" w:hAnsi="Book Antiqua"/>
          <w:shd w:val="clear" w:color="auto" w:fill="FFFFFF"/>
        </w:rPr>
        <w:t xml:space="preserve">low microbial diversity in the gut (dysbiosis) has been reported to be associated with several </w:t>
      </w:r>
      <w:proofErr w:type="gramStart"/>
      <w:r w:rsidRPr="00F448FE">
        <w:rPr>
          <w:rFonts w:ascii="Book Antiqua" w:hAnsi="Book Antiqua"/>
          <w:shd w:val="clear" w:color="auto" w:fill="FFFFFF"/>
        </w:rPr>
        <w:t>diseases</w:t>
      </w:r>
      <w:r w:rsidR="00C91440" w:rsidRPr="00F448FE">
        <w:rPr>
          <w:rFonts w:ascii="Book Antiqua" w:hAnsi="Book Antiqua"/>
          <w:noProof/>
          <w:shd w:val="clear" w:color="auto" w:fill="FFFFFF"/>
          <w:vertAlign w:val="superscript"/>
        </w:rPr>
        <w:t>[</w:t>
      </w:r>
      <w:proofErr w:type="gramEnd"/>
      <w:r w:rsidR="00C91440" w:rsidRPr="00F448FE">
        <w:rPr>
          <w:rFonts w:ascii="Book Antiqua" w:hAnsi="Book Antiqua"/>
          <w:noProof/>
          <w:shd w:val="clear" w:color="auto" w:fill="FFFFFF"/>
          <w:vertAlign w:val="superscript"/>
        </w:rPr>
        <w:t>47,48]</w:t>
      </w:r>
      <w:r w:rsidRPr="00F448FE">
        <w:rPr>
          <w:rFonts w:ascii="Book Antiqua" w:hAnsi="Book Antiqua"/>
          <w:shd w:val="clear" w:color="auto" w:fill="FFFFFF"/>
        </w:rPr>
        <w:t xml:space="preserve">. </w:t>
      </w:r>
    </w:p>
    <w:p w14:paraId="56AF17B9" w14:textId="1BFF4C4B" w:rsidR="005E6C03" w:rsidRPr="00F448FE" w:rsidRDefault="005E6C03" w:rsidP="000D04E0">
      <w:pPr>
        <w:adjustRightInd w:val="0"/>
        <w:snapToGrid w:val="0"/>
        <w:spacing w:line="360" w:lineRule="auto"/>
        <w:ind w:firstLineChars="100" w:firstLine="240"/>
        <w:jc w:val="both"/>
        <w:rPr>
          <w:rFonts w:ascii="Book Antiqua" w:hAnsi="Book Antiqua"/>
          <w:shd w:val="clear" w:color="auto" w:fill="FFFFFF"/>
        </w:rPr>
      </w:pPr>
      <w:r w:rsidRPr="00F448FE">
        <w:rPr>
          <w:rFonts w:ascii="Book Antiqua" w:hAnsi="Book Antiqua"/>
          <w:shd w:val="clear" w:color="auto" w:fill="FFFFFF"/>
        </w:rPr>
        <w:t xml:space="preserve">In healthy subjects, the intestinal microbiota composition is affected by the individual genetic composition and environmental factors </w:t>
      </w:r>
      <w:r w:rsidR="006E5E68" w:rsidRPr="00F448FE">
        <w:rPr>
          <w:rFonts w:ascii="Book Antiqua" w:hAnsi="Book Antiqua"/>
          <w:shd w:val="clear" w:color="auto" w:fill="FFFFFF"/>
        </w:rPr>
        <w:t>one</w:t>
      </w:r>
      <w:r w:rsidRPr="00F448FE">
        <w:rPr>
          <w:rFonts w:ascii="Book Antiqua" w:hAnsi="Book Antiqua"/>
          <w:shd w:val="clear" w:color="auto" w:fill="FFFFFF"/>
        </w:rPr>
        <w:t xml:space="preserve"> is exposed </w:t>
      </w:r>
      <w:proofErr w:type="gramStart"/>
      <w:r w:rsidRPr="00F448FE">
        <w:rPr>
          <w:rFonts w:ascii="Book Antiqua" w:hAnsi="Book Antiqua"/>
          <w:shd w:val="clear" w:color="auto" w:fill="FFFFFF"/>
        </w:rPr>
        <w:t>for</w:t>
      </w:r>
      <w:r w:rsidR="00C91440" w:rsidRPr="00F448FE">
        <w:rPr>
          <w:rFonts w:ascii="Book Antiqua" w:hAnsi="Book Antiqua"/>
          <w:noProof/>
          <w:shd w:val="clear" w:color="auto" w:fill="FFFFFF"/>
          <w:vertAlign w:val="superscript"/>
        </w:rPr>
        <w:t>[</w:t>
      </w:r>
      <w:proofErr w:type="gramEnd"/>
      <w:r w:rsidR="00C91440" w:rsidRPr="00F448FE">
        <w:rPr>
          <w:rFonts w:ascii="Book Antiqua" w:hAnsi="Book Antiqua"/>
          <w:noProof/>
          <w:shd w:val="clear" w:color="auto" w:fill="FFFFFF"/>
          <w:vertAlign w:val="superscript"/>
        </w:rPr>
        <w:t>44,48]</w:t>
      </w:r>
      <w:r w:rsidRPr="00F448FE">
        <w:rPr>
          <w:rFonts w:ascii="Book Antiqua" w:hAnsi="Book Antiqua"/>
          <w:shd w:val="clear" w:color="auto" w:fill="FFFFFF"/>
        </w:rPr>
        <w:t xml:space="preserve">. </w:t>
      </w:r>
      <w:r w:rsidRPr="00F448FE">
        <w:rPr>
          <w:rFonts w:ascii="Book Antiqua" w:hAnsi="Book Antiqua"/>
        </w:rPr>
        <w:t xml:space="preserve">The intestinal microbiota in IBS patients differs from that of healthy </w:t>
      </w:r>
      <w:proofErr w:type="gramStart"/>
      <w:r w:rsidRPr="00F448FE">
        <w:rPr>
          <w:rFonts w:ascii="Book Antiqua" w:hAnsi="Book Antiqua"/>
        </w:rPr>
        <w:t>subjects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48-51]</w:t>
      </w:r>
      <w:r w:rsidRPr="00F448FE">
        <w:rPr>
          <w:rFonts w:ascii="Book Antiqua" w:hAnsi="Book Antiqua"/>
        </w:rPr>
        <w:t>, and have a lower diversity (</w:t>
      </w:r>
      <w:proofErr w:type="spellStart"/>
      <w:r w:rsidRPr="00F448FE">
        <w:rPr>
          <w:rFonts w:ascii="Book Antiqua" w:hAnsi="Book Antiqua"/>
        </w:rPr>
        <w:t>dysbiosis</w:t>
      </w:r>
      <w:proofErr w:type="spellEnd"/>
      <w:r w:rsidRPr="00F448FE">
        <w:rPr>
          <w:rFonts w:ascii="Book Antiqua" w:hAnsi="Book Antiqua"/>
        </w:rPr>
        <w:t>)</w:t>
      </w:r>
      <w:r w:rsidR="00C91440" w:rsidRPr="00F448FE">
        <w:rPr>
          <w:rFonts w:ascii="Book Antiqua" w:hAnsi="Book Antiqua"/>
          <w:noProof/>
          <w:vertAlign w:val="superscript"/>
        </w:rPr>
        <w:t>[48-51]</w:t>
      </w:r>
      <w:r w:rsidRPr="00F448FE">
        <w:rPr>
          <w:rFonts w:ascii="Book Antiqua" w:hAnsi="Book Antiqua"/>
        </w:rPr>
        <w:t xml:space="preserve">. It is believed that this difference in the intestinal microbiota plays a pivot role in the pathophysiology of </w:t>
      </w:r>
      <w:proofErr w:type="gramStart"/>
      <w:r w:rsidRPr="00F448FE">
        <w:rPr>
          <w:rFonts w:ascii="Book Antiqua" w:hAnsi="Book Antiqua"/>
        </w:rPr>
        <w:t>IBS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49]</w:t>
      </w:r>
      <w:r w:rsidRPr="00F448FE">
        <w:rPr>
          <w:rFonts w:ascii="Book Antiqua" w:hAnsi="Book Antiqua"/>
        </w:rPr>
        <w:t>.</w:t>
      </w:r>
    </w:p>
    <w:p w14:paraId="650CBC2A" w14:textId="77777777" w:rsidR="00A50EED" w:rsidRPr="00F448FE" w:rsidRDefault="00A50EED" w:rsidP="000D04E0">
      <w:pPr>
        <w:adjustRightInd w:val="0"/>
        <w:snapToGrid w:val="0"/>
        <w:spacing w:line="360" w:lineRule="auto"/>
        <w:jc w:val="both"/>
        <w:rPr>
          <w:rFonts w:ascii="Book Antiqua" w:hAnsi="Book Antiqua" w:cs="Garamond"/>
          <w:b/>
          <w:i/>
        </w:rPr>
      </w:pPr>
    </w:p>
    <w:p w14:paraId="2C2AE95C" w14:textId="0DE01995" w:rsidR="00AC2966" w:rsidRPr="00F448FE" w:rsidRDefault="00CF3E22" w:rsidP="000D04E0">
      <w:pPr>
        <w:adjustRightInd w:val="0"/>
        <w:snapToGrid w:val="0"/>
        <w:spacing w:line="360" w:lineRule="auto"/>
        <w:jc w:val="both"/>
        <w:rPr>
          <w:rFonts w:ascii="Book Antiqua" w:hAnsi="Book Antiqua" w:cs="Garamond"/>
          <w:b/>
          <w:i/>
        </w:rPr>
      </w:pPr>
      <w:r w:rsidRPr="00F448FE">
        <w:rPr>
          <w:rFonts w:ascii="Book Antiqua" w:hAnsi="Book Antiqua" w:cs="Garamond"/>
          <w:b/>
          <w:i/>
        </w:rPr>
        <w:t>Gastrointestinal endocrine cells</w:t>
      </w:r>
    </w:p>
    <w:p w14:paraId="3FD8DD16" w14:textId="04166CCB" w:rsidR="00D20E88" w:rsidRPr="00F448FE" w:rsidRDefault="00E721A2" w:rsidP="000D04E0">
      <w:pPr>
        <w:adjustRightInd w:val="0"/>
        <w:snapToGrid w:val="0"/>
        <w:spacing w:line="360" w:lineRule="auto"/>
        <w:jc w:val="both"/>
        <w:rPr>
          <w:rFonts w:ascii="Book Antiqua" w:hAnsi="Book Antiqua"/>
        </w:rPr>
      </w:pPr>
      <w:r w:rsidRPr="00F448FE">
        <w:rPr>
          <w:rFonts w:ascii="Book Antiqua" w:hAnsi="Book Antiqua"/>
        </w:rPr>
        <w:t>The gastrointestinal endocrine cells are scattered in-between the epithelial cells facing the gut lumen (Figure 1</w:t>
      </w:r>
      <w:proofErr w:type="gramStart"/>
      <w:r w:rsidRPr="00F448FE">
        <w:rPr>
          <w:rFonts w:ascii="Book Antiqua" w:hAnsi="Book Antiqua"/>
        </w:rPr>
        <w:t>)</w:t>
      </w:r>
      <w:r w:rsidR="00F35A8A" w:rsidRPr="00F448FE">
        <w:rPr>
          <w:rFonts w:ascii="Book Antiqua" w:hAnsi="Book Antiqua"/>
          <w:noProof/>
          <w:vertAlign w:val="superscript"/>
        </w:rPr>
        <w:t>[</w:t>
      </w:r>
      <w:proofErr w:type="gramEnd"/>
      <w:r w:rsidR="00F35A8A" w:rsidRPr="00F448FE">
        <w:rPr>
          <w:rFonts w:ascii="Book Antiqua" w:hAnsi="Book Antiqua"/>
          <w:noProof/>
          <w:vertAlign w:val="superscript"/>
        </w:rPr>
        <w:t>52-54]</w:t>
      </w:r>
      <w:r w:rsidR="00DE4438" w:rsidRPr="00F448FE">
        <w:rPr>
          <w:rFonts w:ascii="Book Antiqua" w:hAnsi="Book Antiqua"/>
        </w:rPr>
        <w:t>.</w:t>
      </w:r>
      <w:r w:rsidRPr="00F448FE">
        <w:rPr>
          <w:rFonts w:ascii="Book Antiqua" w:hAnsi="Book Antiqua"/>
        </w:rPr>
        <w:t>These cells are localized to the stomach, small-and large intestine</w:t>
      </w:r>
      <w:r w:rsidR="00C91440" w:rsidRPr="00F448FE">
        <w:rPr>
          <w:rFonts w:ascii="Book Antiqua" w:hAnsi="Book Antiqua"/>
          <w:noProof/>
          <w:vertAlign w:val="superscript"/>
        </w:rPr>
        <w:t>[53]</w:t>
      </w:r>
      <w:r w:rsidRPr="00F448FE">
        <w:rPr>
          <w:rFonts w:ascii="Book Antiqua" w:hAnsi="Book Antiqua"/>
        </w:rPr>
        <w:t xml:space="preserve">. </w:t>
      </w:r>
      <w:r w:rsidR="00CE14EA" w:rsidRPr="00F448FE">
        <w:rPr>
          <w:rFonts w:ascii="Book Antiqua" w:hAnsi="Book Antiqua"/>
        </w:rPr>
        <w:t>Among the different segments of the gastrointestinal tract the density of the endocrine cells is highest in the duodenum (Figure 2</w:t>
      </w:r>
      <w:proofErr w:type="gramStart"/>
      <w:r w:rsidR="00CE14EA" w:rsidRPr="00F448FE">
        <w:rPr>
          <w:rFonts w:ascii="Book Antiqua" w:hAnsi="Book Antiqua"/>
        </w:rPr>
        <w:t>)</w:t>
      </w:r>
      <w:r w:rsidR="00B6633C" w:rsidRPr="00F448FE">
        <w:rPr>
          <w:rFonts w:ascii="Book Antiqua" w:hAnsi="Book Antiqua"/>
          <w:vertAlign w:val="superscript"/>
        </w:rPr>
        <w:t>[</w:t>
      </w:r>
      <w:proofErr w:type="gramEnd"/>
      <w:r w:rsidR="00B6633C" w:rsidRPr="00F448FE">
        <w:rPr>
          <w:rFonts w:ascii="Book Antiqua" w:hAnsi="Book Antiqua"/>
          <w:vertAlign w:val="superscript"/>
        </w:rPr>
        <w:t>25]</w:t>
      </w:r>
      <w:r w:rsidR="00CE14EA" w:rsidRPr="00F448FE">
        <w:rPr>
          <w:rFonts w:ascii="Book Antiqua" w:hAnsi="Book Antiqua"/>
        </w:rPr>
        <w:t>. These cells secret over 10 different hormones that interact and integrate</w:t>
      </w:r>
      <w:r w:rsidR="00D20E88" w:rsidRPr="00F448FE">
        <w:rPr>
          <w:rFonts w:ascii="Book Antiqua" w:hAnsi="Book Antiqua"/>
        </w:rPr>
        <w:t xml:space="preserve"> with the enteric, autonomic and central nervous system to regulate: </w:t>
      </w:r>
      <w:r w:rsidR="00CF3E22" w:rsidRPr="00F448FE">
        <w:rPr>
          <w:rFonts w:ascii="Book Antiqua" w:hAnsi="Book Antiqua"/>
        </w:rPr>
        <w:t>G</w:t>
      </w:r>
      <w:r w:rsidR="00D20E88" w:rsidRPr="00F448FE">
        <w:rPr>
          <w:rFonts w:ascii="Book Antiqua" w:hAnsi="Book Antiqua"/>
        </w:rPr>
        <w:t xml:space="preserve">astrointestinal motility, secretion of enzymes and bile acid, absorption of nutrients, visceral sensation, gastrointestinal cell proliferation, local immune </w:t>
      </w:r>
      <w:proofErr w:type="spellStart"/>
      <w:r w:rsidR="00D20E88" w:rsidRPr="00F448FE">
        <w:rPr>
          <w:rFonts w:ascii="Book Antiqua" w:hAnsi="Book Antiqua"/>
        </w:rPr>
        <w:t>defense</w:t>
      </w:r>
      <w:proofErr w:type="spellEnd"/>
      <w:r w:rsidR="00D20E88" w:rsidRPr="00F448FE">
        <w:rPr>
          <w:rFonts w:ascii="Book Antiqua" w:hAnsi="Book Antiqua"/>
        </w:rPr>
        <w:t xml:space="preserve"> and appetite</w:t>
      </w:r>
      <w:r w:rsidR="00C91440" w:rsidRPr="00F448FE">
        <w:rPr>
          <w:rFonts w:ascii="Book Antiqua" w:hAnsi="Book Antiqua"/>
          <w:noProof/>
          <w:vertAlign w:val="superscript"/>
        </w:rPr>
        <w:t>[3,22,52,5</w:t>
      </w:r>
      <w:r w:rsidR="00F35A8A" w:rsidRPr="00F448FE">
        <w:rPr>
          <w:rFonts w:ascii="Book Antiqua" w:hAnsi="Book Antiqua"/>
          <w:noProof/>
          <w:vertAlign w:val="superscript"/>
        </w:rPr>
        <w:t>5</w:t>
      </w:r>
      <w:r w:rsidR="00C91440" w:rsidRPr="00F448FE">
        <w:rPr>
          <w:rFonts w:ascii="Book Antiqua" w:hAnsi="Book Antiqua"/>
          <w:noProof/>
          <w:vertAlign w:val="superscript"/>
        </w:rPr>
        <w:t>-6</w:t>
      </w:r>
      <w:r w:rsidR="00F35A8A" w:rsidRPr="00F448FE">
        <w:rPr>
          <w:rFonts w:ascii="Book Antiqua" w:hAnsi="Book Antiqua"/>
          <w:noProof/>
          <w:vertAlign w:val="superscript"/>
        </w:rPr>
        <w:t>9</w:t>
      </w:r>
      <w:r w:rsidR="00C91440" w:rsidRPr="00F448FE">
        <w:rPr>
          <w:rFonts w:ascii="Book Antiqua" w:hAnsi="Book Antiqua"/>
          <w:noProof/>
          <w:vertAlign w:val="superscript"/>
        </w:rPr>
        <w:t>]</w:t>
      </w:r>
      <w:r w:rsidRPr="00F448FE">
        <w:rPr>
          <w:rFonts w:ascii="Book Antiqua" w:hAnsi="Book Antiqua"/>
        </w:rPr>
        <w:t xml:space="preserve">. These cells have </w:t>
      </w:r>
      <w:r w:rsidR="00D20E88" w:rsidRPr="00F448FE">
        <w:rPr>
          <w:rFonts w:ascii="Book Antiqua" w:hAnsi="Book Antiqua"/>
        </w:rPr>
        <w:t>sensory</w:t>
      </w:r>
      <w:r w:rsidRPr="00F448FE">
        <w:rPr>
          <w:rFonts w:ascii="Book Antiqua" w:hAnsi="Book Antiqua"/>
        </w:rPr>
        <w:t xml:space="preserve"> microvilli that project into the </w:t>
      </w:r>
      <w:r w:rsidR="00D20E88" w:rsidRPr="00F448FE">
        <w:rPr>
          <w:rFonts w:ascii="Book Antiqua" w:hAnsi="Book Antiqua"/>
        </w:rPr>
        <w:t xml:space="preserve">gastrointestinal </w:t>
      </w:r>
      <w:r w:rsidRPr="00F448FE">
        <w:rPr>
          <w:rFonts w:ascii="Book Antiqua" w:hAnsi="Book Antiqua"/>
        </w:rPr>
        <w:t xml:space="preserve">lumen </w:t>
      </w:r>
      <w:r w:rsidR="00D20E88" w:rsidRPr="00F448FE">
        <w:rPr>
          <w:rFonts w:ascii="Book Antiqua" w:hAnsi="Book Antiqua"/>
        </w:rPr>
        <w:t>that sense</w:t>
      </w:r>
      <w:r w:rsidRPr="00F448FE">
        <w:rPr>
          <w:rFonts w:ascii="Book Antiqua" w:hAnsi="Book Antiqua"/>
        </w:rPr>
        <w:t xml:space="preserve"> </w:t>
      </w:r>
      <w:r w:rsidR="00D20E88" w:rsidRPr="00F448FE">
        <w:rPr>
          <w:rFonts w:ascii="Book Antiqua" w:hAnsi="Book Antiqua"/>
        </w:rPr>
        <w:t>gastrointestinal lumen</w:t>
      </w:r>
      <w:r w:rsidRPr="00F448FE">
        <w:rPr>
          <w:rFonts w:ascii="Book Antiqua" w:hAnsi="Book Antiqua"/>
        </w:rPr>
        <w:t xml:space="preserve"> contents and respond by releasing their hormon</w:t>
      </w:r>
      <w:r w:rsidR="00D20E88" w:rsidRPr="00F448FE">
        <w:rPr>
          <w:rFonts w:ascii="Book Antiqua" w:hAnsi="Book Antiqua"/>
        </w:rPr>
        <w:t xml:space="preserve">es into the lamina </w:t>
      </w:r>
      <w:proofErr w:type="spellStart"/>
      <w:proofErr w:type="gramStart"/>
      <w:r w:rsidR="00D20E88" w:rsidRPr="00F448FE">
        <w:rPr>
          <w:rFonts w:ascii="Book Antiqua" w:hAnsi="Book Antiqua"/>
        </w:rPr>
        <w:t>propria</w:t>
      </w:r>
      <w:proofErr w:type="spellEnd"/>
      <w:r w:rsidR="00C91440" w:rsidRPr="00F448FE">
        <w:rPr>
          <w:rFonts w:ascii="Book Antiqua" w:hAnsi="Book Antiqua"/>
          <w:noProof/>
          <w:vertAlign w:val="superscript"/>
        </w:rPr>
        <w:t>[</w:t>
      </w:r>
      <w:proofErr w:type="gramEnd"/>
      <w:r w:rsidR="00F35A8A" w:rsidRPr="00F448FE">
        <w:rPr>
          <w:rFonts w:ascii="Book Antiqua" w:hAnsi="Book Antiqua"/>
          <w:noProof/>
          <w:vertAlign w:val="superscript"/>
        </w:rPr>
        <w:t>70</w:t>
      </w:r>
      <w:r w:rsidR="00C91440" w:rsidRPr="00F448FE">
        <w:rPr>
          <w:rFonts w:ascii="Book Antiqua" w:hAnsi="Book Antiqua"/>
          <w:noProof/>
          <w:vertAlign w:val="superscript"/>
        </w:rPr>
        <w:t>-8</w:t>
      </w:r>
      <w:r w:rsidR="00F35A8A" w:rsidRPr="00F448FE">
        <w:rPr>
          <w:rFonts w:ascii="Book Antiqua" w:hAnsi="Book Antiqua"/>
          <w:noProof/>
          <w:vertAlign w:val="superscript"/>
        </w:rPr>
        <w:t>2</w:t>
      </w:r>
      <w:r w:rsidR="00C91440" w:rsidRPr="00F448FE">
        <w:rPr>
          <w:rFonts w:ascii="Book Antiqua" w:hAnsi="Book Antiqua"/>
          <w:noProof/>
          <w:vertAlign w:val="superscript"/>
        </w:rPr>
        <w:t>]</w:t>
      </w:r>
      <w:r w:rsidR="00342482" w:rsidRPr="00F448FE">
        <w:rPr>
          <w:rFonts w:ascii="Book Antiqua" w:hAnsi="Book Antiqua"/>
        </w:rPr>
        <w:t>. These hormones can act locally on the nearby structures (paracrine mode of action) or reach the blood stream and act on far structure (endocrine mode of action</w:t>
      </w:r>
      <w:proofErr w:type="gramStart"/>
      <w:r w:rsidR="00342482" w:rsidRPr="00F448FE">
        <w:rPr>
          <w:rFonts w:ascii="Book Antiqua" w:hAnsi="Book Antiqua"/>
        </w:rPr>
        <w:t>)</w:t>
      </w:r>
      <w:r w:rsidR="00C91440" w:rsidRPr="00F448FE">
        <w:rPr>
          <w:rFonts w:ascii="Book Antiqua" w:hAnsi="Book Antiqua"/>
          <w:noProof/>
          <w:vertAlign w:val="superscript"/>
        </w:rPr>
        <w:t>[</w:t>
      </w:r>
      <w:proofErr w:type="gramEnd"/>
      <w:r w:rsidR="00F35A8A" w:rsidRPr="00F448FE">
        <w:rPr>
          <w:rFonts w:ascii="Book Antiqua" w:hAnsi="Book Antiqua"/>
          <w:noProof/>
          <w:vertAlign w:val="superscript"/>
        </w:rPr>
        <w:t>70-82</w:t>
      </w:r>
      <w:r w:rsidR="00C91440" w:rsidRPr="00F448FE">
        <w:rPr>
          <w:rFonts w:ascii="Book Antiqua" w:hAnsi="Book Antiqua"/>
          <w:noProof/>
          <w:vertAlign w:val="superscript"/>
        </w:rPr>
        <w:t>]</w:t>
      </w:r>
      <w:r w:rsidRPr="00F448FE">
        <w:rPr>
          <w:rFonts w:ascii="Book Antiqua" w:hAnsi="Book Antiqua"/>
        </w:rPr>
        <w:t>.</w:t>
      </w:r>
    </w:p>
    <w:p w14:paraId="7DA671E6" w14:textId="5FFD7539" w:rsidR="00D20E88" w:rsidRPr="00F448FE" w:rsidRDefault="00C6640C" w:rsidP="000D04E0">
      <w:pPr>
        <w:adjustRightInd w:val="0"/>
        <w:snapToGrid w:val="0"/>
        <w:spacing w:line="360" w:lineRule="auto"/>
        <w:ind w:firstLineChars="100" w:firstLine="240"/>
        <w:jc w:val="both"/>
        <w:rPr>
          <w:rFonts w:ascii="Book Antiqua" w:hAnsi="Book Antiqua"/>
        </w:rPr>
      </w:pPr>
      <w:r w:rsidRPr="00F448FE">
        <w:rPr>
          <w:rFonts w:ascii="Book Antiqua" w:hAnsi="Book Antiqua"/>
        </w:rPr>
        <w:t>Several abnormalities in different endocrine cell types of the stomach, small- and large intestine have been described in IBS patients (Figure 3</w:t>
      </w:r>
      <w:proofErr w:type="gramStart"/>
      <w:r w:rsidRPr="00F448FE">
        <w:rPr>
          <w:rFonts w:ascii="Book Antiqua" w:hAnsi="Book Antiqua"/>
        </w:rPr>
        <w:t>)</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53,8</w:t>
      </w:r>
      <w:r w:rsidR="00F35A8A" w:rsidRPr="00F448FE">
        <w:rPr>
          <w:rFonts w:ascii="Book Antiqua" w:hAnsi="Book Antiqua"/>
          <w:noProof/>
          <w:vertAlign w:val="superscript"/>
        </w:rPr>
        <w:t>3</w:t>
      </w:r>
      <w:r w:rsidR="00C91440" w:rsidRPr="00F448FE">
        <w:rPr>
          <w:rFonts w:ascii="Book Antiqua" w:hAnsi="Book Antiqua"/>
          <w:noProof/>
          <w:vertAlign w:val="superscript"/>
        </w:rPr>
        <w:t>-9</w:t>
      </w:r>
      <w:r w:rsidR="003D7DFB" w:rsidRPr="00F448FE">
        <w:rPr>
          <w:rFonts w:ascii="Book Antiqua" w:hAnsi="Book Antiqua"/>
          <w:noProof/>
          <w:vertAlign w:val="superscript"/>
        </w:rPr>
        <w:t>7</w:t>
      </w:r>
      <w:r w:rsidR="00C91440" w:rsidRPr="00F448FE">
        <w:rPr>
          <w:rFonts w:ascii="Book Antiqua" w:hAnsi="Book Antiqua"/>
          <w:noProof/>
          <w:vertAlign w:val="superscript"/>
        </w:rPr>
        <w:t>]</w:t>
      </w:r>
      <w:r w:rsidRPr="00F448FE">
        <w:rPr>
          <w:rFonts w:ascii="Book Antiqua" w:hAnsi="Book Antiqua"/>
        </w:rPr>
        <w:t xml:space="preserve">. Generally, IBS patients have a lower gut endocrine cell density than healthy </w:t>
      </w:r>
      <w:proofErr w:type="gramStart"/>
      <w:r w:rsidRPr="00F448FE">
        <w:rPr>
          <w:rFonts w:ascii="Book Antiqua" w:hAnsi="Book Antiqua"/>
        </w:rPr>
        <w:t>subjects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52]</w:t>
      </w:r>
      <w:r w:rsidRPr="00F448FE">
        <w:rPr>
          <w:rFonts w:ascii="Book Antiqua" w:hAnsi="Book Antiqua"/>
        </w:rPr>
        <w:t>.</w:t>
      </w:r>
    </w:p>
    <w:p w14:paraId="63C1791B" w14:textId="77777777" w:rsidR="00E87E8B" w:rsidRPr="00F448FE" w:rsidRDefault="00E87E8B" w:rsidP="000D04E0">
      <w:pPr>
        <w:adjustRightInd w:val="0"/>
        <w:snapToGrid w:val="0"/>
        <w:spacing w:line="360" w:lineRule="auto"/>
        <w:jc w:val="both"/>
        <w:rPr>
          <w:rFonts w:ascii="Book Antiqua" w:hAnsi="Book Antiqua" w:cs="Garamond"/>
          <w:b/>
          <w:i/>
        </w:rPr>
      </w:pPr>
    </w:p>
    <w:p w14:paraId="2A65B779" w14:textId="28FCD33A" w:rsidR="00CA1250" w:rsidRPr="00F448FE" w:rsidRDefault="00CF3E22" w:rsidP="000D04E0">
      <w:pPr>
        <w:adjustRightInd w:val="0"/>
        <w:snapToGrid w:val="0"/>
        <w:spacing w:line="360" w:lineRule="auto"/>
        <w:jc w:val="both"/>
        <w:rPr>
          <w:rFonts w:ascii="Book Antiqua" w:hAnsi="Book Antiqua" w:cs="Garamond"/>
          <w:b/>
          <w:i/>
        </w:rPr>
      </w:pPr>
      <w:r w:rsidRPr="00F448FE">
        <w:rPr>
          <w:rFonts w:ascii="Book Antiqua" w:hAnsi="Book Antiqua" w:cs="Garamond"/>
          <w:b/>
          <w:i/>
        </w:rPr>
        <w:t>Stress</w:t>
      </w:r>
    </w:p>
    <w:p w14:paraId="6F56CC76" w14:textId="0F5F4766" w:rsidR="00767713" w:rsidRPr="00F448FE" w:rsidRDefault="00A551E5" w:rsidP="000D04E0">
      <w:pPr>
        <w:adjustRightInd w:val="0"/>
        <w:snapToGrid w:val="0"/>
        <w:spacing w:line="360" w:lineRule="auto"/>
        <w:jc w:val="both"/>
        <w:rPr>
          <w:rFonts w:ascii="Book Antiqua" w:hAnsi="Book Antiqua" w:cs="Garamond"/>
        </w:rPr>
      </w:pPr>
      <w:r w:rsidRPr="00F448FE">
        <w:rPr>
          <w:rFonts w:ascii="Book Antiqua" w:hAnsi="Book Antiqua" w:cs="Garamond"/>
        </w:rPr>
        <w:t>Stress is defined as an acute threat</w:t>
      </w:r>
      <w:r w:rsidR="007161A3" w:rsidRPr="00F448FE">
        <w:rPr>
          <w:rFonts w:ascii="Book Antiqua" w:hAnsi="Book Antiqua" w:cs="Garamond"/>
        </w:rPr>
        <w:t xml:space="preserve">, real or perceived, </w:t>
      </w:r>
      <w:r w:rsidRPr="00F448FE">
        <w:rPr>
          <w:rFonts w:ascii="Book Antiqua" w:hAnsi="Book Antiqua" w:cs="Garamond"/>
        </w:rPr>
        <w:t xml:space="preserve">to the homeostasis of an </w:t>
      </w:r>
      <w:proofErr w:type="gramStart"/>
      <w:r w:rsidRPr="00F448FE">
        <w:rPr>
          <w:rFonts w:ascii="Book Antiqua" w:hAnsi="Book Antiqua" w:cs="Garamond"/>
        </w:rPr>
        <w:t>organism</w:t>
      </w:r>
      <w:r w:rsidRPr="00F448FE">
        <w:rPr>
          <w:rFonts w:ascii="Book Antiqua" w:hAnsi="Book Antiqua" w:cs="Garamond"/>
          <w:noProof/>
          <w:vertAlign w:val="superscript"/>
        </w:rPr>
        <w:t>[</w:t>
      </w:r>
      <w:proofErr w:type="gramEnd"/>
      <w:r w:rsidRPr="00F448FE">
        <w:rPr>
          <w:rFonts w:ascii="Book Antiqua" w:hAnsi="Book Antiqua" w:cs="Garamond"/>
          <w:noProof/>
          <w:vertAlign w:val="superscript"/>
        </w:rPr>
        <w:t>10]</w:t>
      </w:r>
      <w:r w:rsidR="00AA7D97" w:rsidRPr="00F448FE">
        <w:rPr>
          <w:rFonts w:ascii="Book Antiqua" w:hAnsi="Book Antiqua" w:cs="Garamond"/>
        </w:rPr>
        <w:t>.</w:t>
      </w:r>
      <w:r w:rsidR="007161A3" w:rsidRPr="00F448FE">
        <w:rPr>
          <w:rFonts w:ascii="Book Antiqua" w:hAnsi="Book Antiqua" w:cs="Garamond"/>
        </w:rPr>
        <w:t xml:space="preserve"> </w:t>
      </w:r>
      <w:r w:rsidR="00A374EB" w:rsidRPr="00F448FE">
        <w:rPr>
          <w:rFonts w:ascii="Book Antiqua" w:hAnsi="Book Antiqua" w:cs="Garamond"/>
        </w:rPr>
        <w:t xml:space="preserve">Stress is a known factor that trigger/worsen the IBS </w:t>
      </w:r>
      <w:proofErr w:type="gramStart"/>
      <w:r w:rsidR="00A374EB" w:rsidRPr="00F448FE">
        <w:rPr>
          <w:rFonts w:ascii="Book Antiqua" w:hAnsi="Book Antiqua" w:cs="Garamond"/>
        </w:rPr>
        <w:t>symptoms</w:t>
      </w:r>
      <w:r w:rsidR="00A374EB" w:rsidRPr="00F448FE">
        <w:rPr>
          <w:rFonts w:ascii="Book Antiqua" w:hAnsi="Book Antiqua" w:cs="Garamond"/>
          <w:noProof/>
          <w:vertAlign w:val="superscript"/>
        </w:rPr>
        <w:t>[</w:t>
      </w:r>
      <w:proofErr w:type="gramEnd"/>
      <w:r w:rsidR="00A374EB" w:rsidRPr="00F448FE">
        <w:rPr>
          <w:rFonts w:ascii="Book Antiqua" w:hAnsi="Book Antiqua" w:cs="Garamond"/>
          <w:noProof/>
          <w:vertAlign w:val="superscript"/>
        </w:rPr>
        <w:t>9</w:t>
      </w:r>
      <w:r w:rsidR="003D7DFB" w:rsidRPr="00F448FE">
        <w:rPr>
          <w:rFonts w:ascii="Book Antiqua" w:hAnsi="Book Antiqua" w:cs="Garamond"/>
          <w:noProof/>
          <w:vertAlign w:val="superscript"/>
        </w:rPr>
        <w:t>8</w:t>
      </w:r>
      <w:r w:rsidR="00A374EB" w:rsidRPr="00F448FE">
        <w:rPr>
          <w:rFonts w:ascii="Book Antiqua" w:hAnsi="Book Antiqua" w:cs="Garamond"/>
          <w:noProof/>
          <w:vertAlign w:val="superscript"/>
        </w:rPr>
        <w:t>]</w:t>
      </w:r>
      <w:r w:rsidR="00A374EB" w:rsidRPr="00F448FE">
        <w:rPr>
          <w:rFonts w:ascii="Book Antiqua" w:hAnsi="Book Antiqua" w:cs="Garamond"/>
        </w:rPr>
        <w:t>. The exact mechanisms by which stress affects IBS are not exactly known. However, t</w:t>
      </w:r>
      <w:r w:rsidR="00D67709" w:rsidRPr="00F448FE">
        <w:rPr>
          <w:rFonts w:ascii="Book Antiqua" w:hAnsi="Book Antiqua" w:cs="Garamond"/>
        </w:rPr>
        <w:t>he negative effect of stress on IBS symptoms is believed to</w:t>
      </w:r>
      <w:r w:rsidR="00733536" w:rsidRPr="00F448FE">
        <w:rPr>
          <w:rFonts w:ascii="Book Antiqua" w:hAnsi="Book Antiqua" w:cs="Garamond"/>
        </w:rPr>
        <w:t xml:space="preserve"> be caused by an interaction between the gut and the central nervous system (gut-brain axis</w:t>
      </w:r>
      <w:proofErr w:type="gramStart"/>
      <w:r w:rsidR="00733536" w:rsidRPr="00F448FE">
        <w:rPr>
          <w:rFonts w:ascii="Book Antiqua" w:hAnsi="Book Antiqua" w:cs="Garamond"/>
        </w:rPr>
        <w:t>)</w:t>
      </w:r>
      <w:r w:rsidR="00733536" w:rsidRPr="00F448FE">
        <w:rPr>
          <w:rFonts w:ascii="Book Antiqua" w:hAnsi="Book Antiqua" w:cs="Garamond"/>
          <w:noProof/>
          <w:vertAlign w:val="superscript"/>
        </w:rPr>
        <w:t>[</w:t>
      </w:r>
      <w:proofErr w:type="gramEnd"/>
      <w:r w:rsidR="00733536" w:rsidRPr="00F448FE">
        <w:rPr>
          <w:rFonts w:ascii="Book Antiqua" w:hAnsi="Book Antiqua" w:cs="Garamond"/>
          <w:noProof/>
          <w:vertAlign w:val="superscript"/>
        </w:rPr>
        <w:t>10]</w:t>
      </w:r>
      <w:r w:rsidR="00AA7D97" w:rsidRPr="00F448FE">
        <w:rPr>
          <w:rFonts w:ascii="Book Antiqua" w:hAnsi="Book Antiqua" w:cs="Garamond"/>
        </w:rPr>
        <w:t>.</w:t>
      </w:r>
    </w:p>
    <w:p w14:paraId="3B5D660D" w14:textId="77777777" w:rsidR="00AA7D97" w:rsidRPr="00F448FE" w:rsidRDefault="00AA7D97" w:rsidP="000D04E0">
      <w:pPr>
        <w:adjustRightInd w:val="0"/>
        <w:snapToGrid w:val="0"/>
        <w:spacing w:line="360" w:lineRule="auto"/>
        <w:jc w:val="both"/>
        <w:rPr>
          <w:rFonts w:ascii="Book Antiqua" w:hAnsi="Book Antiqua" w:cs="Garamond"/>
          <w:b/>
          <w:i/>
        </w:rPr>
      </w:pPr>
    </w:p>
    <w:p w14:paraId="2A118A41" w14:textId="59CD6420" w:rsidR="00512326" w:rsidRPr="00F448FE" w:rsidRDefault="00CF3E22" w:rsidP="000D04E0">
      <w:pPr>
        <w:adjustRightInd w:val="0"/>
        <w:snapToGrid w:val="0"/>
        <w:spacing w:line="360" w:lineRule="auto"/>
        <w:jc w:val="both"/>
        <w:rPr>
          <w:rFonts w:ascii="Book Antiqua" w:hAnsi="Book Antiqua" w:cs="Garamond"/>
          <w:b/>
          <w:i/>
        </w:rPr>
      </w:pPr>
      <w:r w:rsidRPr="00F448FE">
        <w:rPr>
          <w:rFonts w:ascii="Book Antiqua" w:hAnsi="Book Antiqua" w:cs="Garamond"/>
          <w:b/>
          <w:i/>
        </w:rPr>
        <w:t>Low grade inflammation</w:t>
      </w:r>
    </w:p>
    <w:p w14:paraId="1454A3F9" w14:textId="07F15D7C" w:rsidR="00E87E8B" w:rsidRPr="00F448FE" w:rsidRDefault="00E87E8B" w:rsidP="000D04E0">
      <w:pPr>
        <w:adjustRightInd w:val="0"/>
        <w:snapToGrid w:val="0"/>
        <w:spacing w:line="360" w:lineRule="auto"/>
        <w:jc w:val="both"/>
        <w:rPr>
          <w:rFonts w:ascii="Book Antiqua" w:hAnsi="Book Antiqua"/>
        </w:rPr>
      </w:pPr>
      <w:r w:rsidRPr="00F448FE">
        <w:rPr>
          <w:rFonts w:ascii="Book Antiqua" w:hAnsi="Book Antiqua"/>
        </w:rPr>
        <w:t xml:space="preserve">Intestinal low-grade inflammation is believed to be a factor that contribute to the pathophysiology </w:t>
      </w:r>
      <w:r w:rsidR="00A240A2" w:rsidRPr="00F448FE">
        <w:rPr>
          <w:rFonts w:ascii="Book Antiqua" w:hAnsi="Book Antiqua"/>
        </w:rPr>
        <w:t>of</w:t>
      </w:r>
      <w:r w:rsidRPr="00F448FE">
        <w:rPr>
          <w:rFonts w:ascii="Book Antiqua" w:hAnsi="Book Antiqua"/>
        </w:rPr>
        <w:t xml:space="preserve"> </w:t>
      </w:r>
      <w:proofErr w:type="gramStart"/>
      <w:r w:rsidRPr="00F448FE">
        <w:rPr>
          <w:rFonts w:ascii="Book Antiqua" w:hAnsi="Book Antiqua"/>
        </w:rPr>
        <w:t>IBS</w:t>
      </w:r>
      <w:r w:rsidRPr="00F448FE">
        <w:rPr>
          <w:rFonts w:ascii="Book Antiqua" w:hAnsi="Book Antiqua"/>
          <w:noProof/>
          <w:vertAlign w:val="superscript"/>
        </w:rPr>
        <w:t>[</w:t>
      </w:r>
      <w:proofErr w:type="gramEnd"/>
      <w:r w:rsidRPr="00F448FE">
        <w:rPr>
          <w:rFonts w:ascii="Book Antiqua" w:hAnsi="Book Antiqua"/>
          <w:noProof/>
          <w:vertAlign w:val="superscript"/>
        </w:rPr>
        <w:t>8</w:t>
      </w:r>
      <w:r w:rsidR="00F35A8A" w:rsidRPr="00F448FE">
        <w:rPr>
          <w:rFonts w:ascii="Book Antiqua" w:hAnsi="Book Antiqua"/>
          <w:noProof/>
          <w:vertAlign w:val="superscript"/>
        </w:rPr>
        <w:t>6</w:t>
      </w:r>
      <w:r w:rsidRPr="00F448FE">
        <w:rPr>
          <w:rFonts w:ascii="Book Antiqua" w:hAnsi="Book Antiqua"/>
          <w:noProof/>
          <w:vertAlign w:val="superscript"/>
        </w:rPr>
        <w:t>]</w:t>
      </w:r>
      <w:r w:rsidR="00AA7D97" w:rsidRPr="00F448FE">
        <w:rPr>
          <w:rFonts w:ascii="Book Antiqua" w:hAnsi="Book Antiqua"/>
        </w:rPr>
        <w:t>.</w:t>
      </w:r>
      <w:r w:rsidRPr="00F448FE">
        <w:rPr>
          <w:rFonts w:ascii="Book Antiqua" w:hAnsi="Book Antiqua"/>
        </w:rPr>
        <w:t xml:space="preserve"> Low</w:t>
      </w:r>
      <w:r w:rsidRPr="00F448FE">
        <w:rPr>
          <w:rFonts w:ascii="宋体" w:eastAsia="宋体" w:hAnsi="宋体" w:cs="宋体" w:hint="eastAsia"/>
        </w:rPr>
        <w:t>‐</w:t>
      </w:r>
      <w:r w:rsidRPr="00F448FE">
        <w:rPr>
          <w:rFonts w:ascii="Book Antiqua" w:hAnsi="Book Antiqua"/>
        </w:rPr>
        <w:t xml:space="preserve">grade inflammation in the intestinal mucosa occurs only in a subset of IBS, </w:t>
      </w:r>
      <w:r w:rsidRPr="00F448FE">
        <w:rPr>
          <w:rFonts w:ascii="Book Antiqua" w:hAnsi="Book Antiqua"/>
          <w:i/>
          <w:iCs/>
        </w:rPr>
        <w:t>i.e.</w:t>
      </w:r>
      <w:r w:rsidRPr="00F448FE">
        <w:rPr>
          <w:rFonts w:ascii="Book Antiqua" w:hAnsi="Book Antiqua"/>
        </w:rPr>
        <w:t xml:space="preserve">, post-infectious IBS, but not in sporadic (non-specific) </w:t>
      </w:r>
      <w:proofErr w:type="gramStart"/>
      <w:r w:rsidRPr="00F448FE">
        <w:rPr>
          <w:rFonts w:ascii="Book Antiqua" w:hAnsi="Book Antiqua"/>
        </w:rPr>
        <w:t>IBS</w:t>
      </w:r>
      <w:r w:rsidRPr="00F448FE">
        <w:rPr>
          <w:rFonts w:ascii="Book Antiqua" w:hAnsi="Book Antiqua"/>
          <w:noProof/>
          <w:vertAlign w:val="superscript"/>
        </w:rPr>
        <w:t>[</w:t>
      </w:r>
      <w:proofErr w:type="gramEnd"/>
      <w:r w:rsidRPr="00F448FE">
        <w:rPr>
          <w:rFonts w:ascii="Book Antiqua" w:hAnsi="Book Antiqua"/>
          <w:noProof/>
          <w:vertAlign w:val="superscript"/>
        </w:rPr>
        <w:t>8</w:t>
      </w:r>
      <w:r w:rsidR="00F35A8A" w:rsidRPr="00F448FE">
        <w:rPr>
          <w:rFonts w:ascii="Book Antiqua" w:hAnsi="Book Antiqua"/>
          <w:noProof/>
          <w:vertAlign w:val="superscript"/>
        </w:rPr>
        <w:t>6</w:t>
      </w:r>
      <w:r w:rsidRPr="00F448FE">
        <w:rPr>
          <w:rFonts w:ascii="Book Antiqua" w:hAnsi="Book Antiqua"/>
          <w:noProof/>
          <w:vertAlign w:val="superscript"/>
        </w:rPr>
        <w:t>,</w:t>
      </w:r>
      <w:r w:rsidR="003D7DFB" w:rsidRPr="00F448FE">
        <w:rPr>
          <w:rFonts w:ascii="Book Antiqua" w:hAnsi="Book Antiqua"/>
          <w:noProof/>
          <w:vertAlign w:val="superscript"/>
        </w:rPr>
        <w:t>99</w:t>
      </w:r>
      <w:r w:rsidRPr="00F448FE">
        <w:rPr>
          <w:rFonts w:ascii="Book Antiqua" w:hAnsi="Book Antiqua"/>
          <w:noProof/>
          <w:vertAlign w:val="superscript"/>
        </w:rPr>
        <w:t>-10</w:t>
      </w:r>
      <w:r w:rsidR="003D7DFB" w:rsidRPr="00F448FE">
        <w:rPr>
          <w:rFonts w:ascii="Book Antiqua" w:hAnsi="Book Antiqua"/>
          <w:noProof/>
          <w:vertAlign w:val="superscript"/>
        </w:rPr>
        <w:t>2</w:t>
      </w:r>
      <w:r w:rsidRPr="00F448FE">
        <w:rPr>
          <w:rFonts w:ascii="Book Antiqua" w:hAnsi="Book Antiqua"/>
          <w:noProof/>
          <w:vertAlign w:val="superscript"/>
        </w:rPr>
        <w:t>]</w:t>
      </w:r>
      <w:r w:rsidR="00AA7D97" w:rsidRPr="00F448FE">
        <w:rPr>
          <w:rFonts w:ascii="Book Antiqua" w:hAnsi="Book Antiqua"/>
        </w:rPr>
        <w:t>.</w:t>
      </w:r>
      <w:r w:rsidRPr="00F448FE">
        <w:rPr>
          <w:rFonts w:ascii="Book Antiqua" w:hAnsi="Book Antiqua"/>
        </w:rPr>
        <w:t xml:space="preserve"> </w:t>
      </w:r>
    </w:p>
    <w:p w14:paraId="7B30B69E" w14:textId="77777777" w:rsidR="00E87E8B" w:rsidRPr="00F448FE" w:rsidRDefault="00E87E8B" w:rsidP="000D04E0">
      <w:pPr>
        <w:adjustRightInd w:val="0"/>
        <w:snapToGrid w:val="0"/>
        <w:spacing w:line="360" w:lineRule="auto"/>
        <w:jc w:val="both"/>
        <w:rPr>
          <w:rFonts w:ascii="Book Antiqua" w:hAnsi="Book Antiqua"/>
        </w:rPr>
      </w:pPr>
    </w:p>
    <w:p w14:paraId="5F1E8984" w14:textId="673CA3D4" w:rsidR="00992763" w:rsidRPr="00F448FE" w:rsidRDefault="00373A81" w:rsidP="000D04E0">
      <w:pPr>
        <w:adjustRightInd w:val="0"/>
        <w:snapToGrid w:val="0"/>
        <w:spacing w:line="360" w:lineRule="auto"/>
        <w:jc w:val="both"/>
        <w:rPr>
          <w:rFonts w:ascii="Book Antiqua" w:hAnsi="Book Antiqua" w:cs="Garamond"/>
          <w:b/>
          <w:u w:val="single"/>
        </w:rPr>
      </w:pPr>
      <w:r w:rsidRPr="00F448FE">
        <w:rPr>
          <w:rFonts w:ascii="Book Antiqua" w:hAnsi="Book Antiqua" w:cs="Garamond"/>
          <w:b/>
          <w:u w:val="single"/>
        </w:rPr>
        <w:t>THE ROLE OF INTESTINAL STEM CELLS IN THE PATHOPHYSIOLOGY OF IBS</w:t>
      </w:r>
    </w:p>
    <w:p w14:paraId="2EE2FF38" w14:textId="6EAF3399" w:rsidR="00512326" w:rsidRPr="00F448FE" w:rsidRDefault="00CF3E22" w:rsidP="000D04E0">
      <w:pPr>
        <w:adjustRightInd w:val="0"/>
        <w:snapToGrid w:val="0"/>
        <w:spacing w:line="360" w:lineRule="auto"/>
        <w:jc w:val="both"/>
        <w:rPr>
          <w:rFonts w:ascii="Book Antiqua" w:hAnsi="Book Antiqua" w:cs="Garamond"/>
          <w:b/>
          <w:i/>
        </w:rPr>
      </w:pPr>
      <w:r w:rsidRPr="00F448FE">
        <w:rPr>
          <w:rFonts w:ascii="Book Antiqua" w:hAnsi="Book Antiqua" w:cs="Garamond"/>
          <w:b/>
          <w:i/>
        </w:rPr>
        <w:t>Intestinal stem cells</w:t>
      </w:r>
    </w:p>
    <w:p w14:paraId="29210EE7" w14:textId="3AC9BC55" w:rsidR="00512326" w:rsidRPr="00F448FE" w:rsidRDefault="00A374EB" w:rsidP="000D04E0">
      <w:pPr>
        <w:adjustRightInd w:val="0"/>
        <w:snapToGrid w:val="0"/>
        <w:spacing w:line="360" w:lineRule="auto"/>
        <w:jc w:val="both"/>
        <w:rPr>
          <w:rFonts w:ascii="Book Antiqua" w:hAnsi="Book Antiqua"/>
        </w:rPr>
      </w:pPr>
      <w:r w:rsidRPr="00F448FE">
        <w:rPr>
          <w:rFonts w:ascii="Book Antiqua" w:hAnsi="Book Antiqua"/>
        </w:rPr>
        <w:t xml:space="preserve">Each intestinal crypt contains four to six pluripotent (stem) </w:t>
      </w:r>
      <w:proofErr w:type="gramStart"/>
      <w:r w:rsidRPr="00F448FE">
        <w:rPr>
          <w:rFonts w:ascii="Book Antiqua" w:hAnsi="Book Antiqua"/>
        </w:rPr>
        <w:t>cells</w:t>
      </w:r>
      <w:r w:rsidRPr="00F448FE">
        <w:rPr>
          <w:rFonts w:ascii="Book Antiqua" w:hAnsi="Book Antiqua"/>
          <w:noProof/>
          <w:vertAlign w:val="superscript"/>
        </w:rPr>
        <w:t>[</w:t>
      </w:r>
      <w:proofErr w:type="gramEnd"/>
      <w:r w:rsidRPr="00F448FE">
        <w:rPr>
          <w:rFonts w:ascii="Book Antiqua" w:hAnsi="Book Antiqua"/>
          <w:noProof/>
          <w:vertAlign w:val="superscript"/>
        </w:rPr>
        <w:t>10</w:t>
      </w:r>
      <w:r w:rsidR="0019380B" w:rsidRPr="00F448FE">
        <w:rPr>
          <w:rFonts w:ascii="Book Antiqua" w:hAnsi="Book Antiqua"/>
          <w:noProof/>
          <w:vertAlign w:val="superscript"/>
        </w:rPr>
        <w:t>3</w:t>
      </w:r>
      <w:r w:rsidRPr="00F448FE">
        <w:rPr>
          <w:rFonts w:ascii="Book Antiqua" w:hAnsi="Book Antiqua"/>
          <w:noProof/>
          <w:vertAlign w:val="superscript"/>
        </w:rPr>
        <w:t>]</w:t>
      </w:r>
      <w:r w:rsidRPr="00F448FE">
        <w:rPr>
          <w:rFonts w:ascii="Book Antiqua" w:hAnsi="Book Antiqua"/>
        </w:rPr>
        <w:t>. Stem cell perform 2 activities, namely self-renewal by dividing into identical stem cell (</w:t>
      </w:r>
      <w:proofErr w:type="spellStart"/>
      <w:r w:rsidRPr="00F448FE">
        <w:rPr>
          <w:rFonts w:ascii="Book Antiqua" w:hAnsi="Book Antiqua"/>
        </w:rPr>
        <w:t>clonogeny</w:t>
      </w:r>
      <w:proofErr w:type="spellEnd"/>
      <w:r w:rsidRPr="00F448FE">
        <w:rPr>
          <w:rFonts w:ascii="Book Antiqua" w:hAnsi="Book Antiqua"/>
        </w:rPr>
        <w:t xml:space="preserve">) to maintain a constant number of stem cells </w:t>
      </w:r>
      <w:r w:rsidR="00410B61" w:rsidRPr="00F448FE">
        <w:rPr>
          <w:rFonts w:ascii="Book Antiqua" w:hAnsi="Book Antiqua"/>
        </w:rPr>
        <w:t xml:space="preserve">and </w:t>
      </w:r>
      <w:r w:rsidRPr="00F448FE">
        <w:rPr>
          <w:rFonts w:ascii="Book Antiqua" w:hAnsi="Book Antiqua"/>
        </w:rPr>
        <w:t xml:space="preserve">differentiation </w:t>
      </w:r>
      <w:proofErr w:type="gramStart"/>
      <w:r w:rsidRPr="00F448FE">
        <w:rPr>
          <w:rFonts w:ascii="Book Antiqua" w:hAnsi="Book Antiqua"/>
        </w:rPr>
        <w:t>progeny</w:t>
      </w:r>
      <w:r w:rsidRPr="00F448FE">
        <w:rPr>
          <w:rFonts w:ascii="Book Antiqua" w:hAnsi="Book Antiqua"/>
          <w:noProof/>
          <w:vertAlign w:val="superscript"/>
        </w:rPr>
        <w:t>[</w:t>
      </w:r>
      <w:proofErr w:type="gramEnd"/>
      <w:r w:rsidRPr="00F448FE">
        <w:rPr>
          <w:rFonts w:ascii="Book Antiqua" w:hAnsi="Book Antiqua"/>
          <w:noProof/>
          <w:vertAlign w:val="superscript"/>
        </w:rPr>
        <w:t>10</w:t>
      </w:r>
      <w:r w:rsidR="005D3A43" w:rsidRPr="00F448FE">
        <w:rPr>
          <w:rFonts w:ascii="Book Antiqua" w:hAnsi="Book Antiqua"/>
          <w:noProof/>
          <w:vertAlign w:val="superscript"/>
        </w:rPr>
        <w:t>3</w:t>
      </w:r>
      <w:r w:rsidRPr="00F448FE">
        <w:rPr>
          <w:rFonts w:ascii="Book Antiqua" w:hAnsi="Book Antiqua"/>
          <w:noProof/>
          <w:vertAlign w:val="superscript"/>
        </w:rPr>
        <w:t>]</w:t>
      </w:r>
      <w:r w:rsidRPr="00F448FE">
        <w:rPr>
          <w:rFonts w:ascii="Book Antiqua" w:hAnsi="Book Antiqua"/>
        </w:rPr>
        <w:t xml:space="preserve">. In the differentiation progeny, the stem cells differentiate into all cell types of the villus epithelium through 2 cell lineages: </w:t>
      </w:r>
      <w:r w:rsidR="00CF3E22" w:rsidRPr="00F448FE">
        <w:rPr>
          <w:rFonts w:ascii="Book Antiqua" w:hAnsi="Book Antiqua"/>
        </w:rPr>
        <w:t>T</w:t>
      </w:r>
      <w:r w:rsidRPr="00F448FE">
        <w:rPr>
          <w:rFonts w:ascii="Book Antiqua" w:hAnsi="Book Antiqua"/>
        </w:rPr>
        <w:t>he secretory lineage giving raise to goblet cells, endocrine cells and Paneth cells, and the absorptive lineage giving raise to absorptive enterocytes. This differentiation takes place through a series of pr</w:t>
      </w:r>
      <w:r w:rsidR="004C2B7A" w:rsidRPr="00F448FE">
        <w:rPr>
          <w:rFonts w:ascii="Book Antiqua" w:hAnsi="Book Antiqua"/>
        </w:rPr>
        <w:t>ecursors (progenitors) (Figure 4</w:t>
      </w:r>
      <w:proofErr w:type="gramStart"/>
      <w:r w:rsidRPr="00F448FE">
        <w:rPr>
          <w:rFonts w:ascii="Book Antiqua" w:hAnsi="Book Antiqua"/>
        </w:rPr>
        <w:t>)</w:t>
      </w:r>
      <w:r w:rsidRPr="00F448FE">
        <w:rPr>
          <w:rFonts w:ascii="Book Antiqua" w:hAnsi="Book Antiqua"/>
          <w:noProof/>
          <w:vertAlign w:val="superscript"/>
        </w:rPr>
        <w:t>[</w:t>
      </w:r>
      <w:proofErr w:type="gramEnd"/>
      <w:r w:rsidRPr="00F448FE">
        <w:rPr>
          <w:rFonts w:ascii="Book Antiqua" w:hAnsi="Book Antiqua"/>
          <w:noProof/>
          <w:vertAlign w:val="superscript"/>
        </w:rPr>
        <w:t>6</w:t>
      </w:r>
      <w:r w:rsidR="00F35A8A" w:rsidRPr="00F448FE">
        <w:rPr>
          <w:rFonts w:ascii="Book Antiqua" w:hAnsi="Book Antiqua"/>
          <w:noProof/>
          <w:vertAlign w:val="superscript"/>
        </w:rPr>
        <w:t>8</w:t>
      </w:r>
      <w:r w:rsidRPr="00F448FE">
        <w:rPr>
          <w:rFonts w:ascii="Book Antiqua" w:hAnsi="Book Antiqua"/>
          <w:noProof/>
          <w:vertAlign w:val="superscript"/>
        </w:rPr>
        <w:t>,6</w:t>
      </w:r>
      <w:r w:rsidR="00F35A8A" w:rsidRPr="00F448FE">
        <w:rPr>
          <w:rFonts w:ascii="Book Antiqua" w:hAnsi="Book Antiqua"/>
          <w:noProof/>
          <w:vertAlign w:val="superscript"/>
        </w:rPr>
        <w:t>9</w:t>
      </w:r>
      <w:r w:rsidRPr="00F448FE">
        <w:rPr>
          <w:rFonts w:ascii="Book Antiqua" w:hAnsi="Book Antiqua"/>
          <w:noProof/>
          <w:vertAlign w:val="superscript"/>
        </w:rPr>
        <w:t>,10</w:t>
      </w:r>
      <w:r w:rsidR="005D3A43" w:rsidRPr="00F448FE">
        <w:rPr>
          <w:rFonts w:ascii="Book Antiqua" w:hAnsi="Book Antiqua"/>
          <w:noProof/>
          <w:vertAlign w:val="superscript"/>
        </w:rPr>
        <w:t>4</w:t>
      </w:r>
      <w:r w:rsidRPr="00F448FE">
        <w:rPr>
          <w:rFonts w:ascii="Book Antiqua" w:hAnsi="Book Antiqua"/>
          <w:noProof/>
          <w:vertAlign w:val="superscript"/>
        </w:rPr>
        <w:t>-11</w:t>
      </w:r>
      <w:r w:rsidR="005D3A43" w:rsidRPr="00F448FE">
        <w:rPr>
          <w:rFonts w:ascii="Book Antiqua" w:hAnsi="Book Antiqua"/>
          <w:noProof/>
          <w:vertAlign w:val="superscript"/>
        </w:rPr>
        <w:t>2</w:t>
      </w:r>
      <w:r w:rsidRPr="00F448FE">
        <w:rPr>
          <w:rFonts w:ascii="Book Antiqua" w:hAnsi="Book Antiqua"/>
          <w:noProof/>
          <w:vertAlign w:val="superscript"/>
        </w:rPr>
        <w:t>]</w:t>
      </w:r>
      <w:r w:rsidRPr="00F448FE">
        <w:rPr>
          <w:rFonts w:ascii="Book Antiqua" w:hAnsi="Book Antiqua"/>
        </w:rPr>
        <w:t xml:space="preserve">. </w:t>
      </w:r>
    </w:p>
    <w:p w14:paraId="110ED552" w14:textId="77777777" w:rsidR="004B673B" w:rsidRPr="00F448FE" w:rsidRDefault="004B673B" w:rsidP="000D04E0">
      <w:pPr>
        <w:adjustRightInd w:val="0"/>
        <w:snapToGrid w:val="0"/>
        <w:spacing w:line="360" w:lineRule="auto"/>
        <w:jc w:val="both"/>
        <w:rPr>
          <w:rFonts w:ascii="Book Antiqua" w:hAnsi="Book Antiqua"/>
        </w:rPr>
      </w:pPr>
    </w:p>
    <w:p w14:paraId="6DEA95D5" w14:textId="44DFAA59" w:rsidR="00E21972" w:rsidRPr="00F448FE" w:rsidRDefault="00CF3E22" w:rsidP="000D04E0">
      <w:pPr>
        <w:adjustRightInd w:val="0"/>
        <w:snapToGrid w:val="0"/>
        <w:spacing w:line="360" w:lineRule="auto"/>
        <w:jc w:val="both"/>
        <w:rPr>
          <w:rFonts w:ascii="Book Antiqua" w:hAnsi="Book Antiqua"/>
          <w:b/>
          <w:i/>
          <w:iCs/>
        </w:rPr>
      </w:pPr>
      <w:r w:rsidRPr="00F448FE">
        <w:rPr>
          <w:rFonts w:ascii="Book Antiqua" w:hAnsi="Book Antiqua"/>
          <w:b/>
          <w:i/>
          <w:iCs/>
        </w:rPr>
        <w:t xml:space="preserve">The relation between the abnormalities in intestinal stem cells and enteroendocrine cells </w:t>
      </w:r>
    </w:p>
    <w:p w14:paraId="4716F488" w14:textId="179DFF04" w:rsidR="004A6B7D" w:rsidRPr="00F448FE" w:rsidRDefault="000620CD" w:rsidP="000D04E0">
      <w:pPr>
        <w:autoSpaceDE w:val="0"/>
        <w:autoSpaceDN w:val="0"/>
        <w:adjustRightInd w:val="0"/>
        <w:snapToGrid w:val="0"/>
        <w:spacing w:line="360" w:lineRule="auto"/>
        <w:jc w:val="both"/>
        <w:outlineLvl w:val="0"/>
        <w:rPr>
          <w:rFonts w:ascii="Book Antiqua" w:hAnsi="Book Antiqua"/>
        </w:rPr>
      </w:pPr>
      <w:r w:rsidRPr="00F448FE">
        <w:rPr>
          <w:rFonts w:ascii="Book Antiqua" w:hAnsi="Book Antiqua"/>
        </w:rPr>
        <w:t>As mentioned previously, t</w:t>
      </w:r>
      <w:r w:rsidR="00992763" w:rsidRPr="00F448FE">
        <w:rPr>
          <w:rFonts w:ascii="Book Antiqua" w:hAnsi="Book Antiqua"/>
        </w:rPr>
        <w:t>he densities of the gastrointestinal</w:t>
      </w:r>
      <w:r w:rsidR="00A55DE8" w:rsidRPr="00F448FE">
        <w:rPr>
          <w:rFonts w:ascii="Book Antiqua" w:hAnsi="Book Antiqua"/>
        </w:rPr>
        <w:t xml:space="preserve"> endocrine cell</w:t>
      </w:r>
      <w:r w:rsidR="00992763" w:rsidRPr="00F448FE">
        <w:rPr>
          <w:rFonts w:ascii="Book Antiqua" w:hAnsi="Book Antiqua"/>
        </w:rPr>
        <w:t>s</w:t>
      </w:r>
      <w:r w:rsidR="00A55DE8" w:rsidRPr="00F448FE">
        <w:rPr>
          <w:rFonts w:ascii="Book Antiqua" w:hAnsi="Book Antiqua"/>
        </w:rPr>
        <w:t xml:space="preserve"> </w:t>
      </w:r>
      <w:r w:rsidR="00992763" w:rsidRPr="00F448FE">
        <w:rPr>
          <w:rFonts w:ascii="Book Antiqua" w:hAnsi="Book Antiqua"/>
        </w:rPr>
        <w:t xml:space="preserve">are lower than that of healthy </w:t>
      </w:r>
      <w:proofErr w:type="gramStart"/>
      <w:r w:rsidR="00992763" w:rsidRPr="00F448FE">
        <w:rPr>
          <w:rFonts w:ascii="Book Antiqua" w:hAnsi="Book Antiqua"/>
        </w:rPr>
        <w:t>subjects</w:t>
      </w:r>
      <w:r w:rsidR="00C91440" w:rsidRPr="00F448FE">
        <w:rPr>
          <w:rFonts w:ascii="Book Antiqua" w:hAnsi="Book Antiqua"/>
          <w:noProof/>
          <w:vertAlign w:val="superscript"/>
        </w:rPr>
        <w:t>[</w:t>
      </w:r>
      <w:proofErr w:type="gramEnd"/>
      <w:r w:rsidR="00C91440" w:rsidRPr="00F448FE">
        <w:rPr>
          <w:rFonts w:ascii="Book Antiqua" w:hAnsi="Book Antiqua"/>
          <w:noProof/>
          <w:vertAlign w:val="superscript"/>
        </w:rPr>
        <w:t>53,8</w:t>
      </w:r>
      <w:r w:rsidR="00F35A8A" w:rsidRPr="00F448FE">
        <w:rPr>
          <w:rFonts w:ascii="Book Antiqua" w:hAnsi="Book Antiqua"/>
          <w:noProof/>
          <w:vertAlign w:val="superscript"/>
        </w:rPr>
        <w:t>3</w:t>
      </w:r>
      <w:r w:rsidR="00C91440" w:rsidRPr="00F448FE">
        <w:rPr>
          <w:rFonts w:ascii="Book Antiqua" w:hAnsi="Book Antiqua"/>
          <w:noProof/>
          <w:vertAlign w:val="superscript"/>
        </w:rPr>
        <w:t>-9</w:t>
      </w:r>
      <w:r w:rsidR="00690121" w:rsidRPr="00F448FE">
        <w:rPr>
          <w:rFonts w:ascii="Book Antiqua" w:hAnsi="Book Antiqua"/>
          <w:noProof/>
          <w:vertAlign w:val="superscript"/>
        </w:rPr>
        <w:t>7</w:t>
      </w:r>
      <w:r w:rsidR="00C91440" w:rsidRPr="00F448FE">
        <w:rPr>
          <w:rFonts w:ascii="Book Antiqua" w:hAnsi="Book Antiqua"/>
          <w:noProof/>
          <w:vertAlign w:val="superscript"/>
        </w:rPr>
        <w:t>]</w:t>
      </w:r>
      <w:r w:rsidR="00A55DE8" w:rsidRPr="00F448FE">
        <w:rPr>
          <w:rFonts w:ascii="Book Antiqua" w:hAnsi="Book Antiqua"/>
        </w:rPr>
        <w:t>.</w:t>
      </w:r>
      <w:r w:rsidR="00C05E19" w:rsidRPr="00F448FE">
        <w:rPr>
          <w:rFonts w:ascii="Book Antiqua" w:hAnsi="Book Antiqua"/>
        </w:rPr>
        <w:t xml:space="preserve"> </w:t>
      </w:r>
      <w:r w:rsidR="001C75A6" w:rsidRPr="00F448FE">
        <w:rPr>
          <w:rFonts w:ascii="Book Antiqua" w:hAnsi="Book Antiqua"/>
        </w:rPr>
        <w:t xml:space="preserve">The </w:t>
      </w:r>
      <w:r w:rsidR="001C75A6" w:rsidRPr="00F448FE">
        <w:rPr>
          <w:rFonts w:ascii="Book Antiqua" w:hAnsi="Book Antiqua"/>
          <w:shd w:val="clear" w:color="auto" w:fill="FFFFFF"/>
        </w:rPr>
        <w:t xml:space="preserve">cell density of </w:t>
      </w:r>
      <w:proofErr w:type="spellStart"/>
      <w:r w:rsidR="001C75A6" w:rsidRPr="00F448FE">
        <w:rPr>
          <w:rFonts w:ascii="Book Antiqua" w:hAnsi="Book Antiqua"/>
          <w:shd w:val="clear" w:color="auto" w:fill="FFFFFF"/>
        </w:rPr>
        <w:t>Musashi</w:t>
      </w:r>
      <w:proofErr w:type="spellEnd"/>
      <w:r w:rsidR="001C75A6" w:rsidRPr="00F448FE">
        <w:rPr>
          <w:rFonts w:ascii="Book Antiqua" w:hAnsi="Book Antiqua"/>
          <w:shd w:val="clear" w:color="auto" w:fill="FFFFFF"/>
        </w:rPr>
        <w:t xml:space="preserve"> 1, and </w:t>
      </w:r>
      <w:proofErr w:type="spellStart"/>
      <w:r w:rsidR="001C75A6" w:rsidRPr="00F448FE">
        <w:rPr>
          <w:rFonts w:ascii="Book Antiqua" w:hAnsi="Book Antiqua"/>
          <w:shd w:val="clear" w:color="auto" w:fill="FFFFFF"/>
        </w:rPr>
        <w:t>neurogenin</w:t>
      </w:r>
      <w:proofErr w:type="spellEnd"/>
      <w:r w:rsidR="001C75A6" w:rsidRPr="00F448FE">
        <w:rPr>
          <w:rFonts w:ascii="Book Antiqua" w:hAnsi="Book Antiqua"/>
          <w:shd w:val="clear" w:color="auto" w:fill="FFFFFF"/>
        </w:rPr>
        <w:t xml:space="preserve"> 3 immunoreactive cells i</w:t>
      </w:r>
      <w:r w:rsidR="00A55DE8" w:rsidRPr="00F448FE">
        <w:rPr>
          <w:rFonts w:ascii="Book Antiqua" w:hAnsi="Book Antiqua"/>
        </w:rPr>
        <w:t>n the small and large</w:t>
      </w:r>
      <w:r w:rsidR="001C75A6" w:rsidRPr="00F448FE">
        <w:rPr>
          <w:rFonts w:ascii="Book Antiqua" w:hAnsi="Book Antiqua"/>
        </w:rPr>
        <w:t xml:space="preserve"> intestine of patients with IBS </w:t>
      </w:r>
      <w:r w:rsidR="00A55DE8" w:rsidRPr="00F448FE">
        <w:rPr>
          <w:rFonts w:ascii="Book Antiqua" w:hAnsi="Book Antiqua"/>
          <w:shd w:val="clear" w:color="auto" w:fill="FFFFFF"/>
        </w:rPr>
        <w:t>are lower than that of healthy subjects</w:t>
      </w:r>
      <w:r w:rsidR="00F33548" w:rsidRPr="00F448FE">
        <w:rPr>
          <w:rFonts w:ascii="Book Antiqua" w:hAnsi="Book Antiqua"/>
          <w:shd w:val="clear" w:color="auto" w:fill="FFFFFF"/>
        </w:rPr>
        <w:t xml:space="preserve"> </w:t>
      </w:r>
      <w:r w:rsidR="00B019EB" w:rsidRPr="00F448FE">
        <w:rPr>
          <w:rFonts w:ascii="Book Antiqua" w:hAnsi="Book Antiqua"/>
        </w:rPr>
        <w:t>(Figures 5 and 6)</w:t>
      </w:r>
      <w:r w:rsidR="000D27F7" w:rsidRPr="00F448FE">
        <w:rPr>
          <w:rFonts w:ascii="Book Antiqua" w:hAnsi="Book Antiqua"/>
          <w:noProof/>
          <w:vertAlign w:val="superscript"/>
        </w:rPr>
        <w:t>[</w:t>
      </w:r>
      <w:r w:rsidR="00B3151B" w:rsidRPr="00F448FE">
        <w:rPr>
          <w:rFonts w:ascii="Book Antiqua" w:hAnsi="Book Antiqua"/>
          <w:noProof/>
          <w:vertAlign w:val="superscript"/>
        </w:rPr>
        <w:t>11-</w:t>
      </w:r>
      <w:r w:rsidR="000D27F7" w:rsidRPr="00F448FE">
        <w:rPr>
          <w:rFonts w:ascii="Book Antiqua" w:hAnsi="Book Antiqua"/>
          <w:noProof/>
          <w:vertAlign w:val="superscript"/>
        </w:rPr>
        <w:t>13]</w:t>
      </w:r>
      <w:r w:rsidR="00A55DE8" w:rsidRPr="00F448FE">
        <w:rPr>
          <w:rFonts w:ascii="Book Antiqua" w:hAnsi="Book Antiqua"/>
        </w:rPr>
        <w:t xml:space="preserve">. </w:t>
      </w:r>
      <w:proofErr w:type="spellStart"/>
      <w:r w:rsidR="00A55DE8" w:rsidRPr="00F448FE">
        <w:rPr>
          <w:rFonts w:ascii="Book Antiqua" w:hAnsi="Book Antiqua"/>
          <w:shd w:val="clear" w:color="auto" w:fill="FFFFFF"/>
        </w:rPr>
        <w:t>Musashi</w:t>
      </w:r>
      <w:proofErr w:type="spellEnd"/>
      <w:r w:rsidR="00A55DE8" w:rsidRPr="00F448FE">
        <w:rPr>
          <w:rFonts w:ascii="Book Antiqua" w:hAnsi="Book Antiqua"/>
          <w:shd w:val="clear" w:color="auto" w:fill="FFFFFF"/>
        </w:rPr>
        <w:t xml:space="preserve"> 1 is </w:t>
      </w:r>
      <w:r w:rsidR="00A55DE8" w:rsidRPr="00F448FE">
        <w:rPr>
          <w:rFonts w:ascii="Book Antiqua" w:hAnsi="Book Antiqua"/>
        </w:rPr>
        <w:t>marker for intestinal stem cells and their early progeny</w:t>
      </w:r>
      <w:r w:rsidR="000D27F7" w:rsidRPr="00F448FE">
        <w:rPr>
          <w:rFonts w:ascii="Book Antiqua" w:hAnsi="Book Antiqua"/>
        </w:rPr>
        <w:t>,</w:t>
      </w:r>
      <w:r w:rsidR="00A55DE8" w:rsidRPr="00F448FE">
        <w:rPr>
          <w:rFonts w:ascii="Book Antiqua" w:hAnsi="Book Antiqua"/>
          <w:shd w:val="clear" w:color="auto" w:fill="FFFFFF"/>
        </w:rPr>
        <w:t xml:space="preserve"> </w:t>
      </w:r>
      <w:r w:rsidR="00A55DE8" w:rsidRPr="00F448FE">
        <w:rPr>
          <w:rFonts w:ascii="Book Antiqua" w:hAnsi="Book Antiqua"/>
        </w:rPr>
        <w:t>an</w:t>
      </w:r>
      <w:r w:rsidR="000D27F7" w:rsidRPr="00F448FE">
        <w:rPr>
          <w:rFonts w:ascii="Book Antiqua" w:hAnsi="Book Antiqua"/>
        </w:rPr>
        <w:t xml:space="preserve">d </w:t>
      </w:r>
      <w:proofErr w:type="spellStart"/>
      <w:r w:rsidR="000D27F7" w:rsidRPr="00F448FE">
        <w:rPr>
          <w:rFonts w:ascii="Book Antiqua" w:hAnsi="Book Antiqua"/>
        </w:rPr>
        <w:t>neurogenin</w:t>
      </w:r>
      <w:proofErr w:type="spellEnd"/>
      <w:r w:rsidR="00CF3E22" w:rsidRPr="00F448FE">
        <w:rPr>
          <w:rFonts w:ascii="Book Antiqua" w:hAnsi="Book Antiqua"/>
        </w:rPr>
        <w:t xml:space="preserve"> </w:t>
      </w:r>
      <w:r w:rsidR="000D27F7" w:rsidRPr="00F448FE">
        <w:rPr>
          <w:rFonts w:ascii="Book Antiqua" w:hAnsi="Book Antiqua"/>
        </w:rPr>
        <w:t xml:space="preserve">3 is expressed in early intestinal endocrine cell progenitors originated from stem </w:t>
      </w:r>
      <w:proofErr w:type="gramStart"/>
      <w:r w:rsidR="000D27F7" w:rsidRPr="00F448FE">
        <w:rPr>
          <w:rFonts w:ascii="Book Antiqua" w:hAnsi="Book Antiqua"/>
        </w:rPr>
        <w:t>cells</w:t>
      </w:r>
      <w:r w:rsidR="000D27F7" w:rsidRPr="00F448FE">
        <w:rPr>
          <w:rFonts w:ascii="Book Antiqua" w:hAnsi="Book Antiqua"/>
          <w:noProof/>
          <w:vertAlign w:val="superscript"/>
        </w:rPr>
        <w:t>[</w:t>
      </w:r>
      <w:proofErr w:type="gramEnd"/>
      <w:r w:rsidR="000D27F7" w:rsidRPr="00F448FE">
        <w:rPr>
          <w:rFonts w:ascii="Book Antiqua" w:hAnsi="Book Antiqua"/>
          <w:noProof/>
          <w:vertAlign w:val="superscript"/>
        </w:rPr>
        <w:t>10</w:t>
      </w:r>
      <w:r w:rsidR="00690121" w:rsidRPr="00F448FE">
        <w:rPr>
          <w:rFonts w:ascii="Book Antiqua" w:hAnsi="Book Antiqua"/>
          <w:noProof/>
          <w:vertAlign w:val="superscript"/>
        </w:rPr>
        <w:t>3</w:t>
      </w:r>
      <w:r w:rsidR="000D27F7" w:rsidRPr="00F448FE">
        <w:rPr>
          <w:rFonts w:ascii="Book Antiqua" w:hAnsi="Book Antiqua"/>
          <w:noProof/>
          <w:vertAlign w:val="superscript"/>
        </w:rPr>
        <w:t>,11</w:t>
      </w:r>
      <w:r w:rsidR="00B3151B" w:rsidRPr="00F448FE">
        <w:rPr>
          <w:rFonts w:ascii="Book Antiqua" w:hAnsi="Book Antiqua"/>
          <w:noProof/>
          <w:vertAlign w:val="superscript"/>
        </w:rPr>
        <w:t>3</w:t>
      </w:r>
      <w:r w:rsidR="000D27F7" w:rsidRPr="00F448FE">
        <w:rPr>
          <w:rFonts w:ascii="Book Antiqua" w:hAnsi="Book Antiqua"/>
          <w:noProof/>
          <w:vertAlign w:val="superscript"/>
        </w:rPr>
        <w:t>-1</w:t>
      </w:r>
      <w:r w:rsidR="00B3151B" w:rsidRPr="00F448FE">
        <w:rPr>
          <w:rFonts w:ascii="Book Antiqua" w:hAnsi="Book Antiqua"/>
          <w:noProof/>
          <w:vertAlign w:val="superscript"/>
        </w:rPr>
        <w:t>18</w:t>
      </w:r>
      <w:r w:rsidR="000D27F7" w:rsidRPr="00F448FE">
        <w:rPr>
          <w:rFonts w:ascii="Book Antiqua" w:hAnsi="Book Antiqua"/>
          <w:noProof/>
          <w:vertAlign w:val="superscript"/>
        </w:rPr>
        <w:t>]</w:t>
      </w:r>
      <w:r w:rsidR="000D27F7" w:rsidRPr="00F448FE">
        <w:rPr>
          <w:rFonts w:ascii="Book Antiqua" w:hAnsi="Book Antiqua"/>
        </w:rPr>
        <w:t>.</w:t>
      </w:r>
      <w:r w:rsidR="007F5986" w:rsidRPr="00F448FE">
        <w:rPr>
          <w:rFonts w:ascii="Book Antiqua" w:hAnsi="Book Antiqua"/>
        </w:rPr>
        <w:t xml:space="preserve"> </w:t>
      </w:r>
      <w:r w:rsidR="00BA4DDB" w:rsidRPr="00F448FE">
        <w:rPr>
          <w:rFonts w:ascii="Book Antiqua" w:hAnsi="Book Antiqua"/>
        </w:rPr>
        <w:t>The low densities of enteroendocrine cells in patients wit</w:t>
      </w:r>
      <w:r w:rsidR="00B019EB" w:rsidRPr="00F448FE">
        <w:rPr>
          <w:rFonts w:ascii="Book Antiqua" w:hAnsi="Book Antiqua"/>
        </w:rPr>
        <w:t xml:space="preserve">h IBS could be explained by </w:t>
      </w:r>
      <w:r w:rsidR="00BA4DDB" w:rsidRPr="00F448FE">
        <w:rPr>
          <w:rFonts w:ascii="Book Antiqua" w:hAnsi="Book Antiqua"/>
        </w:rPr>
        <w:t xml:space="preserve">the abnormalities in intestinal stem </w:t>
      </w:r>
      <w:proofErr w:type="gramStart"/>
      <w:r w:rsidR="00BA4DDB" w:rsidRPr="00F448FE">
        <w:rPr>
          <w:rFonts w:ascii="Book Antiqua" w:hAnsi="Book Antiqua"/>
        </w:rPr>
        <w:t>cells</w:t>
      </w:r>
      <w:r w:rsidR="00BA4DDB" w:rsidRPr="00F448FE">
        <w:rPr>
          <w:rFonts w:ascii="Book Antiqua" w:hAnsi="Book Antiqua"/>
          <w:noProof/>
          <w:vertAlign w:val="superscript"/>
        </w:rPr>
        <w:t>[</w:t>
      </w:r>
      <w:proofErr w:type="gramEnd"/>
      <w:r w:rsidR="00BA4DDB" w:rsidRPr="00F448FE">
        <w:rPr>
          <w:rFonts w:ascii="Book Antiqua" w:hAnsi="Book Antiqua"/>
          <w:noProof/>
          <w:vertAlign w:val="superscript"/>
        </w:rPr>
        <w:t>1</w:t>
      </w:r>
      <w:r w:rsidR="00B3151B" w:rsidRPr="00F448FE">
        <w:rPr>
          <w:rFonts w:ascii="Book Antiqua" w:hAnsi="Book Antiqua"/>
          <w:noProof/>
          <w:vertAlign w:val="superscript"/>
        </w:rPr>
        <w:t>19</w:t>
      </w:r>
      <w:r w:rsidR="00BA4DDB" w:rsidRPr="00F448FE">
        <w:rPr>
          <w:rFonts w:ascii="Book Antiqua" w:hAnsi="Book Antiqua"/>
          <w:noProof/>
          <w:vertAlign w:val="superscript"/>
        </w:rPr>
        <w:t>]</w:t>
      </w:r>
      <w:r w:rsidR="009C3DCD" w:rsidRPr="00F448FE">
        <w:rPr>
          <w:rFonts w:ascii="Book Antiqua" w:hAnsi="Book Antiqua"/>
        </w:rPr>
        <w:t>.</w:t>
      </w:r>
      <w:r w:rsidR="00BA4DDB" w:rsidRPr="00F448FE">
        <w:rPr>
          <w:rFonts w:ascii="Book Antiqua" w:hAnsi="Book Antiqua"/>
        </w:rPr>
        <w:t xml:space="preserve"> Thus, low densities of Msi-1 and NEUROG3 small and large intestine in IBS patients indicate that the intestinal stem cells in </w:t>
      </w:r>
      <w:r w:rsidR="009B7357" w:rsidRPr="00F448FE">
        <w:rPr>
          <w:rFonts w:ascii="Book Antiqua" w:hAnsi="Book Antiqua"/>
        </w:rPr>
        <w:t>these</w:t>
      </w:r>
      <w:r w:rsidR="00BA4DDB" w:rsidRPr="00F448FE">
        <w:rPr>
          <w:rFonts w:ascii="Book Antiqua" w:hAnsi="Book Antiqua"/>
        </w:rPr>
        <w:t xml:space="preserve"> patients exhibit reduced </w:t>
      </w:r>
      <w:proofErr w:type="spellStart"/>
      <w:r w:rsidR="00BA4DDB" w:rsidRPr="00F448FE">
        <w:rPr>
          <w:rFonts w:ascii="Book Antiqua" w:hAnsi="Book Antiqua"/>
        </w:rPr>
        <w:t>clonogenic</w:t>
      </w:r>
      <w:proofErr w:type="spellEnd"/>
      <w:r w:rsidR="00BA4DDB" w:rsidRPr="00F448FE">
        <w:rPr>
          <w:rFonts w:ascii="Book Antiqua" w:hAnsi="Book Antiqua"/>
        </w:rPr>
        <w:t xml:space="preserve"> activity and low differentiation progeny toward endocrine </w:t>
      </w:r>
      <w:proofErr w:type="gramStart"/>
      <w:r w:rsidR="00BA4DDB" w:rsidRPr="00F448FE">
        <w:rPr>
          <w:rFonts w:ascii="Book Antiqua" w:hAnsi="Book Antiqua"/>
        </w:rPr>
        <w:t>cells</w:t>
      </w:r>
      <w:r w:rsidR="009B7357" w:rsidRPr="00F448FE">
        <w:rPr>
          <w:rFonts w:ascii="Book Antiqua" w:hAnsi="Book Antiqua"/>
          <w:noProof/>
          <w:vertAlign w:val="superscript"/>
        </w:rPr>
        <w:t>[</w:t>
      </w:r>
      <w:proofErr w:type="gramEnd"/>
      <w:r w:rsidR="009B7357" w:rsidRPr="00F448FE">
        <w:rPr>
          <w:rFonts w:ascii="Book Antiqua" w:hAnsi="Book Antiqua"/>
          <w:noProof/>
          <w:vertAlign w:val="superscript"/>
        </w:rPr>
        <w:t>1</w:t>
      </w:r>
      <w:r w:rsidR="00B3151B" w:rsidRPr="00F448FE">
        <w:rPr>
          <w:rFonts w:ascii="Book Antiqua" w:hAnsi="Book Antiqua"/>
          <w:noProof/>
          <w:vertAlign w:val="superscript"/>
        </w:rPr>
        <w:t>19</w:t>
      </w:r>
      <w:r w:rsidR="000F69DF" w:rsidRPr="00F448FE">
        <w:rPr>
          <w:rFonts w:ascii="Book Antiqua" w:hAnsi="Book Antiqua"/>
          <w:noProof/>
          <w:vertAlign w:val="superscript"/>
        </w:rPr>
        <w:t>,120</w:t>
      </w:r>
      <w:r w:rsidR="009B7357" w:rsidRPr="00F448FE">
        <w:rPr>
          <w:rFonts w:ascii="Book Antiqua" w:hAnsi="Book Antiqua"/>
          <w:noProof/>
          <w:vertAlign w:val="superscript"/>
        </w:rPr>
        <w:t>]</w:t>
      </w:r>
      <w:r w:rsidR="009C3DCD" w:rsidRPr="00F448FE">
        <w:rPr>
          <w:rFonts w:ascii="Book Antiqua" w:hAnsi="Book Antiqua"/>
        </w:rPr>
        <w:t>.</w:t>
      </w:r>
    </w:p>
    <w:p w14:paraId="217B6C48" w14:textId="77777777" w:rsidR="009A500F" w:rsidRPr="00F448FE" w:rsidRDefault="009A500F" w:rsidP="000D04E0">
      <w:pPr>
        <w:adjustRightInd w:val="0"/>
        <w:snapToGrid w:val="0"/>
        <w:spacing w:line="360" w:lineRule="auto"/>
        <w:jc w:val="both"/>
        <w:rPr>
          <w:rFonts w:ascii="Book Antiqua" w:hAnsi="Book Antiqua"/>
          <w:b/>
        </w:rPr>
      </w:pPr>
    </w:p>
    <w:p w14:paraId="334B0E9D" w14:textId="3DB53320" w:rsidR="004A6B7D" w:rsidRPr="00F448FE" w:rsidRDefault="005F5159" w:rsidP="000D04E0">
      <w:pPr>
        <w:adjustRightInd w:val="0"/>
        <w:snapToGrid w:val="0"/>
        <w:spacing w:line="360" w:lineRule="auto"/>
        <w:jc w:val="both"/>
        <w:rPr>
          <w:rFonts w:ascii="Book Antiqua" w:hAnsi="Book Antiqua"/>
          <w:b/>
          <w:u w:val="single"/>
        </w:rPr>
      </w:pPr>
      <w:r w:rsidRPr="00F448FE">
        <w:rPr>
          <w:rFonts w:ascii="Book Antiqua" w:hAnsi="Book Antiqua"/>
          <w:b/>
          <w:u w:val="single"/>
        </w:rPr>
        <w:t>HYPOTHESIS</w:t>
      </w:r>
    </w:p>
    <w:p w14:paraId="7D5DF303" w14:textId="53515DBA" w:rsidR="00246A68" w:rsidRPr="00F448FE" w:rsidRDefault="006A0ADC" w:rsidP="000D04E0">
      <w:pPr>
        <w:adjustRightInd w:val="0"/>
        <w:snapToGrid w:val="0"/>
        <w:spacing w:line="360" w:lineRule="auto"/>
        <w:jc w:val="both"/>
        <w:rPr>
          <w:rFonts w:ascii="Book Antiqua" w:hAnsi="Book Antiqua"/>
        </w:rPr>
      </w:pPr>
      <w:r w:rsidRPr="00F448FE">
        <w:rPr>
          <w:rFonts w:ascii="Book Antiqua" w:hAnsi="Book Antiqua"/>
        </w:rPr>
        <w:t xml:space="preserve">Based on the data presented above, one may </w:t>
      </w:r>
      <w:r w:rsidR="00F81B0E" w:rsidRPr="00F448FE">
        <w:rPr>
          <w:rFonts w:ascii="Book Antiqua" w:hAnsi="Book Antiqua"/>
        </w:rPr>
        <w:t>hypothesized</w:t>
      </w:r>
      <w:r w:rsidRPr="00F448FE">
        <w:rPr>
          <w:rFonts w:ascii="Book Antiqua" w:hAnsi="Book Antiqua"/>
        </w:rPr>
        <w:t xml:space="preserve"> that IBS patients may have a gene mutation controlling the number of the stem cells and/or NEUROG3 gene mutation. </w:t>
      </w:r>
      <w:r w:rsidR="003F44B4" w:rsidRPr="00F448FE">
        <w:rPr>
          <w:rFonts w:ascii="Book Antiqua" w:hAnsi="Book Antiqua"/>
        </w:rPr>
        <w:t>Furthermore,</w:t>
      </w:r>
      <w:r w:rsidRPr="00F448FE">
        <w:rPr>
          <w:rFonts w:ascii="Book Antiqua" w:hAnsi="Book Antiqua"/>
        </w:rPr>
        <w:t xml:space="preserve"> </w:t>
      </w:r>
      <w:r w:rsidR="00F81B0E" w:rsidRPr="00F448FE">
        <w:rPr>
          <w:rFonts w:ascii="Book Antiqua" w:hAnsi="Book Antiqua"/>
        </w:rPr>
        <w:t>environmental</w:t>
      </w:r>
      <w:r w:rsidRPr="00F448FE">
        <w:rPr>
          <w:rFonts w:ascii="Book Antiqua" w:hAnsi="Book Antiqua"/>
        </w:rPr>
        <w:t xml:space="preserve"> factors such as diet, inflammation, stress </w:t>
      </w:r>
      <w:r w:rsidRPr="00F448FE">
        <w:rPr>
          <w:rFonts w:ascii="Book Antiqua" w:hAnsi="Book Antiqua"/>
        </w:rPr>
        <w:lastRenderedPageBreak/>
        <w:t>and gut microbiota</w:t>
      </w:r>
      <w:r w:rsidR="003F44B4" w:rsidRPr="00F448FE">
        <w:rPr>
          <w:rFonts w:ascii="Book Antiqua" w:hAnsi="Book Antiqua"/>
        </w:rPr>
        <w:t xml:space="preserve"> may affect the stem cells and their progeny</w:t>
      </w:r>
      <w:r w:rsidR="00EC7A50" w:rsidRPr="00F448FE">
        <w:rPr>
          <w:rFonts w:ascii="Book Antiqua" w:hAnsi="Book Antiqua"/>
        </w:rPr>
        <w:t xml:space="preserve"> (Figure 7)</w:t>
      </w:r>
      <w:r w:rsidR="003F44B4" w:rsidRPr="00F448FE">
        <w:rPr>
          <w:rFonts w:ascii="Book Antiqua" w:hAnsi="Book Antiqua"/>
        </w:rPr>
        <w:t>. This hypothesis gets support from the following facts:</w:t>
      </w:r>
      <w:r w:rsidR="00CF3E22" w:rsidRPr="00F448FE">
        <w:rPr>
          <w:rFonts w:ascii="Book Antiqua" w:hAnsi="Book Antiqua"/>
        </w:rPr>
        <w:t xml:space="preserve"> </w:t>
      </w:r>
      <w:r w:rsidR="00CF3E22" w:rsidRPr="00F448FE">
        <w:rPr>
          <w:rFonts w:ascii="Book Antiqua" w:eastAsia="宋体" w:hAnsi="Book Antiqua" w:cs="宋体"/>
          <w:lang w:eastAsia="zh-CN"/>
        </w:rPr>
        <w:t>(1)</w:t>
      </w:r>
      <w:r w:rsidR="00CF3E22" w:rsidRPr="00F448FE">
        <w:rPr>
          <w:rFonts w:ascii="Book Antiqua" w:hAnsi="Book Antiqua"/>
        </w:rPr>
        <w:t xml:space="preserve"> </w:t>
      </w:r>
      <w:r w:rsidR="000D27F7" w:rsidRPr="00F448FE">
        <w:rPr>
          <w:rFonts w:ascii="Book Antiqua" w:hAnsi="Book Antiqua"/>
        </w:rPr>
        <w:t xml:space="preserve">Low density of intestinal endocrine cells has been described in patients with congenital malabsorptive diarrhoea, which is an autosomal recessive </w:t>
      </w:r>
      <w:proofErr w:type="gramStart"/>
      <w:r w:rsidR="000D27F7" w:rsidRPr="00F448FE">
        <w:rPr>
          <w:rFonts w:ascii="Book Antiqua" w:hAnsi="Book Antiqua"/>
        </w:rPr>
        <w:t>disorder</w:t>
      </w:r>
      <w:r w:rsidR="00BA4DDB" w:rsidRPr="00F448FE">
        <w:rPr>
          <w:rFonts w:ascii="Book Antiqua" w:hAnsi="Book Antiqua"/>
          <w:noProof/>
          <w:vertAlign w:val="superscript"/>
        </w:rPr>
        <w:t>[</w:t>
      </w:r>
      <w:proofErr w:type="gramEnd"/>
      <w:r w:rsidR="00BA4DDB" w:rsidRPr="00F448FE">
        <w:rPr>
          <w:rFonts w:ascii="Book Antiqua" w:hAnsi="Book Antiqua"/>
          <w:noProof/>
          <w:vertAlign w:val="superscript"/>
        </w:rPr>
        <w:t>12</w:t>
      </w:r>
      <w:r w:rsidR="000F69DF" w:rsidRPr="00F448FE">
        <w:rPr>
          <w:rFonts w:ascii="Book Antiqua" w:hAnsi="Book Antiqua"/>
          <w:noProof/>
          <w:vertAlign w:val="superscript"/>
        </w:rPr>
        <w:t>1</w:t>
      </w:r>
      <w:r w:rsidR="00BA4DDB" w:rsidRPr="00F448FE">
        <w:rPr>
          <w:rFonts w:ascii="Book Antiqua" w:hAnsi="Book Antiqua"/>
          <w:noProof/>
          <w:vertAlign w:val="superscript"/>
        </w:rPr>
        <w:t>]</w:t>
      </w:r>
      <w:r w:rsidR="000D27F7" w:rsidRPr="00F448FE">
        <w:rPr>
          <w:rFonts w:ascii="Book Antiqua" w:hAnsi="Book Antiqua"/>
        </w:rPr>
        <w:t xml:space="preserve">. The low density of intestinal endocrine cells in this disorder is caused by loss-of-function mutations in NEUROG3 </w:t>
      </w:r>
      <w:proofErr w:type="gramStart"/>
      <w:r w:rsidR="000D27F7" w:rsidRPr="00F448FE">
        <w:rPr>
          <w:rFonts w:ascii="Book Antiqua" w:hAnsi="Book Antiqua"/>
        </w:rPr>
        <w:t>gene</w:t>
      </w:r>
      <w:r w:rsidR="00BA4DDB" w:rsidRPr="00F448FE">
        <w:rPr>
          <w:rFonts w:ascii="Book Antiqua" w:hAnsi="Book Antiqua"/>
          <w:noProof/>
          <w:vertAlign w:val="superscript"/>
        </w:rPr>
        <w:t>[</w:t>
      </w:r>
      <w:proofErr w:type="gramEnd"/>
      <w:r w:rsidR="00BA4DDB" w:rsidRPr="00F448FE">
        <w:rPr>
          <w:rFonts w:ascii="Book Antiqua" w:hAnsi="Book Antiqua"/>
          <w:noProof/>
          <w:vertAlign w:val="superscript"/>
        </w:rPr>
        <w:t>12</w:t>
      </w:r>
      <w:r w:rsidR="000F69DF" w:rsidRPr="00F448FE">
        <w:rPr>
          <w:rFonts w:ascii="Book Antiqua" w:hAnsi="Book Antiqua"/>
          <w:noProof/>
          <w:vertAlign w:val="superscript"/>
          <w:lang w:val="en-US"/>
        </w:rPr>
        <w:t>1</w:t>
      </w:r>
      <w:r w:rsidR="00BA4DDB" w:rsidRPr="00F448FE">
        <w:rPr>
          <w:rFonts w:ascii="Book Antiqua" w:hAnsi="Book Antiqua"/>
          <w:noProof/>
          <w:vertAlign w:val="superscript"/>
        </w:rPr>
        <w:t>]</w:t>
      </w:r>
      <w:r w:rsidR="000D27F7" w:rsidRPr="00F448FE">
        <w:rPr>
          <w:rFonts w:ascii="Book Antiqua" w:hAnsi="Book Antiqua"/>
        </w:rPr>
        <w:t xml:space="preserve">. </w:t>
      </w:r>
      <w:r w:rsidR="00AB27F2" w:rsidRPr="00F448FE">
        <w:rPr>
          <w:rFonts w:ascii="Book Antiqua" w:hAnsi="Book Antiqua"/>
        </w:rPr>
        <w:t xml:space="preserve">Similarly, low density of </w:t>
      </w:r>
      <w:r w:rsidR="000D27F7" w:rsidRPr="00F448FE">
        <w:rPr>
          <w:rFonts w:ascii="Book Antiqua" w:hAnsi="Book Antiqua"/>
        </w:rPr>
        <w:t xml:space="preserve">intestinal endocrine cells has been observed in small-intestine allograft rejection, and in NEUROG3-knockout </w:t>
      </w:r>
      <w:proofErr w:type="gramStart"/>
      <w:r w:rsidR="000D27F7" w:rsidRPr="00F448FE">
        <w:rPr>
          <w:rFonts w:ascii="Book Antiqua" w:hAnsi="Book Antiqua"/>
        </w:rPr>
        <w:t>mice</w:t>
      </w:r>
      <w:r w:rsidR="00BA4DDB" w:rsidRPr="00F448FE">
        <w:rPr>
          <w:rFonts w:ascii="Book Antiqua" w:hAnsi="Book Antiqua"/>
          <w:noProof/>
          <w:vertAlign w:val="superscript"/>
        </w:rPr>
        <w:t>[</w:t>
      </w:r>
      <w:proofErr w:type="gramEnd"/>
      <w:r w:rsidR="00BA4DDB" w:rsidRPr="00F448FE">
        <w:rPr>
          <w:rFonts w:ascii="Book Antiqua" w:hAnsi="Book Antiqua"/>
          <w:noProof/>
          <w:vertAlign w:val="superscript"/>
        </w:rPr>
        <w:t>11</w:t>
      </w:r>
      <w:r w:rsidR="00B36FDA" w:rsidRPr="00F448FE">
        <w:rPr>
          <w:rFonts w:ascii="Book Antiqua" w:hAnsi="Book Antiqua"/>
          <w:noProof/>
          <w:vertAlign w:val="superscript"/>
          <w:lang w:val="en-US"/>
        </w:rPr>
        <w:t>7</w:t>
      </w:r>
      <w:r w:rsidR="00BA4DDB" w:rsidRPr="00F448FE">
        <w:rPr>
          <w:rFonts w:ascii="Book Antiqua" w:hAnsi="Book Antiqua"/>
          <w:noProof/>
          <w:vertAlign w:val="superscript"/>
        </w:rPr>
        <w:t>,12</w:t>
      </w:r>
      <w:r w:rsidR="006F1929" w:rsidRPr="00F448FE">
        <w:rPr>
          <w:rFonts w:ascii="Book Antiqua" w:hAnsi="Book Antiqua"/>
          <w:noProof/>
          <w:vertAlign w:val="superscript"/>
          <w:lang w:val="en-US"/>
        </w:rPr>
        <w:t>0</w:t>
      </w:r>
      <w:r w:rsidR="00BA4DDB" w:rsidRPr="00F448FE">
        <w:rPr>
          <w:rFonts w:ascii="Book Antiqua" w:hAnsi="Book Antiqua"/>
          <w:noProof/>
          <w:vertAlign w:val="superscript"/>
        </w:rPr>
        <w:t>]</w:t>
      </w:r>
      <w:r w:rsidR="000D27F7" w:rsidRPr="00F448FE">
        <w:rPr>
          <w:rFonts w:ascii="Book Antiqua" w:hAnsi="Book Antiqua"/>
        </w:rPr>
        <w:t xml:space="preserve">. The low density of intestinal endocrine cells in these conditions was associated with a reduction in number of intestinal </w:t>
      </w:r>
      <w:proofErr w:type="spellStart"/>
      <w:r w:rsidR="000D27F7" w:rsidRPr="00F448FE">
        <w:rPr>
          <w:rFonts w:ascii="Book Antiqua" w:hAnsi="Book Antiqua"/>
        </w:rPr>
        <w:t>neurogenin</w:t>
      </w:r>
      <w:proofErr w:type="spellEnd"/>
      <w:r w:rsidR="000D27F7" w:rsidRPr="00F448FE">
        <w:rPr>
          <w:rFonts w:ascii="Book Antiqua" w:hAnsi="Book Antiqua"/>
        </w:rPr>
        <w:t xml:space="preserve"> 3 cells</w:t>
      </w:r>
      <w:r w:rsidR="00BA4DDB" w:rsidRPr="00F448FE">
        <w:rPr>
          <w:rFonts w:ascii="Book Antiqua" w:hAnsi="Book Antiqua"/>
          <w:noProof/>
          <w:vertAlign w:val="superscript"/>
        </w:rPr>
        <w:t>[11</w:t>
      </w:r>
      <w:r w:rsidR="00B36FDA" w:rsidRPr="00F448FE">
        <w:rPr>
          <w:rFonts w:ascii="Book Antiqua" w:hAnsi="Book Antiqua"/>
          <w:noProof/>
          <w:vertAlign w:val="superscript"/>
          <w:lang w:val="en-US"/>
        </w:rPr>
        <w:t>7</w:t>
      </w:r>
      <w:r w:rsidR="00BA4DDB" w:rsidRPr="00F448FE">
        <w:rPr>
          <w:rFonts w:ascii="Book Antiqua" w:hAnsi="Book Antiqua"/>
          <w:noProof/>
          <w:vertAlign w:val="superscript"/>
        </w:rPr>
        <w:t>,12</w:t>
      </w:r>
      <w:r w:rsidR="006F1929" w:rsidRPr="00F448FE">
        <w:rPr>
          <w:rFonts w:ascii="Book Antiqua" w:hAnsi="Book Antiqua"/>
          <w:noProof/>
          <w:vertAlign w:val="superscript"/>
          <w:lang w:val="en-US"/>
        </w:rPr>
        <w:t>0</w:t>
      </w:r>
      <w:r w:rsidR="00BA4DDB" w:rsidRPr="00F448FE">
        <w:rPr>
          <w:rFonts w:ascii="Book Antiqua" w:hAnsi="Book Antiqua"/>
          <w:noProof/>
          <w:vertAlign w:val="superscript"/>
        </w:rPr>
        <w:t>]</w:t>
      </w:r>
      <w:r w:rsidR="00F528EE" w:rsidRPr="00F448FE">
        <w:rPr>
          <w:rFonts w:ascii="Book Antiqua" w:hAnsi="Book Antiqua"/>
        </w:rPr>
        <w:t>; (2) c</w:t>
      </w:r>
      <w:r w:rsidR="002A1473" w:rsidRPr="00F448FE">
        <w:rPr>
          <w:rFonts w:ascii="Book Antiqua" w:hAnsi="Book Antiqua"/>
        </w:rPr>
        <w:t xml:space="preserve">hanging from the common Norwegian diet to a </w:t>
      </w:r>
      <w:r w:rsidR="00CB0844" w:rsidRPr="00F448FE">
        <w:rPr>
          <w:rFonts w:ascii="Book Antiqua" w:hAnsi="Book Antiqua"/>
        </w:rPr>
        <w:t>National Institute for Health and Care Excellence</w:t>
      </w:r>
      <w:r w:rsidR="002A1473" w:rsidRPr="00F448FE">
        <w:rPr>
          <w:rFonts w:ascii="Book Antiqua" w:hAnsi="Book Antiqua"/>
        </w:rPr>
        <w:t xml:space="preserve">-modified diet, which improved </w:t>
      </w:r>
      <w:r w:rsidR="005A3FBC" w:rsidRPr="00F448FE">
        <w:rPr>
          <w:rFonts w:ascii="Book Antiqua" w:hAnsi="Book Antiqua"/>
        </w:rPr>
        <w:t xml:space="preserve">symptoms and quality of life </w:t>
      </w:r>
      <w:r w:rsidR="00294BFB" w:rsidRPr="00F448FE">
        <w:rPr>
          <w:rFonts w:ascii="Book Antiqua" w:hAnsi="Book Antiqua"/>
        </w:rPr>
        <w:t xml:space="preserve">in </w:t>
      </w:r>
      <w:r w:rsidR="002A1473" w:rsidRPr="00F448FE">
        <w:rPr>
          <w:rFonts w:ascii="Book Antiqua" w:hAnsi="Book Antiqua"/>
        </w:rPr>
        <w:t>IBS patients is associated with changes in the densities of gastrointestinal cells</w:t>
      </w:r>
      <w:r w:rsidR="00294BFB" w:rsidRPr="00F448FE">
        <w:rPr>
          <w:rFonts w:ascii="Book Antiqua" w:hAnsi="Book Antiqua"/>
          <w:noProof/>
          <w:vertAlign w:val="superscript"/>
        </w:rPr>
        <w:t>[9</w:t>
      </w:r>
      <w:r w:rsidR="00F35A8A" w:rsidRPr="00F448FE">
        <w:rPr>
          <w:rFonts w:ascii="Book Antiqua" w:hAnsi="Book Antiqua"/>
          <w:noProof/>
          <w:vertAlign w:val="superscript"/>
        </w:rPr>
        <w:t>1</w:t>
      </w:r>
      <w:r w:rsidR="00294BFB" w:rsidRPr="00F448FE">
        <w:rPr>
          <w:rFonts w:ascii="Book Antiqua" w:hAnsi="Book Antiqua"/>
          <w:noProof/>
          <w:vertAlign w:val="superscript"/>
        </w:rPr>
        <w:t>,12</w:t>
      </w:r>
      <w:r w:rsidR="000F69DF" w:rsidRPr="00F448FE">
        <w:rPr>
          <w:rFonts w:ascii="Book Antiqua" w:hAnsi="Book Antiqua"/>
          <w:noProof/>
          <w:vertAlign w:val="superscript"/>
          <w:lang w:val="en-US"/>
        </w:rPr>
        <w:t>2</w:t>
      </w:r>
      <w:r w:rsidR="00294BFB" w:rsidRPr="00F448FE">
        <w:rPr>
          <w:rFonts w:ascii="Book Antiqua" w:hAnsi="Book Antiqua"/>
          <w:noProof/>
          <w:vertAlign w:val="superscript"/>
        </w:rPr>
        <w:t>-1</w:t>
      </w:r>
      <w:r w:rsidR="00B36FDA" w:rsidRPr="00F448FE">
        <w:rPr>
          <w:rFonts w:ascii="Book Antiqua" w:hAnsi="Book Antiqua"/>
          <w:noProof/>
          <w:vertAlign w:val="superscript"/>
        </w:rPr>
        <w:t>2</w:t>
      </w:r>
      <w:r w:rsidR="0091316C" w:rsidRPr="00F448FE">
        <w:rPr>
          <w:rFonts w:ascii="Book Antiqua" w:hAnsi="Book Antiqua"/>
          <w:noProof/>
          <w:vertAlign w:val="superscript"/>
        </w:rPr>
        <w:t>7</w:t>
      </w:r>
      <w:r w:rsidR="00294BFB" w:rsidRPr="00F448FE">
        <w:rPr>
          <w:rFonts w:ascii="Book Antiqua" w:hAnsi="Book Antiqua"/>
          <w:noProof/>
          <w:vertAlign w:val="superscript"/>
        </w:rPr>
        <w:t>]</w:t>
      </w:r>
      <w:r w:rsidR="00F528EE" w:rsidRPr="00F448FE">
        <w:rPr>
          <w:rFonts w:ascii="Book Antiqua" w:hAnsi="Book Antiqua"/>
        </w:rPr>
        <w:t>;</w:t>
      </w:r>
      <w:r w:rsidR="002A1473" w:rsidRPr="00F448FE">
        <w:rPr>
          <w:rFonts w:ascii="Book Antiqua" w:hAnsi="Book Antiqua"/>
        </w:rPr>
        <w:t xml:space="preserve"> </w:t>
      </w:r>
      <w:r w:rsidR="00F528EE" w:rsidRPr="00F448FE">
        <w:rPr>
          <w:rFonts w:ascii="Book Antiqua" w:hAnsi="Book Antiqua"/>
        </w:rPr>
        <w:t>(3) m</w:t>
      </w:r>
      <w:r w:rsidR="00294BFB" w:rsidRPr="00F448FE">
        <w:rPr>
          <w:rFonts w:ascii="Book Antiqua" w:hAnsi="Book Antiqua"/>
        </w:rPr>
        <w:t xml:space="preserve">odulation of the intestinal </w:t>
      </w:r>
      <w:proofErr w:type="spellStart"/>
      <w:r w:rsidR="00294BFB" w:rsidRPr="00F448FE">
        <w:rPr>
          <w:rFonts w:ascii="Book Antiqua" w:hAnsi="Book Antiqua"/>
        </w:rPr>
        <w:t>microbiota</w:t>
      </w:r>
      <w:proofErr w:type="spellEnd"/>
      <w:r w:rsidR="00294BFB" w:rsidRPr="00F448FE">
        <w:rPr>
          <w:rFonts w:ascii="Book Antiqua" w:hAnsi="Book Antiqua"/>
        </w:rPr>
        <w:t xml:space="preserve"> by </w:t>
      </w:r>
      <w:proofErr w:type="spellStart"/>
      <w:r w:rsidR="00294BFB" w:rsidRPr="00F448FE">
        <w:rPr>
          <w:rFonts w:ascii="Book Antiqua" w:hAnsi="Book Antiqua"/>
        </w:rPr>
        <w:t>fecal</w:t>
      </w:r>
      <w:proofErr w:type="spellEnd"/>
      <w:r w:rsidR="00294BFB" w:rsidRPr="00F448FE">
        <w:rPr>
          <w:rFonts w:ascii="Book Antiqua" w:hAnsi="Book Antiqua"/>
        </w:rPr>
        <w:t xml:space="preserve"> </w:t>
      </w:r>
      <w:proofErr w:type="spellStart"/>
      <w:r w:rsidR="00294BFB" w:rsidRPr="00F448FE">
        <w:rPr>
          <w:rFonts w:ascii="Book Antiqua" w:hAnsi="Book Antiqua"/>
        </w:rPr>
        <w:t>microbiota</w:t>
      </w:r>
      <w:proofErr w:type="spellEnd"/>
      <w:r w:rsidR="00294BFB" w:rsidRPr="00F448FE">
        <w:rPr>
          <w:rFonts w:ascii="Book Antiqua" w:hAnsi="Book Antiqua"/>
        </w:rPr>
        <w:t xml:space="preserve"> transplantation improved both symptoms and the quality of life in patients with IBS</w:t>
      </w:r>
      <w:r w:rsidR="00C52C43" w:rsidRPr="00F448FE">
        <w:rPr>
          <w:rFonts w:ascii="Book Antiqua" w:hAnsi="Book Antiqua"/>
          <w:noProof/>
          <w:vertAlign w:val="superscript"/>
        </w:rPr>
        <w:t>[1</w:t>
      </w:r>
      <w:r w:rsidR="0091316C" w:rsidRPr="00F448FE">
        <w:rPr>
          <w:rFonts w:ascii="Book Antiqua" w:hAnsi="Book Antiqua"/>
          <w:noProof/>
          <w:vertAlign w:val="superscript"/>
        </w:rPr>
        <w:t>28</w:t>
      </w:r>
      <w:r w:rsidR="00C52C43" w:rsidRPr="00F448FE">
        <w:rPr>
          <w:rFonts w:ascii="Book Antiqua" w:hAnsi="Book Antiqua"/>
          <w:noProof/>
          <w:vertAlign w:val="superscript"/>
        </w:rPr>
        <w:t>]</w:t>
      </w:r>
      <w:r w:rsidR="00C52C43" w:rsidRPr="00F448FE">
        <w:rPr>
          <w:rFonts w:ascii="Book Antiqua" w:hAnsi="Book Antiqua"/>
        </w:rPr>
        <w:t>. This improvement</w:t>
      </w:r>
      <w:r w:rsidR="00294BFB" w:rsidRPr="00F448FE">
        <w:rPr>
          <w:rFonts w:ascii="Book Antiqua" w:hAnsi="Book Antiqua"/>
        </w:rPr>
        <w:t xml:space="preserve"> </w:t>
      </w:r>
      <w:r w:rsidR="00246A68" w:rsidRPr="00F448FE">
        <w:rPr>
          <w:rFonts w:ascii="Book Antiqua" w:hAnsi="Book Antiqua"/>
        </w:rPr>
        <w:t xml:space="preserve">was accompanied by a change in </w:t>
      </w:r>
      <w:r w:rsidR="00C52C43" w:rsidRPr="00F448FE">
        <w:rPr>
          <w:rFonts w:ascii="Book Antiqua" w:hAnsi="Book Antiqua"/>
        </w:rPr>
        <w:t xml:space="preserve">in the densities of </w:t>
      </w:r>
      <w:proofErr w:type="spellStart"/>
      <w:r w:rsidR="00C52C43" w:rsidRPr="00F448FE">
        <w:rPr>
          <w:rFonts w:ascii="Book Antiqua" w:hAnsi="Book Antiqua"/>
        </w:rPr>
        <w:t>enteroendocrine</w:t>
      </w:r>
      <w:proofErr w:type="spellEnd"/>
      <w:r w:rsidR="00C52C43" w:rsidRPr="00F448FE">
        <w:rPr>
          <w:rFonts w:ascii="Book Antiqua" w:hAnsi="Book Antiqua"/>
        </w:rPr>
        <w:t xml:space="preserve"> </w:t>
      </w:r>
      <w:proofErr w:type="gramStart"/>
      <w:r w:rsidR="00C52C43" w:rsidRPr="00F448FE">
        <w:rPr>
          <w:rFonts w:ascii="Book Antiqua" w:hAnsi="Book Antiqua"/>
        </w:rPr>
        <w:t>cells</w:t>
      </w:r>
      <w:r w:rsidR="00C52C43" w:rsidRPr="00F448FE">
        <w:rPr>
          <w:rFonts w:ascii="Book Antiqua" w:hAnsi="Book Antiqua"/>
          <w:noProof/>
          <w:vertAlign w:val="superscript"/>
        </w:rPr>
        <w:t>[</w:t>
      </w:r>
      <w:proofErr w:type="gramEnd"/>
      <w:r w:rsidR="00C52C43" w:rsidRPr="00F448FE">
        <w:rPr>
          <w:rFonts w:ascii="Book Antiqua" w:hAnsi="Book Antiqua"/>
          <w:noProof/>
          <w:vertAlign w:val="superscript"/>
        </w:rPr>
        <w:t>1</w:t>
      </w:r>
      <w:r w:rsidR="0091316C" w:rsidRPr="00F448FE">
        <w:rPr>
          <w:rFonts w:ascii="Book Antiqua" w:hAnsi="Book Antiqua"/>
          <w:noProof/>
          <w:vertAlign w:val="superscript"/>
        </w:rPr>
        <w:t>28</w:t>
      </w:r>
      <w:r w:rsidR="00C52C43" w:rsidRPr="00F448FE">
        <w:rPr>
          <w:rFonts w:ascii="Book Antiqua" w:hAnsi="Book Antiqua"/>
          <w:noProof/>
          <w:vertAlign w:val="superscript"/>
        </w:rPr>
        <w:t>]</w:t>
      </w:r>
      <w:r w:rsidR="00F528EE" w:rsidRPr="00F448FE">
        <w:rPr>
          <w:rFonts w:ascii="Book Antiqua" w:eastAsia="宋体" w:hAnsi="Book Antiqua" w:cs="宋体"/>
          <w:lang w:eastAsia="zh-CN"/>
        </w:rPr>
        <w:t>;</w:t>
      </w:r>
      <w:r w:rsidR="00FC2501" w:rsidRPr="00F448FE">
        <w:rPr>
          <w:rFonts w:ascii="Book Antiqua" w:hAnsi="Book Antiqua"/>
        </w:rPr>
        <w:t xml:space="preserve"> </w:t>
      </w:r>
      <w:r w:rsidR="00F528EE" w:rsidRPr="00F448FE">
        <w:rPr>
          <w:rFonts w:ascii="Book Antiqua" w:hAnsi="Book Antiqua"/>
        </w:rPr>
        <w:t>(4) g</w:t>
      </w:r>
      <w:r w:rsidR="00F75E9B" w:rsidRPr="00F448FE">
        <w:rPr>
          <w:rFonts w:ascii="Book Antiqua" w:hAnsi="Book Antiqua"/>
        </w:rPr>
        <w:t>lutamine</w:t>
      </w:r>
      <w:r w:rsidR="009B2ACF" w:rsidRPr="00F448FE">
        <w:rPr>
          <w:rFonts w:ascii="Book Antiqua" w:hAnsi="Book Antiqua"/>
        </w:rPr>
        <w:t xml:space="preserve"> is the </w:t>
      </w:r>
      <w:r w:rsidR="00BB4006" w:rsidRPr="00F448FE">
        <w:rPr>
          <w:rFonts w:ascii="Book Antiqua" w:hAnsi="Book Antiqua"/>
        </w:rPr>
        <w:t xml:space="preserve">main energy source for intestinal enterocytes and </w:t>
      </w:r>
      <w:r w:rsidR="00E44C72" w:rsidRPr="00F448FE">
        <w:rPr>
          <w:rFonts w:ascii="Book Antiqua" w:hAnsi="Book Antiqua"/>
        </w:rPr>
        <w:t>pla</w:t>
      </w:r>
      <w:r w:rsidR="007A783A" w:rsidRPr="00F448FE">
        <w:rPr>
          <w:rFonts w:ascii="Book Antiqua" w:hAnsi="Book Antiqua"/>
        </w:rPr>
        <w:t>ys a major role in intestinal homeostasis and other physiological functions</w:t>
      </w:r>
      <w:r w:rsidR="000C4024" w:rsidRPr="00F448FE">
        <w:rPr>
          <w:rFonts w:ascii="Book Antiqua" w:hAnsi="Book Antiqua"/>
          <w:noProof/>
          <w:vertAlign w:val="superscript"/>
        </w:rPr>
        <w:t>[1</w:t>
      </w:r>
      <w:r w:rsidR="0091316C" w:rsidRPr="00F448FE">
        <w:rPr>
          <w:rFonts w:ascii="Book Antiqua" w:hAnsi="Book Antiqua"/>
          <w:noProof/>
          <w:vertAlign w:val="superscript"/>
        </w:rPr>
        <w:t>29</w:t>
      </w:r>
      <w:r w:rsidR="000C4024" w:rsidRPr="00F448FE">
        <w:rPr>
          <w:rFonts w:ascii="Book Antiqua" w:hAnsi="Book Antiqua"/>
          <w:noProof/>
          <w:vertAlign w:val="superscript"/>
        </w:rPr>
        <w:t>-13</w:t>
      </w:r>
      <w:r w:rsidR="0091316C" w:rsidRPr="00F448FE">
        <w:rPr>
          <w:rFonts w:ascii="Book Antiqua" w:hAnsi="Book Antiqua"/>
          <w:noProof/>
          <w:vertAlign w:val="superscript"/>
          <w:lang w:val="en-US"/>
        </w:rPr>
        <w:t>3</w:t>
      </w:r>
      <w:r w:rsidR="000C4024" w:rsidRPr="00F448FE">
        <w:rPr>
          <w:rFonts w:ascii="Book Antiqua" w:hAnsi="Book Antiqua"/>
          <w:noProof/>
          <w:vertAlign w:val="superscript"/>
        </w:rPr>
        <w:t>]</w:t>
      </w:r>
      <w:r w:rsidR="000C4024" w:rsidRPr="00F448FE">
        <w:rPr>
          <w:rFonts w:ascii="Book Antiqua" w:hAnsi="Book Antiqua"/>
        </w:rPr>
        <w:t>.</w:t>
      </w:r>
      <w:r w:rsidR="007E1ABF" w:rsidRPr="00F448FE">
        <w:rPr>
          <w:rFonts w:ascii="Book Antiqua" w:hAnsi="Book Antiqua"/>
        </w:rPr>
        <w:t xml:space="preserve"> Stress, infection or inflammation cause a depletion of </w:t>
      </w:r>
      <w:proofErr w:type="gramStart"/>
      <w:r w:rsidR="007E1ABF" w:rsidRPr="00F448FE">
        <w:rPr>
          <w:rFonts w:ascii="Book Antiqua" w:hAnsi="Book Antiqua"/>
        </w:rPr>
        <w:t>glutamine</w:t>
      </w:r>
      <w:r w:rsidR="007E1ABF" w:rsidRPr="00F448FE">
        <w:rPr>
          <w:rFonts w:ascii="Book Antiqua" w:hAnsi="Book Antiqua"/>
          <w:noProof/>
          <w:vertAlign w:val="superscript"/>
        </w:rPr>
        <w:t>[</w:t>
      </w:r>
      <w:proofErr w:type="gramEnd"/>
      <w:r w:rsidR="007E1ABF" w:rsidRPr="00F448FE">
        <w:rPr>
          <w:rFonts w:ascii="Book Antiqua" w:hAnsi="Book Antiqua"/>
          <w:noProof/>
          <w:vertAlign w:val="superscript"/>
        </w:rPr>
        <w:t>1</w:t>
      </w:r>
      <w:r w:rsidR="0091316C" w:rsidRPr="00F448FE">
        <w:rPr>
          <w:rFonts w:ascii="Book Antiqua" w:hAnsi="Book Antiqua"/>
          <w:noProof/>
          <w:vertAlign w:val="superscript"/>
        </w:rPr>
        <w:t>29</w:t>
      </w:r>
      <w:r w:rsidR="007E1ABF" w:rsidRPr="00F448FE">
        <w:rPr>
          <w:rFonts w:ascii="Book Antiqua" w:hAnsi="Book Antiqua"/>
          <w:noProof/>
          <w:vertAlign w:val="superscript"/>
        </w:rPr>
        <w:t>-1</w:t>
      </w:r>
      <w:r w:rsidR="00594E0C" w:rsidRPr="00F448FE">
        <w:rPr>
          <w:rFonts w:ascii="Book Antiqua" w:hAnsi="Book Antiqua"/>
          <w:noProof/>
          <w:vertAlign w:val="superscript"/>
        </w:rPr>
        <w:t>3</w:t>
      </w:r>
      <w:r w:rsidR="0091316C" w:rsidRPr="00F448FE">
        <w:rPr>
          <w:rFonts w:ascii="Book Antiqua" w:hAnsi="Book Antiqua"/>
          <w:noProof/>
          <w:vertAlign w:val="superscript"/>
        </w:rPr>
        <w:t>3</w:t>
      </w:r>
      <w:r w:rsidR="007E1ABF" w:rsidRPr="00F448FE">
        <w:rPr>
          <w:rFonts w:ascii="Book Antiqua" w:hAnsi="Book Antiqua"/>
          <w:noProof/>
          <w:vertAlign w:val="superscript"/>
        </w:rPr>
        <w:t>]</w:t>
      </w:r>
      <w:r w:rsidR="001C23DC" w:rsidRPr="00F448FE">
        <w:rPr>
          <w:rFonts w:ascii="Book Antiqua" w:hAnsi="Book Antiqua"/>
        </w:rPr>
        <w:t xml:space="preserve"> In a randomized placebo-controlled study, dietary glutamine supplements improved symptoms in patients with post-infectious IBS</w:t>
      </w:r>
      <w:r w:rsidR="001C23DC" w:rsidRPr="00F448FE">
        <w:rPr>
          <w:rFonts w:ascii="Book Antiqua" w:hAnsi="Book Antiqua"/>
          <w:noProof/>
          <w:vertAlign w:val="superscript"/>
        </w:rPr>
        <w:t>[13</w:t>
      </w:r>
      <w:r w:rsidR="0091316C" w:rsidRPr="00F448FE">
        <w:rPr>
          <w:rFonts w:ascii="Book Antiqua" w:hAnsi="Book Antiqua"/>
          <w:noProof/>
          <w:vertAlign w:val="superscript"/>
          <w:lang w:val="en-US"/>
        </w:rPr>
        <w:t>4</w:t>
      </w:r>
      <w:r w:rsidR="001C23DC" w:rsidRPr="00F448FE">
        <w:rPr>
          <w:rFonts w:ascii="Book Antiqua" w:hAnsi="Book Antiqua"/>
          <w:noProof/>
          <w:vertAlign w:val="superscript"/>
        </w:rPr>
        <w:t>]</w:t>
      </w:r>
      <w:r w:rsidR="001C23DC" w:rsidRPr="00F448FE">
        <w:rPr>
          <w:rFonts w:ascii="Book Antiqua" w:hAnsi="Book Antiqua"/>
        </w:rPr>
        <w:t>.</w:t>
      </w:r>
      <w:r w:rsidR="00312E9F" w:rsidRPr="00F448FE">
        <w:rPr>
          <w:rFonts w:ascii="Book Antiqua" w:hAnsi="Book Antiqua"/>
        </w:rPr>
        <w:t xml:space="preserve"> Glutamine have a trophic effect on the intestinal stem cells and promotes stem cell </w:t>
      </w:r>
      <w:proofErr w:type="gramStart"/>
      <w:r w:rsidR="00312E9F" w:rsidRPr="00F448FE">
        <w:rPr>
          <w:rFonts w:ascii="Book Antiqua" w:hAnsi="Book Antiqua"/>
        </w:rPr>
        <w:t>differentiation</w:t>
      </w:r>
      <w:r w:rsidR="00312E9F" w:rsidRPr="00F448FE">
        <w:rPr>
          <w:rFonts w:ascii="Book Antiqua" w:hAnsi="Book Antiqua"/>
          <w:noProof/>
          <w:vertAlign w:val="superscript"/>
        </w:rPr>
        <w:t>[</w:t>
      </w:r>
      <w:proofErr w:type="gramEnd"/>
      <w:r w:rsidR="00312E9F" w:rsidRPr="00F448FE">
        <w:rPr>
          <w:rFonts w:ascii="Book Antiqua" w:hAnsi="Book Antiqua"/>
          <w:noProof/>
          <w:vertAlign w:val="superscript"/>
        </w:rPr>
        <w:t>1</w:t>
      </w:r>
      <w:r w:rsidR="0091316C" w:rsidRPr="00F448FE">
        <w:rPr>
          <w:rFonts w:ascii="Book Antiqua" w:hAnsi="Book Antiqua"/>
          <w:noProof/>
          <w:vertAlign w:val="superscript"/>
        </w:rPr>
        <w:t>29</w:t>
      </w:r>
      <w:r w:rsidR="00D13DD4" w:rsidRPr="00F448FE">
        <w:rPr>
          <w:rFonts w:ascii="Book Antiqua" w:hAnsi="Book Antiqua"/>
          <w:noProof/>
          <w:vertAlign w:val="superscript"/>
        </w:rPr>
        <w:t>,135,136</w:t>
      </w:r>
      <w:r w:rsidR="00312E9F" w:rsidRPr="00F448FE">
        <w:rPr>
          <w:rFonts w:ascii="Book Antiqua" w:hAnsi="Book Antiqua"/>
          <w:noProof/>
          <w:vertAlign w:val="superscript"/>
        </w:rPr>
        <w:t>]</w:t>
      </w:r>
      <w:r w:rsidR="009C3DCD" w:rsidRPr="00F448FE">
        <w:rPr>
          <w:rFonts w:ascii="Book Antiqua" w:hAnsi="Book Antiqua"/>
        </w:rPr>
        <w:t>.</w:t>
      </w:r>
      <w:r w:rsidR="00312E9F" w:rsidRPr="00F448FE">
        <w:rPr>
          <w:rFonts w:ascii="Book Antiqua" w:hAnsi="Book Antiqua"/>
        </w:rPr>
        <w:t xml:space="preserve"> One may speculate that stress results in the depletion of glutamine, which causes disturbance in the differentiation of the intestinal cells. This in turn would cause low density in enteroendocrine cells and the development of IBS symptoms</w:t>
      </w:r>
      <w:r w:rsidR="00F528EE" w:rsidRPr="00F448FE">
        <w:rPr>
          <w:rFonts w:ascii="Book Antiqua" w:hAnsi="Book Antiqua"/>
        </w:rPr>
        <w:t>; and (5) i</w:t>
      </w:r>
      <w:r w:rsidR="00246A68" w:rsidRPr="00F448FE">
        <w:rPr>
          <w:rFonts w:ascii="Book Antiqua" w:hAnsi="Book Antiqua"/>
        </w:rPr>
        <w:t>n animal models of human ulcerat</w:t>
      </w:r>
      <w:r w:rsidR="002F0F96" w:rsidRPr="00F448FE">
        <w:rPr>
          <w:rFonts w:ascii="Book Antiqua" w:hAnsi="Book Antiqua"/>
        </w:rPr>
        <w:t xml:space="preserve">ive colitis and Crohn’s disease, the </w:t>
      </w:r>
      <w:r w:rsidR="00246A68" w:rsidRPr="00F448FE">
        <w:rPr>
          <w:rFonts w:ascii="Book Antiqua" w:hAnsi="Book Antiqua"/>
        </w:rPr>
        <w:t>ch</w:t>
      </w:r>
      <w:r w:rsidR="002F0F96" w:rsidRPr="00F448FE">
        <w:rPr>
          <w:rFonts w:ascii="Book Antiqua" w:hAnsi="Book Antiqua"/>
        </w:rPr>
        <w:t xml:space="preserve">anges in enteroendocrine cells have been found to be </w:t>
      </w:r>
      <w:r w:rsidR="00246A68" w:rsidRPr="00F448FE">
        <w:rPr>
          <w:rFonts w:ascii="Book Antiqua" w:hAnsi="Book Antiqua"/>
        </w:rPr>
        <w:t>strongly correlated with changes in the intestinal stem cells and their differentiation progeny toward intestinal endocrine cells</w:t>
      </w:r>
      <w:r w:rsidR="007E1ABF" w:rsidRPr="00F448FE">
        <w:rPr>
          <w:rFonts w:ascii="Book Antiqua" w:hAnsi="Book Antiqua"/>
          <w:noProof/>
          <w:vertAlign w:val="superscript"/>
        </w:rPr>
        <w:t>[1</w:t>
      </w:r>
      <w:r w:rsidR="00B36FDA" w:rsidRPr="00F448FE">
        <w:rPr>
          <w:rFonts w:ascii="Book Antiqua" w:hAnsi="Book Antiqua"/>
          <w:noProof/>
          <w:vertAlign w:val="superscript"/>
        </w:rPr>
        <w:t>3</w:t>
      </w:r>
      <w:r w:rsidR="00D13DD4" w:rsidRPr="00F448FE">
        <w:rPr>
          <w:rFonts w:ascii="Book Antiqua" w:hAnsi="Book Antiqua"/>
          <w:noProof/>
          <w:vertAlign w:val="superscript"/>
        </w:rPr>
        <w:t>7</w:t>
      </w:r>
      <w:r w:rsidR="007E1ABF" w:rsidRPr="00F448FE">
        <w:rPr>
          <w:rFonts w:ascii="Book Antiqua" w:hAnsi="Book Antiqua"/>
          <w:noProof/>
          <w:vertAlign w:val="superscript"/>
        </w:rPr>
        <w:t>,1</w:t>
      </w:r>
      <w:r w:rsidR="00D13DD4" w:rsidRPr="00F448FE">
        <w:rPr>
          <w:rFonts w:ascii="Book Antiqua" w:hAnsi="Book Antiqua"/>
          <w:noProof/>
          <w:vertAlign w:val="superscript"/>
        </w:rPr>
        <w:t>38</w:t>
      </w:r>
      <w:r w:rsidR="007E1ABF" w:rsidRPr="00F448FE">
        <w:rPr>
          <w:rFonts w:ascii="Book Antiqua" w:hAnsi="Book Antiqua"/>
          <w:noProof/>
          <w:vertAlign w:val="superscript"/>
        </w:rPr>
        <w:t>]</w:t>
      </w:r>
      <w:r w:rsidR="00246A68" w:rsidRPr="00F448FE">
        <w:rPr>
          <w:rFonts w:ascii="Book Antiqua" w:hAnsi="Book Antiqua"/>
        </w:rPr>
        <w:t xml:space="preserve">. </w:t>
      </w:r>
    </w:p>
    <w:p w14:paraId="41D9CFBB" w14:textId="77777777" w:rsidR="000D27F7" w:rsidRPr="00F448FE" w:rsidRDefault="000D27F7" w:rsidP="000D04E0">
      <w:pPr>
        <w:adjustRightInd w:val="0"/>
        <w:snapToGrid w:val="0"/>
        <w:spacing w:line="360" w:lineRule="auto"/>
        <w:jc w:val="both"/>
        <w:rPr>
          <w:rFonts w:ascii="Book Antiqua" w:hAnsi="Book Antiqua"/>
        </w:rPr>
      </w:pPr>
    </w:p>
    <w:p w14:paraId="7C14E1A2" w14:textId="367BD5C3" w:rsidR="004A6B7D" w:rsidRPr="00F448FE" w:rsidRDefault="005F5159" w:rsidP="000D04E0">
      <w:pPr>
        <w:adjustRightInd w:val="0"/>
        <w:snapToGrid w:val="0"/>
        <w:spacing w:line="360" w:lineRule="auto"/>
        <w:jc w:val="both"/>
        <w:rPr>
          <w:rFonts w:ascii="Book Antiqua" w:hAnsi="Book Antiqua"/>
          <w:b/>
          <w:u w:val="single"/>
        </w:rPr>
      </w:pPr>
      <w:r w:rsidRPr="00F448FE">
        <w:rPr>
          <w:rFonts w:ascii="Book Antiqua" w:hAnsi="Book Antiqua"/>
          <w:b/>
          <w:u w:val="single"/>
        </w:rPr>
        <w:t>CLINICAL IMPLICATIONS</w:t>
      </w:r>
    </w:p>
    <w:p w14:paraId="662797E9" w14:textId="4B7D3B6B" w:rsidR="003F44B4" w:rsidRPr="00F448FE" w:rsidRDefault="003F44B4" w:rsidP="000D04E0">
      <w:pPr>
        <w:adjustRightInd w:val="0"/>
        <w:snapToGrid w:val="0"/>
        <w:spacing w:line="360" w:lineRule="auto"/>
        <w:jc w:val="both"/>
        <w:rPr>
          <w:rFonts w:ascii="Book Antiqua" w:hAnsi="Book Antiqua"/>
        </w:rPr>
      </w:pPr>
      <w:r w:rsidRPr="00F448FE">
        <w:rPr>
          <w:rFonts w:ascii="Book Antiqua" w:hAnsi="Book Antiqua"/>
        </w:rPr>
        <w:lastRenderedPageBreak/>
        <w:t>Assuming that IBS is caused by abnormalities in stem cells, which in turn caused by genetic and environmental factors, intestinal stem cell transplantation migh</w:t>
      </w:r>
      <w:r w:rsidR="0079533E" w:rsidRPr="00F448FE">
        <w:rPr>
          <w:rFonts w:ascii="Book Antiqua" w:hAnsi="Book Antiqua"/>
        </w:rPr>
        <w:t>t be an effective tool in the treatment of IBS.</w:t>
      </w:r>
    </w:p>
    <w:p w14:paraId="1E5D5BAE" w14:textId="77777777" w:rsidR="001B4094" w:rsidRPr="00F448FE" w:rsidRDefault="001B4094" w:rsidP="000D04E0">
      <w:pPr>
        <w:adjustRightInd w:val="0"/>
        <w:snapToGrid w:val="0"/>
        <w:spacing w:line="360" w:lineRule="auto"/>
        <w:jc w:val="both"/>
        <w:rPr>
          <w:rFonts w:ascii="Book Antiqua" w:hAnsi="Book Antiqua"/>
        </w:rPr>
      </w:pPr>
    </w:p>
    <w:p w14:paraId="1203428C" w14:textId="5C83E88C" w:rsidR="001B4094" w:rsidRPr="00F448FE" w:rsidRDefault="001B4094" w:rsidP="000D04E0">
      <w:pPr>
        <w:adjustRightInd w:val="0"/>
        <w:snapToGrid w:val="0"/>
        <w:spacing w:line="360" w:lineRule="auto"/>
        <w:jc w:val="both"/>
        <w:rPr>
          <w:rFonts w:ascii="Book Antiqua" w:hAnsi="Book Antiqua"/>
          <w:b/>
          <w:u w:val="single"/>
          <w:lang w:eastAsia="zh-CN"/>
        </w:rPr>
      </w:pPr>
      <w:r w:rsidRPr="00F448FE">
        <w:rPr>
          <w:rFonts w:ascii="Book Antiqua" w:hAnsi="Book Antiqua"/>
          <w:b/>
          <w:u w:val="single"/>
          <w:lang w:eastAsia="zh-CN"/>
        </w:rPr>
        <w:t>CONCLUSION</w:t>
      </w:r>
    </w:p>
    <w:p w14:paraId="67D7A81B" w14:textId="623D49A4" w:rsidR="00F528EE" w:rsidRPr="00F448FE" w:rsidRDefault="00BF4EBC" w:rsidP="000D04E0">
      <w:pPr>
        <w:adjustRightInd w:val="0"/>
        <w:snapToGrid w:val="0"/>
        <w:spacing w:line="360" w:lineRule="auto"/>
        <w:jc w:val="both"/>
        <w:rPr>
          <w:rFonts w:ascii="Book Antiqua" w:hAnsi="Book Antiqua"/>
        </w:rPr>
      </w:pPr>
      <w:r w:rsidRPr="00F448FE">
        <w:rPr>
          <w:rFonts w:ascii="Book Antiqua" w:hAnsi="Book Antiqua"/>
        </w:rPr>
        <w:t xml:space="preserve">The intestinal stem cells appear to play a central role in the pathophysiology of IBS. Factors </w:t>
      </w:r>
      <w:proofErr w:type="spellStart"/>
      <w:r w:rsidRPr="00F448FE">
        <w:rPr>
          <w:rFonts w:ascii="Book Antiqua" w:hAnsi="Book Antiqua"/>
        </w:rPr>
        <w:t>thet</w:t>
      </w:r>
      <w:proofErr w:type="spellEnd"/>
      <w:r w:rsidRPr="00F448FE">
        <w:rPr>
          <w:rFonts w:ascii="Book Antiqua" w:hAnsi="Book Antiqua"/>
        </w:rPr>
        <w:t xml:space="preserve"> are known to be involved in the pathophysiology of IBS exert their effects probably through affecting the intestinal cells.</w:t>
      </w:r>
    </w:p>
    <w:p w14:paraId="5CAE3568" w14:textId="77777777" w:rsidR="00415E46" w:rsidRPr="00F448FE" w:rsidRDefault="00415E46" w:rsidP="000D04E0">
      <w:pPr>
        <w:pStyle w:val="EndNoteBibliography"/>
        <w:adjustRightInd w:val="0"/>
        <w:snapToGrid w:val="0"/>
        <w:jc w:val="both"/>
        <w:rPr>
          <w:rFonts w:ascii="Book Antiqua" w:hAnsi="Book Antiqua"/>
          <w:b/>
        </w:rPr>
      </w:pPr>
    </w:p>
    <w:p w14:paraId="546C3BF0" w14:textId="77777777" w:rsidR="00C53805" w:rsidRPr="00F448FE" w:rsidRDefault="00C53805" w:rsidP="000D04E0">
      <w:pPr>
        <w:pStyle w:val="EndNoteBibliography"/>
        <w:adjustRightInd w:val="0"/>
        <w:snapToGrid w:val="0"/>
        <w:jc w:val="both"/>
        <w:rPr>
          <w:rFonts w:ascii="Book Antiqua" w:hAnsi="Book Antiqua"/>
          <w:b/>
        </w:rPr>
      </w:pPr>
      <w:r w:rsidRPr="00F448FE">
        <w:rPr>
          <w:rFonts w:ascii="Book Antiqua" w:hAnsi="Book Antiqua"/>
          <w:b/>
        </w:rPr>
        <w:t>REFERENCES</w:t>
      </w:r>
    </w:p>
    <w:p w14:paraId="5744378F" w14:textId="1384F6F4"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 </w:t>
      </w:r>
      <w:r w:rsidRPr="00F448FE">
        <w:rPr>
          <w:rFonts w:ascii="Book Antiqua" w:hAnsi="Book Antiqua"/>
          <w:b/>
          <w:bCs/>
          <w:noProof/>
          <w:lang w:val="en-US"/>
        </w:rPr>
        <w:t>Canavan C</w:t>
      </w:r>
      <w:r w:rsidRPr="00F448FE">
        <w:rPr>
          <w:rFonts w:ascii="Book Antiqua" w:hAnsi="Book Antiqua"/>
          <w:noProof/>
          <w:lang w:val="en-US"/>
        </w:rPr>
        <w:t xml:space="preserve">, West J, Card T. The epidemiology of irritable bowel syndrome. </w:t>
      </w:r>
      <w:r w:rsidRPr="00F448FE">
        <w:rPr>
          <w:rFonts w:ascii="Book Antiqua" w:hAnsi="Book Antiqua"/>
          <w:i/>
          <w:iCs/>
          <w:noProof/>
          <w:lang w:val="en-US"/>
        </w:rPr>
        <w:t>Clin Epidemiol</w:t>
      </w:r>
      <w:r w:rsidRPr="00F448FE">
        <w:rPr>
          <w:rFonts w:ascii="Book Antiqua" w:hAnsi="Book Antiqua"/>
          <w:noProof/>
          <w:lang w:val="en-US"/>
        </w:rPr>
        <w:t xml:space="preserve"> 2014; </w:t>
      </w:r>
      <w:r w:rsidRPr="00F448FE">
        <w:rPr>
          <w:rFonts w:ascii="Book Antiqua" w:hAnsi="Book Antiqua"/>
          <w:b/>
          <w:bCs/>
          <w:noProof/>
          <w:lang w:val="en-US"/>
        </w:rPr>
        <w:t>6</w:t>
      </w:r>
      <w:r w:rsidRPr="00F448FE">
        <w:rPr>
          <w:rFonts w:ascii="Book Antiqua" w:hAnsi="Book Antiqua"/>
          <w:noProof/>
          <w:lang w:val="en-US"/>
        </w:rPr>
        <w:t>: 71-80 [PMID: 24523597 DOI: 10.2147/CLEP.S40245]</w:t>
      </w:r>
    </w:p>
    <w:p w14:paraId="6F144CD3"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2 </w:t>
      </w:r>
      <w:r w:rsidRPr="00F448FE">
        <w:rPr>
          <w:rFonts w:ascii="Book Antiqua" w:hAnsi="Book Antiqua"/>
          <w:b/>
          <w:bCs/>
          <w:noProof/>
          <w:lang w:val="en-US"/>
        </w:rPr>
        <w:t>El-Salhy M</w:t>
      </w:r>
      <w:r w:rsidRPr="00F448FE">
        <w:rPr>
          <w:rFonts w:ascii="Book Antiqua" w:hAnsi="Book Antiqua"/>
          <w:noProof/>
          <w:lang w:val="en-US"/>
        </w:rPr>
        <w:t xml:space="preserve">. Recent developments in the pathophysiology of irritable bowel syndrome. </w:t>
      </w:r>
      <w:r w:rsidRPr="00F448FE">
        <w:rPr>
          <w:rFonts w:ascii="Book Antiqua" w:hAnsi="Book Antiqua"/>
          <w:i/>
          <w:iCs/>
          <w:noProof/>
          <w:lang w:val="en-US"/>
        </w:rPr>
        <w:t>World J Gastroenterol</w:t>
      </w:r>
      <w:r w:rsidRPr="00F448FE">
        <w:rPr>
          <w:rFonts w:ascii="Book Antiqua" w:hAnsi="Book Antiqua"/>
          <w:noProof/>
          <w:lang w:val="en-US"/>
        </w:rPr>
        <w:t xml:space="preserve"> 2015; </w:t>
      </w:r>
      <w:r w:rsidRPr="00F448FE">
        <w:rPr>
          <w:rFonts w:ascii="Book Antiqua" w:hAnsi="Book Antiqua"/>
          <w:b/>
          <w:bCs/>
          <w:noProof/>
          <w:lang w:val="en-US"/>
        </w:rPr>
        <w:t>21</w:t>
      </w:r>
      <w:r w:rsidRPr="00F448FE">
        <w:rPr>
          <w:rFonts w:ascii="Book Antiqua" w:hAnsi="Book Antiqua"/>
          <w:noProof/>
          <w:lang w:val="en-US"/>
        </w:rPr>
        <w:t>: 7621-7636 [PMID: 26167065 DOI: 10.3748/wjg.v21.i25.7621]</w:t>
      </w:r>
    </w:p>
    <w:p w14:paraId="78D43FB9"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 </w:t>
      </w:r>
      <w:r w:rsidRPr="00F448FE">
        <w:rPr>
          <w:rFonts w:ascii="Book Antiqua" w:hAnsi="Book Antiqua"/>
          <w:b/>
          <w:bCs/>
          <w:noProof/>
          <w:lang w:val="en-US"/>
        </w:rPr>
        <w:t>El-Salhy M</w:t>
      </w:r>
      <w:r w:rsidRPr="00F448FE">
        <w:rPr>
          <w:rFonts w:ascii="Book Antiqua" w:hAnsi="Book Antiqua"/>
          <w:noProof/>
          <w:lang w:val="en-US"/>
        </w:rPr>
        <w:t xml:space="preserve">. Irritable bowel syndrome: diagnosis and pathogenesis. </w:t>
      </w:r>
      <w:r w:rsidRPr="00F448FE">
        <w:rPr>
          <w:rFonts w:ascii="Book Antiqua" w:hAnsi="Book Antiqua"/>
          <w:i/>
          <w:iCs/>
          <w:noProof/>
          <w:lang w:val="en-US"/>
        </w:rPr>
        <w:t>World J Gastroenterol</w:t>
      </w:r>
      <w:r w:rsidRPr="00F448FE">
        <w:rPr>
          <w:rFonts w:ascii="Book Antiqua" w:hAnsi="Book Antiqua"/>
          <w:noProof/>
          <w:lang w:val="en-US"/>
        </w:rPr>
        <w:t xml:space="preserve"> 2012; </w:t>
      </w:r>
      <w:r w:rsidRPr="00F448FE">
        <w:rPr>
          <w:rFonts w:ascii="Book Antiqua" w:hAnsi="Book Antiqua"/>
          <w:b/>
          <w:bCs/>
          <w:noProof/>
          <w:lang w:val="en-US"/>
        </w:rPr>
        <w:t>18</w:t>
      </w:r>
      <w:r w:rsidRPr="00F448FE">
        <w:rPr>
          <w:rFonts w:ascii="Book Antiqua" w:hAnsi="Book Antiqua"/>
          <w:noProof/>
          <w:lang w:val="en-US"/>
        </w:rPr>
        <w:t>: 5151-5163 [PMID: 23066308 DOI: 10.3748/wjg.v18.i37.5151]</w:t>
      </w:r>
    </w:p>
    <w:p w14:paraId="019D8CD4" w14:textId="309B483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nb-NO"/>
        </w:rPr>
        <w:t xml:space="preserve">4 </w:t>
      </w:r>
      <w:r w:rsidRPr="00F448FE">
        <w:rPr>
          <w:rFonts w:ascii="Book Antiqua" w:hAnsi="Book Antiqua"/>
          <w:b/>
          <w:bCs/>
          <w:noProof/>
          <w:lang w:val="nb-NO"/>
        </w:rPr>
        <w:t>El-Salhy M</w:t>
      </w:r>
      <w:r w:rsidRPr="00F448FE">
        <w:rPr>
          <w:rFonts w:ascii="Book Antiqua" w:hAnsi="Book Antiqua"/>
          <w:noProof/>
          <w:lang w:val="nb-NO"/>
        </w:rPr>
        <w:t xml:space="preserve">, Gilja OH, Hatlebakk JG. </w:t>
      </w:r>
      <w:r w:rsidRPr="00F448FE">
        <w:rPr>
          <w:rFonts w:ascii="Book Antiqua" w:hAnsi="Book Antiqua"/>
          <w:noProof/>
          <w:lang w:val="en-US"/>
        </w:rPr>
        <w:t xml:space="preserve">Overlapping of irritable bowel syndrome with erosive esophagitis and the performance of Rome criteria in diagnosing IBS in a clinical setting. </w:t>
      </w:r>
      <w:r w:rsidRPr="00F448FE">
        <w:rPr>
          <w:rFonts w:ascii="Book Antiqua" w:hAnsi="Book Antiqua"/>
          <w:i/>
          <w:iCs/>
          <w:noProof/>
          <w:lang w:val="en-US"/>
        </w:rPr>
        <w:t>Mol Med Rep</w:t>
      </w:r>
      <w:r w:rsidRPr="00F448FE">
        <w:rPr>
          <w:rFonts w:ascii="Book Antiqua" w:hAnsi="Book Antiqua"/>
          <w:noProof/>
          <w:lang w:val="en-US"/>
        </w:rPr>
        <w:t xml:space="preserve"> 2019; </w:t>
      </w:r>
      <w:r w:rsidRPr="00F448FE">
        <w:rPr>
          <w:rFonts w:ascii="Book Antiqua" w:hAnsi="Book Antiqua"/>
          <w:b/>
          <w:bCs/>
          <w:noProof/>
          <w:lang w:val="en-US"/>
        </w:rPr>
        <w:t>20</w:t>
      </w:r>
      <w:r w:rsidRPr="00F448FE">
        <w:rPr>
          <w:rFonts w:ascii="Book Antiqua" w:hAnsi="Book Antiqua"/>
          <w:noProof/>
          <w:lang w:val="en-US"/>
        </w:rPr>
        <w:t xml:space="preserve">: 787-794 [PMID: 31180516 DOI: </w:t>
      </w:r>
      <w:r w:rsidR="00975CAB" w:rsidRPr="00F448FE">
        <w:rPr>
          <w:rFonts w:ascii="Book Antiqua" w:hAnsi="Book Antiqua"/>
          <w:noProof/>
          <w:lang w:val="en-US"/>
        </w:rPr>
        <w:t>10.3892/mmr.2019.10284</w:t>
      </w:r>
      <w:r w:rsidRPr="00F448FE">
        <w:rPr>
          <w:rFonts w:ascii="Book Antiqua" w:hAnsi="Book Antiqua"/>
          <w:noProof/>
          <w:lang w:val="en-US"/>
        </w:rPr>
        <w:t>]</w:t>
      </w:r>
    </w:p>
    <w:p w14:paraId="143054CB"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5 </w:t>
      </w:r>
      <w:r w:rsidRPr="00F448FE">
        <w:rPr>
          <w:rFonts w:ascii="Book Antiqua" w:hAnsi="Book Antiqua"/>
          <w:b/>
          <w:bCs/>
          <w:noProof/>
          <w:lang w:val="en-US"/>
        </w:rPr>
        <w:t>Talley NJ</w:t>
      </w:r>
      <w:r w:rsidRPr="00F448FE">
        <w:rPr>
          <w:rFonts w:ascii="Book Antiqua" w:hAnsi="Book Antiqua"/>
          <w:noProof/>
          <w:lang w:val="en-US"/>
        </w:rPr>
        <w:t xml:space="preserve">, Gabriel SE, Harmsen WS, Zinsmeister AR, Evans RW. Medical costs in community subjects with irritable bowel syndrome. </w:t>
      </w:r>
      <w:r w:rsidRPr="00F448FE">
        <w:rPr>
          <w:rFonts w:ascii="Book Antiqua" w:hAnsi="Book Antiqua"/>
          <w:i/>
          <w:iCs/>
          <w:noProof/>
          <w:lang w:val="en-US"/>
        </w:rPr>
        <w:t>Gastroenterology</w:t>
      </w:r>
      <w:r w:rsidRPr="00F448FE">
        <w:rPr>
          <w:rFonts w:ascii="Book Antiqua" w:hAnsi="Book Antiqua"/>
          <w:noProof/>
          <w:lang w:val="en-US"/>
        </w:rPr>
        <w:t xml:space="preserve"> 1995; </w:t>
      </w:r>
      <w:r w:rsidRPr="00F448FE">
        <w:rPr>
          <w:rFonts w:ascii="Book Antiqua" w:hAnsi="Book Antiqua"/>
          <w:b/>
          <w:bCs/>
          <w:noProof/>
          <w:lang w:val="en-US"/>
        </w:rPr>
        <w:t>109</w:t>
      </w:r>
      <w:r w:rsidRPr="00F448FE">
        <w:rPr>
          <w:rFonts w:ascii="Book Antiqua" w:hAnsi="Book Antiqua"/>
          <w:noProof/>
          <w:lang w:val="en-US"/>
        </w:rPr>
        <w:t>: 1736-1741 [PMID: 7498636 DOI: 10.1016/0016-5085(95)90738-6]</w:t>
      </w:r>
    </w:p>
    <w:p w14:paraId="1D31B6EE"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6 </w:t>
      </w:r>
      <w:r w:rsidRPr="00F448FE">
        <w:rPr>
          <w:rFonts w:ascii="Book Antiqua" w:hAnsi="Book Antiqua"/>
          <w:b/>
          <w:bCs/>
          <w:noProof/>
          <w:lang w:val="en-US"/>
        </w:rPr>
        <w:t>Jones R</w:t>
      </w:r>
      <w:r w:rsidRPr="00F448FE">
        <w:rPr>
          <w:rFonts w:ascii="Book Antiqua" w:hAnsi="Book Antiqua"/>
          <w:noProof/>
          <w:lang w:val="en-US"/>
        </w:rPr>
        <w:t xml:space="preserve">, Lydeard S. Irritable bowel syndrome in the general population. </w:t>
      </w:r>
      <w:r w:rsidRPr="00F448FE">
        <w:rPr>
          <w:rFonts w:ascii="Book Antiqua" w:hAnsi="Book Antiqua"/>
          <w:i/>
          <w:iCs/>
          <w:noProof/>
          <w:lang w:val="en-US"/>
        </w:rPr>
        <w:t>BMJ</w:t>
      </w:r>
      <w:r w:rsidRPr="00F448FE">
        <w:rPr>
          <w:rFonts w:ascii="Book Antiqua" w:hAnsi="Book Antiqua"/>
          <w:noProof/>
          <w:lang w:val="en-US"/>
        </w:rPr>
        <w:t xml:space="preserve"> 1992; </w:t>
      </w:r>
      <w:r w:rsidRPr="00F448FE">
        <w:rPr>
          <w:rFonts w:ascii="Book Antiqua" w:hAnsi="Book Antiqua"/>
          <w:b/>
          <w:bCs/>
          <w:noProof/>
          <w:lang w:val="en-US"/>
        </w:rPr>
        <w:t>304</w:t>
      </w:r>
      <w:r w:rsidRPr="00F448FE">
        <w:rPr>
          <w:rFonts w:ascii="Book Antiqua" w:hAnsi="Book Antiqua"/>
          <w:noProof/>
          <w:lang w:val="en-US"/>
        </w:rPr>
        <w:t>: 87-90 [PMID: 1737146 DOI: 10.1136/bmj.304.6819.87]</w:t>
      </w:r>
    </w:p>
    <w:p w14:paraId="17439CDF" w14:textId="33E7011D"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7 </w:t>
      </w:r>
      <w:r w:rsidRPr="00F448FE">
        <w:rPr>
          <w:rFonts w:ascii="Book Antiqua" w:hAnsi="Book Antiqua"/>
          <w:b/>
          <w:bCs/>
          <w:noProof/>
          <w:lang w:val="en-US"/>
        </w:rPr>
        <w:t>Hungin AP</w:t>
      </w:r>
      <w:r w:rsidRPr="00F448FE">
        <w:rPr>
          <w:rFonts w:ascii="Book Antiqua" w:hAnsi="Book Antiqua"/>
          <w:noProof/>
          <w:lang w:val="en-US"/>
        </w:rPr>
        <w:t xml:space="preserve">, Whorwell PJ, Tack J, Mearin F. The prevalence, patterns and impact of irritable bowel syndrome: an international survey of 40,000 subjects. </w:t>
      </w:r>
      <w:r w:rsidRPr="00F448FE">
        <w:rPr>
          <w:rFonts w:ascii="Book Antiqua" w:hAnsi="Book Antiqua"/>
          <w:i/>
          <w:iCs/>
          <w:noProof/>
          <w:lang w:val="en-US"/>
        </w:rPr>
        <w:t>Aliment Pharmacol Ther</w:t>
      </w:r>
      <w:r w:rsidRPr="00F448FE">
        <w:rPr>
          <w:rFonts w:ascii="Book Antiqua" w:hAnsi="Book Antiqua"/>
          <w:noProof/>
          <w:lang w:val="en-US"/>
        </w:rPr>
        <w:t xml:space="preserve"> 2003; </w:t>
      </w:r>
      <w:r w:rsidRPr="00F448FE">
        <w:rPr>
          <w:rFonts w:ascii="Book Antiqua" w:hAnsi="Book Antiqua"/>
          <w:b/>
          <w:bCs/>
          <w:noProof/>
          <w:lang w:val="en-US"/>
        </w:rPr>
        <w:t>17</w:t>
      </w:r>
      <w:r w:rsidRPr="00F448FE">
        <w:rPr>
          <w:rFonts w:ascii="Book Antiqua" w:hAnsi="Book Antiqua"/>
          <w:noProof/>
          <w:lang w:val="en-US"/>
        </w:rPr>
        <w:t xml:space="preserve">: 643-650 [PMID: 12641512 DOI: </w:t>
      </w:r>
      <w:r w:rsidR="008B6E71" w:rsidRPr="00F448FE">
        <w:rPr>
          <w:rFonts w:ascii="Book Antiqua" w:hAnsi="Book Antiqua"/>
          <w:noProof/>
          <w:lang w:val="en-US"/>
        </w:rPr>
        <w:t>10.1046/j.1365-2036.2003.01456.x</w:t>
      </w:r>
      <w:r w:rsidRPr="00F448FE">
        <w:rPr>
          <w:rFonts w:ascii="Book Antiqua" w:hAnsi="Book Antiqua"/>
          <w:noProof/>
          <w:lang w:val="en-US"/>
        </w:rPr>
        <w:t>]</w:t>
      </w:r>
    </w:p>
    <w:p w14:paraId="17E5CF06"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8 </w:t>
      </w:r>
      <w:r w:rsidRPr="00F448FE">
        <w:rPr>
          <w:rFonts w:ascii="Book Antiqua" w:hAnsi="Book Antiqua"/>
          <w:b/>
          <w:bCs/>
          <w:noProof/>
          <w:lang w:val="en-US"/>
        </w:rPr>
        <w:t>Schuster MM</w:t>
      </w:r>
      <w:r w:rsidRPr="00F448FE">
        <w:rPr>
          <w:rFonts w:ascii="Book Antiqua" w:hAnsi="Book Antiqua"/>
          <w:noProof/>
          <w:lang w:val="en-US"/>
        </w:rPr>
        <w:t xml:space="preserve">. Defining and diagnosing irritable bowel syndrome. </w:t>
      </w:r>
      <w:r w:rsidRPr="00F448FE">
        <w:rPr>
          <w:rFonts w:ascii="Book Antiqua" w:hAnsi="Book Antiqua"/>
          <w:i/>
          <w:iCs/>
          <w:noProof/>
          <w:lang w:val="en-US"/>
        </w:rPr>
        <w:t>Am J Manag Care</w:t>
      </w:r>
      <w:r w:rsidRPr="00F448FE">
        <w:rPr>
          <w:rFonts w:ascii="Book Antiqua" w:hAnsi="Book Antiqua"/>
          <w:noProof/>
          <w:lang w:val="en-US"/>
        </w:rPr>
        <w:t xml:space="preserve"> 2001; </w:t>
      </w:r>
      <w:r w:rsidRPr="00F448FE">
        <w:rPr>
          <w:rFonts w:ascii="Book Antiqua" w:hAnsi="Book Antiqua"/>
          <w:b/>
          <w:bCs/>
          <w:noProof/>
          <w:lang w:val="en-US"/>
        </w:rPr>
        <w:t>7</w:t>
      </w:r>
      <w:r w:rsidRPr="00F448FE">
        <w:rPr>
          <w:rFonts w:ascii="Book Antiqua" w:hAnsi="Book Antiqua"/>
          <w:noProof/>
          <w:lang w:val="en-US"/>
        </w:rPr>
        <w:t>: S246-S251 [PMID: 11474909]</w:t>
      </w:r>
    </w:p>
    <w:p w14:paraId="6643D74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9 </w:t>
      </w:r>
      <w:r w:rsidRPr="00F448FE">
        <w:rPr>
          <w:rFonts w:ascii="Book Antiqua" w:hAnsi="Book Antiqua"/>
          <w:b/>
          <w:bCs/>
          <w:noProof/>
          <w:lang w:val="en-US"/>
        </w:rPr>
        <w:t>Mitchell CM</w:t>
      </w:r>
      <w:r w:rsidRPr="00F448FE">
        <w:rPr>
          <w:rFonts w:ascii="Book Antiqua" w:hAnsi="Book Antiqua"/>
          <w:noProof/>
          <w:lang w:val="en-US"/>
        </w:rPr>
        <w:t xml:space="preserve">, Drossman DA. Survey of the AGA membership relating to patients with functional gastrointestinal disorders. </w:t>
      </w:r>
      <w:r w:rsidRPr="00F448FE">
        <w:rPr>
          <w:rFonts w:ascii="Book Antiqua" w:hAnsi="Book Antiqua"/>
          <w:i/>
          <w:iCs/>
          <w:noProof/>
          <w:lang w:val="en-US"/>
        </w:rPr>
        <w:t>Gastroenterology</w:t>
      </w:r>
      <w:r w:rsidRPr="00F448FE">
        <w:rPr>
          <w:rFonts w:ascii="Book Antiqua" w:hAnsi="Book Antiqua"/>
          <w:noProof/>
          <w:lang w:val="en-US"/>
        </w:rPr>
        <w:t xml:space="preserve"> 1987; </w:t>
      </w:r>
      <w:r w:rsidRPr="00F448FE">
        <w:rPr>
          <w:rFonts w:ascii="Book Antiqua" w:hAnsi="Book Antiqua"/>
          <w:b/>
          <w:bCs/>
          <w:noProof/>
          <w:lang w:val="en-US"/>
        </w:rPr>
        <w:t>92</w:t>
      </w:r>
      <w:r w:rsidRPr="00F448FE">
        <w:rPr>
          <w:rFonts w:ascii="Book Antiqua" w:hAnsi="Book Antiqua"/>
          <w:noProof/>
          <w:lang w:val="en-US"/>
        </w:rPr>
        <w:t>: 1282-1284 [PMID: 3557021 DOI: 10.1016/s0016-5085(87)91099-7]</w:t>
      </w:r>
    </w:p>
    <w:p w14:paraId="53A5D867"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10 </w:t>
      </w:r>
      <w:r w:rsidRPr="00F448FE">
        <w:rPr>
          <w:rFonts w:ascii="Book Antiqua" w:hAnsi="Book Antiqua"/>
          <w:b/>
          <w:bCs/>
          <w:noProof/>
          <w:lang w:val="en-US"/>
        </w:rPr>
        <w:t>Konturek PC</w:t>
      </w:r>
      <w:r w:rsidRPr="00F448FE">
        <w:rPr>
          <w:rFonts w:ascii="Book Antiqua" w:hAnsi="Book Antiqua"/>
          <w:noProof/>
          <w:lang w:val="en-US"/>
        </w:rPr>
        <w:t xml:space="preserve">, Brzozowski T, Konturek SJ. Stress and the gut: pathophysiology, clinical consequences, diagnostic approach and treatment options. </w:t>
      </w:r>
      <w:r w:rsidRPr="00F448FE">
        <w:rPr>
          <w:rFonts w:ascii="Book Antiqua" w:hAnsi="Book Antiqua"/>
          <w:i/>
          <w:iCs/>
          <w:noProof/>
          <w:lang w:val="en-US"/>
        </w:rPr>
        <w:t>J Physiol Pharmacol</w:t>
      </w:r>
      <w:r w:rsidRPr="00F448FE">
        <w:rPr>
          <w:rFonts w:ascii="Book Antiqua" w:hAnsi="Book Antiqua"/>
          <w:noProof/>
          <w:lang w:val="en-US"/>
        </w:rPr>
        <w:t xml:space="preserve"> 2011; </w:t>
      </w:r>
      <w:r w:rsidRPr="00F448FE">
        <w:rPr>
          <w:rFonts w:ascii="Book Antiqua" w:hAnsi="Book Antiqua"/>
          <w:b/>
          <w:bCs/>
          <w:noProof/>
          <w:lang w:val="en-US"/>
        </w:rPr>
        <w:t>62</w:t>
      </w:r>
      <w:r w:rsidRPr="00F448FE">
        <w:rPr>
          <w:rFonts w:ascii="Book Antiqua" w:hAnsi="Book Antiqua"/>
          <w:noProof/>
          <w:lang w:val="en-US"/>
        </w:rPr>
        <w:t>: 591-599 [PMID: 22314561]</w:t>
      </w:r>
    </w:p>
    <w:p w14:paraId="1C6BCC46"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11 </w:t>
      </w:r>
      <w:r w:rsidRPr="00F448FE">
        <w:rPr>
          <w:rFonts w:ascii="Book Antiqua" w:hAnsi="Book Antiqua"/>
          <w:b/>
          <w:bCs/>
          <w:noProof/>
          <w:lang w:val="en-US"/>
        </w:rPr>
        <w:t>El-Salhy M</w:t>
      </w:r>
      <w:r w:rsidRPr="00F448FE">
        <w:rPr>
          <w:rFonts w:ascii="Book Antiqua" w:hAnsi="Book Antiqua"/>
          <w:noProof/>
          <w:lang w:val="en-US"/>
        </w:rPr>
        <w:t xml:space="preserve">, Gilja OH. Abnormalities in ileal stem, neurogenin 3, and enteroendocrine cells in patients with irritable bowel syndrome. </w:t>
      </w:r>
      <w:r w:rsidRPr="00F448FE">
        <w:rPr>
          <w:rFonts w:ascii="Book Antiqua" w:hAnsi="Book Antiqua"/>
          <w:i/>
          <w:iCs/>
          <w:noProof/>
          <w:lang w:val="en-US"/>
        </w:rPr>
        <w:t>BMC Gastroenterol</w:t>
      </w:r>
      <w:r w:rsidRPr="00F448FE">
        <w:rPr>
          <w:rFonts w:ascii="Book Antiqua" w:hAnsi="Book Antiqua"/>
          <w:noProof/>
          <w:lang w:val="en-US"/>
        </w:rPr>
        <w:t xml:space="preserve"> 2017; </w:t>
      </w:r>
      <w:r w:rsidRPr="00F448FE">
        <w:rPr>
          <w:rFonts w:ascii="Book Antiqua" w:hAnsi="Book Antiqua"/>
          <w:b/>
          <w:bCs/>
          <w:noProof/>
          <w:lang w:val="en-US"/>
        </w:rPr>
        <w:t>17</w:t>
      </w:r>
      <w:r w:rsidRPr="00F448FE">
        <w:rPr>
          <w:rFonts w:ascii="Book Antiqua" w:hAnsi="Book Antiqua"/>
          <w:noProof/>
          <w:lang w:val="en-US"/>
        </w:rPr>
        <w:t>: 90 [PMID: 28764761 DOI: 10.1186/s12876-017-0643-4]</w:t>
      </w:r>
    </w:p>
    <w:p w14:paraId="6E885FA3"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12 </w:t>
      </w:r>
      <w:r w:rsidRPr="00F448FE">
        <w:rPr>
          <w:rFonts w:ascii="Book Antiqua" w:hAnsi="Book Antiqua"/>
          <w:b/>
          <w:bCs/>
          <w:noProof/>
          <w:lang w:val="en-US"/>
        </w:rPr>
        <w:t>El-Salhy M</w:t>
      </w:r>
      <w:r w:rsidRPr="00F448FE">
        <w:rPr>
          <w:rFonts w:ascii="Book Antiqua" w:hAnsi="Book Antiqua"/>
          <w:noProof/>
          <w:lang w:val="en-US"/>
        </w:rPr>
        <w:t xml:space="preserve">, Hatlebakk JG, Hausken T. Reduction in duodenal endocrine cells in irritable bowel syndrome is associated with stem cell abnormalities. </w:t>
      </w:r>
      <w:r w:rsidRPr="00F448FE">
        <w:rPr>
          <w:rFonts w:ascii="Book Antiqua" w:hAnsi="Book Antiqua"/>
          <w:i/>
          <w:iCs/>
          <w:noProof/>
          <w:lang w:val="en-US"/>
        </w:rPr>
        <w:t>World J Gastroenterol</w:t>
      </w:r>
      <w:r w:rsidRPr="00F448FE">
        <w:rPr>
          <w:rFonts w:ascii="Book Antiqua" w:hAnsi="Book Antiqua"/>
          <w:noProof/>
          <w:lang w:val="en-US"/>
        </w:rPr>
        <w:t xml:space="preserve"> 2015; </w:t>
      </w:r>
      <w:r w:rsidRPr="00F448FE">
        <w:rPr>
          <w:rFonts w:ascii="Book Antiqua" w:hAnsi="Book Antiqua"/>
          <w:b/>
          <w:bCs/>
          <w:noProof/>
          <w:lang w:val="en-US"/>
        </w:rPr>
        <w:t>21</w:t>
      </w:r>
      <w:r w:rsidRPr="00F448FE">
        <w:rPr>
          <w:rFonts w:ascii="Book Antiqua" w:hAnsi="Book Antiqua"/>
          <w:noProof/>
          <w:lang w:val="en-US"/>
        </w:rPr>
        <w:t>: 9577-9587 [PMID: 26327765 DOI: 10.3748/wjg.v21.i32.9577]</w:t>
      </w:r>
    </w:p>
    <w:p w14:paraId="00C9D1A0"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13 </w:t>
      </w:r>
      <w:r w:rsidRPr="00F448FE">
        <w:rPr>
          <w:rFonts w:ascii="Book Antiqua" w:hAnsi="Book Antiqua"/>
          <w:b/>
          <w:bCs/>
          <w:noProof/>
          <w:lang w:val="en-US"/>
        </w:rPr>
        <w:t>El-Salhy M</w:t>
      </w:r>
      <w:r w:rsidRPr="00F448FE">
        <w:rPr>
          <w:rFonts w:ascii="Book Antiqua" w:hAnsi="Book Antiqua"/>
          <w:noProof/>
          <w:lang w:val="en-US"/>
        </w:rPr>
        <w:t xml:space="preserve">, Patcharatrakul T, Hatlebakk JG, Hausken T, Gilja OH, Gonlachanvit S. Enteroendocrine, Musashi 1 and neurogenin 3 cells in the large intestine of Thai and Norwegian patients with irritable bowel syndrome. </w:t>
      </w:r>
      <w:r w:rsidRPr="00F448FE">
        <w:rPr>
          <w:rFonts w:ascii="Book Antiqua" w:hAnsi="Book Antiqua"/>
          <w:i/>
          <w:iCs/>
          <w:noProof/>
          <w:lang w:val="en-US"/>
        </w:rPr>
        <w:t>Scand J Gastroenterol</w:t>
      </w:r>
      <w:r w:rsidRPr="00F448FE">
        <w:rPr>
          <w:rFonts w:ascii="Book Antiqua" w:hAnsi="Book Antiqua"/>
          <w:noProof/>
          <w:lang w:val="en-US"/>
        </w:rPr>
        <w:t xml:space="preserve"> 2017; </w:t>
      </w:r>
      <w:r w:rsidRPr="00F448FE">
        <w:rPr>
          <w:rFonts w:ascii="Book Antiqua" w:hAnsi="Book Antiqua"/>
          <w:b/>
          <w:bCs/>
          <w:noProof/>
          <w:lang w:val="en-US"/>
        </w:rPr>
        <w:t>52</w:t>
      </w:r>
      <w:r w:rsidRPr="00F448FE">
        <w:rPr>
          <w:rFonts w:ascii="Book Antiqua" w:hAnsi="Book Antiqua"/>
          <w:noProof/>
          <w:lang w:val="en-US"/>
        </w:rPr>
        <w:t>: 1331-1339 [PMID: 28853300 DOI: 10.1080/00365521.2017.1371793]</w:t>
      </w:r>
    </w:p>
    <w:p w14:paraId="597B9FB2"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14 </w:t>
      </w:r>
      <w:r w:rsidRPr="00F448FE">
        <w:rPr>
          <w:rFonts w:ascii="Book Antiqua" w:hAnsi="Book Antiqua"/>
          <w:b/>
          <w:bCs/>
          <w:noProof/>
          <w:lang w:val="en-US"/>
        </w:rPr>
        <w:t>Locke GR 3rd</w:t>
      </w:r>
      <w:r w:rsidRPr="00F448FE">
        <w:rPr>
          <w:rFonts w:ascii="Book Antiqua" w:hAnsi="Book Antiqua"/>
          <w:noProof/>
          <w:lang w:val="en-US"/>
        </w:rPr>
        <w:t xml:space="preserve">, Zinsmeister AR, Talley NJ, Fett SL, Melton LJ 3rd. Familial association in adults with functional gastrointestinal disorders. </w:t>
      </w:r>
      <w:r w:rsidRPr="00F448FE">
        <w:rPr>
          <w:rFonts w:ascii="Book Antiqua" w:hAnsi="Book Antiqua"/>
          <w:i/>
          <w:iCs/>
          <w:noProof/>
          <w:lang w:val="en-US"/>
        </w:rPr>
        <w:t>Mayo Clin Proc</w:t>
      </w:r>
      <w:r w:rsidRPr="00F448FE">
        <w:rPr>
          <w:rFonts w:ascii="Book Antiqua" w:hAnsi="Book Antiqua"/>
          <w:noProof/>
          <w:lang w:val="en-US"/>
        </w:rPr>
        <w:t xml:space="preserve"> 2000; </w:t>
      </w:r>
      <w:r w:rsidRPr="00F448FE">
        <w:rPr>
          <w:rFonts w:ascii="Book Antiqua" w:hAnsi="Book Antiqua"/>
          <w:b/>
          <w:bCs/>
          <w:noProof/>
          <w:lang w:val="en-US"/>
        </w:rPr>
        <w:t>75</w:t>
      </w:r>
      <w:r w:rsidRPr="00F448FE">
        <w:rPr>
          <w:rFonts w:ascii="Book Antiqua" w:hAnsi="Book Antiqua"/>
          <w:noProof/>
          <w:lang w:val="en-US"/>
        </w:rPr>
        <w:t>: 907-912 [PMID: 10994826 DOI: 10.4065/75.9.907]</w:t>
      </w:r>
    </w:p>
    <w:p w14:paraId="76AA4ED2"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15 </w:t>
      </w:r>
      <w:r w:rsidRPr="00F448FE">
        <w:rPr>
          <w:rFonts w:ascii="Book Antiqua" w:hAnsi="Book Antiqua"/>
          <w:b/>
          <w:bCs/>
          <w:noProof/>
          <w:lang w:val="en-US"/>
        </w:rPr>
        <w:t>Kalantar JS</w:t>
      </w:r>
      <w:r w:rsidRPr="00F448FE">
        <w:rPr>
          <w:rFonts w:ascii="Book Antiqua" w:hAnsi="Book Antiqua"/>
          <w:noProof/>
          <w:lang w:val="en-US"/>
        </w:rPr>
        <w:t xml:space="preserve">, Locke GR 3rd, Zinsmeister AR, Beighley CM, Talley NJ. Familial aggregation of irritable bowel syndrome: a prospective study. </w:t>
      </w:r>
      <w:r w:rsidRPr="00F448FE">
        <w:rPr>
          <w:rFonts w:ascii="Book Antiqua" w:hAnsi="Book Antiqua"/>
          <w:i/>
          <w:iCs/>
          <w:noProof/>
          <w:lang w:val="en-US"/>
        </w:rPr>
        <w:t>Gut</w:t>
      </w:r>
      <w:r w:rsidRPr="00F448FE">
        <w:rPr>
          <w:rFonts w:ascii="Book Antiqua" w:hAnsi="Book Antiqua"/>
          <w:noProof/>
          <w:lang w:val="en-US"/>
        </w:rPr>
        <w:t xml:space="preserve"> 2003; </w:t>
      </w:r>
      <w:r w:rsidRPr="00F448FE">
        <w:rPr>
          <w:rFonts w:ascii="Book Antiqua" w:hAnsi="Book Antiqua"/>
          <w:b/>
          <w:bCs/>
          <w:noProof/>
          <w:lang w:val="en-US"/>
        </w:rPr>
        <w:t>52</w:t>
      </w:r>
      <w:r w:rsidRPr="00F448FE">
        <w:rPr>
          <w:rFonts w:ascii="Book Antiqua" w:hAnsi="Book Antiqua"/>
          <w:noProof/>
          <w:lang w:val="en-US"/>
        </w:rPr>
        <w:t>: 1703-1707 [PMID: 14633946 DOI: 10.1136/gut.52.12.1703]</w:t>
      </w:r>
    </w:p>
    <w:p w14:paraId="7E9ECDD0"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16 </w:t>
      </w:r>
      <w:r w:rsidRPr="00F448FE">
        <w:rPr>
          <w:rFonts w:ascii="Book Antiqua" w:hAnsi="Book Antiqua"/>
          <w:b/>
          <w:bCs/>
          <w:noProof/>
          <w:lang w:val="en-US"/>
        </w:rPr>
        <w:t>Kanazawa M</w:t>
      </w:r>
      <w:r w:rsidRPr="00F448FE">
        <w:rPr>
          <w:rFonts w:ascii="Book Antiqua" w:hAnsi="Book Antiqua"/>
          <w:noProof/>
          <w:lang w:val="en-US"/>
        </w:rPr>
        <w:t xml:space="preserve">, Endo Y, Whitehead WE, Kano M, Hongo M, Fukudo S. Patients and nonconsulters with irritable bowel syndrome reporting a parental history of bowel problems have more impaired psychological distress. </w:t>
      </w:r>
      <w:r w:rsidRPr="00F448FE">
        <w:rPr>
          <w:rFonts w:ascii="Book Antiqua" w:hAnsi="Book Antiqua"/>
          <w:i/>
          <w:iCs/>
          <w:noProof/>
          <w:lang w:val="en-US"/>
        </w:rPr>
        <w:t>Dig Dis Sci</w:t>
      </w:r>
      <w:r w:rsidRPr="00F448FE">
        <w:rPr>
          <w:rFonts w:ascii="Book Antiqua" w:hAnsi="Book Antiqua"/>
          <w:noProof/>
          <w:lang w:val="en-US"/>
        </w:rPr>
        <w:t xml:space="preserve"> 2004; </w:t>
      </w:r>
      <w:r w:rsidRPr="00F448FE">
        <w:rPr>
          <w:rFonts w:ascii="Book Antiqua" w:hAnsi="Book Antiqua"/>
          <w:b/>
          <w:bCs/>
          <w:noProof/>
          <w:lang w:val="en-US"/>
        </w:rPr>
        <w:t>49</w:t>
      </w:r>
      <w:r w:rsidRPr="00F448FE">
        <w:rPr>
          <w:rFonts w:ascii="Book Antiqua" w:hAnsi="Book Antiqua"/>
          <w:noProof/>
          <w:lang w:val="en-US"/>
        </w:rPr>
        <w:t>: 1046-1053 [PMID: 15309899 DOI: 10.1023/b:ddas.0000034570.52305.10]</w:t>
      </w:r>
    </w:p>
    <w:p w14:paraId="2D4AAAC3"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17 </w:t>
      </w:r>
      <w:r w:rsidRPr="00F448FE">
        <w:rPr>
          <w:rFonts w:ascii="Book Antiqua" w:hAnsi="Book Antiqua"/>
          <w:b/>
          <w:bCs/>
          <w:noProof/>
          <w:lang w:val="en-US"/>
        </w:rPr>
        <w:t>Morris-Yates A</w:t>
      </w:r>
      <w:r w:rsidRPr="00F448FE">
        <w:rPr>
          <w:rFonts w:ascii="Book Antiqua" w:hAnsi="Book Antiqua"/>
          <w:noProof/>
          <w:lang w:val="en-US"/>
        </w:rPr>
        <w:t xml:space="preserve">, Talley NJ, Boyce PM, Nandurkar S, Andrews G. Evidence of a genetic contribution to functional bowel disorder. </w:t>
      </w:r>
      <w:r w:rsidRPr="00F448FE">
        <w:rPr>
          <w:rFonts w:ascii="Book Antiqua" w:hAnsi="Book Antiqua"/>
          <w:i/>
          <w:iCs/>
          <w:noProof/>
          <w:lang w:val="en-US"/>
        </w:rPr>
        <w:t>Am J Gastroenterol</w:t>
      </w:r>
      <w:r w:rsidRPr="00F448FE">
        <w:rPr>
          <w:rFonts w:ascii="Book Antiqua" w:hAnsi="Book Antiqua"/>
          <w:noProof/>
          <w:lang w:val="en-US"/>
        </w:rPr>
        <w:t xml:space="preserve"> 1998; </w:t>
      </w:r>
      <w:r w:rsidRPr="00F448FE">
        <w:rPr>
          <w:rFonts w:ascii="Book Antiqua" w:hAnsi="Book Antiqua"/>
          <w:b/>
          <w:bCs/>
          <w:noProof/>
          <w:lang w:val="en-US"/>
        </w:rPr>
        <w:t>93</w:t>
      </w:r>
      <w:r w:rsidRPr="00F448FE">
        <w:rPr>
          <w:rFonts w:ascii="Book Antiqua" w:hAnsi="Book Antiqua"/>
          <w:noProof/>
          <w:lang w:val="en-US"/>
        </w:rPr>
        <w:t>: 1311-1317 [PMID: 9707057 DOI: 10.1111/j.1572-0241.1998.440_j.x]</w:t>
      </w:r>
    </w:p>
    <w:p w14:paraId="2485BA9B"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18 </w:t>
      </w:r>
      <w:r w:rsidRPr="00F448FE">
        <w:rPr>
          <w:rFonts w:ascii="Book Antiqua" w:hAnsi="Book Antiqua"/>
          <w:b/>
          <w:bCs/>
          <w:noProof/>
          <w:lang w:val="en-US"/>
        </w:rPr>
        <w:t>Levy RL</w:t>
      </w:r>
      <w:r w:rsidRPr="00F448FE">
        <w:rPr>
          <w:rFonts w:ascii="Book Antiqua" w:hAnsi="Book Antiqua"/>
          <w:noProof/>
          <w:lang w:val="en-US"/>
        </w:rPr>
        <w:t xml:space="preserve">, Jones KR, Whitehead WE, Feld SI, Talley NJ, Corey LA. Irritable bowel syndrome in twins: heredity and social learning both contribute to etiology. </w:t>
      </w:r>
      <w:r w:rsidRPr="00F448FE">
        <w:rPr>
          <w:rFonts w:ascii="Book Antiqua" w:hAnsi="Book Antiqua"/>
          <w:i/>
          <w:iCs/>
          <w:noProof/>
          <w:lang w:val="en-US"/>
        </w:rPr>
        <w:t>Gastroenterology</w:t>
      </w:r>
      <w:r w:rsidRPr="00F448FE">
        <w:rPr>
          <w:rFonts w:ascii="Book Antiqua" w:hAnsi="Book Antiqua"/>
          <w:noProof/>
          <w:lang w:val="en-US"/>
        </w:rPr>
        <w:t xml:space="preserve"> 2001; </w:t>
      </w:r>
      <w:r w:rsidRPr="00F448FE">
        <w:rPr>
          <w:rFonts w:ascii="Book Antiqua" w:hAnsi="Book Antiqua"/>
          <w:b/>
          <w:bCs/>
          <w:noProof/>
          <w:lang w:val="en-US"/>
        </w:rPr>
        <w:t>121</w:t>
      </w:r>
      <w:r w:rsidRPr="00F448FE">
        <w:rPr>
          <w:rFonts w:ascii="Book Antiqua" w:hAnsi="Book Antiqua"/>
          <w:noProof/>
          <w:lang w:val="en-US"/>
        </w:rPr>
        <w:t>: 799-804 [PMID: 11606493 DOI: 10.1053/gast.2001.27995]</w:t>
      </w:r>
    </w:p>
    <w:p w14:paraId="395495E4"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19 </w:t>
      </w:r>
      <w:r w:rsidRPr="00F448FE">
        <w:rPr>
          <w:rFonts w:ascii="Book Antiqua" w:hAnsi="Book Antiqua"/>
          <w:b/>
          <w:bCs/>
          <w:noProof/>
          <w:lang w:val="en-US"/>
        </w:rPr>
        <w:t>Lembo A</w:t>
      </w:r>
      <w:r w:rsidRPr="00F448FE">
        <w:rPr>
          <w:rFonts w:ascii="Book Antiqua" w:hAnsi="Book Antiqua"/>
          <w:noProof/>
          <w:lang w:val="en-US"/>
        </w:rPr>
        <w:t xml:space="preserve">, Zaman M, Jones M, Talley NJ. Influence of genetics on irritable bowel syndrome, gastro-oesophageal reflux and dyspepsia: a twin study. </w:t>
      </w:r>
      <w:r w:rsidRPr="00F448FE">
        <w:rPr>
          <w:rFonts w:ascii="Book Antiqua" w:hAnsi="Book Antiqua"/>
          <w:i/>
          <w:iCs/>
          <w:noProof/>
          <w:lang w:val="en-US"/>
        </w:rPr>
        <w:t>Aliment Pharmacol Ther</w:t>
      </w:r>
      <w:r w:rsidRPr="00F448FE">
        <w:rPr>
          <w:rFonts w:ascii="Book Antiqua" w:hAnsi="Book Antiqua"/>
          <w:noProof/>
          <w:lang w:val="en-US"/>
        </w:rPr>
        <w:t xml:space="preserve"> 2007; </w:t>
      </w:r>
      <w:r w:rsidRPr="00F448FE">
        <w:rPr>
          <w:rFonts w:ascii="Book Antiqua" w:hAnsi="Book Antiqua"/>
          <w:b/>
          <w:bCs/>
          <w:noProof/>
          <w:lang w:val="en-US"/>
        </w:rPr>
        <w:t>25</w:t>
      </w:r>
      <w:r w:rsidRPr="00F448FE">
        <w:rPr>
          <w:rFonts w:ascii="Book Antiqua" w:hAnsi="Book Antiqua"/>
          <w:noProof/>
          <w:lang w:val="en-US"/>
        </w:rPr>
        <w:t>: 1343-1350 [PMID: 17509102 DOI: 10.1111/j.1365-2036.2007.03326.x]</w:t>
      </w:r>
    </w:p>
    <w:p w14:paraId="7D070D89"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20 </w:t>
      </w:r>
      <w:r w:rsidRPr="00F448FE">
        <w:rPr>
          <w:rFonts w:ascii="Book Antiqua" w:hAnsi="Book Antiqua"/>
          <w:b/>
          <w:bCs/>
          <w:noProof/>
          <w:lang w:val="en-US"/>
        </w:rPr>
        <w:t>Wojczynski MK</w:t>
      </w:r>
      <w:r w:rsidRPr="00F448FE">
        <w:rPr>
          <w:rFonts w:ascii="Book Antiqua" w:hAnsi="Book Antiqua"/>
          <w:noProof/>
          <w:lang w:val="en-US"/>
        </w:rPr>
        <w:t xml:space="preserve">, North KE, Pedersen NL, Sullivan PF. Irritable bowel syndrome: a co-twin control analysis. </w:t>
      </w:r>
      <w:r w:rsidRPr="00F448FE">
        <w:rPr>
          <w:rFonts w:ascii="Book Antiqua" w:hAnsi="Book Antiqua"/>
          <w:i/>
          <w:iCs/>
          <w:noProof/>
          <w:lang w:val="en-US"/>
        </w:rPr>
        <w:t>Am J Gastroenterol</w:t>
      </w:r>
      <w:r w:rsidRPr="00F448FE">
        <w:rPr>
          <w:rFonts w:ascii="Book Antiqua" w:hAnsi="Book Antiqua"/>
          <w:noProof/>
          <w:lang w:val="en-US"/>
        </w:rPr>
        <w:t xml:space="preserve"> 2007; </w:t>
      </w:r>
      <w:r w:rsidRPr="00F448FE">
        <w:rPr>
          <w:rFonts w:ascii="Book Antiqua" w:hAnsi="Book Antiqua"/>
          <w:b/>
          <w:bCs/>
          <w:noProof/>
          <w:lang w:val="en-US"/>
        </w:rPr>
        <w:t>102</w:t>
      </w:r>
      <w:r w:rsidRPr="00F448FE">
        <w:rPr>
          <w:rFonts w:ascii="Book Antiqua" w:hAnsi="Book Antiqua"/>
          <w:noProof/>
          <w:lang w:val="en-US"/>
        </w:rPr>
        <w:t>: 2220-2229 [PMID: 17897337 DOI: 10.1111/j.1572-0241.2007.01479.x]</w:t>
      </w:r>
    </w:p>
    <w:p w14:paraId="129F4C70"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21 </w:t>
      </w:r>
      <w:r w:rsidRPr="00F448FE">
        <w:rPr>
          <w:rFonts w:ascii="Book Antiqua" w:hAnsi="Book Antiqua"/>
          <w:b/>
          <w:bCs/>
          <w:noProof/>
          <w:lang w:val="en-US"/>
        </w:rPr>
        <w:t>Bengtson MB</w:t>
      </w:r>
      <w:r w:rsidRPr="00F448FE">
        <w:rPr>
          <w:rFonts w:ascii="Book Antiqua" w:hAnsi="Book Antiqua"/>
          <w:noProof/>
          <w:lang w:val="en-US"/>
        </w:rPr>
        <w:t xml:space="preserve">, Rønning T, Vatn MH, Harris JR. Irritable bowel syndrome in twins: genes and environment. </w:t>
      </w:r>
      <w:r w:rsidRPr="00F448FE">
        <w:rPr>
          <w:rFonts w:ascii="Book Antiqua" w:hAnsi="Book Antiqua"/>
          <w:i/>
          <w:iCs/>
          <w:noProof/>
          <w:lang w:val="en-US"/>
        </w:rPr>
        <w:t>Gut</w:t>
      </w:r>
      <w:r w:rsidRPr="00F448FE">
        <w:rPr>
          <w:rFonts w:ascii="Book Antiqua" w:hAnsi="Book Antiqua"/>
          <w:noProof/>
          <w:lang w:val="en-US"/>
        </w:rPr>
        <w:t xml:space="preserve"> 2006; </w:t>
      </w:r>
      <w:r w:rsidRPr="00F448FE">
        <w:rPr>
          <w:rFonts w:ascii="Book Antiqua" w:hAnsi="Book Antiqua"/>
          <w:b/>
          <w:bCs/>
          <w:noProof/>
          <w:lang w:val="en-US"/>
        </w:rPr>
        <w:t>55</w:t>
      </w:r>
      <w:r w:rsidRPr="00F448FE">
        <w:rPr>
          <w:rFonts w:ascii="Book Antiqua" w:hAnsi="Book Antiqua"/>
          <w:noProof/>
          <w:lang w:val="en-US"/>
        </w:rPr>
        <w:t>: 1754-1759 [PMID: 17008364 DOI: 10.1136/gut.2006.097287]</w:t>
      </w:r>
    </w:p>
    <w:p w14:paraId="04442E59"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22 </w:t>
      </w:r>
      <w:r w:rsidRPr="00F448FE">
        <w:rPr>
          <w:rFonts w:ascii="Book Antiqua" w:hAnsi="Book Antiqua"/>
          <w:b/>
          <w:bCs/>
          <w:noProof/>
          <w:lang w:val="en-US"/>
        </w:rPr>
        <w:t>El-Salhy M</w:t>
      </w:r>
      <w:r w:rsidRPr="00F448FE">
        <w:rPr>
          <w:rFonts w:ascii="Book Antiqua" w:hAnsi="Book Antiqua"/>
          <w:noProof/>
          <w:lang w:val="en-US"/>
        </w:rPr>
        <w:t xml:space="preserve">, Ostgaard H, Gundersen D, Hatlebakk JG, Hausken T. The role of diet in the pathogenesis and management of irritable bowel syndrome (Review). </w:t>
      </w:r>
      <w:r w:rsidRPr="00F448FE">
        <w:rPr>
          <w:rFonts w:ascii="Book Antiqua" w:hAnsi="Book Antiqua"/>
          <w:i/>
          <w:iCs/>
          <w:noProof/>
          <w:lang w:val="en-US"/>
        </w:rPr>
        <w:t>Int J Mol Med</w:t>
      </w:r>
      <w:r w:rsidRPr="00F448FE">
        <w:rPr>
          <w:rFonts w:ascii="Book Antiqua" w:hAnsi="Book Antiqua"/>
          <w:noProof/>
          <w:lang w:val="en-US"/>
        </w:rPr>
        <w:t xml:space="preserve"> 2012; </w:t>
      </w:r>
      <w:r w:rsidRPr="00F448FE">
        <w:rPr>
          <w:rFonts w:ascii="Book Antiqua" w:hAnsi="Book Antiqua"/>
          <w:b/>
          <w:bCs/>
          <w:noProof/>
          <w:lang w:val="en-US"/>
        </w:rPr>
        <w:t>29</w:t>
      </w:r>
      <w:r w:rsidRPr="00F448FE">
        <w:rPr>
          <w:rFonts w:ascii="Book Antiqua" w:hAnsi="Book Antiqua"/>
          <w:noProof/>
          <w:lang w:val="en-US"/>
        </w:rPr>
        <w:t>: 723-731 [PMID: 22366773 DOI: 10.3892/ijmm.2012.926]</w:t>
      </w:r>
    </w:p>
    <w:p w14:paraId="46B2AEA6"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23 </w:t>
      </w:r>
      <w:r w:rsidRPr="00F448FE">
        <w:rPr>
          <w:rFonts w:ascii="Book Antiqua" w:hAnsi="Book Antiqua"/>
          <w:b/>
          <w:bCs/>
          <w:noProof/>
          <w:lang w:val="en-US"/>
        </w:rPr>
        <w:t>Ostgaard H</w:t>
      </w:r>
      <w:r w:rsidRPr="00F448FE">
        <w:rPr>
          <w:rFonts w:ascii="Book Antiqua" w:hAnsi="Book Antiqua"/>
          <w:noProof/>
          <w:lang w:val="en-US"/>
        </w:rPr>
        <w:t xml:space="preserve">, Hausken T, Gundersen D, El-Salhy M. Diet and effects of diet management on quality of life and symptoms in patients with irritable bowel syndrome. </w:t>
      </w:r>
      <w:r w:rsidRPr="00F448FE">
        <w:rPr>
          <w:rFonts w:ascii="Book Antiqua" w:hAnsi="Book Antiqua"/>
          <w:i/>
          <w:iCs/>
          <w:noProof/>
          <w:lang w:val="en-US"/>
        </w:rPr>
        <w:t>Mol Med Rep</w:t>
      </w:r>
      <w:r w:rsidRPr="00F448FE">
        <w:rPr>
          <w:rFonts w:ascii="Book Antiqua" w:hAnsi="Book Antiqua"/>
          <w:noProof/>
          <w:lang w:val="en-US"/>
        </w:rPr>
        <w:t xml:space="preserve"> 2012; </w:t>
      </w:r>
      <w:r w:rsidRPr="00F448FE">
        <w:rPr>
          <w:rFonts w:ascii="Book Antiqua" w:hAnsi="Book Antiqua"/>
          <w:b/>
          <w:bCs/>
          <w:noProof/>
          <w:lang w:val="en-US"/>
        </w:rPr>
        <w:t>5</w:t>
      </w:r>
      <w:r w:rsidRPr="00F448FE">
        <w:rPr>
          <w:rFonts w:ascii="Book Antiqua" w:hAnsi="Book Antiqua"/>
          <w:noProof/>
          <w:lang w:val="en-US"/>
        </w:rPr>
        <w:t>: 1382-1390 [PMID: 22446969 DOI: 10.3892/mmr.2012.843]</w:t>
      </w:r>
    </w:p>
    <w:p w14:paraId="4FE2F77C"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24 </w:t>
      </w:r>
      <w:r w:rsidRPr="00F448FE">
        <w:rPr>
          <w:rFonts w:ascii="Book Antiqua" w:hAnsi="Book Antiqua"/>
          <w:b/>
          <w:bCs/>
          <w:noProof/>
          <w:lang w:val="en-US"/>
        </w:rPr>
        <w:t>El-Salhy M</w:t>
      </w:r>
      <w:r w:rsidRPr="00F448FE">
        <w:rPr>
          <w:rFonts w:ascii="Book Antiqua" w:hAnsi="Book Antiqua"/>
          <w:noProof/>
          <w:lang w:val="en-US"/>
        </w:rPr>
        <w:t xml:space="preserve">, Gilja OH, Gundersen D, Hatlebakk JG, Hausken T. Interaction between ingested nutrients and gut endocrine cells in patients with irritable bowel syndrome (review). </w:t>
      </w:r>
      <w:r w:rsidRPr="00F448FE">
        <w:rPr>
          <w:rFonts w:ascii="Book Antiqua" w:hAnsi="Book Antiqua"/>
          <w:i/>
          <w:iCs/>
          <w:noProof/>
          <w:lang w:val="en-US"/>
        </w:rPr>
        <w:t>Int J Mol Med</w:t>
      </w:r>
      <w:r w:rsidRPr="00F448FE">
        <w:rPr>
          <w:rFonts w:ascii="Book Antiqua" w:hAnsi="Book Antiqua"/>
          <w:noProof/>
          <w:lang w:val="en-US"/>
        </w:rPr>
        <w:t xml:space="preserve"> 2014; </w:t>
      </w:r>
      <w:r w:rsidRPr="00F448FE">
        <w:rPr>
          <w:rFonts w:ascii="Book Antiqua" w:hAnsi="Book Antiqua"/>
          <w:b/>
          <w:bCs/>
          <w:noProof/>
          <w:lang w:val="en-US"/>
        </w:rPr>
        <w:t>34</w:t>
      </w:r>
      <w:r w:rsidRPr="00F448FE">
        <w:rPr>
          <w:rFonts w:ascii="Book Antiqua" w:hAnsi="Book Antiqua"/>
          <w:noProof/>
          <w:lang w:val="en-US"/>
        </w:rPr>
        <w:t>: 363-371 [PMID: 24939595 DOI: 10.3892/ijmm.2014.1811]</w:t>
      </w:r>
    </w:p>
    <w:p w14:paraId="513D4070"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25 </w:t>
      </w:r>
      <w:r w:rsidRPr="00F448FE">
        <w:rPr>
          <w:rFonts w:ascii="Book Antiqua" w:hAnsi="Book Antiqua"/>
          <w:b/>
          <w:bCs/>
          <w:noProof/>
          <w:lang w:val="en-US"/>
        </w:rPr>
        <w:t>El-Salhy M</w:t>
      </w:r>
      <w:r w:rsidRPr="00F448FE">
        <w:rPr>
          <w:rFonts w:ascii="Book Antiqua" w:hAnsi="Book Antiqua"/>
          <w:noProof/>
          <w:lang w:val="en-US"/>
        </w:rPr>
        <w:t xml:space="preserve">, Mazzawi T, Hausken T, Hatlebakk JG. Interaction between diet and gastrointestinal endocrine cells. </w:t>
      </w:r>
      <w:r w:rsidRPr="00F448FE">
        <w:rPr>
          <w:rFonts w:ascii="Book Antiqua" w:hAnsi="Book Antiqua"/>
          <w:i/>
          <w:iCs/>
          <w:noProof/>
          <w:lang w:val="en-US"/>
        </w:rPr>
        <w:t>Biomed Rep</w:t>
      </w:r>
      <w:r w:rsidRPr="00F448FE">
        <w:rPr>
          <w:rFonts w:ascii="Book Antiqua" w:hAnsi="Book Antiqua"/>
          <w:noProof/>
          <w:lang w:val="en-US"/>
        </w:rPr>
        <w:t xml:space="preserve"> 2016; </w:t>
      </w:r>
      <w:r w:rsidRPr="00F448FE">
        <w:rPr>
          <w:rFonts w:ascii="Book Antiqua" w:hAnsi="Book Antiqua"/>
          <w:b/>
          <w:bCs/>
          <w:noProof/>
          <w:lang w:val="en-US"/>
        </w:rPr>
        <w:t>4</w:t>
      </w:r>
      <w:r w:rsidRPr="00F448FE">
        <w:rPr>
          <w:rFonts w:ascii="Book Antiqua" w:hAnsi="Book Antiqua"/>
          <w:noProof/>
          <w:lang w:val="en-US"/>
        </w:rPr>
        <w:t>: 651-656 [PMID: 27284402 DOI: 10.3892/br.2016.649]</w:t>
      </w:r>
    </w:p>
    <w:p w14:paraId="35DDF436"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26 </w:t>
      </w:r>
      <w:r w:rsidRPr="00F448FE">
        <w:rPr>
          <w:rFonts w:ascii="Book Antiqua" w:hAnsi="Book Antiqua"/>
          <w:b/>
          <w:bCs/>
          <w:noProof/>
          <w:lang w:val="en-US"/>
        </w:rPr>
        <w:t>El-Salhy M</w:t>
      </w:r>
      <w:r w:rsidRPr="00F448FE">
        <w:rPr>
          <w:rFonts w:ascii="Book Antiqua" w:hAnsi="Book Antiqua"/>
          <w:noProof/>
          <w:lang w:val="en-US"/>
        </w:rPr>
        <w:t xml:space="preserve">, Lilbo E, Reinemo A, Salmeøid L, Hausken T. Effects of a health program comprising reassurance, diet management, probiotic administration and regular exercise on symptoms and quality of life in patients with irritable bowel syndrome. Gastroenterology Insights 2010; </w:t>
      </w:r>
      <w:r w:rsidRPr="00F448FE">
        <w:rPr>
          <w:rFonts w:ascii="Book Antiqua" w:hAnsi="Book Antiqua"/>
          <w:b/>
          <w:bCs/>
          <w:noProof/>
          <w:lang w:val="en-US"/>
        </w:rPr>
        <w:t>2</w:t>
      </w:r>
      <w:r w:rsidRPr="00F448FE">
        <w:rPr>
          <w:rFonts w:ascii="Book Antiqua" w:hAnsi="Book Antiqua"/>
          <w:noProof/>
          <w:lang w:val="en-US"/>
        </w:rPr>
        <w:t>: 21-26 [DOI: 10.4081/gi.2010.e6]</w:t>
      </w:r>
    </w:p>
    <w:p w14:paraId="1EEE8832"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27 </w:t>
      </w:r>
      <w:r w:rsidRPr="00F448FE">
        <w:rPr>
          <w:rFonts w:ascii="Book Antiqua" w:hAnsi="Book Antiqua"/>
          <w:b/>
          <w:bCs/>
          <w:noProof/>
          <w:lang w:val="en-US"/>
        </w:rPr>
        <w:t>Jarrett M</w:t>
      </w:r>
      <w:r w:rsidRPr="00F448FE">
        <w:rPr>
          <w:rFonts w:ascii="Book Antiqua" w:hAnsi="Book Antiqua"/>
          <w:noProof/>
          <w:lang w:val="en-US"/>
        </w:rPr>
        <w:t xml:space="preserve">, Heitkemper MM, Bond EF, Georges J. Comparison of diet composition in women with and without functional bowel disorder. </w:t>
      </w:r>
      <w:r w:rsidRPr="00F448FE">
        <w:rPr>
          <w:rFonts w:ascii="Book Antiqua" w:hAnsi="Book Antiqua"/>
          <w:i/>
          <w:iCs/>
          <w:noProof/>
          <w:lang w:val="en-US"/>
        </w:rPr>
        <w:t>Gastroenterol Nurs</w:t>
      </w:r>
      <w:r w:rsidRPr="00F448FE">
        <w:rPr>
          <w:rFonts w:ascii="Book Antiqua" w:hAnsi="Book Antiqua"/>
          <w:noProof/>
          <w:lang w:val="en-US"/>
        </w:rPr>
        <w:t xml:space="preserve"> 1994; </w:t>
      </w:r>
      <w:r w:rsidRPr="00F448FE">
        <w:rPr>
          <w:rFonts w:ascii="Book Antiqua" w:hAnsi="Book Antiqua"/>
          <w:b/>
          <w:bCs/>
          <w:noProof/>
          <w:lang w:val="en-US"/>
        </w:rPr>
        <w:t>16</w:t>
      </w:r>
      <w:r w:rsidRPr="00F448FE">
        <w:rPr>
          <w:rFonts w:ascii="Book Antiqua" w:hAnsi="Book Antiqua"/>
          <w:noProof/>
          <w:lang w:val="en-US"/>
        </w:rPr>
        <w:t>: 253-258 [PMID: 8075160 DOI: 10.1097/00001610-199406000-00004]</w:t>
      </w:r>
    </w:p>
    <w:p w14:paraId="3FEBB21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28 </w:t>
      </w:r>
      <w:r w:rsidRPr="00F448FE">
        <w:rPr>
          <w:rFonts w:ascii="Book Antiqua" w:hAnsi="Book Antiqua"/>
          <w:b/>
          <w:bCs/>
          <w:noProof/>
          <w:lang w:val="en-US"/>
        </w:rPr>
        <w:t>Saito YA</w:t>
      </w:r>
      <w:r w:rsidRPr="00F448FE">
        <w:rPr>
          <w:rFonts w:ascii="Book Antiqua" w:hAnsi="Book Antiqua"/>
          <w:noProof/>
          <w:lang w:val="en-US"/>
        </w:rPr>
        <w:t xml:space="preserve">, Locke GR 3rd, Weaver AL, Zinsmeister AR, Talley NJ. Diet and functional gastrointestinal disorders: a population-based case-control study. </w:t>
      </w:r>
      <w:r w:rsidRPr="00F448FE">
        <w:rPr>
          <w:rFonts w:ascii="Book Antiqua" w:hAnsi="Book Antiqua"/>
          <w:i/>
          <w:iCs/>
          <w:noProof/>
          <w:lang w:val="en-US"/>
        </w:rPr>
        <w:t>Am J Gastroenterol</w:t>
      </w:r>
      <w:r w:rsidRPr="00F448FE">
        <w:rPr>
          <w:rFonts w:ascii="Book Antiqua" w:hAnsi="Book Antiqua"/>
          <w:noProof/>
          <w:lang w:val="en-US"/>
        </w:rPr>
        <w:t xml:space="preserve"> 2005; </w:t>
      </w:r>
      <w:r w:rsidRPr="00F448FE">
        <w:rPr>
          <w:rFonts w:ascii="Book Antiqua" w:hAnsi="Book Antiqua"/>
          <w:b/>
          <w:bCs/>
          <w:noProof/>
          <w:lang w:val="en-US"/>
        </w:rPr>
        <w:t>100</w:t>
      </w:r>
      <w:r w:rsidRPr="00F448FE">
        <w:rPr>
          <w:rFonts w:ascii="Book Antiqua" w:hAnsi="Book Antiqua"/>
          <w:noProof/>
          <w:lang w:val="en-US"/>
        </w:rPr>
        <w:t>: 2743-2748 [PMID: 16393229 DOI: 10.1111/j.1572-0241.2005.00288.x]</w:t>
      </w:r>
    </w:p>
    <w:p w14:paraId="501B1017"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29 </w:t>
      </w:r>
      <w:r w:rsidRPr="00F448FE">
        <w:rPr>
          <w:rFonts w:ascii="Book Antiqua" w:hAnsi="Book Antiqua"/>
          <w:b/>
          <w:bCs/>
          <w:noProof/>
          <w:lang w:val="en-US"/>
        </w:rPr>
        <w:t>El-Salhy M</w:t>
      </w:r>
      <w:r w:rsidRPr="00F448FE">
        <w:rPr>
          <w:rFonts w:ascii="Book Antiqua" w:hAnsi="Book Antiqua"/>
          <w:noProof/>
          <w:lang w:val="en-US"/>
        </w:rPr>
        <w:t xml:space="preserve">, Gundersen D. Diet in irritable bowel syndrome. </w:t>
      </w:r>
      <w:r w:rsidRPr="00F448FE">
        <w:rPr>
          <w:rFonts w:ascii="Book Antiqua" w:hAnsi="Book Antiqua"/>
          <w:i/>
          <w:iCs/>
          <w:noProof/>
          <w:lang w:val="en-US"/>
        </w:rPr>
        <w:t>Nutr J</w:t>
      </w:r>
      <w:r w:rsidRPr="00F448FE">
        <w:rPr>
          <w:rFonts w:ascii="Book Antiqua" w:hAnsi="Book Antiqua"/>
          <w:noProof/>
          <w:lang w:val="en-US"/>
        </w:rPr>
        <w:t xml:space="preserve"> 2015; </w:t>
      </w:r>
      <w:r w:rsidRPr="00F448FE">
        <w:rPr>
          <w:rFonts w:ascii="Book Antiqua" w:hAnsi="Book Antiqua"/>
          <w:b/>
          <w:bCs/>
          <w:noProof/>
          <w:lang w:val="en-US"/>
        </w:rPr>
        <w:t>14</w:t>
      </w:r>
      <w:r w:rsidRPr="00F448FE">
        <w:rPr>
          <w:rFonts w:ascii="Book Antiqua" w:hAnsi="Book Antiqua"/>
          <w:noProof/>
          <w:lang w:val="en-US"/>
        </w:rPr>
        <w:t>: 36 [PMID: 25880820 DOI: 10.1186/s12937-015-0022-3]</w:t>
      </w:r>
    </w:p>
    <w:p w14:paraId="39451AFF"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30 </w:t>
      </w:r>
      <w:r w:rsidRPr="00F448FE">
        <w:rPr>
          <w:rFonts w:ascii="Book Antiqua" w:hAnsi="Book Antiqua"/>
          <w:b/>
          <w:bCs/>
          <w:noProof/>
          <w:lang w:val="en-US"/>
        </w:rPr>
        <w:t>El-Salhy M</w:t>
      </w:r>
      <w:r w:rsidRPr="00F448FE">
        <w:rPr>
          <w:rFonts w:ascii="Book Antiqua" w:hAnsi="Book Antiqua"/>
          <w:noProof/>
          <w:lang w:val="en-US"/>
        </w:rPr>
        <w:t xml:space="preserve">, Hatlebakk JG, Gilja OH, Hausken T. The relation between celiac disease, nonceliac gluten sensitivity and irritable bowel syndrome. </w:t>
      </w:r>
      <w:r w:rsidRPr="00F448FE">
        <w:rPr>
          <w:rFonts w:ascii="Book Antiqua" w:hAnsi="Book Antiqua"/>
          <w:i/>
          <w:iCs/>
          <w:noProof/>
          <w:lang w:val="en-US"/>
        </w:rPr>
        <w:t>Nutr J</w:t>
      </w:r>
      <w:r w:rsidRPr="00F448FE">
        <w:rPr>
          <w:rFonts w:ascii="Book Antiqua" w:hAnsi="Book Antiqua"/>
          <w:noProof/>
          <w:lang w:val="en-US"/>
        </w:rPr>
        <w:t xml:space="preserve"> 2015; </w:t>
      </w:r>
      <w:r w:rsidRPr="00F448FE">
        <w:rPr>
          <w:rFonts w:ascii="Book Antiqua" w:hAnsi="Book Antiqua"/>
          <w:b/>
          <w:bCs/>
          <w:noProof/>
          <w:lang w:val="en-US"/>
        </w:rPr>
        <w:t>14</w:t>
      </w:r>
      <w:r w:rsidRPr="00F448FE">
        <w:rPr>
          <w:rFonts w:ascii="Book Antiqua" w:hAnsi="Book Antiqua"/>
          <w:noProof/>
          <w:lang w:val="en-US"/>
        </w:rPr>
        <w:t>: 92 [PMID: 26345589 DOI: 10.1186/s12937-015-0080-6]</w:t>
      </w:r>
    </w:p>
    <w:p w14:paraId="2B297DE8"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31 </w:t>
      </w:r>
      <w:r w:rsidRPr="00F448FE">
        <w:rPr>
          <w:rFonts w:ascii="Book Antiqua" w:hAnsi="Book Antiqua"/>
          <w:b/>
          <w:bCs/>
          <w:noProof/>
          <w:lang w:val="en-US"/>
        </w:rPr>
        <w:t>El-Salhy M</w:t>
      </w:r>
      <w:r w:rsidRPr="00F448FE">
        <w:rPr>
          <w:rFonts w:ascii="Book Antiqua" w:hAnsi="Book Antiqua"/>
          <w:noProof/>
          <w:lang w:val="en-US"/>
        </w:rPr>
        <w:t>, Gundersen D, Hatlebakk JG, Hausken T. Diet and irritable bowel syndrome, with a focus on appetite-regulating hormones. In: Watson RR. Nutrition in the prevention and treatment of abdominal obesity. San Diego: Elsevier, 2014: 5-16</w:t>
      </w:r>
    </w:p>
    <w:p w14:paraId="71CFFBE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32 </w:t>
      </w:r>
      <w:r w:rsidRPr="00F448FE">
        <w:rPr>
          <w:rFonts w:ascii="Book Antiqua" w:hAnsi="Book Antiqua"/>
          <w:b/>
          <w:bCs/>
          <w:noProof/>
          <w:lang w:val="en-US"/>
        </w:rPr>
        <w:t>El-Salhy M</w:t>
      </w:r>
      <w:r w:rsidRPr="00F448FE">
        <w:rPr>
          <w:rFonts w:ascii="Book Antiqua" w:hAnsi="Book Antiqua"/>
          <w:noProof/>
          <w:lang w:val="en-US"/>
        </w:rPr>
        <w:t xml:space="preserve">. Diet in the pathophysiology and management of irritable bowel syndrome. </w:t>
      </w:r>
      <w:r w:rsidRPr="00F448FE">
        <w:rPr>
          <w:rFonts w:ascii="Book Antiqua" w:hAnsi="Book Antiqua"/>
          <w:i/>
          <w:iCs/>
          <w:noProof/>
          <w:lang w:val="en-US"/>
        </w:rPr>
        <w:t>Cleve Clin J Med</w:t>
      </w:r>
      <w:r w:rsidRPr="00F448FE">
        <w:rPr>
          <w:rFonts w:ascii="Book Antiqua" w:hAnsi="Book Antiqua"/>
          <w:noProof/>
          <w:lang w:val="en-US"/>
        </w:rPr>
        <w:t xml:space="preserve"> 2016; </w:t>
      </w:r>
      <w:r w:rsidRPr="00F448FE">
        <w:rPr>
          <w:rFonts w:ascii="Book Antiqua" w:hAnsi="Book Antiqua"/>
          <w:b/>
          <w:bCs/>
          <w:noProof/>
          <w:lang w:val="en-US"/>
        </w:rPr>
        <w:t>83</w:t>
      </w:r>
      <w:r w:rsidRPr="00F448FE">
        <w:rPr>
          <w:rFonts w:ascii="Book Antiqua" w:hAnsi="Book Antiqua"/>
          <w:noProof/>
          <w:lang w:val="en-US"/>
        </w:rPr>
        <w:t>: 663-664 [PMID: 27618354 DOI: 10.3949/ccjm.83a.16019]</w:t>
      </w:r>
    </w:p>
    <w:p w14:paraId="52FED555"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33 </w:t>
      </w:r>
      <w:r w:rsidRPr="00F448FE">
        <w:rPr>
          <w:rFonts w:ascii="Book Antiqua" w:hAnsi="Book Antiqua"/>
          <w:b/>
          <w:bCs/>
          <w:noProof/>
          <w:lang w:val="en-US"/>
        </w:rPr>
        <w:t>Dionne J</w:t>
      </w:r>
      <w:r w:rsidRPr="00F448FE">
        <w:rPr>
          <w:rFonts w:ascii="Book Antiqua" w:hAnsi="Book Antiqua"/>
          <w:noProof/>
          <w:lang w:val="en-US"/>
        </w:rPr>
        <w:t xml:space="preserve">, Ford AC, Yuan Y, Chey WD, Lacy BE, Saito YA, Quigley EMM, Moayyedi P. A Systematic Review and Meta-Analysis Evaluating the Efficacy of a Gluten-Free Diet and a Low FODMAPs Diet in Treating Symptoms of Irritable Bowel Syndrome. </w:t>
      </w:r>
      <w:r w:rsidRPr="00F448FE">
        <w:rPr>
          <w:rFonts w:ascii="Book Antiqua" w:hAnsi="Book Antiqua"/>
          <w:i/>
          <w:iCs/>
          <w:noProof/>
          <w:lang w:val="en-US"/>
        </w:rPr>
        <w:t>Am J Gastroenterol</w:t>
      </w:r>
      <w:r w:rsidRPr="00F448FE">
        <w:rPr>
          <w:rFonts w:ascii="Book Antiqua" w:hAnsi="Book Antiqua"/>
          <w:noProof/>
          <w:lang w:val="en-US"/>
        </w:rPr>
        <w:t xml:space="preserve"> 2018; </w:t>
      </w:r>
      <w:r w:rsidRPr="00F448FE">
        <w:rPr>
          <w:rFonts w:ascii="Book Antiqua" w:hAnsi="Book Antiqua"/>
          <w:b/>
          <w:bCs/>
          <w:noProof/>
          <w:lang w:val="en-US"/>
        </w:rPr>
        <w:t>113</w:t>
      </w:r>
      <w:r w:rsidRPr="00F448FE">
        <w:rPr>
          <w:rFonts w:ascii="Book Antiqua" w:hAnsi="Book Antiqua"/>
          <w:noProof/>
          <w:lang w:val="en-US"/>
        </w:rPr>
        <w:t>: 1290-1300 [PMID: 30046155 DOI: 10.1038/s41395-018-0195-4]</w:t>
      </w:r>
    </w:p>
    <w:p w14:paraId="154AFB9E"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34 </w:t>
      </w:r>
      <w:r w:rsidRPr="00F448FE">
        <w:rPr>
          <w:rFonts w:ascii="Book Antiqua" w:hAnsi="Book Antiqua"/>
          <w:b/>
          <w:bCs/>
          <w:noProof/>
          <w:lang w:val="en-US"/>
        </w:rPr>
        <w:t>Ellis A</w:t>
      </w:r>
      <w:r w:rsidRPr="00F448FE">
        <w:rPr>
          <w:rFonts w:ascii="Book Antiqua" w:hAnsi="Book Antiqua"/>
          <w:noProof/>
          <w:lang w:val="en-US"/>
        </w:rPr>
        <w:t xml:space="preserve">, Linaker BD. Non-coeliac gluten sensitivity? </w:t>
      </w:r>
      <w:r w:rsidRPr="00F448FE">
        <w:rPr>
          <w:rFonts w:ascii="Book Antiqua" w:hAnsi="Book Antiqua"/>
          <w:i/>
          <w:iCs/>
          <w:noProof/>
          <w:lang w:val="en-US"/>
        </w:rPr>
        <w:t>Lancet</w:t>
      </w:r>
      <w:r w:rsidRPr="00F448FE">
        <w:rPr>
          <w:rFonts w:ascii="Book Antiqua" w:hAnsi="Book Antiqua"/>
          <w:noProof/>
          <w:lang w:val="en-US"/>
        </w:rPr>
        <w:t xml:space="preserve"> 1978; </w:t>
      </w:r>
      <w:r w:rsidRPr="00F448FE">
        <w:rPr>
          <w:rFonts w:ascii="Book Antiqua" w:hAnsi="Book Antiqua"/>
          <w:b/>
          <w:bCs/>
          <w:noProof/>
          <w:lang w:val="en-US"/>
        </w:rPr>
        <w:t>1</w:t>
      </w:r>
      <w:r w:rsidRPr="00F448FE">
        <w:rPr>
          <w:rFonts w:ascii="Book Antiqua" w:hAnsi="Book Antiqua"/>
          <w:noProof/>
          <w:lang w:val="en-US"/>
        </w:rPr>
        <w:t>: 1358-1359 [PMID: 78118 DOI: 10.1016/s0140-6736(78)92427-3]</w:t>
      </w:r>
    </w:p>
    <w:p w14:paraId="78A398CA"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35 </w:t>
      </w:r>
      <w:r w:rsidRPr="00F448FE">
        <w:rPr>
          <w:rFonts w:ascii="Book Antiqua" w:hAnsi="Book Antiqua"/>
          <w:b/>
          <w:bCs/>
          <w:noProof/>
          <w:lang w:val="en-US"/>
        </w:rPr>
        <w:t>Boettcher E</w:t>
      </w:r>
      <w:r w:rsidRPr="00F448FE">
        <w:rPr>
          <w:rFonts w:ascii="Book Antiqua" w:hAnsi="Book Antiqua"/>
          <w:noProof/>
          <w:lang w:val="en-US"/>
        </w:rPr>
        <w:t xml:space="preserve">, Crowe SE. Dietary proteins and functional gastrointestinal disorders. </w:t>
      </w:r>
      <w:r w:rsidRPr="00F448FE">
        <w:rPr>
          <w:rFonts w:ascii="Book Antiqua" w:hAnsi="Book Antiqua"/>
          <w:i/>
          <w:iCs/>
          <w:noProof/>
          <w:lang w:val="en-US"/>
        </w:rPr>
        <w:t>Am J Gastroenterol</w:t>
      </w:r>
      <w:r w:rsidRPr="00F448FE">
        <w:rPr>
          <w:rFonts w:ascii="Book Antiqua" w:hAnsi="Book Antiqua"/>
          <w:noProof/>
          <w:lang w:val="en-US"/>
        </w:rPr>
        <w:t xml:space="preserve"> 2013; </w:t>
      </w:r>
      <w:r w:rsidRPr="00F448FE">
        <w:rPr>
          <w:rFonts w:ascii="Book Antiqua" w:hAnsi="Book Antiqua"/>
          <w:b/>
          <w:bCs/>
          <w:noProof/>
          <w:lang w:val="en-US"/>
        </w:rPr>
        <w:t>108</w:t>
      </w:r>
      <w:r w:rsidRPr="00F448FE">
        <w:rPr>
          <w:rFonts w:ascii="Book Antiqua" w:hAnsi="Book Antiqua"/>
          <w:noProof/>
          <w:lang w:val="en-US"/>
        </w:rPr>
        <w:t>: 728-736 [PMID: 23567359 DOI: 10.1038/ajg.2013.97]</w:t>
      </w:r>
    </w:p>
    <w:p w14:paraId="372966A8"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36 </w:t>
      </w:r>
      <w:r w:rsidRPr="00F448FE">
        <w:rPr>
          <w:rFonts w:ascii="Book Antiqua" w:hAnsi="Book Antiqua"/>
          <w:b/>
          <w:bCs/>
          <w:noProof/>
          <w:lang w:val="en-US"/>
        </w:rPr>
        <w:t>Sapone A</w:t>
      </w:r>
      <w:r w:rsidRPr="00F448FE">
        <w:rPr>
          <w:rFonts w:ascii="Book Antiqua" w:hAnsi="Book Antiqua"/>
          <w:noProof/>
          <w:lang w:val="en-US"/>
        </w:rPr>
        <w:t xml:space="preserve">, Bai JC, Ciacci C, Dolinsek J, Green PH, Hadjivassiliou M, Kaukinen K, Rostami K, Sanders DS, Schumann M, Ullrich R, Villalta D, Volta U, Catassi C, Fasano A. Spectrum of gluten-related disorders: consensus on new nomenclature </w:t>
      </w:r>
      <w:r w:rsidRPr="00F448FE">
        <w:rPr>
          <w:rFonts w:ascii="Book Antiqua" w:hAnsi="Book Antiqua"/>
          <w:noProof/>
          <w:lang w:val="en-US"/>
        </w:rPr>
        <w:lastRenderedPageBreak/>
        <w:t xml:space="preserve">and classification. </w:t>
      </w:r>
      <w:r w:rsidRPr="00F448FE">
        <w:rPr>
          <w:rFonts w:ascii="Book Antiqua" w:hAnsi="Book Antiqua"/>
          <w:i/>
          <w:iCs/>
          <w:noProof/>
          <w:lang w:val="en-US"/>
        </w:rPr>
        <w:t>BMC Med</w:t>
      </w:r>
      <w:r w:rsidRPr="00F448FE">
        <w:rPr>
          <w:rFonts w:ascii="Book Antiqua" w:hAnsi="Book Antiqua"/>
          <w:noProof/>
          <w:lang w:val="en-US"/>
        </w:rPr>
        <w:t xml:space="preserve"> 2012; </w:t>
      </w:r>
      <w:r w:rsidRPr="00F448FE">
        <w:rPr>
          <w:rFonts w:ascii="Book Antiqua" w:hAnsi="Book Antiqua"/>
          <w:b/>
          <w:bCs/>
          <w:noProof/>
          <w:lang w:val="en-US"/>
        </w:rPr>
        <w:t>10</w:t>
      </w:r>
      <w:r w:rsidRPr="00F448FE">
        <w:rPr>
          <w:rFonts w:ascii="Book Antiqua" w:hAnsi="Book Antiqua"/>
          <w:noProof/>
          <w:lang w:val="en-US"/>
        </w:rPr>
        <w:t>: 13 [PMID: 22313950 DOI: 10.1186/1741-7015-10-13]</w:t>
      </w:r>
    </w:p>
    <w:p w14:paraId="4A541CD0"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37 </w:t>
      </w:r>
      <w:r w:rsidRPr="00F448FE">
        <w:rPr>
          <w:rFonts w:ascii="Book Antiqua" w:hAnsi="Book Antiqua"/>
          <w:b/>
          <w:bCs/>
          <w:noProof/>
          <w:lang w:val="en-US"/>
        </w:rPr>
        <w:t>Campanella J</w:t>
      </w:r>
      <w:r w:rsidRPr="00F448FE">
        <w:rPr>
          <w:rFonts w:ascii="Book Antiqua" w:hAnsi="Book Antiqua"/>
          <w:noProof/>
          <w:lang w:val="en-US"/>
        </w:rPr>
        <w:t xml:space="preserve">, Biagi F, Bianchi PI, Zanellati G, Marchese A, Corazza GR. Clinical response to gluten withdrawal is not an indicator of coeliac disease. </w:t>
      </w:r>
      <w:r w:rsidRPr="00F448FE">
        <w:rPr>
          <w:rFonts w:ascii="Book Antiqua" w:hAnsi="Book Antiqua"/>
          <w:i/>
          <w:iCs/>
          <w:noProof/>
          <w:lang w:val="en-US"/>
        </w:rPr>
        <w:t>Scand J Gastroenterol</w:t>
      </w:r>
      <w:r w:rsidRPr="00F448FE">
        <w:rPr>
          <w:rFonts w:ascii="Book Antiqua" w:hAnsi="Book Antiqua"/>
          <w:noProof/>
          <w:lang w:val="en-US"/>
        </w:rPr>
        <w:t xml:space="preserve"> 2008; </w:t>
      </w:r>
      <w:r w:rsidRPr="00F448FE">
        <w:rPr>
          <w:rFonts w:ascii="Book Antiqua" w:hAnsi="Book Antiqua"/>
          <w:b/>
          <w:bCs/>
          <w:noProof/>
          <w:lang w:val="en-US"/>
        </w:rPr>
        <w:t>43</w:t>
      </w:r>
      <w:r w:rsidRPr="00F448FE">
        <w:rPr>
          <w:rFonts w:ascii="Book Antiqua" w:hAnsi="Book Antiqua"/>
          <w:noProof/>
          <w:lang w:val="en-US"/>
        </w:rPr>
        <w:t>: 1311-1314 [PMID: 18609173 DOI: 10.1080/00365520802200036]</w:t>
      </w:r>
    </w:p>
    <w:p w14:paraId="17E232FA"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38 </w:t>
      </w:r>
      <w:r w:rsidRPr="00F448FE">
        <w:rPr>
          <w:rFonts w:ascii="Book Antiqua" w:hAnsi="Book Antiqua"/>
          <w:b/>
          <w:bCs/>
          <w:noProof/>
          <w:lang w:val="en-US"/>
        </w:rPr>
        <w:t>Vazquez-Roque MI</w:t>
      </w:r>
      <w:r w:rsidRPr="00F448FE">
        <w:rPr>
          <w:rFonts w:ascii="Book Antiqua" w:hAnsi="Book Antiqua"/>
          <w:noProof/>
          <w:lang w:val="en-US"/>
        </w:rPr>
        <w:t xml:space="preserve">, Camilleri M, Smyrk T, Murray JA, Marietta E, O'Neill J, Carlson P, Lamsam J, Janzow D, Eckert D, Burton D, Zinsmeister AR. A controlled trial of gluten-free diet in patients with irritable bowel syndrome-diarrhea: effects on bowel frequency and intestinal function. </w:t>
      </w:r>
      <w:r w:rsidRPr="00F448FE">
        <w:rPr>
          <w:rFonts w:ascii="Book Antiqua" w:hAnsi="Book Antiqua"/>
          <w:i/>
          <w:iCs/>
          <w:noProof/>
          <w:lang w:val="en-US"/>
        </w:rPr>
        <w:t>Gastroenterology</w:t>
      </w:r>
      <w:r w:rsidRPr="00F448FE">
        <w:rPr>
          <w:rFonts w:ascii="Book Antiqua" w:hAnsi="Book Antiqua"/>
          <w:noProof/>
          <w:lang w:val="en-US"/>
        </w:rPr>
        <w:t xml:space="preserve"> 2013; </w:t>
      </w:r>
      <w:r w:rsidRPr="00F448FE">
        <w:rPr>
          <w:rFonts w:ascii="Book Antiqua" w:hAnsi="Book Antiqua"/>
          <w:b/>
          <w:bCs/>
          <w:noProof/>
          <w:lang w:val="en-US"/>
        </w:rPr>
        <w:t>144</w:t>
      </w:r>
      <w:r w:rsidRPr="00F448FE">
        <w:rPr>
          <w:rFonts w:ascii="Book Antiqua" w:hAnsi="Book Antiqua"/>
          <w:noProof/>
          <w:lang w:val="en-US"/>
        </w:rPr>
        <w:t>: 903-911.e3 [PMID: 23357715 DOI: 10.1053/j.gastro.2013.01.049]</w:t>
      </w:r>
    </w:p>
    <w:p w14:paraId="5BCA6B5F"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39 </w:t>
      </w:r>
      <w:r w:rsidRPr="00F448FE">
        <w:rPr>
          <w:rFonts w:ascii="Book Antiqua" w:hAnsi="Book Antiqua"/>
          <w:b/>
          <w:bCs/>
          <w:noProof/>
          <w:lang w:val="en-US"/>
        </w:rPr>
        <w:t>Kaukinen K</w:t>
      </w:r>
      <w:r w:rsidRPr="00F448FE">
        <w:rPr>
          <w:rFonts w:ascii="Book Antiqua" w:hAnsi="Book Antiqua"/>
          <w:noProof/>
          <w:lang w:val="en-US"/>
        </w:rPr>
        <w:t xml:space="preserve">, Turjanmaa K, Mäki M, Partanen J, Venäläinen R, Reunala T, Collin P. Intolerance to cereals is not specific for coeliac disease. </w:t>
      </w:r>
      <w:r w:rsidRPr="00F448FE">
        <w:rPr>
          <w:rFonts w:ascii="Book Antiqua" w:hAnsi="Book Antiqua"/>
          <w:i/>
          <w:iCs/>
          <w:noProof/>
          <w:lang w:val="en-US"/>
        </w:rPr>
        <w:t>Scand J Gastroenterol</w:t>
      </w:r>
      <w:r w:rsidRPr="00F448FE">
        <w:rPr>
          <w:rFonts w:ascii="Book Antiqua" w:hAnsi="Book Antiqua"/>
          <w:noProof/>
          <w:lang w:val="en-US"/>
        </w:rPr>
        <w:t xml:space="preserve"> 2000; </w:t>
      </w:r>
      <w:r w:rsidRPr="00F448FE">
        <w:rPr>
          <w:rFonts w:ascii="Book Antiqua" w:hAnsi="Book Antiqua"/>
          <w:b/>
          <w:bCs/>
          <w:noProof/>
          <w:lang w:val="en-US"/>
        </w:rPr>
        <w:t>35</w:t>
      </w:r>
      <w:r w:rsidRPr="00F448FE">
        <w:rPr>
          <w:rFonts w:ascii="Book Antiqua" w:hAnsi="Book Antiqua"/>
          <w:noProof/>
          <w:lang w:val="en-US"/>
        </w:rPr>
        <w:t>: 942-946 [PMID: 11063153 DOI: 10.1080/003655200750022995]</w:t>
      </w:r>
    </w:p>
    <w:p w14:paraId="7F861172" w14:textId="0F0C4BE4"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40 </w:t>
      </w:r>
      <w:r w:rsidRPr="00F448FE">
        <w:rPr>
          <w:rFonts w:ascii="Book Antiqua" w:hAnsi="Book Antiqua"/>
          <w:b/>
          <w:bCs/>
          <w:noProof/>
          <w:lang w:val="en-US"/>
        </w:rPr>
        <w:t>Carroccio A</w:t>
      </w:r>
      <w:r w:rsidRPr="00F448FE">
        <w:rPr>
          <w:rFonts w:ascii="Book Antiqua" w:hAnsi="Book Antiqua"/>
          <w:noProof/>
          <w:lang w:val="en-US"/>
        </w:rPr>
        <w:t xml:space="preserve">, Mansueto P, Iacono G, Soresi M, D'Alcamo A, Cavataio F, Brusca I, Florena AM, Ambrosiano G, Seidita A, Pirrone G, Rini GB. Non-celiac wheat sensitivity diagnosed by double-blind placebo-controlled challenge: exploring a new clinical entity. </w:t>
      </w:r>
      <w:r w:rsidRPr="00F448FE">
        <w:rPr>
          <w:rFonts w:ascii="Book Antiqua" w:hAnsi="Book Antiqua"/>
          <w:i/>
          <w:iCs/>
          <w:noProof/>
          <w:lang w:val="en-US"/>
        </w:rPr>
        <w:t>Am J Gastroenterol</w:t>
      </w:r>
      <w:r w:rsidRPr="00F448FE">
        <w:rPr>
          <w:rFonts w:ascii="Book Antiqua" w:hAnsi="Book Antiqua"/>
          <w:noProof/>
          <w:lang w:val="en-US"/>
        </w:rPr>
        <w:t xml:space="preserve"> 2012; </w:t>
      </w:r>
      <w:r w:rsidRPr="00F448FE">
        <w:rPr>
          <w:rFonts w:ascii="Book Antiqua" w:hAnsi="Book Antiqua"/>
          <w:b/>
          <w:bCs/>
          <w:noProof/>
          <w:lang w:val="en-US"/>
        </w:rPr>
        <w:t>107</w:t>
      </w:r>
      <w:r w:rsidRPr="00F448FE">
        <w:rPr>
          <w:rFonts w:ascii="Book Antiqua" w:hAnsi="Book Antiqua"/>
          <w:noProof/>
          <w:lang w:val="en-US"/>
        </w:rPr>
        <w:t>: 1898-</w:t>
      </w:r>
      <w:r w:rsidR="00F60F02" w:rsidRPr="00F448FE">
        <w:rPr>
          <w:rFonts w:ascii="Book Antiqua" w:hAnsi="Book Antiqua"/>
          <w:noProof/>
          <w:lang w:val="en-US"/>
        </w:rPr>
        <w:t>1</w:t>
      </w:r>
      <w:r w:rsidRPr="00F448FE">
        <w:rPr>
          <w:rFonts w:ascii="Book Antiqua" w:hAnsi="Book Antiqua"/>
          <w:noProof/>
          <w:lang w:val="en-US"/>
        </w:rPr>
        <w:t>906 [PMID: 22825366 DOI: 10.1038/ajg.2012.236]</w:t>
      </w:r>
    </w:p>
    <w:p w14:paraId="55583EDE" w14:textId="1515447A"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41 </w:t>
      </w:r>
      <w:r w:rsidRPr="00F448FE">
        <w:rPr>
          <w:rFonts w:ascii="Book Antiqua" w:hAnsi="Book Antiqua"/>
          <w:b/>
          <w:bCs/>
          <w:noProof/>
          <w:lang w:val="en-US"/>
        </w:rPr>
        <w:t>Biesiekierski JR</w:t>
      </w:r>
      <w:r w:rsidRPr="00F448FE">
        <w:rPr>
          <w:rFonts w:ascii="Book Antiqua" w:hAnsi="Book Antiqua"/>
          <w:noProof/>
          <w:lang w:val="en-US"/>
        </w:rPr>
        <w:t xml:space="preserve">, Newnham ED, Irving PM, Barrett JS, Haines M, Doecke JD, Shepherd SJ, Muir JG, Gibson PR. Gluten causes gastrointestinal symptoms in subjects without celiac disease: a double-blind randomized placebo-controlled trial. </w:t>
      </w:r>
      <w:r w:rsidRPr="00F448FE">
        <w:rPr>
          <w:rFonts w:ascii="Book Antiqua" w:hAnsi="Book Antiqua"/>
          <w:i/>
          <w:iCs/>
          <w:noProof/>
          <w:lang w:val="en-US"/>
        </w:rPr>
        <w:t>Am J Gastroenterol</w:t>
      </w:r>
      <w:r w:rsidRPr="00F448FE">
        <w:rPr>
          <w:rFonts w:ascii="Book Antiqua" w:hAnsi="Book Antiqua"/>
          <w:noProof/>
          <w:lang w:val="en-US"/>
        </w:rPr>
        <w:t xml:space="preserve"> 2011; </w:t>
      </w:r>
      <w:r w:rsidRPr="00F448FE">
        <w:rPr>
          <w:rFonts w:ascii="Book Antiqua" w:hAnsi="Book Antiqua"/>
          <w:b/>
          <w:bCs/>
          <w:noProof/>
          <w:lang w:val="en-US"/>
        </w:rPr>
        <w:t>106</w:t>
      </w:r>
      <w:r w:rsidRPr="00F448FE">
        <w:rPr>
          <w:rFonts w:ascii="Book Antiqua" w:hAnsi="Book Antiqua"/>
          <w:noProof/>
          <w:lang w:val="en-US"/>
        </w:rPr>
        <w:t>: 508-</w:t>
      </w:r>
      <w:r w:rsidR="00EA217C" w:rsidRPr="00F448FE">
        <w:rPr>
          <w:rFonts w:ascii="Book Antiqua" w:hAnsi="Book Antiqua"/>
          <w:noProof/>
          <w:lang w:val="en-US"/>
        </w:rPr>
        <w:t>5</w:t>
      </w:r>
      <w:r w:rsidRPr="00F448FE">
        <w:rPr>
          <w:rFonts w:ascii="Book Antiqua" w:hAnsi="Book Antiqua"/>
          <w:noProof/>
          <w:lang w:val="en-US"/>
        </w:rPr>
        <w:t>14 [PMID: 21224837 DOI: 10.1038/ajg.2010.487]</w:t>
      </w:r>
    </w:p>
    <w:p w14:paraId="3570BF9D" w14:textId="77777777" w:rsidR="00C53805" w:rsidRPr="00F448FE" w:rsidRDefault="00C53805" w:rsidP="000D04E0">
      <w:pPr>
        <w:pStyle w:val="EndNoteBibliography"/>
        <w:adjustRightInd w:val="0"/>
        <w:snapToGrid w:val="0"/>
        <w:jc w:val="both"/>
        <w:rPr>
          <w:rFonts w:ascii="Book Antiqua" w:hAnsi="Book Antiqua"/>
          <w:noProof/>
          <w:lang w:val="nb-NO"/>
        </w:rPr>
      </w:pPr>
      <w:r w:rsidRPr="00F448FE">
        <w:rPr>
          <w:rFonts w:ascii="Book Antiqua" w:hAnsi="Book Antiqua"/>
          <w:noProof/>
          <w:lang w:val="en-US"/>
        </w:rPr>
        <w:t xml:space="preserve">42 </w:t>
      </w:r>
      <w:r w:rsidRPr="00F448FE">
        <w:rPr>
          <w:rFonts w:ascii="Book Antiqua" w:hAnsi="Book Antiqua"/>
          <w:b/>
          <w:bCs/>
          <w:noProof/>
          <w:lang w:val="en-US"/>
        </w:rPr>
        <w:t>Shahbazkhani B</w:t>
      </w:r>
      <w:r w:rsidRPr="00F448FE">
        <w:rPr>
          <w:rFonts w:ascii="Book Antiqua" w:hAnsi="Book Antiqua"/>
          <w:noProof/>
          <w:lang w:val="en-US"/>
        </w:rPr>
        <w:t xml:space="preserve">, Sadeghi A, Malekzadeh R, Khatavi F, Etemadi M, Kalantri E, Rostami-Nejad M, Rostami K. Non-Celiac Gluten Sensitivity Has Narrowed the Spectrum of Irritable Bowel Syndrome: A Double-Blind Randomized Placebo-Controlled Trial. </w:t>
      </w:r>
      <w:r w:rsidRPr="00F448FE">
        <w:rPr>
          <w:rFonts w:ascii="Book Antiqua" w:hAnsi="Book Antiqua"/>
          <w:i/>
          <w:iCs/>
          <w:noProof/>
          <w:lang w:val="nb-NO"/>
        </w:rPr>
        <w:t>Nutrients</w:t>
      </w:r>
      <w:r w:rsidRPr="00F448FE">
        <w:rPr>
          <w:rFonts w:ascii="Book Antiqua" w:hAnsi="Book Antiqua"/>
          <w:noProof/>
          <w:lang w:val="nb-NO"/>
        </w:rPr>
        <w:t xml:space="preserve"> 2015; </w:t>
      </w:r>
      <w:r w:rsidRPr="00F448FE">
        <w:rPr>
          <w:rFonts w:ascii="Book Antiqua" w:hAnsi="Book Antiqua"/>
          <w:b/>
          <w:bCs/>
          <w:noProof/>
          <w:lang w:val="nb-NO"/>
        </w:rPr>
        <w:t>7</w:t>
      </w:r>
      <w:r w:rsidRPr="00F448FE">
        <w:rPr>
          <w:rFonts w:ascii="Book Antiqua" w:hAnsi="Book Antiqua"/>
          <w:noProof/>
          <w:lang w:val="nb-NO"/>
        </w:rPr>
        <w:t>: 4542-4554 [PMID: 26056920 DOI: 10.3390/nu7064542]</w:t>
      </w:r>
    </w:p>
    <w:p w14:paraId="4173B244" w14:textId="6BF0CBE4"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nb-NO"/>
        </w:rPr>
        <w:t xml:space="preserve">43 </w:t>
      </w:r>
      <w:r w:rsidRPr="00F448FE">
        <w:rPr>
          <w:rFonts w:ascii="Book Antiqua" w:hAnsi="Book Antiqua"/>
          <w:b/>
          <w:bCs/>
          <w:noProof/>
          <w:lang w:val="nb-NO"/>
        </w:rPr>
        <w:t>Skodje GI</w:t>
      </w:r>
      <w:r w:rsidRPr="00F448FE">
        <w:rPr>
          <w:rFonts w:ascii="Book Antiqua" w:hAnsi="Book Antiqua"/>
          <w:noProof/>
          <w:lang w:val="nb-NO"/>
        </w:rPr>
        <w:t xml:space="preserve">, Sarna VK, Minelle IH, Rolfsen KL, Muir JG, Gibson PR, Veierød MB, Henriksen C, Lundin KEA. </w:t>
      </w:r>
      <w:r w:rsidRPr="00F448FE">
        <w:rPr>
          <w:rFonts w:ascii="Book Antiqua" w:hAnsi="Book Antiqua"/>
          <w:noProof/>
          <w:lang w:val="en-US"/>
        </w:rPr>
        <w:t xml:space="preserve">Fructan, Rather Than Gluten, Induces Symptoms in Patients With Self-Reported Non-Celiac Gluten Sensitivity. </w:t>
      </w:r>
      <w:r w:rsidRPr="00F448FE">
        <w:rPr>
          <w:rFonts w:ascii="Book Antiqua" w:hAnsi="Book Antiqua"/>
          <w:i/>
          <w:iCs/>
          <w:noProof/>
          <w:lang w:val="en-US"/>
        </w:rPr>
        <w:t>Gastroenterology</w:t>
      </w:r>
      <w:r w:rsidRPr="00F448FE">
        <w:rPr>
          <w:rFonts w:ascii="Book Antiqua" w:hAnsi="Book Antiqua"/>
          <w:noProof/>
          <w:lang w:val="en-US"/>
        </w:rPr>
        <w:t xml:space="preserve"> 2018; </w:t>
      </w:r>
      <w:r w:rsidRPr="00F448FE">
        <w:rPr>
          <w:rFonts w:ascii="Book Antiqua" w:hAnsi="Book Antiqua"/>
          <w:b/>
          <w:bCs/>
          <w:noProof/>
          <w:lang w:val="en-US"/>
        </w:rPr>
        <w:t>154</w:t>
      </w:r>
      <w:r w:rsidRPr="00F448FE">
        <w:rPr>
          <w:rFonts w:ascii="Book Antiqua" w:hAnsi="Book Antiqua"/>
          <w:noProof/>
          <w:lang w:val="en-US"/>
        </w:rPr>
        <w:t>: 529-539 [PMID: 29102613 DOI: 10.1053/j.gastro.2017.10.040]</w:t>
      </w:r>
    </w:p>
    <w:p w14:paraId="0E8AB87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44 </w:t>
      </w:r>
      <w:r w:rsidRPr="00F448FE">
        <w:rPr>
          <w:rFonts w:ascii="Book Antiqua" w:hAnsi="Book Antiqua"/>
          <w:b/>
          <w:bCs/>
          <w:noProof/>
          <w:lang w:val="en-US"/>
        </w:rPr>
        <w:t>Thursby E</w:t>
      </w:r>
      <w:r w:rsidRPr="00F448FE">
        <w:rPr>
          <w:rFonts w:ascii="Book Antiqua" w:hAnsi="Book Antiqua"/>
          <w:noProof/>
          <w:lang w:val="en-US"/>
        </w:rPr>
        <w:t xml:space="preserve">, Juge N. Introduction to the human gut microbiota. </w:t>
      </w:r>
      <w:r w:rsidRPr="00F448FE">
        <w:rPr>
          <w:rFonts w:ascii="Book Antiqua" w:hAnsi="Book Antiqua"/>
          <w:i/>
          <w:iCs/>
          <w:noProof/>
          <w:lang w:val="en-US"/>
        </w:rPr>
        <w:t>Biochem J</w:t>
      </w:r>
      <w:r w:rsidRPr="00F448FE">
        <w:rPr>
          <w:rFonts w:ascii="Book Antiqua" w:hAnsi="Book Antiqua"/>
          <w:noProof/>
          <w:lang w:val="en-US"/>
        </w:rPr>
        <w:t xml:space="preserve"> 2017; </w:t>
      </w:r>
      <w:r w:rsidRPr="00F448FE">
        <w:rPr>
          <w:rFonts w:ascii="Book Antiqua" w:hAnsi="Book Antiqua"/>
          <w:b/>
          <w:bCs/>
          <w:noProof/>
          <w:lang w:val="en-US"/>
        </w:rPr>
        <w:t>474</w:t>
      </w:r>
      <w:r w:rsidRPr="00F448FE">
        <w:rPr>
          <w:rFonts w:ascii="Book Antiqua" w:hAnsi="Book Antiqua"/>
          <w:noProof/>
          <w:lang w:val="en-US"/>
        </w:rPr>
        <w:t>: 1823-1836 [PMID: 28512250 DOI: 10.1042/BCJ20160510]</w:t>
      </w:r>
    </w:p>
    <w:p w14:paraId="7AD2837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45 </w:t>
      </w:r>
      <w:r w:rsidRPr="00F448FE">
        <w:rPr>
          <w:rFonts w:ascii="Book Antiqua" w:hAnsi="Book Antiqua"/>
          <w:b/>
          <w:bCs/>
          <w:noProof/>
          <w:lang w:val="en-US"/>
        </w:rPr>
        <w:t>Hugon P</w:t>
      </w:r>
      <w:r w:rsidRPr="00F448FE">
        <w:rPr>
          <w:rFonts w:ascii="Book Antiqua" w:hAnsi="Book Antiqua"/>
          <w:noProof/>
          <w:lang w:val="en-US"/>
        </w:rPr>
        <w:t xml:space="preserve">, Dufour JC, Colson P, Fournier PE, Sallah K, Raoult D. A comprehensive repertoire of prokaryotic species identified in human beings. </w:t>
      </w:r>
      <w:r w:rsidRPr="00F448FE">
        <w:rPr>
          <w:rFonts w:ascii="Book Antiqua" w:hAnsi="Book Antiqua"/>
          <w:i/>
          <w:iCs/>
          <w:noProof/>
          <w:lang w:val="en-US"/>
        </w:rPr>
        <w:t>Lancet Infect Dis</w:t>
      </w:r>
      <w:r w:rsidRPr="00F448FE">
        <w:rPr>
          <w:rFonts w:ascii="Book Antiqua" w:hAnsi="Book Antiqua"/>
          <w:noProof/>
          <w:lang w:val="en-US"/>
        </w:rPr>
        <w:t xml:space="preserve"> 2015; </w:t>
      </w:r>
      <w:r w:rsidRPr="00F448FE">
        <w:rPr>
          <w:rFonts w:ascii="Book Antiqua" w:hAnsi="Book Antiqua"/>
          <w:b/>
          <w:bCs/>
          <w:noProof/>
          <w:lang w:val="en-US"/>
        </w:rPr>
        <w:t>15</w:t>
      </w:r>
      <w:r w:rsidRPr="00F448FE">
        <w:rPr>
          <w:rFonts w:ascii="Book Antiqua" w:hAnsi="Book Antiqua"/>
          <w:noProof/>
          <w:lang w:val="en-US"/>
        </w:rPr>
        <w:t>: 1211-1219 [PMID: 26311042 DOI: 10.1016/S1473-3099(15)00293-5]</w:t>
      </w:r>
    </w:p>
    <w:p w14:paraId="79096F52"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46 </w:t>
      </w:r>
      <w:r w:rsidRPr="00F448FE">
        <w:rPr>
          <w:rFonts w:ascii="Book Antiqua" w:hAnsi="Book Antiqua"/>
          <w:b/>
          <w:bCs/>
          <w:noProof/>
          <w:lang w:val="en-US"/>
        </w:rPr>
        <w:t>Ley RE</w:t>
      </w:r>
      <w:r w:rsidRPr="00F448FE">
        <w:rPr>
          <w:rFonts w:ascii="Book Antiqua" w:hAnsi="Book Antiqua"/>
          <w:noProof/>
          <w:lang w:val="en-US"/>
        </w:rPr>
        <w:t xml:space="preserve">, Hamady M, Lozupone C, Turnbaugh PJ, Ramey RR, Bircher JS, Schlegel ML, Tucker TA, Schrenzel MD, Knight R, Gordon JI. Evolution of mammals and their gut microbes. </w:t>
      </w:r>
      <w:r w:rsidRPr="00F448FE">
        <w:rPr>
          <w:rFonts w:ascii="Book Antiqua" w:hAnsi="Book Antiqua"/>
          <w:i/>
          <w:iCs/>
          <w:noProof/>
          <w:lang w:val="en-US"/>
        </w:rPr>
        <w:t>Science</w:t>
      </w:r>
      <w:r w:rsidRPr="00F448FE">
        <w:rPr>
          <w:rFonts w:ascii="Book Antiqua" w:hAnsi="Book Antiqua"/>
          <w:noProof/>
          <w:lang w:val="en-US"/>
        </w:rPr>
        <w:t xml:space="preserve"> 2008; </w:t>
      </w:r>
      <w:r w:rsidRPr="00F448FE">
        <w:rPr>
          <w:rFonts w:ascii="Book Antiqua" w:hAnsi="Book Antiqua"/>
          <w:b/>
          <w:bCs/>
          <w:noProof/>
          <w:lang w:val="en-US"/>
        </w:rPr>
        <w:t>320</w:t>
      </w:r>
      <w:r w:rsidRPr="00F448FE">
        <w:rPr>
          <w:rFonts w:ascii="Book Antiqua" w:hAnsi="Book Antiqua"/>
          <w:noProof/>
          <w:lang w:val="en-US"/>
        </w:rPr>
        <w:t>: 1647-1651 [PMID: 18497261 DOI: 10.1126/science.1155725]</w:t>
      </w:r>
    </w:p>
    <w:p w14:paraId="7A00A4EE"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47 </w:t>
      </w:r>
      <w:r w:rsidRPr="00F448FE">
        <w:rPr>
          <w:rFonts w:ascii="Book Antiqua" w:hAnsi="Book Antiqua"/>
          <w:b/>
          <w:bCs/>
          <w:noProof/>
          <w:lang w:val="en-US"/>
        </w:rPr>
        <w:t>Kriss M</w:t>
      </w:r>
      <w:r w:rsidRPr="00F448FE">
        <w:rPr>
          <w:rFonts w:ascii="Book Antiqua" w:hAnsi="Book Antiqua"/>
          <w:noProof/>
          <w:lang w:val="en-US"/>
        </w:rPr>
        <w:t xml:space="preserve">, Hazleton KZ, Nusbacher NM, Martin CG, Lozupone CA. Low diversity gut microbiota dysbiosis: drivers, functional implications and recovery. </w:t>
      </w:r>
      <w:r w:rsidRPr="00F448FE">
        <w:rPr>
          <w:rFonts w:ascii="Book Antiqua" w:hAnsi="Book Antiqua"/>
          <w:i/>
          <w:iCs/>
          <w:noProof/>
          <w:lang w:val="en-US"/>
        </w:rPr>
        <w:t>Curr Opin Microbiol</w:t>
      </w:r>
      <w:r w:rsidRPr="00F448FE">
        <w:rPr>
          <w:rFonts w:ascii="Book Antiqua" w:hAnsi="Book Antiqua"/>
          <w:noProof/>
          <w:lang w:val="en-US"/>
        </w:rPr>
        <w:t xml:space="preserve"> 2018; </w:t>
      </w:r>
      <w:r w:rsidRPr="00F448FE">
        <w:rPr>
          <w:rFonts w:ascii="Book Antiqua" w:hAnsi="Book Antiqua"/>
          <w:b/>
          <w:bCs/>
          <w:noProof/>
          <w:lang w:val="en-US"/>
        </w:rPr>
        <w:t>44</w:t>
      </w:r>
      <w:r w:rsidRPr="00F448FE">
        <w:rPr>
          <w:rFonts w:ascii="Book Antiqua" w:hAnsi="Book Antiqua"/>
          <w:noProof/>
          <w:lang w:val="en-US"/>
        </w:rPr>
        <w:t>: 34-40 [PMID: 30036705 DOI: 10.1016/j.mib.2018.07.003]</w:t>
      </w:r>
    </w:p>
    <w:p w14:paraId="05C4405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48 </w:t>
      </w:r>
      <w:r w:rsidRPr="00F448FE">
        <w:rPr>
          <w:rFonts w:ascii="Book Antiqua" w:hAnsi="Book Antiqua"/>
          <w:b/>
          <w:bCs/>
          <w:noProof/>
          <w:lang w:val="en-US"/>
        </w:rPr>
        <w:t>Wilson BC</w:t>
      </w:r>
      <w:r w:rsidRPr="00F448FE">
        <w:rPr>
          <w:rFonts w:ascii="Book Antiqua" w:hAnsi="Book Antiqua"/>
          <w:noProof/>
          <w:lang w:val="en-US"/>
        </w:rPr>
        <w:t xml:space="preserve">, Vatanen T, Cutfield WS, O'Sullivan JM. The Super-Donor Phenomenon in Fecal Microbiota Transplantation. </w:t>
      </w:r>
      <w:r w:rsidRPr="00F448FE">
        <w:rPr>
          <w:rFonts w:ascii="Book Antiqua" w:hAnsi="Book Antiqua"/>
          <w:i/>
          <w:iCs/>
          <w:noProof/>
          <w:lang w:val="en-US"/>
        </w:rPr>
        <w:t>Front Cell Infect Microbiol</w:t>
      </w:r>
      <w:r w:rsidRPr="00F448FE">
        <w:rPr>
          <w:rFonts w:ascii="Book Antiqua" w:hAnsi="Book Antiqua"/>
          <w:noProof/>
          <w:lang w:val="en-US"/>
        </w:rPr>
        <w:t xml:space="preserve"> 2019; </w:t>
      </w:r>
      <w:r w:rsidRPr="00F448FE">
        <w:rPr>
          <w:rFonts w:ascii="Book Antiqua" w:hAnsi="Book Antiqua"/>
          <w:b/>
          <w:bCs/>
          <w:noProof/>
          <w:lang w:val="en-US"/>
        </w:rPr>
        <w:t>9</w:t>
      </w:r>
      <w:r w:rsidRPr="00F448FE">
        <w:rPr>
          <w:rFonts w:ascii="Book Antiqua" w:hAnsi="Book Antiqua"/>
          <w:noProof/>
          <w:lang w:val="en-US"/>
        </w:rPr>
        <w:t>: 2 [PMID: 30719428 DOI: 10.3389/fcimb.2019.00002]</w:t>
      </w:r>
    </w:p>
    <w:p w14:paraId="54E40EA9"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49 </w:t>
      </w:r>
      <w:r w:rsidRPr="00F448FE">
        <w:rPr>
          <w:rFonts w:ascii="Book Antiqua" w:hAnsi="Book Antiqua"/>
          <w:b/>
          <w:bCs/>
          <w:noProof/>
          <w:lang w:val="en-US"/>
        </w:rPr>
        <w:t>El-Salhy M</w:t>
      </w:r>
      <w:r w:rsidRPr="00F448FE">
        <w:rPr>
          <w:rFonts w:ascii="Book Antiqua" w:hAnsi="Book Antiqua"/>
          <w:noProof/>
          <w:lang w:val="en-US"/>
        </w:rPr>
        <w:t xml:space="preserve">, Mazzawi T. Fecal microbiota transplantation for managing irritable bowel syndrome. </w:t>
      </w:r>
      <w:r w:rsidRPr="00F448FE">
        <w:rPr>
          <w:rFonts w:ascii="Book Antiqua" w:hAnsi="Book Antiqua"/>
          <w:i/>
          <w:iCs/>
          <w:noProof/>
          <w:lang w:val="en-US"/>
        </w:rPr>
        <w:t>Expert Rev Gastroenterol Hepatol</w:t>
      </w:r>
      <w:r w:rsidRPr="00F448FE">
        <w:rPr>
          <w:rFonts w:ascii="Book Antiqua" w:hAnsi="Book Antiqua"/>
          <w:noProof/>
          <w:lang w:val="en-US"/>
        </w:rPr>
        <w:t xml:space="preserve"> 2018; </w:t>
      </w:r>
      <w:r w:rsidRPr="00F448FE">
        <w:rPr>
          <w:rFonts w:ascii="Book Antiqua" w:hAnsi="Book Antiqua"/>
          <w:b/>
          <w:bCs/>
          <w:noProof/>
          <w:lang w:val="en-US"/>
        </w:rPr>
        <w:t>12</w:t>
      </w:r>
      <w:r w:rsidRPr="00F448FE">
        <w:rPr>
          <w:rFonts w:ascii="Book Antiqua" w:hAnsi="Book Antiqua"/>
          <w:noProof/>
          <w:lang w:val="en-US"/>
        </w:rPr>
        <w:t>: 439-445 [PMID: 29493330 DOI: 10.1080/17474124.2018.1447380]</w:t>
      </w:r>
    </w:p>
    <w:p w14:paraId="4C133BD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50 </w:t>
      </w:r>
      <w:r w:rsidRPr="00F448FE">
        <w:rPr>
          <w:rFonts w:ascii="Book Antiqua" w:hAnsi="Book Antiqua"/>
          <w:b/>
          <w:bCs/>
          <w:noProof/>
          <w:lang w:val="en-US"/>
        </w:rPr>
        <w:t>Casén C</w:t>
      </w:r>
      <w:r w:rsidRPr="00F448FE">
        <w:rPr>
          <w:rFonts w:ascii="Book Antiqua" w:hAnsi="Book Antiqua"/>
          <w:noProof/>
          <w:lang w:val="en-US"/>
        </w:rPr>
        <w:t xml:space="preserve">, Vebø HC, Sekelja M, Hegge FT, Karlsson MK, Ciemniejewska E, Dzankovic S, Frøyland C, Nestestog R, Engstrand L, Munkholm P, Nielsen OH, Rogler G, Simrén M, Öhman L, Vatn MH, Rudi K. Deviations in human gut microbiota: a novel diagnostic test for determining dysbiosis in patients with IBS or IBD. </w:t>
      </w:r>
      <w:r w:rsidRPr="00F448FE">
        <w:rPr>
          <w:rFonts w:ascii="Book Antiqua" w:hAnsi="Book Antiqua"/>
          <w:i/>
          <w:iCs/>
          <w:noProof/>
          <w:lang w:val="en-US"/>
        </w:rPr>
        <w:t>Aliment Pharmacol Ther</w:t>
      </w:r>
      <w:r w:rsidRPr="00F448FE">
        <w:rPr>
          <w:rFonts w:ascii="Book Antiqua" w:hAnsi="Book Antiqua"/>
          <w:noProof/>
          <w:lang w:val="en-US"/>
        </w:rPr>
        <w:t xml:space="preserve"> 2015; </w:t>
      </w:r>
      <w:r w:rsidRPr="00F448FE">
        <w:rPr>
          <w:rFonts w:ascii="Book Antiqua" w:hAnsi="Book Antiqua"/>
          <w:b/>
          <w:bCs/>
          <w:noProof/>
          <w:lang w:val="en-US"/>
        </w:rPr>
        <w:t>42</w:t>
      </w:r>
      <w:r w:rsidRPr="00F448FE">
        <w:rPr>
          <w:rFonts w:ascii="Book Antiqua" w:hAnsi="Book Antiqua"/>
          <w:noProof/>
          <w:lang w:val="en-US"/>
        </w:rPr>
        <w:t>: 71-83 [PMID: 25973666 DOI: 10.1111/apt.13236]</w:t>
      </w:r>
    </w:p>
    <w:p w14:paraId="18EA9346" w14:textId="77777777" w:rsidR="00C53805" w:rsidRPr="00F448FE" w:rsidRDefault="00C53805" w:rsidP="000D04E0">
      <w:pPr>
        <w:pStyle w:val="EndNoteBibliography"/>
        <w:adjustRightInd w:val="0"/>
        <w:snapToGrid w:val="0"/>
        <w:jc w:val="both"/>
        <w:rPr>
          <w:rFonts w:ascii="Book Antiqua" w:hAnsi="Book Antiqua"/>
          <w:noProof/>
          <w:lang w:val="nb-NO"/>
        </w:rPr>
      </w:pPr>
      <w:r w:rsidRPr="00F448FE">
        <w:rPr>
          <w:rFonts w:ascii="Book Antiqua" w:hAnsi="Book Antiqua"/>
          <w:noProof/>
          <w:lang w:val="en-US"/>
        </w:rPr>
        <w:t xml:space="preserve">51 </w:t>
      </w:r>
      <w:r w:rsidRPr="00F448FE">
        <w:rPr>
          <w:rFonts w:ascii="Book Antiqua" w:hAnsi="Book Antiqua"/>
          <w:b/>
          <w:bCs/>
          <w:noProof/>
          <w:lang w:val="en-US"/>
        </w:rPr>
        <w:t>Enck P</w:t>
      </w:r>
      <w:r w:rsidRPr="00F448FE">
        <w:rPr>
          <w:rFonts w:ascii="Book Antiqua" w:hAnsi="Book Antiqua"/>
          <w:noProof/>
          <w:lang w:val="en-US"/>
        </w:rPr>
        <w:t xml:space="preserve">, Mazurak N. Dysbiosis in Functional Bowel Disorders. </w:t>
      </w:r>
      <w:r w:rsidRPr="00F448FE">
        <w:rPr>
          <w:rFonts w:ascii="Book Antiqua" w:hAnsi="Book Antiqua"/>
          <w:i/>
          <w:iCs/>
          <w:noProof/>
          <w:lang w:val="nb-NO"/>
        </w:rPr>
        <w:t>Ann Nutr Metab</w:t>
      </w:r>
      <w:r w:rsidRPr="00F448FE">
        <w:rPr>
          <w:rFonts w:ascii="Book Antiqua" w:hAnsi="Book Antiqua"/>
          <w:noProof/>
          <w:lang w:val="nb-NO"/>
        </w:rPr>
        <w:t xml:space="preserve"> 2018; </w:t>
      </w:r>
      <w:r w:rsidRPr="00F448FE">
        <w:rPr>
          <w:rFonts w:ascii="Book Antiqua" w:hAnsi="Book Antiqua"/>
          <w:b/>
          <w:bCs/>
          <w:noProof/>
          <w:lang w:val="nb-NO"/>
        </w:rPr>
        <w:t>72</w:t>
      </w:r>
      <w:r w:rsidRPr="00F448FE">
        <w:rPr>
          <w:rFonts w:ascii="Book Antiqua" w:hAnsi="Book Antiqua"/>
          <w:noProof/>
          <w:lang w:val="nb-NO"/>
        </w:rPr>
        <w:t>: 296-306 [PMID: 29694952 DOI: 10.1159/000488773]</w:t>
      </w:r>
    </w:p>
    <w:p w14:paraId="7A20AFCE" w14:textId="77777777" w:rsidR="00C53805" w:rsidRPr="00F448FE" w:rsidRDefault="00C53805" w:rsidP="000D04E0">
      <w:pPr>
        <w:pStyle w:val="EndNoteBibliography"/>
        <w:adjustRightInd w:val="0"/>
        <w:snapToGrid w:val="0"/>
        <w:jc w:val="both"/>
        <w:rPr>
          <w:rFonts w:ascii="Book Antiqua" w:hAnsi="Book Antiqua"/>
          <w:noProof/>
          <w:lang w:val="nb-NO"/>
        </w:rPr>
      </w:pPr>
      <w:r w:rsidRPr="00F448FE">
        <w:rPr>
          <w:rFonts w:ascii="Book Antiqua" w:hAnsi="Book Antiqua"/>
          <w:noProof/>
          <w:lang w:val="nb-NO"/>
        </w:rPr>
        <w:t xml:space="preserve">52 </w:t>
      </w:r>
      <w:r w:rsidRPr="00F448FE">
        <w:rPr>
          <w:rFonts w:ascii="Book Antiqua" w:hAnsi="Book Antiqua"/>
          <w:b/>
          <w:bCs/>
          <w:noProof/>
          <w:lang w:val="nb-NO"/>
        </w:rPr>
        <w:t>El-Salhy M</w:t>
      </w:r>
      <w:r w:rsidRPr="00F448FE">
        <w:rPr>
          <w:rFonts w:ascii="Book Antiqua" w:hAnsi="Book Antiqua"/>
          <w:noProof/>
          <w:lang w:val="nb-NO"/>
        </w:rPr>
        <w:t xml:space="preserve">, Seim I, Chopin L, Gundersen D, Hatlebakk JG, Hausken T. Irritable bowel syndrome: the role of gut neuroendocrine peptides. </w:t>
      </w:r>
      <w:r w:rsidRPr="00F448FE">
        <w:rPr>
          <w:rFonts w:ascii="Book Antiqua" w:hAnsi="Book Antiqua"/>
          <w:i/>
          <w:iCs/>
          <w:noProof/>
          <w:lang w:val="nb-NO"/>
        </w:rPr>
        <w:t>Front Biosci (Elite Ed)</w:t>
      </w:r>
      <w:r w:rsidRPr="00F448FE">
        <w:rPr>
          <w:rFonts w:ascii="Book Antiqua" w:hAnsi="Book Antiqua"/>
          <w:noProof/>
          <w:lang w:val="nb-NO"/>
        </w:rPr>
        <w:t xml:space="preserve"> 2012; </w:t>
      </w:r>
      <w:r w:rsidRPr="00F448FE">
        <w:rPr>
          <w:rFonts w:ascii="Book Antiqua" w:hAnsi="Book Antiqua"/>
          <w:b/>
          <w:bCs/>
          <w:noProof/>
          <w:lang w:val="nb-NO"/>
        </w:rPr>
        <w:t>4</w:t>
      </w:r>
      <w:r w:rsidRPr="00F448FE">
        <w:rPr>
          <w:rFonts w:ascii="Book Antiqua" w:hAnsi="Book Antiqua"/>
          <w:noProof/>
          <w:lang w:val="nb-NO"/>
        </w:rPr>
        <w:t>: 2783-2800 [PMID: 22652678 DOI: 10.2741/e583]</w:t>
      </w:r>
    </w:p>
    <w:p w14:paraId="530567B3" w14:textId="5F791378"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nb-NO"/>
        </w:rPr>
        <w:t xml:space="preserve">53 </w:t>
      </w:r>
      <w:r w:rsidRPr="00F448FE">
        <w:rPr>
          <w:rFonts w:ascii="Book Antiqua" w:hAnsi="Book Antiqua"/>
          <w:b/>
          <w:bCs/>
          <w:noProof/>
          <w:lang w:val="nb-NO"/>
        </w:rPr>
        <w:t>El-Salhy M,</w:t>
      </w:r>
      <w:r w:rsidRPr="00F448FE">
        <w:rPr>
          <w:rFonts w:ascii="Book Antiqua" w:hAnsi="Book Antiqua"/>
          <w:noProof/>
          <w:lang w:val="nb-NO"/>
        </w:rPr>
        <w:t xml:space="preserve"> Gundersen D, Hatlebakk JG, Hausken T. Irritable bowel syndrome: diagnosis, pathogenesis and treatment options. </w:t>
      </w:r>
      <w:r w:rsidRPr="00F448FE">
        <w:rPr>
          <w:rFonts w:ascii="Book Antiqua" w:hAnsi="Book Antiqua"/>
          <w:noProof/>
          <w:lang w:val="en-US"/>
        </w:rPr>
        <w:t>New York: Nova Science Publishers, 2012: 35-78</w:t>
      </w:r>
    </w:p>
    <w:p w14:paraId="11680D3B" w14:textId="7BD0F0F2"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54 </w:t>
      </w:r>
      <w:r w:rsidRPr="00F448FE">
        <w:rPr>
          <w:rFonts w:ascii="Book Antiqua" w:hAnsi="Book Antiqua"/>
          <w:b/>
          <w:bCs/>
          <w:noProof/>
          <w:lang w:val="en-US"/>
        </w:rPr>
        <w:t>El-Salhy M</w:t>
      </w:r>
      <w:r w:rsidRPr="00F448FE">
        <w:rPr>
          <w:rFonts w:ascii="Book Antiqua" w:hAnsi="Book Antiqua"/>
          <w:noProof/>
          <w:lang w:val="en-US"/>
        </w:rPr>
        <w:t xml:space="preserve">, Hatlebakk JG, Hausken T. Diet in Irritable Bowel Syndrome (IBS): Interaction with Gut Microbiota and Gut Hormones. </w:t>
      </w:r>
      <w:r w:rsidRPr="00F448FE">
        <w:rPr>
          <w:rFonts w:ascii="Book Antiqua" w:hAnsi="Book Antiqua"/>
          <w:i/>
          <w:iCs/>
          <w:noProof/>
          <w:lang w:val="en-US"/>
        </w:rPr>
        <w:t>Nutrients</w:t>
      </w:r>
      <w:r w:rsidRPr="00F448FE">
        <w:rPr>
          <w:rFonts w:ascii="Book Antiqua" w:hAnsi="Book Antiqua"/>
          <w:noProof/>
          <w:lang w:val="en-US"/>
        </w:rPr>
        <w:t xml:space="preserve"> 2019; </w:t>
      </w:r>
      <w:r w:rsidRPr="00F448FE">
        <w:rPr>
          <w:rFonts w:ascii="Book Antiqua" w:hAnsi="Book Antiqua"/>
          <w:b/>
          <w:bCs/>
          <w:noProof/>
          <w:lang w:val="en-US"/>
        </w:rPr>
        <w:t>11</w:t>
      </w:r>
      <w:r w:rsidRPr="00F448FE">
        <w:rPr>
          <w:rFonts w:ascii="Book Antiqua" w:hAnsi="Book Antiqua"/>
          <w:noProof/>
          <w:lang w:val="en-US"/>
        </w:rPr>
        <w:t xml:space="preserve">: </w:t>
      </w:r>
      <w:r w:rsidR="00EA217C" w:rsidRPr="00F448FE">
        <w:rPr>
          <w:rFonts w:ascii="Book Antiqua" w:hAnsi="Book Antiqua"/>
          <w:noProof/>
          <w:lang w:val="en-US"/>
        </w:rPr>
        <w:t xml:space="preserve">pii: E1824 </w:t>
      </w:r>
      <w:r w:rsidRPr="00F448FE">
        <w:rPr>
          <w:rFonts w:ascii="Book Antiqua" w:hAnsi="Book Antiqua"/>
          <w:noProof/>
          <w:lang w:val="en-US"/>
        </w:rPr>
        <w:t>[PMID: 31394793 DOI: 10.3390/nu11081824]</w:t>
      </w:r>
    </w:p>
    <w:p w14:paraId="5FD043AF"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55 </w:t>
      </w:r>
      <w:r w:rsidRPr="00F448FE">
        <w:rPr>
          <w:rFonts w:ascii="Book Antiqua" w:hAnsi="Book Antiqua"/>
          <w:b/>
          <w:bCs/>
          <w:noProof/>
          <w:lang w:val="en-US"/>
        </w:rPr>
        <w:t>Mawe GM</w:t>
      </w:r>
      <w:r w:rsidRPr="00F448FE">
        <w:rPr>
          <w:rFonts w:ascii="Book Antiqua" w:hAnsi="Book Antiqua"/>
          <w:noProof/>
          <w:lang w:val="en-US"/>
        </w:rPr>
        <w:t xml:space="preserve">, Coates MD, Moses PL. Review article: intestinal serotonin signalling in irritable bowel syndrome. </w:t>
      </w:r>
      <w:r w:rsidRPr="00F448FE">
        <w:rPr>
          <w:rFonts w:ascii="Book Antiqua" w:hAnsi="Book Antiqua"/>
          <w:i/>
          <w:iCs/>
          <w:noProof/>
          <w:lang w:val="en-US"/>
        </w:rPr>
        <w:t>Aliment Pharmacol Ther</w:t>
      </w:r>
      <w:r w:rsidRPr="00F448FE">
        <w:rPr>
          <w:rFonts w:ascii="Book Antiqua" w:hAnsi="Book Antiqua"/>
          <w:noProof/>
          <w:lang w:val="en-US"/>
        </w:rPr>
        <w:t xml:space="preserve"> 2006; </w:t>
      </w:r>
      <w:r w:rsidRPr="00F448FE">
        <w:rPr>
          <w:rFonts w:ascii="Book Antiqua" w:hAnsi="Book Antiqua"/>
          <w:b/>
          <w:bCs/>
          <w:noProof/>
          <w:lang w:val="en-US"/>
        </w:rPr>
        <w:t>23</w:t>
      </w:r>
      <w:r w:rsidRPr="00F448FE">
        <w:rPr>
          <w:rFonts w:ascii="Book Antiqua" w:hAnsi="Book Antiqua"/>
          <w:noProof/>
          <w:lang w:val="en-US"/>
        </w:rPr>
        <w:t>: 1067-1076 [PMID: 16611266 DOI: 10.1111/j.1365-2036.2006.02858.x]</w:t>
      </w:r>
    </w:p>
    <w:p w14:paraId="53C173B4" w14:textId="2A08BEB2"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56 </w:t>
      </w:r>
      <w:r w:rsidRPr="00F448FE">
        <w:rPr>
          <w:rFonts w:ascii="Book Antiqua" w:hAnsi="Book Antiqua"/>
          <w:b/>
          <w:bCs/>
          <w:noProof/>
          <w:lang w:val="en-US"/>
        </w:rPr>
        <w:t>Wade PR</w:t>
      </w:r>
      <w:r w:rsidRPr="00F448FE">
        <w:rPr>
          <w:rFonts w:ascii="Book Antiqua" w:hAnsi="Book Antiqua"/>
          <w:noProof/>
          <w:lang w:val="en-US"/>
        </w:rPr>
        <w:t xml:space="preserve">, Chen J, Jaffe B, Kassem IS, Blakely RD, Gershon MD. Localization and function of a 5-HT transporter in crypt epithelia of the gastrointestinal tract. </w:t>
      </w:r>
      <w:r w:rsidRPr="00F448FE">
        <w:rPr>
          <w:rFonts w:ascii="Book Antiqua" w:hAnsi="Book Antiqua"/>
          <w:i/>
          <w:iCs/>
          <w:noProof/>
          <w:lang w:val="en-US"/>
        </w:rPr>
        <w:t>J Neurosci</w:t>
      </w:r>
      <w:r w:rsidRPr="00F448FE">
        <w:rPr>
          <w:rFonts w:ascii="Book Antiqua" w:hAnsi="Book Antiqua"/>
          <w:noProof/>
          <w:lang w:val="en-US"/>
        </w:rPr>
        <w:t xml:space="preserve"> 1996; </w:t>
      </w:r>
      <w:r w:rsidRPr="00F448FE">
        <w:rPr>
          <w:rFonts w:ascii="Book Antiqua" w:hAnsi="Book Antiqua"/>
          <w:b/>
          <w:bCs/>
          <w:noProof/>
          <w:lang w:val="en-US"/>
        </w:rPr>
        <w:t>16</w:t>
      </w:r>
      <w:r w:rsidRPr="00F448FE">
        <w:rPr>
          <w:rFonts w:ascii="Book Antiqua" w:hAnsi="Book Antiqua"/>
          <w:noProof/>
          <w:lang w:val="en-US"/>
        </w:rPr>
        <w:t>: 2352-2364 [PMID: 8601815</w:t>
      </w:r>
      <w:r w:rsidR="00CB736F" w:rsidRPr="00F448FE">
        <w:rPr>
          <w:rFonts w:ascii="Book Antiqua" w:hAnsi="Book Antiqua"/>
          <w:noProof/>
          <w:lang w:val="en-US"/>
        </w:rPr>
        <w:t xml:space="preserve"> DOI: 10.1523/JNEUROSCI.16-07-02352.1996</w:t>
      </w:r>
      <w:r w:rsidRPr="00F448FE">
        <w:rPr>
          <w:rFonts w:ascii="Book Antiqua" w:hAnsi="Book Antiqua"/>
          <w:noProof/>
          <w:lang w:val="en-US"/>
        </w:rPr>
        <w:t>]</w:t>
      </w:r>
    </w:p>
    <w:p w14:paraId="3F80A625"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57 </w:t>
      </w:r>
      <w:r w:rsidRPr="00F448FE">
        <w:rPr>
          <w:rFonts w:ascii="Book Antiqua" w:hAnsi="Book Antiqua"/>
          <w:b/>
          <w:bCs/>
          <w:noProof/>
          <w:lang w:val="en-US"/>
        </w:rPr>
        <w:t>Gershon MD</w:t>
      </w:r>
      <w:r w:rsidRPr="00F448FE">
        <w:rPr>
          <w:rFonts w:ascii="Book Antiqua" w:hAnsi="Book Antiqua"/>
          <w:noProof/>
          <w:lang w:val="en-US"/>
        </w:rPr>
        <w:t xml:space="preserve">, Tack J. The serotonin signaling system: from basic understanding to drug development for functional GI disorders. </w:t>
      </w:r>
      <w:r w:rsidRPr="00F448FE">
        <w:rPr>
          <w:rFonts w:ascii="Book Antiqua" w:hAnsi="Book Antiqua"/>
          <w:i/>
          <w:iCs/>
          <w:noProof/>
          <w:lang w:val="en-US"/>
        </w:rPr>
        <w:t>Gastroenterology</w:t>
      </w:r>
      <w:r w:rsidRPr="00F448FE">
        <w:rPr>
          <w:rFonts w:ascii="Book Antiqua" w:hAnsi="Book Antiqua"/>
          <w:noProof/>
          <w:lang w:val="en-US"/>
        </w:rPr>
        <w:t xml:space="preserve"> 2007; </w:t>
      </w:r>
      <w:r w:rsidRPr="00F448FE">
        <w:rPr>
          <w:rFonts w:ascii="Book Antiqua" w:hAnsi="Book Antiqua"/>
          <w:b/>
          <w:bCs/>
          <w:noProof/>
          <w:lang w:val="en-US"/>
        </w:rPr>
        <w:t>132</w:t>
      </w:r>
      <w:r w:rsidRPr="00F448FE">
        <w:rPr>
          <w:rFonts w:ascii="Book Antiqua" w:hAnsi="Book Antiqua"/>
          <w:noProof/>
          <w:lang w:val="en-US"/>
        </w:rPr>
        <w:t>: 397-414 [PMID: 17241888 DOI: 10.1053/j.gastro.2006.11.002]</w:t>
      </w:r>
    </w:p>
    <w:p w14:paraId="4572A68B"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58 </w:t>
      </w:r>
      <w:r w:rsidRPr="00F448FE">
        <w:rPr>
          <w:rFonts w:ascii="Book Antiqua" w:hAnsi="Book Antiqua"/>
          <w:b/>
          <w:bCs/>
          <w:noProof/>
          <w:lang w:val="en-US"/>
        </w:rPr>
        <w:t>Gershon MD</w:t>
      </w:r>
      <w:r w:rsidRPr="00F448FE">
        <w:rPr>
          <w:rFonts w:ascii="Book Antiqua" w:hAnsi="Book Antiqua"/>
          <w:noProof/>
          <w:lang w:val="en-US"/>
        </w:rPr>
        <w:t xml:space="preserve">. 5-Hydroxytryptamine (serotonin) in the gastrointestinal tract. </w:t>
      </w:r>
      <w:r w:rsidRPr="00F448FE">
        <w:rPr>
          <w:rFonts w:ascii="Book Antiqua" w:hAnsi="Book Antiqua"/>
          <w:i/>
          <w:iCs/>
          <w:noProof/>
          <w:lang w:val="en-US"/>
        </w:rPr>
        <w:t>Curr Opin Endocrinol Diabetes Obes</w:t>
      </w:r>
      <w:r w:rsidRPr="00F448FE">
        <w:rPr>
          <w:rFonts w:ascii="Book Antiqua" w:hAnsi="Book Antiqua"/>
          <w:noProof/>
          <w:lang w:val="en-US"/>
        </w:rPr>
        <w:t xml:space="preserve"> 2013; </w:t>
      </w:r>
      <w:r w:rsidRPr="00F448FE">
        <w:rPr>
          <w:rFonts w:ascii="Book Antiqua" w:hAnsi="Book Antiqua"/>
          <w:b/>
          <w:bCs/>
          <w:noProof/>
          <w:lang w:val="en-US"/>
        </w:rPr>
        <w:t>20</w:t>
      </w:r>
      <w:r w:rsidRPr="00F448FE">
        <w:rPr>
          <w:rFonts w:ascii="Book Antiqua" w:hAnsi="Book Antiqua"/>
          <w:noProof/>
          <w:lang w:val="en-US"/>
        </w:rPr>
        <w:t>: 14-21 [PMID: 23222853 DOI: 10.1097/MED.0b013e32835bc703]</w:t>
      </w:r>
    </w:p>
    <w:p w14:paraId="5A6BF8D0" w14:textId="52712A0F"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59 </w:t>
      </w:r>
      <w:r w:rsidRPr="00F448FE">
        <w:rPr>
          <w:rFonts w:ascii="Book Antiqua" w:hAnsi="Book Antiqua"/>
          <w:b/>
          <w:bCs/>
          <w:noProof/>
          <w:lang w:val="en-US"/>
        </w:rPr>
        <w:t>Gershon MD</w:t>
      </w:r>
      <w:r w:rsidRPr="00F448FE">
        <w:rPr>
          <w:rFonts w:ascii="Book Antiqua" w:hAnsi="Book Antiqua"/>
          <w:noProof/>
          <w:lang w:val="en-US"/>
        </w:rPr>
        <w:t xml:space="preserve">. Serotonin is a sword and a shield of the bowel: serotonin plays offense and defense. </w:t>
      </w:r>
      <w:r w:rsidRPr="00F448FE">
        <w:rPr>
          <w:rFonts w:ascii="Book Antiqua" w:hAnsi="Book Antiqua"/>
          <w:i/>
          <w:iCs/>
          <w:noProof/>
          <w:lang w:val="en-US"/>
        </w:rPr>
        <w:t>Trans Am Clin Climatol Assoc</w:t>
      </w:r>
      <w:r w:rsidRPr="00F448FE">
        <w:rPr>
          <w:rFonts w:ascii="Book Antiqua" w:hAnsi="Book Antiqua"/>
          <w:noProof/>
          <w:lang w:val="en-US"/>
        </w:rPr>
        <w:t xml:space="preserve"> 2012; </w:t>
      </w:r>
      <w:r w:rsidRPr="00F448FE">
        <w:rPr>
          <w:rFonts w:ascii="Book Antiqua" w:hAnsi="Book Antiqua"/>
          <w:b/>
          <w:bCs/>
          <w:noProof/>
          <w:lang w:val="en-US"/>
        </w:rPr>
        <w:t>123</w:t>
      </w:r>
      <w:r w:rsidRPr="00F448FE">
        <w:rPr>
          <w:rFonts w:ascii="Book Antiqua" w:hAnsi="Book Antiqua"/>
          <w:noProof/>
          <w:lang w:val="en-US"/>
        </w:rPr>
        <w:t>: 268-</w:t>
      </w:r>
      <w:r w:rsidR="00EA217C" w:rsidRPr="00F448FE">
        <w:rPr>
          <w:rFonts w:ascii="Book Antiqua" w:hAnsi="Book Antiqua"/>
          <w:noProof/>
          <w:lang w:val="en-US"/>
        </w:rPr>
        <w:t>2</w:t>
      </w:r>
      <w:r w:rsidRPr="00F448FE">
        <w:rPr>
          <w:rFonts w:ascii="Book Antiqua" w:hAnsi="Book Antiqua"/>
          <w:noProof/>
          <w:lang w:val="en-US"/>
        </w:rPr>
        <w:t>80 [PMID: 23303993]</w:t>
      </w:r>
    </w:p>
    <w:p w14:paraId="7B3526FD"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60 </w:t>
      </w:r>
      <w:r w:rsidRPr="00F448FE">
        <w:rPr>
          <w:rFonts w:ascii="Book Antiqua" w:hAnsi="Book Antiqua"/>
          <w:b/>
          <w:bCs/>
          <w:noProof/>
          <w:lang w:val="en-US"/>
        </w:rPr>
        <w:t>El-Salhy M</w:t>
      </w:r>
      <w:r w:rsidRPr="00F448FE">
        <w:rPr>
          <w:rFonts w:ascii="Book Antiqua" w:hAnsi="Book Antiqua"/>
          <w:noProof/>
          <w:lang w:val="en-US"/>
        </w:rPr>
        <w:t xml:space="preserve">, Mazzawi T, Gundersen D, Hatlebakk JG, Hausken T. The role of peptide YY in gastrointestinal diseases and disorders (review). </w:t>
      </w:r>
      <w:r w:rsidRPr="00F448FE">
        <w:rPr>
          <w:rFonts w:ascii="Book Antiqua" w:hAnsi="Book Antiqua"/>
          <w:i/>
          <w:iCs/>
          <w:noProof/>
          <w:lang w:val="en-US"/>
        </w:rPr>
        <w:t>Int J Mol Med</w:t>
      </w:r>
      <w:r w:rsidRPr="00F448FE">
        <w:rPr>
          <w:rFonts w:ascii="Book Antiqua" w:hAnsi="Book Antiqua"/>
          <w:noProof/>
          <w:lang w:val="en-US"/>
        </w:rPr>
        <w:t xml:space="preserve"> 2013; </w:t>
      </w:r>
      <w:r w:rsidRPr="00F448FE">
        <w:rPr>
          <w:rFonts w:ascii="Book Antiqua" w:hAnsi="Book Antiqua"/>
          <w:b/>
          <w:bCs/>
          <w:noProof/>
          <w:lang w:val="en-US"/>
        </w:rPr>
        <w:t>31</w:t>
      </w:r>
      <w:r w:rsidRPr="00F448FE">
        <w:rPr>
          <w:rFonts w:ascii="Book Antiqua" w:hAnsi="Book Antiqua"/>
          <w:noProof/>
          <w:lang w:val="en-US"/>
        </w:rPr>
        <w:t>: 275-282 [PMID: 23292145 DOI: 10.3892/ijmm.2012.1222]</w:t>
      </w:r>
    </w:p>
    <w:p w14:paraId="4125B989"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61 </w:t>
      </w:r>
      <w:r w:rsidRPr="00F448FE">
        <w:rPr>
          <w:rFonts w:ascii="Book Antiqua" w:hAnsi="Book Antiqua"/>
          <w:b/>
          <w:bCs/>
          <w:noProof/>
          <w:lang w:val="en-US"/>
        </w:rPr>
        <w:t>Dubrasquet M</w:t>
      </w:r>
      <w:r w:rsidRPr="00F448FE">
        <w:rPr>
          <w:rFonts w:ascii="Book Antiqua" w:hAnsi="Book Antiqua"/>
          <w:noProof/>
          <w:lang w:val="en-US"/>
        </w:rPr>
        <w:t xml:space="preserve">, Bataille D, Gespach C. Oxyntomodulin (glucagon-37 or bioactive enteroglucagon): a potent inhibitor of pentagastrin-stimulated acid secretion in rats. </w:t>
      </w:r>
      <w:r w:rsidRPr="00F448FE">
        <w:rPr>
          <w:rFonts w:ascii="Book Antiqua" w:hAnsi="Book Antiqua"/>
          <w:i/>
          <w:iCs/>
          <w:noProof/>
          <w:lang w:val="en-US"/>
        </w:rPr>
        <w:t>Biosci Rep</w:t>
      </w:r>
      <w:r w:rsidRPr="00F448FE">
        <w:rPr>
          <w:rFonts w:ascii="Book Antiqua" w:hAnsi="Book Antiqua"/>
          <w:noProof/>
          <w:lang w:val="en-US"/>
        </w:rPr>
        <w:t xml:space="preserve"> 1982; </w:t>
      </w:r>
      <w:r w:rsidRPr="00F448FE">
        <w:rPr>
          <w:rFonts w:ascii="Book Antiqua" w:hAnsi="Book Antiqua"/>
          <w:b/>
          <w:bCs/>
          <w:noProof/>
          <w:lang w:val="en-US"/>
        </w:rPr>
        <w:t>2</w:t>
      </w:r>
      <w:r w:rsidRPr="00F448FE">
        <w:rPr>
          <w:rFonts w:ascii="Book Antiqua" w:hAnsi="Book Antiqua"/>
          <w:noProof/>
          <w:lang w:val="en-US"/>
        </w:rPr>
        <w:t>: 391-395 [PMID: 6125221 DOI: 10.1007/bf01119301]</w:t>
      </w:r>
    </w:p>
    <w:p w14:paraId="5F4B9FE6"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62 </w:t>
      </w:r>
      <w:r w:rsidRPr="00F448FE">
        <w:rPr>
          <w:rFonts w:ascii="Book Antiqua" w:hAnsi="Book Antiqua"/>
          <w:b/>
          <w:bCs/>
          <w:noProof/>
          <w:lang w:val="en-US"/>
        </w:rPr>
        <w:t>Schjoldager BT</w:t>
      </w:r>
      <w:r w:rsidRPr="00F448FE">
        <w:rPr>
          <w:rFonts w:ascii="Book Antiqua" w:hAnsi="Book Antiqua"/>
          <w:noProof/>
          <w:lang w:val="en-US"/>
        </w:rPr>
        <w:t xml:space="preserve">, Baldissera FG, Mortensen PE, Holst JJ, Christiansen J. Oxyntomodulin: a potential hormone from the distal gut. Pharmacokinetics and effects on gastric acid and insulin secretion in man. </w:t>
      </w:r>
      <w:r w:rsidRPr="00F448FE">
        <w:rPr>
          <w:rFonts w:ascii="Book Antiqua" w:hAnsi="Book Antiqua"/>
          <w:i/>
          <w:iCs/>
          <w:noProof/>
          <w:lang w:val="en-US"/>
        </w:rPr>
        <w:t>Eur J Clin Invest</w:t>
      </w:r>
      <w:r w:rsidRPr="00F448FE">
        <w:rPr>
          <w:rFonts w:ascii="Book Antiqua" w:hAnsi="Book Antiqua"/>
          <w:noProof/>
          <w:lang w:val="en-US"/>
        </w:rPr>
        <w:t xml:space="preserve"> 1988; </w:t>
      </w:r>
      <w:r w:rsidRPr="00F448FE">
        <w:rPr>
          <w:rFonts w:ascii="Book Antiqua" w:hAnsi="Book Antiqua"/>
          <w:b/>
          <w:bCs/>
          <w:noProof/>
          <w:lang w:val="en-US"/>
        </w:rPr>
        <w:t>18</w:t>
      </w:r>
      <w:r w:rsidRPr="00F448FE">
        <w:rPr>
          <w:rFonts w:ascii="Book Antiqua" w:hAnsi="Book Antiqua"/>
          <w:noProof/>
          <w:lang w:val="en-US"/>
        </w:rPr>
        <w:t>: 499-503 [PMID: 3147901 DOI: 10.1111/j.1365-2362.1988.tb01046.x]</w:t>
      </w:r>
    </w:p>
    <w:p w14:paraId="7342204E"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63 </w:t>
      </w:r>
      <w:r w:rsidRPr="00F448FE">
        <w:rPr>
          <w:rFonts w:ascii="Book Antiqua" w:hAnsi="Book Antiqua"/>
          <w:b/>
          <w:bCs/>
          <w:noProof/>
          <w:lang w:val="en-US"/>
        </w:rPr>
        <w:t>Schjoldager B</w:t>
      </w:r>
      <w:r w:rsidRPr="00F448FE">
        <w:rPr>
          <w:rFonts w:ascii="Book Antiqua" w:hAnsi="Book Antiqua"/>
          <w:noProof/>
          <w:lang w:val="en-US"/>
        </w:rPr>
        <w:t xml:space="preserve">, Mortensen PE, Myhre J, Christiansen J, Holst JJ. Oxyntomodulin from distal gut. Role in regulation of gastric and pancreatic functions. </w:t>
      </w:r>
      <w:r w:rsidRPr="00F448FE">
        <w:rPr>
          <w:rFonts w:ascii="Book Antiqua" w:hAnsi="Book Antiqua"/>
          <w:i/>
          <w:iCs/>
          <w:noProof/>
          <w:lang w:val="en-US"/>
        </w:rPr>
        <w:t>Dig Dis Sci</w:t>
      </w:r>
      <w:r w:rsidRPr="00F448FE">
        <w:rPr>
          <w:rFonts w:ascii="Book Antiqua" w:hAnsi="Book Antiqua"/>
          <w:noProof/>
          <w:lang w:val="en-US"/>
        </w:rPr>
        <w:t xml:space="preserve"> 1989; </w:t>
      </w:r>
      <w:r w:rsidRPr="00F448FE">
        <w:rPr>
          <w:rFonts w:ascii="Book Antiqua" w:hAnsi="Book Antiqua"/>
          <w:b/>
          <w:bCs/>
          <w:noProof/>
          <w:lang w:val="en-US"/>
        </w:rPr>
        <w:t>34</w:t>
      </w:r>
      <w:r w:rsidRPr="00F448FE">
        <w:rPr>
          <w:rFonts w:ascii="Book Antiqua" w:hAnsi="Book Antiqua"/>
          <w:noProof/>
          <w:lang w:val="en-US"/>
        </w:rPr>
        <w:t>: 1411-1419 [PMID: 2670487 DOI: 10.1007/bf01538078]</w:t>
      </w:r>
    </w:p>
    <w:p w14:paraId="4ADE43CD"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64 </w:t>
      </w:r>
      <w:r w:rsidRPr="00F448FE">
        <w:rPr>
          <w:rFonts w:ascii="Book Antiqua" w:hAnsi="Book Antiqua"/>
          <w:b/>
          <w:bCs/>
          <w:noProof/>
          <w:lang w:val="en-US"/>
        </w:rPr>
        <w:t>Dakin CL</w:t>
      </w:r>
      <w:r w:rsidRPr="00F448FE">
        <w:rPr>
          <w:rFonts w:ascii="Book Antiqua" w:hAnsi="Book Antiqua"/>
          <w:noProof/>
          <w:lang w:val="en-US"/>
        </w:rPr>
        <w:t xml:space="preserve">, Small CJ, Batterham RL, Neary NM, Cohen MA, Patterson M, Ghatei MA, Bloom SR. Peripheral oxyntomodulin reduces food intake and body weight gain in rats. </w:t>
      </w:r>
      <w:r w:rsidRPr="00F448FE">
        <w:rPr>
          <w:rFonts w:ascii="Book Antiqua" w:hAnsi="Book Antiqua"/>
          <w:i/>
          <w:iCs/>
          <w:noProof/>
          <w:lang w:val="en-US"/>
        </w:rPr>
        <w:t>Endocrinology</w:t>
      </w:r>
      <w:r w:rsidRPr="00F448FE">
        <w:rPr>
          <w:rFonts w:ascii="Book Antiqua" w:hAnsi="Book Antiqua"/>
          <w:noProof/>
          <w:lang w:val="en-US"/>
        </w:rPr>
        <w:t xml:space="preserve"> 2004; </w:t>
      </w:r>
      <w:r w:rsidRPr="00F448FE">
        <w:rPr>
          <w:rFonts w:ascii="Book Antiqua" w:hAnsi="Book Antiqua"/>
          <w:b/>
          <w:bCs/>
          <w:noProof/>
          <w:lang w:val="en-US"/>
        </w:rPr>
        <w:t>145</w:t>
      </w:r>
      <w:r w:rsidRPr="00F448FE">
        <w:rPr>
          <w:rFonts w:ascii="Book Antiqua" w:hAnsi="Book Antiqua"/>
          <w:noProof/>
          <w:lang w:val="en-US"/>
        </w:rPr>
        <w:t>: 2687-2695 [PMID: 15001546 DOI: 10.1210/en.2003-1338]</w:t>
      </w:r>
    </w:p>
    <w:p w14:paraId="4BDBE5DD"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65 </w:t>
      </w:r>
      <w:r w:rsidRPr="00F448FE">
        <w:rPr>
          <w:rFonts w:ascii="Book Antiqua" w:hAnsi="Book Antiqua"/>
          <w:b/>
          <w:bCs/>
          <w:noProof/>
          <w:lang w:val="en-US"/>
        </w:rPr>
        <w:t>Wynne K</w:t>
      </w:r>
      <w:r w:rsidRPr="00F448FE">
        <w:rPr>
          <w:rFonts w:ascii="Book Antiqua" w:hAnsi="Book Antiqua"/>
          <w:noProof/>
          <w:lang w:val="en-US"/>
        </w:rPr>
        <w:t xml:space="preserve">, Park AJ, Small CJ, Patterson M, Ellis SM, Murphy KG, Wren AM, Frost GS, Meeran K, Ghatei MA, Bloom SR. Subcutaneous oxyntomodulin reduces body weight in overweight and obese subjects: a double-blind, randomized, controlled trial. </w:t>
      </w:r>
      <w:r w:rsidRPr="00F448FE">
        <w:rPr>
          <w:rFonts w:ascii="Book Antiqua" w:hAnsi="Book Antiqua"/>
          <w:i/>
          <w:iCs/>
          <w:noProof/>
          <w:lang w:val="en-US"/>
        </w:rPr>
        <w:t>Diabetes</w:t>
      </w:r>
      <w:r w:rsidRPr="00F448FE">
        <w:rPr>
          <w:rFonts w:ascii="Book Antiqua" w:hAnsi="Book Antiqua"/>
          <w:noProof/>
          <w:lang w:val="en-US"/>
        </w:rPr>
        <w:t xml:space="preserve"> 2005; </w:t>
      </w:r>
      <w:r w:rsidRPr="00F448FE">
        <w:rPr>
          <w:rFonts w:ascii="Book Antiqua" w:hAnsi="Book Antiqua"/>
          <w:b/>
          <w:bCs/>
          <w:noProof/>
          <w:lang w:val="en-US"/>
        </w:rPr>
        <w:t>54</w:t>
      </w:r>
      <w:r w:rsidRPr="00F448FE">
        <w:rPr>
          <w:rFonts w:ascii="Book Antiqua" w:hAnsi="Book Antiqua"/>
          <w:noProof/>
          <w:lang w:val="en-US"/>
        </w:rPr>
        <w:t>: 2390-2395 [PMID: 16046306 DOI: 10.2337/diabetes.54.8.2390]</w:t>
      </w:r>
    </w:p>
    <w:p w14:paraId="4E0E39AF"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66 </w:t>
      </w:r>
      <w:r w:rsidRPr="00F448FE">
        <w:rPr>
          <w:rFonts w:ascii="Book Antiqua" w:hAnsi="Book Antiqua"/>
          <w:b/>
          <w:bCs/>
          <w:noProof/>
          <w:lang w:val="en-US"/>
        </w:rPr>
        <w:t>Camilleri M</w:t>
      </w:r>
      <w:r w:rsidRPr="00F448FE">
        <w:rPr>
          <w:rFonts w:ascii="Book Antiqua" w:hAnsi="Book Antiqua"/>
          <w:noProof/>
          <w:lang w:val="en-US"/>
        </w:rPr>
        <w:t xml:space="preserve">. Peripheral mechanisms in irritable bowel syndrome. </w:t>
      </w:r>
      <w:r w:rsidRPr="00F448FE">
        <w:rPr>
          <w:rFonts w:ascii="Book Antiqua" w:hAnsi="Book Antiqua"/>
          <w:i/>
          <w:iCs/>
          <w:noProof/>
          <w:lang w:val="en-US"/>
        </w:rPr>
        <w:t>N Engl J Med</w:t>
      </w:r>
      <w:r w:rsidRPr="00F448FE">
        <w:rPr>
          <w:rFonts w:ascii="Book Antiqua" w:hAnsi="Book Antiqua"/>
          <w:noProof/>
          <w:lang w:val="en-US"/>
        </w:rPr>
        <w:t xml:space="preserve"> 2012; </w:t>
      </w:r>
      <w:r w:rsidRPr="00F448FE">
        <w:rPr>
          <w:rFonts w:ascii="Book Antiqua" w:hAnsi="Book Antiqua"/>
          <w:b/>
          <w:bCs/>
          <w:noProof/>
          <w:lang w:val="en-US"/>
        </w:rPr>
        <w:t>367</w:t>
      </w:r>
      <w:r w:rsidRPr="00F448FE">
        <w:rPr>
          <w:rFonts w:ascii="Book Antiqua" w:hAnsi="Book Antiqua"/>
          <w:noProof/>
          <w:lang w:val="en-US"/>
        </w:rPr>
        <w:t>: 1626-1635 [PMID: 23094724 DOI: 10.1056/NEJMra1207068]</w:t>
      </w:r>
    </w:p>
    <w:p w14:paraId="12C7C5B8"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67 </w:t>
      </w:r>
      <w:r w:rsidRPr="00F448FE">
        <w:rPr>
          <w:rFonts w:ascii="Book Antiqua" w:hAnsi="Book Antiqua"/>
          <w:b/>
          <w:bCs/>
          <w:noProof/>
          <w:lang w:val="en-US"/>
        </w:rPr>
        <w:t>Jianu CS</w:t>
      </w:r>
      <w:r w:rsidRPr="00F448FE">
        <w:rPr>
          <w:rFonts w:ascii="Book Antiqua" w:hAnsi="Book Antiqua"/>
          <w:noProof/>
          <w:lang w:val="en-US"/>
        </w:rPr>
        <w:t xml:space="preserve">, Fossmark R, Syversen U, Hauso Ø, Waldum HL. A meal test improves the specificity of chromogranin A as a marker of neuroendocrine neoplasia. </w:t>
      </w:r>
      <w:r w:rsidRPr="00F448FE">
        <w:rPr>
          <w:rFonts w:ascii="Book Antiqua" w:hAnsi="Book Antiqua"/>
          <w:i/>
          <w:iCs/>
          <w:noProof/>
          <w:lang w:val="en-US"/>
        </w:rPr>
        <w:t>Tumour Biol</w:t>
      </w:r>
      <w:r w:rsidRPr="00F448FE">
        <w:rPr>
          <w:rFonts w:ascii="Book Antiqua" w:hAnsi="Book Antiqua"/>
          <w:noProof/>
          <w:lang w:val="en-US"/>
        </w:rPr>
        <w:t xml:space="preserve"> 2010; </w:t>
      </w:r>
      <w:r w:rsidRPr="00F448FE">
        <w:rPr>
          <w:rFonts w:ascii="Book Antiqua" w:hAnsi="Book Antiqua"/>
          <w:b/>
          <w:bCs/>
          <w:noProof/>
          <w:lang w:val="en-US"/>
        </w:rPr>
        <w:t>31</w:t>
      </w:r>
      <w:r w:rsidRPr="00F448FE">
        <w:rPr>
          <w:rFonts w:ascii="Book Antiqua" w:hAnsi="Book Antiqua"/>
          <w:noProof/>
          <w:lang w:val="en-US"/>
        </w:rPr>
        <w:t>: 373-380 [PMID: 20480408 DOI: 10.1007/s13277-010-0045-5]</w:t>
      </w:r>
    </w:p>
    <w:p w14:paraId="14F8E0D7"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68 </w:t>
      </w:r>
      <w:r w:rsidRPr="00F448FE">
        <w:rPr>
          <w:rFonts w:ascii="Book Antiqua" w:hAnsi="Book Antiqua"/>
          <w:b/>
          <w:bCs/>
          <w:noProof/>
          <w:lang w:val="en-US"/>
        </w:rPr>
        <w:t>Gunawardene AR</w:t>
      </w:r>
      <w:r w:rsidRPr="00F448FE">
        <w:rPr>
          <w:rFonts w:ascii="Book Antiqua" w:hAnsi="Book Antiqua"/>
          <w:noProof/>
          <w:lang w:val="en-US"/>
        </w:rPr>
        <w:t xml:space="preserve">, Corfe BM, Staton CA. Classification and functions of enteroendocrine cells of the lower gastrointestinal tract. </w:t>
      </w:r>
      <w:r w:rsidRPr="00F448FE">
        <w:rPr>
          <w:rFonts w:ascii="Book Antiqua" w:hAnsi="Book Antiqua"/>
          <w:i/>
          <w:iCs/>
          <w:noProof/>
          <w:lang w:val="en-US"/>
        </w:rPr>
        <w:t>Int J Exp Pathol</w:t>
      </w:r>
      <w:r w:rsidRPr="00F448FE">
        <w:rPr>
          <w:rFonts w:ascii="Book Antiqua" w:hAnsi="Book Antiqua"/>
          <w:noProof/>
          <w:lang w:val="en-US"/>
        </w:rPr>
        <w:t xml:space="preserve"> 2011; </w:t>
      </w:r>
      <w:r w:rsidRPr="00F448FE">
        <w:rPr>
          <w:rFonts w:ascii="Book Antiqua" w:hAnsi="Book Antiqua"/>
          <w:b/>
          <w:bCs/>
          <w:noProof/>
          <w:lang w:val="en-US"/>
        </w:rPr>
        <w:t>92</w:t>
      </w:r>
      <w:r w:rsidRPr="00F448FE">
        <w:rPr>
          <w:rFonts w:ascii="Book Antiqua" w:hAnsi="Book Antiqua"/>
          <w:noProof/>
          <w:lang w:val="en-US"/>
        </w:rPr>
        <w:t>: 219-231 [PMID: 21518048 DOI: 10.1111/j.1365-2613.2011.00767.x]</w:t>
      </w:r>
    </w:p>
    <w:p w14:paraId="2AD6460A"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69 </w:t>
      </w:r>
      <w:r w:rsidRPr="00F448FE">
        <w:rPr>
          <w:rFonts w:ascii="Book Antiqua" w:hAnsi="Book Antiqua"/>
          <w:b/>
          <w:bCs/>
          <w:noProof/>
          <w:lang w:val="en-US"/>
        </w:rPr>
        <w:t>May CL</w:t>
      </w:r>
      <w:r w:rsidRPr="00F448FE">
        <w:rPr>
          <w:rFonts w:ascii="Book Antiqua" w:hAnsi="Book Antiqua"/>
          <w:noProof/>
          <w:lang w:val="en-US"/>
        </w:rPr>
        <w:t xml:space="preserve">, Kaestner KH. Gut endocrine cell development. </w:t>
      </w:r>
      <w:r w:rsidRPr="00F448FE">
        <w:rPr>
          <w:rFonts w:ascii="Book Antiqua" w:hAnsi="Book Antiqua"/>
          <w:i/>
          <w:iCs/>
          <w:noProof/>
          <w:lang w:val="en-US"/>
        </w:rPr>
        <w:t>Mol Cell Endocrinol</w:t>
      </w:r>
      <w:r w:rsidRPr="00F448FE">
        <w:rPr>
          <w:rFonts w:ascii="Book Antiqua" w:hAnsi="Book Antiqua"/>
          <w:noProof/>
          <w:lang w:val="en-US"/>
        </w:rPr>
        <w:t xml:space="preserve"> 2010; </w:t>
      </w:r>
      <w:r w:rsidRPr="00F448FE">
        <w:rPr>
          <w:rFonts w:ascii="Book Antiqua" w:hAnsi="Book Antiqua"/>
          <w:b/>
          <w:bCs/>
          <w:noProof/>
          <w:lang w:val="en-US"/>
        </w:rPr>
        <w:t>323</w:t>
      </w:r>
      <w:r w:rsidRPr="00F448FE">
        <w:rPr>
          <w:rFonts w:ascii="Book Antiqua" w:hAnsi="Book Antiqua"/>
          <w:noProof/>
          <w:lang w:val="en-US"/>
        </w:rPr>
        <w:t>: 70-75 [PMID: 20025933 DOI: 10.1016/j.mce.2009.12.009]</w:t>
      </w:r>
    </w:p>
    <w:p w14:paraId="7949AE5E"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70 </w:t>
      </w:r>
      <w:r w:rsidRPr="00F448FE">
        <w:rPr>
          <w:rFonts w:ascii="Book Antiqua" w:hAnsi="Book Antiqua"/>
          <w:b/>
          <w:bCs/>
          <w:noProof/>
          <w:lang w:val="en-US"/>
        </w:rPr>
        <w:t>Sandström O</w:t>
      </w:r>
      <w:r w:rsidRPr="00F448FE">
        <w:rPr>
          <w:rFonts w:ascii="Book Antiqua" w:hAnsi="Book Antiqua"/>
          <w:noProof/>
          <w:lang w:val="en-US"/>
        </w:rPr>
        <w:t xml:space="preserve">, El-Salhy M. Ageing and endocrine cells of human duodenum. </w:t>
      </w:r>
      <w:r w:rsidRPr="00F448FE">
        <w:rPr>
          <w:rFonts w:ascii="Book Antiqua" w:hAnsi="Book Antiqua"/>
          <w:i/>
          <w:iCs/>
          <w:noProof/>
          <w:lang w:val="en-US"/>
        </w:rPr>
        <w:t>Mech Ageing Dev</w:t>
      </w:r>
      <w:r w:rsidRPr="00F448FE">
        <w:rPr>
          <w:rFonts w:ascii="Book Antiqua" w:hAnsi="Book Antiqua"/>
          <w:noProof/>
          <w:lang w:val="en-US"/>
        </w:rPr>
        <w:t xml:space="preserve"> 1999; </w:t>
      </w:r>
      <w:r w:rsidRPr="00F448FE">
        <w:rPr>
          <w:rFonts w:ascii="Book Antiqua" w:hAnsi="Book Antiqua"/>
          <w:b/>
          <w:bCs/>
          <w:noProof/>
          <w:lang w:val="en-US"/>
        </w:rPr>
        <w:t>108</w:t>
      </w:r>
      <w:r w:rsidRPr="00F448FE">
        <w:rPr>
          <w:rFonts w:ascii="Book Antiqua" w:hAnsi="Book Antiqua"/>
          <w:noProof/>
          <w:lang w:val="en-US"/>
        </w:rPr>
        <w:t>: 39-48 [PMID: 10366038 DOI: 10.1016/s0047-6374(98)00154-7]</w:t>
      </w:r>
    </w:p>
    <w:p w14:paraId="1AB349F5"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71 </w:t>
      </w:r>
      <w:r w:rsidRPr="00F448FE">
        <w:rPr>
          <w:rFonts w:ascii="Book Antiqua" w:hAnsi="Book Antiqua"/>
          <w:b/>
          <w:bCs/>
          <w:noProof/>
          <w:lang w:val="en-US"/>
        </w:rPr>
        <w:t>El-Salhy M</w:t>
      </w:r>
      <w:r w:rsidRPr="00F448FE">
        <w:rPr>
          <w:rFonts w:ascii="Book Antiqua" w:hAnsi="Book Antiqua"/>
          <w:noProof/>
          <w:lang w:val="en-US"/>
        </w:rPr>
        <w:t xml:space="preserve">. Ghrelin in gastrointestinal diseases and disorders: a possible role in the pathophysiology and clinical implications (review). </w:t>
      </w:r>
      <w:r w:rsidRPr="00F448FE">
        <w:rPr>
          <w:rFonts w:ascii="Book Antiqua" w:hAnsi="Book Antiqua"/>
          <w:i/>
          <w:iCs/>
          <w:noProof/>
          <w:lang w:val="en-US"/>
        </w:rPr>
        <w:t>Int J Mol Med</w:t>
      </w:r>
      <w:r w:rsidRPr="00F448FE">
        <w:rPr>
          <w:rFonts w:ascii="Book Antiqua" w:hAnsi="Book Antiqua"/>
          <w:noProof/>
          <w:lang w:val="en-US"/>
        </w:rPr>
        <w:t xml:space="preserve"> 2009; </w:t>
      </w:r>
      <w:r w:rsidRPr="00F448FE">
        <w:rPr>
          <w:rFonts w:ascii="Book Antiqua" w:hAnsi="Book Antiqua"/>
          <w:b/>
          <w:bCs/>
          <w:noProof/>
          <w:lang w:val="en-US"/>
        </w:rPr>
        <w:t>24</w:t>
      </w:r>
      <w:r w:rsidRPr="00F448FE">
        <w:rPr>
          <w:rFonts w:ascii="Book Antiqua" w:hAnsi="Book Antiqua"/>
          <w:noProof/>
          <w:lang w:val="en-US"/>
        </w:rPr>
        <w:t>: 727-732 [PMID: 19885611 DOI: 10.3892/ijmm_00000285]</w:t>
      </w:r>
    </w:p>
    <w:p w14:paraId="6B28EE94"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72 </w:t>
      </w:r>
      <w:r w:rsidRPr="00F448FE">
        <w:rPr>
          <w:rFonts w:ascii="Book Antiqua" w:hAnsi="Book Antiqua"/>
          <w:b/>
          <w:bCs/>
          <w:noProof/>
          <w:lang w:val="en-US"/>
        </w:rPr>
        <w:t>Tolhurst G</w:t>
      </w:r>
      <w:r w:rsidRPr="00F448FE">
        <w:rPr>
          <w:rFonts w:ascii="Book Antiqua" w:hAnsi="Book Antiqua"/>
          <w:noProof/>
          <w:lang w:val="en-US"/>
        </w:rPr>
        <w:t xml:space="preserve">, Reimann F, Gribble FM. Intestinal sensing of nutrients. </w:t>
      </w:r>
      <w:r w:rsidRPr="00F448FE">
        <w:rPr>
          <w:rFonts w:ascii="Book Antiqua" w:hAnsi="Book Antiqua"/>
          <w:i/>
          <w:iCs/>
          <w:noProof/>
          <w:lang w:val="en-US"/>
        </w:rPr>
        <w:t>Handb Exp Pharmacol</w:t>
      </w:r>
      <w:r w:rsidRPr="00F448FE">
        <w:rPr>
          <w:rFonts w:ascii="Book Antiqua" w:hAnsi="Book Antiqua"/>
          <w:noProof/>
          <w:lang w:val="en-US"/>
        </w:rPr>
        <w:t xml:space="preserve"> 2012; : 309-335 [PMID: 22249821 DOI: 10.1007/978-3-642-24716-3_14]</w:t>
      </w:r>
    </w:p>
    <w:p w14:paraId="1C5594E9"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73 </w:t>
      </w:r>
      <w:r w:rsidRPr="00F448FE">
        <w:rPr>
          <w:rFonts w:ascii="Book Antiqua" w:hAnsi="Book Antiqua"/>
          <w:b/>
          <w:bCs/>
          <w:noProof/>
          <w:lang w:val="en-US"/>
        </w:rPr>
        <w:t>Lee J</w:t>
      </w:r>
      <w:r w:rsidRPr="00F448FE">
        <w:rPr>
          <w:rFonts w:ascii="Book Antiqua" w:hAnsi="Book Antiqua"/>
          <w:noProof/>
          <w:lang w:val="en-US"/>
        </w:rPr>
        <w:t xml:space="preserve">, Cummings BP, Martin E, Sharp JW, Graham JL, Stanhope KL, Havel PJ, Raybould HE. Glucose sensing by gut endocrine cells and activation of the vagal afferent pathway is impaired in a rodent model of type 2 diabetes mellitus. </w:t>
      </w:r>
      <w:r w:rsidRPr="00F448FE">
        <w:rPr>
          <w:rFonts w:ascii="Book Antiqua" w:hAnsi="Book Antiqua"/>
          <w:i/>
          <w:iCs/>
          <w:noProof/>
          <w:lang w:val="en-US"/>
        </w:rPr>
        <w:t>Am J Physiol Regul Integr Comp Physiol</w:t>
      </w:r>
      <w:r w:rsidRPr="00F448FE">
        <w:rPr>
          <w:rFonts w:ascii="Book Antiqua" w:hAnsi="Book Antiqua"/>
          <w:noProof/>
          <w:lang w:val="en-US"/>
        </w:rPr>
        <w:t xml:space="preserve"> 2012; </w:t>
      </w:r>
      <w:r w:rsidRPr="00F448FE">
        <w:rPr>
          <w:rFonts w:ascii="Book Antiqua" w:hAnsi="Book Antiqua"/>
          <w:b/>
          <w:bCs/>
          <w:noProof/>
          <w:lang w:val="en-US"/>
        </w:rPr>
        <w:t>302</w:t>
      </w:r>
      <w:r w:rsidRPr="00F448FE">
        <w:rPr>
          <w:rFonts w:ascii="Book Antiqua" w:hAnsi="Book Antiqua"/>
          <w:noProof/>
          <w:lang w:val="en-US"/>
        </w:rPr>
        <w:t>: R657-R666 [PMID: 22160540 DOI: 10.1152/ajpregu.00345.2011]</w:t>
      </w:r>
    </w:p>
    <w:p w14:paraId="1A3E6CEA"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74 </w:t>
      </w:r>
      <w:r w:rsidRPr="00F448FE">
        <w:rPr>
          <w:rFonts w:ascii="Book Antiqua" w:hAnsi="Book Antiqua"/>
          <w:b/>
          <w:bCs/>
          <w:noProof/>
          <w:lang w:val="en-US"/>
        </w:rPr>
        <w:t>Parker HE</w:t>
      </w:r>
      <w:r w:rsidRPr="00F448FE">
        <w:rPr>
          <w:rFonts w:ascii="Book Antiqua" w:hAnsi="Book Antiqua"/>
          <w:noProof/>
          <w:lang w:val="en-US"/>
        </w:rPr>
        <w:t xml:space="preserve">, Reimann F, Gribble FM. Molecular mechanisms underlying nutrient-stimulated incretin secretion. </w:t>
      </w:r>
      <w:r w:rsidRPr="00F448FE">
        <w:rPr>
          <w:rFonts w:ascii="Book Antiqua" w:hAnsi="Book Antiqua"/>
          <w:i/>
          <w:iCs/>
          <w:noProof/>
          <w:lang w:val="en-US"/>
        </w:rPr>
        <w:t>Expert Rev Mol Med</w:t>
      </w:r>
      <w:r w:rsidRPr="00F448FE">
        <w:rPr>
          <w:rFonts w:ascii="Book Antiqua" w:hAnsi="Book Antiqua"/>
          <w:noProof/>
          <w:lang w:val="en-US"/>
        </w:rPr>
        <w:t xml:space="preserve"> 2010; </w:t>
      </w:r>
      <w:r w:rsidRPr="00F448FE">
        <w:rPr>
          <w:rFonts w:ascii="Book Antiqua" w:hAnsi="Book Antiqua"/>
          <w:b/>
          <w:bCs/>
          <w:noProof/>
          <w:lang w:val="en-US"/>
        </w:rPr>
        <w:t>12</w:t>
      </w:r>
      <w:r w:rsidRPr="00F448FE">
        <w:rPr>
          <w:rFonts w:ascii="Book Antiqua" w:hAnsi="Book Antiqua"/>
          <w:noProof/>
          <w:lang w:val="en-US"/>
        </w:rPr>
        <w:t>: e1 [PMID: 20047700 DOI: 10.1017/S146239940900132X]</w:t>
      </w:r>
    </w:p>
    <w:p w14:paraId="67E4FE4F"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75 </w:t>
      </w:r>
      <w:r w:rsidRPr="00F448FE">
        <w:rPr>
          <w:rFonts w:ascii="Book Antiqua" w:hAnsi="Book Antiqua"/>
          <w:b/>
          <w:bCs/>
          <w:noProof/>
          <w:lang w:val="en-US"/>
        </w:rPr>
        <w:t>Raybould HE</w:t>
      </w:r>
      <w:r w:rsidRPr="00F448FE">
        <w:rPr>
          <w:rFonts w:ascii="Book Antiqua" w:hAnsi="Book Antiqua"/>
          <w:noProof/>
          <w:lang w:val="en-US"/>
        </w:rPr>
        <w:t xml:space="preserve">. Nutrient sensing in the gastrointestinal tract: possible role for nutrient transporters. </w:t>
      </w:r>
      <w:r w:rsidRPr="00F448FE">
        <w:rPr>
          <w:rFonts w:ascii="Book Antiqua" w:hAnsi="Book Antiqua"/>
          <w:i/>
          <w:iCs/>
          <w:noProof/>
          <w:lang w:val="en-US"/>
        </w:rPr>
        <w:t>J Physiol Biochem</w:t>
      </w:r>
      <w:r w:rsidRPr="00F448FE">
        <w:rPr>
          <w:rFonts w:ascii="Book Antiqua" w:hAnsi="Book Antiqua"/>
          <w:noProof/>
          <w:lang w:val="en-US"/>
        </w:rPr>
        <w:t xml:space="preserve"> 2008; </w:t>
      </w:r>
      <w:r w:rsidRPr="00F448FE">
        <w:rPr>
          <w:rFonts w:ascii="Book Antiqua" w:hAnsi="Book Antiqua"/>
          <w:b/>
          <w:bCs/>
          <w:noProof/>
          <w:lang w:val="en-US"/>
        </w:rPr>
        <w:t>64</w:t>
      </w:r>
      <w:r w:rsidRPr="00F448FE">
        <w:rPr>
          <w:rFonts w:ascii="Book Antiqua" w:hAnsi="Book Antiqua"/>
          <w:noProof/>
          <w:lang w:val="en-US"/>
        </w:rPr>
        <w:t>: 349-356 [PMID: 19391461 DOI: 10.1007/bf03174091]</w:t>
      </w:r>
    </w:p>
    <w:p w14:paraId="56FD0A78"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76 </w:t>
      </w:r>
      <w:r w:rsidRPr="00F448FE">
        <w:rPr>
          <w:rFonts w:ascii="Book Antiqua" w:hAnsi="Book Antiqua"/>
          <w:b/>
          <w:bCs/>
          <w:noProof/>
          <w:lang w:val="en-US"/>
        </w:rPr>
        <w:t>San Gabriel A</w:t>
      </w:r>
      <w:r w:rsidRPr="00F448FE">
        <w:rPr>
          <w:rFonts w:ascii="Book Antiqua" w:hAnsi="Book Antiqua"/>
          <w:noProof/>
          <w:lang w:val="en-US"/>
        </w:rPr>
        <w:t xml:space="preserve">, Nakamura E, Uneyama H, Torii K. Taste, visceral information and exocrine reflexes with glutamate through umami receptors. </w:t>
      </w:r>
      <w:r w:rsidRPr="00F448FE">
        <w:rPr>
          <w:rFonts w:ascii="Book Antiqua" w:hAnsi="Book Antiqua"/>
          <w:i/>
          <w:iCs/>
          <w:noProof/>
          <w:lang w:val="en-US"/>
        </w:rPr>
        <w:t>J Med Invest</w:t>
      </w:r>
      <w:r w:rsidRPr="00F448FE">
        <w:rPr>
          <w:rFonts w:ascii="Book Antiqua" w:hAnsi="Book Antiqua"/>
          <w:noProof/>
          <w:lang w:val="en-US"/>
        </w:rPr>
        <w:t xml:space="preserve"> 2009; </w:t>
      </w:r>
      <w:r w:rsidRPr="00F448FE">
        <w:rPr>
          <w:rFonts w:ascii="Book Antiqua" w:hAnsi="Book Antiqua"/>
          <w:b/>
          <w:bCs/>
          <w:noProof/>
          <w:lang w:val="en-US"/>
        </w:rPr>
        <w:t xml:space="preserve">56 </w:t>
      </w:r>
      <w:r w:rsidRPr="00F448FE">
        <w:rPr>
          <w:rFonts w:ascii="Book Antiqua" w:hAnsi="Book Antiqua"/>
          <w:noProof/>
          <w:lang w:val="en-US"/>
        </w:rPr>
        <w:t>Suppl: 209-217 [PMID: 20224183 DOI: 10.2152/jmi.56.209]</w:t>
      </w:r>
    </w:p>
    <w:p w14:paraId="44877B67"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77 </w:t>
      </w:r>
      <w:r w:rsidRPr="00F448FE">
        <w:rPr>
          <w:rFonts w:ascii="Book Antiqua" w:hAnsi="Book Antiqua"/>
          <w:b/>
          <w:bCs/>
          <w:noProof/>
          <w:lang w:val="en-US"/>
        </w:rPr>
        <w:t>Rudholm T</w:t>
      </w:r>
      <w:r w:rsidRPr="00F448FE">
        <w:rPr>
          <w:rFonts w:ascii="Book Antiqua" w:hAnsi="Book Antiqua"/>
          <w:noProof/>
          <w:lang w:val="en-US"/>
        </w:rPr>
        <w:t xml:space="preserve">, Wallin B, Theodorsson E, Näslund E, Hellström PM. Release of regulatory gut peptides somatostatin, neurotensin and vasoactive intestinal peptide by acid and hyperosmolal solutions in the intestine in conscious rats. </w:t>
      </w:r>
      <w:r w:rsidRPr="00F448FE">
        <w:rPr>
          <w:rFonts w:ascii="Book Antiqua" w:hAnsi="Book Antiqua"/>
          <w:i/>
          <w:iCs/>
          <w:noProof/>
          <w:lang w:val="en-US"/>
        </w:rPr>
        <w:t>Regul Pept</w:t>
      </w:r>
      <w:r w:rsidRPr="00F448FE">
        <w:rPr>
          <w:rFonts w:ascii="Book Antiqua" w:hAnsi="Book Antiqua"/>
          <w:noProof/>
          <w:lang w:val="en-US"/>
        </w:rPr>
        <w:t xml:space="preserve"> 2009; </w:t>
      </w:r>
      <w:r w:rsidRPr="00F448FE">
        <w:rPr>
          <w:rFonts w:ascii="Book Antiqua" w:hAnsi="Book Antiqua"/>
          <w:b/>
          <w:bCs/>
          <w:noProof/>
          <w:lang w:val="en-US"/>
        </w:rPr>
        <w:t>152</w:t>
      </w:r>
      <w:r w:rsidRPr="00F448FE">
        <w:rPr>
          <w:rFonts w:ascii="Book Antiqua" w:hAnsi="Book Antiqua"/>
          <w:noProof/>
          <w:lang w:val="en-US"/>
        </w:rPr>
        <w:t>: 8-12 [PMID: 18992283 DOI: 10.1016/j.regpep.2008.10.002]</w:t>
      </w:r>
    </w:p>
    <w:p w14:paraId="1C960825"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78 </w:t>
      </w:r>
      <w:r w:rsidRPr="00F448FE">
        <w:rPr>
          <w:rFonts w:ascii="Book Antiqua" w:hAnsi="Book Antiqua"/>
          <w:b/>
          <w:bCs/>
          <w:noProof/>
          <w:lang w:val="en-US"/>
        </w:rPr>
        <w:t>Sternini C</w:t>
      </w:r>
      <w:r w:rsidRPr="00F448FE">
        <w:rPr>
          <w:rFonts w:ascii="Book Antiqua" w:hAnsi="Book Antiqua"/>
          <w:noProof/>
          <w:lang w:val="en-US"/>
        </w:rPr>
        <w:t xml:space="preserve">, Anselmi L, Rozengurt E. Enteroendocrine cells: a site of 'taste' in gastrointestinal chemosensing. </w:t>
      </w:r>
      <w:r w:rsidRPr="00F448FE">
        <w:rPr>
          <w:rFonts w:ascii="Book Antiqua" w:hAnsi="Book Antiqua"/>
          <w:i/>
          <w:iCs/>
          <w:noProof/>
          <w:lang w:val="en-US"/>
        </w:rPr>
        <w:t>Curr Opin Endocrinol Diabetes Obes</w:t>
      </w:r>
      <w:r w:rsidRPr="00F448FE">
        <w:rPr>
          <w:rFonts w:ascii="Book Antiqua" w:hAnsi="Book Antiqua"/>
          <w:noProof/>
          <w:lang w:val="en-US"/>
        </w:rPr>
        <w:t xml:space="preserve"> 2008; </w:t>
      </w:r>
      <w:r w:rsidRPr="00F448FE">
        <w:rPr>
          <w:rFonts w:ascii="Book Antiqua" w:hAnsi="Book Antiqua"/>
          <w:b/>
          <w:bCs/>
          <w:noProof/>
          <w:lang w:val="en-US"/>
        </w:rPr>
        <w:t>15</w:t>
      </w:r>
      <w:r w:rsidRPr="00F448FE">
        <w:rPr>
          <w:rFonts w:ascii="Book Antiqua" w:hAnsi="Book Antiqua"/>
          <w:noProof/>
          <w:lang w:val="en-US"/>
        </w:rPr>
        <w:t>: 73-78 [PMID: 18185066 DOI: 10.1097/MED.0b013e3282f43a73]</w:t>
      </w:r>
    </w:p>
    <w:p w14:paraId="42C3323B"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79 </w:t>
      </w:r>
      <w:r w:rsidRPr="00F448FE">
        <w:rPr>
          <w:rFonts w:ascii="Book Antiqua" w:hAnsi="Book Antiqua"/>
          <w:b/>
          <w:bCs/>
          <w:noProof/>
          <w:lang w:val="en-US"/>
        </w:rPr>
        <w:t>Sternini C</w:t>
      </w:r>
      <w:r w:rsidRPr="00F448FE">
        <w:rPr>
          <w:rFonts w:ascii="Book Antiqua" w:hAnsi="Book Antiqua"/>
          <w:noProof/>
          <w:lang w:val="en-US"/>
        </w:rPr>
        <w:t xml:space="preserve">. Taste receptors in the gastrointestinal tract. IV. Functional implications of bitter taste receptors in gastrointestinal chemosensing. </w:t>
      </w:r>
      <w:r w:rsidRPr="00F448FE">
        <w:rPr>
          <w:rFonts w:ascii="Book Antiqua" w:hAnsi="Book Antiqua"/>
          <w:i/>
          <w:iCs/>
          <w:noProof/>
          <w:lang w:val="en-US"/>
        </w:rPr>
        <w:t>Am J Physiol Gastrointest Liver Physiol</w:t>
      </w:r>
      <w:r w:rsidRPr="00F448FE">
        <w:rPr>
          <w:rFonts w:ascii="Book Antiqua" w:hAnsi="Book Antiqua"/>
          <w:noProof/>
          <w:lang w:val="en-US"/>
        </w:rPr>
        <w:t xml:space="preserve"> 2007; </w:t>
      </w:r>
      <w:r w:rsidRPr="00F448FE">
        <w:rPr>
          <w:rFonts w:ascii="Book Antiqua" w:hAnsi="Book Antiqua"/>
          <w:b/>
          <w:bCs/>
          <w:noProof/>
          <w:lang w:val="en-US"/>
        </w:rPr>
        <w:t>292</w:t>
      </w:r>
      <w:r w:rsidRPr="00F448FE">
        <w:rPr>
          <w:rFonts w:ascii="Book Antiqua" w:hAnsi="Book Antiqua"/>
          <w:noProof/>
          <w:lang w:val="en-US"/>
        </w:rPr>
        <w:t>: G457-G461 [PMID: 17095755 DOI: 10.1152/ajpgi.00411.2006]</w:t>
      </w:r>
    </w:p>
    <w:p w14:paraId="556AE384"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80 </w:t>
      </w:r>
      <w:r w:rsidRPr="00F448FE">
        <w:rPr>
          <w:rFonts w:ascii="Book Antiqua" w:hAnsi="Book Antiqua"/>
          <w:b/>
          <w:bCs/>
          <w:noProof/>
          <w:lang w:val="en-US"/>
        </w:rPr>
        <w:t>Buchan AM</w:t>
      </w:r>
      <w:r w:rsidRPr="00F448FE">
        <w:rPr>
          <w:rFonts w:ascii="Book Antiqua" w:hAnsi="Book Antiqua"/>
          <w:noProof/>
          <w:lang w:val="en-US"/>
        </w:rPr>
        <w:t xml:space="preserve">. Nutrient Tasting and Signaling Mechanisms in the Gut III. Endocrine cell recognition of luminal nutrients. </w:t>
      </w:r>
      <w:r w:rsidRPr="00F448FE">
        <w:rPr>
          <w:rFonts w:ascii="Book Antiqua" w:hAnsi="Book Antiqua"/>
          <w:i/>
          <w:iCs/>
          <w:noProof/>
          <w:lang w:val="en-US"/>
        </w:rPr>
        <w:t>Am J Physiol</w:t>
      </w:r>
      <w:r w:rsidRPr="00F448FE">
        <w:rPr>
          <w:rFonts w:ascii="Book Antiqua" w:hAnsi="Book Antiqua"/>
          <w:noProof/>
          <w:lang w:val="en-US"/>
        </w:rPr>
        <w:t xml:space="preserve"> 1999; </w:t>
      </w:r>
      <w:r w:rsidRPr="00F448FE">
        <w:rPr>
          <w:rFonts w:ascii="Book Antiqua" w:hAnsi="Book Antiqua"/>
          <w:b/>
          <w:bCs/>
          <w:noProof/>
          <w:lang w:val="en-US"/>
        </w:rPr>
        <w:t>277</w:t>
      </w:r>
      <w:r w:rsidRPr="00F448FE">
        <w:rPr>
          <w:rFonts w:ascii="Book Antiqua" w:hAnsi="Book Antiqua"/>
          <w:noProof/>
          <w:lang w:val="en-US"/>
        </w:rPr>
        <w:t>: G1103-G1107 [PMID: 10600808 DOI: 10.1152/ajpgi.1999.277.6.G1103]</w:t>
      </w:r>
    </w:p>
    <w:p w14:paraId="00A70FE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81 </w:t>
      </w:r>
      <w:r w:rsidRPr="00F448FE">
        <w:rPr>
          <w:rFonts w:ascii="Book Antiqua" w:hAnsi="Book Antiqua"/>
          <w:b/>
          <w:bCs/>
          <w:noProof/>
          <w:lang w:val="en-US"/>
        </w:rPr>
        <w:t>Montero-Hadjadje M</w:t>
      </w:r>
      <w:r w:rsidRPr="00F448FE">
        <w:rPr>
          <w:rFonts w:ascii="Book Antiqua" w:hAnsi="Book Antiqua"/>
          <w:noProof/>
          <w:lang w:val="en-US"/>
        </w:rPr>
        <w:t xml:space="preserve">, Elias S, Chevalier L, Benard M, Tanguy Y, Turquier V, Galas L, Yon L, Malagon MM, Driouich A, Gasman S, Anouar Y. Chromogranin A promotes peptide hormone sorting to mobile granules in constitutively and regulated secreting cells: role of conserved N- and C-terminal peptides. </w:t>
      </w:r>
      <w:r w:rsidRPr="00F448FE">
        <w:rPr>
          <w:rFonts w:ascii="Book Antiqua" w:hAnsi="Book Antiqua"/>
          <w:i/>
          <w:iCs/>
          <w:noProof/>
          <w:lang w:val="en-US"/>
        </w:rPr>
        <w:t>J Biol Chem</w:t>
      </w:r>
      <w:r w:rsidRPr="00F448FE">
        <w:rPr>
          <w:rFonts w:ascii="Book Antiqua" w:hAnsi="Book Antiqua"/>
          <w:noProof/>
          <w:lang w:val="en-US"/>
        </w:rPr>
        <w:t xml:space="preserve"> 2009; </w:t>
      </w:r>
      <w:r w:rsidRPr="00F448FE">
        <w:rPr>
          <w:rFonts w:ascii="Book Antiqua" w:hAnsi="Book Antiqua"/>
          <w:b/>
          <w:bCs/>
          <w:noProof/>
          <w:lang w:val="en-US"/>
        </w:rPr>
        <w:t>284</w:t>
      </w:r>
      <w:r w:rsidRPr="00F448FE">
        <w:rPr>
          <w:rFonts w:ascii="Book Antiqua" w:hAnsi="Book Antiqua"/>
          <w:noProof/>
          <w:lang w:val="en-US"/>
        </w:rPr>
        <w:t>: 12420-12431 [PMID: 19179339 DOI: 10.1074/jbc.M805607200]</w:t>
      </w:r>
    </w:p>
    <w:p w14:paraId="2418E4CF"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82 </w:t>
      </w:r>
      <w:r w:rsidRPr="00F448FE">
        <w:rPr>
          <w:rFonts w:ascii="Book Antiqua" w:hAnsi="Book Antiqua"/>
          <w:b/>
          <w:bCs/>
          <w:noProof/>
          <w:lang w:val="en-US"/>
        </w:rPr>
        <w:t>Shooshtarizadeh P</w:t>
      </w:r>
      <w:r w:rsidRPr="00F448FE">
        <w:rPr>
          <w:rFonts w:ascii="Book Antiqua" w:hAnsi="Book Antiqua"/>
          <w:noProof/>
          <w:lang w:val="en-US"/>
        </w:rPr>
        <w:t xml:space="preserve">, Zhang D, Chich JF, Gasnier C, Schneider F, Haïkel Y, Aunis D, Metz-Boutigue MH. The antimicrobial peptides derived from chromogranin/secretogranin family, new actors of innate immunity. </w:t>
      </w:r>
      <w:r w:rsidRPr="00F448FE">
        <w:rPr>
          <w:rFonts w:ascii="Book Antiqua" w:hAnsi="Book Antiqua"/>
          <w:i/>
          <w:iCs/>
          <w:noProof/>
          <w:lang w:val="en-US"/>
        </w:rPr>
        <w:t>Regul Pept</w:t>
      </w:r>
      <w:r w:rsidRPr="00F448FE">
        <w:rPr>
          <w:rFonts w:ascii="Book Antiqua" w:hAnsi="Book Antiqua"/>
          <w:noProof/>
          <w:lang w:val="en-US"/>
        </w:rPr>
        <w:t xml:space="preserve"> 2010; </w:t>
      </w:r>
      <w:r w:rsidRPr="00F448FE">
        <w:rPr>
          <w:rFonts w:ascii="Book Antiqua" w:hAnsi="Book Antiqua"/>
          <w:b/>
          <w:bCs/>
          <w:noProof/>
          <w:lang w:val="en-US"/>
        </w:rPr>
        <w:t>165</w:t>
      </w:r>
      <w:r w:rsidRPr="00F448FE">
        <w:rPr>
          <w:rFonts w:ascii="Book Antiqua" w:hAnsi="Book Antiqua"/>
          <w:noProof/>
          <w:lang w:val="en-US"/>
        </w:rPr>
        <w:t>: 102-110 [PMID: 19932135 DOI: 10.1016/j.regpep.2009.11.014]</w:t>
      </w:r>
    </w:p>
    <w:p w14:paraId="6A0EAA45"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83 </w:t>
      </w:r>
      <w:r w:rsidRPr="00F448FE">
        <w:rPr>
          <w:rFonts w:ascii="Book Antiqua" w:hAnsi="Book Antiqua"/>
          <w:b/>
          <w:bCs/>
          <w:noProof/>
          <w:lang w:val="en-US"/>
        </w:rPr>
        <w:t>Wendelbo I</w:t>
      </w:r>
      <w:r w:rsidRPr="00F448FE">
        <w:rPr>
          <w:rFonts w:ascii="Book Antiqua" w:hAnsi="Book Antiqua"/>
          <w:noProof/>
          <w:lang w:val="en-US"/>
        </w:rPr>
        <w:t xml:space="preserve">, Mazzawi T, El-Salhy M. Increased serotonin transporter immunoreactivity intensity in the ileum of patients with irritable bowel disease. </w:t>
      </w:r>
      <w:r w:rsidRPr="00F448FE">
        <w:rPr>
          <w:rFonts w:ascii="Book Antiqua" w:hAnsi="Book Antiqua"/>
          <w:i/>
          <w:iCs/>
          <w:noProof/>
          <w:lang w:val="en-US"/>
        </w:rPr>
        <w:t>Mol Med Rep</w:t>
      </w:r>
      <w:r w:rsidRPr="00F448FE">
        <w:rPr>
          <w:rFonts w:ascii="Book Antiqua" w:hAnsi="Book Antiqua"/>
          <w:noProof/>
          <w:lang w:val="en-US"/>
        </w:rPr>
        <w:t xml:space="preserve"> 2014; </w:t>
      </w:r>
      <w:r w:rsidRPr="00F448FE">
        <w:rPr>
          <w:rFonts w:ascii="Book Antiqua" w:hAnsi="Book Antiqua"/>
          <w:b/>
          <w:bCs/>
          <w:noProof/>
          <w:lang w:val="en-US"/>
        </w:rPr>
        <w:t>9</w:t>
      </w:r>
      <w:r w:rsidRPr="00F448FE">
        <w:rPr>
          <w:rFonts w:ascii="Book Antiqua" w:hAnsi="Book Antiqua"/>
          <w:noProof/>
          <w:lang w:val="en-US"/>
        </w:rPr>
        <w:t>: 180-184 [PMID: 24213511 DOI: 10.3892/mmr.2013.1784]</w:t>
      </w:r>
    </w:p>
    <w:p w14:paraId="4FA712F0"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84 </w:t>
      </w:r>
      <w:r w:rsidRPr="00F448FE">
        <w:rPr>
          <w:rFonts w:ascii="Book Antiqua" w:hAnsi="Book Antiqua"/>
          <w:b/>
          <w:bCs/>
          <w:noProof/>
          <w:lang w:val="en-US"/>
        </w:rPr>
        <w:t>El-Salhy M</w:t>
      </w:r>
      <w:r w:rsidRPr="00F448FE">
        <w:rPr>
          <w:rFonts w:ascii="Book Antiqua" w:hAnsi="Book Antiqua"/>
          <w:noProof/>
          <w:lang w:val="en-US"/>
        </w:rPr>
        <w:t xml:space="preserve">, Wendelbo IH, Gundersen D. Reduced chromogranin A cell density in the ileum of patients with irritable bowel syndrome. </w:t>
      </w:r>
      <w:r w:rsidRPr="00F448FE">
        <w:rPr>
          <w:rFonts w:ascii="Book Antiqua" w:hAnsi="Book Antiqua"/>
          <w:i/>
          <w:iCs/>
          <w:noProof/>
          <w:lang w:val="en-US"/>
        </w:rPr>
        <w:t>Mol Med Rep</w:t>
      </w:r>
      <w:r w:rsidRPr="00F448FE">
        <w:rPr>
          <w:rFonts w:ascii="Book Antiqua" w:hAnsi="Book Antiqua"/>
          <w:noProof/>
          <w:lang w:val="en-US"/>
        </w:rPr>
        <w:t xml:space="preserve"> 2013; </w:t>
      </w:r>
      <w:r w:rsidRPr="00F448FE">
        <w:rPr>
          <w:rFonts w:ascii="Book Antiqua" w:hAnsi="Book Antiqua"/>
          <w:b/>
          <w:bCs/>
          <w:noProof/>
          <w:lang w:val="en-US"/>
        </w:rPr>
        <w:t>7</w:t>
      </w:r>
      <w:r w:rsidRPr="00F448FE">
        <w:rPr>
          <w:rFonts w:ascii="Book Antiqua" w:hAnsi="Book Antiqua"/>
          <w:noProof/>
          <w:lang w:val="en-US"/>
        </w:rPr>
        <w:t>: 1241-1244 [PMID: 23426642 DOI: 10.3892/mmr.2013.1325]</w:t>
      </w:r>
    </w:p>
    <w:p w14:paraId="578E58B4"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85 </w:t>
      </w:r>
      <w:r w:rsidRPr="00F448FE">
        <w:rPr>
          <w:rFonts w:ascii="Book Antiqua" w:hAnsi="Book Antiqua"/>
          <w:b/>
          <w:bCs/>
          <w:noProof/>
          <w:lang w:val="en-US"/>
        </w:rPr>
        <w:t>El-Salhy M</w:t>
      </w:r>
      <w:r w:rsidRPr="00F448FE">
        <w:rPr>
          <w:rFonts w:ascii="Book Antiqua" w:hAnsi="Book Antiqua"/>
          <w:noProof/>
          <w:lang w:val="en-US"/>
        </w:rPr>
        <w:t xml:space="preserve">, Vaali K, Dizdar V, Hausken T. Abnormal small-intestinal endocrine cells in patients with irritable bowel syndrome. </w:t>
      </w:r>
      <w:r w:rsidRPr="00F448FE">
        <w:rPr>
          <w:rFonts w:ascii="Book Antiqua" w:hAnsi="Book Antiqua"/>
          <w:i/>
          <w:iCs/>
          <w:noProof/>
          <w:lang w:val="en-US"/>
        </w:rPr>
        <w:t>Dig Dis Sci</w:t>
      </w:r>
      <w:r w:rsidRPr="00F448FE">
        <w:rPr>
          <w:rFonts w:ascii="Book Antiqua" w:hAnsi="Book Antiqua"/>
          <w:noProof/>
          <w:lang w:val="en-US"/>
        </w:rPr>
        <w:t xml:space="preserve"> 2010; </w:t>
      </w:r>
      <w:r w:rsidRPr="00F448FE">
        <w:rPr>
          <w:rFonts w:ascii="Book Antiqua" w:hAnsi="Book Antiqua"/>
          <w:b/>
          <w:bCs/>
          <w:noProof/>
          <w:lang w:val="en-US"/>
        </w:rPr>
        <w:t>55</w:t>
      </w:r>
      <w:r w:rsidRPr="00F448FE">
        <w:rPr>
          <w:rFonts w:ascii="Book Antiqua" w:hAnsi="Book Antiqua"/>
          <w:noProof/>
          <w:lang w:val="en-US"/>
        </w:rPr>
        <w:t>: 3508-3513 [PMID: 20300845 DOI: 10.1007/s10620-010-1169-6]</w:t>
      </w:r>
    </w:p>
    <w:p w14:paraId="0AEDD13A"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86 </w:t>
      </w:r>
      <w:r w:rsidRPr="00F448FE">
        <w:rPr>
          <w:rFonts w:ascii="Book Antiqua" w:hAnsi="Book Antiqua"/>
          <w:b/>
          <w:bCs/>
          <w:noProof/>
          <w:lang w:val="en-US"/>
        </w:rPr>
        <w:t>El-Salhy M</w:t>
      </w:r>
      <w:r w:rsidRPr="00F448FE">
        <w:rPr>
          <w:rFonts w:ascii="Book Antiqua" w:hAnsi="Book Antiqua"/>
          <w:noProof/>
          <w:lang w:val="en-US"/>
        </w:rPr>
        <w:t xml:space="preserve">, Mazzawi T, Gundersen D, Hausken T. Chromogranin A cell density in the rectum of patients with irritable bowel syndrome. </w:t>
      </w:r>
      <w:r w:rsidRPr="00F448FE">
        <w:rPr>
          <w:rFonts w:ascii="Book Antiqua" w:hAnsi="Book Antiqua"/>
          <w:i/>
          <w:iCs/>
          <w:noProof/>
          <w:lang w:val="en-US"/>
        </w:rPr>
        <w:t>Mol Med Rep</w:t>
      </w:r>
      <w:r w:rsidRPr="00F448FE">
        <w:rPr>
          <w:rFonts w:ascii="Book Antiqua" w:hAnsi="Book Antiqua"/>
          <w:noProof/>
          <w:lang w:val="en-US"/>
        </w:rPr>
        <w:t xml:space="preserve"> 2012; </w:t>
      </w:r>
      <w:r w:rsidRPr="00F448FE">
        <w:rPr>
          <w:rFonts w:ascii="Book Antiqua" w:hAnsi="Book Antiqua"/>
          <w:b/>
          <w:bCs/>
          <w:noProof/>
          <w:lang w:val="en-US"/>
        </w:rPr>
        <w:t>6</w:t>
      </w:r>
      <w:r w:rsidRPr="00F448FE">
        <w:rPr>
          <w:rFonts w:ascii="Book Antiqua" w:hAnsi="Book Antiqua"/>
          <w:noProof/>
          <w:lang w:val="en-US"/>
        </w:rPr>
        <w:t>: 1223-1225 [PMID: 22992886 DOI: 10.3892/mmr.2012.1087]</w:t>
      </w:r>
    </w:p>
    <w:p w14:paraId="60805DC2"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87 </w:t>
      </w:r>
      <w:r w:rsidRPr="00F448FE">
        <w:rPr>
          <w:rFonts w:ascii="Book Antiqua" w:hAnsi="Book Antiqua"/>
          <w:b/>
          <w:bCs/>
          <w:noProof/>
          <w:lang w:val="en-US"/>
        </w:rPr>
        <w:t>El-Salhy M</w:t>
      </w:r>
      <w:r w:rsidRPr="00F448FE">
        <w:rPr>
          <w:rFonts w:ascii="Book Antiqua" w:hAnsi="Book Antiqua"/>
          <w:noProof/>
          <w:lang w:val="en-US"/>
        </w:rPr>
        <w:t xml:space="preserve">, Lomholt-Beck B, Hausken T. Chromogranin A as a possible tool in the diagnosis of irritable bowel syndrome. </w:t>
      </w:r>
      <w:r w:rsidRPr="00F448FE">
        <w:rPr>
          <w:rFonts w:ascii="Book Antiqua" w:hAnsi="Book Antiqua"/>
          <w:i/>
          <w:iCs/>
          <w:noProof/>
          <w:lang w:val="en-US"/>
        </w:rPr>
        <w:t>Scand J Gastroenterol</w:t>
      </w:r>
      <w:r w:rsidRPr="00F448FE">
        <w:rPr>
          <w:rFonts w:ascii="Book Antiqua" w:hAnsi="Book Antiqua"/>
          <w:noProof/>
          <w:lang w:val="en-US"/>
        </w:rPr>
        <w:t xml:space="preserve"> 2010; </w:t>
      </w:r>
      <w:r w:rsidRPr="00F448FE">
        <w:rPr>
          <w:rFonts w:ascii="Book Antiqua" w:hAnsi="Book Antiqua"/>
          <w:b/>
          <w:bCs/>
          <w:noProof/>
          <w:lang w:val="en-US"/>
        </w:rPr>
        <w:t>45</w:t>
      </w:r>
      <w:r w:rsidRPr="00F448FE">
        <w:rPr>
          <w:rFonts w:ascii="Book Antiqua" w:hAnsi="Book Antiqua"/>
          <w:noProof/>
          <w:lang w:val="en-US"/>
        </w:rPr>
        <w:t>: 1435-1439 [PMID: 20602602 DOI: 10.3109/00365521.2010.503965]</w:t>
      </w:r>
    </w:p>
    <w:p w14:paraId="3799C474"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88 </w:t>
      </w:r>
      <w:r w:rsidRPr="00F448FE">
        <w:rPr>
          <w:rFonts w:ascii="Book Antiqua" w:hAnsi="Book Antiqua"/>
          <w:b/>
          <w:bCs/>
          <w:noProof/>
          <w:lang w:val="en-US"/>
        </w:rPr>
        <w:t>El-Salhy M</w:t>
      </w:r>
      <w:r w:rsidRPr="00F448FE">
        <w:rPr>
          <w:rFonts w:ascii="Book Antiqua" w:hAnsi="Book Antiqua"/>
          <w:noProof/>
          <w:lang w:val="en-US"/>
        </w:rPr>
        <w:t xml:space="preserve">, Lillebø E, Reinemo A, Salmelid L. Ghrelin in patients with irritable bowel syndrome. </w:t>
      </w:r>
      <w:r w:rsidRPr="00F448FE">
        <w:rPr>
          <w:rFonts w:ascii="Book Antiqua" w:hAnsi="Book Antiqua"/>
          <w:i/>
          <w:iCs/>
          <w:noProof/>
          <w:lang w:val="en-US"/>
        </w:rPr>
        <w:t>Int J Mol Med</w:t>
      </w:r>
      <w:r w:rsidRPr="00F448FE">
        <w:rPr>
          <w:rFonts w:ascii="Book Antiqua" w:hAnsi="Book Antiqua"/>
          <w:noProof/>
          <w:lang w:val="en-US"/>
        </w:rPr>
        <w:t xml:space="preserve"> 2009; </w:t>
      </w:r>
      <w:r w:rsidRPr="00F448FE">
        <w:rPr>
          <w:rFonts w:ascii="Book Antiqua" w:hAnsi="Book Antiqua"/>
          <w:b/>
          <w:bCs/>
          <w:noProof/>
          <w:lang w:val="en-US"/>
        </w:rPr>
        <w:t>23</w:t>
      </w:r>
      <w:r w:rsidRPr="00F448FE">
        <w:rPr>
          <w:rFonts w:ascii="Book Antiqua" w:hAnsi="Book Antiqua"/>
          <w:noProof/>
          <w:lang w:val="en-US"/>
        </w:rPr>
        <w:t>: 703-707 [PMID: 19424595 DOI: 10.3892/ijmm_00000183]</w:t>
      </w:r>
    </w:p>
    <w:p w14:paraId="21125BFA"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89 </w:t>
      </w:r>
      <w:r w:rsidRPr="00F448FE">
        <w:rPr>
          <w:rFonts w:ascii="Book Antiqua" w:hAnsi="Book Antiqua"/>
          <w:b/>
          <w:bCs/>
          <w:noProof/>
          <w:lang w:val="en-US"/>
        </w:rPr>
        <w:t>El-Salhy M</w:t>
      </w:r>
      <w:r w:rsidRPr="00F448FE">
        <w:rPr>
          <w:rFonts w:ascii="Book Antiqua" w:hAnsi="Book Antiqua"/>
          <w:noProof/>
          <w:lang w:val="en-US"/>
        </w:rPr>
        <w:t xml:space="preserve">, Gilja OH, Gundersen D, Hausken T. Endocrine cells in the oxyntic mucosa of the stomach in patients with irritable bowel syndrome. </w:t>
      </w:r>
      <w:r w:rsidRPr="00F448FE">
        <w:rPr>
          <w:rFonts w:ascii="Book Antiqua" w:hAnsi="Book Antiqua"/>
          <w:i/>
          <w:iCs/>
          <w:noProof/>
          <w:lang w:val="en-US"/>
        </w:rPr>
        <w:t>World J Gastrointest Endosc</w:t>
      </w:r>
      <w:r w:rsidRPr="00F448FE">
        <w:rPr>
          <w:rFonts w:ascii="Book Antiqua" w:hAnsi="Book Antiqua"/>
          <w:noProof/>
          <w:lang w:val="en-US"/>
        </w:rPr>
        <w:t xml:space="preserve"> 2014; </w:t>
      </w:r>
      <w:r w:rsidRPr="00F448FE">
        <w:rPr>
          <w:rFonts w:ascii="Book Antiqua" w:hAnsi="Book Antiqua"/>
          <w:b/>
          <w:bCs/>
          <w:noProof/>
          <w:lang w:val="en-US"/>
        </w:rPr>
        <w:t>6</w:t>
      </w:r>
      <w:r w:rsidRPr="00F448FE">
        <w:rPr>
          <w:rFonts w:ascii="Book Antiqua" w:hAnsi="Book Antiqua"/>
          <w:noProof/>
          <w:lang w:val="en-US"/>
        </w:rPr>
        <w:t>: 176-185 [PMID: 24891930 DOI: 10.4253/wjge.v6.i5.176]</w:t>
      </w:r>
    </w:p>
    <w:p w14:paraId="585F4462"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90 </w:t>
      </w:r>
      <w:r w:rsidRPr="00F448FE">
        <w:rPr>
          <w:rFonts w:ascii="Book Antiqua" w:hAnsi="Book Antiqua"/>
          <w:b/>
          <w:bCs/>
          <w:noProof/>
          <w:lang w:val="en-US"/>
        </w:rPr>
        <w:t>El-Salhy M</w:t>
      </w:r>
      <w:r w:rsidRPr="00F448FE">
        <w:rPr>
          <w:rFonts w:ascii="Book Antiqua" w:hAnsi="Book Antiqua"/>
          <w:noProof/>
          <w:lang w:val="en-US"/>
        </w:rPr>
        <w:t xml:space="preserve">, Gundersen D, Hatlebakk JG, Hausken T. Chromogranin A cell density as a diagnostic marker for lymphocytic colitis. </w:t>
      </w:r>
      <w:r w:rsidRPr="00F448FE">
        <w:rPr>
          <w:rFonts w:ascii="Book Antiqua" w:hAnsi="Book Antiqua"/>
          <w:i/>
          <w:iCs/>
          <w:noProof/>
          <w:lang w:val="en-US"/>
        </w:rPr>
        <w:t>Dig Dis Sci</w:t>
      </w:r>
      <w:r w:rsidRPr="00F448FE">
        <w:rPr>
          <w:rFonts w:ascii="Book Antiqua" w:hAnsi="Book Antiqua"/>
          <w:noProof/>
          <w:lang w:val="en-US"/>
        </w:rPr>
        <w:t xml:space="preserve"> 2012; </w:t>
      </w:r>
      <w:r w:rsidRPr="00F448FE">
        <w:rPr>
          <w:rFonts w:ascii="Book Antiqua" w:hAnsi="Book Antiqua"/>
          <w:b/>
          <w:bCs/>
          <w:noProof/>
          <w:lang w:val="en-US"/>
        </w:rPr>
        <w:t>57</w:t>
      </w:r>
      <w:r w:rsidRPr="00F448FE">
        <w:rPr>
          <w:rFonts w:ascii="Book Antiqua" w:hAnsi="Book Antiqua"/>
          <w:noProof/>
          <w:lang w:val="en-US"/>
        </w:rPr>
        <w:t>: 3154-3159 [PMID: 22699394 DOI: 10.1007/s10620-012-2249-6]</w:t>
      </w:r>
    </w:p>
    <w:p w14:paraId="59CF5724"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91 </w:t>
      </w:r>
      <w:r w:rsidRPr="00F448FE">
        <w:rPr>
          <w:rFonts w:ascii="Book Antiqua" w:hAnsi="Book Antiqua"/>
          <w:b/>
          <w:bCs/>
          <w:noProof/>
          <w:lang w:val="en-US"/>
        </w:rPr>
        <w:t>Mazzawi T</w:t>
      </w:r>
      <w:r w:rsidRPr="00F448FE">
        <w:rPr>
          <w:rFonts w:ascii="Book Antiqua" w:hAnsi="Book Antiqua"/>
          <w:noProof/>
          <w:lang w:val="en-US"/>
        </w:rPr>
        <w:t xml:space="preserve">, Hausken T, Gundersen D, El-Salhy M. Effects of dietary guidance on the symptoms, quality of life and habitual dietary intake of patients with irritable bowel syndrome. </w:t>
      </w:r>
      <w:r w:rsidRPr="00F448FE">
        <w:rPr>
          <w:rFonts w:ascii="Book Antiqua" w:hAnsi="Book Antiqua"/>
          <w:i/>
          <w:iCs/>
          <w:noProof/>
          <w:lang w:val="en-US"/>
        </w:rPr>
        <w:t>Mol Med Rep</w:t>
      </w:r>
      <w:r w:rsidRPr="00F448FE">
        <w:rPr>
          <w:rFonts w:ascii="Book Antiqua" w:hAnsi="Book Antiqua"/>
          <w:noProof/>
          <w:lang w:val="en-US"/>
        </w:rPr>
        <w:t xml:space="preserve"> 2013; </w:t>
      </w:r>
      <w:r w:rsidRPr="00F448FE">
        <w:rPr>
          <w:rFonts w:ascii="Book Antiqua" w:hAnsi="Book Antiqua"/>
          <w:b/>
          <w:bCs/>
          <w:noProof/>
          <w:lang w:val="en-US"/>
        </w:rPr>
        <w:t>8</w:t>
      </w:r>
      <w:r w:rsidRPr="00F448FE">
        <w:rPr>
          <w:rFonts w:ascii="Book Antiqua" w:hAnsi="Book Antiqua"/>
          <w:noProof/>
          <w:lang w:val="en-US"/>
        </w:rPr>
        <w:t>: 845-852 [PMID: 23820783 DOI: 10.3892/mmr.2013.1565]</w:t>
      </w:r>
    </w:p>
    <w:p w14:paraId="024EDD5E"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92 </w:t>
      </w:r>
      <w:r w:rsidRPr="00F448FE">
        <w:rPr>
          <w:rFonts w:ascii="Book Antiqua" w:hAnsi="Book Antiqua"/>
          <w:b/>
          <w:bCs/>
          <w:noProof/>
          <w:lang w:val="en-US"/>
        </w:rPr>
        <w:t>El-Salhy M</w:t>
      </w:r>
      <w:r w:rsidRPr="00F448FE">
        <w:rPr>
          <w:rFonts w:ascii="Book Antiqua" w:hAnsi="Book Antiqua"/>
          <w:noProof/>
          <w:lang w:val="en-US"/>
        </w:rPr>
        <w:t xml:space="preserve">, Gilja OH, Hatlebakk JG, Hausken T. Stomach antral endocrine cells in patients with irritable bowel syndrome. </w:t>
      </w:r>
      <w:r w:rsidRPr="00F448FE">
        <w:rPr>
          <w:rFonts w:ascii="Book Antiqua" w:hAnsi="Book Antiqua"/>
          <w:i/>
          <w:iCs/>
          <w:noProof/>
          <w:lang w:val="en-US"/>
        </w:rPr>
        <w:t>Int J Mol Med</w:t>
      </w:r>
      <w:r w:rsidRPr="00F448FE">
        <w:rPr>
          <w:rFonts w:ascii="Book Antiqua" w:hAnsi="Book Antiqua"/>
          <w:noProof/>
          <w:lang w:val="en-US"/>
        </w:rPr>
        <w:t xml:space="preserve"> 2014; </w:t>
      </w:r>
      <w:r w:rsidRPr="00F448FE">
        <w:rPr>
          <w:rFonts w:ascii="Book Antiqua" w:hAnsi="Book Antiqua"/>
          <w:b/>
          <w:bCs/>
          <w:noProof/>
          <w:lang w:val="en-US"/>
        </w:rPr>
        <w:t>34</w:t>
      </w:r>
      <w:r w:rsidRPr="00F448FE">
        <w:rPr>
          <w:rFonts w:ascii="Book Antiqua" w:hAnsi="Book Antiqua"/>
          <w:noProof/>
          <w:lang w:val="en-US"/>
        </w:rPr>
        <w:t>: 967-974 [PMID: 25110039 DOI: 10.3892/ijmm.2014.1887]</w:t>
      </w:r>
    </w:p>
    <w:p w14:paraId="268F1819"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93 </w:t>
      </w:r>
      <w:r w:rsidRPr="00F448FE">
        <w:rPr>
          <w:rFonts w:ascii="Book Antiqua" w:hAnsi="Book Antiqua"/>
          <w:b/>
          <w:bCs/>
          <w:noProof/>
          <w:lang w:val="en-US"/>
        </w:rPr>
        <w:t>Sjölund K</w:t>
      </w:r>
      <w:r w:rsidRPr="00F448FE">
        <w:rPr>
          <w:rFonts w:ascii="Book Antiqua" w:hAnsi="Book Antiqua"/>
          <w:noProof/>
          <w:lang w:val="en-US"/>
        </w:rPr>
        <w:t xml:space="preserve">, Ekman R, Wierup N. Covariation of plasma ghrelin and motilin in irritable bowel syndrome. </w:t>
      </w:r>
      <w:r w:rsidRPr="00F448FE">
        <w:rPr>
          <w:rFonts w:ascii="Book Antiqua" w:hAnsi="Book Antiqua"/>
          <w:i/>
          <w:iCs/>
          <w:noProof/>
          <w:lang w:val="en-US"/>
        </w:rPr>
        <w:t>Peptides</w:t>
      </w:r>
      <w:r w:rsidRPr="00F448FE">
        <w:rPr>
          <w:rFonts w:ascii="Book Antiqua" w:hAnsi="Book Antiqua"/>
          <w:noProof/>
          <w:lang w:val="en-US"/>
        </w:rPr>
        <w:t xml:space="preserve"> 2010; </w:t>
      </w:r>
      <w:r w:rsidRPr="00F448FE">
        <w:rPr>
          <w:rFonts w:ascii="Book Antiqua" w:hAnsi="Book Antiqua"/>
          <w:b/>
          <w:bCs/>
          <w:noProof/>
          <w:lang w:val="en-US"/>
        </w:rPr>
        <w:t>31</w:t>
      </w:r>
      <w:r w:rsidRPr="00F448FE">
        <w:rPr>
          <w:rFonts w:ascii="Book Antiqua" w:hAnsi="Book Antiqua"/>
          <w:noProof/>
          <w:lang w:val="en-US"/>
        </w:rPr>
        <w:t>: 1109-1112 [PMID: 20338210 DOI: 10.1016/j.peptides.2010.03.021]</w:t>
      </w:r>
    </w:p>
    <w:p w14:paraId="5A9C2C5B"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94 </w:t>
      </w:r>
      <w:r w:rsidRPr="00F448FE">
        <w:rPr>
          <w:rFonts w:ascii="Book Antiqua" w:hAnsi="Book Antiqua"/>
          <w:b/>
          <w:bCs/>
          <w:noProof/>
          <w:lang w:val="en-US"/>
        </w:rPr>
        <w:t>Wang SH</w:t>
      </w:r>
      <w:r w:rsidRPr="00F448FE">
        <w:rPr>
          <w:rFonts w:ascii="Book Antiqua" w:hAnsi="Book Antiqua"/>
          <w:noProof/>
          <w:lang w:val="en-US"/>
        </w:rPr>
        <w:t xml:space="preserve">, Dong L, Luo JY, Gong J, Li L, Lu XL, Han SP. Decreased expression of serotonin in the jejunum and increased numbers of mast cells in the terminal ileum in patients with irritable bowel syndrome. </w:t>
      </w:r>
      <w:r w:rsidRPr="00F448FE">
        <w:rPr>
          <w:rFonts w:ascii="Book Antiqua" w:hAnsi="Book Antiqua"/>
          <w:i/>
          <w:iCs/>
          <w:noProof/>
          <w:lang w:val="en-US"/>
        </w:rPr>
        <w:t>World J Gastroenterol</w:t>
      </w:r>
      <w:r w:rsidRPr="00F448FE">
        <w:rPr>
          <w:rFonts w:ascii="Book Antiqua" w:hAnsi="Book Antiqua"/>
          <w:noProof/>
          <w:lang w:val="en-US"/>
        </w:rPr>
        <w:t xml:space="preserve"> 2007; </w:t>
      </w:r>
      <w:r w:rsidRPr="00F448FE">
        <w:rPr>
          <w:rFonts w:ascii="Book Antiqua" w:hAnsi="Book Antiqua"/>
          <w:b/>
          <w:bCs/>
          <w:noProof/>
          <w:lang w:val="en-US"/>
        </w:rPr>
        <w:t>13</w:t>
      </w:r>
      <w:r w:rsidRPr="00F448FE">
        <w:rPr>
          <w:rFonts w:ascii="Book Antiqua" w:hAnsi="Book Antiqua"/>
          <w:noProof/>
          <w:lang w:val="en-US"/>
        </w:rPr>
        <w:t>: 6041-6047 [PMID: 18023097 DOI: 10.3748/wjg.v13.45.6041]</w:t>
      </w:r>
    </w:p>
    <w:p w14:paraId="345E9585"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95 </w:t>
      </w:r>
      <w:r w:rsidRPr="00F448FE">
        <w:rPr>
          <w:rFonts w:ascii="Book Antiqua" w:hAnsi="Book Antiqua"/>
          <w:b/>
          <w:bCs/>
          <w:noProof/>
          <w:lang w:val="en-US"/>
        </w:rPr>
        <w:t>Park JH</w:t>
      </w:r>
      <w:r w:rsidRPr="00F448FE">
        <w:rPr>
          <w:rFonts w:ascii="Book Antiqua" w:hAnsi="Book Antiqua"/>
          <w:noProof/>
          <w:lang w:val="en-US"/>
        </w:rPr>
        <w:t xml:space="preserve">, Rhee PL, Kim G, Lee JH, Kim YH, Kim JJ, Rhee JC, Song SY. Enteroendocrine cell counts correlate with visceral hypersensitivity in patients with diarrhoea-predominant irritable bowel syndrome. </w:t>
      </w:r>
      <w:r w:rsidRPr="00F448FE">
        <w:rPr>
          <w:rFonts w:ascii="Book Antiqua" w:hAnsi="Book Antiqua"/>
          <w:i/>
          <w:iCs/>
          <w:noProof/>
          <w:lang w:val="en-US"/>
        </w:rPr>
        <w:t>Neurogastroenterol Motil</w:t>
      </w:r>
      <w:r w:rsidRPr="00F448FE">
        <w:rPr>
          <w:rFonts w:ascii="Book Antiqua" w:hAnsi="Book Antiqua"/>
          <w:noProof/>
          <w:lang w:val="en-US"/>
        </w:rPr>
        <w:t xml:space="preserve"> 2006; </w:t>
      </w:r>
      <w:r w:rsidRPr="00F448FE">
        <w:rPr>
          <w:rFonts w:ascii="Book Antiqua" w:hAnsi="Book Antiqua"/>
          <w:b/>
          <w:bCs/>
          <w:noProof/>
          <w:lang w:val="en-US"/>
        </w:rPr>
        <w:t>18</w:t>
      </w:r>
      <w:r w:rsidRPr="00F448FE">
        <w:rPr>
          <w:rFonts w:ascii="Book Antiqua" w:hAnsi="Book Antiqua"/>
          <w:noProof/>
          <w:lang w:val="en-US"/>
        </w:rPr>
        <w:t>: 539-546 [PMID: 16771769 DOI: 10.1111/j.1365-2982.2006.00771.x]</w:t>
      </w:r>
    </w:p>
    <w:p w14:paraId="2B9AEFD3"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96 </w:t>
      </w:r>
      <w:r w:rsidRPr="00F448FE">
        <w:rPr>
          <w:rFonts w:ascii="Book Antiqua" w:hAnsi="Book Antiqua"/>
          <w:b/>
          <w:bCs/>
          <w:noProof/>
          <w:lang w:val="en-US"/>
        </w:rPr>
        <w:t>Coates MD</w:t>
      </w:r>
      <w:r w:rsidRPr="00F448FE">
        <w:rPr>
          <w:rFonts w:ascii="Book Antiqua" w:hAnsi="Book Antiqua"/>
          <w:noProof/>
          <w:lang w:val="en-US"/>
        </w:rPr>
        <w:t xml:space="preserve">, Mahoney CR, Linden DR, Sampson JE, Chen J, Blaszyk H, Crowell MD, Sharkey KA, Gershon MD, Mawe GM, Moses PL. Molecular defects in mucosal serotonin content and decreased serotonin reuptake transporter in ulcerative colitis and irritable bowel syndrome. </w:t>
      </w:r>
      <w:r w:rsidRPr="00F448FE">
        <w:rPr>
          <w:rFonts w:ascii="Book Antiqua" w:hAnsi="Book Antiqua"/>
          <w:i/>
          <w:iCs/>
          <w:noProof/>
          <w:lang w:val="en-US"/>
        </w:rPr>
        <w:t>Gastroenterology</w:t>
      </w:r>
      <w:r w:rsidRPr="00F448FE">
        <w:rPr>
          <w:rFonts w:ascii="Book Antiqua" w:hAnsi="Book Antiqua"/>
          <w:noProof/>
          <w:lang w:val="en-US"/>
        </w:rPr>
        <w:t xml:space="preserve"> 2004; </w:t>
      </w:r>
      <w:r w:rsidRPr="00F448FE">
        <w:rPr>
          <w:rFonts w:ascii="Book Antiqua" w:hAnsi="Book Antiqua"/>
          <w:b/>
          <w:bCs/>
          <w:noProof/>
          <w:lang w:val="en-US"/>
        </w:rPr>
        <w:t>126</w:t>
      </w:r>
      <w:r w:rsidRPr="00F448FE">
        <w:rPr>
          <w:rFonts w:ascii="Book Antiqua" w:hAnsi="Book Antiqua"/>
          <w:noProof/>
          <w:lang w:val="en-US"/>
        </w:rPr>
        <w:t>: 1657-1664 [PMID: 15188158 DOI: 10.1053/j.gastro.2004.03.013]</w:t>
      </w:r>
    </w:p>
    <w:p w14:paraId="71EF49B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97 </w:t>
      </w:r>
      <w:r w:rsidRPr="00F448FE">
        <w:rPr>
          <w:rFonts w:ascii="Book Antiqua" w:hAnsi="Book Antiqua"/>
          <w:b/>
          <w:bCs/>
          <w:noProof/>
          <w:lang w:val="en-US"/>
        </w:rPr>
        <w:t>El-Salhy M</w:t>
      </w:r>
      <w:r w:rsidRPr="00F448FE">
        <w:rPr>
          <w:rFonts w:ascii="Book Antiqua" w:hAnsi="Book Antiqua"/>
          <w:noProof/>
          <w:lang w:val="en-US"/>
        </w:rPr>
        <w:t xml:space="preserve">, Wendelbo I, Gundersen D. Serotonin and serotonin transporter in the rectum of patients with irritable bowel disease. </w:t>
      </w:r>
      <w:r w:rsidRPr="00F448FE">
        <w:rPr>
          <w:rFonts w:ascii="Book Antiqua" w:hAnsi="Book Antiqua"/>
          <w:i/>
          <w:iCs/>
          <w:noProof/>
          <w:lang w:val="en-US"/>
        </w:rPr>
        <w:t>Mol Med Rep</w:t>
      </w:r>
      <w:r w:rsidRPr="00F448FE">
        <w:rPr>
          <w:rFonts w:ascii="Book Antiqua" w:hAnsi="Book Antiqua"/>
          <w:noProof/>
          <w:lang w:val="en-US"/>
        </w:rPr>
        <w:t xml:space="preserve"> 2013; </w:t>
      </w:r>
      <w:r w:rsidRPr="00F448FE">
        <w:rPr>
          <w:rFonts w:ascii="Book Antiqua" w:hAnsi="Book Antiqua"/>
          <w:b/>
          <w:bCs/>
          <w:noProof/>
          <w:lang w:val="en-US"/>
        </w:rPr>
        <w:t>8</w:t>
      </w:r>
      <w:r w:rsidRPr="00F448FE">
        <w:rPr>
          <w:rFonts w:ascii="Book Antiqua" w:hAnsi="Book Antiqua"/>
          <w:noProof/>
          <w:lang w:val="en-US"/>
        </w:rPr>
        <w:t>: 451-455 [PMID: 23778763 DOI: 10.3892/mmr.2013.1525]</w:t>
      </w:r>
    </w:p>
    <w:p w14:paraId="03EAF58E"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98 </w:t>
      </w:r>
      <w:r w:rsidRPr="00F448FE">
        <w:rPr>
          <w:rFonts w:ascii="Book Antiqua" w:hAnsi="Book Antiqua"/>
          <w:b/>
          <w:bCs/>
          <w:noProof/>
          <w:lang w:val="en-US"/>
        </w:rPr>
        <w:t>Soares RL</w:t>
      </w:r>
      <w:r w:rsidRPr="00F448FE">
        <w:rPr>
          <w:rFonts w:ascii="Book Antiqua" w:hAnsi="Book Antiqua"/>
          <w:noProof/>
          <w:lang w:val="en-US"/>
        </w:rPr>
        <w:t xml:space="preserve">. Irritable bowel syndrome: a clinical review. </w:t>
      </w:r>
      <w:r w:rsidRPr="00F448FE">
        <w:rPr>
          <w:rFonts w:ascii="Book Antiqua" w:hAnsi="Book Antiqua"/>
          <w:i/>
          <w:iCs/>
          <w:noProof/>
          <w:lang w:val="en-US"/>
        </w:rPr>
        <w:t>World J Gastroenterol</w:t>
      </w:r>
      <w:r w:rsidRPr="00F448FE">
        <w:rPr>
          <w:rFonts w:ascii="Book Antiqua" w:hAnsi="Book Antiqua"/>
          <w:noProof/>
          <w:lang w:val="en-US"/>
        </w:rPr>
        <w:t xml:space="preserve"> 2014; </w:t>
      </w:r>
      <w:r w:rsidRPr="00F448FE">
        <w:rPr>
          <w:rFonts w:ascii="Book Antiqua" w:hAnsi="Book Antiqua"/>
          <w:b/>
          <w:bCs/>
          <w:noProof/>
          <w:lang w:val="en-US"/>
        </w:rPr>
        <w:t>20</w:t>
      </w:r>
      <w:r w:rsidRPr="00F448FE">
        <w:rPr>
          <w:rFonts w:ascii="Book Antiqua" w:hAnsi="Book Antiqua"/>
          <w:noProof/>
          <w:lang w:val="en-US"/>
        </w:rPr>
        <w:t>: 12144-12160 [PMID: 25232249 DOI: 10.3748/wjg.v20.i34.12144]</w:t>
      </w:r>
    </w:p>
    <w:p w14:paraId="67DAEB93" w14:textId="171248CB"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99 </w:t>
      </w:r>
      <w:r w:rsidRPr="00F448FE">
        <w:rPr>
          <w:rFonts w:ascii="Book Antiqua" w:hAnsi="Book Antiqua"/>
          <w:b/>
          <w:bCs/>
          <w:noProof/>
          <w:lang w:val="en-US"/>
        </w:rPr>
        <w:t>Weston AP</w:t>
      </w:r>
      <w:r w:rsidRPr="00F448FE">
        <w:rPr>
          <w:rFonts w:ascii="Book Antiqua" w:hAnsi="Book Antiqua"/>
          <w:noProof/>
          <w:lang w:val="en-US"/>
        </w:rPr>
        <w:t xml:space="preserve">, Biddle WL, Bhatia PS, Miner PB Jr. Terminal ileal mucosal mast cells in irritable bowel syndrome. </w:t>
      </w:r>
      <w:r w:rsidRPr="00F448FE">
        <w:rPr>
          <w:rFonts w:ascii="Book Antiqua" w:hAnsi="Book Antiqua"/>
          <w:i/>
          <w:iCs/>
          <w:noProof/>
          <w:lang w:val="en-US"/>
        </w:rPr>
        <w:t>Dig Dis Sci</w:t>
      </w:r>
      <w:r w:rsidRPr="00F448FE">
        <w:rPr>
          <w:rFonts w:ascii="Book Antiqua" w:hAnsi="Book Antiqua"/>
          <w:noProof/>
          <w:lang w:val="en-US"/>
        </w:rPr>
        <w:t xml:space="preserve"> 1993; </w:t>
      </w:r>
      <w:r w:rsidRPr="00F448FE">
        <w:rPr>
          <w:rFonts w:ascii="Book Antiqua" w:hAnsi="Book Antiqua"/>
          <w:b/>
          <w:bCs/>
          <w:noProof/>
          <w:lang w:val="en-US"/>
        </w:rPr>
        <w:t>38</w:t>
      </w:r>
      <w:r w:rsidRPr="00F448FE">
        <w:rPr>
          <w:rFonts w:ascii="Book Antiqua" w:hAnsi="Book Antiqua"/>
          <w:noProof/>
          <w:lang w:val="en-US"/>
        </w:rPr>
        <w:t>: 1590-1595 [PMID: 8359068</w:t>
      </w:r>
      <w:r w:rsidR="00CB736F" w:rsidRPr="00F448FE">
        <w:rPr>
          <w:rFonts w:ascii="Book Antiqua" w:hAnsi="Book Antiqua"/>
          <w:noProof/>
          <w:lang w:val="en-US"/>
        </w:rPr>
        <w:t xml:space="preserve"> DOI: 10.1007/BF01303164</w:t>
      </w:r>
      <w:r w:rsidRPr="00F448FE">
        <w:rPr>
          <w:rFonts w:ascii="Book Antiqua" w:hAnsi="Book Antiqua"/>
          <w:noProof/>
          <w:lang w:val="en-US"/>
        </w:rPr>
        <w:t>]</w:t>
      </w:r>
    </w:p>
    <w:p w14:paraId="548C5FEF"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100 </w:t>
      </w:r>
      <w:r w:rsidRPr="00F448FE">
        <w:rPr>
          <w:rFonts w:ascii="Book Antiqua" w:hAnsi="Book Antiqua"/>
          <w:b/>
          <w:bCs/>
          <w:noProof/>
          <w:lang w:val="en-US"/>
        </w:rPr>
        <w:t>O'Sullivan M</w:t>
      </w:r>
      <w:r w:rsidRPr="00F448FE">
        <w:rPr>
          <w:rFonts w:ascii="Book Antiqua" w:hAnsi="Book Antiqua"/>
          <w:noProof/>
          <w:lang w:val="en-US"/>
        </w:rPr>
        <w:t xml:space="preserve">, Clayton N, Breslin NP, Harman I, Bountra C, McLaren A, O'Morain CA. Increased mast cells in the irritable bowel syndrome. </w:t>
      </w:r>
      <w:r w:rsidRPr="00F448FE">
        <w:rPr>
          <w:rFonts w:ascii="Book Antiqua" w:hAnsi="Book Antiqua"/>
          <w:i/>
          <w:iCs/>
          <w:noProof/>
          <w:lang w:val="en-US"/>
        </w:rPr>
        <w:t>Neurogastroenterol Motil</w:t>
      </w:r>
      <w:r w:rsidRPr="00F448FE">
        <w:rPr>
          <w:rFonts w:ascii="Book Antiqua" w:hAnsi="Book Antiqua"/>
          <w:noProof/>
          <w:lang w:val="en-US"/>
        </w:rPr>
        <w:t xml:space="preserve"> 2000; </w:t>
      </w:r>
      <w:r w:rsidRPr="00F448FE">
        <w:rPr>
          <w:rFonts w:ascii="Book Antiqua" w:hAnsi="Book Antiqua"/>
          <w:b/>
          <w:bCs/>
          <w:noProof/>
          <w:lang w:val="en-US"/>
        </w:rPr>
        <w:t>12</w:t>
      </w:r>
      <w:r w:rsidRPr="00F448FE">
        <w:rPr>
          <w:rFonts w:ascii="Book Antiqua" w:hAnsi="Book Antiqua"/>
          <w:noProof/>
          <w:lang w:val="en-US"/>
        </w:rPr>
        <w:t>: 449-457 [PMID: 11012945 DOI: 10.1046/j.1365-2982.2000.00221.x]</w:t>
      </w:r>
    </w:p>
    <w:p w14:paraId="2849457E"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101 </w:t>
      </w:r>
      <w:r w:rsidRPr="00F448FE">
        <w:rPr>
          <w:rFonts w:ascii="Book Antiqua" w:hAnsi="Book Antiqua"/>
          <w:b/>
          <w:bCs/>
          <w:noProof/>
          <w:lang w:val="en-US"/>
        </w:rPr>
        <w:t>Barbara G</w:t>
      </w:r>
      <w:r w:rsidRPr="00F448FE">
        <w:rPr>
          <w:rFonts w:ascii="Book Antiqua" w:hAnsi="Book Antiqua"/>
          <w:noProof/>
          <w:lang w:val="en-US"/>
        </w:rPr>
        <w:t xml:space="preserve">, De Giorgio R, Stanghellini V, Cremon C, Corinaldesi R. A role for inflammation in irritable bowel syndrome? </w:t>
      </w:r>
      <w:r w:rsidRPr="00F448FE">
        <w:rPr>
          <w:rFonts w:ascii="Book Antiqua" w:hAnsi="Book Antiqua"/>
          <w:i/>
          <w:iCs/>
          <w:noProof/>
          <w:lang w:val="en-US"/>
        </w:rPr>
        <w:t>Gut</w:t>
      </w:r>
      <w:r w:rsidRPr="00F448FE">
        <w:rPr>
          <w:rFonts w:ascii="Book Antiqua" w:hAnsi="Book Antiqua"/>
          <w:noProof/>
          <w:lang w:val="en-US"/>
        </w:rPr>
        <w:t xml:space="preserve"> 2002; </w:t>
      </w:r>
      <w:r w:rsidRPr="00F448FE">
        <w:rPr>
          <w:rFonts w:ascii="Book Antiqua" w:hAnsi="Book Antiqua"/>
          <w:b/>
          <w:bCs/>
          <w:noProof/>
          <w:lang w:val="en-US"/>
        </w:rPr>
        <w:t xml:space="preserve">51 </w:t>
      </w:r>
      <w:r w:rsidRPr="00F448FE">
        <w:rPr>
          <w:rFonts w:ascii="Book Antiqua" w:hAnsi="Book Antiqua"/>
          <w:noProof/>
          <w:lang w:val="en-US"/>
        </w:rPr>
        <w:t>Suppl 1: i41-i44 [PMID: 12077063 DOI: 10.1136/gut.51.suppl_1.i41]</w:t>
      </w:r>
    </w:p>
    <w:p w14:paraId="1DFBBB4E"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102 </w:t>
      </w:r>
      <w:r w:rsidRPr="00F448FE">
        <w:rPr>
          <w:rFonts w:ascii="Book Antiqua" w:hAnsi="Book Antiqua"/>
          <w:b/>
          <w:bCs/>
          <w:noProof/>
          <w:lang w:val="en-US"/>
        </w:rPr>
        <w:t>Barbara G</w:t>
      </w:r>
      <w:r w:rsidRPr="00F448FE">
        <w:rPr>
          <w:rFonts w:ascii="Book Antiqua" w:hAnsi="Book Antiqua"/>
          <w:noProof/>
          <w:lang w:val="en-US"/>
        </w:rPr>
        <w:t xml:space="preserve">, Stanghellini V, De Giorgio R, Cremon C, Cottrell GS, Santini D, Pasquinelli G, Morselli-Labate AM, Grady EF, Bunnett NW, Collins SM, Corinaldesi R. Activated mast cells in proximity to colonic nerves correlate with abdominal pain in irritable bowel syndrome. </w:t>
      </w:r>
      <w:r w:rsidRPr="00F448FE">
        <w:rPr>
          <w:rFonts w:ascii="Book Antiqua" w:hAnsi="Book Antiqua"/>
          <w:i/>
          <w:iCs/>
          <w:noProof/>
          <w:lang w:val="en-US"/>
        </w:rPr>
        <w:t>Gastroenterology</w:t>
      </w:r>
      <w:r w:rsidRPr="00F448FE">
        <w:rPr>
          <w:rFonts w:ascii="Book Antiqua" w:hAnsi="Book Antiqua"/>
          <w:noProof/>
          <w:lang w:val="en-US"/>
        </w:rPr>
        <w:t xml:space="preserve"> 2004; </w:t>
      </w:r>
      <w:r w:rsidRPr="00F448FE">
        <w:rPr>
          <w:rFonts w:ascii="Book Antiqua" w:hAnsi="Book Antiqua"/>
          <w:b/>
          <w:bCs/>
          <w:noProof/>
          <w:lang w:val="en-US"/>
        </w:rPr>
        <w:t>126</w:t>
      </w:r>
      <w:r w:rsidRPr="00F448FE">
        <w:rPr>
          <w:rFonts w:ascii="Book Antiqua" w:hAnsi="Book Antiqua"/>
          <w:noProof/>
          <w:lang w:val="en-US"/>
        </w:rPr>
        <w:t>: 693-702 [PMID: 14988823 DOI: 10.1053/j.gastro.2003.11.055]</w:t>
      </w:r>
    </w:p>
    <w:p w14:paraId="5D4D7294"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103 </w:t>
      </w:r>
      <w:r w:rsidRPr="00F448FE">
        <w:rPr>
          <w:rFonts w:ascii="Book Antiqua" w:hAnsi="Book Antiqua"/>
          <w:b/>
          <w:bCs/>
          <w:noProof/>
          <w:lang w:val="en-US"/>
        </w:rPr>
        <w:t>Montgomery RK</w:t>
      </w:r>
      <w:r w:rsidRPr="00F448FE">
        <w:rPr>
          <w:rFonts w:ascii="Book Antiqua" w:hAnsi="Book Antiqua"/>
          <w:noProof/>
          <w:lang w:val="en-US"/>
        </w:rPr>
        <w:t xml:space="preserve">, Breault DT. Small intestinal stem cell markers. </w:t>
      </w:r>
      <w:r w:rsidRPr="00F448FE">
        <w:rPr>
          <w:rFonts w:ascii="Book Antiqua" w:hAnsi="Book Antiqua"/>
          <w:i/>
          <w:iCs/>
          <w:noProof/>
          <w:lang w:val="en-US"/>
        </w:rPr>
        <w:t>J Anat</w:t>
      </w:r>
      <w:r w:rsidRPr="00F448FE">
        <w:rPr>
          <w:rFonts w:ascii="Book Antiqua" w:hAnsi="Book Antiqua"/>
          <w:noProof/>
          <w:lang w:val="en-US"/>
        </w:rPr>
        <w:t xml:space="preserve"> 2008; </w:t>
      </w:r>
      <w:r w:rsidRPr="00F448FE">
        <w:rPr>
          <w:rFonts w:ascii="Book Antiqua" w:hAnsi="Book Antiqua"/>
          <w:b/>
          <w:bCs/>
          <w:noProof/>
          <w:lang w:val="en-US"/>
        </w:rPr>
        <w:t>213</w:t>
      </w:r>
      <w:r w:rsidRPr="00F448FE">
        <w:rPr>
          <w:rFonts w:ascii="Book Antiqua" w:hAnsi="Book Antiqua"/>
          <w:noProof/>
          <w:lang w:val="en-US"/>
        </w:rPr>
        <w:t>: 52-58 [PMID: 18638070 DOI: 10.1111/j.1469-7580.2008.00925.x]</w:t>
      </w:r>
    </w:p>
    <w:p w14:paraId="7F319066"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104 </w:t>
      </w:r>
      <w:r w:rsidRPr="00F448FE">
        <w:rPr>
          <w:rFonts w:ascii="Book Antiqua" w:hAnsi="Book Antiqua"/>
          <w:b/>
          <w:bCs/>
          <w:noProof/>
          <w:lang w:val="en-US"/>
        </w:rPr>
        <w:t>Barker N</w:t>
      </w:r>
      <w:r w:rsidRPr="00F448FE">
        <w:rPr>
          <w:rFonts w:ascii="Book Antiqua" w:hAnsi="Book Antiqua"/>
          <w:noProof/>
          <w:lang w:val="en-US"/>
        </w:rPr>
        <w:t xml:space="preserve">, Clevers H. Tracking down the stem cells of the intestine: strategies to identify adult stem cells. </w:t>
      </w:r>
      <w:r w:rsidRPr="00F448FE">
        <w:rPr>
          <w:rFonts w:ascii="Book Antiqua" w:hAnsi="Book Antiqua"/>
          <w:i/>
          <w:iCs/>
          <w:noProof/>
          <w:lang w:val="en-US"/>
        </w:rPr>
        <w:t>Gastroenterology</w:t>
      </w:r>
      <w:r w:rsidRPr="00F448FE">
        <w:rPr>
          <w:rFonts w:ascii="Book Antiqua" w:hAnsi="Book Antiqua"/>
          <w:noProof/>
          <w:lang w:val="en-US"/>
        </w:rPr>
        <w:t xml:space="preserve"> 2007; </w:t>
      </w:r>
      <w:r w:rsidRPr="00F448FE">
        <w:rPr>
          <w:rFonts w:ascii="Book Antiqua" w:hAnsi="Book Antiqua"/>
          <w:b/>
          <w:bCs/>
          <w:noProof/>
          <w:lang w:val="en-US"/>
        </w:rPr>
        <w:t>133</w:t>
      </w:r>
      <w:r w:rsidRPr="00F448FE">
        <w:rPr>
          <w:rFonts w:ascii="Book Antiqua" w:hAnsi="Book Antiqua"/>
          <w:noProof/>
          <w:lang w:val="en-US"/>
        </w:rPr>
        <w:t>: 1755-1760 [PMID: 18054544 DOI: 10.1053/j.gastro.2007.10.029]</w:t>
      </w:r>
    </w:p>
    <w:p w14:paraId="2B7D83D4"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105 </w:t>
      </w:r>
      <w:r w:rsidRPr="00F448FE">
        <w:rPr>
          <w:rFonts w:ascii="Book Antiqua" w:hAnsi="Book Antiqua"/>
          <w:b/>
          <w:bCs/>
          <w:noProof/>
          <w:lang w:val="en-US"/>
        </w:rPr>
        <w:t>Barker N</w:t>
      </w:r>
      <w:r w:rsidRPr="00F448FE">
        <w:rPr>
          <w:rFonts w:ascii="Book Antiqua" w:hAnsi="Book Antiqua"/>
          <w:noProof/>
          <w:lang w:val="en-US"/>
        </w:rPr>
        <w:t xml:space="preserve">, van de Wetering M, Clevers H. The intestinal stem cell. </w:t>
      </w:r>
      <w:r w:rsidRPr="00F448FE">
        <w:rPr>
          <w:rFonts w:ascii="Book Antiqua" w:hAnsi="Book Antiqua"/>
          <w:i/>
          <w:iCs/>
          <w:noProof/>
          <w:lang w:val="en-US"/>
        </w:rPr>
        <w:t>Genes Dev</w:t>
      </w:r>
      <w:r w:rsidRPr="00F448FE">
        <w:rPr>
          <w:rFonts w:ascii="Book Antiqua" w:hAnsi="Book Antiqua"/>
          <w:noProof/>
          <w:lang w:val="en-US"/>
        </w:rPr>
        <w:t xml:space="preserve"> 2008; </w:t>
      </w:r>
      <w:r w:rsidRPr="00F448FE">
        <w:rPr>
          <w:rFonts w:ascii="Book Antiqua" w:hAnsi="Book Antiqua"/>
          <w:b/>
          <w:bCs/>
          <w:noProof/>
          <w:lang w:val="en-US"/>
        </w:rPr>
        <w:t>22</w:t>
      </w:r>
      <w:r w:rsidRPr="00F448FE">
        <w:rPr>
          <w:rFonts w:ascii="Book Antiqua" w:hAnsi="Book Antiqua"/>
          <w:noProof/>
          <w:lang w:val="en-US"/>
        </w:rPr>
        <w:t>: 1856-1864 [PMID: 18628392 DOI: 10.1101/gad.1674008]</w:t>
      </w:r>
    </w:p>
    <w:p w14:paraId="09372FB7"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106 </w:t>
      </w:r>
      <w:r w:rsidRPr="00F448FE">
        <w:rPr>
          <w:rFonts w:ascii="Book Antiqua" w:hAnsi="Book Antiqua"/>
          <w:b/>
          <w:bCs/>
          <w:noProof/>
          <w:lang w:val="en-US"/>
        </w:rPr>
        <w:t>Barker N</w:t>
      </w:r>
      <w:r w:rsidRPr="00F448FE">
        <w:rPr>
          <w:rFonts w:ascii="Book Antiqua" w:hAnsi="Book Antiqua"/>
          <w:noProof/>
          <w:lang w:val="en-US"/>
        </w:rPr>
        <w:t xml:space="preserve">, van Es JH, Kuipers J, Kujala P, van den Born M, Cozijnsen M, Haegebarth A, Korving J, Begthel H, Peters PJ, Clevers H. Identification of stem cells in small intestine and colon by marker gene Lgr5. </w:t>
      </w:r>
      <w:r w:rsidRPr="00F448FE">
        <w:rPr>
          <w:rFonts w:ascii="Book Antiqua" w:hAnsi="Book Antiqua"/>
          <w:i/>
          <w:iCs/>
          <w:noProof/>
          <w:lang w:val="en-US"/>
        </w:rPr>
        <w:t>Nature</w:t>
      </w:r>
      <w:r w:rsidRPr="00F448FE">
        <w:rPr>
          <w:rFonts w:ascii="Book Antiqua" w:hAnsi="Book Antiqua"/>
          <w:noProof/>
          <w:lang w:val="en-US"/>
        </w:rPr>
        <w:t xml:space="preserve"> 2007; </w:t>
      </w:r>
      <w:r w:rsidRPr="00F448FE">
        <w:rPr>
          <w:rFonts w:ascii="Book Antiqua" w:hAnsi="Book Antiqua"/>
          <w:b/>
          <w:bCs/>
          <w:noProof/>
          <w:lang w:val="en-US"/>
        </w:rPr>
        <w:t>449</w:t>
      </w:r>
      <w:r w:rsidRPr="00F448FE">
        <w:rPr>
          <w:rFonts w:ascii="Book Antiqua" w:hAnsi="Book Antiqua"/>
          <w:noProof/>
          <w:lang w:val="en-US"/>
        </w:rPr>
        <w:t>: 1003-1007 [PMID: 17934449 DOI: 10.1038/nature06196]</w:t>
      </w:r>
    </w:p>
    <w:p w14:paraId="252E2ED6"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107 </w:t>
      </w:r>
      <w:r w:rsidRPr="00F448FE">
        <w:rPr>
          <w:rFonts w:ascii="Book Antiqua" w:hAnsi="Book Antiqua"/>
          <w:b/>
          <w:bCs/>
          <w:noProof/>
          <w:lang w:val="en-US"/>
        </w:rPr>
        <w:t>Korinek V</w:t>
      </w:r>
      <w:r w:rsidRPr="00F448FE">
        <w:rPr>
          <w:rFonts w:ascii="Book Antiqua" w:hAnsi="Book Antiqua"/>
          <w:noProof/>
          <w:lang w:val="en-US"/>
        </w:rPr>
        <w:t xml:space="preserve">, Barker N, Moerer P, van Donselaar E, Huls G, Peters PJ, Clevers H. Depletion of epithelial stem-cell compartments in the small intestine of mice lacking Tcf-4. </w:t>
      </w:r>
      <w:r w:rsidRPr="00F448FE">
        <w:rPr>
          <w:rFonts w:ascii="Book Antiqua" w:hAnsi="Book Antiqua"/>
          <w:i/>
          <w:iCs/>
          <w:noProof/>
          <w:lang w:val="en-US"/>
        </w:rPr>
        <w:t>Nat Genet</w:t>
      </w:r>
      <w:r w:rsidRPr="00F448FE">
        <w:rPr>
          <w:rFonts w:ascii="Book Antiqua" w:hAnsi="Book Antiqua"/>
          <w:noProof/>
          <w:lang w:val="en-US"/>
        </w:rPr>
        <w:t xml:space="preserve"> 1998; </w:t>
      </w:r>
      <w:r w:rsidRPr="00F448FE">
        <w:rPr>
          <w:rFonts w:ascii="Book Antiqua" w:hAnsi="Book Antiqua"/>
          <w:b/>
          <w:bCs/>
          <w:noProof/>
          <w:lang w:val="en-US"/>
        </w:rPr>
        <w:t>19</w:t>
      </w:r>
      <w:r w:rsidRPr="00F448FE">
        <w:rPr>
          <w:rFonts w:ascii="Book Antiqua" w:hAnsi="Book Antiqua"/>
          <w:noProof/>
          <w:lang w:val="en-US"/>
        </w:rPr>
        <w:t>: 379-383 [PMID: 9697701 DOI: 10.1038/1270]</w:t>
      </w:r>
    </w:p>
    <w:p w14:paraId="77C799C9"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108 </w:t>
      </w:r>
      <w:r w:rsidRPr="00F448FE">
        <w:rPr>
          <w:rFonts w:ascii="Book Antiqua" w:hAnsi="Book Antiqua"/>
          <w:b/>
          <w:bCs/>
          <w:noProof/>
          <w:lang w:val="en-US"/>
        </w:rPr>
        <w:t>Cheng H</w:t>
      </w:r>
      <w:r w:rsidRPr="00F448FE">
        <w:rPr>
          <w:rFonts w:ascii="Book Antiqua" w:hAnsi="Book Antiqua"/>
          <w:noProof/>
          <w:lang w:val="en-US"/>
        </w:rPr>
        <w:t xml:space="preserve">, Leblond CP. Origin, differentiation and renewal of the four main epithelial cell types in the mouse small intestine. V. Unitarian Theory of the origin of the four epithelial cell types. </w:t>
      </w:r>
      <w:r w:rsidRPr="00F448FE">
        <w:rPr>
          <w:rFonts w:ascii="Book Antiqua" w:hAnsi="Book Antiqua"/>
          <w:i/>
          <w:iCs/>
          <w:noProof/>
          <w:lang w:val="en-US"/>
        </w:rPr>
        <w:t>Am J Anat</w:t>
      </w:r>
      <w:r w:rsidRPr="00F448FE">
        <w:rPr>
          <w:rFonts w:ascii="Book Antiqua" w:hAnsi="Book Antiqua"/>
          <w:noProof/>
          <w:lang w:val="en-US"/>
        </w:rPr>
        <w:t xml:space="preserve"> 1974; </w:t>
      </w:r>
      <w:r w:rsidRPr="00F448FE">
        <w:rPr>
          <w:rFonts w:ascii="Book Antiqua" w:hAnsi="Book Antiqua"/>
          <w:b/>
          <w:bCs/>
          <w:noProof/>
          <w:lang w:val="en-US"/>
        </w:rPr>
        <w:t>141</w:t>
      </w:r>
      <w:r w:rsidRPr="00F448FE">
        <w:rPr>
          <w:rFonts w:ascii="Book Antiqua" w:hAnsi="Book Antiqua"/>
          <w:noProof/>
          <w:lang w:val="en-US"/>
        </w:rPr>
        <w:t>: 537-561 [PMID: 4440635 DOI: 10.1002/aja.1001410407]</w:t>
      </w:r>
    </w:p>
    <w:p w14:paraId="3F63B040"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109 </w:t>
      </w:r>
      <w:r w:rsidRPr="00F448FE">
        <w:rPr>
          <w:rFonts w:ascii="Book Antiqua" w:hAnsi="Book Antiqua"/>
          <w:b/>
          <w:bCs/>
          <w:noProof/>
          <w:lang w:val="en-US"/>
        </w:rPr>
        <w:t>Le Douarin NM</w:t>
      </w:r>
      <w:r w:rsidRPr="00F448FE">
        <w:rPr>
          <w:rFonts w:ascii="Book Antiqua" w:hAnsi="Book Antiqua"/>
          <w:noProof/>
          <w:lang w:val="en-US"/>
        </w:rPr>
        <w:t xml:space="preserve">, Teillet MA. The migration of neural crest cells to the wall of the digestive tract in avian embryo. </w:t>
      </w:r>
      <w:r w:rsidRPr="00F448FE">
        <w:rPr>
          <w:rFonts w:ascii="Book Antiqua" w:hAnsi="Book Antiqua"/>
          <w:i/>
          <w:iCs/>
          <w:noProof/>
          <w:lang w:val="en-US"/>
        </w:rPr>
        <w:t>J Embryol Exp Morphol</w:t>
      </w:r>
      <w:r w:rsidRPr="00F448FE">
        <w:rPr>
          <w:rFonts w:ascii="Book Antiqua" w:hAnsi="Book Antiqua"/>
          <w:noProof/>
          <w:lang w:val="en-US"/>
        </w:rPr>
        <w:t xml:space="preserve"> 1973; </w:t>
      </w:r>
      <w:r w:rsidRPr="00F448FE">
        <w:rPr>
          <w:rFonts w:ascii="Book Antiqua" w:hAnsi="Book Antiqua"/>
          <w:b/>
          <w:bCs/>
          <w:noProof/>
          <w:lang w:val="en-US"/>
        </w:rPr>
        <w:t>30</w:t>
      </w:r>
      <w:r w:rsidRPr="00F448FE">
        <w:rPr>
          <w:rFonts w:ascii="Book Antiqua" w:hAnsi="Book Antiqua"/>
          <w:noProof/>
          <w:lang w:val="en-US"/>
        </w:rPr>
        <w:t>: 31-48 [PMID: 4729950]</w:t>
      </w:r>
    </w:p>
    <w:p w14:paraId="6E6D676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110 </w:t>
      </w:r>
      <w:r w:rsidRPr="00F448FE">
        <w:rPr>
          <w:rFonts w:ascii="Book Antiqua" w:hAnsi="Book Antiqua"/>
          <w:b/>
          <w:bCs/>
          <w:noProof/>
          <w:lang w:val="en-US"/>
        </w:rPr>
        <w:t>Rawdon BB</w:t>
      </w:r>
      <w:r w:rsidRPr="00F448FE">
        <w:rPr>
          <w:rFonts w:ascii="Book Antiqua" w:hAnsi="Book Antiqua"/>
          <w:noProof/>
          <w:lang w:val="en-US"/>
        </w:rPr>
        <w:t xml:space="preserve">, Andrew A. Origin and differentiation of gut endocrine cells. </w:t>
      </w:r>
      <w:r w:rsidRPr="00F448FE">
        <w:rPr>
          <w:rFonts w:ascii="Book Antiqua" w:hAnsi="Book Antiqua"/>
          <w:i/>
          <w:iCs/>
          <w:noProof/>
          <w:lang w:val="en-US"/>
        </w:rPr>
        <w:t>Histol Histopathol</w:t>
      </w:r>
      <w:r w:rsidRPr="00F448FE">
        <w:rPr>
          <w:rFonts w:ascii="Book Antiqua" w:hAnsi="Book Antiqua"/>
          <w:noProof/>
          <w:lang w:val="en-US"/>
        </w:rPr>
        <w:t xml:space="preserve"> 1993; </w:t>
      </w:r>
      <w:r w:rsidRPr="00F448FE">
        <w:rPr>
          <w:rFonts w:ascii="Book Antiqua" w:hAnsi="Book Antiqua"/>
          <w:b/>
          <w:bCs/>
          <w:noProof/>
          <w:lang w:val="en-US"/>
        </w:rPr>
        <w:t>8</w:t>
      </w:r>
      <w:r w:rsidRPr="00F448FE">
        <w:rPr>
          <w:rFonts w:ascii="Book Antiqua" w:hAnsi="Book Antiqua"/>
          <w:noProof/>
          <w:lang w:val="en-US"/>
        </w:rPr>
        <w:t>: 567-580 [PMID: 8358166]</w:t>
      </w:r>
    </w:p>
    <w:p w14:paraId="7623F629" w14:textId="24A10D15"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111 </w:t>
      </w:r>
      <w:r w:rsidRPr="00F448FE">
        <w:rPr>
          <w:rFonts w:ascii="Book Antiqua" w:hAnsi="Book Antiqua"/>
          <w:b/>
          <w:bCs/>
          <w:noProof/>
          <w:lang w:val="en-US"/>
        </w:rPr>
        <w:t>Hoffman J</w:t>
      </w:r>
      <w:r w:rsidRPr="00F448FE">
        <w:rPr>
          <w:rFonts w:ascii="Book Antiqua" w:hAnsi="Book Antiqua"/>
          <w:noProof/>
          <w:lang w:val="en-US"/>
        </w:rPr>
        <w:t xml:space="preserve">, Kuhnert F, Davis CR, Kuo CJ. Wnts as essential growth factors for the adult small intestine and colon. </w:t>
      </w:r>
      <w:r w:rsidRPr="00F448FE">
        <w:rPr>
          <w:rFonts w:ascii="Book Antiqua" w:hAnsi="Book Antiqua"/>
          <w:i/>
          <w:iCs/>
          <w:noProof/>
          <w:lang w:val="en-US"/>
        </w:rPr>
        <w:t>Cell Cycle</w:t>
      </w:r>
      <w:r w:rsidRPr="00F448FE">
        <w:rPr>
          <w:rFonts w:ascii="Book Antiqua" w:hAnsi="Book Antiqua"/>
          <w:noProof/>
          <w:lang w:val="en-US"/>
        </w:rPr>
        <w:t xml:space="preserve"> 2004; </w:t>
      </w:r>
      <w:r w:rsidRPr="00F448FE">
        <w:rPr>
          <w:rFonts w:ascii="Book Antiqua" w:hAnsi="Book Antiqua"/>
          <w:b/>
          <w:bCs/>
          <w:noProof/>
          <w:lang w:val="en-US"/>
        </w:rPr>
        <w:t>3</w:t>
      </w:r>
      <w:r w:rsidRPr="00F448FE">
        <w:rPr>
          <w:rFonts w:ascii="Book Antiqua" w:hAnsi="Book Antiqua"/>
          <w:noProof/>
          <w:lang w:val="en-US"/>
        </w:rPr>
        <w:t>: 554-557 [PMID: 15044853</w:t>
      </w:r>
      <w:r w:rsidR="00CB736F" w:rsidRPr="00F448FE">
        <w:rPr>
          <w:rFonts w:ascii="Book Antiqua" w:hAnsi="Book Antiqua"/>
          <w:noProof/>
          <w:lang w:val="en-US"/>
        </w:rPr>
        <w:t xml:space="preserve"> DOI: 10.4161/cc.3.5.858</w:t>
      </w:r>
      <w:r w:rsidRPr="00F448FE">
        <w:rPr>
          <w:rFonts w:ascii="Book Antiqua" w:hAnsi="Book Antiqua"/>
          <w:noProof/>
          <w:lang w:val="en-US"/>
        </w:rPr>
        <w:t>]</w:t>
      </w:r>
    </w:p>
    <w:p w14:paraId="5CA781E6"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112 </w:t>
      </w:r>
      <w:r w:rsidRPr="00F448FE">
        <w:rPr>
          <w:rFonts w:ascii="Book Antiqua" w:hAnsi="Book Antiqua"/>
          <w:b/>
          <w:bCs/>
          <w:noProof/>
          <w:lang w:val="en-US"/>
        </w:rPr>
        <w:t>Lee CS</w:t>
      </w:r>
      <w:r w:rsidRPr="00F448FE">
        <w:rPr>
          <w:rFonts w:ascii="Book Antiqua" w:hAnsi="Book Antiqua"/>
          <w:noProof/>
          <w:lang w:val="en-US"/>
        </w:rPr>
        <w:t xml:space="preserve">, Kaestner KH. Clinical endocrinology and metabolism. Development of gut endocrine cells. </w:t>
      </w:r>
      <w:r w:rsidRPr="00F448FE">
        <w:rPr>
          <w:rFonts w:ascii="Book Antiqua" w:hAnsi="Book Antiqua"/>
          <w:i/>
          <w:iCs/>
          <w:noProof/>
          <w:lang w:val="en-US"/>
        </w:rPr>
        <w:t>Best Pract Res Clin Endocrinol Metab</w:t>
      </w:r>
      <w:r w:rsidRPr="00F448FE">
        <w:rPr>
          <w:rFonts w:ascii="Book Antiqua" w:hAnsi="Book Antiqua"/>
          <w:noProof/>
          <w:lang w:val="en-US"/>
        </w:rPr>
        <w:t xml:space="preserve"> 2004; </w:t>
      </w:r>
      <w:r w:rsidRPr="00F448FE">
        <w:rPr>
          <w:rFonts w:ascii="Book Antiqua" w:hAnsi="Book Antiqua"/>
          <w:b/>
          <w:bCs/>
          <w:noProof/>
          <w:lang w:val="en-US"/>
        </w:rPr>
        <w:t>18</w:t>
      </w:r>
      <w:r w:rsidRPr="00F448FE">
        <w:rPr>
          <w:rFonts w:ascii="Book Antiqua" w:hAnsi="Book Antiqua"/>
          <w:noProof/>
          <w:lang w:val="en-US"/>
        </w:rPr>
        <w:t>: 453-462 [PMID: 15533769 DOI: 10.1016/j.beem.2004.08.008]</w:t>
      </w:r>
    </w:p>
    <w:p w14:paraId="212F29E6"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113 </w:t>
      </w:r>
      <w:r w:rsidRPr="00F448FE">
        <w:rPr>
          <w:rFonts w:ascii="Book Antiqua" w:hAnsi="Book Antiqua"/>
          <w:b/>
          <w:bCs/>
          <w:noProof/>
          <w:lang w:val="en-US"/>
        </w:rPr>
        <w:t>Potten CS</w:t>
      </w:r>
      <w:r w:rsidRPr="00F448FE">
        <w:rPr>
          <w:rFonts w:ascii="Book Antiqua" w:hAnsi="Book Antiqua"/>
          <w:noProof/>
          <w:lang w:val="en-US"/>
        </w:rPr>
        <w:t xml:space="preserve">, Booth C, Tudor GL, Booth D, Brady G, Hurley P, Ashton G, Clarke R, Sakakibara S, Okano H. Identification of a putative intestinal stem cell and early lineage marker; musashi-1. </w:t>
      </w:r>
      <w:r w:rsidRPr="00F448FE">
        <w:rPr>
          <w:rFonts w:ascii="Book Antiqua" w:hAnsi="Book Antiqua"/>
          <w:i/>
          <w:iCs/>
          <w:noProof/>
          <w:lang w:val="en-US"/>
        </w:rPr>
        <w:t>Differentiation</w:t>
      </w:r>
      <w:r w:rsidRPr="00F448FE">
        <w:rPr>
          <w:rFonts w:ascii="Book Antiqua" w:hAnsi="Book Antiqua"/>
          <w:noProof/>
          <w:lang w:val="en-US"/>
        </w:rPr>
        <w:t xml:space="preserve"> 2003; </w:t>
      </w:r>
      <w:r w:rsidRPr="00F448FE">
        <w:rPr>
          <w:rFonts w:ascii="Book Antiqua" w:hAnsi="Book Antiqua"/>
          <w:b/>
          <w:bCs/>
          <w:noProof/>
          <w:lang w:val="en-US"/>
        </w:rPr>
        <w:t>71</w:t>
      </w:r>
      <w:r w:rsidRPr="00F448FE">
        <w:rPr>
          <w:rFonts w:ascii="Book Antiqua" w:hAnsi="Book Antiqua"/>
          <w:noProof/>
          <w:lang w:val="en-US"/>
        </w:rPr>
        <w:t>: 28-41 [PMID: 12558601 DOI: 10.1046/j.1432-0436.2003.700603.x]</w:t>
      </w:r>
    </w:p>
    <w:p w14:paraId="29673220" w14:textId="234C5F0D"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114 </w:t>
      </w:r>
      <w:r w:rsidRPr="00F448FE">
        <w:rPr>
          <w:rFonts w:ascii="Book Antiqua" w:hAnsi="Book Antiqua"/>
          <w:b/>
          <w:bCs/>
          <w:noProof/>
          <w:lang w:val="en-US"/>
        </w:rPr>
        <w:t>Kayahara T</w:t>
      </w:r>
      <w:r w:rsidRPr="00F448FE">
        <w:rPr>
          <w:rFonts w:ascii="Book Antiqua" w:hAnsi="Book Antiqua"/>
          <w:noProof/>
          <w:lang w:val="en-US"/>
        </w:rPr>
        <w:t xml:space="preserve">, Sawada M, Takaishi S, Fukui H, Seno H, Fukuzawa H, Suzuki K, Hiai H, Kageyama R, Okano H, Chiba T. Candidate markers for stem and early progenitor cells, Musashi-1 and Hes1, are expressed in crypt base columnar cells of mouse small intestine. </w:t>
      </w:r>
      <w:r w:rsidRPr="00F448FE">
        <w:rPr>
          <w:rFonts w:ascii="Book Antiqua" w:hAnsi="Book Antiqua"/>
          <w:i/>
          <w:iCs/>
          <w:noProof/>
          <w:lang w:val="en-US"/>
        </w:rPr>
        <w:t>FEBS Lett</w:t>
      </w:r>
      <w:r w:rsidRPr="00F448FE">
        <w:rPr>
          <w:rFonts w:ascii="Book Antiqua" w:hAnsi="Book Antiqua"/>
          <w:noProof/>
          <w:lang w:val="en-US"/>
        </w:rPr>
        <w:t xml:space="preserve"> 2003; </w:t>
      </w:r>
      <w:r w:rsidRPr="00F448FE">
        <w:rPr>
          <w:rFonts w:ascii="Book Antiqua" w:hAnsi="Book Antiqua"/>
          <w:b/>
          <w:bCs/>
          <w:noProof/>
          <w:lang w:val="en-US"/>
        </w:rPr>
        <w:t>535</w:t>
      </w:r>
      <w:r w:rsidRPr="00F448FE">
        <w:rPr>
          <w:rFonts w:ascii="Book Antiqua" w:hAnsi="Book Antiqua"/>
          <w:noProof/>
          <w:lang w:val="en-US"/>
        </w:rPr>
        <w:t>: 131-135 [PMID: 12560091</w:t>
      </w:r>
      <w:r w:rsidR="00CB736F" w:rsidRPr="00F448FE">
        <w:rPr>
          <w:rFonts w:ascii="Book Antiqua" w:hAnsi="Book Antiqua"/>
          <w:noProof/>
          <w:lang w:val="en-US"/>
        </w:rPr>
        <w:t xml:space="preserve"> DOI: 10.1016/S0014-5793(02)03896-6</w:t>
      </w:r>
      <w:r w:rsidRPr="00F448FE">
        <w:rPr>
          <w:rFonts w:ascii="Book Antiqua" w:hAnsi="Book Antiqua"/>
          <w:noProof/>
          <w:lang w:val="en-US"/>
        </w:rPr>
        <w:t>]</w:t>
      </w:r>
    </w:p>
    <w:p w14:paraId="76FAB9BB"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115 </w:t>
      </w:r>
      <w:r w:rsidRPr="00F448FE">
        <w:rPr>
          <w:rFonts w:ascii="Book Antiqua" w:hAnsi="Book Antiqua"/>
          <w:b/>
          <w:bCs/>
          <w:noProof/>
          <w:lang w:val="en-US"/>
        </w:rPr>
        <w:t>He XC</w:t>
      </w:r>
      <w:r w:rsidRPr="00F448FE">
        <w:rPr>
          <w:rFonts w:ascii="Book Antiqua" w:hAnsi="Book Antiqua"/>
          <w:noProof/>
          <w:lang w:val="en-US"/>
        </w:rPr>
        <w:t xml:space="preserve">, Yin T, Grindley JC, Tian Q, Sato T, Tao WA, Dirisina R, Porter-Westpfahl KS, Hembree M, Johnson T, Wiedemann LM, Barrett TA, Hood L, Wu H, Li L. PTEN-deficient intestinal stem cells initiate intestinal polyposis. </w:t>
      </w:r>
      <w:r w:rsidRPr="00F448FE">
        <w:rPr>
          <w:rFonts w:ascii="Book Antiqua" w:hAnsi="Book Antiqua"/>
          <w:i/>
          <w:iCs/>
          <w:noProof/>
          <w:lang w:val="en-US"/>
        </w:rPr>
        <w:t>Nat Genet</w:t>
      </w:r>
      <w:r w:rsidRPr="00F448FE">
        <w:rPr>
          <w:rFonts w:ascii="Book Antiqua" w:hAnsi="Book Antiqua"/>
          <w:noProof/>
          <w:lang w:val="en-US"/>
        </w:rPr>
        <w:t xml:space="preserve"> 2007; </w:t>
      </w:r>
      <w:r w:rsidRPr="00F448FE">
        <w:rPr>
          <w:rFonts w:ascii="Book Antiqua" w:hAnsi="Book Antiqua"/>
          <w:b/>
          <w:bCs/>
          <w:noProof/>
          <w:lang w:val="en-US"/>
        </w:rPr>
        <w:t>39</w:t>
      </w:r>
      <w:r w:rsidRPr="00F448FE">
        <w:rPr>
          <w:rFonts w:ascii="Book Antiqua" w:hAnsi="Book Antiqua"/>
          <w:noProof/>
          <w:lang w:val="en-US"/>
        </w:rPr>
        <w:t>: 189-198 [PMID: 17237784 DOI: 10.1038/ng1928]</w:t>
      </w:r>
    </w:p>
    <w:p w14:paraId="0BB43F69"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116 </w:t>
      </w:r>
      <w:r w:rsidRPr="00F448FE">
        <w:rPr>
          <w:rFonts w:ascii="Book Antiqua" w:hAnsi="Book Antiqua"/>
          <w:b/>
          <w:bCs/>
          <w:noProof/>
          <w:lang w:val="en-US"/>
        </w:rPr>
        <w:t>Fishbein TM</w:t>
      </w:r>
      <w:r w:rsidRPr="00F448FE">
        <w:rPr>
          <w:rFonts w:ascii="Book Antiqua" w:hAnsi="Book Antiqua"/>
          <w:noProof/>
          <w:lang w:val="en-US"/>
        </w:rPr>
        <w:t xml:space="preserve">, Novitskiy G, Lough DM, Matsumoto C, Kaufman SS, Shetty K, Zasloff M. Rejection reversibly alters enteroendocrine cell renewal in the transplanted small intestine. </w:t>
      </w:r>
      <w:r w:rsidRPr="00F448FE">
        <w:rPr>
          <w:rFonts w:ascii="Book Antiqua" w:hAnsi="Book Antiqua"/>
          <w:i/>
          <w:iCs/>
          <w:noProof/>
          <w:lang w:val="en-US"/>
        </w:rPr>
        <w:t>Am J Transplant</w:t>
      </w:r>
      <w:r w:rsidRPr="00F448FE">
        <w:rPr>
          <w:rFonts w:ascii="Book Antiqua" w:hAnsi="Book Antiqua"/>
          <w:noProof/>
          <w:lang w:val="en-US"/>
        </w:rPr>
        <w:t xml:space="preserve"> 2009; </w:t>
      </w:r>
      <w:r w:rsidRPr="00F448FE">
        <w:rPr>
          <w:rFonts w:ascii="Book Antiqua" w:hAnsi="Book Antiqua"/>
          <w:b/>
          <w:bCs/>
          <w:noProof/>
          <w:lang w:val="en-US"/>
        </w:rPr>
        <w:t>9</w:t>
      </w:r>
      <w:r w:rsidRPr="00F448FE">
        <w:rPr>
          <w:rFonts w:ascii="Book Antiqua" w:hAnsi="Book Antiqua"/>
          <w:noProof/>
          <w:lang w:val="en-US"/>
        </w:rPr>
        <w:t>: 1620-1628 [PMID: 19519821 DOI: 10.1111/j.1600-6143.2009.02681.x]</w:t>
      </w:r>
    </w:p>
    <w:p w14:paraId="1CF15804"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117 </w:t>
      </w:r>
      <w:r w:rsidRPr="00F448FE">
        <w:rPr>
          <w:rFonts w:ascii="Book Antiqua" w:hAnsi="Book Antiqua"/>
          <w:b/>
          <w:bCs/>
          <w:noProof/>
          <w:lang w:val="en-US"/>
        </w:rPr>
        <w:t>Schonhoff SE</w:t>
      </w:r>
      <w:r w:rsidRPr="00F448FE">
        <w:rPr>
          <w:rFonts w:ascii="Book Antiqua" w:hAnsi="Book Antiqua"/>
          <w:noProof/>
          <w:lang w:val="en-US"/>
        </w:rPr>
        <w:t xml:space="preserve">, Giel-Moloney M, Leiter AB. Minireview: Development and differentiation of gut endocrine cells. </w:t>
      </w:r>
      <w:r w:rsidRPr="00F448FE">
        <w:rPr>
          <w:rFonts w:ascii="Book Antiqua" w:hAnsi="Book Antiqua"/>
          <w:i/>
          <w:iCs/>
          <w:noProof/>
          <w:lang w:val="en-US"/>
        </w:rPr>
        <w:t>Endocrinology</w:t>
      </w:r>
      <w:r w:rsidRPr="00F448FE">
        <w:rPr>
          <w:rFonts w:ascii="Book Antiqua" w:hAnsi="Book Antiqua"/>
          <w:noProof/>
          <w:lang w:val="en-US"/>
        </w:rPr>
        <w:t xml:space="preserve"> 2004; </w:t>
      </w:r>
      <w:r w:rsidRPr="00F448FE">
        <w:rPr>
          <w:rFonts w:ascii="Book Antiqua" w:hAnsi="Book Antiqua"/>
          <w:b/>
          <w:bCs/>
          <w:noProof/>
          <w:lang w:val="en-US"/>
        </w:rPr>
        <w:t>145</w:t>
      </w:r>
      <w:r w:rsidRPr="00F448FE">
        <w:rPr>
          <w:rFonts w:ascii="Book Antiqua" w:hAnsi="Book Antiqua"/>
          <w:noProof/>
          <w:lang w:val="en-US"/>
        </w:rPr>
        <w:t>: 2639-2644 [PMID: 15044355 DOI: 10.1210/en.2004-0051]</w:t>
      </w:r>
    </w:p>
    <w:p w14:paraId="71CA661F"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118 </w:t>
      </w:r>
      <w:r w:rsidRPr="00F448FE">
        <w:rPr>
          <w:rFonts w:ascii="Book Antiqua" w:hAnsi="Book Antiqua"/>
          <w:b/>
          <w:bCs/>
          <w:noProof/>
          <w:lang w:val="en-US"/>
        </w:rPr>
        <w:t>Schonhoff SE</w:t>
      </w:r>
      <w:r w:rsidRPr="00F448FE">
        <w:rPr>
          <w:rFonts w:ascii="Book Antiqua" w:hAnsi="Book Antiqua"/>
          <w:noProof/>
          <w:lang w:val="en-US"/>
        </w:rPr>
        <w:t xml:space="preserve">, Giel-Moloney M, Leiter AB. Neurogenin 3-expressing progenitor cells in the gastrointestinal tract differentiate into both endocrine and non-endocrine cell types. </w:t>
      </w:r>
      <w:r w:rsidRPr="00F448FE">
        <w:rPr>
          <w:rFonts w:ascii="Book Antiqua" w:hAnsi="Book Antiqua"/>
          <w:i/>
          <w:iCs/>
          <w:noProof/>
          <w:lang w:val="en-US"/>
        </w:rPr>
        <w:t>Dev Biol</w:t>
      </w:r>
      <w:r w:rsidRPr="00F448FE">
        <w:rPr>
          <w:rFonts w:ascii="Book Antiqua" w:hAnsi="Book Antiqua"/>
          <w:noProof/>
          <w:lang w:val="en-US"/>
        </w:rPr>
        <w:t xml:space="preserve"> 2004; </w:t>
      </w:r>
      <w:r w:rsidRPr="00F448FE">
        <w:rPr>
          <w:rFonts w:ascii="Book Antiqua" w:hAnsi="Book Antiqua"/>
          <w:b/>
          <w:bCs/>
          <w:noProof/>
          <w:lang w:val="en-US"/>
        </w:rPr>
        <w:t>270</w:t>
      </w:r>
      <w:r w:rsidRPr="00F448FE">
        <w:rPr>
          <w:rFonts w:ascii="Book Antiqua" w:hAnsi="Book Antiqua"/>
          <w:noProof/>
          <w:lang w:val="en-US"/>
        </w:rPr>
        <w:t>: 443-454 [PMID: 15183725 DOI: 10.1016/j.ydbio.2004.03.013]</w:t>
      </w:r>
    </w:p>
    <w:p w14:paraId="7CBC96D7"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119 </w:t>
      </w:r>
      <w:r w:rsidRPr="00F448FE">
        <w:rPr>
          <w:rFonts w:ascii="Book Antiqua" w:hAnsi="Book Antiqua"/>
          <w:b/>
          <w:bCs/>
          <w:noProof/>
          <w:lang w:val="en-US"/>
        </w:rPr>
        <w:t>El-Salhy M</w:t>
      </w:r>
      <w:r w:rsidRPr="00F448FE">
        <w:rPr>
          <w:rFonts w:ascii="Book Antiqua" w:hAnsi="Book Antiqua"/>
          <w:noProof/>
          <w:lang w:val="en-US"/>
        </w:rPr>
        <w:t xml:space="preserve">, Hausken T, Gilja OH, Hatlebakk JG. The possible role of gastrointestinal endocrine cells in the pathophysiology of irritable bowel syndrome. </w:t>
      </w:r>
      <w:r w:rsidRPr="00F448FE">
        <w:rPr>
          <w:rFonts w:ascii="Book Antiqua" w:hAnsi="Book Antiqua"/>
          <w:i/>
          <w:iCs/>
          <w:noProof/>
          <w:lang w:val="en-US"/>
        </w:rPr>
        <w:t>Expert Rev Gastroenterol Hepatol</w:t>
      </w:r>
      <w:r w:rsidRPr="00F448FE">
        <w:rPr>
          <w:rFonts w:ascii="Book Antiqua" w:hAnsi="Book Antiqua"/>
          <w:noProof/>
          <w:lang w:val="en-US"/>
        </w:rPr>
        <w:t xml:space="preserve"> 2017; </w:t>
      </w:r>
      <w:r w:rsidRPr="00F448FE">
        <w:rPr>
          <w:rFonts w:ascii="Book Antiqua" w:hAnsi="Book Antiqua"/>
          <w:b/>
          <w:bCs/>
          <w:noProof/>
          <w:lang w:val="en-US"/>
        </w:rPr>
        <w:t>11</w:t>
      </w:r>
      <w:r w:rsidRPr="00F448FE">
        <w:rPr>
          <w:rFonts w:ascii="Book Antiqua" w:hAnsi="Book Antiqua"/>
          <w:noProof/>
          <w:lang w:val="en-US"/>
        </w:rPr>
        <w:t>: 139-148 [PMID: 27927062 DOI: 10.1080/17474124.2017.1269601]</w:t>
      </w:r>
    </w:p>
    <w:p w14:paraId="69F39F61"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120 </w:t>
      </w:r>
      <w:r w:rsidRPr="00F448FE">
        <w:rPr>
          <w:rFonts w:ascii="Book Antiqua" w:hAnsi="Book Antiqua"/>
          <w:b/>
          <w:bCs/>
          <w:noProof/>
          <w:lang w:val="en-US"/>
        </w:rPr>
        <w:t>Jenny M</w:t>
      </w:r>
      <w:r w:rsidRPr="00F448FE">
        <w:rPr>
          <w:rFonts w:ascii="Book Antiqua" w:hAnsi="Book Antiqua"/>
          <w:noProof/>
          <w:lang w:val="en-US"/>
        </w:rPr>
        <w:t xml:space="preserve">, Uhl C, Roche C, Duluc I, Guillermin V, Guillemot F, Jensen J, Kedinger M, Gradwohl G. Neurogenin3 is differentially required for endocrine cell fate specification in the intestinal and gastric epithelium. </w:t>
      </w:r>
      <w:r w:rsidRPr="00F448FE">
        <w:rPr>
          <w:rFonts w:ascii="Book Antiqua" w:hAnsi="Book Antiqua"/>
          <w:i/>
          <w:iCs/>
          <w:noProof/>
          <w:lang w:val="en-US"/>
        </w:rPr>
        <w:t>EMBO J</w:t>
      </w:r>
      <w:r w:rsidRPr="00F448FE">
        <w:rPr>
          <w:rFonts w:ascii="Book Antiqua" w:hAnsi="Book Antiqua"/>
          <w:noProof/>
          <w:lang w:val="en-US"/>
        </w:rPr>
        <w:t xml:space="preserve"> 2002; </w:t>
      </w:r>
      <w:r w:rsidRPr="00F448FE">
        <w:rPr>
          <w:rFonts w:ascii="Book Antiqua" w:hAnsi="Book Antiqua"/>
          <w:b/>
          <w:bCs/>
          <w:noProof/>
          <w:lang w:val="en-US"/>
        </w:rPr>
        <w:t>21</w:t>
      </w:r>
      <w:r w:rsidRPr="00F448FE">
        <w:rPr>
          <w:rFonts w:ascii="Book Antiqua" w:hAnsi="Book Antiqua"/>
          <w:noProof/>
          <w:lang w:val="en-US"/>
        </w:rPr>
        <w:t>: 6338-6347 [PMID: 12456641 DOI: 10.1093/emboj/cdf649]</w:t>
      </w:r>
    </w:p>
    <w:p w14:paraId="42362E05"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121 </w:t>
      </w:r>
      <w:r w:rsidRPr="00F448FE">
        <w:rPr>
          <w:rFonts w:ascii="Book Antiqua" w:hAnsi="Book Antiqua"/>
          <w:b/>
          <w:bCs/>
          <w:noProof/>
          <w:lang w:val="en-US"/>
        </w:rPr>
        <w:t>Wang J</w:t>
      </w:r>
      <w:r w:rsidRPr="00F448FE">
        <w:rPr>
          <w:rFonts w:ascii="Book Antiqua" w:hAnsi="Book Antiqua"/>
          <w:noProof/>
          <w:lang w:val="en-US"/>
        </w:rPr>
        <w:t xml:space="preserve">, Cortina G, Wu SV, Tran R, Cho JH, Tsai MJ, Bailey TJ, Jamrich M, Ament ME, Treem WR, Hill ID, Vargas JH, Gershman G, Farmer DG, Reyen L, Martín MG. Mutant neurogenin-3 in congenital malabsorptive diarrhea. </w:t>
      </w:r>
      <w:r w:rsidRPr="00F448FE">
        <w:rPr>
          <w:rFonts w:ascii="Book Antiqua" w:hAnsi="Book Antiqua"/>
          <w:i/>
          <w:iCs/>
          <w:noProof/>
          <w:lang w:val="en-US"/>
        </w:rPr>
        <w:t>N Engl J Med</w:t>
      </w:r>
      <w:r w:rsidRPr="00F448FE">
        <w:rPr>
          <w:rFonts w:ascii="Book Antiqua" w:hAnsi="Book Antiqua"/>
          <w:noProof/>
          <w:lang w:val="en-US"/>
        </w:rPr>
        <w:t xml:space="preserve"> 2006; </w:t>
      </w:r>
      <w:r w:rsidRPr="00F448FE">
        <w:rPr>
          <w:rFonts w:ascii="Book Antiqua" w:hAnsi="Book Antiqua"/>
          <w:b/>
          <w:bCs/>
          <w:noProof/>
          <w:lang w:val="en-US"/>
        </w:rPr>
        <w:t>355</w:t>
      </w:r>
      <w:r w:rsidRPr="00F448FE">
        <w:rPr>
          <w:rFonts w:ascii="Book Antiqua" w:hAnsi="Book Antiqua"/>
          <w:noProof/>
          <w:lang w:val="en-US"/>
        </w:rPr>
        <w:t>: 270-280 [PMID: 16855267 DOI: 10.1056/NEJMoa054288]</w:t>
      </w:r>
    </w:p>
    <w:p w14:paraId="3390513B"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122 </w:t>
      </w:r>
      <w:r w:rsidRPr="00F448FE">
        <w:rPr>
          <w:rFonts w:ascii="Book Antiqua" w:hAnsi="Book Antiqua"/>
          <w:b/>
          <w:bCs/>
          <w:noProof/>
          <w:lang w:val="en-US"/>
        </w:rPr>
        <w:t>Mazzawi T</w:t>
      </w:r>
      <w:r w:rsidRPr="00F448FE">
        <w:rPr>
          <w:rFonts w:ascii="Book Antiqua" w:hAnsi="Book Antiqua"/>
          <w:noProof/>
          <w:lang w:val="en-US"/>
        </w:rPr>
        <w:t xml:space="preserve">, El-Salhy M. Changes in small intestinal chromogranin A-immunoreactive cell densities in patients with irritable bowel syndrome after receiving dietary guidance. </w:t>
      </w:r>
      <w:r w:rsidRPr="00F448FE">
        <w:rPr>
          <w:rFonts w:ascii="Book Antiqua" w:hAnsi="Book Antiqua"/>
          <w:i/>
          <w:iCs/>
          <w:noProof/>
          <w:lang w:val="en-US"/>
        </w:rPr>
        <w:t>Int J Mol Med</w:t>
      </w:r>
      <w:r w:rsidRPr="00F448FE">
        <w:rPr>
          <w:rFonts w:ascii="Book Antiqua" w:hAnsi="Book Antiqua"/>
          <w:noProof/>
          <w:lang w:val="en-US"/>
        </w:rPr>
        <w:t xml:space="preserve"> 2016; </w:t>
      </w:r>
      <w:r w:rsidRPr="00F448FE">
        <w:rPr>
          <w:rFonts w:ascii="Book Antiqua" w:hAnsi="Book Antiqua"/>
          <w:b/>
          <w:bCs/>
          <w:noProof/>
          <w:lang w:val="en-US"/>
        </w:rPr>
        <w:t>37</w:t>
      </w:r>
      <w:r w:rsidRPr="00F448FE">
        <w:rPr>
          <w:rFonts w:ascii="Book Antiqua" w:hAnsi="Book Antiqua"/>
          <w:noProof/>
          <w:lang w:val="en-US"/>
        </w:rPr>
        <w:t>: 1247-1253 [PMID: 26987104 DOI: 10.3892/ijmm.2016.2523]</w:t>
      </w:r>
    </w:p>
    <w:p w14:paraId="42890EFD"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123 </w:t>
      </w:r>
      <w:r w:rsidRPr="00F448FE">
        <w:rPr>
          <w:rFonts w:ascii="Book Antiqua" w:hAnsi="Book Antiqua"/>
          <w:b/>
          <w:bCs/>
          <w:noProof/>
          <w:lang w:val="en-US"/>
        </w:rPr>
        <w:t>Mazzawi T</w:t>
      </w:r>
      <w:r w:rsidRPr="00F448FE">
        <w:rPr>
          <w:rFonts w:ascii="Book Antiqua" w:hAnsi="Book Antiqua"/>
          <w:noProof/>
          <w:lang w:val="en-US"/>
        </w:rPr>
        <w:t xml:space="preserve">, El-Salhy M. Dietary guidance and ileal enteroendocrine cells in patients with irritable bowel syndrome. </w:t>
      </w:r>
      <w:r w:rsidRPr="00F448FE">
        <w:rPr>
          <w:rFonts w:ascii="Book Antiqua" w:hAnsi="Book Antiqua"/>
          <w:i/>
          <w:iCs/>
          <w:noProof/>
          <w:lang w:val="en-US"/>
        </w:rPr>
        <w:t>Exp Ther Med</w:t>
      </w:r>
      <w:r w:rsidRPr="00F448FE">
        <w:rPr>
          <w:rFonts w:ascii="Book Antiqua" w:hAnsi="Book Antiqua"/>
          <w:noProof/>
          <w:lang w:val="en-US"/>
        </w:rPr>
        <w:t xml:space="preserve"> 2016; </w:t>
      </w:r>
      <w:r w:rsidRPr="00F448FE">
        <w:rPr>
          <w:rFonts w:ascii="Book Antiqua" w:hAnsi="Book Antiqua"/>
          <w:b/>
          <w:bCs/>
          <w:noProof/>
          <w:lang w:val="en-US"/>
        </w:rPr>
        <w:t>12</w:t>
      </w:r>
      <w:r w:rsidRPr="00F448FE">
        <w:rPr>
          <w:rFonts w:ascii="Book Antiqua" w:hAnsi="Book Antiqua"/>
          <w:noProof/>
          <w:lang w:val="en-US"/>
        </w:rPr>
        <w:t>: 1398-1404 [PMID: 27588061 DOI: 10.3892/etm.2016.3491]</w:t>
      </w:r>
    </w:p>
    <w:p w14:paraId="1F10CF7D"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124 </w:t>
      </w:r>
      <w:r w:rsidRPr="00F448FE">
        <w:rPr>
          <w:rFonts w:ascii="Book Antiqua" w:hAnsi="Book Antiqua"/>
          <w:b/>
          <w:bCs/>
          <w:noProof/>
          <w:lang w:val="en-US"/>
        </w:rPr>
        <w:t>Mazzawi T</w:t>
      </w:r>
      <w:r w:rsidRPr="00F448FE">
        <w:rPr>
          <w:rFonts w:ascii="Book Antiqua" w:hAnsi="Book Antiqua"/>
          <w:noProof/>
          <w:lang w:val="en-US"/>
        </w:rPr>
        <w:t xml:space="preserve">, Gundersen D, Hausken T, El-Salhy M. Increased gastric chromogranin A cell density following changes to diets of patients with irritable bowel syndrome. </w:t>
      </w:r>
      <w:r w:rsidRPr="00F448FE">
        <w:rPr>
          <w:rFonts w:ascii="Book Antiqua" w:hAnsi="Book Antiqua"/>
          <w:i/>
          <w:iCs/>
          <w:noProof/>
          <w:lang w:val="en-US"/>
        </w:rPr>
        <w:t>Mol Med Rep</w:t>
      </w:r>
      <w:r w:rsidRPr="00F448FE">
        <w:rPr>
          <w:rFonts w:ascii="Book Antiqua" w:hAnsi="Book Antiqua"/>
          <w:noProof/>
          <w:lang w:val="en-US"/>
        </w:rPr>
        <w:t xml:space="preserve"> 2014; </w:t>
      </w:r>
      <w:r w:rsidRPr="00F448FE">
        <w:rPr>
          <w:rFonts w:ascii="Book Antiqua" w:hAnsi="Book Antiqua"/>
          <w:b/>
          <w:bCs/>
          <w:noProof/>
          <w:lang w:val="en-US"/>
        </w:rPr>
        <w:t>10</w:t>
      </w:r>
      <w:r w:rsidRPr="00F448FE">
        <w:rPr>
          <w:rFonts w:ascii="Book Antiqua" w:hAnsi="Book Antiqua"/>
          <w:noProof/>
          <w:lang w:val="en-US"/>
        </w:rPr>
        <w:t>: 2322-2326 [PMID: 25174455 DOI: 10.3892/mmr.2014.2498]</w:t>
      </w:r>
    </w:p>
    <w:p w14:paraId="62F49E23" w14:textId="0A8E2A3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125 </w:t>
      </w:r>
      <w:r w:rsidRPr="00F448FE">
        <w:rPr>
          <w:rFonts w:ascii="Book Antiqua" w:hAnsi="Book Antiqua"/>
          <w:b/>
          <w:bCs/>
          <w:noProof/>
          <w:lang w:val="en-US"/>
        </w:rPr>
        <w:t>Mazzawi T,</w:t>
      </w:r>
      <w:r w:rsidRPr="00F448FE">
        <w:rPr>
          <w:rFonts w:ascii="Book Antiqua" w:hAnsi="Book Antiqua"/>
          <w:noProof/>
          <w:lang w:val="en-US"/>
        </w:rPr>
        <w:t xml:space="preserve"> Gundersen D, Hausken T, El-Salhy M. Increased chromogranin </w:t>
      </w:r>
      <w:r w:rsidR="005A4D14" w:rsidRPr="00F448FE">
        <w:rPr>
          <w:rFonts w:ascii="Book Antiqua" w:hAnsi="Book Antiqua"/>
          <w:noProof/>
          <w:lang w:val="en-US"/>
        </w:rPr>
        <w:t>a</w:t>
      </w:r>
      <w:r w:rsidRPr="00F448FE">
        <w:rPr>
          <w:rFonts w:ascii="Book Antiqua" w:hAnsi="Book Antiqua"/>
          <w:noProof/>
          <w:lang w:val="en-US"/>
        </w:rPr>
        <w:t xml:space="preserve"> cell density in the large intestine of patients with irritable bowel syndrome after receiving dietary guidance. Gastroenterol Res Pract 2015; </w:t>
      </w:r>
      <w:r w:rsidRPr="00F448FE">
        <w:rPr>
          <w:rFonts w:ascii="Book Antiqua" w:hAnsi="Book Antiqua"/>
          <w:b/>
          <w:bCs/>
          <w:noProof/>
          <w:lang w:val="en-US"/>
        </w:rPr>
        <w:t>2015</w:t>
      </w:r>
      <w:r w:rsidRPr="00F448FE">
        <w:rPr>
          <w:rFonts w:ascii="Book Antiqua" w:hAnsi="Book Antiqua"/>
          <w:noProof/>
          <w:lang w:val="en-US"/>
        </w:rPr>
        <w:t>: 823897 [PMID: 25918524 DOI: 10.1155/2015/823897]</w:t>
      </w:r>
    </w:p>
    <w:p w14:paraId="5D63999A"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126 </w:t>
      </w:r>
      <w:r w:rsidRPr="00F448FE">
        <w:rPr>
          <w:rFonts w:ascii="Book Antiqua" w:hAnsi="Book Antiqua"/>
          <w:b/>
          <w:bCs/>
          <w:noProof/>
          <w:lang w:val="en-US"/>
        </w:rPr>
        <w:t>Mazzawi T</w:t>
      </w:r>
      <w:r w:rsidRPr="00F448FE">
        <w:rPr>
          <w:rFonts w:ascii="Book Antiqua" w:hAnsi="Book Antiqua"/>
          <w:noProof/>
          <w:lang w:val="en-US"/>
        </w:rPr>
        <w:t xml:space="preserve">, Hausken T, Gundersen D, El-Salhy M. Effect of dietary management on the gastric endocrine cells in patients with irritable bowel syndrome. </w:t>
      </w:r>
      <w:r w:rsidRPr="00F448FE">
        <w:rPr>
          <w:rFonts w:ascii="Book Antiqua" w:hAnsi="Book Antiqua"/>
          <w:i/>
          <w:iCs/>
          <w:noProof/>
          <w:lang w:val="en-US"/>
        </w:rPr>
        <w:t>Eur J Clin Nutr</w:t>
      </w:r>
      <w:r w:rsidRPr="00F448FE">
        <w:rPr>
          <w:rFonts w:ascii="Book Antiqua" w:hAnsi="Book Antiqua"/>
          <w:noProof/>
          <w:lang w:val="en-US"/>
        </w:rPr>
        <w:t xml:space="preserve"> 2015; </w:t>
      </w:r>
      <w:r w:rsidRPr="00F448FE">
        <w:rPr>
          <w:rFonts w:ascii="Book Antiqua" w:hAnsi="Book Antiqua"/>
          <w:b/>
          <w:bCs/>
          <w:noProof/>
          <w:lang w:val="en-US"/>
        </w:rPr>
        <w:t>69</w:t>
      </w:r>
      <w:r w:rsidRPr="00F448FE">
        <w:rPr>
          <w:rFonts w:ascii="Book Antiqua" w:hAnsi="Book Antiqua"/>
          <w:noProof/>
          <w:lang w:val="en-US"/>
        </w:rPr>
        <w:t>: 519-524 [PMID: 25097003 DOI: 10.1038/ejcn.2014.151]</w:t>
      </w:r>
    </w:p>
    <w:p w14:paraId="51089092"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127 </w:t>
      </w:r>
      <w:r w:rsidRPr="00F448FE">
        <w:rPr>
          <w:rFonts w:ascii="Book Antiqua" w:hAnsi="Book Antiqua"/>
          <w:b/>
          <w:bCs/>
          <w:noProof/>
          <w:lang w:val="en-US"/>
        </w:rPr>
        <w:t>Mazzawi T</w:t>
      </w:r>
      <w:r w:rsidRPr="00F448FE">
        <w:rPr>
          <w:rFonts w:ascii="Book Antiqua" w:hAnsi="Book Antiqua"/>
          <w:noProof/>
          <w:lang w:val="en-US"/>
        </w:rPr>
        <w:t xml:space="preserve">, Hausken T, Gundersen D, El-Salhy M. Dietary guidance normalizes large intestinal endocrine cell densities in patients with irritable bowel syndrome. </w:t>
      </w:r>
      <w:r w:rsidRPr="00F448FE">
        <w:rPr>
          <w:rFonts w:ascii="Book Antiqua" w:hAnsi="Book Antiqua"/>
          <w:i/>
          <w:iCs/>
          <w:noProof/>
          <w:lang w:val="en-US"/>
        </w:rPr>
        <w:t>Eur J Clin Nutr</w:t>
      </w:r>
      <w:r w:rsidRPr="00F448FE">
        <w:rPr>
          <w:rFonts w:ascii="Book Antiqua" w:hAnsi="Book Antiqua"/>
          <w:noProof/>
          <w:lang w:val="en-US"/>
        </w:rPr>
        <w:t xml:space="preserve"> 2016; </w:t>
      </w:r>
      <w:r w:rsidRPr="00F448FE">
        <w:rPr>
          <w:rFonts w:ascii="Book Antiqua" w:hAnsi="Book Antiqua"/>
          <w:b/>
          <w:bCs/>
          <w:noProof/>
          <w:lang w:val="en-US"/>
        </w:rPr>
        <w:t>70</w:t>
      </w:r>
      <w:r w:rsidRPr="00F448FE">
        <w:rPr>
          <w:rFonts w:ascii="Book Antiqua" w:hAnsi="Book Antiqua"/>
          <w:noProof/>
          <w:lang w:val="en-US"/>
        </w:rPr>
        <w:t>: 175-181 [PMID: 26603880 DOI: 10.1038/ejcn.2015.191]</w:t>
      </w:r>
    </w:p>
    <w:p w14:paraId="509F12E5" w14:textId="04861D16"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128 </w:t>
      </w:r>
      <w:r w:rsidRPr="00F448FE">
        <w:rPr>
          <w:rFonts w:ascii="Book Antiqua" w:hAnsi="Book Antiqua"/>
          <w:b/>
          <w:bCs/>
          <w:noProof/>
          <w:lang w:val="en-US"/>
        </w:rPr>
        <w:t>Mazzawi T</w:t>
      </w:r>
      <w:r w:rsidRPr="00F448FE">
        <w:rPr>
          <w:rFonts w:ascii="Book Antiqua" w:hAnsi="Book Antiqua"/>
          <w:noProof/>
          <w:lang w:val="en-US"/>
        </w:rPr>
        <w:t xml:space="preserve">, Arslan G, El-Sahy M, Gilja OH, Hatlebakk JG, Hausken T. Effect of fecal microbiota transplantation on the symptoms and duodenal enteroendocrine </w:t>
      </w:r>
      <w:r w:rsidRPr="00F448FE">
        <w:rPr>
          <w:rFonts w:ascii="Book Antiqua" w:hAnsi="Book Antiqua"/>
          <w:noProof/>
          <w:lang w:val="en-US"/>
        </w:rPr>
        <w:lastRenderedPageBreak/>
        <w:t xml:space="preserve">cells in patients with irritable bowel syndrome. </w:t>
      </w:r>
      <w:r w:rsidR="00EA217C" w:rsidRPr="00F448FE">
        <w:rPr>
          <w:rFonts w:ascii="Book Antiqua" w:hAnsi="Book Antiqua"/>
          <w:i/>
          <w:iCs/>
          <w:noProof/>
          <w:lang w:val="en-US"/>
        </w:rPr>
        <w:t>United Eur Gastroe</w:t>
      </w:r>
      <w:r w:rsidR="00EA217C" w:rsidRPr="00F448FE">
        <w:rPr>
          <w:rFonts w:ascii="Book Antiqua" w:hAnsi="Book Antiqua"/>
          <w:noProof/>
          <w:lang w:val="en-US"/>
        </w:rPr>
        <w:t xml:space="preserve"> </w:t>
      </w:r>
      <w:r w:rsidRPr="00F448FE">
        <w:rPr>
          <w:rFonts w:ascii="Book Antiqua" w:hAnsi="Book Antiqua"/>
          <w:noProof/>
          <w:lang w:val="en-US"/>
        </w:rPr>
        <w:t xml:space="preserve">2016; </w:t>
      </w:r>
      <w:r w:rsidRPr="00F448FE">
        <w:rPr>
          <w:rFonts w:ascii="Book Antiqua" w:hAnsi="Book Antiqua"/>
          <w:b/>
          <w:bCs/>
          <w:noProof/>
          <w:lang w:val="en-US"/>
        </w:rPr>
        <w:t>4</w:t>
      </w:r>
      <w:r w:rsidRPr="00F448FE">
        <w:rPr>
          <w:rFonts w:ascii="Book Antiqua" w:hAnsi="Book Antiqua"/>
          <w:noProof/>
          <w:lang w:val="en-US"/>
        </w:rPr>
        <w:t>: 677-677</w:t>
      </w:r>
      <w:r w:rsidR="00CB736F" w:rsidRPr="00F448FE">
        <w:rPr>
          <w:rFonts w:ascii="Book Antiqua" w:hAnsi="Book Antiqua"/>
          <w:noProof/>
          <w:lang w:val="en-US"/>
        </w:rPr>
        <w:t xml:space="preserve"> [DOI: 10.26226/morressier.57c53841d462b80296c9c83f]</w:t>
      </w:r>
    </w:p>
    <w:p w14:paraId="01A4BD94"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129 </w:t>
      </w:r>
      <w:r w:rsidRPr="00F448FE">
        <w:rPr>
          <w:rFonts w:ascii="Book Antiqua" w:hAnsi="Book Antiqua"/>
          <w:b/>
          <w:bCs/>
          <w:noProof/>
          <w:lang w:val="en-US"/>
        </w:rPr>
        <w:t>Chen S</w:t>
      </w:r>
      <w:r w:rsidRPr="00F448FE">
        <w:rPr>
          <w:rFonts w:ascii="Book Antiqua" w:hAnsi="Book Antiqua"/>
          <w:noProof/>
          <w:lang w:val="en-US"/>
        </w:rPr>
        <w:t xml:space="preserve">, Xia Y, Zhu G, Yan J, Tan C, Deng B, Deng J, Yin Y, Ren W. Glutamine supplementation improves intestinal cell proliferation and stem cell differentiation in weanling mice. </w:t>
      </w:r>
      <w:r w:rsidRPr="00F448FE">
        <w:rPr>
          <w:rFonts w:ascii="Book Antiqua" w:hAnsi="Book Antiqua"/>
          <w:i/>
          <w:iCs/>
          <w:noProof/>
          <w:lang w:val="en-US"/>
        </w:rPr>
        <w:t>Food Nutr Res</w:t>
      </w:r>
      <w:r w:rsidRPr="00F448FE">
        <w:rPr>
          <w:rFonts w:ascii="Book Antiqua" w:hAnsi="Book Antiqua"/>
          <w:noProof/>
          <w:lang w:val="en-US"/>
        </w:rPr>
        <w:t xml:space="preserve"> 2018; </w:t>
      </w:r>
      <w:r w:rsidRPr="00F448FE">
        <w:rPr>
          <w:rFonts w:ascii="Book Antiqua" w:hAnsi="Book Antiqua"/>
          <w:b/>
          <w:bCs/>
          <w:noProof/>
          <w:lang w:val="en-US"/>
        </w:rPr>
        <w:t>62</w:t>
      </w:r>
      <w:r w:rsidRPr="00F448FE">
        <w:rPr>
          <w:rFonts w:ascii="Book Antiqua" w:hAnsi="Book Antiqua"/>
          <w:noProof/>
          <w:lang w:val="en-US"/>
        </w:rPr>
        <w:t>: [PMID: 30083086 DOI: 10.29219/fnr.v62.1439]</w:t>
      </w:r>
    </w:p>
    <w:p w14:paraId="280976D6"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130 </w:t>
      </w:r>
      <w:r w:rsidRPr="00F448FE">
        <w:rPr>
          <w:rFonts w:ascii="Book Antiqua" w:hAnsi="Book Antiqua"/>
          <w:b/>
          <w:bCs/>
          <w:noProof/>
          <w:lang w:val="en-US"/>
        </w:rPr>
        <w:t>Chen Y</w:t>
      </w:r>
      <w:r w:rsidRPr="00F448FE">
        <w:rPr>
          <w:rFonts w:ascii="Book Antiqua" w:hAnsi="Book Antiqua"/>
          <w:noProof/>
          <w:lang w:val="en-US"/>
        </w:rPr>
        <w:t xml:space="preserve">, Tsai YH, Tseng BJ, Tseng SH. Influence of Growth Hormone and Glutamine on Intestinal Stem Cells: A Narrative Review. </w:t>
      </w:r>
      <w:r w:rsidRPr="00F448FE">
        <w:rPr>
          <w:rFonts w:ascii="Book Antiqua" w:hAnsi="Book Antiqua"/>
          <w:i/>
          <w:iCs/>
          <w:noProof/>
          <w:lang w:val="en-US"/>
        </w:rPr>
        <w:t>Nutrients</w:t>
      </w:r>
      <w:r w:rsidRPr="00F448FE">
        <w:rPr>
          <w:rFonts w:ascii="Book Antiqua" w:hAnsi="Book Antiqua"/>
          <w:noProof/>
          <w:lang w:val="en-US"/>
        </w:rPr>
        <w:t xml:space="preserve"> 2019; </w:t>
      </w:r>
      <w:r w:rsidRPr="00F448FE">
        <w:rPr>
          <w:rFonts w:ascii="Book Antiqua" w:hAnsi="Book Antiqua"/>
          <w:b/>
          <w:bCs/>
          <w:noProof/>
          <w:lang w:val="en-US"/>
        </w:rPr>
        <w:t>11</w:t>
      </w:r>
      <w:r w:rsidRPr="00F448FE">
        <w:rPr>
          <w:rFonts w:ascii="Book Antiqua" w:hAnsi="Book Antiqua"/>
          <w:noProof/>
          <w:lang w:val="en-US"/>
        </w:rPr>
        <w:t>: [PMID: 31426533 DOI: 10.3390/nu11081941]</w:t>
      </w:r>
    </w:p>
    <w:p w14:paraId="0E20BFB2"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131 </w:t>
      </w:r>
      <w:r w:rsidRPr="00F448FE">
        <w:rPr>
          <w:rFonts w:ascii="Book Antiqua" w:hAnsi="Book Antiqua"/>
          <w:b/>
          <w:bCs/>
          <w:noProof/>
          <w:lang w:val="en-US"/>
        </w:rPr>
        <w:t>Chen Y</w:t>
      </w:r>
      <w:r w:rsidRPr="00F448FE">
        <w:rPr>
          <w:rFonts w:ascii="Book Antiqua" w:hAnsi="Book Antiqua"/>
          <w:noProof/>
          <w:lang w:val="en-US"/>
        </w:rPr>
        <w:t xml:space="preserve">, Tseng SH, Yao CL, Li C, Tsai YH. Distinct Effects of Growth Hormone and Glutamine on Activation of Intestinal Stem Cells. </w:t>
      </w:r>
      <w:r w:rsidRPr="00F448FE">
        <w:rPr>
          <w:rFonts w:ascii="Book Antiqua" w:hAnsi="Book Antiqua"/>
          <w:i/>
          <w:iCs/>
          <w:noProof/>
          <w:lang w:val="en-US"/>
        </w:rPr>
        <w:t>JPEN J Parenter Enteral Nutr</w:t>
      </w:r>
      <w:r w:rsidRPr="00F448FE">
        <w:rPr>
          <w:rFonts w:ascii="Book Antiqua" w:hAnsi="Book Antiqua"/>
          <w:noProof/>
          <w:lang w:val="en-US"/>
        </w:rPr>
        <w:t xml:space="preserve"> 2018; </w:t>
      </w:r>
      <w:r w:rsidRPr="00F448FE">
        <w:rPr>
          <w:rFonts w:ascii="Book Antiqua" w:hAnsi="Book Antiqua"/>
          <w:b/>
          <w:bCs/>
          <w:noProof/>
          <w:lang w:val="en-US"/>
        </w:rPr>
        <w:t>42</w:t>
      </w:r>
      <w:r w:rsidRPr="00F448FE">
        <w:rPr>
          <w:rFonts w:ascii="Book Antiqua" w:hAnsi="Book Antiqua"/>
          <w:noProof/>
          <w:lang w:val="en-US"/>
        </w:rPr>
        <w:t>: 642-651 [PMID: 28510488 DOI: 10.1177/0148607117709435]</w:t>
      </w:r>
    </w:p>
    <w:p w14:paraId="1966C760"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132 </w:t>
      </w:r>
      <w:r w:rsidRPr="00F448FE">
        <w:rPr>
          <w:rFonts w:ascii="Book Antiqua" w:hAnsi="Book Antiqua"/>
          <w:b/>
          <w:bCs/>
          <w:noProof/>
          <w:lang w:val="en-US"/>
        </w:rPr>
        <w:t>Kim MH</w:t>
      </w:r>
      <w:r w:rsidRPr="00F448FE">
        <w:rPr>
          <w:rFonts w:ascii="Book Antiqua" w:hAnsi="Book Antiqua"/>
          <w:noProof/>
          <w:lang w:val="en-US"/>
        </w:rPr>
        <w:t xml:space="preserve">, Kim H. The Roles of Glutamine in the Intestine and Its Implication in Intestinal Diseases. </w:t>
      </w:r>
      <w:r w:rsidRPr="00F448FE">
        <w:rPr>
          <w:rFonts w:ascii="Book Antiqua" w:hAnsi="Book Antiqua"/>
          <w:i/>
          <w:iCs/>
          <w:noProof/>
          <w:lang w:val="en-US"/>
        </w:rPr>
        <w:t>Int J Mol Sci</w:t>
      </w:r>
      <w:r w:rsidRPr="00F448FE">
        <w:rPr>
          <w:rFonts w:ascii="Book Antiqua" w:hAnsi="Book Antiqua"/>
          <w:noProof/>
          <w:lang w:val="en-US"/>
        </w:rPr>
        <w:t xml:space="preserve"> 2017; </w:t>
      </w:r>
      <w:r w:rsidRPr="00F448FE">
        <w:rPr>
          <w:rFonts w:ascii="Book Antiqua" w:hAnsi="Book Antiqua"/>
          <w:b/>
          <w:bCs/>
          <w:noProof/>
          <w:lang w:val="en-US"/>
        </w:rPr>
        <w:t>18</w:t>
      </w:r>
      <w:r w:rsidRPr="00F448FE">
        <w:rPr>
          <w:rFonts w:ascii="Book Antiqua" w:hAnsi="Book Antiqua"/>
          <w:noProof/>
          <w:lang w:val="en-US"/>
        </w:rPr>
        <w:t>: [PMID: 28498331 DOI: 10.3390/ijms18051051]</w:t>
      </w:r>
    </w:p>
    <w:p w14:paraId="16FB7672"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133 </w:t>
      </w:r>
      <w:r w:rsidRPr="00F448FE">
        <w:rPr>
          <w:rFonts w:ascii="Book Antiqua" w:hAnsi="Book Antiqua"/>
          <w:b/>
          <w:bCs/>
          <w:noProof/>
          <w:lang w:val="en-US"/>
        </w:rPr>
        <w:t>Wang B</w:t>
      </w:r>
      <w:r w:rsidRPr="00F448FE">
        <w:rPr>
          <w:rFonts w:ascii="Book Antiqua" w:hAnsi="Book Antiqua"/>
          <w:noProof/>
          <w:lang w:val="en-US"/>
        </w:rPr>
        <w:t xml:space="preserve">, Wu G, Zhou Z, Dai Z, Sun Y, Ji Y, Li W, Wang W, Liu C, Han F, Wu Z. Glutamine and intestinal barrier function. </w:t>
      </w:r>
      <w:r w:rsidRPr="00F448FE">
        <w:rPr>
          <w:rFonts w:ascii="Book Antiqua" w:hAnsi="Book Antiqua"/>
          <w:i/>
          <w:iCs/>
          <w:noProof/>
          <w:lang w:val="en-US"/>
        </w:rPr>
        <w:t>Amino Acids</w:t>
      </w:r>
      <w:r w:rsidRPr="00F448FE">
        <w:rPr>
          <w:rFonts w:ascii="Book Antiqua" w:hAnsi="Book Antiqua"/>
          <w:noProof/>
          <w:lang w:val="en-US"/>
        </w:rPr>
        <w:t xml:space="preserve"> 2015; </w:t>
      </w:r>
      <w:r w:rsidRPr="00F448FE">
        <w:rPr>
          <w:rFonts w:ascii="Book Antiqua" w:hAnsi="Book Antiqua"/>
          <w:b/>
          <w:bCs/>
          <w:noProof/>
          <w:lang w:val="en-US"/>
        </w:rPr>
        <w:t>47</w:t>
      </w:r>
      <w:r w:rsidRPr="00F448FE">
        <w:rPr>
          <w:rFonts w:ascii="Book Antiqua" w:hAnsi="Book Antiqua"/>
          <w:noProof/>
          <w:lang w:val="en-US"/>
        </w:rPr>
        <w:t>: 2143-2154 [PMID: 24965526 DOI: 10.1007/s00726-014-1773-4]</w:t>
      </w:r>
    </w:p>
    <w:p w14:paraId="47FBB6F6" w14:textId="49F9CF6D"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134 </w:t>
      </w:r>
      <w:r w:rsidRPr="00F448FE">
        <w:rPr>
          <w:rFonts w:ascii="Book Antiqua" w:hAnsi="Book Antiqua"/>
          <w:b/>
          <w:bCs/>
          <w:noProof/>
          <w:lang w:val="en-US"/>
        </w:rPr>
        <w:t>Zhou Q</w:t>
      </w:r>
      <w:r w:rsidRPr="00F448FE">
        <w:rPr>
          <w:rFonts w:ascii="Book Antiqua" w:hAnsi="Book Antiqua"/>
          <w:noProof/>
          <w:lang w:val="en-US"/>
        </w:rPr>
        <w:t xml:space="preserve">, Verne ML, Fields JZ, Lefante JJ, Basra S, Salameh H, Verne GN. Randomised placebo-controlled trial of dietary glutamine supplements for postinfectious irritable bowel syndrome. </w:t>
      </w:r>
      <w:r w:rsidRPr="00F448FE">
        <w:rPr>
          <w:rFonts w:ascii="Book Antiqua" w:hAnsi="Book Antiqua"/>
          <w:i/>
          <w:iCs/>
          <w:noProof/>
          <w:lang w:val="en-US"/>
        </w:rPr>
        <w:t>Gut</w:t>
      </w:r>
      <w:r w:rsidRPr="00F448FE">
        <w:rPr>
          <w:rFonts w:ascii="Book Antiqua" w:hAnsi="Book Antiqua"/>
          <w:noProof/>
          <w:lang w:val="en-US"/>
        </w:rPr>
        <w:t xml:space="preserve"> 2019; </w:t>
      </w:r>
      <w:r w:rsidRPr="00F448FE">
        <w:rPr>
          <w:rFonts w:ascii="Book Antiqua" w:hAnsi="Book Antiqua"/>
          <w:b/>
          <w:bCs/>
          <w:noProof/>
          <w:lang w:val="en-US"/>
        </w:rPr>
        <w:t>68</w:t>
      </w:r>
      <w:r w:rsidRPr="00F448FE">
        <w:rPr>
          <w:rFonts w:ascii="Book Antiqua" w:hAnsi="Book Antiqua"/>
          <w:noProof/>
          <w:lang w:val="en-US"/>
        </w:rPr>
        <w:t xml:space="preserve">: 996-1002 [PMID: 30108163 DOI: </w:t>
      </w:r>
      <w:r w:rsidR="00975CAB" w:rsidRPr="00F448FE">
        <w:rPr>
          <w:rFonts w:ascii="Book Antiqua" w:hAnsi="Book Antiqua"/>
          <w:noProof/>
          <w:lang w:val="en-US"/>
        </w:rPr>
        <w:t>10.1136/gutjnl-2017-315136</w:t>
      </w:r>
      <w:r w:rsidR="00975CAB" w:rsidRPr="00F448FE">
        <w:rPr>
          <w:rFonts w:ascii="Book Antiqua" w:eastAsia="宋体" w:hAnsi="Book Antiqua" w:cs="宋体"/>
          <w:noProof/>
          <w:lang w:val="en-US" w:eastAsia="zh-CN"/>
        </w:rPr>
        <w:t>]</w:t>
      </w:r>
    </w:p>
    <w:p w14:paraId="1EA6DEC3"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135 </w:t>
      </w:r>
      <w:r w:rsidRPr="00F448FE">
        <w:rPr>
          <w:rFonts w:ascii="Book Antiqua" w:hAnsi="Book Antiqua"/>
          <w:b/>
          <w:bCs/>
          <w:noProof/>
          <w:lang w:val="en-US"/>
        </w:rPr>
        <w:t>Corcoba A</w:t>
      </w:r>
      <w:r w:rsidRPr="00F448FE">
        <w:rPr>
          <w:rFonts w:ascii="Book Antiqua" w:hAnsi="Book Antiqua"/>
          <w:noProof/>
          <w:lang w:val="en-US"/>
        </w:rPr>
        <w:t xml:space="preserve">, Gruetter R, Do KQ, Duarte JMN. Social isolation stress and chronic glutathione deficiency have a common effect on the glutamine-to-glutamate ratio and myo-inositol concentration in the mouse frontal cortex. </w:t>
      </w:r>
      <w:r w:rsidRPr="00F448FE">
        <w:rPr>
          <w:rFonts w:ascii="Book Antiqua" w:hAnsi="Book Antiqua"/>
          <w:i/>
          <w:iCs/>
          <w:noProof/>
          <w:lang w:val="en-US"/>
        </w:rPr>
        <w:t>J Neurochem</w:t>
      </w:r>
      <w:r w:rsidRPr="00F448FE">
        <w:rPr>
          <w:rFonts w:ascii="Book Antiqua" w:hAnsi="Book Antiqua"/>
          <w:noProof/>
          <w:lang w:val="en-US"/>
        </w:rPr>
        <w:t xml:space="preserve"> 2017; </w:t>
      </w:r>
      <w:r w:rsidRPr="00F448FE">
        <w:rPr>
          <w:rFonts w:ascii="Book Antiqua" w:hAnsi="Book Antiqua"/>
          <w:b/>
          <w:bCs/>
          <w:noProof/>
          <w:lang w:val="en-US"/>
        </w:rPr>
        <w:t>142</w:t>
      </w:r>
      <w:r w:rsidRPr="00F448FE">
        <w:rPr>
          <w:rFonts w:ascii="Book Antiqua" w:hAnsi="Book Antiqua"/>
          <w:noProof/>
          <w:lang w:val="en-US"/>
        </w:rPr>
        <w:t>: 767-775 [PMID: 28664650 DOI: 10.1111/jnc.14116]</w:t>
      </w:r>
    </w:p>
    <w:p w14:paraId="02BCA37A"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136 </w:t>
      </w:r>
      <w:r w:rsidRPr="00F448FE">
        <w:rPr>
          <w:rFonts w:ascii="Book Antiqua" w:hAnsi="Book Antiqua"/>
          <w:b/>
          <w:bCs/>
          <w:noProof/>
          <w:lang w:val="en-US"/>
        </w:rPr>
        <w:t>Harnett NG</w:t>
      </w:r>
      <w:r w:rsidRPr="00F448FE">
        <w:rPr>
          <w:rFonts w:ascii="Book Antiqua" w:hAnsi="Book Antiqua"/>
          <w:noProof/>
          <w:lang w:val="en-US"/>
        </w:rPr>
        <w:t xml:space="preserve">, Wood KH, Ference EW 3rd, Reid MA, Lahti AC, Knight AJ, Knight DC. Glutamate/glutamine concentrations in the dorsal anterior cingulate vary with Post-Traumatic Stress Disorder symptoms. </w:t>
      </w:r>
      <w:r w:rsidRPr="00F448FE">
        <w:rPr>
          <w:rFonts w:ascii="Book Antiqua" w:hAnsi="Book Antiqua"/>
          <w:i/>
          <w:iCs/>
          <w:noProof/>
          <w:lang w:val="en-US"/>
        </w:rPr>
        <w:t>J Psychiatr Res</w:t>
      </w:r>
      <w:r w:rsidRPr="00F448FE">
        <w:rPr>
          <w:rFonts w:ascii="Book Antiqua" w:hAnsi="Book Antiqua"/>
          <w:noProof/>
          <w:lang w:val="en-US"/>
        </w:rPr>
        <w:t xml:space="preserve"> 2017; </w:t>
      </w:r>
      <w:r w:rsidRPr="00F448FE">
        <w:rPr>
          <w:rFonts w:ascii="Book Antiqua" w:hAnsi="Book Antiqua"/>
          <w:b/>
          <w:bCs/>
          <w:noProof/>
          <w:lang w:val="en-US"/>
        </w:rPr>
        <w:t>91</w:t>
      </w:r>
      <w:r w:rsidRPr="00F448FE">
        <w:rPr>
          <w:rFonts w:ascii="Book Antiqua" w:hAnsi="Book Antiqua"/>
          <w:noProof/>
          <w:lang w:val="en-US"/>
        </w:rPr>
        <w:t>: 169-176 [PMID: 28478230 DOI: 10.1016/j.jpsychires.2017.04.010]</w:t>
      </w:r>
    </w:p>
    <w:p w14:paraId="19D8417C"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lastRenderedPageBreak/>
        <w:t xml:space="preserve">137 </w:t>
      </w:r>
      <w:r w:rsidRPr="00F448FE">
        <w:rPr>
          <w:rFonts w:ascii="Book Antiqua" w:hAnsi="Book Antiqua"/>
          <w:b/>
          <w:bCs/>
          <w:noProof/>
          <w:lang w:val="en-US"/>
        </w:rPr>
        <w:t>El-Salhy M</w:t>
      </w:r>
      <w:r w:rsidRPr="00F448FE">
        <w:rPr>
          <w:rFonts w:ascii="Book Antiqua" w:hAnsi="Book Antiqua"/>
          <w:noProof/>
          <w:lang w:val="en-US"/>
        </w:rPr>
        <w:t xml:space="preserve">, Umezawa K, Hatlebakk JG, Gilja OH. Abnormal differentiation of stem cells into enteroendocrine cells in rats with DSS-induced colitis. </w:t>
      </w:r>
      <w:r w:rsidRPr="00F448FE">
        <w:rPr>
          <w:rFonts w:ascii="Book Antiqua" w:hAnsi="Book Antiqua"/>
          <w:i/>
          <w:iCs/>
          <w:noProof/>
          <w:lang w:val="en-US"/>
        </w:rPr>
        <w:t>Mol Med Rep</w:t>
      </w:r>
      <w:r w:rsidRPr="00F448FE">
        <w:rPr>
          <w:rFonts w:ascii="Book Antiqua" w:hAnsi="Book Antiqua"/>
          <w:noProof/>
          <w:lang w:val="en-US"/>
        </w:rPr>
        <w:t xml:space="preserve"> 2017; </w:t>
      </w:r>
      <w:r w:rsidRPr="00F448FE">
        <w:rPr>
          <w:rFonts w:ascii="Book Antiqua" w:hAnsi="Book Antiqua"/>
          <w:b/>
          <w:bCs/>
          <w:noProof/>
          <w:lang w:val="en-US"/>
        </w:rPr>
        <w:t>15</w:t>
      </w:r>
      <w:r w:rsidRPr="00F448FE">
        <w:rPr>
          <w:rFonts w:ascii="Book Antiqua" w:hAnsi="Book Antiqua"/>
          <w:noProof/>
          <w:lang w:val="en-US"/>
        </w:rPr>
        <w:t>: 2106-2112 [PMID: 28259987 DOI: 10.3892/mmr.2017.6266]</w:t>
      </w:r>
    </w:p>
    <w:p w14:paraId="1854F470" w14:textId="77777777" w:rsidR="00C53805" w:rsidRPr="00F448FE" w:rsidRDefault="00C53805" w:rsidP="000D04E0">
      <w:pPr>
        <w:pStyle w:val="EndNoteBibliography"/>
        <w:adjustRightInd w:val="0"/>
        <w:snapToGrid w:val="0"/>
        <w:jc w:val="both"/>
        <w:rPr>
          <w:rFonts w:ascii="Book Antiqua" w:hAnsi="Book Antiqua"/>
          <w:noProof/>
          <w:lang w:val="en-US"/>
        </w:rPr>
      </w:pPr>
      <w:r w:rsidRPr="00F448FE">
        <w:rPr>
          <w:rFonts w:ascii="Book Antiqua" w:hAnsi="Book Antiqua"/>
          <w:noProof/>
          <w:lang w:val="en-US"/>
        </w:rPr>
        <w:t xml:space="preserve">138 </w:t>
      </w:r>
      <w:r w:rsidRPr="00F448FE">
        <w:rPr>
          <w:rFonts w:ascii="Book Antiqua" w:hAnsi="Book Antiqua"/>
          <w:b/>
          <w:bCs/>
          <w:noProof/>
          <w:lang w:val="en-US"/>
        </w:rPr>
        <w:t>El-Salhy M</w:t>
      </w:r>
      <w:r w:rsidRPr="00F448FE">
        <w:rPr>
          <w:rFonts w:ascii="Book Antiqua" w:hAnsi="Book Antiqua"/>
          <w:noProof/>
          <w:lang w:val="en-US"/>
        </w:rPr>
        <w:t xml:space="preserve">, Mazzawi T, Umezawa K, Gilja OH. Enteroendocrine cells, stem cells and differentiation progenitors in rats with TNBS-induced colitis. </w:t>
      </w:r>
      <w:r w:rsidRPr="00F448FE">
        <w:rPr>
          <w:rFonts w:ascii="Book Antiqua" w:hAnsi="Book Antiqua"/>
          <w:i/>
          <w:iCs/>
          <w:noProof/>
          <w:lang w:val="en-US"/>
        </w:rPr>
        <w:t>Int J Mol Med</w:t>
      </w:r>
      <w:r w:rsidRPr="00F448FE">
        <w:rPr>
          <w:rFonts w:ascii="Book Antiqua" w:hAnsi="Book Antiqua"/>
          <w:noProof/>
          <w:lang w:val="en-US"/>
        </w:rPr>
        <w:t xml:space="preserve"> 2016; </w:t>
      </w:r>
      <w:r w:rsidRPr="00F448FE">
        <w:rPr>
          <w:rFonts w:ascii="Book Antiqua" w:hAnsi="Book Antiqua"/>
          <w:b/>
          <w:bCs/>
          <w:noProof/>
          <w:lang w:val="en-US"/>
        </w:rPr>
        <w:t>38</w:t>
      </w:r>
      <w:r w:rsidRPr="00F448FE">
        <w:rPr>
          <w:rFonts w:ascii="Book Antiqua" w:hAnsi="Book Antiqua"/>
          <w:noProof/>
          <w:lang w:val="en-US"/>
        </w:rPr>
        <w:t>: 1743-1751 [PMID: 27779708 DOI: 10.3892/ijmm.2016.2787]</w:t>
      </w:r>
    </w:p>
    <w:p w14:paraId="0E32349F" w14:textId="77777777" w:rsidR="00C53805" w:rsidRPr="00F448FE" w:rsidRDefault="00C53805" w:rsidP="000D04E0">
      <w:pPr>
        <w:pStyle w:val="EndNoteBibliography"/>
        <w:adjustRightInd w:val="0"/>
        <w:snapToGrid w:val="0"/>
        <w:jc w:val="both"/>
        <w:rPr>
          <w:rFonts w:ascii="Book Antiqua" w:hAnsi="Book Antiqua"/>
          <w:noProof/>
        </w:rPr>
      </w:pPr>
    </w:p>
    <w:p w14:paraId="371979A0" w14:textId="77777777" w:rsidR="00C53805" w:rsidRPr="00F448FE" w:rsidRDefault="00C53805" w:rsidP="000D04E0">
      <w:pPr>
        <w:adjustRightInd w:val="0"/>
        <w:snapToGrid w:val="0"/>
        <w:spacing w:line="360" w:lineRule="auto"/>
        <w:rPr>
          <w:rFonts w:ascii="Book Antiqua" w:hAnsi="Book Antiqua"/>
          <w:noProof/>
        </w:rPr>
      </w:pPr>
      <w:r w:rsidRPr="00F448FE">
        <w:rPr>
          <w:rFonts w:ascii="Book Antiqua" w:hAnsi="Book Antiqua"/>
          <w:noProof/>
        </w:rPr>
        <w:br w:type="page"/>
      </w:r>
    </w:p>
    <w:p w14:paraId="4E36FAFE" w14:textId="5257F5FE" w:rsidR="005D0F50" w:rsidRPr="00F448FE" w:rsidRDefault="005D0F50" w:rsidP="000D04E0">
      <w:pPr>
        <w:adjustRightInd w:val="0"/>
        <w:snapToGrid w:val="0"/>
        <w:spacing w:line="360" w:lineRule="auto"/>
        <w:jc w:val="both"/>
        <w:rPr>
          <w:rFonts w:ascii="Book Antiqua" w:hAnsi="Book Antiqua"/>
          <w:b/>
        </w:rPr>
      </w:pPr>
      <w:r w:rsidRPr="00F448FE">
        <w:rPr>
          <w:rFonts w:ascii="Book Antiqua" w:hAnsi="Book Antiqua"/>
          <w:b/>
        </w:rPr>
        <w:lastRenderedPageBreak/>
        <w:t>Footnotes</w:t>
      </w:r>
    </w:p>
    <w:p w14:paraId="2E47BF43" w14:textId="77777777" w:rsidR="005D0F50" w:rsidRPr="00F448FE" w:rsidRDefault="005D0F50" w:rsidP="000D04E0">
      <w:pPr>
        <w:adjustRightInd w:val="0"/>
        <w:snapToGrid w:val="0"/>
        <w:spacing w:line="360" w:lineRule="auto"/>
        <w:jc w:val="both"/>
        <w:rPr>
          <w:rFonts w:ascii="Book Antiqua" w:eastAsia="宋体" w:hAnsi="Book Antiqua"/>
          <w:color w:val="000000"/>
          <w:lang w:eastAsia="zh-CN"/>
        </w:rPr>
      </w:pPr>
      <w:r w:rsidRPr="00F448FE">
        <w:rPr>
          <w:rFonts w:ascii="Book Antiqua" w:hAnsi="Book Antiqua"/>
          <w:b/>
          <w:color w:val="000000"/>
        </w:rPr>
        <w:t>Conflict-of-interest statement</w:t>
      </w:r>
      <w:r w:rsidRPr="00F448FE">
        <w:rPr>
          <w:rFonts w:ascii="Book Antiqua" w:hAnsi="Book Antiqua"/>
          <w:b/>
        </w:rPr>
        <w:t>:</w:t>
      </w:r>
      <w:r w:rsidRPr="00F448FE">
        <w:rPr>
          <w:rFonts w:ascii="Book Antiqua" w:eastAsia="宋体" w:hAnsi="Book Antiqua" w:cs="TimesNewRomanPS-BoldItalicMT"/>
          <w:b/>
          <w:bCs/>
          <w:iCs/>
          <w:color w:val="000000"/>
          <w:lang w:eastAsia="zh-CN"/>
        </w:rPr>
        <w:t xml:space="preserve"> </w:t>
      </w:r>
      <w:r w:rsidRPr="00F448FE">
        <w:rPr>
          <w:rFonts w:ascii="Book Antiqua" w:hAnsi="Book Antiqua"/>
          <w:color w:val="000000"/>
        </w:rPr>
        <w:t>Authors declare no conflict of interests for this article.</w:t>
      </w:r>
    </w:p>
    <w:p w14:paraId="118130C7" w14:textId="77777777" w:rsidR="005D0F50" w:rsidRPr="00F448FE" w:rsidRDefault="005D0F50" w:rsidP="000D04E0">
      <w:pPr>
        <w:adjustRightInd w:val="0"/>
        <w:snapToGrid w:val="0"/>
        <w:spacing w:line="360" w:lineRule="auto"/>
        <w:jc w:val="both"/>
        <w:rPr>
          <w:rFonts w:ascii="Book Antiqua" w:eastAsia="宋体" w:hAnsi="Book Antiqua"/>
          <w:b/>
          <w:color w:val="000000"/>
          <w:lang w:eastAsia="zh-CN"/>
        </w:rPr>
      </w:pPr>
    </w:p>
    <w:p w14:paraId="2439080E" w14:textId="77777777" w:rsidR="005D0F50" w:rsidRPr="00F448FE" w:rsidRDefault="005D0F50" w:rsidP="000D04E0">
      <w:pPr>
        <w:adjustRightInd w:val="0"/>
        <w:snapToGrid w:val="0"/>
        <w:spacing w:line="360" w:lineRule="auto"/>
        <w:jc w:val="both"/>
        <w:rPr>
          <w:rFonts w:ascii="Book Antiqua" w:hAnsi="Book Antiqua"/>
        </w:rPr>
      </w:pPr>
      <w:r w:rsidRPr="00F448FE">
        <w:rPr>
          <w:rFonts w:ascii="Book Antiqua" w:hAnsi="Book Antiqua"/>
          <w:b/>
          <w:color w:val="000000"/>
        </w:rPr>
        <w:t>Open-Access:</w:t>
      </w:r>
      <w:r w:rsidRPr="00F448FE">
        <w:rPr>
          <w:rFonts w:ascii="Book Antiqua" w:hAnsi="Book Antiqua"/>
          <w:color w:val="000000"/>
        </w:rPr>
        <w:t xml:space="preserve"> This article is an open-access </w:t>
      </w:r>
      <w:r w:rsidRPr="00F448FE">
        <w:rPr>
          <w:rFonts w:ascii="Book Antiqua" w:hAnsi="Book Antiqua"/>
        </w:rPr>
        <w:t xml:space="preserve">article that was selected </w:t>
      </w:r>
      <w:r w:rsidRPr="00F448FE">
        <w:rPr>
          <w:rFonts w:ascii="Book Antiqua" w:hAnsi="Book Antiqua"/>
          <w:color w:val="000000"/>
        </w:rPr>
        <w:t xml:space="preserve">by an in-house editor and fully peer-reviewed by external reviewers. It is distributed in accordance with the Creative Commons Attribution </w:t>
      </w:r>
      <w:proofErr w:type="spellStart"/>
      <w:r w:rsidRPr="00F448FE">
        <w:rPr>
          <w:rFonts w:ascii="Book Antiqua" w:hAnsi="Book Antiqua"/>
          <w:color w:val="000000"/>
        </w:rPr>
        <w:t>NonCommercial</w:t>
      </w:r>
      <w:proofErr w:type="spellEnd"/>
      <w:r w:rsidRPr="00F448FE">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F6B8AF" w14:textId="77777777" w:rsidR="005D0F50" w:rsidRPr="00F448FE" w:rsidRDefault="005D0F50" w:rsidP="000D04E0">
      <w:pPr>
        <w:pStyle w:val="aa"/>
        <w:adjustRightInd w:val="0"/>
        <w:snapToGrid w:val="0"/>
        <w:spacing w:line="360" w:lineRule="auto"/>
        <w:jc w:val="both"/>
        <w:rPr>
          <w:rFonts w:ascii="Book Antiqua" w:hAnsi="Book Antiqua" w:cs="Times New Roman"/>
          <w:bCs/>
          <w:sz w:val="24"/>
          <w:szCs w:val="24"/>
          <w:lang w:eastAsia="zh-CN"/>
        </w:rPr>
      </w:pPr>
    </w:p>
    <w:p w14:paraId="2617E2E0" w14:textId="15717CE8" w:rsidR="005D0F50" w:rsidRPr="00F448FE" w:rsidRDefault="005D0F50" w:rsidP="000D04E0">
      <w:pPr>
        <w:adjustRightInd w:val="0"/>
        <w:snapToGrid w:val="0"/>
        <w:spacing w:line="360" w:lineRule="auto"/>
        <w:jc w:val="both"/>
        <w:rPr>
          <w:rFonts w:ascii="Book Antiqua" w:hAnsi="Book Antiqua"/>
          <w:bCs/>
          <w:color w:val="000000"/>
          <w:lang w:eastAsia="zh-CN"/>
        </w:rPr>
      </w:pPr>
      <w:r w:rsidRPr="00F448FE">
        <w:rPr>
          <w:rFonts w:ascii="Book Antiqua" w:hAnsi="Book Antiqua"/>
          <w:b/>
          <w:bCs/>
          <w:color w:val="000000"/>
          <w:lang w:eastAsia="pl-PL"/>
        </w:rPr>
        <w:t>Manuscript source:</w:t>
      </w:r>
      <w:r w:rsidRPr="00F448FE">
        <w:rPr>
          <w:rFonts w:ascii="Book Antiqua" w:hAnsi="Book Antiqua"/>
          <w:b/>
          <w:bCs/>
          <w:color w:val="000000"/>
          <w:lang w:eastAsia="zh-CN"/>
        </w:rPr>
        <w:t xml:space="preserve"> </w:t>
      </w:r>
      <w:r w:rsidRPr="00F448FE">
        <w:rPr>
          <w:rFonts w:ascii="Book Antiqua" w:hAnsi="Book Antiqua"/>
          <w:bCs/>
          <w:color w:val="000000"/>
          <w:lang w:eastAsia="pl-PL"/>
        </w:rPr>
        <w:t>Invited Manuscript</w:t>
      </w:r>
    </w:p>
    <w:p w14:paraId="4CF1EDA1" w14:textId="77777777" w:rsidR="005D0F50" w:rsidRPr="00F448FE" w:rsidRDefault="005D0F50" w:rsidP="000D04E0">
      <w:pPr>
        <w:widowControl w:val="0"/>
        <w:adjustRightInd w:val="0"/>
        <w:snapToGrid w:val="0"/>
        <w:spacing w:line="360" w:lineRule="auto"/>
        <w:jc w:val="both"/>
        <w:rPr>
          <w:rFonts w:ascii="Book Antiqua" w:hAnsi="Book Antiqua"/>
          <w:b/>
          <w:kern w:val="2"/>
          <w:lang w:eastAsia="zh-CN"/>
        </w:rPr>
      </w:pPr>
    </w:p>
    <w:p w14:paraId="78361E0B" w14:textId="5BC12DF7" w:rsidR="005D0F50" w:rsidRPr="00F448FE" w:rsidRDefault="005D0F50" w:rsidP="000D04E0">
      <w:pPr>
        <w:adjustRightInd w:val="0"/>
        <w:snapToGrid w:val="0"/>
        <w:spacing w:line="360" w:lineRule="auto"/>
        <w:jc w:val="both"/>
        <w:rPr>
          <w:rFonts w:ascii="Book Antiqua" w:eastAsia="宋体" w:hAnsi="Book Antiqua"/>
          <w:b/>
          <w:lang w:eastAsia="zh-CN"/>
        </w:rPr>
      </w:pPr>
      <w:r w:rsidRPr="00F448FE">
        <w:rPr>
          <w:rFonts w:ascii="Book Antiqua" w:hAnsi="Book Antiqua"/>
          <w:b/>
        </w:rPr>
        <w:t>Peer-review started:</w:t>
      </w:r>
      <w:r w:rsidRPr="00F448FE">
        <w:rPr>
          <w:rFonts w:ascii="Book Antiqua" w:eastAsia="宋体" w:hAnsi="Book Antiqua"/>
          <w:b/>
          <w:lang w:eastAsia="zh-CN"/>
        </w:rPr>
        <w:t xml:space="preserve"> </w:t>
      </w:r>
      <w:r w:rsidRPr="00F448FE">
        <w:rPr>
          <w:rFonts w:ascii="Book Antiqua" w:eastAsia="宋体" w:hAnsi="Book Antiqua"/>
          <w:lang w:eastAsia="zh-CN"/>
        </w:rPr>
        <w:t>December 3, 2019</w:t>
      </w:r>
      <w:r w:rsidRPr="00F448FE">
        <w:rPr>
          <w:rFonts w:ascii="Book Antiqua" w:hAnsi="Book Antiqua"/>
          <w:b/>
        </w:rPr>
        <w:t xml:space="preserve"> </w:t>
      </w:r>
    </w:p>
    <w:p w14:paraId="4F2B73B2" w14:textId="4195830E" w:rsidR="005D0F50" w:rsidRPr="00F448FE" w:rsidRDefault="005D0F50" w:rsidP="000D04E0">
      <w:pPr>
        <w:adjustRightInd w:val="0"/>
        <w:snapToGrid w:val="0"/>
        <w:spacing w:line="360" w:lineRule="auto"/>
        <w:jc w:val="both"/>
        <w:rPr>
          <w:rFonts w:ascii="Book Antiqua" w:eastAsia="宋体" w:hAnsi="Book Antiqua"/>
          <w:b/>
          <w:lang w:eastAsia="zh-CN"/>
        </w:rPr>
      </w:pPr>
      <w:r w:rsidRPr="00F448FE">
        <w:rPr>
          <w:rFonts w:ascii="Book Antiqua" w:hAnsi="Book Antiqua"/>
          <w:b/>
        </w:rPr>
        <w:t>First decision:</w:t>
      </w:r>
      <w:r w:rsidRPr="00F448FE">
        <w:rPr>
          <w:rFonts w:ascii="Book Antiqua" w:eastAsia="宋体" w:hAnsi="Book Antiqua"/>
          <w:b/>
          <w:lang w:eastAsia="zh-CN"/>
        </w:rPr>
        <w:t xml:space="preserve"> </w:t>
      </w:r>
      <w:r w:rsidRPr="00F448FE">
        <w:rPr>
          <w:rFonts w:ascii="Book Antiqua" w:eastAsia="宋体" w:hAnsi="Book Antiqua"/>
          <w:lang w:eastAsia="zh-CN"/>
        </w:rPr>
        <w:t>January 13, 2020</w:t>
      </w:r>
    </w:p>
    <w:p w14:paraId="51025C7D" w14:textId="31BD41BD" w:rsidR="005D0F50" w:rsidRPr="00F448FE" w:rsidRDefault="005D0F50" w:rsidP="000D04E0">
      <w:pPr>
        <w:adjustRightInd w:val="0"/>
        <w:snapToGrid w:val="0"/>
        <w:spacing w:line="360" w:lineRule="auto"/>
        <w:jc w:val="both"/>
        <w:rPr>
          <w:rFonts w:ascii="Book Antiqua" w:hAnsi="Book Antiqua"/>
          <w:b/>
        </w:rPr>
      </w:pPr>
      <w:r w:rsidRPr="00F448FE">
        <w:rPr>
          <w:rFonts w:ascii="Book Antiqua" w:hAnsi="Book Antiqua"/>
          <w:b/>
        </w:rPr>
        <w:t>Article in press:</w:t>
      </w:r>
      <w:r w:rsidR="00F448FE" w:rsidRPr="00F448FE">
        <w:rPr>
          <w:rFonts w:ascii="Book Antiqua" w:hAnsi="Book Antiqua"/>
          <w:bCs/>
          <w:color w:val="000000" w:themeColor="text1"/>
        </w:rPr>
        <w:t xml:space="preserve"> </w:t>
      </w:r>
      <w:r w:rsidR="00F448FE" w:rsidRPr="00F448FE">
        <w:rPr>
          <w:rFonts w:ascii="Book Antiqua" w:hAnsi="Book Antiqua"/>
          <w:bCs/>
          <w:color w:val="000000" w:themeColor="text1"/>
        </w:rPr>
        <w:t>March 14, 2020</w:t>
      </w:r>
    </w:p>
    <w:p w14:paraId="62A305AB" w14:textId="77777777" w:rsidR="005D0F50" w:rsidRPr="00F448FE" w:rsidRDefault="005D0F50" w:rsidP="000D04E0">
      <w:pPr>
        <w:adjustRightInd w:val="0"/>
        <w:snapToGrid w:val="0"/>
        <w:spacing w:line="360" w:lineRule="auto"/>
        <w:rPr>
          <w:rFonts w:ascii="Book Antiqua" w:eastAsia="宋体" w:hAnsi="Book Antiqua"/>
          <w:color w:val="000000"/>
          <w:lang w:eastAsia="zh-CN"/>
        </w:rPr>
      </w:pPr>
    </w:p>
    <w:p w14:paraId="231D5E4B" w14:textId="6506D0C9" w:rsidR="005D0F50" w:rsidRPr="00F448FE" w:rsidRDefault="005D0F50" w:rsidP="000D04E0">
      <w:pPr>
        <w:widowControl w:val="0"/>
        <w:adjustRightInd w:val="0"/>
        <w:snapToGrid w:val="0"/>
        <w:spacing w:line="360" w:lineRule="auto"/>
        <w:jc w:val="both"/>
        <w:rPr>
          <w:rFonts w:ascii="Book Antiqua" w:eastAsia="微软雅黑" w:hAnsi="Book Antiqua" w:cs="宋体"/>
          <w:lang w:eastAsia="zh-CN"/>
        </w:rPr>
      </w:pPr>
      <w:r w:rsidRPr="00F448FE">
        <w:rPr>
          <w:rFonts w:ascii="Book Antiqua" w:hAnsi="Book Antiqua" w:cs="宋体"/>
          <w:b/>
          <w:lang w:eastAsia="zh-CN"/>
        </w:rPr>
        <w:t xml:space="preserve">Specialty type: </w:t>
      </w:r>
      <w:r w:rsidRPr="00F448FE">
        <w:rPr>
          <w:rFonts w:ascii="Book Antiqua" w:eastAsia="微软雅黑" w:hAnsi="Book Antiqua" w:cs="宋体"/>
          <w:lang w:eastAsia="zh-CN"/>
        </w:rPr>
        <w:t>Gastroenterology and hepatology</w:t>
      </w:r>
    </w:p>
    <w:p w14:paraId="38B72FAC" w14:textId="22691217" w:rsidR="005D0F50" w:rsidRPr="00F448FE" w:rsidRDefault="005D0F50" w:rsidP="000D04E0">
      <w:pPr>
        <w:widowControl w:val="0"/>
        <w:adjustRightInd w:val="0"/>
        <w:snapToGrid w:val="0"/>
        <w:spacing w:line="360" w:lineRule="auto"/>
        <w:jc w:val="both"/>
        <w:rPr>
          <w:rFonts w:ascii="Book Antiqua" w:hAnsi="Book Antiqua" w:cs="宋体"/>
          <w:lang w:eastAsia="zh-CN"/>
        </w:rPr>
      </w:pPr>
      <w:r w:rsidRPr="00F448FE">
        <w:rPr>
          <w:rFonts w:ascii="Book Antiqua" w:hAnsi="Book Antiqua" w:cs="宋体"/>
          <w:b/>
          <w:lang w:eastAsia="zh-CN"/>
        </w:rPr>
        <w:t xml:space="preserve">Country of origin: </w:t>
      </w:r>
      <w:r w:rsidRPr="00F448FE">
        <w:rPr>
          <w:rFonts w:ascii="Book Antiqua" w:eastAsia="宋体" w:hAnsi="Book Antiqua"/>
          <w:lang w:eastAsia="es-ES_tradnl"/>
        </w:rPr>
        <w:t>Norway</w:t>
      </w:r>
    </w:p>
    <w:p w14:paraId="66ACBDD0" w14:textId="77777777" w:rsidR="005D0F50" w:rsidRPr="00F448FE" w:rsidRDefault="005D0F50" w:rsidP="000D04E0">
      <w:pPr>
        <w:widowControl w:val="0"/>
        <w:adjustRightInd w:val="0"/>
        <w:snapToGrid w:val="0"/>
        <w:spacing w:line="360" w:lineRule="auto"/>
        <w:jc w:val="both"/>
        <w:rPr>
          <w:rFonts w:ascii="Book Antiqua" w:hAnsi="Book Antiqua" w:cs="宋体"/>
          <w:b/>
          <w:lang w:eastAsia="zh-CN"/>
        </w:rPr>
      </w:pPr>
      <w:r w:rsidRPr="00F448FE">
        <w:rPr>
          <w:rFonts w:ascii="Book Antiqua" w:hAnsi="Book Antiqua" w:cs="宋体"/>
          <w:b/>
          <w:lang w:eastAsia="zh-CN"/>
        </w:rPr>
        <w:t>Peer-review report classification</w:t>
      </w:r>
    </w:p>
    <w:p w14:paraId="0BFAB6B9" w14:textId="6612BF9E" w:rsidR="005D0F50" w:rsidRPr="00F448FE" w:rsidRDefault="005D0F50" w:rsidP="000D04E0">
      <w:pPr>
        <w:widowControl w:val="0"/>
        <w:adjustRightInd w:val="0"/>
        <w:snapToGrid w:val="0"/>
        <w:spacing w:line="360" w:lineRule="auto"/>
        <w:jc w:val="both"/>
        <w:rPr>
          <w:rFonts w:ascii="Book Antiqua" w:eastAsiaTheme="minorEastAsia" w:hAnsi="Book Antiqua" w:cs="宋体"/>
          <w:lang w:eastAsia="zh-CN"/>
        </w:rPr>
      </w:pPr>
      <w:r w:rsidRPr="00F448FE">
        <w:rPr>
          <w:rFonts w:ascii="Book Antiqua" w:hAnsi="Book Antiqua" w:cs="宋体"/>
          <w:lang w:eastAsia="zh-CN"/>
        </w:rPr>
        <w:t>Grade A (Excellent): 0</w:t>
      </w:r>
    </w:p>
    <w:p w14:paraId="2C4088BC" w14:textId="60735414" w:rsidR="005D0F50" w:rsidRPr="00F448FE" w:rsidRDefault="005D0F50" w:rsidP="000D04E0">
      <w:pPr>
        <w:widowControl w:val="0"/>
        <w:adjustRightInd w:val="0"/>
        <w:snapToGrid w:val="0"/>
        <w:spacing w:line="360" w:lineRule="auto"/>
        <w:jc w:val="both"/>
        <w:rPr>
          <w:rFonts w:ascii="Book Antiqua" w:eastAsia="宋体" w:hAnsi="Book Antiqua" w:cs="宋体"/>
          <w:lang w:eastAsia="zh-CN"/>
        </w:rPr>
      </w:pPr>
      <w:r w:rsidRPr="00F448FE">
        <w:rPr>
          <w:rFonts w:ascii="Book Antiqua" w:hAnsi="Book Antiqua" w:cs="宋体"/>
          <w:lang w:eastAsia="zh-CN"/>
        </w:rPr>
        <w:t xml:space="preserve">Grade B (Very good): </w:t>
      </w:r>
      <w:r w:rsidRPr="00F448FE">
        <w:rPr>
          <w:rFonts w:ascii="Book Antiqua" w:eastAsia="宋体" w:hAnsi="Book Antiqua" w:cs="宋体"/>
          <w:lang w:eastAsia="zh-CN"/>
        </w:rPr>
        <w:t>0</w:t>
      </w:r>
    </w:p>
    <w:p w14:paraId="42CA709C" w14:textId="7F6C140C" w:rsidR="005D0F50" w:rsidRPr="00F448FE" w:rsidRDefault="005D0F50" w:rsidP="000D04E0">
      <w:pPr>
        <w:widowControl w:val="0"/>
        <w:adjustRightInd w:val="0"/>
        <w:snapToGrid w:val="0"/>
        <w:spacing w:line="360" w:lineRule="auto"/>
        <w:jc w:val="both"/>
        <w:rPr>
          <w:rFonts w:ascii="Book Antiqua" w:eastAsiaTheme="minorEastAsia" w:hAnsi="Book Antiqua" w:cs="宋体"/>
          <w:lang w:eastAsia="zh-CN"/>
        </w:rPr>
      </w:pPr>
      <w:r w:rsidRPr="00F448FE">
        <w:rPr>
          <w:rFonts w:ascii="Book Antiqua" w:hAnsi="Book Antiqua" w:cs="宋体"/>
          <w:lang w:eastAsia="zh-CN"/>
        </w:rPr>
        <w:t>Grade C (Good): C,</w:t>
      </w:r>
      <w:r w:rsidRPr="00F448FE">
        <w:rPr>
          <w:rFonts w:ascii="Book Antiqua" w:eastAsiaTheme="minorEastAsia" w:hAnsi="Book Antiqua" w:cs="宋体"/>
          <w:lang w:eastAsia="zh-CN"/>
        </w:rPr>
        <w:t xml:space="preserve"> C</w:t>
      </w:r>
    </w:p>
    <w:p w14:paraId="6B4EE21E" w14:textId="77777777" w:rsidR="005D0F50" w:rsidRPr="00F448FE" w:rsidRDefault="005D0F50" w:rsidP="000D04E0">
      <w:pPr>
        <w:widowControl w:val="0"/>
        <w:adjustRightInd w:val="0"/>
        <w:snapToGrid w:val="0"/>
        <w:spacing w:line="360" w:lineRule="auto"/>
        <w:jc w:val="both"/>
        <w:rPr>
          <w:rFonts w:ascii="Book Antiqua" w:hAnsi="Book Antiqua" w:cs="宋体"/>
          <w:lang w:eastAsia="zh-CN"/>
        </w:rPr>
      </w:pPr>
      <w:r w:rsidRPr="00F448FE">
        <w:rPr>
          <w:rFonts w:ascii="Book Antiqua" w:hAnsi="Book Antiqua" w:cs="宋体"/>
          <w:lang w:eastAsia="zh-CN"/>
        </w:rPr>
        <w:t>Grade D (Fair): 0</w:t>
      </w:r>
    </w:p>
    <w:p w14:paraId="4C4583BF" w14:textId="77777777" w:rsidR="005D0F50" w:rsidRPr="00F448FE" w:rsidRDefault="005D0F50" w:rsidP="000D04E0">
      <w:pPr>
        <w:widowControl w:val="0"/>
        <w:adjustRightInd w:val="0"/>
        <w:snapToGrid w:val="0"/>
        <w:spacing w:line="360" w:lineRule="auto"/>
        <w:jc w:val="both"/>
        <w:rPr>
          <w:rFonts w:ascii="Book Antiqua" w:eastAsia="等线" w:hAnsi="Book Antiqua"/>
          <w:kern w:val="2"/>
          <w:lang w:val="hu-HU" w:eastAsia="zh-CN"/>
        </w:rPr>
      </w:pPr>
      <w:r w:rsidRPr="00F448FE">
        <w:rPr>
          <w:rFonts w:ascii="Book Antiqua" w:hAnsi="Book Antiqua" w:cs="宋体"/>
          <w:lang w:eastAsia="zh-CN"/>
        </w:rPr>
        <w:t>Grade E (Poor): 0</w:t>
      </w:r>
    </w:p>
    <w:p w14:paraId="21DC1121" w14:textId="77777777" w:rsidR="005D0F50" w:rsidRPr="00F448FE" w:rsidRDefault="005D0F50" w:rsidP="000D04E0">
      <w:pPr>
        <w:adjustRightInd w:val="0"/>
        <w:snapToGrid w:val="0"/>
        <w:spacing w:line="360" w:lineRule="auto"/>
        <w:rPr>
          <w:rFonts w:ascii="Book Antiqua" w:eastAsia="宋体" w:hAnsi="Book Antiqua"/>
          <w:b/>
          <w:lang w:val="hu-HU" w:eastAsia="zh-CN"/>
        </w:rPr>
      </w:pPr>
    </w:p>
    <w:p w14:paraId="1289D131" w14:textId="0994B0CB" w:rsidR="005D0F50" w:rsidRPr="00F448FE" w:rsidRDefault="005D0F50" w:rsidP="000D04E0">
      <w:pPr>
        <w:adjustRightInd w:val="0"/>
        <w:snapToGrid w:val="0"/>
        <w:spacing w:line="360" w:lineRule="auto"/>
        <w:rPr>
          <w:rFonts w:ascii="Book Antiqua" w:eastAsia="宋体" w:hAnsi="Book Antiqua" w:hint="eastAsia"/>
          <w:b/>
          <w:lang w:eastAsia="zh-CN"/>
        </w:rPr>
      </w:pPr>
      <w:r w:rsidRPr="00F448FE">
        <w:rPr>
          <w:rFonts w:ascii="Book Antiqua" w:hAnsi="Book Antiqua"/>
          <w:b/>
        </w:rPr>
        <w:t>P- Reviewer:</w:t>
      </w:r>
      <w:r w:rsidRPr="00F448FE">
        <w:rPr>
          <w:rFonts w:ascii="Book Antiqua" w:eastAsia="宋体" w:hAnsi="Book Antiqua"/>
          <w:b/>
          <w:lang w:eastAsia="zh-CN"/>
        </w:rPr>
        <w:t xml:space="preserve"> </w:t>
      </w:r>
      <w:proofErr w:type="spellStart"/>
      <w:r w:rsidRPr="00F448FE">
        <w:rPr>
          <w:rFonts w:ascii="Book Antiqua" w:hAnsi="Book Antiqua" w:cs="宋体"/>
          <w:color w:val="000000"/>
        </w:rPr>
        <w:t>Finsterer</w:t>
      </w:r>
      <w:proofErr w:type="spellEnd"/>
      <w:r w:rsidRPr="00F448FE">
        <w:rPr>
          <w:rFonts w:ascii="Book Antiqua" w:hAnsi="Book Antiqua" w:cs="宋体"/>
          <w:color w:val="000000"/>
        </w:rPr>
        <w:t xml:space="preserve"> J, Gregorio BM</w:t>
      </w:r>
      <w:r w:rsidRPr="00F448FE">
        <w:rPr>
          <w:rFonts w:ascii="Book Antiqua" w:eastAsia="宋体" w:hAnsi="Book Antiqua" w:cs="宋体"/>
          <w:color w:val="000000"/>
          <w:lang w:eastAsia="zh-CN"/>
        </w:rPr>
        <w:t xml:space="preserve"> </w:t>
      </w:r>
      <w:r w:rsidRPr="00F448FE">
        <w:rPr>
          <w:rFonts w:ascii="Book Antiqua" w:hAnsi="Book Antiqua"/>
          <w:b/>
        </w:rPr>
        <w:t>S- Editor:</w:t>
      </w:r>
      <w:r w:rsidRPr="00F448FE">
        <w:rPr>
          <w:rFonts w:ascii="Book Antiqua" w:hAnsi="Book Antiqua"/>
        </w:rPr>
        <w:t xml:space="preserve"> </w:t>
      </w:r>
      <w:r w:rsidR="005F4FEB" w:rsidRPr="00F448FE">
        <w:rPr>
          <w:rFonts w:ascii="Book Antiqua" w:hAnsi="Book Antiqua"/>
        </w:rPr>
        <w:t>Tang JZ</w:t>
      </w:r>
      <w:r w:rsidRPr="00F448FE">
        <w:rPr>
          <w:rFonts w:ascii="Book Antiqua" w:hAnsi="Book Antiqua"/>
          <w:b/>
        </w:rPr>
        <w:t xml:space="preserve"> L- Editor:</w:t>
      </w:r>
      <w:r w:rsidR="00F448FE" w:rsidRPr="00F448FE">
        <w:rPr>
          <w:rFonts w:ascii="Book Antiqua" w:eastAsia="宋体" w:hAnsi="Book Antiqua" w:hint="eastAsia"/>
          <w:b/>
          <w:lang w:eastAsia="zh-CN"/>
        </w:rPr>
        <w:t xml:space="preserve"> </w:t>
      </w:r>
      <w:proofErr w:type="gramStart"/>
      <w:r w:rsidR="00F448FE" w:rsidRPr="00F448FE">
        <w:rPr>
          <w:rFonts w:ascii="Book Antiqua" w:eastAsia="宋体" w:hAnsi="Book Antiqua" w:hint="eastAsia"/>
          <w:b/>
          <w:lang w:eastAsia="zh-CN"/>
        </w:rPr>
        <w:t xml:space="preserve">A </w:t>
      </w:r>
      <w:r w:rsidRPr="00F448FE">
        <w:rPr>
          <w:rFonts w:ascii="Book Antiqua" w:hAnsi="Book Antiqua"/>
        </w:rPr>
        <w:t xml:space="preserve"> </w:t>
      </w:r>
      <w:r w:rsidRPr="00F448FE">
        <w:rPr>
          <w:rFonts w:ascii="Book Antiqua" w:hAnsi="Book Antiqua"/>
          <w:b/>
        </w:rPr>
        <w:t>E</w:t>
      </w:r>
      <w:proofErr w:type="gramEnd"/>
      <w:r w:rsidRPr="00F448FE">
        <w:rPr>
          <w:rFonts w:ascii="Book Antiqua" w:hAnsi="Book Antiqua"/>
          <w:b/>
        </w:rPr>
        <w:t xml:space="preserve">- </w:t>
      </w:r>
      <w:proofErr w:type="spellStart"/>
      <w:r w:rsidRPr="00F448FE">
        <w:rPr>
          <w:rFonts w:ascii="Book Antiqua" w:hAnsi="Book Antiqua"/>
          <w:b/>
        </w:rPr>
        <w:t>Editor:</w:t>
      </w:r>
      <w:r w:rsidR="00F448FE" w:rsidRPr="00F448FE">
        <w:rPr>
          <w:rFonts w:ascii="Book Antiqua" w:eastAsia="宋体" w:hAnsi="Book Antiqua" w:hint="eastAsia"/>
          <w:lang w:eastAsia="zh-CN"/>
        </w:rPr>
        <w:t>Ma</w:t>
      </w:r>
      <w:proofErr w:type="spellEnd"/>
      <w:r w:rsidR="00F448FE" w:rsidRPr="00F448FE">
        <w:rPr>
          <w:rFonts w:ascii="Book Antiqua" w:eastAsia="宋体" w:hAnsi="Book Antiqua" w:hint="eastAsia"/>
          <w:lang w:eastAsia="zh-CN"/>
        </w:rPr>
        <w:t xml:space="preserve"> YJ</w:t>
      </w:r>
    </w:p>
    <w:p w14:paraId="231620D9" w14:textId="77777777" w:rsidR="00EE6555" w:rsidRPr="00F448FE" w:rsidRDefault="00EE6555" w:rsidP="000D04E0">
      <w:pPr>
        <w:adjustRightInd w:val="0"/>
        <w:snapToGrid w:val="0"/>
        <w:spacing w:line="360" w:lineRule="auto"/>
        <w:rPr>
          <w:rFonts w:ascii="Book Antiqua" w:hAnsi="Book Antiqua"/>
        </w:rPr>
      </w:pPr>
    </w:p>
    <w:p w14:paraId="7758AC61" w14:textId="77777777" w:rsidR="00EE6555" w:rsidRPr="00F448FE" w:rsidRDefault="00EE6555" w:rsidP="000D04E0">
      <w:pPr>
        <w:adjustRightInd w:val="0"/>
        <w:snapToGrid w:val="0"/>
        <w:spacing w:line="360" w:lineRule="auto"/>
        <w:rPr>
          <w:rFonts w:ascii="Book Antiqua" w:hAnsi="Book Antiqua"/>
        </w:rPr>
      </w:pPr>
    </w:p>
    <w:p w14:paraId="58325A79" w14:textId="22F6F66E" w:rsidR="00EE6555" w:rsidRPr="00F448FE" w:rsidRDefault="00EE6555" w:rsidP="000D04E0">
      <w:pPr>
        <w:adjustRightInd w:val="0"/>
        <w:snapToGrid w:val="0"/>
        <w:spacing w:line="360" w:lineRule="auto"/>
        <w:rPr>
          <w:rFonts w:ascii="Book Antiqua" w:hAnsi="Book Antiqua"/>
        </w:rPr>
      </w:pPr>
      <w:r w:rsidRPr="00F448FE">
        <w:rPr>
          <w:rFonts w:ascii="Book Antiqua" w:hAnsi="Book Antiqua"/>
        </w:rPr>
        <w:br w:type="page"/>
      </w:r>
    </w:p>
    <w:p w14:paraId="75269147" w14:textId="00649D78" w:rsidR="00403A1C" w:rsidRPr="00F448FE" w:rsidRDefault="00403A1C" w:rsidP="000D04E0">
      <w:pPr>
        <w:adjustRightInd w:val="0"/>
        <w:snapToGrid w:val="0"/>
        <w:spacing w:line="360" w:lineRule="auto"/>
        <w:jc w:val="both"/>
        <w:rPr>
          <w:rFonts w:ascii="Book Antiqua" w:hAnsi="Book Antiqua"/>
          <w:b/>
        </w:rPr>
      </w:pPr>
      <w:r w:rsidRPr="00F448FE">
        <w:rPr>
          <w:rFonts w:ascii="Book Antiqua" w:hAnsi="Book Antiqua"/>
          <w:b/>
        </w:rPr>
        <w:lastRenderedPageBreak/>
        <w:t>Figure Legends</w:t>
      </w:r>
    </w:p>
    <w:p w14:paraId="2EF9A8EF" w14:textId="5BF5FE68" w:rsidR="006F0FEC" w:rsidRPr="00F448FE" w:rsidRDefault="006F0FEC" w:rsidP="000D04E0">
      <w:pPr>
        <w:adjustRightInd w:val="0"/>
        <w:snapToGrid w:val="0"/>
        <w:spacing w:line="360" w:lineRule="auto"/>
        <w:jc w:val="both"/>
        <w:rPr>
          <w:rFonts w:ascii="Book Antiqua" w:eastAsia="宋体" w:hAnsi="Book Antiqua"/>
          <w:b/>
          <w:lang w:eastAsia="zh-CN"/>
        </w:rPr>
      </w:pPr>
      <w:r w:rsidRPr="00F448FE">
        <w:rPr>
          <w:rFonts w:ascii="Book Antiqua" w:hAnsi="Book Antiqua"/>
          <w:noProof/>
          <w:lang w:val="en-US" w:eastAsia="zh-CN"/>
        </w:rPr>
        <w:drawing>
          <wp:inline distT="0" distB="0" distL="0" distR="0" wp14:anchorId="072DD219" wp14:editId="45432F77">
            <wp:extent cx="5756910" cy="36455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645535"/>
                    </a:xfrm>
                    <a:prstGeom prst="rect">
                      <a:avLst/>
                    </a:prstGeom>
                  </pic:spPr>
                </pic:pic>
              </a:graphicData>
            </a:graphic>
          </wp:inline>
        </w:drawing>
      </w:r>
    </w:p>
    <w:p w14:paraId="66A0C0B3" w14:textId="5234E592" w:rsidR="00EE0A5E" w:rsidRPr="00F448FE" w:rsidRDefault="00EE0A5E" w:rsidP="000D04E0">
      <w:pPr>
        <w:adjustRightInd w:val="0"/>
        <w:snapToGrid w:val="0"/>
        <w:spacing w:line="360" w:lineRule="auto"/>
        <w:jc w:val="both"/>
        <w:rPr>
          <w:rFonts w:ascii="Book Antiqua" w:hAnsi="Book Antiqua"/>
        </w:rPr>
      </w:pPr>
      <w:r w:rsidRPr="00F448FE">
        <w:rPr>
          <w:rFonts w:ascii="Book Antiqua" w:hAnsi="Book Antiqua"/>
          <w:b/>
          <w:bCs/>
        </w:rPr>
        <w:t xml:space="preserve">Figure 1 </w:t>
      </w:r>
      <w:r w:rsidR="00447227" w:rsidRPr="00F448FE">
        <w:rPr>
          <w:rFonts w:ascii="Book Antiqua" w:hAnsi="Book Antiqua"/>
          <w:b/>
          <w:bCs/>
        </w:rPr>
        <w:t>Schematic illustration of the enteroendocrine cells and their anatomic relation to the enteric nervous system.</w:t>
      </w:r>
      <w:r w:rsidR="00447227" w:rsidRPr="00F448FE">
        <w:rPr>
          <w:rFonts w:ascii="Book Antiqua" w:hAnsi="Book Antiqua"/>
        </w:rPr>
        <w:t xml:space="preserve"> </w:t>
      </w:r>
      <w:r w:rsidRPr="00F448FE">
        <w:rPr>
          <w:rFonts w:ascii="Book Antiqua" w:hAnsi="Book Antiqua"/>
        </w:rPr>
        <w:t>The enteroendocrine cells</w:t>
      </w:r>
      <w:r w:rsidR="00447227" w:rsidRPr="00F448FE">
        <w:rPr>
          <w:rFonts w:ascii="Book Antiqua" w:hAnsi="Book Antiqua"/>
        </w:rPr>
        <w:t xml:space="preserve"> are scattered among the epithelial cells lining the intestinal lumen. They interact and </w:t>
      </w:r>
      <w:r w:rsidR="00BD2143" w:rsidRPr="00F448FE">
        <w:rPr>
          <w:rFonts w:ascii="Book Antiqua" w:hAnsi="Book Antiqua"/>
        </w:rPr>
        <w:t>intergrade</w:t>
      </w:r>
      <w:r w:rsidR="00447227" w:rsidRPr="00F448FE">
        <w:rPr>
          <w:rFonts w:ascii="Book Antiqua" w:hAnsi="Book Antiqua"/>
        </w:rPr>
        <w:t xml:space="preserve"> with </w:t>
      </w:r>
      <w:r w:rsidR="00BD2143" w:rsidRPr="00F448FE">
        <w:rPr>
          <w:rFonts w:ascii="Book Antiqua" w:hAnsi="Book Antiqua"/>
        </w:rPr>
        <w:t>each other’s</w:t>
      </w:r>
      <w:r w:rsidR="00447227" w:rsidRPr="00F448FE">
        <w:rPr>
          <w:rFonts w:ascii="Book Antiqua" w:hAnsi="Book Antiqua"/>
        </w:rPr>
        <w:t xml:space="preserve"> and with enteric nervous system. Rep</w:t>
      </w:r>
      <w:r w:rsidR="00AA6247" w:rsidRPr="00F448FE">
        <w:rPr>
          <w:rFonts w:ascii="Book Antiqua" w:hAnsi="Book Antiqua"/>
        </w:rPr>
        <w:t>roduced</w:t>
      </w:r>
      <w:r w:rsidR="00447227" w:rsidRPr="00F448FE">
        <w:rPr>
          <w:rFonts w:ascii="Book Antiqua" w:hAnsi="Book Antiqua"/>
        </w:rPr>
        <w:t xml:space="preserve"> from</w:t>
      </w:r>
      <w:r w:rsidR="00A57B9B" w:rsidRPr="00F448FE">
        <w:rPr>
          <w:rFonts w:ascii="Book Antiqua" w:hAnsi="Book Antiqua"/>
        </w:rPr>
        <w:t xml:space="preserve"> El-</w:t>
      </w:r>
      <w:proofErr w:type="spellStart"/>
      <w:r w:rsidR="00A57B9B" w:rsidRPr="00F448FE">
        <w:rPr>
          <w:rFonts w:ascii="Book Antiqua" w:hAnsi="Book Antiqua"/>
        </w:rPr>
        <w:t>Salhy</w:t>
      </w:r>
      <w:proofErr w:type="spellEnd"/>
      <w:r w:rsidR="00A57B9B" w:rsidRPr="00F448FE">
        <w:rPr>
          <w:rFonts w:ascii="Book Antiqua" w:hAnsi="Book Antiqua"/>
        </w:rPr>
        <w:t xml:space="preserve"> </w:t>
      </w:r>
      <w:r w:rsidR="00A57B9B" w:rsidRPr="00F448FE">
        <w:rPr>
          <w:rFonts w:ascii="Book Antiqua" w:hAnsi="Book Antiqua"/>
          <w:i/>
          <w:iCs/>
        </w:rPr>
        <w:t xml:space="preserve">et </w:t>
      </w:r>
      <w:proofErr w:type="gramStart"/>
      <w:r w:rsidR="00A57B9B" w:rsidRPr="00F448FE">
        <w:rPr>
          <w:rFonts w:ascii="Book Antiqua" w:hAnsi="Book Antiqua"/>
          <w:i/>
          <w:iCs/>
        </w:rPr>
        <w:t>al</w:t>
      </w:r>
      <w:r w:rsidR="00BD2143" w:rsidRPr="00F448FE">
        <w:rPr>
          <w:rFonts w:ascii="Book Antiqua" w:hAnsi="Book Antiqua"/>
          <w:noProof/>
          <w:vertAlign w:val="superscript"/>
        </w:rPr>
        <w:t>[</w:t>
      </w:r>
      <w:proofErr w:type="gramEnd"/>
      <w:r w:rsidR="00F35A8A" w:rsidRPr="00F448FE">
        <w:rPr>
          <w:rFonts w:ascii="Book Antiqua" w:hAnsi="Book Antiqua"/>
          <w:noProof/>
          <w:vertAlign w:val="superscript"/>
        </w:rPr>
        <w:t>54</w:t>
      </w:r>
      <w:r w:rsidR="00BD2143" w:rsidRPr="00F448FE">
        <w:rPr>
          <w:rFonts w:ascii="Book Antiqua" w:hAnsi="Book Antiqua"/>
          <w:noProof/>
          <w:vertAlign w:val="superscript"/>
        </w:rPr>
        <w:t>]</w:t>
      </w:r>
      <w:r w:rsidR="00BD2143" w:rsidRPr="00F448FE">
        <w:rPr>
          <w:rFonts w:ascii="Book Antiqua" w:hAnsi="Book Antiqua"/>
        </w:rPr>
        <w:t xml:space="preserve"> by permission of the authors and the publisher.</w:t>
      </w:r>
    </w:p>
    <w:p w14:paraId="578BFE3A" w14:textId="12344099" w:rsidR="006F0FEC" w:rsidRPr="00F448FE" w:rsidRDefault="006F0FEC" w:rsidP="000D04E0">
      <w:pPr>
        <w:adjustRightInd w:val="0"/>
        <w:snapToGrid w:val="0"/>
        <w:spacing w:line="360" w:lineRule="auto"/>
        <w:rPr>
          <w:rFonts w:ascii="Book Antiqua" w:hAnsi="Book Antiqua"/>
        </w:rPr>
      </w:pPr>
      <w:r w:rsidRPr="00F448FE">
        <w:rPr>
          <w:rFonts w:ascii="Book Antiqua" w:hAnsi="Book Antiqua"/>
        </w:rPr>
        <w:br w:type="page"/>
      </w:r>
    </w:p>
    <w:p w14:paraId="799EEFF7" w14:textId="37C068F8" w:rsidR="00D57DD0" w:rsidRPr="00F448FE" w:rsidRDefault="006F0FEC" w:rsidP="000D04E0">
      <w:pPr>
        <w:adjustRightInd w:val="0"/>
        <w:snapToGrid w:val="0"/>
        <w:spacing w:line="360" w:lineRule="auto"/>
        <w:jc w:val="both"/>
        <w:rPr>
          <w:rFonts w:ascii="Book Antiqua" w:hAnsi="Book Antiqua"/>
        </w:rPr>
      </w:pPr>
      <w:r w:rsidRPr="00F448FE">
        <w:rPr>
          <w:rFonts w:ascii="Book Antiqua" w:hAnsi="Book Antiqua"/>
          <w:noProof/>
          <w:lang w:val="en-US" w:eastAsia="zh-CN"/>
        </w:rPr>
        <w:lastRenderedPageBreak/>
        <w:drawing>
          <wp:inline distT="0" distB="0" distL="0" distR="0" wp14:anchorId="6B87B2FB" wp14:editId="4FEA2C90">
            <wp:extent cx="2483615" cy="2207658"/>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9714" cy="2230857"/>
                    </a:xfrm>
                    <a:prstGeom prst="rect">
                      <a:avLst/>
                    </a:prstGeom>
                  </pic:spPr>
                </pic:pic>
              </a:graphicData>
            </a:graphic>
          </wp:inline>
        </w:drawing>
      </w:r>
    </w:p>
    <w:p w14:paraId="30A4E67D" w14:textId="78FE5323" w:rsidR="00D57DD0" w:rsidRPr="00F448FE" w:rsidRDefault="00BD2143" w:rsidP="000D04E0">
      <w:pPr>
        <w:adjustRightInd w:val="0"/>
        <w:snapToGrid w:val="0"/>
        <w:spacing w:line="360" w:lineRule="auto"/>
        <w:jc w:val="both"/>
        <w:rPr>
          <w:rFonts w:ascii="Book Antiqua" w:hAnsi="Book Antiqua"/>
        </w:rPr>
      </w:pPr>
      <w:r w:rsidRPr="00F448FE">
        <w:rPr>
          <w:rFonts w:ascii="Book Antiqua" w:hAnsi="Book Antiqua"/>
          <w:b/>
          <w:bCs/>
        </w:rPr>
        <w:t>Figure 2</w:t>
      </w:r>
      <w:r w:rsidR="00AA6247" w:rsidRPr="00F448FE">
        <w:rPr>
          <w:rFonts w:ascii="Book Antiqua" w:hAnsi="Book Antiqua"/>
          <w:b/>
          <w:bCs/>
        </w:rPr>
        <w:t xml:space="preserve"> </w:t>
      </w:r>
      <w:proofErr w:type="gramStart"/>
      <w:r w:rsidR="00AA6247" w:rsidRPr="00F448FE">
        <w:rPr>
          <w:rFonts w:ascii="Book Antiqua" w:hAnsi="Book Antiqua"/>
          <w:b/>
          <w:bCs/>
        </w:rPr>
        <w:t>The</w:t>
      </w:r>
      <w:proofErr w:type="gramEnd"/>
      <w:r w:rsidR="00AA6247" w:rsidRPr="00F448FE">
        <w:rPr>
          <w:rFonts w:ascii="Book Antiqua" w:hAnsi="Book Antiqua"/>
          <w:b/>
          <w:bCs/>
        </w:rPr>
        <w:t xml:space="preserve"> density of gut endocrine cells as detected by </w:t>
      </w:r>
      <w:r w:rsidR="00DF15D5" w:rsidRPr="00F448FE">
        <w:rPr>
          <w:rFonts w:ascii="Book Antiqua" w:hAnsi="Book Antiqua"/>
          <w:b/>
          <w:bCs/>
        </w:rPr>
        <w:t>c</w:t>
      </w:r>
      <w:r w:rsidR="00AA6247" w:rsidRPr="00F448FE">
        <w:rPr>
          <w:rFonts w:ascii="Book Antiqua" w:hAnsi="Book Antiqua"/>
          <w:b/>
          <w:bCs/>
        </w:rPr>
        <w:t xml:space="preserve">hromogranin </w:t>
      </w:r>
      <w:r w:rsidR="00DD0695" w:rsidRPr="00F448FE">
        <w:rPr>
          <w:rFonts w:ascii="Book Antiqua" w:hAnsi="Book Antiqua"/>
          <w:b/>
          <w:bCs/>
        </w:rPr>
        <w:t>a</w:t>
      </w:r>
      <w:r w:rsidR="00AA6247" w:rsidRPr="00F448FE">
        <w:rPr>
          <w:rFonts w:ascii="Book Antiqua" w:hAnsi="Book Antiqua"/>
          <w:b/>
          <w:bCs/>
        </w:rPr>
        <w:t xml:space="preserve"> immunoreactivity. </w:t>
      </w:r>
      <w:r w:rsidR="00AA6247" w:rsidRPr="00F448FE">
        <w:rPr>
          <w:rFonts w:ascii="Book Antiqua" w:hAnsi="Book Antiqua"/>
        </w:rPr>
        <w:t xml:space="preserve">Reproduced from </w:t>
      </w:r>
      <w:r w:rsidR="00A57B9B" w:rsidRPr="00F448FE">
        <w:rPr>
          <w:rFonts w:ascii="Book Antiqua" w:hAnsi="Book Antiqua"/>
        </w:rPr>
        <w:t>El-</w:t>
      </w:r>
      <w:proofErr w:type="spellStart"/>
      <w:r w:rsidR="00A57B9B" w:rsidRPr="00F448FE">
        <w:rPr>
          <w:rFonts w:ascii="Book Antiqua" w:hAnsi="Book Antiqua"/>
        </w:rPr>
        <w:t>Salhy</w:t>
      </w:r>
      <w:proofErr w:type="spellEnd"/>
      <w:r w:rsidR="00A57B9B" w:rsidRPr="00F448FE">
        <w:rPr>
          <w:rFonts w:ascii="Book Antiqua" w:hAnsi="Book Antiqua"/>
        </w:rPr>
        <w:t xml:space="preserve"> </w:t>
      </w:r>
      <w:r w:rsidR="00A57B9B" w:rsidRPr="00F448FE">
        <w:rPr>
          <w:rFonts w:ascii="Book Antiqua" w:hAnsi="Book Antiqua"/>
          <w:i/>
          <w:iCs/>
        </w:rPr>
        <w:t xml:space="preserve">et </w:t>
      </w:r>
      <w:proofErr w:type="gramStart"/>
      <w:r w:rsidR="00A57B9B" w:rsidRPr="00F448FE">
        <w:rPr>
          <w:rFonts w:ascii="Book Antiqua" w:hAnsi="Book Antiqua"/>
          <w:i/>
          <w:iCs/>
        </w:rPr>
        <w:t>al</w:t>
      </w:r>
      <w:r w:rsidR="00AA6247" w:rsidRPr="00F448FE">
        <w:rPr>
          <w:rFonts w:ascii="Book Antiqua" w:hAnsi="Book Antiqua"/>
          <w:noProof/>
          <w:vertAlign w:val="superscript"/>
        </w:rPr>
        <w:t>[</w:t>
      </w:r>
      <w:proofErr w:type="gramEnd"/>
      <w:r w:rsidR="00AA6247" w:rsidRPr="00F448FE">
        <w:rPr>
          <w:rFonts w:ascii="Book Antiqua" w:hAnsi="Book Antiqua"/>
          <w:noProof/>
          <w:vertAlign w:val="superscript"/>
        </w:rPr>
        <w:t>25]</w:t>
      </w:r>
      <w:r w:rsidR="00AA6247" w:rsidRPr="00F448FE">
        <w:rPr>
          <w:rFonts w:ascii="Book Antiqua" w:hAnsi="Book Antiqua"/>
        </w:rPr>
        <w:t xml:space="preserve"> by permission of the authors and the publisher.</w:t>
      </w:r>
    </w:p>
    <w:p w14:paraId="45908DA0" w14:textId="43D88336" w:rsidR="006F0FEC" w:rsidRPr="00F448FE" w:rsidRDefault="006F0FEC" w:rsidP="000D04E0">
      <w:pPr>
        <w:adjustRightInd w:val="0"/>
        <w:snapToGrid w:val="0"/>
        <w:spacing w:line="360" w:lineRule="auto"/>
        <w:rPr>
          <w:rFonts w:ascii="Book Antiqua" w:hAnsi="Book Antiqua"/>
        </w:rPr>
      </w:pPr>
      <w:r w:rsidRPr="00F448FE">
        <w:rPr>
          <w:rFonts w:ascii="Book Antiqua" w:hAnsi="Book Antiqua"/>
        </w:rPr>
        <w:br w:type="page"/>
      </w:r>
    </w:p>
    <w:p w14:paraId="642E830F" w14:textId="4630608D" w:rsidR="006F0FEC" w:rsidRPr="00F448FE" w:rsidRDefault="006F0FEC" w:rsidP="000D04E0">
      <w:pPr>
        <w:adjustRightInd w:val="0"/>
        <w:snapToGrid w:val="0"/>
        <w:spacing w:line="360" w:lineRule="auto"/>
        <w:jc w:val="both"/>
        <w:rPr>
          <w:rFonts w:ascii="Book Antiqua" w:hAnsi="Book Antiqua"/>
        </w:rPr>
      </w:pPr>
      <w:r w:rsidRPr="00F448FE">
        <w:rPr>
          <w:rFonts w:ascii="Book Antiqua" w:hAnsi="Book Antiqua"/>
          <w:noProof/>
          <w:lang w:val="en-US" w:eastAsia="zh-CN"/>
        </w:rPr>
        <w:lastRenderedPageBreak/>
        <w:drawing>
          <wp:inline distT="0" distB="0" distL="0" distR="0" wp14:anchorId="48F4D78A" wp14:editId="3AD2C5F4">
            <wp:extent cx="5756910" cy="4447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gure 3.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4447540"/>
                    </a:xfrm>
                    <a:prstGeom prst="rect">
                      <a:avLst/>
                    </a:prstGeom>
                  </pic:spPr>
                </pic:pic>
              </a:graphicData>
            </a:graphic>
          </wp:inline>
        </w:drawing>
      </w:r>
    </w:p>
    <w:p w14:paraId="54E866D4" w14:textId="1BB1AB46" w:rsidR="000444CD" w:rsidRPr="00F448FE" w:rsidRDefault="00EC7A50" w:rsidP="000D04E0">
      <w:pPr>
        <w:adjustRightInd w:val="0"/>
        <w:snapToGrid w:val="0"/>
        <w:spacing w:line="360" w:lineRule="auto"/>
        <w:jc w:val="both"/>
        <w:rPr>
          <w:rFonts w:ascii="Book Antiqua" w:hAnsi="Book Antiqua"/>
        </w:rPr>
      </w:pPr>
      <w:r w:rsidRPr="00F448FE">
        <w:rPr>
          <w:rFonts w:ascii="Book Antiqua" w:hAnsi="Book Antiqua"/>
          <w:b/>
          <w:bCs/>
        </w:rPr>
        <w:t>Figure 3</w:t>
      </w:r>
      <w:r w:rsidR="000444CD" w:rsidRPr="00F448FE">
        <w:rPr>
          <w:rFonts w:ascii="Book Antiqua" w:hAnsi="Book Antiqua"/>
        </w:rPr>
        <w:t xml:space="preserve"> </w:t>
      </w:r>
      <w:r w:rsidR="000444CD" w:rsidRPr="00F448FE">
        <w:rPr>
          <w:rFonts w:ascii="Book Antiqua" w:hAnsi="Book Antiqua"/>
          <w:b/>
          <w:bCs/>
        </w:rPr>
        <w:t xml:space="preserve">Chromogranin immunoreactive cells in the duodenum of a healthy subject and of a patient with </w:t>
      </w:r>
      <w:r w:rsidR="00DD0695" w:rsidRPr="00F448FE">
        <w:rPr>
          <w:rFonts w:ascii="Book Antiqua" w:hAnsi="Book Antiqua"/>
          <w:b/>
          <w:bCs/>
        </w:rPr>
        <w:t>irritable bowel syndrome</w:t>
      </w:r>
      <w:r w:rsidR="000444CD" w:rsidRPr="00F448FE">
        <w:rPr>
          <w:rFonts w:ascii="Book Antiqua" w:hAnsi="Book Antiqua"/>
        </w:rPr>
        <w:t xml:space="preserve">. </w:t>
      </w:r>
      <w:r w:rsidR="00DF15D5" w:rsidRPr="00F448FE">
        <w:rPr>
          <w:rFonts w:ascii="Book Antiqua" w:hAnsi="Book Antiqua"/>
        </w:rPr>
        <w:t xml:space="preserve">A: Chromogranin immunoreactive cells in the duodenum of a healthy subject; B: Chromogranin immunoreactive cells in the duodenum of a patient with </w:t>
      </w:r>
      <w:r w:rsidR="00DD0695" w:rsidRPr="00F448FE">
        <w:rPr>
          <w:rFonts w:ascii="Book Antiqua" w:hAnsi="Book Antiqua"/>
        </w:rPr>
        <w:t>irritable bowel syndrome (</w:t>
      </w:r>
      <w:r w:rsidR="00DF15D5" w:rsidRPr="00F448FE">
        <w:rPr>
          <w:rFonts w:ascii="Book Antiqua" w:hAnsi="Book Antiqua"/>
        </w:rPr>
        <w:t>IBS</w:t>
      </w:r>
      <w:r w:rsidR="00DD0695" w:rsidRPr="00F448FE">
        <w:rPr>
          <w:rFonts w:ascii="Book Antiqua" w:hAnsi="Book Antiqua"/>
        </w:rPr>
        <w:t>)</w:t>
      </w:r>
      <w:r w:rsidR="00DF15D5" w:rsidRPr="00F448FE">
        <w:rPr>
          <w:rFonts w:ascii="Book Antiqua" w:hAnsi="Book Antiqua"/>
        </w:rPr>
        <w:t>; C: Chromogranin A cells in the colon of a healthy control; D: Chromogranin A cells in the colon of a patient with IBS.</w:t>
      </w:r>
      <w:r w:rsidR="00DF15D5" w:rsidRPr="00F448FE">
        <w:rPr>
          <w:rFonts w:ascii="Book Antiqua" w:eastAsiaTheme="minorEastAsia" w:hAnsi="Book Antiqua"/>
          <w:lang w:eastAsia="zh-CN"/>
        </w:rPr>
        <w:t xml:space="preserve"> </w:t>
      </w:r>
      <w:r w:rsidR="000444CD" w:rsidRPr="00F448FE">
        <w:rPr>
          <w:rFonts w:ascii="Book Antiqua" w:hAnsi="Book Antiqua"/>
        </w:rPr>
        <w:t>Chromogranin A is a common marker for enteroendocrine cells. The density of Chromogranin A in the duodenum and colon of patients with IBS is lower than that of healthy subjects</w:t>
      </w:r>
      <w:r w:rsidR="00DF15D5" w:rsidRPr="00F448FE">
        <w:rPr>
          <w:rFonts w:ascii="Book Antiqua" w:hAnsi="Book Antiqua"/>
        </w:rPr>
        <w:t>.</w:t>
      </w:r>
    </w:p>
    <w:p w14:paraId="209296D5" w14:textId="43010512" w:rsidR="006F0FEC" w:rsidRPr="00F448FE" w:rsidRDefault="006F0FEC" w:rsidP="000D04E0">
      <w:pPr>
        <w:adjustRightInd w:val="0"/>
        <w:snapToGrid w:val="0"/>
        <w:spacing w:line="360" w:lineRule="auto"/>
        <w:rPr>
          <w:rFonts w:ascii="Book Antiqua" w:hAnsi="Book Antiqua"/>
        </w:rPr>
      </w:pPr>
      <w:r w:rsidRPr="00F448FE">
        <w:rPr>
          <w:rFonts w:ascii="Book Antiqua" w:hAnsi="Book Antiqua"/>
        </w:rPr>
        <w:br w:type="page"/>
      </w:r>
    </w:p>
    <w:p w14:paraId="192C5ECE" w14:textId="0FF0AE30" w:rsidR="00EC7A50" w:rsidRPr="00F448FE" w:rsidRDefault="00354A58" w:rsidP="000D04E0">
      <w:pPr>
        <w:adjustRightInd w:val="0"/>
        <w:snapToGrid w:val="0"/>
        <w:spacing w:line="360" w:lineRule="auto"/>
        <w:jc w:val="both"/>
        <w:rPr>
          <w:rFonts w:ascii="Book Antiqua" w:hAnsi="Book Antiqua"/>
        </w:rPr>
      </w:pPr>
      <w:r w:rsidRPr="00F448FE">
        <w:rPr>
          <w:rFonts w:ascii="Book Antiqua" w:hAnsi="Book Antiqua"/>
          <w:noProof/>
          <w:lang w:val="en-US" w:eastAsia="zh-CN"/>
        </w:rPr>
        <w:lastRenderedPageBreak/>
        <w:drawing>
          <wp:inline distT="0" distB="0" distL="0" distR="0" wp14:anchorId="1F571F09" wp14:editId="6C4E6D90">
            <wp:extent cx="4526672" cy="5044877"/>
            <wp:effectExtent l="0" t="0" r="762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6672" cy="5044877"/>
                    </a:xfrm>
                    <a:prstGeom prst="rect">
                      <a:avLst/>
                    </a:prstGeom>
                  </pic:spPr>
                </pic:pic>
              </a:graphicData>
            </a:graphic>
          </wp:inline>
        </w:drawing>
      </w:r>
    </w:p>
    <w:p w14:paraId="32B13DC0" w14:textId="043D0C10" w:rsidR="00EC7A50" w:rsidRPr="00F448FE" w:rsidRDefault="00EC7A50" w:rsidP="000D04E0">
      <w:pPr>
        <w:adjustRightInd w:val="0"/>
        <w:snapToGrid w:val="0"/>
        <w:spacing w:line="360" w:lineRule="auto"/>
        <w:jc w:val="both"/>
        <w:rPr>
          <w:rFonts w:ascii="Book Antiqua" w:hAnsi="Book Antiqua"/>
        </w:rPr>
      </w:pPr>
      <w:r w:rsidRPr="00F448FE">
        <w:rPr>
          <w:rFonts w:ascii="Book Antiqua" w:hAnsi="Book Antiqua"/>
          <w:b/>
          <w:bCs/>
        </w:rPr>
        <w:t>Figure 4 The intestinal stem cell divides into 2 identical cells (</w:t>
      </w:r>
      <w:proofErr w:type="spellStart"/>
      <w:r w:rsidRPr="00F448FE">
        <w:rPr>
          <w:rFonts w:ascii="Book Antiqua" w:hAnsi="Book Antiqua"/>
          <w:b/>
          <w:bCs/>
        </w:rPr>
        <w:t>clonogeny</w:t>
      </w:r>
      <w:proofErr w:type="spellEnd"/>
      <w:r w:rsidRPr="00F448FE">
        <w:rPr>
          <w:rFonts w:ascii="Book Antiqua" w:hAnsi="Book Antiqua"/>
          <w:b/>
          <w:bCs/>
        </w:rPr>
        <w:t xml:space="preserve">). </w:t>
      </w:r>
      <w:r w:rsidRPr="00F448FE">
        <w:rPr>
          <w:rFonts w:ascii="Book Antiqua" w:hAnsi="Book Antiqua"/>
        </w:rPr>
        <w:t xml:space="preserve">One of these cells remain inactive, while the other stem cell differentiates into all cell types of the villus epithelium through 2 cell lineages: </w:t>
      </w:r>
      <w:r w:rsidR="00DF15D5" w:rsidRPr="00F448FE">
        <w:rPr>
          <w:rFonts w:ascii="Book Antiqua" w:hAnsi="Book Antiqua"/>
        </w:rPr>
        <w:t>T</w:t>
      </w:r>
      <w:r w:rsidRPr="00F448FE">
        <w:rPr>
          <w:rFonts w:ascii="Book Antiqua" w:hAnsi="Book Antiqua"/>
        </w:rPr>
        <w:t xml:space="preserve">he secretory lineage giving raise to goblet cells, endocrine cells and Paneth cells, and the absorptive lineage giving raise to absorptive enterocytes. This differentiation occurs through a series of progenitors. The observations that the density of stem cells and progenitors for enteroendocrine cells, led to the assumption of gene mutations affecting the stem cell and </w:t>
      </w:r>
      <w:proofErr w:type="spellStart"/>
      <w:r w:rsidRPr="00F448FE">
        <w:rPr>
          <w:rFonts w:ascii="Book Antiqua" w:hAnsi="Book Antiqua"/>
        </w:rPr>
        <w:t>neurogenin</w:t>
      </w:r>
      <w:proofErr w:type="spellEnd"/>
      <w:r w:rsidRPr="00F448FE">
        <w:rPr>
          <w:rFonts w:ascii="Book Antiqua" w:hAnsi="Book Antiqua"/>
        </w:rPr>
        <w:t xml:space="preserve"> 3 gene.</w:t>
      </w:r>
    </w:p>
    <w:p w14:paraId="549AB675" w14:textId="6EB4B49B" w:rsidR="006F0FEC" w:rsidRPr="00F448FE" w:rsidRDefault="006F0FEC" w:rsidP="000D04E0">
      <w:pPr>
        <w:adjustRightInd w:val="0"/>
        <w:snapToGrid w:val="0"/>
        <w:spacing w:line="360" w:lineRule="auto"/>
        <w:rPr>
          <w:rFonts w:ascii="Book Antiqua" w:hAnsi="Book Antiqua"/>
        </w:rPr>
      </w:pPr>
      <w:r w:rsidRPr="00F448FE">
        <w:rPr>
          <w:rFonts w:ascii="Book Antiqua" w:hAnsi="Book Antiqua"/>
        </w:rPr>
        <w:br w:type="page"/>
      </w:r>
    </w:p>
    <w:p w14:paraId="25819F56" w14:textId="0DC2BC40" w:rsidR="00EC7A50" w:rsidRPr="00F448FE" w:rsidRDefault="006F0FEC" w:rsidP="000D04E0">
      <w:pPr>
        <w:adjustRightInd w:val="0"/>
        <w:snapToGrid w:val="0"/>
        <w:spacing w:line="360" w:lineRule="auto"/>
        <w:jc w:val="both"/>
        <w:rPr>
          <w:rFonts w:ascii="Book Antiqua" w:hAnsi="Book Antiqua"/>
        </w:rPr>
      </w:pPr>
      <w:r w:rsidRPr="00F448FE">
        <w:rPr>
          <w:rFonts w:ascii="Book Antiqua" w:hAnsi="Book Antiqua"/>
          <w:noProof/>
          <w:lang w:val="en-US" w:eastAsia="zh-CN"/>
        </w:rPr>
        <w:lastRenderedPageBreak/>
        <w:drawing>
          <wp:inline distT="0" distB="0" distL="0" distR="0" wp14:anchorId="02BC97C7" wp14:editId="60FD90D2">
            <wp:extent cx="5756910" cy="2275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2275205"/>
                    </a:xfrm>
                    <a:prstGeom prst="rect">
                      <a:avLst/>
                    </a:prstGeom>
                  </pic:spPr>
                </pic:pic>
              </a:graphicData>
            </a:graphic>
          </wp:inline>
        </w:drawing>
      </w:r>
    </w:p>
    <w:p w14:paraId="668C6CE4" w14:textId="7BBC65AA" w:rsidR="00EC7A50" w:rsidRPr="00F448FE" w:rsidRDefault="00EC7A50" w:rsidP="000D04E0">
      <w:pPr>
        <w:autoSpaceDE w:val="0"/>
        <w:autoSpaceDN w:val="0"/>
        <w:adjustRightInd w:val="0"/>
        <w:snapToGrid w:val="0"/>
        <w:spacing w:line="360" w:lineRule="auto"/>
        <w:jc w:val="both"/>
        <w:outlineLvl w:val="0"/>
        <w:rPr>
          <w:rFonts w:ascii="Book Antiqua" w:hAnsi="Book Antiqua"/>
        </w:rPr>
      </w:pPr>
      <w:r w:rsidRPr="00F448FE">
        <w:rPr>
          <w:rFonts w:ascii="Book Antiqua" w:hAnsi="Book Antiqua"/>
          <w:b/>
          <w:bCs/>
        </w:rPr>
        <w:t xml:space="preserve">Figure 5 </w:t>
      </w:r>
      <w:proofErr w:type="spellStart"/>
      <w:r w:rsidR="000444CD" w:rsidRPr="00F448FE">
        <w:rPr>
          <w:rFonts w:ascii="Book Antiqua" w:hAnsi="Book Antiqua"/>
          <w:b/>
          <w:bCs/>
          <w:shd w:val="clear" w:color="auto" w:fill="FFFFFF"/>
        </w:rPr>
        <w:t>Musashi</w:t>
      </w:r>
      <w:proofErr w:type="spellEnd"/>
      <w:r w:rsidR="000444CD" w:rsidRPr="00F448FE">
        <w:rPr>
          <w:rFonts w:ascii="Book Antiqua" w:hAnsi="Book Antiqua"/>
          <w:b/>
          <w:bCs/>
          <w:shd w:val="clear" w:color="auto" w:fill="FFFFFF"/>
        </w:rPr>
        <w:t xml:space="preserve"> 1 </w:t>
      </w:r>
      <w:proofErr w:type="spellStart"/>
      <w:r w:rsidR="000444CD" w:rsidRPr="00F448FE">
        <w:rPr>
          <w:rFonts w:ascii="Book Antiqua" w:hAnsi="Book Antiqua"/>
          <w:b/>
          <w:bCs/>
          <w:shd w:val="clear" w:color="auto" w:fill="FFFFFF"/>
        </w:rPr>
        <w:t>immunoreactive</w:t>
      </w:r>
      <w:proofErr w:type="spellEnd"/>
      <w:r w:rsidR="000444CD" w:rsidRPr="00F448FE">
        <w:rPr>
          <w:rFonts w:ascii="Book Antiqua" w:hAnsi="Book Antiqua"/>
          <w:b/>
          <w:bCs/>
          <w:shd w:val="clear" w:color="auto" w:fill="FFFFFF"/>
        </w:rPr>
        <w:t xml:space="preserve"> cells in duodenum</w:t>
      </w:r>
      <w:r w:rsidR="00DF15D5" w:rsidRPr="00F448FE">
        <w:rPr>
          <w:rFonts w:ascii="Book Antiqua" w:hAnsi="Book Antiqua"/>
          <w:shd w:val="clear" w:color="auto" w:fill="FFFFFF"/>
        </w:rPr>
        <w:t>.</w:t>
      </w:r>
      <w:r w:rsidR="000444CD" w:rsidRPr="00F448FE">
        <w:rPr>
          <w:rFonts w:ascii="Book Antiqua" w:hAnsi="Book Antiqua"/>
          <w:shd w:val="clear" w:color="auto" w:fill="FFFFFF"/>
        </w:rPr>
        <w:t xml:space="preserve"> </w:t>
      </w:r>
      <w:r w:rsidR="00DF15D5" w:rsidRPr="00F448FE">
        <w:rPr>
          <w:rFonts w:ascii="Book Antiqua" w:hAnsi="Book Antiqua"/>
          <w:shd w:val="clear" w:color="auto" w:fill="FFFFFF"/>
        </w:rPr>
        <w:t>A: A</w:t>
      </w:r>
      <w:r w:rsidR="000444CD" w:rsidRPr="00F448FE">
        <w:rPr>
          <w:rFonts w:ascii="Book Antiqua" w:hAnsi="Book Antiqua"/>
          <w:shd w:val="clear" w:color="auto" w:fill="FFFFFF"/>
        </w:rPr>
        <w:t xml:space="preserve"> healthy subject</w:t>
      </w:r>
      <w:r w:rsidR="00DF15D5" w:rsidRPr="00F448FE">
        <w:rPr>
          <w:rFonts w:ascii="Book Antiqua" w:hAnsi="Book Antiqua"/>
          <w:shd w:val="clear" w:color="auto" w:fill="FFFFFF"/>
        </w:rPr>
        <w:t>; B:</w:t>
      </w:r>
      <w:r w:rsidR="000444CD" w:rsidRPr="00F448FE">
        <w:rPr>
          <w:rFonts w:ascii="Book Antiqua" w:hAnsi="Book Antiqua"/>
          <w:shd w:val="clear" w:color="auto" w:fill="FFFFFF"/>
        </w:rPr>
        <w:t xml:space="preserve"> </w:t>
      </w:r>
      <w:r w:rsidR="00DF15D5" w:rsidRPr="00F448FE">
        <w:rPr>
          <w:rFonts w:ascii="Book Antiqua" w:hAnsi="Book Antiqua"/>
          <w:shd w:val="clear" w:color="auto" w:fill="FFFFFF"/>
        </w:rPr>
        <w:t>A</w:t>
      </w:r>
      <w:r w:rsidR="000444CD" w:rsidRPr="00F448FE">
        <w:rPr>
          <w:rFonts w:ascii="Book Antiqua" w:hAnsi="Book Antiqua"/>
          <w:shd w:val="clear" w:color="auto" w:fill="FFFFFF"/>
        </w:rPr>
        <w:t xml:space="preserve"> patient with </w:t>
      </w:r>
      <w:r w:rsidR="006343AF" w:rsidRPr="00F448FE">
        <w:rPr>
          <w:rFonts w:ascii="Book Antiqua" w:hAnsi="Book Antiqua"/>
        </w:rPr>
        <w:t>irritable bowel syndrome</w:t>
      </w:r>
      <w:r w:rsidR="006343AF" w:rsidRPr="00F448FE">
        <w:rPr>
          <w:rFonts w:ascii="Book Antiqua" w:hAnsi="Book Antiqua"/>
          <w:shd w:val="clear" w:color="auto" w:fill="FFFFFF"/>
        </w:rPr>
        <w:t xml:space="preserve"> (</w:t>
      </w:r>
      <w:r w:rsidR="000444CD" w:rsidRPr="00F448FE">
        <w:rPr>
          <w:rFonts w:ascii="Book Antiqua" w:hAnsi="Book Antiqua"/>
          <w:shd w:val="clear" w:color="auto" w:fill="FFFFFF"/>
        </w:rPr>
        <w:t>IBS</w:t>
      </w:r>
      <w:r w:rsidR="006343AF" w:rsidRPr="00F448FE">
        <w:rPr>
          <w:rFonts w:ascii="Book Antiqua" w:hAnsi="Book Antiqua"/>
          <w:shd w:val="clear" w:color="auto" w:fill="FFFFFF"/>
        </w:rPr>
        <w:t>)</w:t>
      </w:r>
      <w:r w:rsidR="000444CD" w:rsidRPr="00F448FE">
        <w:rPr>
          <w:rFonts w:ascii="Book Antiqua" w:hAnsi="Book Antiqua"/>
          <w:shd w:val="clear" w:color="auto" w:fill="FFFFFF"/>
        </w:rPr>
        <w:t xml:space="preserve">. </w:t>
      </w:r>
      <w:proofErr w:type="spellStart"/>
      <w:r w:rsidR="000444CD" w:rsidRPr="00F448FE">
        <w:rPr>
          <w:rFonts w:ascii="Book Antiqua" w:hAnsi="Book Antiqua"/>
          <w:shd w:val="clear" w:color="auto" w:fill="FFFFFF"/>
        </w:rPr>
        <w:t>Musashi</w:t>
      </w:r>
      <w:proofErr w:type="spellEnd"/>
      <w:r w:rsidR="000444CD" w:rsidRPr="00F448FE">
        <w:rPr>
          <w:rFonts w:ascii="Book Antiqua" w:hAnsi="Book Antiqua"/>
          <w:shd w:val="clear" w:color="auto" w:fill="FFFFFF"/>
        </w:rPr>
        <w:t xml:space="preserve"> 1 is a </w:t>
      </w:r>
      <w:r w:rsidR="000444CD" w:rsidRPr="00F448FE">
        <w:rPr>
          <w:rFonts w:ascii="Book Antiqua" w:hAnsi="Book Antiqua"/>
        </w:rPr>
        <w:t xml:space="preserve">marker for intestinal stem cells and their early progeny. The density of </w:t>
      </w:r>
      <w:proofErr w:type="spellStart"/>
      <w:r w:rsidR="000444CD" w:rsidRPr="00F448FE">
        <w:rPr>
          <w:rFonts w:ascii="Book Antiqua" w:hAnsi="Book Antiqua"/>
        </w:rPr>
        <w:t>Musahi</w:t>
      </w:r>
      <w:proofErr w:type="spellEnd"/>
      <w:r w:rsidR="000444CD" w:rsidRPr="00F448FE">
        <w:rPr>
          <w:rFonts w:ascii="Book Antiqua" w:hAnsi="Book Antiqua"/>
        </w:rPr>
        <w:t xml:space="preserve"> 1 cells in healthy subjects is higher than that of the IBS patients. Furthermore, </w:t>
      </w:r>
      <w:proofErr w:type="spellStart"/>
      <w:r w:rsidR="000444CD" w:rsidRPr="00F448FE">
        <w:rPr>
          <w:rFonts w:ascii="Book Antiqua" w:hAnsi="Book Antiqua"/>
        </w:rPr>
        <w:t>Musashi</w:t>
      </w:r>
      <w:proofErr w:type="spellEnd"/>
      <w:r w:rsidR="000444CD" w:rsidRPr="00F448FE">
        <w:rPr>
          <w:rFonts w:ascii="Book Antiqua" w:hAnsi="Book Antiqua"/>
        </w:rPr>
        <w:t xml:space="preserve"> 1 cells in healthy subjects appear to have more proliferation activity than that of IBS patients.</w:t>
      </w:r>
    </w:p>
    <w:p w14:paraId="718C3EF9" w14:textId="7AA9ABDE" w:rsidR="006F0FEC" w:rsidRPr="00F448FE" w:rsidRDefault="006F0FEC" w:rsidP="000D04E0">
      <w:pPr>
        <w:adjustRightInd w:val="0"/>
        <w:snapToGrid w:val="0"/>
        <w:spacing w:line="360" w:lineRule="auto"/>
        <w:rPr>
          <w:rFonts w:ascii="Book Antiqua" w:hAnsi="Book Antiqua"/>
        </w:rPr>
      </w:pPr>
      <w:r w:rsidRPr="00F448FE">
        <w:rPr>
          <w:rFonts w:ascii="Book Antiqua" w:hAnsi="Book Antiqua"/>
        </w:rPr>
        <w:br w:type="page"/>
      </w:r>
    </w:p>
    <w:p w14:paraId="5A334CD9" w14:textId="7ACB7267" w:rsidR="000444CD" w:rsidRPr="00F448FE" w:rsidRDefault="006F0FEC" w:rsidP="000D04E0">
      <w:pPr>
        <w:autoSpaceDE w:val="0"/>
        <w:autoSpaceDN w:val="0"/>
        <w:adjustRightInd w:val="0"/>
        <w:snapToGrid w:val="0"/>
        <w:spacing w:line="360" w:lineRule="auto"/>
        <w:jc w:val="both"/>
        <w:outlineLvl w:val="0"/>
        <w:rPr>
          <w:rFonts w:ascii="Book Antiqua" w:hAnsi="Book Antiqua"/>
        </w:rPr>
      </w:pPr>
      <w:r w:rsidRPr="00F448FE">
        <w:rPr>
          <w:rFonts w:ascii="Book Antiqua" w:hAnsi="Book Antiqua"/>
          <w:noProof/>
          <w:lang w:val="en-US" w:eastAsia="zh-CN"/>
        </w:rPr>
        <w:lastRenderedPageBreak/>
        <w:drawing>
          <wp:inline distT="0" distB="0" distL="0" distR="0" wp14:anchorId="69F0D0A0" wp14:editId="7015C9D4">
            <wp:extent cx="5756910" cy="22390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2239010"/>
                    </a:xfrm>
                    <a:prstGeom prst="rect">
                      <a:avLst/>
                    </a:prstGeom>
                  </pic:spPr>
                </pic:pic>
              </a:graphicData>
            </a:graphic>
          </wp:inline>
        </w:drawing>
      </w:r>
    </w:p>
    <w:p w14:paraId="177FD174" w14:textId="7EC2B50F" w:rsidR="006A109E" w:rsidRPr="00F448FE" w:rsidRDefault="00EC7A50" w:rsidP="000D04E0">
      <w:pPr>
        <w:autoSpaceDE w:val="0"/>
        <w:autoSpaceDN w:val="0"/>
        <w:adjustRightInd w:val="0"/>
        <w:snapToGrid w:val="0"/>
        <w:spacing w:line="360" w:lineRule="auto"/>
        <w:jc w:val="both"/>
        <w:outlineLvl w:val="0"/>
        <w:rPr>
          <w:rFonts w:ascii="Book Antiqua" w:hAnsi="Book Antiqua"/>
        </w:rPr>
      </w:pPr>
      <w:r w:rsidRPr="00F448FE">
        <w:rPr>
          <w:rFonts w:ascii="Book Antiqua" w:hAnsi="Book Antiqua"/>
          <w:b/>
          <w:bCs/>
        </w:rPr>
        <w:t xml:space="preserve">Figure 6 </w:t>
      </w:r>
      <w:proofErr w:type="spellStart"/>
      <w:r w:rsidR="006A109E" w:rsidRPr="00F448FE">
        <w:rPr>
          <w:rFonts w:ascii="Book Antiqua" w:hAnsi="Book Antiqua"/>
          <w:b/>
          <w:bCs/>
        </w:rPr>
        <w:t>Neurogenin</w:t>
      </w:r>
      <w:proofErr w:type="spellEnd"/>
      <w:r w:rsidR="006A109E" w:rsidRPr="00F448FE">
        <w:rPr>
          <w:rFonts w:ascii="Book Antiqua" w:hAnsi="Book Antiqua"/>
          <w:b/>
          <w:bCs/>
        </w:rPr>
        <w:t xml:space="preserve"> 3 </w:t>
      </w:r>
      <w:proofErr w:type="spellStart"/>
      <w:r w:rsidR="006A109E" w:rsidRPr="00F448FE">
        <w:rPr>
          <w:rFonts w:ascii="Book Antiqua" w:hAnsi="Book Antiqua"/>
          <w:b/>
          <w:bCs/>
        </w:rPr>
        <w:t>immunoreactive</w:t>
      </w:r>
      <w:proofErr w:type="spellEnd"/>
      <w:r w:rsidR="006A109E" w:rsidRPr="00F448FE">
        <w:rPr>
          <w:rFonts w:ascii="Book Antiqua" w:hAnsi="Book Antiqua"/>
          <w:b/>
          <w:bCs/>
        </w:rPr>
        <w:t xml:space="preserve"> cells in the duodenum</w:t>
      </w:r>
      <w:r w:rsidR="00695D71" w:rsidRPr="00F448FE">
        <w:rPr>
          <w:rFonts w:ascii="Book Antiqua" w:hAnsi="Book Antiqua"/>
          <w:b/>
          <w:bCs/>
        </w:rPr>
        <w:t xml:space="preserve">. </w:t>
      </w:r>
      <w:r w:rsidR="00695D71" w:rsidRPr="00F448FE">
        <w:rPr>
          <w:rFonts w:ascii="Book Antiqua" w:hAnsi="Book Antiqua"/>
        </w:rPr>
        <w:t>A:</w:t>
      </w:r>
      <w:r w:rsidR="006A109E" w:rsidRPr="00F448FE">
        <w:rPr>
          <w:rFonts w:ascii="Book Antiqua" w:hAnsi="Book Antiqua"/>
          <w:b/>
          <w:bCs/>
        </w:rPr>
        <w:t xml:space="preserve"> </w:t>
      </w:r>
      <w:r w:rsidR="00695D71" w:rsidRPr="00F448FE">
        <w:rPr>
          <w:rFonts w:ascii="Book Antiqua" w:hAnsi="Book Antiqua"/>
        </w:rPr>
        <w:t>A</w:t>
      </w:r>
      <w:r w:rsidR="006A109E" w:rsidRPr="00F448FE">
        <w:rPr>
          <w:rFonts w:ascii="Book Antiqua" w:hAnsi="Book Antiqua"/>
        </w:rPr>
        <w:t xml:space="preserve"> healthy control </w:t>
      </w:r>
      <w:r w:rsidR="00695D71" w:rsidRPr="00F448FE">
        <w:rPr>
          <w:rFonts w:ascii="Book Antiqua" w:hAnsi="Book Antiqua"/>
        </w:rPr>
        <w:t>B:</w:t>
      </w:r>
      <w:r w:rsidR="006A109E" w:rsidRPr="00F448FE">
        <w:rPr>
          <w:rFonts w:ascii="Book Antiqua" w:hAnsi="Book Antiqua"/>
        </w:rPr>
        <w:t xml:space="preserve"> </w:t>
      </w:r>
      <w:r w:rsidR="00695D71" w:rsidRPr="00F448FE">
        <w:rPr>
          <w:rFonts w:ascii="Book Antiqua" w:hAnsi="Book Antiqua"/>
        </w:rPr>
        <w:t>A</w:t>
      </w:r>
      <w:r w:rsidR="006A109E" w:rsidRPr="00F448FE">
        <w:rPr>
          <w:rFonts w:ascii="Book Antiqua" w:hAnsi="Book Antiqua"/>
        </w:rPr>
        <w:t xml:space="preserve"> patient with </w:t>
      </w:r>
      <w:r w:rsidR="006343AF" w:rsidRPr="00F448FE">
        <w:rPr>
          <w:rFonts w:ascii="Book Antiqua" w:hAnsi="Book Antiqua"/>
        </w:rPr>
        <w:t>irritable bowel syndrome</w:t>
      </w:r>
      <w:r w:rsidR="006A109E" w:rsidRPr="00F448FE">
        <w:rPr>
          <w:rFonts w:ascii="Book Antiqua" w:hAnsi="Book Antiqua"/>
        </w:rPr>
        <w:t>.</w:t>
      </w:r>
      <w:r w:rsidR="006A109E" w:rsidRPr="00F448FE">
        <w:rPr>
          <w:rFonts w:ascii="Book Antiqua" w:hAnsi="Book Antiqua"/>
          <w:shd w:val="clear" w:color="auto" w:fill="FFFFFF"/>
        </w:rPr>
        <w:t xml:space="preserve"> </w:t>
      </w:r>
      <w:proofErr w:type="spellStart"/>
      <w:r w:rsidR="006A109E" w:rsidRPr="00F448FE">
        <w:rPr>
          <w:rFonts w:ascii="Book Antiqua" w:hAnsi="Book Antiqua"/>
        </w:rPr>
        <w:t>Neurogenin</w:t>
      </w:r>
      <w:proofErr w:type="spellEnd"/>
      <w:r w:rsidR="007C00FD" w:rsidRPr="00F448FE">
        <w:rPr>
          <w:rFonts w:ascii="Book Antiqua" w:hAnsi="Book Antiqua"/>
        </w:rPr>
        <w:t xml:space="preserve"> </w:t>
      </w:r>
      <w:r w:rsidR="006A109E" w:rsidRPr="00F448FE">
        <w:rPr>
          <w:rFonts w:ascii="Book Antiqua" w:hAnsi="Book Antiqua"/>
        </w:rPr>
        <w:t xml:space="preserve">3 is expressed in the nuclei (brown) of early intestinal endocrine cell progenitors. The healthy subjects have higher density of </w:t>
      </w:r>
      <w:proofErr w:type="spellStart"/>
      <w:r w:rsidR="006A109E" w:rsidRPr="00F448FE">
        <w:rPr>
          <w:rFonts w:ascii="Book Antiqua" w:hAnsi="Book Antiqua"/>
        </w:rPr>
        <w:t>neurogenin</w:t>
      </w:r>
      <w:proofErr w:type="spellEnd"/>
      <w:r w:rsidR="006A109E" w:rsidRPr="00F448FE">
        <w:rPr>
          <w:rFonts w:ascii="Book Antiqua" w:hAnsi="Book Antiqua"/>
        </w:rPr>
        <w:t xml:space="preserve"> 3 than </w:t>
      </w:r>
      <w:r w:rsidR="006343AF" w:rsidRPr="00F448FE">
        <w:rPr>
          <w:rFonts w:ascii="Book Antiqua" w:hAnsi="Book Antiqua"/>
        </w:rPr>
        <w:t>irritable bowel syndrome</w:t>
      </w:r>
      <w:r w:rsidR="006A109E" w:rsidRPr="00F448FE">
        <w:rPr>
          <w:rFonts w:ascii="Book Antiqua" w:hAnsi="Book Antiqua"/>
        </w:rPr>
        <w:t xml:space="preserve"> patients.</w:t>
      </w:r>
    </w:p>
    <w:p w14:paraId="343A4D7B" w14:textId="0EECBE9B" w:rsidR="006F0FEC" w:rsidRPr="00F448FE" w:rsidRDefault="006F0FEC" w:rsidP="000D04E0">
      <w:pPr>
        <w:adjustRightInd w:val="0"/>
        <w:snapToGrid w:val="0"/>
        <w:spacing w:line="360" w:lineRule="auto"/>
        <w:rPr>
          <w:rFonts w:ascii="Book Antiqua" w:hAnsi="Book Antiqua"/>
        </w:rPr>
      </w:pPr>
      <w:r w:rsidRPr="00F448FE">
        <w:rPr>
          <w:rFonts w:ascii="Book Antiqua" w:hAnsi="Book Antiqua"/>
        </w:rPr>
        <w:br w:type="page"/>
      </w:r>
    </w:p>
    <w:p w14:paraId="3BBB3BAE" w14:textId="5815E55C" w:rsidR="00EC7A50" w:rsidRPr="00F448FE" w:rsidRDefault="00354A58" w:rsidP="000D04E0">
      <w:pPr>
        <w:autoSpaceDE w:val="0"/>
        <w:autoSpaceDN w:val="0"/>
        <w:adjustRightInd w:val="0"/>
        <w:snapToGrid w:val="0"/>
        <w:spacing w:line="360" w:lineRule="auto"/>
        <w:jc w:val="both"/>
        <w:outlineLvl w:val="0"/>
        <w:rPr>
          <w:rFonts w:ascii="Book Antiqua" w:hAnsi="Book Antiqua"/>
        </w:rPr>
      </w:pPr>
      <w:r w:rsidRPr="00F448FE">
        <w:rPr>
          <w:rFonts w:ascii="Book Antiqua" w:hAnsi="Book Antiqua"/>
          <w:noProof/>
          <w:lang w:val="en-US" w:eastAsia="zh-CN"/>
        </w:rPr>
        <w:lastRenderedPageBreak/>
        <w:drawing>
          <wp:inline distT="0" distB="0" distL="0" distR="0" wp14:anchorId="5B0CE126" wp14:editId="19E348DB">
            <wp:extent cx="4267481" cy="3561883"/>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0936" cy="3573113"/>
                    </a:xfrm>
                    <a:prstGeom prst="rect">
                      <a:avLst/>
                    </a:prstGeom>
                  </pic:spPr>
                </pic:pic>
              </a:graphicData>
            </a:graphic>
          </wp:inline>
        </w:drawing>
      </w:r>
    </w:p>
    <w:p w14:paraId="18ED4D71" w14:textId="1A2968C4" w:rsidR="00EC7A50" w:rsidRPr="000D04E0" w:rsidRDefault="00EC7A50" w:rsidP="000D04E0">
      <w:pPr>
        <w:autoSpaceDE w:val="0"/>
        <w:autoSpaceDN w:val="0"/>
        <w:adjustRightInd w:val="0"/>
        <w:snapToGrid w:val="0"/>
        <w:spacing w:line="360" w:lineRule="auto"/>
        <w:jc w:val="both"/>
        <w:outlineLvl w:val="0"/>
        <w:rPr>
          <w:rFonts w:ascii="Book Antiqua" w:hAnsi="Book Antiqua"/>
        </w:rPr>
      </w:pPr>
      <w:r w:rsidRPr="00F448FE">
        <w:rPr>
          <w:rFonts w:ascii="Book Antiqua" w:hAnsi="Book Antiqua"/>
          <w:b/>
          <w:bCs/>
        </w:rPr>
        <w:t xml:space="preserve">Figure 7 Schematic drawing to illustrate the hypothesis that intestinal stem cells play a central role in the pathophysiology of </w:t>
      </w:r>
      <w:r w:rsidR="006343AF" w:rsidRPr="00F448FE">
        <w:rPr>
          <w:rFonts w:ascii="Book Antiqua" w:hAnsi="Book Antiqua"/>
          <w:b/>
          <w:bCs/>
        </w:rPr>
        <w:t>irritable bowel syndrome</w:t>
      </w:r>
      <w:r w:rsidRPr="00F448FE">
        <w:rPr>
          <w:rFonts w:ascii="Book Antiqua" w:hAnsi="Book Antiqua"/>
          <w:b/>
          <w:bCs/>
        </w:rPr>
        <w:t xml:space="preserve">. </w:t>
      </w:r>
      <w:r w:rsidRPr="00F448FE">
        <w:rPr>
          <w:rFonts w:ascii="Book Antiqua" w:hAnsi="Book Antiqua"/>
        </w:rPr>
        <w:t>The abnormalities in the intestinal stem cells can be caused by gene mutation or by environmental factors such as diet, intestinal microbiota, stress and low-grade inflammation.</w:t>
      </w:r>
    </w:p>
    <w:p w14:paraId="62C0A99C" w14:textId="77777777" w:rsidR="00EC7A50" w:rsidRPr="000D04E0" w:rsidRDefault="00EC7A50" w:rsidP="000D04E0">
      <w:pPr>
        <w:adjustRightInd w:val="0"/>
        <w:snapToGrid w:val="0"/>
        <w:spacing w:line="360" w:lineRule="auto"/>
        <w:jc w:val="both"/>
        <w:rPr>
          <w:rFonts w:ascii="Book Antiqua" w:hAnsi="Book Antiqua"/>
        </w:rPr>
      </w:pPr>
      <w:r w:rsidRPr="000D04E0">
        <w:rPr>
          <w:rFonts w:ascii="Book Antiqua" w:hAnsi="Book Antiqua"/>
        </w:rPr>
        <w:t xml:space="preserve"> </w:t>
      </w:r>
    </w:p>
    <w:bookmarkEnd w:id="0"/>
    <w:p w14:paraId="5A32ED5B" w14:textId="4CCBDED2" w:rsidR="00EE0A5E" w:rsidRPr="000D04E0" w:rsidRDefault="00EE0A5E" w:rsidP="000D04E0">
      <w:pPr>
        <w:adjustRightInd w:val="0"/>
        <w:snapToGrid w:val="0"/>
        <w:spacing w:line="360" w:lineRule="auto"/>
        <w:jc w:val="both"/>
        <w:rPr>
          <w:rFonts w:ascii="Book Antiqua" w:hAnsi="Book Antiqua"/>
          <w:b/>
        </w:rPr>
      </w:pPr>
    </w:p>
    <w:sectPr w:rsidR="00EE0A5E" w:rsidRPr="000D04E0" w:rsidSect="006C42C6">
      <w:headerReference w:type="even"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24F78" w14:textId="77777777" w:rsidR="001B10DB" w:rsidRDefault="001B10DB" w:rsidP="007179C6">
      <w:r>
        <w:separator/>
      </w:r>
    </w:p>
  </w:endnote>
  <w:endnote w:type="continuationSeparator" w:id="0">
    <w:p w14:paraId="215A15F0" w14:textId="77777777" w:rsidR="001B10DB" w:rsidRDefault="001B10DB" w:rsidP="00717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DengXian Light">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A64680" w14:textId="77777777" w:rsidR="001B10DB" w:rsidRDefault="001B10DB" w:rsidP="007179C6">
      <w:r>
        <w:separator/>
      </w:r>
    </w:p>
  </w:footnote>
  <w:footnote w:type="continuationSeparator" w:id="0">
    <w:p w14:paraId="15D43185" w14:textId="77777777" w:rsidR="001B10DB" w:rsidRDefault="001B10DB" w:rsidP="007179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FCCF9" w14:textId="77777777" w:rsidR="00975CAB" w:rsidRDefault="00975CAB" w:rsidP="00863A1B">
    <w:pPr>
      <w:pStyle w:val="a4"/>
      <w:framePr w:wrap="none"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3071717" w14:textId="77777777" w:rsidR="00975CAB" w:rsidRDefault="00975CA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B6F49"/>
    <w:multiLevelType w:val="hybridMultilevel"/>
    <w:tmpl w:val="57466D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95rwp99ft9e2eqed2s8xvfsh5tavtw9pwwfz&quot;&gt;IBS-sist Copy&lt;record-ids&gt;&lt;item&gt;1&lt;/item&gt;&lt;item&gt;3&lt;/item&gt;&lt;item&gt;6&lt;/item&gt;&lt;item&gt;10&lt;/item&gt;&lt;item&gt;12&lt;/item&gt;&lt;item&gt;17&lt;/item&gt;&lt;item&gt;61&lt;/item&gt;&lt;item&gt;62&lt;/item&gt;&lt;item&gt;65&lt;/item&gt;&lt;item&gt;72&lt;/item&gt;&lt;item&gt;73&lt;/item&gt;&lt;item&gt;74&lt;/item&gt;&lt;item&gt;76&lt;/item&gt;&lt;item&gt;91&lt;/item&gt;&lt;item&gt;122&lt;/item&gt;&lt;item&gt;125&lt;/item&gt;&lt;item&gt;126&lt;/item&gt;&lt;item&gt;138&lt;/item&gt;&lt;item&gt;139&lt;/item&gt;&lt;item&gt;154&lt;/item&gt;&lt;item&gt;155&lt;/item&gt;&lt;item&gt;189&lt;/item&gt;&lt;item&gt;205&lt;/item&gt;&lt;item&gt;244&lt;/item&gt;&lt;item&gt;270&lt;/item&gt;&lt;item&gt;271&lt;/item&gt;&lt;item&gt;272&lt;/item&gt;&lt;item&gt;273&lt;/item&gt;&lt;item&gt;274&lt;/item&gt;&lt;item&gt;291&lt;/item&gt;&lt;item&gt;302&lt;/item&gt;&lt;item&gt;342&lt;/item&gt;&lt;item&gt;358&lt;/item&gt;&lt;item&gt;410&lt;/item&gt;&lt;item&gt;429&lt;/item&gt;&lt;item&gt;436&lt;/item&gt;&lt;item&gt;446&lt;/item&gt;&lt;item&gt;449&lt;/item&gt;&lt;item&gt;453&lt;/item&gt;&lt;item&gt;542&lt;/item&gt;&lt;item&gt;543&lt;/item&gt;&lt;item&gt;616&lt;/item&gt;&lt;item&gt;617&lt;/item&gt;&lt;item&gt;619&lt;/item&gt;&lt;item&gt;620&lt;/item&gt;&lt;item&gt;631&lt;/item&gt;&lt;item&gt;635&lt;/item&gt;&lt;item&gt;639&lt;/item&gt;&lt;item&gt;658&lt;/item&gt;&lt;item&gt;664&lt;/item&gt;&lt;item&gt;665&lt;/item&gt;&lt;item&gt;666&lt;/item&gt;&lt;item&gt;667&lt;/item&gt;&lt;item&gt;670&lt;/item&gt;&lt;item&gt;671&lt;/item&gt;&lt;item&gt;672&lt;/item&gt;&lt;item&gt;673&lt;/item&gt;&lt;item&gt;679&lt;/item&gt;&lt;item&gt;701&lt;/item&gt;&lt;item&gt;702&lt;/item&gt;&lt;item&gt;706&lt;/item&gt;&lt;item&gt;708&lt;/item&gt;&lt;item&gt;850&lt;/item&gt;&lt;item&gt;851&lt;/item&gt;&lt;item&gt;853&lt;/item&gt;&lt;item&gt;854&lt;/item&gt;&lt;item&gt;855&lt;/item&gt;&lt;item&gt;856&lt;/item&gt;&lt;item&gt;857&lt;/item&gt;&lt;item&gt;872&lt;/item&gt;&lt;item&gt;873&lt;/item&gt;&lt;item&gt;907&lt;/item&gt;&lt;item&gt;941&lt;/item&gt;&lt;item&gt;942&lt;/item&gt;&lt;item&gt;951&lt;/item&gt;&lt;item&gt;954&lt;/item&gt;&lt;item&gt;1064&lt;/item&gt;&lt;item&gt;1065&lt;/item&gt;&lt;item&gt;1066&lt;/item&gt;&lt;item&gt;1087&lt;/item&gt;&lt;item&gt;1131&lt;/item&gt;&lt;item&gt;1134&lt;/item&gt;&lt;item&gt;1135&lt;/item&gt;&lt;item&gt;1137&lt;/item&gt;&lt;item&gt;1144&lt;/item&gt;&lt;item&gt;1145&lt;/item&gt;&lt;item&gt;1270&lt;/item&gt;&lt;item&gt;1281&lt;/item&gt;&lt;item&gt;1371&lt;/item&gt;&lt;item&gt;1505&lt;/item&gt;&lt;item&gt;1508&lt;/item&gt;&lt;item&gt;1509&lt;/item&gt;&lt;item&gt;1510&lt;/item&gt;&lt;item&gt;1531&lt;/item&gt;&lt;item&gt;1546&lt;/item&gt;&lt;item&gt;1547&lt;/item&gt;&lt;item&gt;1736&lt;/item&gt;&lt;item&gt;1843&lt;/item&gt;&lt;item&gt;1997&lt;/item&gt;&lt;item&gt;2031&lt;/item&gt;&lt;item&gt;2070&lt;/item&gt;&lt;item&gt;2076&lt;/item&gt;&lt;item&gt;2078&lt;/item&gt;&lt;item&gt;2080&lt;/item&gt;&lt;item&gt;2141&lt;/item&gt;&lt;item&gt;2144&lt;/item&gt;&lt;item&gt;2377&lt;/item&gt;&lt;item&gt;2472&lt;/item&gt;&lt;item&gt;2473&lt;/item&gt;&lt;item&gt;2599&lt;/item&gt;&lt;item&gt;2656&lt;/item&gt;&lt;item&gt;2696&lt;/item&gt;&lt;item&gt;2718&lt;/item&gt;&lt;item&gt;2721&lt;/item&gt;&lt;item&gt;2722&lt;/item&gt;&lt;item&gt;2723&lt;/item&gt;&lt;item&gt;2724&lt;/item&gt;&lt;item&gt;2725&lt;/item&gt;&lt;item&gt;2727&lt;/item&gt;&lt;item&gt;2734&lt;/item&gt;&lt;item&gt;2746&lt;/item&gt;&lt;item&gt;2778&lt;/item&gt;&lt;item&gt;2783&lt;/item&gt;&lt;item&gt;2784&lt;/item&gt;&lt;item&gt;2786&lt;/item&gt;&lt;/record-ids&gt;&lt;/item&gt;&lt;/Libraries&gt;"/>
  </w:docVars>
  <w:rsids>
    <w:rsidRoot w:val="00A55DE8"/>
    <w:rsid w:val="00007316"/>
    <w:rsid w:val="000100C0"/>
    <w:rsid w:val="00010976"/>
    <w:rsid w:val="00014D71"/>
    <w:rsid w:val="000336F4"/>
    <w:rsid w:val="000444CD"/>
    <w:rsid w:val="00054F0C"/>
    <w:rsid w:val="000620CD"/>
    <w:rsid w:val="0007107C"/>
    <w:rsid w:val="00073FE0"/>
    <w:rsid w:val="0007455A"/>
    <w:rsid w:val="00076F0F"/>
    <w:rsid w:val="000828E0"/>
    <w:rsid w:val="00094614"/>
    <w:rsid w:val="000A22BB"/>
    <w:rsid w:val="000A3FC7"/>
    <w:rsid w:val="000A60C7"/>
    <w:rsid w:val="000B3305"/>
    <w:rsid w:val="000B451C"/>
    <w:rsid w:val="000B7FF1"/>
    <w:rsid w:val="000C0F81"/>
    <w:rsid w:val="000C364A"/>
    <w:rsid w:val="000C4024"/>
    <w:rsid w:val="000C47A1"/>
    <w:rsid w:val="000C61BA"/>
    <w:rsid w:val="000D040D"/>
    <w:rsid w:val="000D04E0"/>
    <w:rsid w:val="000D27F7"/>
    <w:rsid w:val="000D4530"/>
    <w:rsid w:val="000E0AB4"/>
    <w:rsid w:val="000E7593"/>
    <w:rsid w:val="000F69DF"/>
    <w:rsid w:val="0010300D"/>
    <w:rsid w:val="00107D25"/>
    <w:rsid w:val="00110749"/>
    <w:rsid w:val="0011137B"/>
    <w:rsid w:val="001113F3"/>
    <w:rsid w:val="00116F53"/>
    <w:rsid w:val="00117A97"/>
    <w:rsid w:val="0012144E"/>
    <w:rsid w:val="001251D1"/>
    <w:rsid w:val="00130E67"/>
    <w:rsid w:val="001407C7"/>
    <w:rsid w:val="00141C74"/>
    <w:rsid w:val="0015519B"/>
    <w:rsid w:val="001654AD"/>
    <w:rsid w:val="0019380B"/>
    <w:rsid w:val="001945EE"/>
    <w:rsid w:val="001A081A"/>
    <w:rsid w:val="001B10DB"/>
    <w:rsid w:val="001B4094"/>
    <w:rsid w:val="001C23DC"/>
    <w:rsid w:val="001C5CB3"/>
    <w:rsid w:val="001C75A6"/>
    <w:rsid w:val="001D1B37"/>
    <w:rsid w:val="001D5D4E"/>
    <w:rsid w:val="001E0FDE"/>
    <w:rsid w:val="001E4C40"/>
    <w:rsid w:val="001F426B"/>
    <w:rsid w:val="00212407"/>
    <w:rsid w:val="00212FA2"/>
    <w:rsid w:val="00213C26"/>
    <w:rsid w:val="00220C40"/>
    <w:rsid w:val="00221533"/>
    <w:rsid w:val="00237CEC"/>
    <w:rsid w:val="002456DE"/>
    <w:rsid w:val="00246A68"/>
    <w:rsid w:val="00251CAB"/>
    <w:rsid w:val="002538B7"/>
    <w:rsid w:val="002674E3"/>
    <w:rsid w:val="00273422"/>
    <w:rsid w:val="0027679F"/>
    <w:rsid w:val="0029208C"/>
    <w:rsid w:val="00294BFB"/>
    <w:rsid w:val="002A1473"/>
    <w:rsid w:val="002A5266"/>
    <w:rsid w:val="002B0C99"/>
    <w:rsid w:val="002D7BAE"/>
    <w:rsid w:val="002F0F96"/>
    <w:rsid w:val="002F268D"/>
    <w:rsid w:val="002F273A"/>
    <w:rsid w:val="002F3C84"/>
    <w:rsid w:val="002F5E4E"/>
    <w:rsid w:val="003065EE"/>
    <w:rsid w:val="00310AA1"/>
    <w:rsid w:val="003117DB"/>
    <w:rsid w:val="0031223D"/>
    <w:rsid w:val="00312E9F"/>
    <w:rsid w:val="00322949"/>
    <w:rsid w:val="00330115"/>
    <w:rsid w:val="00342482"/>
    <w:rsid w:val="003502FD"/>
    <w:rsid w:val="00350993"/>
    <w:rsid w:val="00354A58"/>
    <w:rsid w:val="00357C77"/>
    <w:rsid w:val="003626A7"/>
    <w:rsid w:val="00373613"/>
    <w:rsid w:val="00373A81"/>
    <w:rsid w:val="00377F72"/>
    <w:rsid w:val="003836C1"/>
    <w:rsid w:val="0038778F"/>
    <w:rsid w:val="003A3206"/>
    <w:rsid w:val="003A63A3"/>
    <w:rsid w:val="003C3555"/>
    <w:rsid w:val="003C699D"/>
    <w:rsid w:val="003D4C94"/>
    <w:rsid w:val="003D7DFB"/>
    <w:rsid w:val="003F1FE0"/>
    <w:rsid w:val="003F41ED"/>
    <w:rsid w:val="003F44B4"/>
    <w:rsid w:val="003F724D"/>
    <w:rsid w:val="00403952"/>
    <w:rsid w:val="00403A1C"/>
    <w:rsid w:val="00410B61"/>
    <w:rsid w:val="00415E46"/>
    <w:rsid w:val="00416778"/>
    <w:rsid w:val="004206FC"/>
    <w:rsid w:val="00430864"/>
    <w:rsid w:val="004443F8"/>
    <w:rsid w:val="00447227"/>
    <w:rsid w:val="00447ADA"/>
    <w:rsid w:val="00464C3A"/>
    <w:rsid w:val="00486871"/>
    <w:rsid w:val="00496A83"/>
    <w:rsid w:val="004A6B7D"/>
    <w:rsid w:val="004B673B"/>
    <w:rsid w:val="004B747A"/>
    <w:rsid w:val="004B7542"/>
    <w:rsid w:val="004C2B7A"/>
    <w:rsid w:val="004C7A35"/>
    <w:rsid w:val="004E676D"/>
    <w:rsid w:val="004E7F41"/>
    <w:rsid w:val="004F16DA"/>
    <w:rsid w:val="00512326"/>
    <w:rsid w:val="005148EA"/>
    <w:rsid w:val="0053319A"/>
    <w:rsid w:val="0053373E"/>
    <w:rsid w:val="00543EEA"/>
    <w:rsid w:val="0055360F"/>
    <w:rsid w:val="00565880"/>
    <w:rsid w:val="00567B06"/>
    <w:rsid w:val="0057717E"/>
    <w:rsid w:val="00586EEC"/>
    <w:rsid w:val="00594E0C"/>
    <w:rsid w:val="005A20B2"/>
    <w:rsid w:val="005A3FBC"/>
    <w:rsid w:val="005A4D14"/>
    <w:rsid w:val="005A7F99"/>
    <w:rsid w:val="005B0310"/>
    <w:rsid w:val="005D0F50"/>
    <w:rsid w:val="005D3A43"/>
    <w:rsid w:val="005E6C03"/>
    <w:rsid w:val="005F0B10"/>
    <w:rsid w:val="005F21FB"/>
    <w:rsid w:val="005F4FEB"/>
    <w:rsid w:val="005F5159"/>
    <w:rsid w:val="0060400E"/>
    <w:rsid w:val="0060638B"/>
    <w:rsid w:val="00622679"/>
    <w:rsid w:val="006245DE"/>
    <w:rsid w:val="00632789"/>
    <w:rsid w:val="00634286"/>
    <w:rsid w:val="006343AF"/>
    <w:rsid w:val="00635BC5"/>
    <w:rsid w:val="006460CA"/>
    <w:rsid w:val="006556D0"/>
    <w:rsid w:val="00656F9A"/>
    <w:rsid w:val="00661201"/>
    <w:rsid w:val="0068045A"/>
    <w:rsid w:val="0068158C"/>
    <w:rsid w:val="0068554A"/>
    <w:rsid w:val="0068687C"/>
    <w:rsid w:val="00686F6E"/>
    <w:rsid w:val="00690121"/>
    <w:rsid w:val="00694A12"/>
    <w:rsid w:val="00695D71"/>
    <w:rsid w:val="006979F5"/>
    <w:rsid w:val="006A0ADC"/>
    <w:rsid w:val="006A109E"/>
    <w:rsid w:val="006B07EA"/>
    <w:rsid w:val="006C42C6"/>
    <w:rsid w:val="006C717F"/>
    <w:rsid w:val="006E5E68"/>
    <w:rsid w:val="006E7D98"/>
    <w:rsid w:val="006F0FEC"/>
    <w:rsid w:val="006F1929"/>
    <w:rsid w:val="006F3806"/>
    <w:rsid w:val="00702545"/>
    <w:rsid w:val="007044BA"/>
    <w:rsid w:val="007067F6"/>
    <w:rsid w:val="00715343"/>
    <w:rsid w:val="007161A3"/>
    <w:rsid w:val="007179C6"/>
    <w:rsid w:val="00733536"/>
    <w:rsid w:val="00747304"/>
    <w:rsid w:val="0075616D"/>
    <w:rsid w:val="0076590E"/>
    <w:rsid w:val="00767713"/>
    <w:rsid w:val="00781881"/>
    <w:rsid w:val="007832EE"/>
    <w:rsid w:val="00785074"/>
    <w:rsid w:val="007908EC"/>
    <w:rsid w:val="0079533E"/>
    <w:rsid w:val="00797814"/>
    <w:rsid w:val="007A1DCB"/>
    <w:rsid w:val="007A783A"/>
    <w:rsid w:val="007C00FD"/>
    <w:rsid w:val="007D25EB"/>
    <w:rsid w:val="007E1ABF"/>
    <w:rsid w:val="007E24EC"/>
    <w:rsid w:val="007F5986"/>
    <w:rsid w:val="007F5DAD"/>
    <w:rsid w:val="00805FBA"/>
    <w:rsid w:val="00816291"/>
    <w:rsid w:val="00817D33"/>
    <w:rsid w:val="00842D89"/>
    <w:rsid w:val="00844483"/>
    <w:rsid w:val="00846392"/>
    <w:rsid w:val="008478C8"/>
    <w:rsid w:val="00850269"/>
    <w:rsid w:val="008528FF"/>
    <w:rsid w:val="00861DE0"/>
    <w:rsid w:val="00862E33"/>
    <w:rsid w:val="00863A1B"/>
    <w:rsid w:val="00865970"/>
    <w:rsid w:val="0086699B"/>
    <w:rsid w:val="00867077"/>
    <w:rsid w:val="00880332"/>
    <w:rsid w:val="0089609F"/>
    <w:rsid w:val="008B69E3"/>
    <w:rsid w:val="008B6E23"/>
    <w:rsid w:val="008B6E71"/>
    <w:rsid w:val="008C5A78"/>
    <w:rsid w:val="008D0DFD"/>
    <w:rsid w:val="008D1FCE"/>
    <w:rsid w:val="008D2672"/>
    <w:rsid w:val="008D65A1"/>
    <w:rsid w:val="008D71E0"/>
    <w:rsid w:val="008F3CE2"/>
    <w:rsid w:val="008F7DDA"/>
    <w:rsid w:val="0090691B"/>
    <w:rsid w:val="0091316C"/>
    <w:rsid w:val="00923C93"/>
    <w:rsid w:val="009252C0"/>
    <w:rsid w:val="009369A3"/>
    <w:rsid w:val="00951034"/>
    <w:rsid w:val="00965211"/>
    <w:rsid w:val="00965399"/>
    <w:rsid w:val="009716F2"/>
    <w:rsid w:val="00975CAB"/>
    <w:rsid w:val="00992763"/>
    <w:rsid w:val="0099365C"/>
    <w:rsid w:val="009959AB"/>
    <w:rsid w:val="009969AF"/>
    <w:rsid w:val="009A47AB"/>
    <w:rsid w:val="009A500F"/>
    <w:rsid w:val="009B2ACF"/>
    <w:rsid w:val="009B7357"/>
    <w:rsid w:val="009C3DCD"/>
    <w:rsid w:val="009F36C9"/>
    <w:rsid w:val="009F3D0E"/>
    <w:rsid w:val="009F4518"/>
    <w:rsid w:val="00A22A82"/>
    <w:rsid w:val="00A240A2"/>
    <w:rsid w:val="00A33895"/>
    <w:rsid w:val="00A374EB"/>
    <w:rsid w:val="00A43F5B"/>
    <w:rsid w:val="00A50EED"/>
    <w:rsid w:val="00A551E5"/>
    <w:rsid w:val="00A55DE8"/>
    <w:rsid w:val="00A57B9B"/>
    <w:rsid w:val="00A61FAA"/>
    <w:rsid w:val="00A63D93"/>
    <w:rsid w:val="00A7292F"/>
    <w:rsid w:val="00A92FB9"/>
    <w:rsid w:val="00AA3A7E"/>
    <w:rsid w:val="00AA6247"/>
    <w:rsid w:val="00AA7D97"/>
    <w:rsid w:val="00AB15C4"/>
    <w:rsid w:val="00AB27F2"/>
    <w:rsid w:val="00AB4F06"/>
    <w:rsid w:val="00AB56EE"/>
    <w:rsid w:val="00AC2966"/>
    <w:rsid w:val="00AD42F2"/>
    <w:rsid w:val="00AE269B"/>
    <w:rsid w:val="00AE7616"/>
    <w:rsid w:val="00AF4086"/>
    <w:rsid w:val="00B019EB"/>
    <w:rsid w:val="00B02FDB"/>
    <w:rsid w:val="00B07074"/>
    <w:rsid w:val="00B15A8F"/>
    <w:rsid w:val="00B1669C"/>
    <w:rsid w:val="00B17760"/>
    <w:rsid w:val="00B1786D"/>
    <w:rsid w:val="00B17C9F"/>
    <w:rsid w:val="00B3151B"/>
    <w:rsid w:val="00B359D4"/>
    <w:rsid w:val="00B36FDA"/>
    <w:rsid w:val="00B437F1"/>
    <w:rsid w:val="00B50452"/>
    <w:rsid w:val="00B5569C"/>
    <w:rsid w:val="00B6633C"/>
    <w:rsid w:val="00B70D86"/>
    <w:rsid w:val="00B75E84"/>
    <w:rsid w:val="00BA1DA4"/>
    <w:rsid w:val="00BA4DDB"/>
    <w:rsid w:val="00BA5E29"/>
    <w:rsid w:val="00BB3804"/>
    <w:rsid w:val="00BB4006"/>
    <w:rsid w:val="00BB42B0"/>
    <w:rsid w:val="00BB64A5"/>
    <w:rsid w:val="00BC36A0"/>
    <w:rsid w:val="00BD2143"/>
    <w:rsid w:val="00BD347E"/>
    <w:rsid w:val="00BD3CE8"/>
    <w:rsid w:val="00BE5349"/>
    <w:rsid w:val="00BE6607"/>
    <w:rsid w:val="00BE7928"/>
    <w:rsid w:val="00BF3575"/>
    <w:rsid w:val="00BF4EBC"/>
    <w:rsid w:val="00BF63FB"/>
    <w:rsid w:val="00BF730D"/>
    <w:rsid w:val="00BF7C07"/>
    <w:rsid w:val="00C05E19"/>
    <w:rsid w:val="00C06107"/>
    <w:rsid w:val="00C10076"/>
    <w:rsid w:val="00C13C8B"/>
    <w:rsid w:val="00C145A1"/>
    <w:rsid w:val="00C17330"/>
    <w:rsid w:val="00C20600"/>
    <w:rsid w:val="00C24A10"/>
    <w:rsid w:val="00C2596D"/>
    <w:rsid w:val="00C314D2"/>
    <w:rsid w:val="00C33579"/>
    <w:rsid w:val="00C4425E"/>
    <w:rsid w:val="00C46118"/>
    <w:rsid w:val="00C52C43"/>
    <w:rsid w:val="00C53805"/>
    <w:rsid w:val="00C545EC"/>
    <w:rsid w:val="00C6640C"/>
    <w:rsid w:val="00C73184"/>
    <w:rsid w:val="00C73818"/>
    <w:rsid w:val="00C76DD9"/>
    <w:rsid w:val="00C829D4"/>
    <w:rsid w:val="00C879E7"/>
    <w:rsid w:val="00C91440"/>
    <w:rsid w:val="00C91C72"/>
    <w:rsid w:val="00C928B8"/>
    <w:rsid w:val="00C95E2F"/>
    <w:rsid w:val="00CA0CCB"/>
    <w:rsid w:val="00CA1250"/>
    <w:rsid w:val="00CB0844"/>
    <w:rsid w:val="00CB7099"/>
    <w:rsid w:val="00CB736F"/>
    <w:rsid w:val="00CC1225"/>
    <w:rsid w:val="00CD7C8D"/>
    <w:rsid w:val="00CE14EA"/>
    <w:rsid w:val="00CF3E22"/>
    <w:rsid w:val="00CF6FEB"/>
    <w:rsid w:val="00D032C8"/>
    <w:rsid w:val="00D13DD4"/>
    <w:rsid w:val="00D14144"/>
    <w:rsid w:val="00D20E88"/>
    <w:rsid w:val="00D21399"/>
    <w:rsid w:val="00D25D40"/>
    <w:rsid w:val="00D260D8"/>
    <w:rsid w:val="00D31584"/>
    <w:rsid w:val="00D33318"/>
    <w:rsid w:val="00D46209"/>
    <w:rsid w:val="00D50D0D"/>
    <w:rsid w:val="00D560FD"/>
    <w:rsid w:val="00D56491"/>
    <w:rsid w:val="00D57DD0"/>
    <w:rsid w:val="00D6088D"/>
    <w:rsid w:val="00D6364E"/>
    <w:rsid w:val="00D67709"/>
    <w:rsid w:val="00D7073D"/>
    <w:rsid w:val="00D71863"/>
    <w:rsid w:val="00D837CA"/>
    <w:rsid w:val="00D91F94"/>
    <w:rsid w:val="00D9536A"/>
    <w:rsid w:val="00DD0695"/>
    <w:rsid w:val="00DD3625"/>
    <w:rsid w:val="00DE1869"/>
    <w:rsid w:val="00DE1A63"/>
    <w:rsid w:val="00DE1B3E"/>
    <w:rsid w:val="00DE4438"/>
    <w:rsid w:val="00DF15D5"/>
    <w:rsid w:val="00DF1C5F"/>
    <w:rsid w:val="00DF615B"/>
    <w:rsid w:val="00E10603"/>
    <w:rsid w:val="00E17B83"/>
    <w:rsid w:val="00E21972"/>
    <w:rsid w:val="00E25360"/>
    <w:rsid w:val="00E331D3"/>
    <w:rsid w:val="00E44C72"/>
    <w:rsid w:val="00E64D2F"/>
    <w:rsid w:val="00E6546F"/>
    <w:rsid w:val="00E7193F"/>
    <w:rsid w:val="00E721A2"/>
    <w:rsid w:val="00E839B8"/>
    <w:rsid w:val="00E84F5A"/>
    <w:rsid w:val="00E87E8B"/>
    <w:rsid w:val="00E9745A"/>
    <w:rsid w:val="00EA1D54"/>
    <w:rsid w:val="00EA217C"/>
    <w:rsid w:val="00EB1FBA"/>
    <w:rsid w:val="00EB7E53"/>
    <w:rsid w:val="00EC7A50"/>
    <w:rsid w:val="00ED4577"/>
    <w:rsid w:val="00ED466C"/>
    <w:rsid w:val="00ED5796"/>
    <w:rsid w:val="00EE0A5E"/>
    <w:rsid w:val="00EE6555"/>
    <w:rsid w:val="00EF7143"/>
    <w:rsid w:val="00F05C9A"/>
    <w:rsid w:val="00F11AE9"/>
    <w:rsid w:val="00F202AB"/>
    <w:rsid w:val="00F216A1"/>
    <w:rsid w:val="00F30C1D"/>
    <w:rsid w:val="00F3166A"/>
    <w:rsid w:val="00F33548"/>
    <w:rsid w:val="00F33B98"/>
    <w:rsid w:val="00F35A8A"/>
    <w:rsid w:val="00F36231"/>
    <w:rsid w:val="00F448FE"/>
    <w:rsid w:val="00F528EE"/>
    <w:rsid w:val="00F60F02"/>
    <w:rsid w:val="00F75E9B"/>
    <w:rsid w:val="00F76825"/>
    <w:rsid w:val="00F81B0E"/>
    <w:rsid w:val="00F83AD3"/>
    <w:rsid w:val="00F83B7D"/>
    <w:rsid w:val="00F9751C"/>
    <w:rsid w:val="00FA66CE"/>
    <w:rsid w:val="00FC2501"/>
    <w:rsid w:val="00FC57E9"/>
    <w:rsid w:val="00FC6816"/>
    <w:rsid w:val="00FC6D56"/>
    <w:rsid w:val="00FF54B2"/>
    <w:rsid w:val="00FF59C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1243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895"/>
    <w:rPr>
      <w:rFonts w:ascii="Times New Roman" w:eastAsia="Times New Roman" w:hAnsi="Times New Roman" w:cs="Times New Roman"/>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55DE8"/>
    <w:rPr>
      <w:color w:val="0000FF"/>
      <w:u w:val="single"/>
    </w:rPr>
  </w:style>
  <w:style w:type="paragraph" w:customStyle="1" w:styleId="EndNoteBibliographyTitle">
    <w:name w:val="EndNote Bibliography Title"/>
    <w:basedOn w:val="a"/>
    <w:rsid w:val="00A55DE8"/>
    <w:pPr>
      <w:jc w:val="center"/>
    </w:pPr>
  </w:style>
  <w:style w:type="paragraph" w:customStyle="1" w:styleId="EndNoteBibliography">
    <w:name w:val="EndNote Bibliography"/>
    <w:basedOn w:val="a"/>
    <w:rsid w:val="00A55DE8"/>
    <w:pPr>
      <w:spacing w:line="360" w:lineRule="auto"/>
    </w:pPr>
  </w:style>
  <w:style w:type="paragraph" w:customStyle="1" w:styleId="Default">
    <w:name w:val="Default"/>
    <w:link w:val="DefaultChar"/>
    <w:rsid w:val="00A55DE8"/>
    <w:pPr>
      <w:autoSpaceDE w:val="0"/>
      <w:autoSpaceDN w:val="0"/>
      <w:adjustRightInd w:val="0"/>
    </w:pPr>
    <w:rPr>
      <w:rFonts w:ascii="Times New Roman" w:eastAsia="Times New Roman" w:hAnsi="Times New Roman" w:cs="Times New Roman"/>
      <w:color w:val="000000"/>
      <w:lang w:val="nb-NO" w:eastAsia="nb-NO"/>
    </w:rPr>
  </w:style>
  <w:style w:type="character" w:customStyle="1" w:styleId="DefaultChar">
    <w:name w:val="Default Char"/>
    <w:link w:val="Default"/>
    <w:rsid w:val="00A55DE8"/>
    <w:rPr>
      <w:rFonts w:ascii="Times New Roman" w:eastAsia="Times New Roman" w:hAnsi="Times New Roman" w:cs="Times New Roman"/>
      <w:color w:val="000000"/>
      <w:lang w:val="nb-NO" w:eastAsia="nb-NO"/>
    </w:rPr>
  </w:style>
  <w:style w:type="paragraph" w:styleId="a4">
    <w:name w:val="header"/>
    <w:basedOn w:val="a"/>
    <w:link w:val="Char"/>
    <w:uiPriority w:val="99"/>
    <w:unhideWhenUsed/>
    <w:rsid w:val="007179C6"/>
    <w:pPr>
      <w:tabs>
        <w:tab w:val="center" w:pos="4536"/>
        <w:tab w:val="right" w:pos="9072"/>
      </w:tabs>
    </w:pPr>
  </w:style>
  <w:style w:type="character" w:customStyle="1" w:styleId="Char">
    <w:name w:val="页眉 Char"/>
    <w:basedOn w:val="a0"/>
    <w:link w:val="a4"/>
    <w:uiPriority w:val="99"/>
    <w:rsid w:val="007179C6"/>
  </w:style>
  <w:style w:type="character" w:styleId="a5">
    <w:name w:val="page number"/>
    <w:basedOn w:val="a0"/>
    <w:uiPriority w:val="99"/>
    <w:semiHidden/>
    <w:unhideWhenUsed/>
    <w:rsid w:val="007179C6"/>
  </w:style>
  <w:style w:type="paragraph" w:styleId="a6">
    <w:name w:val="Normal (Web)"/>
    <w:basedOn w:val="a"/>
    <w:uiPriority w:val="99"/>
    <w:unhideWhenUsed/>
    <w:rsid w:val="00BD347E"/>
    <w:pPr>
      <w:spacing w:before="100" w:beforeAutospacing="1" w:after="100" w:afterAutospacing="1"/>
    </w:pPr>
  </w:style>
  <w:style w:type="character" w:customStyle="1" w:styleId="apple-converted-space">
    <w:name w:val="apple-converted-space"/>
    <w:basedOn w:val="a0"/>
    <w:rsid w:val="005E6C03"/>
  </w:style>
  <w:style w:type="paragraph" w:styleId="a7">
    <w:name w:val="List Paragraph"/>
    <w:basedOn w:val="a"/>
    <w:uiPriority w:val="34"/>
    <w:qFormat/>
    <w:rsid w:val="008D2672"/>
    <w:pPr>
      <w:ind w:left="720"/>
      <w:contextualSpacing/>
    </w:pPr>
  </w:style>
  <w:style w:type="paragraph" w:styleId="a8">
    <w:name w:val="Balloon Text"/>
    <w:basedOn w:val="a"/>
    <w:link w:val="Char0"/>
    <w:uiPriority w:val="99"/>
    <w:semiHidden/>
    <w:unhideWhenUsed/>
    <w:rsid w:val="008F3CE2"/>
    <w:rPr>
      <w:sz w:val="18"/>
      <w:szCs w:val="18"/>
    </w:rPr>
  </w:style>
  <w:style w:type="character" w:customStyle="1" w:styleId="Char0">
    <w:name w:val="批注框文本 Char"/>
    <w:basedOn w:val="a0"/>
    <w:link w:val="a8"/>
    <w:uiPriority w:val="99"/>
    <w:semiHidden/>
    <w:rsid w:val="008F3CE2"/>
    <w:rPr>
      <w:rFonts w:ascii="Times New Roman" w:hAnsi="Times New Roman" w:cs="Times New Roman"/>
      <w:sz w:val="18"/>
      <w:szCs w:val="18"/>
      <w:lang w:val="en-US"/>
    </w:rPr>
  </w:style>
  <w:style w:type="character" w:styleId="a9">
    <w:name w:val="annotation reference"/>
    <w:uiPriority w:val="99"/>
    <w:semiHidden/>
    <w:unhideWhenUsed/>
    <w:rsid w:val="00377F72"/>
    <w:rPr>
      <w:sz w:val="21"/>
      <w:szCs w:val="21"/>
    </w:rPr>
  </w:style>
  <w:style w:type="paragraph" w:styleId="aa">
    <w:name w:val="annotation text"/>
    <w:basedOn w:val="a"/>
    <w:link w:val="Char1"/>
    <w:unhideWhenUsed/>
    <w:rsid w:val="00377F72"/>
    <w:pPr>
      <w:spacing w:line="276" w:lineRule="auto"/>
    </w:pPr>
    <w:rPr>
      <w:rFonts w:ascii="Arial" w:eastAsia="宋体" w:hAnsi="Arial" w:cs="Arial"/>
      <w:color w:val="000000"/>
      <w:sz w:val="22"/>
      <w:szCs w:val="20"/>
      <w:lang w:val="pl-PL" w:eastAsia="pl-PL"/>
    </w:rPr>
  </w:style>
  <w:style w:type="character" w:customStyle="1" w:styleId="Char1">
    <w:name w:val="批注文字 Char1"/>
    <w:basedOn w:val="a0"/>
    <w:link w:val="aa"/>
    <w:uiPriority w:val="99"/>
    <w:rsid w:val="00377F72"/>
    <w:rPr>
      <w:rFonts w:ascii="Arial" w:eastAsia="宋体" w:hAnsi="Arial" w:cs="Arial"/>
      <w:color w:val="000000"/>
      <w:sz w:val="22"/>
      <w:szCs w:val="20"/>
      <w:lang w:val="pl-PL" w:eastAsia="pl-PL"/>
    </w:rPr>
  </w:style>
  <w:style w:type="paragraph" w:customStyle="1" w:styleId="p1">
    <w:name w:val="p1"/>
    <w:basedOn w:val="a"/>
    <w:rsid w:val="00377F72"/>
    <w:rPr>
      <w:rFonts w:ascii="Helvetica" w:hAnsi="Helvetica"/>
      <w:sz w:val="18"/>
      <w:szCs w:val="18"/>
      <w:lang w:eastAsia="zh-CN"/>
    </w:rPr>
  </w:style>
  <w:style w:type="paragraph" w:customStyle="1" w:styleId="1">
    <w:name w:val="正文1"/>
    <w:uiPriority w:val="99"/>
    <w:rsid w:val="00377F72"/>
    <w:pPr>
      <w:spacing w:line="276" w:lineRule="auto"/>
    </w:pPr>
    <w:rPr>
      <w:rFonts w:ascii="Arial" w:eastAsia="宋体" w:hAnsi="Arial" w:cs="Arial"/>
      <w:color w:val="000000"/>
      <w:sz w:val="22"/>
      <w:szCs w:val="20"/>
      <w:lang w:val="pl-PL" w:eastAsia="pl-PL"/>
    </w:rPr>
  </w:style>
  <w:style w:type="paragraph" w:styleId="ab">
    <w:name w:val="annotation subject"/>
    <w:basedOn w:val="aa"/>
    <w:next w:val="aa"/>
    <w:link w:val="Char2"/>
    <w:uiPriority w:val="99"/>
    <w:semiHidden/>
    <w:unhideWhenUsed/>
    <w:rsid w:val="00377F72"/>
    <w:pPr>
      <w:spacing w:line="240" w:lineRule="auto"/>
    </w:pPr>
    <w:rPr>
      <w:rFonts w:asciiTheme="minorHAnsi" w:eastAsiaTheme="minorEastAsia" w:hAnsiTheme="minorHAnsi" w:cstheme="minorBidi"/>
      <w:b/>
      <w:bCs/>
      <w:color w:val="auto"/>
      <w:sz w:val="24"/>
      <w:szCs w:val="24"/>
      <w:lang w:val="en-US" w:eastAsia="en-US"/>
    </w:rPr>
  </w:style>
  <w:style w:type="character" w:customStyle="1" w:styleId="Char2">
    <w:name w:val="批注主题 Char"/>
    <w:basedOn w:val="Char1"/>
    <w:link w:val="ab"/>
    <w:uiPriority w:val="99"/>
    <w:semiHidden/>
    <w:rsid w:val="00377F72"/>
    <w:rPr>
      <w:rFonts w:ascii="Arial" w:eastAsia="宋体" w:hAnsi="Arial" w:cs="Arial"/>
      <w:b/>
      <w:bCs/>
      <w:color w:val="000000"/>
      <w:sz w:val="22"/>
      <w:szCs w:val="20"/>
      <w:lang w:val="en-US" w:eastAsia="pl-PL"/>
    </w:rPr>
  </w:style>
  <w:style w:type="character" w:styleId="ac">
    <w:name w:val="FollowedHyperlink"/>
    <w:basedOn w:val="a0"/>
    <w:uiPriority w:val="99"/>
    <w:semiHidden/>
    <w:unhideWhenUsed/>
    <w:rsid w:val="002456DE"/>
    <w:rPr>
      <w:color w:val="954F72" w:themeColor="followedHyperlink"/>
      <w:u w:val="single"/>
    </w:rPr>
  </w:style>
  <w:style w:type="paragraph" w:styleId="ad">
    <w:name w:val="footer"/>
    <w:basedOn w:val="a"/>
    <w:link w:val="Char3"/>
    <w:uiPriority w:val="99"/>
    <w:unhideWhenUsed/>
    <w:rsid w:val="006979F5"/>
    <w:pPr>
      <w:tabs>
        <w:tab w:val="center" w:pos="4153"/>
        <w:tab w:val="right" w:pos="8306"/>
      </w:tabs>
      <w:snapToGrid w:val="0"/>
    </w:pPr>
    <w:rPr>
      <w:sz w:val="18"/>
      <w:szCs w:val="18"/>
    </w:rPr>
  </w:style>
  <w:style w:type="character" w:customStyle="1" w:styleId="Char3">
    <w:name w:val="页脚 Char"/>
    <w:basedOn w:val="a0"/>
    <w:link w:val="ad"/>
    <w:uiPriority w:val="99"/>
    <w:rsid w:val="006979F5"/>
    <w:rPr>
      <w:rFonts w:ascii="Times New Roman" w:eastAsia="Times New Roman" w:hAnsi="Times New Roman" w:cs="Times New Roman"/>
      <w:sz w:val="18"/>
      <w:szCs w:val="18"/>
      <w:lang w:eastAsia="en-GB"/>
    </w:rPr>
  </w:style>
  <w:style w:type="character" w:customStyle="1" w:styleId="10">
    <w:name w:val="未处理的提及1"/>
    <w:basedOn w:val="a0"/>
    <w:uiPriority w:val="99"/>
    <w:rsid w:val="002A5266"/>
    <w:rPr>
      <w:color w:val="605E5C"/>
      <w:shd w:val="clear" w:color="auto" w:fill="E1DFDD"/>
    </w:rPr>
  </w:style>
  <w:style w:type="character" w:customStyle="1" w:styleId="Char4">
    <w:name w:val="批注文字 Char"/>
    <w:semiHidden/>
    <w:rsid w:val="005D0F50"/>
    <w:rPr>
      <w:rFonts w:ascii="Calibri" w:eastAsia="Calibri" w:hAnsi="Calibri" w:cs="Calibri"/>
      <w:sz w:val="22"/>
      <w:szCs w:val="22"/>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895"/>
    <w:rPr>
      <w:rFonts w:ascii="Times New Roman" w:eastAsia="Times New Roman" w:hAnsi="Times New Roman" w:cs="Times New Roman"/>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55DE8"/>
    <w:rPr>
      <w:color w:val="0000FF"/>
      <w:u w:val="single"/>
    </w:rPr>
  </w:style>
  <w:style w:type="paragraph" w:customStyle="1" w:styleId="EndNoteBibliographyTitle">
    <w:name w:val="EndNote Bibliography Title"/>
    <w:basedOn w:val="a"/>
    <w:rsid w:val="00A55DE8"/>
    <w:pPr>
      <w:jc w:val="center"/>
    </w:pPr>
  </w:style>
  <w:style w:type="paragraph" w:customStyle="1" w:styleId="EndNoteBibliography">
    <w:name w:val="EndNote Bibliography"/>
    <w:basedOn w:val="a"/>
    <w:rsid w:val="00A55DE8"/>
    <w:pPr>
      <w:spacing w:line="360" w:lineRule="auto"/>
    </w:pPr>
  </w:style>
  <w:style w:type="paragraph" w:customStyle="1" w:styleId="Default">
    <w:name w:val="Default"/>
    <w:link w:val="DefaultChar"/>
    <w:rsid w:val="00A55DE8"/>
    <w:pPr>
      <w:autoSpaceDE w:val="0"/>
      <w:autoSpaceDN w:val="0"/>
      <w:adjustRightInd w:val="0"/>
    </w:pPr>
    <w:rPr>
      <w:rFonts w:ascii="Times New Roman" w:eastAsia="Times New Roman" w:hAnsi="Times New Roman" w:cs="Times New Roman"/>
      <w:color w:val="000000"/>
      <w:lang w:val="nb-NO" w:eastAsia="nb-NO"/>
    </w:rPr>
  </w:style>
  <w:style w:type="character" w:customStyle="1" w:styleId="DefaultChar">
    <w:name w:val="Default Char"/>
    <w:link w:val="Default"/>
    <w:rsid w:val="00A55DE8"/>
    <w:rPr>
      <w:rFonts w:ascii="Times New Roman" w:eastAsia="Times New Roman" w:hAnsi="Times New Roman" w:cs="Times New Roman"/>
      <w:color w:val="000000"/>
      <w:lang w:val="nb-NO" w:eastAsia="nb-NO"/>
    </w:rPr>
  </w:style>
  <w:style w:type="paragraph" w:styleId="a4">
    <w:name w:val="header"/>
    <w:basedOn w:val="a"/>
    <w:link w:val="Char"/>
    <w:uiPriority w:val="99"/>
    <w:unhideWhenUsed/>
    <w:rsid w:val="007179C6"/>
    <w:pPr>
      <w:tabs>
        <w:tab w:val="center" w:pos="4536"/>
        <w:tab w:val="right" w:pos="9072"/>
      </w:tabs>
    </w:pPr>
  </w:style>
  <w:style w:type="character" w:customStyle="1" w:styleId="Char">
    <w:name w:val="页眉 Char"/>
    <w:basedOn w:val="a0"/>
    <w:link w:val="a4"/>
    <w:uiPriority w:val="99"/>
    <w:rsid w:val="007179C6"/>
  </w:style>
  <w:style w:type="character" w:styleId="a5">
    <w:name w:val="page number"/>
    <w:basedOn w:val="a0"/>
    <w:uiPriority w:val="99"/>
    <w:semiHidden/>
    <w:unhideWhenUsed/>
    <w:rsid w:val="007179C6"/>
  </w:style>
  <w:style w:type="paragraph" w:styleId="a6">
    <w:name w:val="Normal (Web)"/>
    <w:basedOn w:val="a"/>
    <w:uiPriority w:val="99"/>
    <w:unhideWhenUsed/>
    <w:rsid w:val="00BD347E"/>
    <w:pPr>
      <w:spacing w:before="100" w:beforeAutospacing="1" w:after="100" w:afterAutospacing="1"/>
    </w:pPr>
  </w:style>
  <w:style w:type="character" w:customStyle="1" w:styleId="apple-converted-space">
    <w:name w:val="apple-converted-space"/>
    <w:basedOn w:val="a0"/>
    <w:rsid w:val="005E6C03"/>
  </w:style>
  <w:style w:type="paragraph" w:styleId="a7">
    <w:name w:val="List Paragraph"/>
    <w:basedOn w:val="a"/>
    <w:uiPriority w:val="34"/>
    <w:qFormat/>
    <w:rsid w:val="008D2672"/>
    <w:pPr>
      <w:ind w:left="720"/>
      <w:contextualSpacing/>
    </w:pPr>
  </w:style>
  <w:style w:type="paragraph" w:styleId="a8">
    <w:name w:val="Balloon Text"/>
    <w:basedOn w:val="a"/>
    <w:link w:val="Char0"/>
    <w:uiPriority w:val="99"/>
    <w:semiHidden/>
    <w:unhideWhenUsed/>
    <w:rsid w:val="008F3CE2"/>
    <w:rPr>
      <w:sz w:val="18"/>
      <w:szCs w:val="18"/>
    </w:rPr>
  </w:style>
  <w:style w:type="character" w:customStyle="1" w:styleId="Char0">
    <w:name w:val="批注框文本 Char"/>
    <w:basedOn w:val="a0"/>
    <w:link w:val="a8"/>
    <w:uiPriority w:val="99"/>
    <w:semiHidden/>
    <w:rsid w:val="008F3CE2"/>
    <w:rPr>
      <w:rFonts w:ascii="Times New Roman" w:hAnsi="Times New Roman" w:cs="Times New Roman"/>
      <w:sz w:val="18"/>
      <w:szCs w:val="18"/>
      <w:lang w:val="en-US"/>
    </w:rPr>
  </w:style>
  <w:style w:type="character" w:styleId="a9">
    <w:name w:val="annotation reference"/>
    <w:uiPriority w:val="99"/>
    <w:semiHidden/>
    <w:unhideWhenUsed/>
    <w:rsid w:val="00377F72"/>
    <w:rPr>
      <w:sz w:val="21"/>
      <w:szCs w:val="21"/>
    </w:rPr>
  </w:style>
  <w:style w:type="paragraph" w:styleId="aa">
    <w:name w:val="annotation text"/>
    <w:basedOn w:val="a"/>
    <w:link w:val="Char1"/>
    <w:unhideWhenUsed/>
    <w:rsid w:val="00377F72"/>
    <w:pPr>
      <w:spacing w:line="276" w:lineRule="auto"/>
    </w:pPr>
    <w:rPr>
      <w:rFonts w:ascii="Arial" w:eastAsia="宋体" w:hAnsi="Arial" w:cs="Arial"/>
      <w:color w:val="000000"/>
      <w:sz w:val="22"/>
      <w:szCs w:val="20"/>
      <w:lang w:val="pl-PL" w:eastAsia="pl-PL"/>
    </w:rPr>
  </w:style>
  <w:style w:type="character" w:customStyle="1" w:styleId="Char1">
    <w:name w:val="批注文字 Char1"/>
    <w:basedOn w:val="a0"/>
    <w:link w:val="aa"/>
    <w:uiPriority w:val="99"/>
    <w:rsid w:val="00377F72"/>
    <w:rPr>
      <w:rFonts w:ascii="Arial" w:eastAsia="宋体" w:hAnsi="Arial" w:cs="Arial"/>
      <w:color w:val="000000"/>
      <w:sz w:val="22"/>
      <w:szCs w:val="20"/>
      <w:lang w:val="pl-PL" w:eastAsia="pl-PL"/>
    </w:rPr>
  </w:style>
  <w:style w:type="paragraph" w:customStyle="1" w:styleId="p1">
    <w:name w:val="p1"/>
    <w:basedOn w:val="a"/>
    <w:rsid w:val="00377F72"/>
    <w:rPr>
      <w:rFonts w:ascii="Helvetica" w:hAnsi="Helvetica"/>
      <w:sz w:val="18"/>
      <w:szCs w:val="18"/>
      <w:lang w:eastAsia="zh-CN"/>
    </w:rPr>
  </w:style>
  <w:style w:type="paragraph" w:customStyle="1" w:styleId="1">
    <w:name w:val="正文1"/>
    <w:uiPriority w:val="99"/>
    <w:rsid w:val="00377F72"/>
    <w:pPr>
      <w:spacing w:line="276" w:lineRule="auto"/>
    </w:pPr>
    <w:rPr>
      <w:rFonts w:ascii="Arial" w:eastAsia="宋体" w:hAnsi="Arial" w:cs="Arial"/>
      <w:color w:val="000000"/>
      <w:sz w:val="22"/>
      <w:szCs w:val="20"/>
      <w:lang w:val="pl-PL" w:eastAsia="pl-PL"/>
    </w:rPr>
  </w:style>
  <w:style w:type="paragraph" w:styleId="ab">
    <w:name w:val="annotation subject"/>
    <w:basedOn w:val="aa"/>
    <w:next w:val="aa"/>
    <w:link w:val="Char2"/>
    <w:uiPriority w:val="99"/>
    <w:semiHidden/>
    <w:unhideWhenUsed/>
    <w:rsid w:val="00377F72"/>
    <w:pPr>
      <w:spacing w:line="240" w:lineRule="auto"/>
    </w:pPr>
    <w:rPr>
      <w:rFonts w:asciiTheme="minorHAnsi" w:eastAsiaTheme="minorEastAsia" w:hAnsiTheme="minorHAnsi" w:cstheme="minorBidi"/>
      <w:b/>
      <w:bCs/>
      <w:color w:val="auto"/>
      <w:sz w:val="24"/>
      <w:szCs w:val="24"/>
      <w:lang w:val="en-US" w:eastAsia="en-US"/>
    </w:rPr>
  </w:style>
  <w:style w:type="character" w:customStyle="1" w:styleId="Char2">
    <w:name w:val="批注主题 Char"/>
    <w:basedOn w:val="Char1"/>
    <w:link w:val="ab"/>
    <w:uiPriority w:val="99"/>
    <w:semiHidden/>
    <w:rsid w:val="00377F72"/>
    <w:rPr>
      <w:rFonts w:ascii="Arial" w:eastAsia="宋体" w:hAnsi="Arial" w:cs="Arial"/>
      <w:b/>
      <w:bCs/>
      <w:color w:val="000000"/>
      <w:sz w:val="22"/>
      <w:szCs w:val="20"/>
      <w:lang w:val="en-US" w:eastAsia="pl-PL"/>
    </w:rPr>
  </w:style>
  <w:style w:type="character" w:styleId="ac">
    <w:name w:val="FollowedHyperlink"/>
    <w:basedOn w:val="a0"/>
    <w:uiPriority w:val="99"/>
    <w:semiHidden/>
    <w:unhideWhenUsed/>
    <w:rsid w:val="002456DE"/>
    <w:rPr>
      <w:color w:val="954F72" w:themeColor="followedHyperlink"/>
      <w:u w:val="single"/>
    </w:rPr>
  </w:style>
  <w:style w:type="paragraph" w:styleId="ad">
    <w:name w:val="footer"/>
    <w:basedOn w:val="a"/>
    <w:link w:val="Char3"/>
    <w:uiPriority w:val="99"/>
    <w:unhideWhenUsed/>
    <w:rsid w:val="006979F5"/>
    <w:pPr>
      <w:tabs>
        <w:tab w:val="center" w:pos="4153"/>
        <w:tab w:val="right" w:pos="8306"/>
      </w:tabs>
      <w:snapToGrid w:val="0"/>
    </w:pPr>
    <w:rPr>
      <w:sz w:val="18"/>
      <w:szCs w:val="18"/>
    </w:rPr>
  </w:style>
  <w:style w:type="character" w:customStyle="1" w:styleId="Char3">
    <w:name w:val="页脚 Char"/>
    <w:basedOn w:val="a0"/>
    <w:link w:val="ad"/>
    <w:uiPriority w:val="99"/>
    <w:rsid w:val="006979F5"/>
    <w:rPr>
      <w:rFonts w:ascii="Times New Roman" w:eastAsia="Times New Roman" w:hAnsi="Times New Roman" w:cs="Times New Roman"/>
      <w:sz w:val="18"/>
      <w:szCs w:val="18"/>
      <w:lang w:eastAsia="en-GB"/>
    </w:rPr>
  </w:style>
  <w:style w:type="character" w:customStyle="1" w:styleId="10">
    <w:name w:val="未处理的提及1"/>
    <w:basedOn w:val="a0"/>
    <w:uiPriority w:val="99"/>
    <w:rsid w:val="002A5266"/>
    <w:rPr>
      <w:color w:val="605E5C"/>
      <w:shd w:val="clear" w:color="auto" w:fill="E1DFDD"/>
    </w:rPr>
  </w:style>
  <w:style w:type="character" w:customStyle="1" w:styleId="Char4">
    <w:name w:val="批注文字 Char"/>
    <w:semiHidden/>
    <w:rsid w:val="005D0F50"/>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3313">
      <w:bodyDiv w:val="1"/>
      <w:marLeft w:val="0"/>
      <w:marRight w:val="0"/>
      <w:marTop w:val="0"/>
      <w:marBottom w:val="0"/>
      <w:divBdr>
        <w:top w:val="none" w:sz="0" w:space="0" w:color="auto"/>
        <w:left w:val="none" w:sz="0" w:space="0" w:color="auto"/>
        <w:bottom w:val="none" w:sz="0" w:space="0" w:color="auto"/>
        <w:right w:val="none" w:sz="0" w:space="0" w:color="auto"/>
      </w:divBdr>
    </w:div>
    <w:div w:id="93987869">
      <w:bodyDiv w:val="1"/>
      <w:marLeft w:val="0"/>
      <w:marRight w:val="0"/>
      <w:marTop w:val="0"/>
      <w:marBottom w:val="0"/>
      <w:divBdr>
        <w:top w:val="none" w:sz="0" w:space="0" w:color="auto"/>
        <w:left w:val="none" w:sz="0" w:space="0" w:color="auto"/>
        <w:bottom w:val="none" w:sz="0" w:space="0" w:color="auto"/>
        <w:right w:val="none" w:sz="0" w:space="0" w:color="auto"/>
      </w:divBdr>
    </w:div>
    <w:div w:id="118841619">
      <w:bodyDiv w:val="1"/>
      <w:marLeft w:val="0"/>
      <w:marRight w:val="0"/>
      <w:marTop w:val="0"/>
      <w:marBottom w:val="0"/>
      <w:divBdr>
        <w:top w:val="none" w:sz="0" w:space="0" w:color="auto"/>
        <w:left w:val="none" w:sz="0" w:space="0" w:color="auto"/>
        <w:bottom w:val="none" w:sz="0" w:space="0" w:color="auto"/>
        <w:right w:val="none" w:sz="0" w:space="0" w:color="auto"/>
      </w:divBdr>
    </w:div>
    <w:div w:id="202253058">
      <w:bodyDiv w:val="1"/>
      <w:marLeft w:val="0"/>
      <w:marRight w:val="0"/>
      <w:marTop w:val="0"/>
      <w:marBottom w:val="0"/>
      <w:divBdr>
        <w:top w:val="none" w:sz="0" w:space="0" w:color="auto"/>
        <w:left w:val="none" w:sz="0" w:space="0" w:color="auto"/>
        <w:bottom w:val="none" w:sz="0" w:space="0" w:color="auto"/>
        <w:right w:val="none" w:sz="0" w:space="0" w:color="auto"/>
      </w:divBdr>
    </w:div>
    <w:div w:id="322979120">
      <w:bodyDiv w:val="1"/>
      <w:marLeft w:val="0"/>
      <w:marRight w:val="0"/>
      <w:marTop w:val="0"/>
      <w:marBottom w:val="0"/>
      <w:divBdr>
        <w:top w:val="none" w:sz="0" w:space="0" w:color="auto"/>
        <w:left w:val="none" w:sz="0" w:space="0" w:color="auto"/>
        <w:bottom w:val="none" w:sz="0" w:space="0" w:color="auto"/>
        <w:right w:val="none" w:sz="0" w:space="0" w:color="auto"/>
      </w:divBdr>
    </w:div>
    <w:div w:id="337778575">
      <w:bodyDiv w:val="1"/>
      <w:marLeft w:val="0"/>
      <w:marRight w:val="0"/>
      <w:marTop w:val="0"/>
      <w:marBottom w:val="0"/>
      <w:divBdr>
        <w:top w:val="none" w:sz="0" w:space="0" w:color="auto"/>
        <w:left w:val="none" w:sz="0" w:space="0" w:color="auto"/>
        <w:bottom w:val="none" w:sz="0" w:space="0" w:color="auto"/>
        <w:right w:val="none" w:sz="0" w:space="0" w:color="auto"/>
      </w:divBdr>
    </w:div>
    <w:div w:id="352802476">
      <w:bodyDiv w:val="1"/>
      <w:marLeft w:val="0"/>
      <w:marRight w:val="0"/>
      <w:marTop w:val="0"/>
      <w:marBottom w:val="0"/>
      <w:divBdr>
        <w:top w:val="none" w:sz="0" w:space="0" w:color="auto"/>
        <w:left w:val="none" w:sz="0" w:space="0" w:color="auto"/>
        <w:bottom w:val="none" w:sz="0" w:space="0" w:color="auto"/>
        <w:right w:val="none" w:sz="0" w:space="0" w:color="auto"/>
      </w:divBdr>
    </w:div>
    <w:div w:id="406728546">
      <w:bodyDiv w:val="1"/>
      <w:marLeft w:val="0"/>
      <w:marRight w:val="0"/>
      <w:marTop w:val="0"/>
      <w:marBottom w:val="0"/>
      <w:divBdr>
        <w:top w:val="none" w:sz="0" w:space="0" w:color="auto"/>
        <w:left w:val="none" w:sz="0" w:space="0" w:color="auto"/>
        <w:bottom w:val="none" w:sz="0" w:space="0" w:color="auto"/>
        <w:right w:val="none" w:sz="0" w:space="0" w:color="auto"/>
      </w:divBdr>
    </w:div>
    <w:div w:id="432625981">
      <w:bodyDiv w:val="1"/>
      <w:marLeft w:val="0"/>
      <w:marRight w:val="0"/>
      <w:marTop w:val="0"/>
      <w:marBottom w:val="0"/>
      <w:divBdr>
        <w:top w:val="none" w:sz="0" w:space="0" w:color="auto"/>
        <w:left w:val="none" w:sz="0" w:space="0" w:color="auto"/>
        <w:bottom w:val="none" w:sz="0" w:space="0" w:color="auto"/>
        <w:right w:val="none" w:sz="0" w:space="0" w:color="auto"/>
      </w:divBdr>
    </w:div>
    <w:div w:id="466515164">
      <w:bodyDiv w:val="1"/>
      <w:marLeft w:val="0"/>
      <w:marRight w:val="0"/>
      <w:marTop w:val="0"/>
      <w:marBottom w:val="0"/>
      <w:divBdr>
        <w:top w:val="none" w:sz="0" w:space="0" w:color="auto"/>
        <w:left w:val="none" w:sz="0" w:space="0" w:color="auto"/>
        <w:bottom w:val="none" w:sz="0" w:space="0" w:color="auto"/>
        <w:right w:val="none" w:sz="0" w:space="0" w:color="auto"/>
      </w:divBdr>
      <w:divsChild>
        <w:div w:id="1212959990">
          <w:marLeft w:val="0"/>
          <w:marRight w:val="0"/>
          <w:marTop w:val="0"/>
          <w:marBottom w:val="0"/>
          <w:divBdr>
            <w:top w:val="none" w:sz="0" w:space="0" w:color="auto"/>
            <w:left w:val="none" w:sz="0" w:space="0" w:color="auto"/>
            <w:bottom w:val="none" w:sz="0" w:space="0" w:color="auto"/>
            <w:right w:val="none" w:sz="0" w:space="0" w:color="auto"/>
          </w:divBdr>
          <w:divsChild>
            <w:div w:id="772435801">
              <w:marLeft w:val="0"/>
              <w:marRight w:val="0"/>
              <w:marTop w:val="0"/>
              <w:marBottom w:val="0"/>
              <w:divBdr>
                <w:top w:val="none" w:sz="0" w:space="0" w:color="auto"/>
                <w:left w:val="none" w:sz="0" w:space="0" w:color="auto"/>
                <w:bottom w:val="none" w:sz="0" w:space="0" w:color="auto"/>
                <w:right w:val="none" w:sz="0" w:space="0" w:color="auto"/>
              </w:divBdr>
              <w:divsChild>
                <w:div w:id="1428112226">
                  <w:marLeft w:val="0"/>
                  <w:marRight w:val="0"/>
                  <w:marTop w:val="0"/>
                  <w:marBottom w:val="0"/>
                  <w:divBdr>
                    <w:top w:val="none" w:sz="0" w:space="0" w:color="auto"/>
                    <w:left w:val="none" w:sz="0" w:space="0" w:color="auto"/>
                    <w:bottom w:val="none" w:sz="0" w:space="0" w:color="auto"/>
                    <w:right w:val="none" w:sz="0" w:space="0" w:color="auto"/>
                  </w:divBdr>
                  <w:divsChild>
                    <w:div w:id="1275553678">
                      <w:marLeft w:val="0"/>
                      <w:marRight w:val="0"/>
                      <w:marTop w:val="0"/>
                      <w:marBottom w:val="0"/>
                      <w:divBdr>
                        <w:top w:val="none" w:sz="0" w:space="0" w:color="auto"/>
                        <w:left w:val="none" w:sz="0" w:space="0" w:color="auto"/>
                        <w:bottom w:val="none" w:sz="0" w:space="0" w:color="auto"/>
                        <w:right w:val="none" w:sz="0" w:space="0" w:color="auto"/>
                      </w:divBdr>
                      <w:divsChild>
                        <w:div w:id="20608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342753">
      <w:bodyDiv w:val="1"/>
      <w:marLeft w:val="0"/>
      <w:marRight w:val="0"/>
      <w:marTop w:val="0"/>
      <w:marBottom w:val="0"/>
      <w:divBdr>
        <w:top w:val="none" w:sz="0" w:space="0" w:color="auto"/>
        <w:left w:val="none" w:sz="0" w:space="0" w:color="auto"/>
        <w:bottom w:val="none" w:sz="0" w:space="0" w:color="auto"/>
        <w:right w:val="none" w:sz="0" w:space="0" w:color="auto"/>
      </w:divBdr>
    </w:div>
    <w:div w:id="591278740">
      <w:bodyDiv w:val="1"/>
      <w:marLeft w:val="0"/>
      <w:marRight w:val="0"/>
      <w:marTop w:val="0"/>
      <w:marBottom w:val="0"/>
      <w:divBdr>
        <w:top w:val="none" w:sz="0" w:space="0" w:color="auto"/>
        <w:left w:val="none" w:sz="0" w:space="0" w:color="auto"/>
        <w:bottom w:val="none" w:sz="0" w:space="0" w:color="auto"/>
        <w:right w:val="none" w:sz="0" w:space="0" w:color="auto"/>
      </w:divBdr>
    </w:div>
    <w:div w:id="620844361">
      <w:bodyDiv w:val="1"/>
      <w:marLeft w:val="0"/>
      <w:marRight w:val="0"/>
      <w:marTop w:val="0"/>
      <w:marBottom w:val="0"/>
      <w:divBdr>
        <w:top w:val="none" w:sz="0" w:space="0" w:color="auto"/>
        <w:left w:val="none" w:sz="0" w:space="0" w:color="auto"/>
        <w:bottom w:val="none" w:sz="0" w:space="0" w:color="auto"/>
        <w:right w:val="none" w:sz="0" w:space="0" w:color="auto"/>
      </w:divBdr>
    </w:div>
    <w:div w:id="650403733">
      <w:bodyDiv w:val="1"/>
      <w:marLeft w:val="0"/>
      <w:marRight w:val="0"/>
      <w:marTop w:val="0"/>
      <w:marBottom w:val="0"/>
      <w:divBdr>
        <w:top w:val="none" w:sz="0" w:space="0" w:color="auto"/>
        <w:left w:val="none" w:sz="0" w:space="0" w:color="auto"/>
        <w:bottom w:val="none" w:sz="0" w:space="0" w:color="auto"/>
        <w:right w:val="none" w:sz="0" w:space="0" w:color="auto"/>
      </w:divBdr>
    </w:div>
    <w:div w:id="722486759">
      <w:bodyDiv w:val="1"/>
      <w:marLeft w:val="0"/>
      <w:marRight w:val="0"/>
      <w:marTop w:val="0"/>
      <w:marBottom w:val="0"/>
      <w:divBdr>
        <w:top w:val="none" w:sz="0" w:space="0" w:color="auto"/>
        <w:left w:val="none" w:sz="0" w:space="0" w:color="auto"/>
        <w:bottom w:val="none" w:sz="0" w:space="0" w:color="auto"/>
        <w:right w:val="none" w:sz="0" w:space="0" w:color="auto"/>
      </w:divBdr>
    </w:div>
    <w:div w:id="739863172">
      <w:bodyDiv w:val="1"/>
      <w:marLeft w:val="0"/>
      <w:marRight w:val="0"/>
      <w:marTop w:val="0"/>
      <w:marBottom w:val="0"/>
      <w:divBdr>
        <w:top w:val="none" w:sz="0" w:space="0" w:color="auto"/>
        <w:left w:val="none" w:sz="0" w:space="0" w:color="auto"/>
        <w:bottom w:val="none" w:sz="0" w:space="0" w:color="auto"/>
        <w:right w:val="none" w:sz="0" w:space="0" w:color="auto"/>
      </w:divBdr>
    </w:div>
    <w:div w:id="756442457">
      <w:bodyDiv w:val="1"/>
      <w:marLeft w:val="0"/>
      <w:marRight w:val="0"/>
      <w:marTop w:val="0"/>
      <w:marBottom w:val="0"/>
      <w:divBdr>
        <w:top w:val="none" w:sz="0" w:space="0" w:color="auto"/>
        <w:left w:val="none" w:sz="0" w:space="0" w:color="auto"/>
        <w:bottom w:val="none" w:sz="0" w:space="0" w:color="auto"/>
        <w:right w:val="none" w:sz="0" w:space="0" w:color="auto"/>
      </w:divBdr>
    </w:div>
    <w:div w:id="800730285">
      <w:bodyDiv w:val="1"/>
      <w:marLeft w:val="0"/>
      <w:marRight w:val="0"/>
      <w:marTop w:val="0"/>
      <w:marBottom w:val="0"/>
      <w:divBdr>
        <w:top w:val="none" w:sz="0" w:space="0" w:color="auto"/>
        <w:left w:val="none" w:sz="0" w:space="0" w:color="auto"/>
        <w:bottom w:val="none" w:sz="0" w:space="0" w:color="auto"/>
        <w:right w:val="none" w:sz="0" w:space="0" w:color="auto"/>
      </w:divBdr>
    </w:div>
    <w:div w:id="806821104">
      <w:bodyDiv w:val="1"/>
      <w:marLeft w:val="0"/>
      <w:marRight w:val="0"/>
      <w:marTop w:val="0"/>
      <w:marBottom w:val="0"/>
      <w:divBdr>
        <w:top w:val="none" w:sz="0" w:space="0" w:color="auto"/>
        <w:left w:val="none" w:sz="0" w:space="0" w:color="auto"/>
        <w:bottom w:val="none" w:sz="0" w:space="0" w:color="auto"/>
        <w:right w:val="none" w:sz="0" w:space="0" w:color="auto"/>
      </w:divBdr>
    </w:div>
    <w:div w:id="927350201">
      <w:bodyDiv w:val="1"/>
      <w:marLeft w:val="0"/>
      <w:marRight w:val="0"/>
      <w:marTop w:val="0"/>
      <w:marBottom w:val="0"/>
      <w:divBdr>
        <w:top w:val="none" w:sz="0" w:space="0" w:color="auto"/>
        <w:left w:val="none" w:sz="0" w:space="0" w:color="auto"/>
        <w:bottom w:val="none" w:sz="0" w:space="0" w:color="auto"/>
        <w:right w:val="none" w:sz="0" w:space="0" w:color="auto"/>
      </w:divBdr>
    </w:div>
    <w:div w:id="961421262">
      <w:bodyDiv w:val="1"/>
      <w:marLeft w:val="0"/>
      <w:marRight w:val="0"/>
      <w:marTop w:val="0"/>
      <w:marBottom w:val="0"/>
      <w:divBdr>
        <w:top w:val="none" w:sz="0" w:space="0" w:color="auto"/>
        <w:left w:val="none" w:sz="0" w:space="0" w:color="auto"/>
        <w:bottom w:val="none" w:sz="0" w:space="0" w:color="auto"/>
        <w:right w:val="none" w:sz="0" w:space="0" w:color="auto"/>
      </w:divBdr>
    </w:div>
    <w:div w:id="998194512">
      <w:bodyDiv w:val="1"/>
      <w:marLeft w:val="0"/>
      <w:marRight w:val="0"/>
      <w:marTop w:val="0"/>
      <w:marBottom w:val="0"/>
      <w:divBdr>
        <w:top w:val="none" w:sz="0" w:space="0" w:color="auto"/>
        <w:left w:val="none" w:sz="0" w:space="0" w:color="auto"/>
        <w:bottom w:val="none" w:sz="0" w:space="0" w:color="auto"/>
        <w:right w:val="none" w:sz="0" w:space="0" w:color="auto"/>
      </w:divBdr>
    </w:div>
    <w:div w:id="1110130280">
      <w:bodyDiv w:val="1"/>
      <w:marLeft w:val="0"/>
      <w:marRight w:val="0"/>
      <w:marTop w:val="0"/>
      <w:marBottom w:val="0"/>
      <w:divBdr>
        <w:top w:val="none" w:sz="0" w:space="0" w:color="auto"/>
        <w:left w:val="none" w:sz="0" w:space="0" w:color="auto"/>
        <w:bottom w:val="none" w:sz="0" w:space="0" w:color="auto"/>
        <w:right w:val="none" w:sz="0" w:space="0" w:color="auto"/>
      </w:divBdr>
    </w:div>
    <w:div w:id="1302346186">
      <w:bodyDiv w:val="1"/>
      <w:marLeft w:val="0"/>
      <w:marRight w:val="0"/>
      <w:marTop w:val="0"/>
      <w:marBottom w:val="0"/>
      <w:divBdr>
        <w:top w:val="none" w:sz="0" w:space="0" w:color="auto"/>
        <w:left w:val="none" w:sz="0" w:space="0" w:color="auto"/>
        <w:bottom w:val="none" w:sz="0" w:space="0" w:color="auto"/>
        <w:right w:val="none" w:sz="0" w:space="0" w:color="auto"/>
      </w:divBdr>
    </w:div>
    <w:div w:id="1339697895">
      <w:bodyDiv w:val="1"/>
      <w:marLeft w:val="0"/>
      <w:marRight w:val="0"/>
      <w:marTop w:val="0"/>
      <w:marBottom w:val="0"/>
      <w:divBdr>
        <w:top w:val="none" w:sz="0" w:space="0" w:color="auto"/>
        <w:left w:val="none" w:sz="0" w:space="0" w:color="auto"/>
        <w:bottom w:val="none" w:sz="0" w:space="0" w:color="auto"/>
        <w:right w:val="none" w:sz="0" w:space="0" w:color="auto"/>
      </w:divBdr>
    </w:div>
    <w:div w:id="1348017539">
      <w:bodyDiv w:val="1"/>
      <w:marLeft w:val="0"/>
      <w:marRight w:val="0"/>
      <w:marTop w:val="0"/>
      <w:marBottom w:val="0"/>
      <w:divBdr>
        <w:top w:val="none" w:sz="0" w:space="0" w:color="auto"/>
        <w:left w:val="none" w:sz="0" w:space="0" w:color="auto"/>
        <w:bottom w:val="none" w:sz="0" w:space="0" w:color="auto"/>
        <w:right w:val="none" w:sz="0" w:space="0" w:color="auto"/>
      </w:divBdr>
    </w:div>
    <w:div w:id="1376808429">
      <w:bodyDiv w:val="1"/>
      <w:marLeft w:val="0"/>
      <w:marRight w:val="0"/>
      <w:marTop w:val="0"/>
      <w:marBottom w:val="0"/>
      <w:divBdr>
        <w:top w:val="none" w:sz="0" w:space="0" w:color="auto"/>
        <w:left w:val="none" w:sz="0" w:space="0" w:color="auto"/>
        <w:bottom w:val="none" w:sz="0" w:space="0" w:color="auto"/>
        <w:right w:val="none" w:sz="0" w:space="0" w:color="auto"/>
      </w:divBdr>
    </w:div>
    <w:div w:id="1521234829">
      <w:bodyDiv w:val="1"/>
      <w:marLeft w:val="0"/>
      <w:marRight w:val="0"/>
      <w:marTop w:val="0"/>
      <w:marBottom w:val="0"/>
      <w:divBdr>
        <w:top w:val="none" w:sz="0" w:space="0" w:color="auto"/>
        <w:left w:val="none" w:sz="0" w:space="0" w:color="auto"/>
        <w:bottom w:val="none" w:sz="0" w:space="0" w:color="auto"/>
        <w:right w:val="none" w:sz="0" w:space="0" w:color="auto"/>
      </w:divBdr>
    </w:div>
    <w:div w:id="1524320792">
      <w:bodyDiv w:val="1"/>
      <w:marLeft w:val="0"/>
      <w:marRight w:val="0"/>
      <w:marTop w:val="0"/>
      <w:marBottom w:val="0"/>
      <w:divBdr>
        <w:top w:val="none" w:sz="0" w:space="0" w:color="auto"/>
        <w:left w:val="none" w:sz="0" w:space="0" w:color="auto"/>
        <w:bottom w:val="none" w:sz="0" w:space="0" w:color="auto"/>
        <w:right w:val="none" w:sz="0" w:space="0" w:color="auto"/>
      </w:divBdr>
    </w:div>
    <w:div w:id="1641693924">
      <w:bodyDiv w:val="1"/>
      <w:marLeft w:val="0"/>
      <w:marRight w:val="0"/>
      <w:marTop w:val="0"/>
      <w:marBottom w:val="0"/>
      <w:divBdr>
        <w:top w:val="none" w:sz="0" w:space="0" w:color="auto"/>
        <w:left w:val="none" w:sz="0" w:space="0" w:color="auto"/>
        <w:bottom w:val="none" w:sz="0" w:space="0" w:color="auto"/>
        <w:right w:val="none" w:sz="0" w:space="0" w:color="auto"/>
      </w:divBdr>
    </w:div>
    <w:div w:id="1717971674">
      <w:bodyDiv w:val="1"/>
      <w:marLeft w:val="0"/>
      <w:marRight w:val="0"/>
      <w:marTop w:val="0"/>
      <w:marBottom w:val="0"/>
      <w:divBdr>
        <w:top w:val="none" w:sz="0" w:space="0" w:color="auto"/>
        <w:left w:val="none" w:sz="0" w:space="0" w:color="auto"/>
        <w:bottom w:val="none" w:sz="0" w:space="0" w:color="auto"/>
        <w:right w:val="none" w:sz="0" w:space="0" w:color="auto"/>
      </w:divBdr>
    </w:div>
    <w:div w:id="1799837559">
      <w:bodyDiv w:val="1"/>
      <w:marLeft w:val="0"/>
      <w:marRight w:val="0"/>
      <w:marTop w:val="0"/>
      <w:marBottom w:val="0"/>
      <w:divBdr>
        <w:top w:val="none" w:sz="0" w:space="0" w:color="auto"/>
        <w:left w:val="none" w:sz="0" w:space="0" w:color="auto"/>
        <w:bottom w:val="none" w:sz="0" w:space="0" w:color="auto"/>
        <w:right w:val="none" w:sz="0" w:space="0" w:color="auto"/>
      </w:divBdr>
    </w:div>
    <w:div w:id="1904633244">
      <w:bodyDiv w:val="1"/>
      <w:marLeft w:val="0"/>
      <w:marRight w:val="0"/>
      <w:marTop w:val="0"/>
      <w:marBottom w:val="0"/>
      <w:divBdr>
        <w:top w:val="none" w:sz="0" w:space="0" w:color="auto"/>
        <w:left w:val="none" w:sz="0" w:space="0" w:color="auto"/>
        <w:bottom w:val="none" w:sz="0" w:space="0" w:color="auto"/>
        <w:right w:val="none" w:sz="0" w:space="0" w:color="auto"/>
      </w:divBdr>
    </w:div>
    <w:div w:id="1928148813">
      <w:bodyDiv w:val="1"/>
      <w:marLeft w:val="0"/>
      <w:marRight w:val="0"/>
      <w:marTop w:val="0"/>
      <w:marBottom w:val="0"/>
      <w:divBdr>
        <w:top w:val="none" w:sz="0" w:space="0" w:color="auto"/>
        <w:left w:val="none" w:sz="0" w:space="0" w:color="auto"/>
        <w:bottom w:val="none" w:sz="0" w:space="0" w:color="auto"/>
        <w:right w:val="none" w:sz="0" w:space="0" w:color="auto"/>
      </w:divBdr>
    </w:div>
    <w:div w:id="1933735571">
      <w:bodyDiv w:val="1"/>
      <w:marLeft w:val="0"/>
      <w:marRight w:val="0"/>
      <w:marTop w:val="0"/>
      <w:marBottom w:val="0"/>
      <w:divBdr>
        <w:top w:val="none" w:sz="0" w:space="0" w:color="auto"/>
        <w:left w:val="none" w:sz="0" w:space="0" w:color="auto"/>
        <w:bottom w:val="none" w:sz="0" w:space="0" w:color="auto"/>
        <w:right w:val="none" w:sz="0" w:space="0" w:color="auto"/>
      </w:divBdr>
    </w:div>
    <w:div w:id="1954946165">
      <w:bodyDiv w:val="1"/>
      <w:marLeft w:val="0"/>
      <w:marRight w:val="0"/>
      <w:marTop w:val="0"/>
      <w:marBottom w:val="0"/>
      <w:divBdr>
        <w:top w:val="none" w:sz="0" w:space="0" w:color="auto"/>
        <w:left w:val="none" w:sz="0" w:space="0" w:color="auto"/>
        <w:bottom w:val="none" w:sz="0" w:space="0" w:color="auto"/>
        <w:right w:val="none" w:sz="0" w:space="0" w:color="auto"/>
      </w:divBdr>
    </w:div>
    <w:div w:id="1972784040">
      <w:bodyDiv w:val="1"/>
      <w:marLeft w:val="0"/>
      <w:marRight w:val="0"/>
      <w:marTop w:val="0"/>
      <w:marBottom w:val="0"/>
      <w:divBdr>
        <w:top w:val="none" w:sz="0" w:space="0" w:color="auto"/>
        <w:left w:val="none" w:sz="0" w:space="0" w:color="auto"/>
        <w:bottom w:val="none" w:sz="0" w:space="0" w:color="auto"/>
        <w:right w:val="none" w:sz="0" w:space="0" w:color="auto"/>
      </w:divBdr>
    </w:div>
    <w:div w:id="1998024995">
      <w:bodyDiv w:val="1"/>
      <w:marLeft w:val="0"/>
      <w:marRight w:val="0"/>
      <w:marTop w:val="0"/>
      <w:marBottom w:val="0"/>
      <w:divBdr>
        <w:top w:val="none" w:sz="0" w:space="0" w:color="auto"/>
        <w:left w:val="none" w:sz="0" w:space="0" w:color="auto"/>
        <w:bottom w:val="none" w:sz="0" w:space="0" w:color="auto"/>
        <w:right w:val="none" w:sz="0" w:space="0" w:color="auto"/>
      </w:divBdr>
    </w:div>
    <w:div w:id="2067534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B68CFD-FBB3-4284-A1C9-B675E0F3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7587</Words>
  <Characters>43250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Magdy El-Salhy</dc:creator>
  <cp:keywords/>
  <dc:description/>
  <cp:lastModifiedBy>8613716430021</cp:lastModifiedBy>
  <cp:revision>4</cp:revision>
  <dcterms:created xsi:type="dcterms:W3CDTF">2020-03-14T04:05:00Z</dcterms:created>
  <dcterms:modified xsi:type="dcterms:W3CDTF">2020-04-06T08:39:00Z</dcterms:modified>
</cp:coreProperties>
</file>