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E98" w:rsidRPr="00E51A80" w:rsidRDefault="007A4E98" w:rsidP="007E3E0D">
      <w:pPr>
        <w:adjustRightInd w:val="0"/>
        <w:snapToGrid w:val="0"/>
        <w:spacing w:after="0" w:line="360" w:lineRule="auto"/>
        <w:jc w:val="both"/>
        <w:rPr>
          <w:rFonts w:ascii="Book Antiqua" w:hAnsi="Book Antiqua"/>
          <w:b/>
          <w:sz w:val="20"/>
          <w:szCs w:val="20"/>
          <w:lang w:val="en-US"/>
        </w:rPr>
      </w:pPr>
      <w:bookmarkStart w:id="0" w:name="_Hlk34349482"/>
      <w:bookmarkStart w:id="1" w:name="_Hlk34349838"/>
      <w:r w:rsidRPr="00E51A80">
        <w:rPr>
          <w:rFonts w:ascii="Book Antiqua" w:eastAsia="Times New Roman" w:hAnsi="Book Antiqua" w:cs="宋体"/>
          <w:b/>
          <w:sz w:val="20"/>
          <w:szCs w:val="20"/>
          <w:lang w:val="en-US"/>
        </w:rPr>
        <w:t xml:space="preserve">Name of Journal: </w:t>
      </w:r>
      <w:r w:rsidRPr="00E51A80">
        <w:rPr>
          <w:rFonts w:ascii="Book Antiqua" w:eastAsia="Times New Roman" w:hAnsi="Book Antiqua" w:cs="宋体"/>
          <w:i/>
          <w:sz w:val="20"/>
          <w:szCs w:val="20"/>
          <w:lang w:val="en-US"/>
        </w:rPr>
        <w:t>World Journal of Gastroenterology</w:t>
      </w:r>
    </w:p>
    <w:p w:rsidR="007A4E98" w:rsidRPr="00E51A80" w:rsidRDefault="007A4E98" w:rsidP="007E3E0D">
      <w:pPr>
        <w:adjustRightInd w:val="0"/>
        <w:snapToGrid w:val="0"/>
        <w:spacing w:after="0" w:line="360" w:lineRule="auto"/>
        <w:jc w:val="both"/>
        <w:rPr>
          <w:rFonts w:ascii="Book Antiqua" w:eastAsia="Times New Roman" w:hAnsi="Book Antiqua" w:cs="宋体"/>
          <w:b/>
          <w:i/>
          <w:sz w:val="20"/>
          <w:szCs w:val="20"/>
          <w:lang w:val="en-US"/>
        </w:rPr>
      </w:pPr>
      <w:r w:rsidRPr="00E51A80">
        <w:rPr>
          <w:rFonts w:ascii="Book Antiqua" w:hAnsi="Book Antiqua" w:cs="Arial"/>
          <w:b/>
          <w:sz w:val="20"/>
          <w:szCs w:val="20"/>
          <w:lang w:val="en-US"/>
        </w:rPr>
        <w:t xml:space="preserve">Manuscript NO: </w:t>
      </w:r>
      <w:r w:rsidRPr="00E51A80">
        <w:rPr>
          <w:rFonts w:ascii="Book Antiqua" w:hAnsi="Book Antiqua" w:cs="Arial"/>
          <w:sz w:val="20"/>
          <w:szCs w:val="20"/>
          <w:lang w:val="en-US"/>
        </w:rPr>
        <w:t>53145</w:t>
      </w:r>
    </w:p>
    <w:p w:rsidR="007A4E98" w:rsidRPr="00E51A80" w:rsidRDefault="007A4E98" w:rsidP="007E3E0D">
      <w:pPr>
        <w:adjustRightInd w:val="0"/>
        <w:snapToGrid w:val="0"/>
        <w:spacing w:after="0" w:line="360" w:lineRule="auto"/>
        <w:jc w:val="both"/>
        <w:rPr>
          <w:rFonts w:ascii="Book Antiqua" w:eastAsia="幼圆" w:hAnsi="Book Antiqua"/>
          <w:b/>
          <w:i/>
          <w:sz w:val="20"/>
          <w:szCs w:val="20"/>
          <w:lang w:val="en-US"/>
        </w:rPr>
      </w:pPr>
      <w:bookmarkStart w:id="2" w:name="OLE_LINK4"/>
      <w:r w:rsidRPr="00E51A80">
        <w:rPr>
          <w:rFonts w:ascii="Book Antiqua" w:hAnsi="Book Antiqua"/>
          <w:b/>
          <w:sz w:val="20"/>
          <w:szCs w:val="20"/>
          <w:shd w:val="clear" w:color="auto" w:fill="FFFFFF"/>
          <w:lang w:val="en-US"/>
        </w:rPr>
        <w:t>Manuscript</w:t>
      </w:r>
      <w:r w:rsidR="00010D5D" w:rsidRPr="00E51A80">
        <w:rPr>
          <w:rFonts w:ascii="Book Antiqua" w:hAnsi="Book Antiqua"/>
          <w:b/>
          <w:sz w:val="20"/>
          <w:szCs w:val="20"/>
          <w:shd w:val="clear" w:color="auto" w:fill="FFFFFF"/>
          <w:lang w:val="en-US"/>
        </w:rPr>
        <w:t xml:space="preserve"> </w:t>
      </w:r>
      <w:r w:rsidRPr="00E51A80">
        <w:rPr>
          <w:rFonts w:ascii="Book Antiqua" w:hAnsi="Book Antiqua"/>
          <w:b/>
          <w:sz w:val="20"/>
          <w:szCs w:val="20"/>
          <w:shd w:val="clear" w:color="auto" w:fill="FFFFFF"/>
          <w:lang w:val="en-US"/>
        </w:rPr>
        <w:t>Type</w:t>
      </w:r>
      <w:bookmarkEnd w:id="2"/>
      <w:r w:rsidRPr="00E51A80">
        <w:rPr>
          <w:rFonts w:ascii="Book Antiqua" w:hAnsi="Book Antiqua"/>
          <w:b/>
          <w:sz w:val="20"/>
          <w:szCs w:val="20"/>
          <w:lang w:val="en-US"/>
        </w:rPr>
        <w:t xml:space="preserve">: </w:t>
      </w:r>
      <w:r w:rsidRPr="00E51A80">
        <w:rPr>
          <w:rFonts w:ascii="Book Antiqua" w:hAnsi="Book Antiqua"/>
          <w:sz w:val="20"/>
          <w:szCs w:val="20"/>
          <w:lang w:val="en-US"/>
        </w:rPr>
        <w:t>ORIGINAL ARTICLE</w:t>
      </w:r>
    </w:p>
    <w:p w:rsidR="007A4E98" w:rsidRPr="00E51A80" w:rsidRDefault="007A4E98" w:rsidP="007E3E0D">
      <w:pPr>
        <w:adjustRightInd w:val="0"/>
        <w:snapToGrid w:val="0"/>
        <w:spacing w:after="0" w:line="360" w:lineRule="auto"/>
        <w:jc w:val="both"/>
        <w:rPr>
          <w:rFonts w:ascii="Book Antiqua" w:eastAsia="幼圆" w:hAnsi="Book Antiqua"/>
          <w:b/>
          <w:i/>
          <w:sz w:val="20"/>
          <w:szCs w:val="20"/>
          <w:lang w:val="en-US"/>
        </w:rPr>
      </w:pPr>
    </w:p>
    <w:p w:rsidR="002B7963" w:rsidRPr="00E51A80" w:rsidRDefault="007A4E98" w:rsidP="007E3E0D">
      <w:pPr>
        <w:adjustRightInd w:val="0"/>
        <w:snapToGrid w:val="0"/>
        <w:spacing w:after="0" w:line="360" w:lineRule="auto"/>
        <w:jc w:val="both"/>
        <w:rPr>
          <w:rFonts w:ascii="Book Antiqua" w:hAnsi="Book Antiqua"/>
          <w:b/>
          <w:i/>
          <w:sz w:val="20"/>
          <w:szCs w:val="20"/>
          <w:lang w:val="en-US"/>
        </w:rPr>
      </w:pPr>
      <w:r w:rsidRPr="00E51A80">
        <w:rPr>
          <w:rFonts w:ascii="Book Antiqua" w:eastAsia="幼圆" w:hAnsi="Book Antiqua"/>
          <w:b/>
          <w:i/>
          <w:sz w:val="20"/>
          <w:szCs w:val="20"/>
          <w:lang w:val="en-US"/>
        </w:rPr>
        <w:t>Observational Study</w:t>
      </w:r>
    </w:p>
    <w:p w:rsidR="002B7963" w:rsidRPr="00E51A80" w:rsidRDefault="002B7963" w:rsidP="007E3E0D">
      <w:pPr>
        <w:adjustRightInd w:val="0"/>
        <w:snapToGrid w:val="0"/>
        <w:spacing w:after="0" w:line="360" w:lineRule="auto"/>
        <w:jc w:val="both"/>
        <w:rPr>
          <w:rFonts w:ascii="Book Antiqua" w:hAnsi="Book Antiqua" w:cs="Calibri"/>
          <w:b/>
          <w:bCs/>
          <w:sz w:val="20"/>
          <w:szCs w:val="20"/>
          <w:lang w:val="en-US"/>
        </w:rPr>
      </w:pPr>
      <w:r w:rsidRPr="00E51A80">
        <w:rPr>
          <w:rFonts w:ascii="Book Antiqua" w:hAnsi="Book Antiqua" w:cs="Calibri"/>
          <w:b/>
          <w:bCs/>
          <w:sz w:val="20"/>
          <w:szCs w:val="20"/>
          <w:lang w:val="en-US"/>
        </w:rPr>
        <w:t xml:space="preserve">Evaluation of </w:t>
      </w:r>
      <w:r w:rsidRPr="00E51A80">
        <w:rPr>
          <w:rFonts w:ascii="Book Antiqua" w:hAnsi="Book Antiqua" w:cs="Calibri"/>
          <w:b/>
          <w:bCs/>
          <w:sz w:val="20"/>
          <w:szCs w:val="20"/>
          <w:vertAlign w:val="superscript"/>
          <w:lang w:val="en-US"/>
        </w:rPr>
        <w:t>177</w:t>
      </w:r>
      <w:r w:rsidRPr="00E51A80">
        <w:rPr>
          <w:rFonts w:ascii="Book Antiqua" w:hAnsi="Book Antiqua" w:cs="Calibri"/>
          <w:b/>
          <w:bCs/>
          <w:sz w:val="20"/>
          <w:szCs w:val="20"/>
          <w:lang w:val="en-US"/>
        </w:rPr>
        <w:t xml:space="preserve">Lu-Dotatate treatment in patients with metastatic neuroendocrine </w:t>
      </w:r>
      <w:r w:rsidR="007A4E98" w:rsidRPr="00E51A80">
        <w:rPr>
          <w:rFonts w:ascii="Book Antiqua" w:hAnsi="Book Antiqua" w:cs="Calibri"/>
          <w:b/>
          <w:bCs/>
          <w:sz w:val="20"/>
          <w:szCs w:val="20"/>
          <w:lang w:val="en-US"/>
        </w:rPr>
        <w:t>tumors and prognostic factors</w:t>
      </w:r>
    </w:p>
    <w:p w:rsidR="007A4E98" w:rsidRPr="00E51A80" w:rsidRDefault="007A4E98" w:rsidP="007E3E0D">
      <w:pPr>
        <w:adjustRightInd w:val="0"/>
        <w:snapToGrid w:val="0"/>
        <w:spacing w:after="0" w:line="360" w:lineRule="auto"/>
        <w:jc w:val="both"/>
        <w:rPr>
          <w:rFonts w:ascii="Book Antiqua" w:hAnsi="Book Antiqua"/>
          <w:sz w:val="20"/>
          <w:szCs w:val="20"/>
          <w:lang w:val="en-US"/>
        </w:rPr>
      </w:pPr>
    </w:p>
    <w:p w:rsidR="002B7963" w:rsidRPr="00E51A80" w:rsidRDefault="007A4E98" w:rsidP="007E3E0D">
      <w:pPr>
        <w:adjustRightInd w:val="0"/>
        <w:snapToGrid w:val="0"/>
        <w:spacing w:after="0" w:line="360" w:lineRule="auto"/>
        <w:jc w:val="both"/>
        <w:rPr>
          <w:rFonts w:ascii="Book Antiqua" w:hAnsi="Book Antiqua"/>
          <w:sz w:val="20"/>
          <w:szCs w:val="20"/>
          <w:lang w:val="en-US"/>
        </w:rPr>
      </w:pPr>
      <w:bookmarkStart w:id="3" w:name="OLE_LINK10"/>
      <w:bookmarkStart w:id="4" w:name="OLE_LINK13"/>
      <w:bookmarkStart w:id="5" w:name="OLE_LINK864"/>
      <w:bookmarkStart w:id="6" w:name="OLE_LINK791"/>
      <w:bookmarkStart w:id="7" w:name="OLE_LINK766"/>
      <w:bookmarkStart w:id="8" w:name="OLE_LINK266"/>
      <w:bookmarkStart w:id="9" w:name="OLE_LINK217"/>
      <w:proofErr w:type="spellStart"/>
      <w:r w:rsidRPr="00E51A80">
        <w:rPr>
          <w:rFonts w:ascii="Book Antiqua" w:hAnsi="Book Antiqua" w:cs="Calibri"/>
          <w:bCs/>
          <w:sz w:val="20"/>
          <w:szCs w:val="20"/>
          <w:lang w:val="en-US"/>
        </w:rPr>
        <w:t>Abou</w:t>
      </w:r>
      <w:proofErr w:type="spellEnd"/>
      <w:r w:rsidRPr="00E51A80">
        <w:rPr>
          <w:rFonts w:ascii="Book Antiqua" w:hAnsi="Book Antiqua" w:cs="Calibri"/>
          <w:bCs/>
          <w:sz w:val="20"/>
          <w:szCs w:val="20"/>
          <w:lang w:val="en-US"/>
        </w:rPr>
        <w:t xml:space="preserve"> </w:t>
      </w:r>
      <w:proofErr w:type="spellStart"/>
      <w:r w:rsidRPr="00E51A80">
        <w:rPr>
          <w:rFonts w:ascii="Book Antiqua" w:hAnsi="Book Antiqua" w:cs="Calibri"/>
          <w:bCs/>
          <w:sz w:val="20"/>
          <w:szCs w:val="20"/>
          <w:lang w:val="en-US"/>
        </w:rPr>
        <w:t>Jokh</w:t>
      </w:r>
      <w:proofErr w:type="spellEnd"/>
      <w:r w:rsidRPr="00E51A80">
        <w:rPr>
          <w:rFonts w:ascii="Book Antiqua" w:hAnsi="Book Antiqua" w:cs="Calibri"/>
          <w:bCs/>
          <w:sz w:val="20"/>
          <w:szCs w:val="20"/>
          <w:lang w:val="en-US"/>
        </w:rPr>
        <w:t xml:space="preserve"> Casas E</w:t>
      </w:r>
      <w:bookmarkEnd w:id="3"/>
      <w:bookmarkEnd w:id="4"/>
      <w:r w:rsidRPr="00E51A80">
        <w:rPr>
          <w:rFonts w:ascii="Book Antiqua" w:hAnsi="Book Antiqua" w:cs="Calibri"/>
          <w:bCs/>
          <w:sz w:val="20"/>
          <w:szCs w:val="20"/>
          <w:lang w:val="en-US"/>
        </w:rPr>
        <w:t xml:space="preserve"> </w:t>
      </w:r>
      <w:r w:rsidRPr="00E51A80">
        <w:rPr>
          <w:rFonts w:ascii="Book Antiqua" w:hAnsi="Book Antiqua" w:cs="Calibri"/>
          <w:bCs/>
          <w:i/>
          <w:sz w:val="20"/>
          <w:szCs w:val="20"/>
          <w:lang w:val="en-US"/>
        </w:rPr>
        <w:t>et al</w:t>
      </w:r>
      <w:r w:rsidRPr="00E51A80">
        <w:rPr>
          <w:rFonts w:ascii="Book Antiqua" w:hAnsi="Book Antiqua" w:cs="Calibri"/>
          <w:bCs/>
          <w:sz w:val="20"/>
          <w:szCs w:val="20"/>
          <w:lang w:val="en-US"/>
        </w:rPr>
        <w:t xml:space="preserve">. </w:t>
      </w:r>
      <w:bookmarkStart w:id="10" w:name="OLE_LINK5"/>
      <w:bookmarkStart w:id="11" w:name="OLE_LINK15"/>
      <w:r w:rsidR="002B7963" w:rsidRPr="00E51A80">
        <w:rPr>
          <w:rFonts w:ascii="Book Antiqua" w:hAnsi="Book Antiqua" w:cs="Calibri"/>
          <w:bCs/>
          <w:sz w:val="20"/>
          <w:szCs w:val="20"/>
          <w:vertAlign w:val="superscript"/>
          <w:lang w:val="en-US"/>
        </w:rPr>
        <w:t>177</w:t>
      </w:r>
      <w:r w:rsidR="002B7963" w:rsidRPr="00E51A80">
        <w:rPr>
          <w:rFonts w:ascii="Book Antiqua" w:hAnsi="Book Antiqua" w:cs="Calibri"/>
          <w:bCs/>
          <w:sz w:val="20"/>
          <w:szCs w:val="20"/>
          <w:lang w:val="en-US"/>
        </w:rPr>
        <w:t>Lu-Dotatate treatment in metastatic neuroendocrine tumors</w:t>
      </w:r>
      <w:bookmarkEnd w:id="5"/>
      <w:bookmarkEnd w:id="6"/>
      <w:bookmarkEnd w:id="7"/>
      <w:bookmarkEnd w:id="8"/>
      <w:bookmarkEnd w:id="9"/>
    </w:p>
    <w:bookmarkEnd w:id="10"/>
    <w:bookmarkEnd w:id="11"/>
    <w:p w:rsidR="002B7963" w:rsidRPr="00E51A80" w:rsidRDefault="002B7963" w:rsidP="007E3E0D">
      <w:pPr>
        <w:adjustRightInd w:val="0"/>
        <w:snapToGrid w:val="0"/>
        <w:spacing w:after="0" w:line="360" w:lineRule="auto"/>
        <w:jc w:val="both"/>
        <w:rPr>
          <w:rFonts w:ascii="Book Antiqua" w:hAnsi="Book Antiqua" w:cs="Calibri"/>
          <w:b/>
          <w:bCs/>
          <w:sz w:val="20"/>
          <w:szCs w:val="20"/>
          <w:lang w:val="en-US"/>
        </w:rPr>
      </w:pPr>
    </w:p>
    <w:p w:rsidR="002B7963" w:rsidRPr="00E51A80" w:rsidRDefault="00E51A80" w:rsidP="007E3E0D">
      <w:pPr>
        <w:adjustRightInd w:val="0"/>
        <w:snapToGrid w:val="0"/>
        <w:spacing w:after="0" w:line="360" w:lineRule="auto"/>
        <w:jc w:val="both"/>
        <w:rPr>
          <w:rFonts w:ascii="Book Antiqua" w:hAnsi="Book Antiqua"/>
          <w:sz w:val="20"/>
          <w:szCs w:val="20"/>
          <w:lang w:val="en-US"/>
        </w:rPr>
      </w:pPr>
      <w:bookmarkStart w:id="12" w:name="OLE_LINK3"/>
      <w:bookmarkStart w:id="13" w:name="OLE_LINK6"/>
      <w:r w:rsidRPr="00022795">
        <w:rPr>
          <w:rFonts w:ascii="Book Antiqua" w:hAnsi="Book Antiqua" w:cs="Calibri"/>
          <w:sz w:val="20"/>
          <w:szCs w:val="20"/>
        </w:rPr>
        <w:t>Estephany Abou Jokh Casas,</w:t>
      </w:r>
      <w:bookmarkEnd w:id="12"/>
      <w:bookmarkEnd w:id="13"/>
      <w:r w:rsidRPr="00022795">
        <w:rPr>
          <w:rFonts w:ascii="Book Antiqua" w:hAnsi="Book Antiqua" w:cs="Calibri"/>
          <w:sz w:val="20"/>
          <w:szCs w:val="20"/>
        </w:rPr>
        <w:t xml:space="preserve"> Virginia Pubul </w:t>
      </w:r>
      <w:r>
        <w:rPr>
          <w:rFonts w:ascii="Book Antiqua" w:hAnsi="Book Antiqua" w:cs="Calibri"/>
          <w:sz w:val="20"/>
          <w:szCs w:val="20"/>
        </w:rPr>
        <w:t>Núñez</w:t>
      </w:r>
      <w:r w:rsidRPr="00022795">
        <w:rPr>
          <w:rFonts w:ascii="Book Antiqua" w:hAnsi="Book Antiqua" w:cs="Calibri"/>
          <w:sz w:val="20"/>
          <w:szCs w:val="20"/>
        </w:rPr>
        <w:t>, Urbano Anido-Herranz, María del Carmen Mallón</w:t>
      </w:r>
      <w:r>
        <w:rPr>
          <w:rFonts w:ascii="Book Antiqua" w:hAnsi="Book Antiqua" w:cs="Calibri"/>
          <w:sz w:val="20"/>
          <w:szCs w:val="20"/>
        </w:rPr>
        <w:t xml:space="preserve"> Araujo</w:t>
      </w:r>
      <w:r w:rsidRPr="00022795">
        <w:rPr>
          <w:rFonts w:ascii="Book Antiqua" w:hAnsi="Book Antiqua" w:cs="Calibri"/>
          <w:sz w:val="20"/>
          <w:szCs w:val="20"/>
        </w:rPr>
        <w:t>, Maria del Carmen Pombo</w:t>
      </w:r>
      <w:r>
        <w:rPr>
          <w:rFonts w:ascii="Book Antiqua" w:hAnsi="Book Antiqua" w:cs="Calibri"/>
          <w:sz w:val="20"/>
          <w:szCs w:val="20"/>
        </w:rPr>
        <w:t xml:space="preserve"> Pasín</w:t>
      </w:r>
      <w:r w:rsidRPr="00022795">
        <w:rPr>
          <w:rFonts w:ascii="Book Antiqua" w:hAnsi="Book Antiqua" w:cs="Calibri"/>
          <w:sz w:val="20"/>
          <w:szCs w:val="20"/>
        </w:rPr>
        <w:t>, Miguel Garrido</w:t>
      </w:r>
      <w:r>
        <w:rPr>
          <w:rFonts w:ascii="Book Antiqua" w:hAnsi="Book Antiqua" w:cs="Calibri"/>
          <w:sz w:val="20"/>
          <w:szCs w:val="20"/>
        </w:rPr>
        <w:t xml:space="preserve"> Pumar</w:t>
      </w:r>
      <w:r w:rsidRPr="00022795">
        <w:rPr>
          <w:rFonts w:ascii="Book Antiqua" w:hAnsi="Book Antiqua" w:cs="Calibri"/>
          <w:sz w:val="20"/>
          <w:szCs w:val="20"/>
        </w:rPr>
        <w:t>, José Manuel Cabezas</w:t>
      </w:r>
      <w:r>
        <w:rPr>
          <w:rFonts w:ascii="Book Antiqua" w:hAnsi="Book Antiqua" w:cs="Calibri"/>
          <w:sz w:val="20"/>
          <w:szCs w:val="20"/>
        </w:rPr>
        <w:t xml:space="preserve"> Agrícola</w:t>
      </w:r>
      <w:r w:rsidRPr="00022795">
        <w:rPr>
          <w:rFonts w:ascii="Book Antiqua" w:hAnsi="Book Antiqua" w:cs="Calibri"/>
          <w:sz w:val="20"/>
          <w:szCs w:val="20"/>
        </w:rPr>
        <w:t>, José Manuel Cameselle</w:t>
      </w:r>
      <w:r>
        <w:rPr>
          <w:rFonts w:ascii="Book Antiqua" w:hAnsi="Book Antiqua" w:cs="Calibri"/>
          <w:sz w:val="20"/>
          <w:szCs w:val="20"/>
        </w:rPr>
        <w:t>-Teijeiro</w:t>
      </w:r>
      <w:r w:rsidRPr="00022795">
        <w:rPr>
          <w:rFonts w:ascii="Book Antiqua" w:hAnsi="Book Antiqua" w:cs="Calibri"/>
          <w:sz w:val="20"/>
          <w:szCs w:val="20"/>
        </w:rPr>
        <w:t>, Ashraf Hilal, Álvaro Ruibal</w:t>
      </w:r>
      <w:r>
        <w:rPr>
          <w:rFonts w:ascii="Book Antiqua" w:hAnsi="Book Antiqua" w:cs="Calibri"/>
          <w:sz w:val="20"/>
          <w:szCs w:val="20"/>
        </w:rPr>
        <w:t xml:space="preserve"> Morell</w:t>
      </w:r>
    </w:p>
    <w:p w:rsidR="007A4E98" w:rsidRPr="00E51A80" w:rsidRDefault="007A4E98" w:rsidP="007E3E0D">
      <w:pPr>
        <w:adjustRightInd w:val="0"/>
        <w:snapToGrid w:val="0"/>
        <w:spacing w:after="0" w:line="360" w:lineRule="auto"/>
        <w:jc w:val="both"/>
        <w:rPr>
          <w:rFonts w:ascii="Book Antiqua" w:hAnsi="Book Antiqua" w:cs="Calibri"/>
          <w:b/>
          <w:bCs/>
          <w:sz w:val="20"/>
          <w:szCs w:val="20"/>
          <w:lang w:val="en-US"/>
        </w:rPr>
      </w:pPr>
    </w:p>
    <w:p w:rsidR="002B7963" w:rsidRPr="00E51A80" w:rsidRDefault="00E51A80" w:rsidP="007E3E0D">
      <w:pPr>
        <w:adjustRightInd w:val="0"/>
        <w:snapToGrid w:val="0"/>
        <w:spacing w:after="0" w:line="360" w:lineRule="auto"/>
        <w:jc w:val="both"/>
        <w:rPr>
          <w:rFonts w:ascii="Book Antiqua" w:hAnsi="Book Antiqua"/>
          <w:sz w:val="20"/>
          <w:szCs w:val="20"/>
          <w:lang w:val="en-US"/>
        </w:rPr>
      </w:pPr>
      <w:proofErr w:type="spellStart"/>
      <w:r w:rsidRPr="00E51A80">
        <w:rPr>
          <w:rFonts w:ascii="Book Antiqua" w:hAnsi="Book Antiqua" w:cs="Calibri"/>
          <w:b/>
          <w:sz w:val="20"/>
          <w:szCs w:val="20"/>
          <w:lang w:val="en-US"/>
        </w:rPr>
        <w:t>Estephany</w:t>
      </w:r>
      <w:proofErr w:type="spellEnd"/>
      <w:r w:rsidRPr="00E51A80">
        <w:rPr>
          <w:rFonts w:ascii="Book Antiqua" w:hAnsi="Book Antiqua" w:cs="Calibri"/>
          <w:b/>
          <w:sz w:val="20"/>
          <w:szCs w:val="20"/>
          <w:lang w:val="en-US"/>
        </w:rPr>
        <w:t xml:space="preserve"> </w:t>
      </w:r>
      <w:proofErr w:type="spellStart"/>
      <w:r w:rsidRPr="00E51A80">
        <w:rPr>
          <w:rFonts w:ascii="Book Antiqua" w:hAnsi="Book Antiqua" w:cs="Calibri"/>
          <w:b/>
          <w:sz w:val="20"/>
          <w:szCs w:val="20"/>
          <w:lang w:val="en-US"/>
        </w:rPr>
        <w:t>Abou</w:t>
      </w:r>
      <w:proofErr w:type="spellEnd"/>
      <w:r w:rsidRPr="00E51A80">
        <w:rPr>
          <w:rFonts w:ascii="Book Antiqua" w:hAnsi="Book Antiqua" w:cs="Calibri"/>
          <w:b/>
          <w:sz w:val="20"/>
          <w:szCs w:val="20"/>
          <w:lang w:val="en-US"/>
        </w:rPr>
        <w:t xml:space="preserve"> </w:t>
      </w:r>
      <w:proofErr w:type="spellStart"/>
      <w:r w:rsidRPr="00E51A80">
        <w:rPr>
          <w:rFonts w:ascii="Book Antiqua" w:hAnsi="Book Antiqua" w:cs="Calibri"/>
          <w:b/>
          <w:sz w:val="20"/>
          <w:szCs w:val="20"/>
          <w:lang w:val="en-US"/>
        </w:rPr>
        <w:t>Jokh</w:t>
      </w:r>
      <w:proofErr w:type="spellEnd"/>
      <w:r w:rsidRPr="00E51A80">
        <w:rPr>
          <w:rFonts w:ascii="Book Antiqua" w:hAnsi="Book Antiqua" w:cs="Calibri"/>
          <w:b/>
          <w:sz w:val="20"/>
          <w:szCs w:val="20"/>
          <w:lang w:val="en-US"/>
        </w:rPr>
        <w:t xml:space="preserve"> Casas, Virginia </w:t>
      </w:r>
      <w:proofErr w:type="spellStart"/>
      <w:r w:rsidRPr="00E51A80">
        <w:rPr>
          <w:rFonts w:ascii="Book Antiqua" w:hAnsi="Book Antiqua" w:cs="Calibri"/>
          <w:b/>
          <w:sz w:val="20"/>
          <w:szCs w:val="20"/>
          <w:lang w:val="en-US"/>
        </w:rPr>
        <w:t>Pubul</w:t>
      </w:r>
      <w:proofErr w:type="spellEnd"/>
      <w:r w:rsidRPr="00E51A80">
        <w:rPr>
          <w:rFonts w:ascii="Book Antiqua" w:hAnsi="Book Antiqua" w:cs="Calibri"/>
          <w:b/>
          <w:sz w:val="20"/>
          <w:szCs w:val="20"/>
          <w:lang w:val="en-US"/>
        </w:rPr>
        <w:t xml:space="preserve"> </w:t>
      </w:r>
      <w:proofErr w:type="spellStart"/>
      <w:r w:rsidRPr="00E51A80">
        <w:rPr>
          <w:rFonts w:ascii="Book Antiqua" w:hAnsi="Book Antiqua" w:cs="Calibri"/>
          <w:b/>
          <w:sz w:val="20"/>
          <w:szCs w:val="20"/>
          <w:lang w:val="en-US"/>
        </w:rPr>
        <w:t>Núñez</w:t>
      </w:r>
      <w:proofErr w:type="spellEnd"/>
      <w:r w:rsidRPr="00E51A80">
        <w:rPr>
          <w:rFonts w:ascii="Book Antiqua" w:hAnsi="Book Antiqua" w:cs="Calibri"/>
          <w:b/>
          <w:sz w:val="20"/>
          <w:szCs w:val="20"/>
          <w:lang w:val="en-US"/>
        </w:rPr>
        <w:t xml:space="preserve">, </w:t>
      </w:r>
      <w:proofErr w:type="spellStart"/>
      <w:r w:rsidRPr="00E51A80">
        <w:rPr>
          <w:rFonts w:ascii="Book Antiqua" w:hAnsi="Book Antiqua" w:cs="Calibri"/>
          <w:b/>
          <w:sz w:val="20"/>
          <w:szCs w:val="20"/>
          <w:lang w:val="en-US"/>
        </w:rPr>
        <w:t>María</w:t>
      </w:r>
      <w:proofErr w:type="spellEnd"/>
      <w:r w:rsidRPr="00E51A80">
        <w:rPr>
          <w:rFonts w:ascii="Book Antiqua" w:hAnsi="Book Antiqua" w:cs="Calibri"/>
          <w:b/>
          <w:sz w:val="20"/>
          <w:szCs w:val="20"/>
          <w:lang w:val="en-US"/>
        </w:rPr>
        <w:t xml:space="preserve"> del Carmen </w:t>
      </w:r>
      <w:proofErr w:type="spellStart"/>
      <w:r w:rsidRPr="00E51A80">
        <w:rPr>
          <w:rFonts w:ascii="Book Antiqua" w:hAnsi="Book Antiqua" w:cs="Calibri"/>
          <w:b/>
          <w:sz w:val="20"/>
          <w:szCs w:val="20"/>
          <w:lang w:val="en-US"/>
        </w:rPr>
        <w:t>Mallón</w:t>
      </w:r>
      <w:proofErr w:type="spellEnd"/>
      <w:r w:rsidRPr="00E51A80">
        <w:rPr>
          <w:rFonts w:ascii="Book Antiqua" w:hAnsi="Book Antiqua" w:cs="Calibri"/>
          <w:b/>
          <w:sz w:val="20"/>
          <w:szCs w:val="20"/>
          <w:lang w:val="en-US"/>
        </w:rPr>
        <w:t xml:space="preserve"> </w:t>
      </w:r>
      <w:proofErr w:type="spellStart"/>
      <w:r w:rsidRPr="00E51A80">
        <w:rPr>
          <w:rFonts w:ascii="Book Antiqua" w:hAnsi="Book Antiqua" w:cs="Calibri"/>
          <w:b/>
          <w:sz w:val="20"/>
          <w:szCs w:val="20"/>
          <w:lang w:val="en-US"/>
        </w:rPr>
        <w:t>Araujo</w:t>
      </w:r>
      <w:proofErr w:type="spellEnd"/>
      <w:r w:rsidRPr="00E51A80">
        <w:rPr>
          <w:rFonts w:ascii="Book Antiqua" w:hAnsi="Book Antiqua" w:cs="Calibri"/>
          <w:b/>
          <w:sz w:val="20"/>
          <w:szCs w:val="20"/>
          <w:lang w:val="en-US"/>
        </w:rPr>
        <w:t xml:space="preserve">, Maria </w:t>
      </w:r>
      <w:proofErr w:type="spellStart"/>
      <w:r w:rsidRPr="00E51A80">
        <w:rPr>
          <w:rFonts w:ascii="Book Antiqua" w:hAnsi="Book Antiqua" w:cs="Calibri"/>
          <w:b/>
          <w:sz w:val="20"/>
          <w:szCs w:val="20"/>
          <w:lang w:val="en-US"/>
        </w:rPr>
        <w:t>delCarmen</w:t>
      </w:r>
      <w:proofErr w:type="spellEnd"/>
      <w:r w:rsidRPr="00E51A80">
        <w:rPr>
          <w:rFonts w:ascii="Book Antiqua" w:hAnsi="Book Antiqua" w:cs="Calibri"/>
          <w:b/>
          <w:sz w:val="20"/>
          <w:szCs w:val="20"/>
          <w:lang w:val="en-US"/>
        </w:rPr>
        <w:t xml:space="preserve"> Pombo </w:t>
      </w:r>
      <w:proofErr w:type="spellStart"/>
      <w:r w:rsidRPr="00E51A80">
        <w:rPr>
          <w:rFonts w:ascii="Book Antiqua" w:hAnsi="Book Antiqua" w:cs="Calibri"/>
          <w:b/>
          <w:sz w:val="20"/>
          <w:szCs w:val="20"/>
          <w:lang w:val="en-US"/>
        </w:rPr>
        <w:t>Pasín</w:t>
      </w:r>
      <w:proofErr w:type="spellEnd"/>
      <w:r w:rsidRPr="00E51A80">
        <w:rPr>
          <w:rFonts w:ascii="Book Antiqua" w:hAnsi="Book Antiqua" w:cs="Calibri"/>
          <w:b/>
          <w:sz w:val="20"/>
          <w:szCs w:val="20"/>
          <w:lang w:val="en-US"/>
        </w:rPr>
        <w:t xml:space="preserve">, Miguel </w:t>
      </w:r>
      <w:proofErr w:type="spellStart"/>
      <w:r w:rsidRPr="00E51A80">
        <w:rPr>
          <w:rFonts w:ascii="Book Antiqua" w:hAnsi="Book Antiqua" w:cs="Calibri"/>
          <w:b/>
          <w:sz w:val="20"/>
          <w:szCs w:val="20"/>
          <w:lang w:val="en-US"/>
        </w:rPr>
        <w:t>Garrido</w:t>
      </w:r>
      <w:proofErr w:type="spellEnd"/>
      <w:r w:rsidRPr="00E51A80">
        <w:rPr>
          <w:rFonts w:ascii="Book Antiqua" w:hAnsi="Book Antiqua" w:cs="Calibri"/>
          <w:b/>
          <w:sz w:val="20"/>
          <w:szCs w:val="20"/>
          <w:lang w:val="en-US"/>
        </w:rPr>
        <w:t xml:space="preserve"> </w:t>
      </w:r>
      <w:proofErr w:type="spellStart"/>
      <w:r w:rsidRPr="00E51A80">
        <w:rPr>
          <w:rFonts w:ascii="Book Antiqua" w:hAnsi="Book Antiqua" w:cs="Calibri"/>
          <w:b/>
          <w:sz w:val="20"/>
          <w:szCs w:val="20"/>
          <w:lang w:val="en-US"/>
        </w:rPr>
        <w:t>Pumar</w:t>
      </w:r>
      <w:proofErr w:type="spellEnd"/>
      <w:r w:rsidRPr="00E51A80">
        <w:rPr>
          <w:rFonts w:ascii="Book Antiqua" w:hAnsi="Book Antiqua" w:cs="Calibri"/>
          <w:b/>
          <w:sz w:val="20"/>
          <w:szCs w:val="20"/>
          <w:lang w:val="en-US"/>
        </w:rPr>
        <w:t xml:space="preserve">, Álvaro </w:t>
      </w:r>
      <w:proofErr w:type="spellStart"/>
      <w:r w:rsidRPr="00E51A80">
        <w:rPr>
          <w:rFonts w:ascii="Book Antiqua" w:hAnsi="Book Antiqua" w:cs="Calibri"/>
          <w:b/>
          <w:sz w:val="20"/>
          <w:szCs w:val="20"/>
          <w:lang w:val="en-US"/>
        </w:rPr>
        <w:t>Ruibal</w:t>
      </w:r>
      <w:proofErr w:type="spellEnd"/>
      <w:r w:rsidRPr="00E51A80">
        <w:rPr>
          <w:rFonts w:ascii="Book Antiqua" w:hAnsi="Book Antiqua" w:cs="Calibri"/>
          <w:b/>
          <w:sz w:val="20"/>
          <w:szCs w:val="20"/>
          <w:lang w:val="en-US"/>
        </w:rPr>
        <w:t xml:space="preserve"> </w:t>
      </w:r>
      <w:proofErr w:type="spellStart"/>
      <w:r w:rsidRPr="00E51A80">
        <w:rPr>
          <w:rFonts w:ascii="Book Antiqua" w:hAnsi="Book Antiqua" w:cs="Calibri"/>
          <w:b/>
          <w:sz w:val="20"/>
          <w:szCs w:val="20"/>
          <w:lang w:val="en-US"/>
        </w:rPr>
        <w:t>Morell</w:t>
      </w:r>
      <w:proofErr w:type="spellEnd"/>
      <w:r w:rsidR="000F0D8F" w:rsidRPr="00E51A80">
        <w:rPr>
          <w:rFonts w:ascii="Book Antiqua" w:hAnsi="Book Antiqua" w:cs="Calibri"/>
          <w:b/>
          <w:sz w:val="20"/>
          <w:szCs w:val="20"/>
          <w:lang w:val="en-US"/>
        </w:rPr>
        <w:t>,</w:t>
      </w:r>
      <w:r w:rsidR="000F0D8F" w:rsidRPr="00E51A80">
        <w:rPr>
          <w:rFonts w:ascii="Book Antiqua" w:hAnsi="Book Antiqua"/>
          <w:sz w:val="20"/>
          <w:szCs w:val="20"/>
          <w:lang w:val="en-US"/>
        </w:rPr>
        <w:t xml:space="preserve"> </w:t>
      </w:r>
      <w:r w:rsidR="000F0D8F" w:rsidRPr="00E51A80">
        <w:rPr>
          <w:rFonts w:ascii="Book Antiqua" w:hAnsi="Book Antiqua" w:cs="Calibri"/>
          <w:sz w:val="20"/>
          <w:szCs w:val="20"/>
          <w:lang w:val="en-US"/>
        </w:rPr>
        <w:t>Department of Nuclear Medicine,</w:t>
      </w:r>
      <w:r w:rsidR="002B7963" w:rsidRPr="00E51A80">
        <w:rPr>
          <w:rFonts w:ascii="Book Antiqua" w:hAnsi="Book Antiqua" w:cs="Calibri"/>
          <w:sz w:val="20"/>
          <w:szCs w:val="20"/>
          <w:lang w:val="en-US"/>
        </w:rPr>
        <w:t xml:space="preserve"> Santiago de </w:t>
      </w:r>
      <w:proofErr w:type="spellStart"/>
      <w:r w:rsidR="002B7963" w:rsidRPr="00E51A80">
        <w:rPr>
          <w:rFonts w:ascii="Book Antiqua" w:hAnsi="Book Antiqua" w:cs="Calibri"/>
          <w:sz w:val="20"/>
          <w:szCs w:val="20"/>
          <w:lang w:val="en-US"/>
        </w:rPr>
        <w:t>Composte</w:t>
      </w:r>
      <w:r w:rsidR="007A4E98" w:rsidRPr="00E51A80">
        <w:rPr>
          <w:rFonts w:ascii="Book Antiqua" w:hAnsi="Book Antiqua" w:cs="Calibri"/>
          <w:sz w:val="20"/>
          <w:szCs w:val="20"/>
          <w:lang w:val="en-US"/>
        </w:rPr>
        <w:t>la´s</w:t>
      </w:r>
      <w:proofErr w:type="spellEnd"/>
      <w:r w:rsidR="007A4E98" w:rsidRPr="00E51A80">
        <w:rPr>
          <w:rFonts w:ascii="Book Antiqua" w:hAnsi="Book Antiqua" w:cs="Calibri"/>
          <w:sz w:val="20"/>
          <w:szCs w:val="20"/>
          <w:lang w:val="en-US"/>
        </w:rPr>
        <w:t xml:space="preserve"> </w:t>
      </w:r>
      <w:r w:rsidR="007A4E98" w:rsidRPr="00E51A80">
        <w:rPr>
          <w:rFonts w:ascii="Book Antiqua" w:hAnsi="Book Antiqua" w:cs="Calibri"/>
          <w:caps/>
          <w:sz w:val="20"/>
          <w:szCs w:val="20"/>
          <w:lang w:val="en-US"/>
        </w:rPr>
        <w:t>u</w:t>
      </w:r>
      <w:r w:rsidR="007A4E98" w:rsidRPr="00E51A80">
        <w:rPr>
          <w:rFonts w:ascii="Book Antiqua" w:hAnsi="Book Antiqua" w:cs="Calibri"/>
          <w:sz w:val="20"/>
          <w:szCs w:val="20"/>
          <w:lang w:val="en-US"/>
        </w:rPr>
        <w:t xml:space="preserve">niversity </w:t>
      </w:r>
      <w:r w:rsidR="007A4E98" w:rsidRPr="00E51A80">
        <w:rPr>
          <w:rFonts w:ascii="Book Antiqua" w:hAnsi="Book Antiqua" w:cs="Calibri"/>
          <w:caps/>
          <w:sz w:val="20"/>
          <w:szCs w:val="20"/>
          <w:lang w:val="en-US"/>
        </w:rPr>
        <w:t>h</w:t>
      </w:r>
      <w:r w:rsidR="007A4E98" w:rsidRPr="00E51A80">
        <w:rPr>
          <w:rFonts w:ascii="Book Antiqua" w:hAnsi="Book Antiqua" w:cs="Calibri"/>
          <w:sz w:val="20"/>
          <w:szCs w:val="20"/>
          <w:lang w:val="en-US"/>
        </w:rPr>
        <w:t>ospital,</w:t>
      </w:r>
      <w:r w:rsidR="002B7963" w:rsidRPr="00E51A80">
        <w:rPr>
          <w:rFonts w:ascii="Book Antiqua" w:hAnsi="Book Antiqua" w:cs="Calibri"/>
          <w:sz w:val="20"/>
          <w:szCs w:val="20"/>
          <w:lang w:val="en-US"/>
        </w:rPr>
        <w:t xml:space="preserve"> Santia</w:t>
      </w:r>
      <w:r w:rsidR="000F0D8F" w:rsidRPr="00E51A80">
        <w:rPr>
          <w:rFonts w:ascii="Book Antiqua" w:hAnsi="Book Antiqua" w:cs="Calibri"/>
          <w:sz w:val="20"/>
          <w:szCs w:val="20"/>
          <w:lang w:val="en-US"/>
        </w:rPr>
        <w:t xml:space="preserve">go de </w:t>
      </w:r>
      <w:proofErr w:type="spellStart"/>
      <w:r w:rsidR="000F0D8F" w:rsidRPr="00E51A80">
        <w:rPr>
          <w:rFonts w:ascii="Book Antiqua" w:hAnsi="Book Antiqua" w:cs="Calibri"/>
          <w:sz w:val="20"/>
          <w:szCs w:val="20"/>
          <w:lang w:val="en-US"/>
        </w:rPr>
        <w:t>Compostela</w:t>
      </w:r>
      <w:proofErr w:type="spellEnd"/>
      <w:r w:rsidR="000F0D8F" w:rsidRPr="00E51A80">
        <w:rPr>
          <w:rFonts w:ascii="Book Antiqua" w:hAnsi="Book Antiqua" w:cs="Calibri"/>
          <w:sz w:val="20"/>
          <w:szCs w:val="20"/>
          <w:lang w:val="en-US"/>
        </w:rPr>
        <w:t xml:space="preserve"> </w:t>
      </w:r>
      <w:r w:rsidR="007A4E98" w:rsidRPr="00E51A80">
        <w:rPr>
          <w:rFonts w:ascii="Book Antiqua" w:hAnsi="Book Antiqua" w:cs="Calibri"/>
          <w:sz w:val="20"/>
          <w:szCs w:val="20"/>
          <w:lang w:val="en-US"/>
        </w:rPr>
        <w:t xml:space="preserve">15706, </w:t>
      </w:r>
      <w:r w:rsidR="0060598A" w:rsidRPr="00E51A80">
        <w:rPr>
          <w:rFonts w:ascii="Book Antiqua" w:hAnsi="Book Antiqua" w:cs="Book Antiqua"/>
          <w:bCs/>
          <w:sz w:val="20"/>
          <w:szCs w:val="20"/>
          <w:lang w:val="en-US"/>
        </w:rPr>
        <w:t xml:space="preserve">A </w:t>
      </w:r>
      <w:proofErr w:type="spellStart"/>
      <w:r w:rsidR="0060598A" w:rsidRPr="00E51A80">
        <w:rPr>
          <w:rFonts w:ascii="Book Antiqua" w:hAnsi="Book Antiqua" w:cs="Book Antiqua"/>
          <w:bCs/>
          <w:sz w:val="20"/>
          <w:szCs w:val="20"/>
          <w:lang w:val="en-US"/>
        </w:rPr>
        <w:t>Coruña</w:t>
      </w:r>
      <w:proofErr w:type="spellEnd"/>
      <w:r w:rsidR="0060598A" w:rsidRPr="00E51A80">
        <w:rPr>
          <w:rFonts w:ascii="Book Antiqua" w:hAnsi="Book Antiqua" w:cs="Book Antiqua"/>
          <w:bCs/>
          <w:sz w:val="20"/>
          <w:szCs w:val="20"/>
          <w:lang w:val="en-US"/>
        </w:rPr>
        <w:t>, Spain</w:t>
      </w:r>
    </w:p>
    <w:p w:rsidR="000F0D8F" w:rsidRPr="00E51A80" w:rsidRDefault="000F0D8F" w:rsidP="007E3E0D">
      <w:pPr>
        <w:adjustRightInd w:val="0"/>
        <w:snapToGrid w:val="0"/>
        <w:spacing w:after="0" w:line="360" w:lineRule="auto"/>
        <w:jc w:val="both"/>
        <w:rPr>
          <w:rFonts w:ascii="Book Antiqua" w:hAnsi="Book Antiqua" w:cs="Calibri"/>
          <w:b/>
          <w:bCs/>
          <w:sz w:val="20"/>
          <w:szCs w:val="20"/>
          <w:lang w:val="en-US"/>
        </w:rPr>
      </w:pPr>
    </w:p>
    <w:p w:rsidR="000F0D8F" w:rsidRPr="00E51A80" w:rsidRDefault="000F0D8F" w:rsidP="007E3E0D">
      <w:pPr>
        <w:adjustRightInd w:val="0"/>
        <w:snapToGrid w:val="0"/>
        <w:spacing w:after="0" w:line="360" w:lineRule="auto"/>
        <w:jc w:val="both"/>
        <w:rPr>
          <w:rFonts w:ascii="Book Antiqua" w:hAnsi="Book Antiqua"/>
          <w:sz w:val="20"/>
          <w:szCs w:val="20"/>
          <w:lang w:val="en-US"/>
        </w:rPr>
      </w:pPr>
      <w:proofErr w:type="spellStart"/>
      <w:r w:rsidRPr="00E51A80">
        <w:rPr>
          <w:rFonts w:ascii="Book Antiqua" w:hAnsi="Book Antiqua" w:cs="Calibri"/>
          <w:b/>
          <w:sz w:val="20"/>
          <w:szCs w:val="20"/>
          <w:lang w:val="en-US"/>
        </w:rPr>
        <w:t>Urbano</w:t>
      </w:r>
      <w:proofErr w:type="spellEnd"/>
      <w:r w:rsidRPr="00E51A80">
        <w:rPr>
          <w:rFonts w:ascii="Book Antiqua" w:hAnsi="Book Antiqua" w:cs="Calibri"/>
          <w:b/>
          <w:sz w:val="20"/>
          <w:szCs w:val="20"/>
          <w:lang w:val="en-US"/>
        </w:rPr>
        <w:t xml:space="preserve"> </w:t>
      </w:r>
      <w:proofErr w:type="spellStart"/>
      <w:r w:rsidRPr="00E51A80">
        <w:rPr>
          <w:rFonts w:ascii="Book Antiqua" w:hAnsi="Book Antiqua" w:cs="Calibri"/>
          <w:b/>
          <w:sz w:val="20"/>
          <w:szCs w:val="20"/>
          <w:lang w:val="en-US"/>
        </w:rPr>
        <w:t>Anido-Herranz</w:t>
      </w:r>
      <w:proofErr w:type="spellEnd"/>
      <w:r w:rsidRPr="00E51A80">
        <w:rPr>
          <w:rFonts w:ascii="Book Antiqua" w:hAnsi="Book Antiqua" w:cs="Calibri"/>
          <w:b/>
          <w:sz w:val="20"/>
          <w:szCs w:val="20"/>
          <w:lang w:val="en-US"/>
        </w:rPr>
        <w:t>,</w:t>
      </w:r>
      <w:r w:rsidRPr="00E51A80">
        <w:rPr>
          <w:rFonts w:ascii="Book Antiqua" w:hAnsi="Book Antiqua" w:cs="Calibri"/>
          <w:sz w:val="20"/>
          <w:szCs w:val="20"/>
          <w:lang w:val="en-US"/>
        </w:rPr>
        <w:t xml:space="preserve"> Department of </w:t>
      </w:r>
      <w:r w:rsidR="002B7963" w:rsidRPr="00E51A80">
        <w:rPr>
          <w:rFonts w:ascii="Book Antiqua" w:hAnsi="Book Antiqua" w:cs="Calibri"/>
          <w:sz w:val="20"/>
          <w:szCs w:val="20"/>
          <w:lang w:val="en-US"/>
        </w:rPr>
        <w:t xml:space="preserve">Oncology, Santiago de </w:t>
      </w:r>
      <w:proofErr w:type="spellStart"/>
      <w:r w:rsidR="002B7963" w:rsidRPr="00E51A80">
        <w:rPr>
          <w:rFonts w:ascii="Book Antiqua" w:hAnsi="Book Antiqua" w:cs="Calibri"/>
          <w:sz w:val="20"/>
          <w:szCs w:val="20"/>
          <w:lang w:val="en-US"/>
        </w:rPr>
        <w:t>C</w:t>
      </w:r>
      <w:r w:rsidRPr="00E51A80">
        <w:rPr>
          <w:rFonts w:ascii="Book Antiqua" w:hAnsi="Book Antiqua" w:cs="Calibri"/>
          <w:sz w:val="20"/>
          <w:szCs w:val="20"/>
          <w:lang w:val="en-US"/>
        </w:rPr>
        <w:t>ompostela´s</w:t>
      </w:r>
      <w:proofErr w:type="spellEnd"/>
      <w:r w:rsidRPr="00E51A80">
        <w:rPr>
          <w:rFonts w:ascii="Book Antiqua" w:hAnsi="Book Antiqua" w:cs="Calibri"/>
          <w:sz w:val="20"/>
          <w:szCs w:val="20"/>
          <w:lang w:val="en-US"/>
        </w:rPr>
        <w:t xml:space="preserve"> </w:t>
      </w:r>
      <w:r w:rsidR="00010D5D" w:rsidRPr="00E51A80">
        <w:rPr>
          <w:rFonts w:ascii="Book Antiqua" w:hAnsi="Book Antiqua" w:cs="Calibri"/>
          <w:sz w:val="20"/>
          <w:szCs w:val="20"/>
          <w:lang w:val="en-US"/>
        </w:rPr>
        <w:t>U</w:t>
      </w:r>
      <w:r w:rsidRPr="00E51A80">
        <w:rPr>
          <w:rFonts w:ascii="Book Antiqua" w:hAnsi="Book Antiqua" w:cs="Calibri"/>
          <w:sz w:val="20"/>
          <w:szCs w:val="20"/>
          <w:lang w:val="en-US"/>
        </w:rPr>
        <w:t xml:space="preserve">niversity </w:t>
      </w:r>
      <w:r w:rsidR="007E3E0D" w:rsidRPr="00E51A80">
        <w:rPr>
          <w:rFonts w:ascii="Book Antiqua" w:hAnsi="Book Antiqua" w:cs="Calibri"/>
          <w:sz w:val="20"/>
          <w:szCs w:val="20"/>
          <w:lang w:val="en-US"/>
        </w:rPr>
        <w:t>H</w:t>
      </w:r>
      <w:r w:rsidRPr="00E51A80">
        <w:rPr>
          <w:rFonts w:ascii="Book Antiqua" w:hAnsi="Book Antiqua" w:cs="Calibri"/>
          <w:sz w:val="20"/>
          <w:szCs w:val="20"/>
          <w:lang w:val="en-US"/>
        </w:rPr>
        <w:t xml:space="preserve">ospital, Santiago de </w:t>
      </w:r>
      <w:proofErr w:type="spellStart"/>
      <w:r w:rsidRPr="00E51A80">
        <w:rPr>
          <w:rFonts w:ascii="Book Antiqua" w:hAnsi="Book Antiqua" w:cs="Calibri"/>
          <w:sz w:val="20"/>
          <w:szCs w:val="20"/>
          <w:lang w:val="en-US"/>
        </w:rPr>
        <w:t>Compostela</w:t>
      </w:r>
      <w:proofErr w:type="spellEnd"/>
      <w:r w:rsidRPr="00E51A80">
        <w:rPr>
          <w:rFonts w:ascii="Book Antiqua" w:hAnsi="Book Antiqua" w:cs="Calibri"/>
          <w:sz w:val="20"/>
          <w:szCs w:val="20"/>
          <w:lang w:val="en-US"/>
        </w:rPr>
        <w:t xml:space="preserve"> 15706, </w:t>
      </w:r>
      <w:r w:rsidR="0060598A" w:rsidRPr="00E51A80">
        <w:rPr>
          <w:rFonts w:ascii="Book Antiqua" w:hAnsi="Book Antiqua" w:cs="Book Antiqua"/>
          <w:bCs/>
          <w:sz w:val="20"/>
          <w:szCs w:val="20"/>
          <w:lang w:val="en-US"/>
        </w:rPr>
        <w:t xml:space="preserve">A </w:t>
      </w:r>
      <w:proofErr w:type="spellStart"/>
      <w:r w:rsidR="0060598A" w:rsidRPr="00E51A80">
        <w:rPr>
          <w:rFonts w:ascii="Book Antiqua" w:hAnsi="Book Antiqua" w:cs="Book Antiqua"/>
          <w:bCs/>
          <w:sz w:val="20"/>
          <w:szCs w:val="20"/>
          <w:lang w:val="en-US"/>
        </w:rPr>
        <w:t>Coruña</w:t>
      </w:r>
      <w:proofErr w:type="spellEnd"/>
      <w:r w:rsidR="0060598A" w:rsidRPr="00E51A80">
        <w:rPr>
          <w:rFonts w:ascii="Book Antiqua" w:hAnsi="Book Antiqua" w:cs="Book Antiqua"/>
          <w:bCs/>
          <w:sz w:val="20"/>
          <w:szCs w:val="20"/>
          <w:lang w:val="en-US"/>
        </w:rPr>
        <w:t>, Spain</w:t>
      </w:r>
    </w:p>
    <w:bookmarkEnd w:id="0"/>
    <w:p w:rsidR="000F0D8F" w:rsidRPr="00E51A80" w:rsidRDefault="000F0D8F" w:rsidP="007E3E0D">
      <w:pPr>
        <w:adjustRightInd w:val="0"/>
        <w:snapToGrid w:val="0"/>
        <w:spacing w:after="0" w:line="360" w:lineRule="auto"/>
        <w:jc w:val="both"/>
        <w:rPr>
          <w:rFonts w:ascii="Book Antiqua" w:hAnsi="Book Antiqua" w:cs="Calibri"/>
          <w:b/>
          <w:bCs/>
          <w:sz w:val="20"/>
          <w:szCs w:val="20"/>
          <w:lang w:val="en-US"/>
        </w:rPr>
      </w:pPr>
    </w:p>
    <w:p w:rsidR="002B7963" w:rsidRPr="00E51A80" w:rsidRDefault="00E51A80"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b/>
          <w:sz w:val="20"/>
          <w:szCs w:val="20"/>
          <w:lang w:val="en-US"/>
        </w:rPr>
        <w:t xml:space="preserve">José Manuel </w:t>
      </w:r>
      <w:proofErr w:type="spellStart"/>
      <w:r w:rsidRPr="00E51A80">
        <w:rPr>
          <w:rFonts w:ascii="Book Antiqua" w:hAnsi="Book Antiqua" w:cs="Calibri"/>
          <w:b/>
          <w:sz w:val="20"/>
          <w:szCs w:val="20"/>
          <w:lang w:val="en-US"/>
        </w:rPr>
        <w:t>Cabezas</w:t>
      </w:r>
      <w:proofErr w:type="spellEnd"/>
      <w:r w:rsidRPr="00E51A80">
        <w:rPr>
          <w:rFonts w:ascii="Book Antiqua" w:hAnsi="Book Antiqua" w:cs="Calibri"/>
          <w:b/>
          <w:sz w:val="20"/>
          <w:szCs w:val="20"/>
          <w:lang w:val="en-US"/>
        </w:rPr>
        <w:t xml:space="preserve"> </w:t>
      </w:r>
      <w:proofErr w:type="spellStart"/>
      <w:r w:rsidRPr="00E51A80">
        <w:rPr>
          <w:rFonts w:ascii="Book Antiqua" w:hAnsi="Book Antiqua" w:cs="Calibri"/>
          <w:b/>
          <w:sz w:val="20"/>
          <w:szCs w:val="20"/>
          <w:lang w:val="en-US"/>
        </w:rPr>
        <w:t>Agrícola</w:t>
      </w:r>
      <w:proofErr w:type="spellEnd"/>
      <w:r w:rsidR="000F0D8F" w:rsidRPr="00E51A80">
        <w:rPr>
          <w:rFonts w:ascii="Book Antiqua" w:hAnsi="Book Antiqua" w:cs="Calibri"/>
          <w:b/>
          <w:sz w:val="20"/>
          <w:szCs w:val="20"/>
          <w:lang w:val="en-US"/>
        </w:rPr>
        <w:t>,</w:t>
      </w:r>
      <w:r w:rsidR="002B7963" w:rsidRPr="00E51A80">
        <w:rPr>
          <w:rFonts w:ascii="Book Antiqua" w:hAnsi="Book Antiqua" w:cs="Calibri"/>
          <w:sz w:val="20"/>
          <w:szCs w:val="20"/>
          <w:lang w:val="en-US"/>
        </w:rPr>
        <w:t xml:space="preserve"> </w:t>
      </w:r>
      <w:bookmarkStart w:id="14" w:name="OLE_LINK8"/>
      <w:bookmarkStart w:id="15" w:name="OLE_LINK9"/>
      <w:r w:rsidR="000F0D8F" w:rsidRPr="00E51A80">
        <w:rPr>
          <w:rFonts w:ascii="Book Antiqua" w:hAnsi="Book Antiqua" w:cs="Calibri"/>
          <w:sz w:val="20"/>
          <w:szCs w:val="20"/>
          <w:lang w:val="en-US"/>
        </w:rPr>
        <w:t>Department of</w:t>
      </w:r>
      <w:bookmarkEnd w:id="14"/>
      <w:bookmarkEnd w:id="15"/>
      <w:r w:rsidR="000F0D8F" w:rsidRPr="00E51A80">
        <w:rPr>
          <w:rFonts w:ascii="Book Antiqua" w:hAnsi="Book Antiqua" w:cs="Calibri"/>
          <w:sz w:val="20"/>
          <w:szCs w:val="20"/>
          <w:lang w:val="en-US"/>
        </w:rPr>
        <w:t xml:space="preserve"> </w:t>
      </w:r>
      <w:r w:rsidR="002B7963" w:rsidRPr="00E51A80">
        <w:rPr>
          <w:rFonts w:ascii="Book Antiqua" w:hAnsi="Book Antiqua" w:cs="Calibri"/>
          <w:sz w:val="20"/>
          <w:szCs w:val="20"/>
          <w:lang w:val="en-US"/>
        </w:rPr>
        <w:t xml:space="preserve">Endocrinology, Santiago de </w:t>
      </w:r>
      <w:proofErr w:type="spellStart"/>
      <w:r w:rsidR="002B7963" w:rsidRPr="00E51A80">
        <w:rPr>
          <w:rFonts w:ascii="Book Antiqua" w:hAnsi="Book Antiqua" w:cs="Calibri"/>
          <w:sz w:val="20"/>
          <w:szCs w:val="20"/>
          <w:lang w:val="en-US"/>
        </w:rPr>
        <w:t>Compostela´s</w:t>
      </w:r>
      <w:proofErr w:type="spellEnd"/>
      <w:r w:rsidR="002B7963" w:rsidRPr="00E51A80">
        <w:rPr>
          <w:rFonts w:ascii="Book Antiqua" w:hAnsi="Book Antiqua" w:cs="Calibri"/>
          <w:sz w:val="20"/>
          <w:szCs w:val="20"/>
          <w:lang w:val="en-US"/>
        </w:rPr>
        <w:t xml:space="preserve"> </w:t>
      </w:r>
      <w:r w:rsidR="00010D5D" w:rsidRPr="00E51A80">
        <w:rPr>
          <w:rFonts w:ascii="Book Antiqua" w:hAnsi="Book Antiqua" w:cs="Calibri"/>
          <w:sz w:val="20"/>
          <w:szCs w:val="20"/>
          <w:lang w:val="en-US"/>
        </w:rPr>
        <w:t>U</w:t>
      </w:r>
      <w:r w:rsidR="002B7963" w:rsidRPr="00E51A80">
        <w:rPr>
          <w:rFonts w:ascii="Book Antiqua" w:hAnsi="Book Antiqua" w:cs="Calibri"/>
          <w:sz w:val="20"/>
          <w:szCs w:val="20"/>
          <w:lang w:val="en-US"/>
        </w:rPr>
        <w:t xml:space="preserve">niversity </w:t>
      </w:r>
      <w:r w:rsidR="007E3E0D" w:rsidRPr="00E51A80">
        <w:rPr>
          <w:rFonts w:ascii="Book Antiqua" w:hAnsi="Book Antiqua" w:cs="Calibri"/>
          <w:sz w:val="20"/>
          <w:szCs w:val="20"/>
          <w:lang w:val="en-US"/>
        </w:rPr>
        <w:t>H</w:t>
      </w:r>
      <w:r w:rsidR="002B7963" w:rsidRPr="00E51A80">
        <w:rPr>
          <w:rFonts w:ascii="Book Antiqua" w:hAnsi="Book Antiqua" w:cs="Calibri"/>
          <w:sz w:val="20"/>
          <w:szCs w:val="20"/>
          <w:lang w:val="en-US"/>
        </w:rPr>
        <w:t>ospital</w:t>
      </w:r>
      <w:r w:rsidR="000F0D8F" w:rsidRPr="00E51A80">
        <w:rPr>
          <w:rFonts w:ascii="Book Antiqua" w:hAnsi="Book Antiqua" w:cs="Calibri"/>
          <w:sz w:val="20"/>
          <w:szCs w:val="20"/>
          <w:lang w:val="en-US"/>
        </w:rPr>
        <w:t>, Santiago de Compostela,</w:t>
      </w:r>
      <w:r w:rsidR="00DA1773" w:rsidRPr="00E51A80">
        <w:rPr>
          <w:rFonts w:ascii="Book Antiqua" w:hAnsi="Book Antiqua" w:cs="Calibri"/>
          <w:sz w:val="20"/>
          <w:szCs w:val="20"/>
          <w:lang w:val="en-US"/>
        </w:rPr>
        <w:t xml:space="preserve">15706, </w:t>
      </w:r>
      <w:r w:rsidR="0060598A" w:rsidRPr="00E51A80">
        <w:rPr>
          <w:rFonts w:ascii="Book Antiqua" w:hAnsi="Book Antiqua" w:cs="Book Antiqua"/>
          <w:bCs/>
          <w:sz w:val="20"/>
          <w:szCs w:val="20"/>
          <w:lang w:val="en-US"/>
        </w:rPr>
        <w:t xml:space="preserve">A </w:t>
      </w:r>
      <w:proofErr w:type="spellStart"/>
      <w:r w:rsidR="0060598A" w:rsidRPr="00E51A80">
        <w:rPr>
          <w:rFonts w:ascii="Book Antiqua" w:hAnsi="Book Antiqua" w:cs="Book Antiqua"/>
          <w:bCs/>
          <w:sz w:val="20"/>
          <w:szCs w:val="20"/>
          <w:lang w:val="en-US"/>
        </w:rPr>
        <w:t>Coruña</w:t>
      </w:r>
      <w:proofErr w:type="spellEnd"/>
      <w:r w:rsidR="0060598A" w:rsidRPr="00E51A80">
        <w:rPr>
          <w:rFonts w:ascii="Book Antiqua" w:hAnsi="Book Antiqua" w:cs="Book Antiqua"/>
          <w:bCs/>
          <w:sz w:val="20"/>
          <w:szCs w:val="20"/>
          <w:lang w:val="en-US"/>
        </w:rPr>
        <w:t>, Spain</w:t>
      </w:r>
    </w:p>
    <w:p w:rsidR="000F0D8F" w:rsidRPr="00E51A80" w:rsidRDefault="000F0D8F" w:rsidP="007E3E0D">
      <w:pPr>
        <w:adjustRightInd w:val="0"/>
        <w:snapToGrid w:val="0"/>
        <w:spacing w:after="0" w:line="360" w:lineRule="auto"/>
        <w:jc w:val="both"/>
        <w:rPr>
          <w:rFonts w:ascii="Book Antiqua" w:hAnsi="Book Antiqua" w:cs="Calibri"/>
          <w:b/>
          <w:bCs/>
          <w:sz w:val="20"/>
          <w:szCs w:val="20"/>
          <w:lang w:val="en-US"/>
        </w:rPr>
      </w:pPr>
    </w:p>
    <w:p w:rsidR="002B7963" w:rsidRPr="00E51A80" w:rsidRDefault="00E51A80"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b/>
          <w:bCs/>
          <w:sz w:val="20"/>
          <w:szCs w:val="20"/>
          <w:lang w:val="en-US"/>
        </w:rPr>
        <w:t xml:space="preserve">José Manuel </w:t>
      </w:r>
      <w:proofErr w:type="spellStart"/>
      <w:r w:rsidRPr="00E51A80">
        <w:rPr>
          <w:rFonts w:ascii="Book Antiqua" w:hAnsi="Book Antiqua" w:cs="Calibri"/>
          <w:b/>
          <w:bCs/>
          <w:sz w:val="20"/>
          <w:szCs w:val="20"/>
          <w:lang w:val="en-US"/>
        </w:rPr>
        <w:t>Cameselle-Teijeiro</w:t>
      </w:r>
      <w:proofErr w:type="spellEnd"/>
      <w:r w:rsidR="00DA1773" w:rsidRPr="00E51A80">
        <w:rPr>
          <w:rFonts w:ascii="Book Antiqua" w:hAnsi="Book Antiqua" w:cs="Calibri"/>
          <w:b/>
          <w:bCs/>
          <w:sz w:val="20"/>
          <w:szCs w:val="20"/>
          <w:lang w:val="en-US"/>
        </w:rPr>
        <w:t xml:space="preserve">, </w:t>
      </w:r>
      <w:r w:rsidR="00DA1773" w:rsidRPr="00E51A80">
        <w:rPr>
          <w:rFonts w:ascii="Book Antiqua" w:hAnsi="Book Antiqua" w:cs="Calibri"/>
          <w:sz w:val="20"/>
          <w:szCs w:val="20"/>
          <w:lang w:val="en-US"/>
        </w:rPr>
        <w:t xml:space="preserve">Department of </w:t>
      </w:r>
      <w:r w:rsidR="002B7963" w:rsidRPr="00E51A80">
        <w:rPr>
          <w:rFonts w:ascii="Book Antiqua" w:hAnsi="Book Antiqua" w:cs="Calibri"/>
          <w:sz w:val="20"/>
          <w:szCs w:val="20"/>
          <w:lang w:val="en-US"/>
        </w:rPr>
        <w:t xml:space="preserve">Pathology, Santiago de </w:t>
      </w:r>
      <w:proofErr w:type="spellStart"/>
      <w:r w:rsidR="002B7963" w:rsidRPr="00E51A80">
        <w:rPr>
          <w:rFonts w:ascii="Book Antiqua" w:hAnsi="Book Antiqua" w:cs="Calibri"/>
          <w:sz w:val="20"/>
          <w:szCs w:val="20"/>
          <w:lang w:val="en-US"/>
        </w:rPr>
        <w:t>Compostela´s</w:t>
      </w:r>
      <w:proofErr w:type="spellEnd"/>
      <w:r w:rsidR="002B7963" w:rsidRPr="00E51A80">
        <w:rPr>
          <w:rFonts w:ascii="Book Antiqua" w:hAnsi="Book Antiqua" w:cs="Calibri"/>
          <w:sz w:val="20"/>
          <w:szCs w:val="20"/>
          <w:lang w:val="en-US"/>
        </w:rPr>
        <w:t xml:space="preserve"> </w:t>
      </w:r>
      <w:r w:rsidR="00010D5D" w:rsidRPr="00E51A80">
        <w:rPr>
          <w:rFonts w:ascii="Book Antiqua" w:hAnsi="Book Antiqua" w:cs="Calibri"/>
          <w:sz w:val="20"/>
          <w:szCs w:val="20"/>
          <w:lang w:val="en-US"/>
        </w:rPr>
        <w:t>U</w:t>
      </w:r>
      <w:r w:rsidR="002B7963" w:rsidRPr="00E51A80">
        <w:rPr>
          <w:rFonts w:ascii="Book Antiqua" w:hAnsi="Book Antiqua" w:cs="Calibri"/>
          <w:sz w:val="20"/>
          <w:szCs w:val="20"/>
          <w:lang w:val="en-US"/>
        </w:rPr>
        <w:t xml:space="preserve">niversity </w:t>
      </w:r>
      <w:r w:rsidR="007E3E0D" w:rsidRPr="00E51A80">
        <w:rPr>
          <w:rFonts w:ascii="Book Antiqua" w:hAnsi="Book Antiqua" w:cs="Calibri"/>
          <w:sz w:val="20"/>
          <w:szCs w:val="20"/>
          <w:lang w:val="en-US"/>
        </w:rPr>
        <w:t>H</w:t>
      </w:r>
      <w:r w:rsidR="002B7963" w:rsidRPr="00E51A80">
        <w:rPr>
          <w:rFonts w:ascii="Book Antiqua" w:hAnsi="Book Antiqua" w:cs="Calibri"/>
          <w:sz w:val="20"/>
          <w:szCs w:val="20"/>
          <w:lang w:val="en-US"/>
        </w:rPr>
        <w:t>ospital</w:t>
      </w:r>
      <w:r w:rsidR="00DA1773" w:rsidRPr="00E51A80">
        <w:rPr>
          <w:rFonts w:ascii="Book Antiqua" w:hAnsi="Book Antiqua" w:cs="Calibri"/>
          <w:sz w:val="20"/>
          <w:szCs w:val="20"/>
          <w:lang w:val="en-US"/>
        </w:rPr>
        <w:t xml:space="preserve">, Santiago de </w:t>
      </w:r>
      <w:proofErr w:type="spellStart"/>
      <w:r w:rsidR="00DA1773" w:rsidRPr="00E51A80">
        <w:rPr>
          <w:rFonts w:ascii="Book Antiqua" w:hAnsi="Book Antiqua" w:cs="Calibri"/>
          <w:sz w:val="20"/>
          <w:szCs w:val="20"/>
          <w:lang w:val="en-US"/>
        </w:rPr>
        <w:t>Compostela</w:t>
      </w:r>
      <w:proofErr w:type="spellEnd"/>
      <w:r w:rsidR="00DA1773" w:rsidRPr="00E51A80">
        <w:rPr>
          <w:rFonts w:ascii="Book Antiqua" w:hAnsi="Book Antiqua" w:cs="Calibri"/>
          <w:sz w:val="20"/>
          <w:szCs w:val="20"/>
          <w:lang w:val="en-US"/>
        </w:rPr>
        <w:t xml:space="preserve"> </w:t>
      </w:r>
      <w:r w:rsidR="002B7963" w:rsidRPr="00E51A80">
        <w:rPr>
          <w:rFonts w:ascii="Book Antiqua" w:hAnsi="Book Antiqua" w:cs="Calibri"/>
          <w:sz w:val="20"/>
          <w:szCs w:val="20"/>
          <w:lang w:val="en-US"/>
        </w:rPr>
        <w:t>1</w:t>
      </w:r>
      <w:r w:rsidR="00DA1773" w:rsidRPr="00E51A80">
        <w:rPr>
          <w:rFonts w:ascii="Book Antiqua" w:hAnsi="Book Antiqua" w:cs="Calibri"/>
          <w:sz w:val="20"/>
          <w:szCs w:val="20"/>
          <w:lang w:val="en-US"/>
        </w:rPr>
        <w:t xml:space="preserve">5706, </w:t>
      </w:r>
      <w:r w:rsidR="0060598A" w:rsidRPr="00E51A80">
        <w:rPr>
          <w:rFonts w:ascii="Book Antiqua" w:hAnsi="Book Antiqua" w:cs="Book Antiqua"/>
          <w:bCs/>
          <w:sz w:val="20"/>
          <w:szCs w:val="20"/>
          <w:lang w:val="en-US"/>
        </w:rPr>
        <w:t xml:space="preserve">A </w:t>
      </w:r>
      <w:proofErr w:type="spellStart"/>
      <w:r w:rsidR="0060598A" w:rsidRPr="00E51A80">
        <w:rPr>
          <w:rFonts w:ascii="Book Antiqua" w:hAnsi="Book Antiqua" w:cs="Book Antiqua"/>
          <w:bCs/>
          <w:sz w:val="20"/>
          <w:szCs w:val="20"/>
          <w:lang w:val="en-US"/>
        </w:rPr>
        <w:t>Coruña</w:t>
      </w:r>
      <w:proofErr w:type="spellEnd"/>
      <w:r w:rsidR="0060598A" w:rsidRPr="00E51A80">
        <w:rPr>
          <w:rFonts w:ascii="Book Antiqua" w:hAnsi="Book Antiqua" w:cs="Book Antiqua"/>
          <w:bCs/>
          <w:sz w:val="20"/>
          <w:szCs w:val="20"/>
          <w:lang w:val="en-US"/>
        </w:rPr>
        <w:t>, Spain</w:t>
      </w:r>
    </w:p>
    <w:p w:rsidR="000F0D8F" w:rsidRPr="00E51A80" w:rsidRDefault="000F0D8F" w:rsidP="007E3E0D">
      <w:pPr>
        <w:adjustRightInd w:val="0"/>
        <w:snapToGrid w:val="0"/>
        <w:spacing w:after="0" w:line="360" w:lineRule="auto"/>
        <w:jc w:val="both"/>
        <w:rPr>
          <w:rFonts w:ascii="Book Antiqua" w:hAnsi="Book Antiqua" w:cs="Calibri"/>
          <w:b/>
          <w:bCs/>
          <w:sz w:val="20"/>
          <w:szCs w:val="20"/>
          <w:lang w:val="en-US"/>
        </w:rPr>
      </w:pPr>
    </w:p>
    <w:p w:rsidR="002B7963" w:rsidRPr="00E51A80" w:rsidRDefault="00DA177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b/>
          <w:bCs/>
          <w:sz w:val="20"/>
          <w:szCs w:val="20"/>
          <w:lang w:val="en-US"/>
        </w:rPr>
        <w:t xml:space="preserve">Ashraf </w:t>
      </w:r>
      <w:proofErr w:type="spellStart"/>
      <w:r w:rsidRPr="00E51A80">
        <w:rPr>
          <w:rFonts w:ascii="Book Antiqua" w:hAnsi="Book Antiqua" w:cs="Calibri"/>
          <w:b/>
          <w:bCs/>
          <w:sz w:val="20"/>
          <w:szCs w:val="20"/>
          <w:lang w:val="en-US"/>
        </w:rPr>
        <w:t>Hilal</w:t>
      </w:r>
      <w:proofErr w:type="spellEnd"/>
      <w:r w:rsidRPr="00E51A80">
        <w:rPr>
          <w:rFonts w:ascii="Book Antiqua" w:hAnsi="Book Antiqua" w:cs="Calibri"/>
          <w:b/>
          <w:bCs/>
          <w:sz w:val="20"/>
          <w:szCs w:val="20"/>
          <w:lang w:val="en-US"/>
        </w:rPr>
        <w:t xml:space="preserve">, </w:t>
      </w:r>
      <w:r w:rsidRPr="00E51A80">
        <w:rPr>
          <w:rFonts w:ascii="Book Antiqua" w:hAnsi="Book Antiqua" w:cs="Calibri"/>
          <w:sz w:val="20"/>
          <w:szCs w:val="20"/>
          <w:lang w:val="en-US"/>
        </w:rPr>
        <w:t xml:space="preserve">Department of Statistics, University of Santiago de </w:t>
      </w:r>
      <w:proofErr w:type="spellStart"/>
      <w:r w:rsidRPr="00E51A80">
        <w:rPr>
          <w:rFonts w:ascii="Book Antiqua" w:hAnsi="Book Antiqua" w:cs="Calibri"/>
          <w:sz w:val="20"/>
          <w:szCs w:val="20"/>
          <w:lang w:val="en-US"/>
        </w:rPr>
        <w:t>Compostela</w:t>
      </w:r>
      <w:proofErr w:type="spellEnd"/>
      <w:r w:rsidRPr="00E51A80">
        <w:rPr>
          <w:rFonts w:ascii="Book Antiqua" w:hAnsi="Book Antiqua" w:cs="Calibri"/>
          <w:sz w:val="20"/>
          <w:szCs w:val="20"/>
          <w:lang w:val="en-US"/>
        </w:rPr>
        <w:t xml:space="preserve">, Santiago de </w:t>
      </w:r>
      <w:proofErr w:type="spellStart"/>
      <w:r w:rsidRPr="00E51A80">
        <w:rPr>
          <w:rFonts w:ascii="Book Antiqua" w:hAnsi="Book Antiqua" w:cs="Calibri"/>
          <w:sz w:val="20"/>
          <w:szCs w:val="20"/>
          <w:lang w:val="en-US"/>
        </w:rPr>
        <w:t>Compostela</w:t>
      </w:r>
      <w:proofErr w:type="spellEnd"/>
      <w:r w:rsidRPr="00E51A80">
        <w:rPr>
          <w:rFonts w:ascii="Book Antiqua" w:hAnsi="Book Antiqua" w:cs="Calibri"/>
          <w:sz w:val="20"/>
          <w:szCs w:val="20"/>
          <w:lang w:val="en-US"/>
        </w:rPr>
        <w:t xml:space="preserve"> 15706, </w:t>
      </w:r>
      <w:r w:rsidR="0060598A" w:rsidRPr="00E51A80">
        <w:rPr>
          <w:rFonts w:ascii="Book Antiqua" w:hAnsi="Book Antiqua" w:cs="Book Antiqua"/>
          <w:bCs/>
          <w:sz w:val="20"/>
          <w:szCs w:val="20"/>
          <w:lang w:val="en-US"/>
        </w:rPr>
        <w:t xml:space="preserve">A </w:t>
      </w:r>
      <w:proofErr w:type="spellStart"/>
      <w:r w:rsidR="0060598A" w:rsidRPr="00E51A80">
        <w:rPr>
          <w:rFonts w:ascii="Book Antiqua" w:hAnsi="Book Antiqua" w:cs="Book Antiqua"/>
          <w:bCs/>
          <w:sz w:val="20"/>
          <w:szCs w:val="20"/>
          <w:lang w:val="en-US"/>
        </w:rPr>
        <w:t>Coruña</w:t>
      </w:r>
      <w:proofErr w:type="spellEnd"/>
      <w:r w:rsidR="0060598A" w:rsidRPr="00E51A80">
        <w:rPr>
          <w:rFonts w:ascii="Book Antiqua" w:hAnsi="Book Antiqua" w:cs="Book Antiqua"/>
          <w:bCs/>
          <w:sz w:val="20"/>
          <w:szCs w:val="20"/>
          <w:lang w:val="en-US"/>
        </w:rPr>
        <w:t>, Spain</w:t>
      </w:r>
    </w:p>
    <w:p w:rsidR="002B7963" w:rsidRPr="00E51A80" w:rsidRDefault="002B7963" w:rsidP="007E3E0D">
      <w:pPr>
        <w:adjustRightInd w:val="0"/>
        <w:snapToGrid w:val="0"/>
        <w:spacing w:after="0" w:line="360" w:lineRule="auto"/>
        <w:jc w:val="both"/>
        <w:rPr>
          <w:rFonts w:ascii="Book Antiqua" w:hAnsi="Book Antiqua" w:cs="Calibri"/>
          <w:b/>
          <w:bCs/>
          <w:sz w:val="20"/>
          <w:szCs w:val="20"/>
          <w:lang w:val="en-US"/>
        </w:rPr>
      </w:pPr>
    </w:p>
    <w:p w:rsidR="002B7963" w:rsidRPr="00E51A80" w:rsidRDefault="002B7963" w:rsidP="007E3E0D">
      <w:pPr>
        <w:pStyle w:val="10"/>
        <w:adjustRightInd w:val="0"/>
        <w:snapToGrid w:val="0"/>
        <w:spacing w:line="360" w:lineRule="auto"/>
        <w:jc w:val="both"/>
        <w:rPr>
          <w:rFonts w:ascii="Book Antiqua" w:hAnsi="Book Antiqua"/>
          <w:color w:val="auto"/>
          <w:sz w:val="20"/>
          <w:lang w:val="en-US"/>
        </w:rPr>
      </w:pPr>
      <w:bookmarkStart w:id="16" w:name="OLE_LINK174"/>
      <w:bookmarkStart w:id="17" w:name="OLE_LINK402"/>
      <w:bookmarkStart w:id="18" w:name="OLE_LINK187"/>
      <w:bookmarkStart w:id="19" w:name="OLE_LINK107"/>
      <w:bookmarkStart w:id="20" w:name="OLE_LINK106"/>
      <w:bookmarkStart w:id="21" w:name="OLE_LINK806"/>
      <w:bookmarkStart w:id="22" w:name="OLE_LINK189"/>
      <w:bookmarkStart w:id="23" w:name="OLE_LINK188"/>
      <w:r w:rsidRPr="00E51A80">
        <w:rPr>
          <w:rFonts w:ascii="Book Antiqua" w:hAnsi="Book Antiqua" w:cs="Times New Roman"/>
          <w:b/>
          <w:color w:val="auto"/>
          <w:sz w:val="20"/>
          <w:lang w:val="en-US"/>
        </w:rPr>
        <w:t xml:space="preserve">Author contributions: </w:t>
      </w:r>
      <w:bookmarkEnd w:id="16"/>
      <w:bookmarkEnd w:id="17"/>
      <w:bookmarkEnd w:id="18"/>
      <w:bookmarkEnd w:id="19"/>
      <w:bookmarkEnd w:id="20"/>
      <w:bookmarkEnd w:id="21"/>
      <w:bookmarkEnd w:id="22"/>
      <w:bookmarkEnd w:id="23"/>
      <w:proofErr w:type="spellStart"/>
      <w:r w:rsidR="00E51A80" w:rsidRPr="00E51A80">
        <w:rPr>
          <w:rFonts w:ascii="Book Antiqua" w:hAnsi="Book Antiqua" w:cs="Calibri"/>
          <w:bCs/>
          <w:color w:val="auto"/>
          <w:sz w:val="20"/>
          <w:lang w:val="en-US"/>
        </w:rPr>
        <w:t>Abou</w:t>
      </w:r>
      <w:proofErr w:type="spellEnd"/>
      <w:r w:rsidR="00E51A80" w:rsidRPr="00E51A80">
        <w:rPr>
          <w:rFonts w:ascii="Book Antiqua" w:hAnsi="Book Antiqua" w:cs="Calibri"/>
          <w:bCs/>
          <w:color w:val="auto"/>
          <w:sz w:val="20"/>
          <w:lang w:val="en-US"/>
        </w:rPr>
        <w:t xml:space="preserve"> </w:t>
      </w:r>
      <w:proofErr w:type="spellStart"/>
      <w:r w:rsidR="00E51A80" w:rsidRPr="00E51A80">
        <w:rPr>
          <w:rFonts w:ascii="Book Antiqua" w:hAnsi="Book Antiqua" w:cs="Calibri"/>
          <w:bCs/>
          <w:color w:val="auto"/>
          <w:sz w:val="20"/>
          <w:lang w:val="en-US"/>
        </w:rPr>
        <w:t>JokhCasas</w:t>
      </w:r>
      <w:proofErr w:type="spellEnd"/>
      <w:r w:rsidR="00E51A80" w:rsidRPr="00E51A80">
        <w:rPr>
          <w:rFonts w:ascii="Book Antiqua" w:hAnsi="Book Antiqua" w:cs="Calibri"/>
          <w:bCs/>
          <w:color w:val="auto"/>
          <w:sz w:val="20"/>
          <w:lang w:val="en-US"/>
        </w:rPr>
        <w:t xml:space="preserve"> E, </w:t>
      </w:r>
      <w:proofErr w:type="spellStart"/>
      <w:r w:rsidR="00E51A80" w:rsidRPr="00E51A80">
        <w:rPr>
          <w:rFonts w:ascii="Book Antiqua" w:hAnsi="Book Antiqua" w:cs="Calibri"/>
          <w:bCs/>
          <w:color w:val="auto"/>
          <w:sz w:val="20"/>
          <w:lang w:val="en-US"/>
        </w:rPr>
        <w:t>Pubul</w:t>
      </w:r>
      <w:proofErr w:type="spellEnd"/>
      <w:r w:rsidR="00E51A80" w:rsidRPr="00E51A80">
        <w:rPr>
          <w:rFonts w:ascii="Book Antiqua" w:hAnsi="Book Antiqua" w:cs="Calibri"/>
          <w:bCs/>
          <w:color w:val="auto"/>
          <w:sz w:val="20"/>
          <w:lang w:val="en-US"/>
        </w:rPr>
        <w:t xml:space="preserve"> </w:t>
      </w:r>
      <w:proofErr w:type="spellStart"/>
      <w:r w:rsidR="00E51A80" w:rsidRPr="00E51A80">
        <w:rPr>
          <w:rFonts w:ascii="Book Antiqua" w:hAnsi="Book Antiqua" w:cs="Calibri"/>
          <w:bCs/>
          <w:color w:val="auto"/>
          <w:sz w:val="20"/>
          <w:lang w:val="en-US"/>
        </w:rPr>
        <w:t>Núñez</w:t>
      </w:r>
      <w:proofErr w:type="spellEnd"/>
      <w:r w:rsidR="00E51A80" w:rsidRPr="00E51A80">
        <w:rPr>
          <w:rFonts w:ascii="Book Antiqua" w:hAnsi="Book Antiqua" w:cs="Calibri"/>
          <w:bCs/>
          <w:color w:val="auto"/>
          <w:sz w:val="20"/>
          <w:lang w:val="en-US"/>
        </w:rPr>
        <w:t xml:space="preserve"> V, </w:t>
      </w:r>
      <w:proofErr w:type="spellStart"/>
      <w:r w:rsidR="00E51A80" w:rsidRPr="00E51A80">
        <w:rPr>
          <w:rFonts w:ascii="Book Antiqua" w:hAnsi="Book Antiqua" w:cs="Calibri"/>
          <w:bCs/>
          <w:color w:val="auto"/>
          <w:sz w:val="20"/>
          <w:lang w:val="en-US"/>
        </w:rPr>
        <w:t>delCarmen</w:t>
      </w:r>
      <w:proofErr w:type="spellEnd"/>
      <w:r w:rsidR="00E51A80" w:rsidRPr="00E51A80">
        <w:rPr>
          <w:rFonts w:ascii="Book Antiqua" w:hAnsi="Book Antiqua" w:cs="Calibri"/>
          <w:bCs/>
          <w:color w:val="auto"/>
          <w:sz w:val="20"/>
          <w:lang w:val="en-US"/>
        </w:rPr>
        <w:t xml:space="preserve"> </w:t>
      </w:r>
      <w:proofErr w:type="spellStart"/>
      <w:r w:rsidR="00E51A80" w:rsidRPr="00E51A80">
        <w:rPr>
          <w:rFonts w:ascii="Book Antiqua" w:hAnsi="Book Antiqua" w:cs="Calibri"/>
          <w:bCs/>
          <w:color w:val="auto"/>
          <w:sz w:val="20"/>
          <w:lang w:val="en-US"/>
        </w:rPr>
        <w:t>Mallón</w:t>
      </w:r>
      <w:proofErr w:type="spellEnd"/>
      <w:r w:rsidR="00E51A80" w:rsidRPr="00E51A80">
        <w:rPr>
          <w:rFonts w:ascii="Book Antiqua" w:hAnsi="Book Antiqua" w:cs="Calibri"/>
          <w:bCs/>
          <w:color w:val="auto"/>
          <w:sz w:val="20"/>
          <w:lang w:val="en-US"/>
        </w:rPr>
        <w:t xml:space="preserve"> </w:t>
      </w:r>
      <w:proofErr w:type="spellStart"/>
      <w:r w:rsidR="00E51A80" w:rsidRPr="00E51A80">
        <w:rPr>
          <w:rFonts w:ascii="Book Antiqua" w:hAnsi="Book Antiqua" w:cs="Calibri"/>
          <w:bCs/>
          <w:color w:val="auto"/>
          <w:sz w:val="20"/>
          <w:lang w:val="en-US"/>
        </w:rPr>
        <w:t>Araujo</w:t>
      </w:r>
      <w:proofErr w:type="spellEnd"/>
      <w:r w:rsidR="00E51A80" w:rsidRPr="00E51A80">
        <w:rPr>
          <w:rFonts w:ascii="Book Antiqua" w:hAnsi="Book Antiqua" w:cs="Calibri"/>
          <w:bCs/>
          <w:color w:val="auto"/>
          <w:sz w:val="20"/>
          <w:lang w:val="en-US"/>
        </w:rPr>
        <w:t xml:space="preserve"> M and </w:t>
      </w:r>
      <w:proofErr w:type="spellStart"/>
      <w:r w:rsidR="00E51A80" w:rsidRPr="00E51A80">
        <w:rPr>
          <w:rFonts w:ascii="Book Antiqua" w:hAnsi="Book Antiqua" w:cs="Calibri"/>
          <w:bCs/>
          <w:color w:val="auto"/>
          <w:sz w:val="20"/>
          <w:lang w:val="en-US"/>
        </w:rPr>
        <w:t>delCarmen</w:t>
      </w:r>
      <w:proofErr w:type="spellEnd"/>
      <w:r w:rsidR="00E51A80" w:rsidRPr="00E51A80">
        <w:rPr>
          <w:rFonts w:ascii="Book Antiqua" w:hAnsi="Book Antiqua" w:cs="Calibri"/>
          <w:bCs/>
          <w:color w:val="auto"/>
          <w:sz w:val="20"/>
          <w:lang w:val="en-US"/>
        </w:rPr>
        <w:t xml:space="preserve"> Pombo </w:t>
      </w:r>
      <w:proofErr w:type="spellStart"/>
      <w:r w:rsidR="00E51A80" w:rsidRPr="00E51A80">
        <w:rPr>
          <w:rFonts w:ascii="Book Antiqua" w:hAnsi="Book Antiqua" w:cs="Calibri"/>
          <w:bCs/>
          <w:color w:val="auto"/>
          <w:sz w:val="20"/>
          <w:lang w:val="en-US"/>
        </w:rPr>
        <w:t>Pasín</w:t>
      </w:r>
      <w:proofErr w:type="spellEnd"/>
      <w:r w:rsidR="00E51A80" w:rsidRPr="00E51A80">
        <w:rPr>
          <w:rFonts w:ascii="Book Antiqua" w:hAnsi="Book Antiqua" w:cs="Calibri"/>
          <w:bCs/>
          <w:color w:val="auto"/>
          <w:sz w:val="20"/>
          <w:lang w:val="en-US"/>
        </w:rPr>
        <w:t xml:space="preserve"> M </w:t>
      </w:r>
      <w:proofErr w:type="spellStart"/>
      <w:r w:rsidR="00E51A80" w:rsidRPr="00E51A80">
        <w:rPr>
          <w:rFonts w:ascii="Book Antiqua" w:hAnsi="Book Antiqua" w:cs="Calibri"/>
          <w:bCs/>
          <w:color w:val="auto"/>
          <w:sz w:val="20"/>
          <w:lang w:val="en-US"/>
        </w:rPr>
        <w:t>designedthe</w:t>
      </w:r>
      <w:proofErr w:type="spellEnd"/>
      <w:r w:rsidR="00E51A80" w:rsidRPr="00E51A80">
        <w:rPr>
          <w:rFonts w:ascii="Book Antiqua" w:hAnsi="Book Antiqua" w:cs="Calibri"/>
          <w:bCs/>
          <w:color w:val="auto"/>
          <w:sz w:val="20"/>
          <w:lang w:val="en-US"/>
        </w:rPr>
        <w:t xml:space="preserve"> research and wrote the </w:t>
      </w:r>
      <w:proofErr w:type="spellStart"/>
      <w:r w:rsidR="00E51A80" w:rsidRPr="00E51A80">
        <w:rPr>
          <w:rFonts w:ascii="Book Antiqua" w:hAnsi="Book Antiqua" w:cs="Calibri"/>
          <w:bCs/>
          <w:color w:val="auto"/>
          <w:sz w:val="20"/>
          <w:lang w:val="en-US"/>
        </w:rPr>
        <w:t>paper;Anido-Herranz</w:t>
      </w:r>
      <w:proofErr w:type="spellEnd"/>
      <w:r w:rsidR="00E51A80" w:rsidRPr="00E51A80">
        <w:rPr>
          <w:rFonts w:ascii="Book Antiqua" w:hAnsi="Book Antiqua" w:cs="Calibri"/>
          <w:bCs/>
          <w:color w:val="auto"/>
          <w:sz w:val="20"/>
          <w:lang w:val="en-US"/>
        </w:rPr>
        <w:t xml:space="preserve"> U, </w:t>
      </w:r>
      <w:proofErr w:type="spellStart"/>
      <w:r w:rsidR="00E51A80" w:rsidRPr="00E51A80">
        <w:rPr>
          <w:rFonts w:ascii="Book Antiqua" w:hAnsi="Book Antiqua" w:cs="Calibri"/>
          <w:bCs/>
          <w:color w:val="auto"/>
          <w:sz w:val="20"/>
          <w:lang w:val="en-US"/>
        </w:rPr>
        <w:t>Hilal</w:t>
      </w:r>
      <w:proofErr w:type="spellEnd"/>
      <w:r w:rsidR="00E51A80" w:rsidRPr="00E51A80">
        <w:rPr>
          <w:rFonts w:ascii="Book Antiqua" w:hAnsi="Book Antiqua" w:cs="Calibri"/>
          <w:bCs/>
          <w:color w:val="auto"/>
          <w:sz w:val="20"/>
          <w:lang w:val="en-US"/>
        </w:rPr>
        <w:t xml:space="preserve"> A </w:t>
      </w:r>
      <w:proofErr w:type="spellStart"/>
      <w:r w:rsidR="00E51A80" w:rsidRPr="00E51A80">
        <w:rPr>
          <w:rFonts w:ascii="Book Antiqua" w:hAnsi="Book Antiqua" w:cs="Calibri"/>
          <w:bCs/>
          <w:color w:val="auto"/>
          <w:sz w:val="20"/>
          <w:lang w:val="en-US"/>
        </w:rPr>
        <w:t>andGarrido</w:t>
      </w:r>
      <w:proofErr w:type="spellEnd"/>
      <w:r w:rsidR="00E51A80" w:rsidRPr="00E51A80">
        <w:rPr>
          <w:rFonts w:ascii="Book Antiqua" w:hAnsi="Book Antiqua" w:cs="Calibri"/>
          <w:bCs/>
          <w:color w:val="auto"/>
          <w:sz w:val="20"/>
          <w:lang w:val="en-US"/>
        </w:rPr>
        <w:t xml:space="preserve"> </w:t>
      </w:r>
      <w:proofErr w:type="spellStart"/>
      <w:r w:rsidR="00E51A80" w:rsidRPr="00E51A80">
        <w:rPr>
          <w:rFonts w:ascii="Book Antiqua" w:hAnsi="Book Antiqua" w:cs="Calibri"/>
          <w:bCs/>
          <w:color w:val="auto"/>
          <w:sz w:val="20"/>
          <w:lang w:val="en-US"/>
        </w:rPr>
        <w:t>Pumar</w:t>
      </w:r>
      <w:proofErr w:type="spellEnd"/>
      <w:r w:rsidR="00E51A80" w:rsidRPr="00E51A80">
        <w:rPr>
          <w:rFonts w:ascii="Book Antiqua" w:hAnsi="Book Antiqua" w:cs="Calibri"/>
          <w:bCs/>
          <w:color w:val="auto"/>
          <w:sz w:val="20"/>
          <w:lang w:val="en-US"/>
        </w:rPr>
        <w:t xml:space="preserve"> M contributed </w:t>
      </w:r>
      <w:proofErr w:type="spellStart"/>
      <w:r w:rsidR="00E51A80" w:rsidRPr="00E51A80">
        <w:rPr>
          <w:rFonts w:ascii="Book Antiqua" w:hAnsi="Book Antiqua" w:cs="Calibri"/>
          <w:bCs/>
          <w:color w:val="auto"/>
          <w:sz w:val="20"/>
          <w:lang w:val="en-US"/>
        </w:rPr>
        <w:t>newreagents</w:t>
      </w:r>
      <w:proofErr w:type="spellEnd"/>
      <w:r w:rsidR="00E51A80" w:rsidRPr="00E51A80">
        <w:rPr>
          <w:rFonts w:ascii="Book Antiqua" w:hAnsi="Book Antiqua" w:cs="Calibri"/>
          <w:bCs/>
          <w:color w:val="auto"/>
          <w:sz w:val="20"/>
          <w:lang w:val="en-US"/>
        </w:rPr>
        <w:t xml:space="preserve">/analytic tools; </w:t>
      </w:r>
      <w:proofErr w:type="spellStart"/>
      <w:r w:rsidR="00E51A80" w:rsidRPr="00E51A80">
        <w:rPr>
          <w:rFonts w:ascii="Book Antiqua" w:hAnsi="Book Antiqua" w:cs="Calibri"/>
          <w:bCs/>
          <w:color w:val="auto"/>
          <w:sz w:val="20"/>
          <w:lang w:val="en-US"/>
        </w:rPr>
        <w:t>CabezasAgrícola</w:t>
      </w:r>
      <w:proofErr w:type="spellEnd"/>
      <w:r w:rsidR="00E51A80" w:rsidRPr="00E51A80">
        <w:rPr>
          <w:rFonts w:ascii="Book Antiqua" w:hAnsi="Book Antiqua" w:cs="Calibri"/>
          <w:bCs/>
          <w:color w:val="auto"/>
          <w:sz w:val="20"/>
          <w:lang w:val="en-US"/>
        </w:rPr>
        <w:t xml:space="preserve"> JM, </w:t>
      </w:r>
      <w:proofErr w:type="spellStart"/>
      <w:r w:rsidR="00E51A80" w:rsidRPr="00E51A80">
        <w:rPr>
          <w:rFonts w:ascii="Book Antiqua" w:hAnsi="Book Antiqua" w:cs="Calibri"/>
          <w:bCs/>
          <w:color w:val="auto"/>
          <w:sz w:val="20"/>
          <w:lang w:val="en-US"/>
        </w:rPr>
        <w:t>Cameselle-Teijeiro</w:t>
      </w:r>
      <w:proofErr w:type="spellEnd"/>
      <w:r w:rsidR="00E51A80" w:rsidRPr="00E51A80">
        <w:rPr>
          <w:rFonts w:ascii="Book Antiqua" w:hAnsi="Book Antiqua" w:cs="Calibri"/>
          <w:bCs/>
          <w:color w:val="auto"/>
          <w:sz w:val="20"/>
          <w:lang w:val="en-US"/>
        </w:rPr>
        <w:t xml:space="preserve"> </w:t>
      </w:r>
      <w:proofErr w:type="spellStart"/>
      <w:r w:rsidR="00E51A80" w:rsidRPr="00E51A80">
        <w:rPr>
          <w:rFonts w:ascii="Book Antiqua" w:hAnsi="Book Antiqua" w:cs="Calibri"/>
          <w:bCs/>
          <w:color w:val="auto"/>
          <w:sz w:val="20"/>
          <w:lang w:val="en-US"/>
        </w:rPr>
        <w:t>JMand</w:t>
      </w:r>
      <w:proofErr w:type="spellEnd"/>
      <w:r w:rsidR="00E51A80" w:rsidRPr="00E51A80">
        <w:rPr>
          <w:rFonts w:ascii="Book Antiqua" w:hAnsi="Book Antiqua" w:cs="Calibri"/>
          <w:bCs/>
          <w:color w:val="auto"/>
          <w:sz w:val="20"/>
          <w:lang w:val="en-US"/>
        </w:rPr>
        <w:t xml:space="preserve"> </w:t>
      </w:r>
      <w:proofErr w:type="spellStart"/>
      <w:r w:rsidR="00E51A80" w:rsidRPr="00E51A80">
        <w:rPr>
          <w:rFonts w:ascii="Book Antiqua" w:hAnsi="Book Antiqua" w:cs="Calibri"/>
          <w:bCs/>
          <w:color w:val="auto"/>
          <w:sz w:val="20"/>
          <w:lang w:val="en-US"/>
        </w:rPr>
        <w:t>Ruibal</w:t>
      </w:r>
      <w:proofErr w:type="spellEnd"/>
      <w:r w:rsidR="00E51A80" w:rsidRPr="00E51A80">
        <w:rPr>
          <w:rFonts w:ascii="Book Antiqua" w:hAnsi="Book Antiqua" w:cs="Calibri"/>
          <w:bCs/>
          <w:color w:val="auto"/>
          <w:sz w:val="20"/>
          <w:lang w:val="en-US"/>
        </w:rPr>
        <w:t xml:space="preserve"> </w:t>
      </w:r>
      <w:proofErr w:type="spellStart"/>
      <w:r w:rsidR="00E51A80" w:rsidRPr="00E51A80">
        <w:rPr>
          <w:rFonts w:ascii="Book Antiqua" w:hAnsi="Book Antiqua" w:cs="Calibri"/>
          <w:bCs/>
          <w:color w:val="auto"/>
          <w:sz w:val="20"/>
          <w:lang w:val="en-US"/>
        </w:rPr>
        <w:t>Morell</w:t>
      </w:r>
      <w:proofErr w:type="spellEnd"/>
      <w:r w:rsidR="00E51A80" w:rsidRPr="00E51A80">
        <w:rPr>
          <w:rFonts w:ascii="Book Antiqua" w:hAnsi="Book Antiqua" w:cs="Calibri"/>
          <w:bCs/>
          <w:color w:val="auto"/>
          <w:sz w:val="20"/>
          <w:lang w:val="en-US"/>
        </w:rPr>
        <w:t xml:space="preserve"> Á analyzed </w:t>
      </w:r>
      <w:proofErr w:type="spellStart"/>
      <w:r w:rsidR="00E51A80" w:rsidRPr="00E51A80">
        <w:rPr>
          <w:rFonts w:ascii="Book Antiqua" w:hAnsi="Book Antiqua" w:cs="Calibri"/>
          <w:bCs/>
          <w:color w:val="auto"/>
          <w:sz w:val="20"/>
          <w:lang w:val="en-US"/>
        </w:rPr>
        <w:t>thedata</w:t>
      </w:r>
      <w:proofErr w:type="spellEnd"/>
      <w:r w:rsidR="00E51A80" w:rsidRPr="00E51A80">
        <w:rPr>
          <w:rFonts w:ascii="Book Antiqua" w:hAnsi="Book Antiqua" w:cs="Calibri"/>
          <w:bCs/>
          <w:color w:val="auto"/>
          <w:sz w:val="20"/>
          <w:lang w:val="en-US"/>
        </w:rPr>
        <w:t>.</w:t>
      </w:r>
    </w:p>
    <w:p w:rsidR="002B7963" w:rsidRPr="00E51A80" w:rsidRDefault="002B7963" w:rsidP="007E3E0D">
      <w:pPr>
        <w:adjustRightInd w:val="0"/>
        <w:snapToGrid w:val="0"/>
        <w:spacing w:after="0" w:line="360" w:lineRule="auto"/>
        <w:jc w:val="both"/>
        <w:rPr>
          <w:rFonts w:ascii="Book Antiqua" w:hAnsi="Book Antiqua" w:cs="Calibri"/>
          <w:b/>
          <w:bCs/>
          <w:sz w:val="20"/>
          <w:szCs w:val="20"/>
          <w:lang w:val="en-US"/>
        </w:rPr>
      </w:pPr>
    </w:p>
    <w:p w:rsidR="002B7963" w:rsidRPr="00E51A80" w:rsidRDefault="002B7963" w:rsidP="007E3E0D">
      <w:pPr>
        <w:adjustRightInd w:val="0"/>
        <w:snapToGrid w:val="0"/>
        <w:spacing w:after="0" w:line="360" w:lineRule="auto"/>
        <w:jc w:val="both"/>
        <w:rPr>
          <w:rFonts w:ascii="Book Antiqua" w:hAnsi="Book Antiqua" w:cs="Book Antiqua"/>
          <w:bCs/>
          <w:sz w:val="20"/>
          <w:szCs w:val="20"/>
          <w:u w:val="single"/>
          <w:lang w:val="en-US"/>
        </w:rPr>
      </w:pPr>
      <w:bookmarkStart w:id="24" w:name="OLE_LINK501"/>
      <w:bookmarkStart w:id="25" w:name="OLE_LINK344"/>
      <w:bookmarkStart w:id="26" w:name="OLE_LINK343"/>
      <w:r w:rsidRPr="00E51A80">
        <w:rPr>
          <w:rFonts w:ascii="Book Antiqua" w:hAnsi="Book Antiqua" w:cs="Book Antiqua"/>
          <w:b/>
          <w:bCs/>
          <w:sz w:val="20"/>
          <w:szCs w:val="20"/>
          <w:lang w:val="en-US"/>
        </w:rPr>
        <w:lastRenderedPageBreak/>
        <w:t>Corresponding author:</w:t>
      </w:r>
      <w:bookmarkStart w:id="27" w:name="OLE_LINK136"/>
      <w:bookmarkStart w:id="28" w:name="OLE_LINK135"/>
      <w:bookmarkStart w:id="29" w:name="OLE_LINK124"/>
      <w:bookmarkEnd w:id="24"/>
      <w:r w:rsidRPr="00E51A80">
        <w:rPr>
          <w:rFonts w:ascii="Book Antiqua" w:hAnsi="Book Antiqua" w:cs="Book Antiqua"/>
          <w:b/>
          <w:sz w:val="20"/>
          <w:szCs w:val="20"/>
          <w:lang w:val="en-US"/>
        </w:rPr>
        <w:t xml:space="preserve"> </w:t>
      </w:r>
      <w:bookmarkStart w:id="30" w:name="OLE_LINK73"/>
      <w:bookmarkStart w:id="31" w:name="OLE_LINK74"/>
      <w:bookmarkEnd w:id="27"/>
      <w:bookmarkEnd w:id="28"/>
      <w:bookmarkEnd w:id="29"/>
      <w:proofErr w:type="spellStart"/>
      <w:r w:rsidR="00FE556E" w:rsidRPr="00E51A80">
        <w:rPr>
          <w:rFonts w:ascii="Book Antiqua" w:hAnsi="Book Antiqua" w:cs="Calibri"/>
          <w:b/>
          <w:sz w:val="20"/>
          <w:szCs w:val="20"/>
          <w:lang w:val="en-US"/>
        </w:rPr>
        <w:t>Estephany</w:t>
      </w:r>
      <w:proofErr w:type="spellEnd"/>
      <w:r w:rsidR="00FE556E" w:rsidRPr="00E51A80">
        <w:rPr>
          <w:rFonts w:ascii="Book Antiqua" w:hAnsi="Book Antiqua" w:cs="Calibri"/>
          <w:b/>
          <w:sz w:val="20"/>
          <w:szCs w:val="20"/>
          <w:lang w:val="en-US"/>
        </w:rPr>
        <w:t xml:space="preserve"> </w:t>
      </w:r>
      <w:proofErr w:type="spellStart"/>
      <w:r w:rsidR="00FE556E" w:rsidRPr="00E51A80">
        <w:rPr>
          <w:rFonts w:ascii="Book Antiqua" w:hAnsi="Book Antiqua" w:cs="Calibri"/>
          <w:b/>
          <w:sz w:val="20"/>
          <w:szCs w:val="20"/>
          <w:lang w:val="en-US"/>
        </w:rPr>
        <w:t>Abou</w:t>
      </w:r>
      <w:proofErr w:type="spellEnd"/>
      <w:r w:rsidR="00FE556E" w:rsidRPr="00E51A80">
        <w:rPr>
          <w:rFonts w:ascii="Book Antiqua" w:hAnsi="Book Antiqua" w:cs="Calibri"/>
          <w:b/>
          <w:sz w:val="20"/>
          <w:szCs w:val="20"/>
          <w:lang w:val="en-US"/>
        </w:rPr>
        <w:t xml:space="preserve"> </w:t>
      </w:r>
      <w:proofErr w:type="spellStart"/>
      <w:r w:rsidR="00FE556E" w:rsidRPr="00E51A80">
        <w:rPr>
          <w:rFonts w:ascii="Book Antiqua" w:hAnsi="Book Antiqua" w:cs="Calibri"/>
          <w:b/>
          <w:sz w:val="20"/>
          <w:szCs w:val="20"/>
          <w:lang w:val="en-US"/>
        </w:rPr>
        <w:t>Jokh</w:t>
      </w:r>
      <w:proofErr w:type="spellEnd"/>
      <w:r w:rsidR="00FE556E" w:rsidRPr="00E51A80">
        <w:rPr>
          <w:rFonts w:ascii="Book Antiqua" w:hAnsi="Book Antiqua" w:cs="Calibri"/>
          <w:b/>
          <w:sz w:val="20"/>
          <w:szCs w:val="20"/>
          <w:lang w:val="en-US"/>
        </w:rPr>
        <w:t xml:space="preserve"> Casas,</w:t>
      </w:r>
      <w:r w:rsidR="00FE2817" w:rsidRPr="00E51A80">
        <w:rPr>
          <w:rFonts w:ascii="Book Antiqua" w:hAnsi="Book Antiqua" w:cs="Book Antiqua"/>
          <w:b/>
          <w:bCs/>
          <w:sz w:val="20"/>
          <w:szCs w:val="20"/>
          <w:lang w:val="en-US"/>
        </w:rPr>
        <w:t xml:space="preserve"> MD, </w:t>
      </w:r>
      <w:r w:rsidR="0060598A" w:rsidRPr="00E51A80">
        <w:rPr>
          <w:rFonts w:ascii="Book Antiqua" w:hAnsi="Book Antiqua" w:cs="Book Antiqua"/>
          <w:b/>
          <w:bCs/>
          <w:sz w:val="20"/>
          <w:szCs w:val="20"/>
          <w:lang w:val="en-US"/>
        </w:rPr>
        <w:t xml:space="preserve">Occupational Physician, </w:t>
      </w:r>
      <w:bookmarkStart w:id="32" w:name="OLE_LINK14"/>
      <w:r w:rsidR="0060598A" w:rsidRPr="00E51A80">
        <w:rPr>
          <w:rFonts w:ascii="Book Antiqua" w:hAnsi="Book Antiqua" w:cs="Calibri"/>
          <w:sz w:val="20"/>
          <w:szCs w:val="20"/>
          <w:lang w:val="en-US"/>
        </w:rPr>
        <w:t>Department of</w:t>
      </w:r>
      <w:r w:rsidR="0060598A" w:rsidRPr="00E51A80">
        <w:rPr>
          <w:rFonts w:ascii="Book Antiqua" w:hAnsi="Book Antiqua" w:cs="Book Antiqua"/>
          <w:bCs/>
          <w:sz w:val="20"/>
          <w:szCs w:val="20"/>
          <w:lang w:val="en-US"/>
        </w:rPr>
        <w:t xml:space="preserve"> </w:t>
      </w:r>
      <w:r w:rsidRPr="00E51A80">
        <w:rPr>
          <w:rFonts w:ascii="Book Antiqua" w:hAnsi="Book Antiqua" w:cs="Book Antiqua"/>
          <w:bCs/>
          <w:sz w:val="20"/>
          <w:szCs w:val="20"/>
          <w:lang w:val="en-US"/>
        </w:rPr>
        <w:t xml:space="preserve">Nuclear </w:t>
      </w:r>
      <w:r w:rsidR="0060598A" w:rsidRPr="00E51A80">
        <w:rPr>
          <w:rFonts w:ascii="Book Antiqua" w:hAnsi="Book Antiqua" w:cs="Book Antiqua"/>
          <w:bCs/>
          <w:sz w:val="20"/>
          <w:szCs w:val="20"/>
          <w:lang w:val="en-US"/>
        </w:rPr>
        <w:t>Medicine</w:t>
      </w:r>
      <w:bookmarkEnd w:id="32"/>
      <w:r w:rsidR="0060598A" w:rsidRPr="00E51A80">
        <w:rPr>
          <w:rFonts w:ascii="Book Antiqua" w:hAnsi="Book Antiqua" w:cs="Book Antiqua"/>
          <w:bCs/>
          <w:sz w:val="20"/>
          <w:szCs w:val="20"/>
          <w:lang w:val="en-US"/>
        </w:rPr>
        <w:t xml:space="preserve">, </w:t>
      </w:r>
      <w:bookmarkStart w:id="33" w:name="OLE_LINK75"/>
      <w:bookmarkStart w:id="34" w:name="OLE_LINK76"/>
      <w:r w:rsidRPr="00E51A80">
        <w:rPr>
          <w:rFonts w:ascii="Book Antiqua" w:hAnsi="Book Antiqua" w:cs="Book Antiqua"/>
          <w:bCs/>
          <w:sz w:val="20"/>
          <w:szCs w:val="20"/>
          <w:lang w:val="en-US"/>
        </w:rPr>
        <w:t xml:space="preserve">Santiago de </w:t>
      </w:r>
      <w:proofErr w:type="spellStart"/>
      <w:r w:rsidRPr="00E51A80">
        <w:rPr>
          <w:rFonts w:ascii="Book Antiqua" w:hAnsi="Book Antiqua" w:cs="Book Antiqua"/>
          <w:bCs/>
          <w:sz w:val="20"/>
          <w:szCs w:val="20"/>
          <w:lang w:val="en-US"/>
        </w:rPr>
        <w:t>Co</w:t>
      </w:r>
      <w:r w:rsidR="0060598A" w:rsidRPr="00E51A80">
        <w:rPr>
          <w:rFonts w:ascii="Book Antiqua" w:hAnsi="Book Antiqua" w:cs="Book Antiqua"/>
          <w:bCs/>
          <w:sz w:val="20"/>
          <w:szCs w:val="20"/>
          <w:lang w:val="en-US"/>
        </w:rPr>
        <w:t>mpostela´s</w:t>
      </w:r>
      <w:proofErr w:type="spellEnd"/>
      <w:r w:rsidR="0060598A" w:rsidRPr="00E51A80">
        <w:rPr>
          <w:rFonts w:ascii="Book Antiqua" w:hAnsi="Book Antiqua" w:cs="Book Antiqua"/>
          <w:bCs/>
          <w:sz w:val="20"/>
          <w:szCs w:val="20"/>
          <w:lang w:val="en-US"/>
        </w:rPr>
        <w:t xml:space="preserve"> University </w:t>
      </w:r>
      <w:r w:rsidR="0060598A" w:rsidRPr="00E51A80">
        <w:rPr>
          <w:rFonts w:ascii="Book Antiqua" w:hAnsi="Book Antiqua" w:cs="Book Antiqua"/>
          <w:bCs/>
          <w:caps/>
          <w:sz w:val="20"/>
          <w:szCs w:val="20"/>
          <w:lang w:val="en-US"/>
        </w:rPr>
        <w:t>h</w:t>
      </w:r>
      <w:r w:rsidR="0060598A" w:rsidRPr="00E51A80">
        <w:rPr>
          <w:rFonts w:ascii="Book Antiqua" w:hAnsi="Book Antiqua" w:cs="Book Antiqua"/>
          <w:bCs/>
          <w:sz w:val="20"/>
          <w:szCs w:val="20"/>
          <w:lang w:val="en-US"/>
        </w:rPr>
        <w:t>ospital</w:t>
      </w:r>
      <w:bookmarkEnd w:id="33"/>
      <w:bookmarkEnd w:id="34"/>
      <w:r w:rsidR="0060598A" w:rsidRPr="00E51A80">
        <w:rPr>
          <w:rFonts w:ascii="Book Antiqua" w:hAnsi="Book Antiqua" w:cs="Book Antiqua"/>
          <w:bCs/>
          <w:sz w:val="20"/>
          <w:szCs w:val="20"/>
          <w:lang w:val="en-US"/>
        </w:rPr>
        <w:t xml:space="preserve">, </w:t>
      </w:r>
      <w:proofErr w:type="spellStart"/>
      <w:r w:rsidR="0060598A" w:rsidRPr="00E51A80">
        <w:rPr>
          <w:rFonts w:ascii="Book Antiqua" w:hAnsi="Book Antiqua" w:cs="Book Antiqua"/>
          <w:bCs/>
          <w:sz w:val="20"/>
          <w:szCs w:val="20"/>
          <w:lang w:val="en-US"/>
        </w:rPr>
        <w:t>Avenida</w:t>
      </w:r>
      <w:proofErr w:type="spellEnd"/>
      <w:r w:rsidR="0060598A" w:rsidRPr="00E51A80">
        <w:rPr>
          <w:rFonts w:ascii="Book Antiqua" w:hAnsi="Book Antiqua" w:cs="Book Antiqua"/>
          <w:bCs/>
          <w:sz w:val="20"/>
          <w:szCs w:val="20"/>
          <w:lang w:val="en-US"/>
        </w:rPr>
        <w:t xml:space="preserve"> </w:t>
      </w:r>
      <w:proofErr w:type="spellStart"/>
      <w:r w:rsidR="0060598A" w:rsidRPr="00E51A80">
        <w:rPr>
          <w:rFonts w:ascii="Book Antiqua" w:hAnsi="Book Antiqua" w:cs="Book Antiqua"/>
          <w:bCs/>
          <w:sz w:val="20"/>
          <w:szCs w:val="20"/>
          <w:lang w:val="en-US"/>
        </w:rPr>
        <w:t>Choupana</w:t>
      </w:r>
      <w:proofErr w:type="spellEnd"/>
      <w:r w:rsidR="0060598A" w:rsidRPr="00E51A80">
        <w:rPr>
          <w:rFonts w:ascii="Book Antiqua" w:hAnsi="Book Antiqua" w:cs="Book Antiqua"/>
          <w:bCs/>
          <w:sz w:val="20"/>
          <w:szCs w:val="20"/>
          <w:lang w:val="en-US"/>
        </w:rPr>
        <w:t xml:space="preserve">, Santiago de </w:t>
      </w:r>
      <w:proofErr w:type="spellStart"/>
      <w:r w:rsidR="0060598A" w:rsidRPr="00E51A80">
        <w:rPr>
          <w:rFonts w:ascii="Book Antiqua" w:hAnsi="Book Antiqua" w:cs="Book Antiqua"/>
          <w:bCs/>
          <w:sz w:val="20"/>
          <w:szCs w:val="20"/>
          <w:lang w:val="en-US"/>
        </w:rPr>
        <w:t>Compostela</w:t>
      </w:r>
      <w:proofErr w:type="spellEnd"/>
      <w:r w:rsidR="0060598A" w:rsidRPr="00E51A80">
        <w:rPr>
          <w:rFonts w:ascii="Book Antiqua" w:hAnsi="Book Antiqua" w:cs="Book Antiqua"/>
          <w:bCs/>
          <w:sz w:val="20"/>
          <w:szCs w:val="20"/>
          <w:lang w:val="en-US"/>
        </w:rPr>
        <w:t xml:space="preserve"> 15706, A </w:t>
      </w:r>
      <w:proofErr w:type="spellStart"/>
      <w:r w:rsidR="0060598A" w:rsidRPr="00E51A80">
        <w:rPr>
          <w:rFonts w:ascii="Book Antiqua" w:hAnsi="Book Antiqua" w:cs="Book Antiqua"/>
          <w:bCs/>
          <w:sz w:val="20"/>
          <w:szCs w:val="20"/>
          <w:lang w:val="en-US"/>
        </w:rPr>
        <w:t>Coruña</w:t>
      </w:r>
      <w:proofErr w:type="spellEnd"/>
      <w:r w:rsidR="0060598A" w:rsidRPr="00E51A80">
        <w:rPr>
          <w:rFonts w:ascii="Book Antiqua" w:hAnsi="Book Antiqua" w:cs="Book Antiqua"/>
          <w:bCs/>
          <w:sz w:val="20"/>
          <w:szCs w:val="20"/>
          <w:lang w:val="en-US"/>
        </w:rPr>
        <w:t>, Spain. estephanyaboujokh@gmail.com</w:t>
      </w:r>
      <w:bookmarkEnd w:id="30"/>
      <w:bookmarkEnd w:id="31"/>
    </w:p>
    <w:p w:rsidR="0060598A" w:rsidRPr="00E51A80" w:rsidRDefault="0060598A" w:rsidP="007E3E0D">
      <w:pPr>
        <w:adjustRightInd w:val="0"/>
        <w:snapToGrid w:val="0"/>
        <w:spacing w:after="0" w:line="360" w:lineRule="auto"/>
        <w:jc w:val="both"/>
        <w:rPr>
          <w:rFonts w:ascii="Book Antiqua" w:hAnsi="Book Antiqua" w:cs="Book Antiqua"/>
          <w:bCs/>
          <w:sz w:val="20"/>
          <w:szCs w:val="20"/>
          <w:u w:val="single"/>
          <w:lang w:val="en-US"/>
        </w:rPr>
      </w:pPr>
    </w:p>
    <w:p w:rsidR="0060598A" w:rsidRPr="00E51A80" w:rsidRDefault="0060598A" w:rsidP="007E3E0D">
      <w:pPr>
        <w:adjustRightInd w:val="0"/>
        <w:snapToGrid w:val="0"/>
        <w:spacing w:after="0" w:line="360" w:lineRule="auto"/>
        <w:jc w:val="both"/>
        <w:rPr>
          <w:rFonts w:ascii="Book Antiqua" w:hAnsi="Book Antiqua"/>
          <w:b/>
          <w:sz w:val="20"/>
          <w:szCs w:val="20"/>
          <w:lang w:val="en-US"/>
        </w:rPr>
      </w:pPr>
      <w:r w:rsidRPr="00E51A80">
        <w:rPr>
          <w:rFonts w:ascii="Book Antiqua" w:hAnsi="Book Antiqua"/>
          <w:b/>
          <w:sz w:val="20"/>
          <w:szCs w:val="20"/>
          <w:lang w:val="en-US"/>
        </w:rPr>
        <w:t xml:space="preserve">Received: </w:t>
      </w:r>
      <w:r w:rsidRPr="00E51A80">
        <w:rPr>
          <w:rFonts w:ascii="Book Antiqua" w:hAnsi="Book Antiqua"/>
          <w:sz w:val="20"/>
          <w:szCs w:val="20"/>
          <w:lang w:val="en-US"/>
        </w:rPr>
        <w:t>December 8, 2019</w:t>
      </w:r>
    </w:p>
    <w:p w:rsidR="0060598A" w:rsidRPr="00E51A80" w:rsidRDefault="0060598A" w:rsidP="007E3E0D">
      <w:pPr>
        <w:adjustRightInd w:val="0"/>
        <w:snapToGrid w:val="0"/>
        <w:spacing w:after="0" w:line="360" w:lineRule="auto"/>
        <w:jc w:val="both"/>
        <w:rPr>
          <w:rFonts w:ascii="Book Antiqua" w:hAnsi="Book Antiqua"/>
          <w:b/>
          <w:sz w:val="20"/>
          <w:szCs w:val="20"/>
          <w:lang w:val="en-US"/>
        </w:rPr>
      </w:pPr>
      <w:r w:rsidRPr="00E51A80">
        <w:rPr>
          <w:rFonts w:ascii="Book Antiqua" w:hAnsi="Book Antiqua"/>
          <w:b/>
          <w:sz w:val="20"/>
          <w:szCs w:val="20"/>
          <w:lang w:val="en-US"/>
        </w:rPr>
        <w:t xml:space="preserve">Revised: </w:t>
      </w:r>
      <w:r w:rsidRPr="00E51A80">
        <w:rPr>
          <w:rFonts w:ascii="Book Antiqua" w:hAnsi="Book Antiqua"/>
          <w:sz w:val="20"/>
          <w:szCs w:val="20"/>
          <w:lang w:val="en-US"/>
        </w:rPr>
        <w:t>March 6, 2020</w:t>
      </w:r>
    </w:p>
    <w:p w:rsidR="0060598A" w:rsidRPr="00E51A80" w:rsidRDefault="0060598A" w:rsidP="007E3E0D">
      <w:pPr>
        <w:adjustRightInd w:val="0"/>
        <w:snapToGrid w:val="0"/>
        <w:spacing w:after="0" w:line="360" w:lineRule="auto"/>
        <w:jc w:val="both"/>
        <w:rPr>
          <w:rFonts w:ascii="Book Antiqua" w:hAnsi="Book Antiqua"/>
          <w:b/>
          <w:sz w:val="20"/>
          <w:szCs w:val="20"/>
          <w:lang w:val="en-US"/>
        </w:rPr>
      </w:pPr>
      <w:r w:rsidRPr="00E51A80">
        <w:rPr>
          <w:rFonts w:ascii="Book Antiqua" w:hAnsi="Book Antiqua"/>
          <w:b/>
          <w:sz w:val="20"/>
          <w:szCs w:val="20"/>
          <w:lang w:val="en-US"/>
        </w:rPr>
        <w:t>Accepted:</w:t>
      </w:r>
      <w:bookmarkStart w:id="35" w:name="OLE_LINK52"/>
      <w:bookmarkStart w:id="36" w:name="OLE_LINK53"/>
      <w:bookmarkStart w:id="37" w:name="OLE_LINK61"/>
      <w:r w:rsidR="00043A46" w:rsidRPr="00E51A80">
        <w:rPr>
          <w:rFonts w:ascii="Book Antiqua" w:hAnsi="Book Antiqua"/>
          <w:b/>
          <w:color w:val="000000"/>
          <w:sz w:val="20"/>
          <w:szCs w:val="20"/>
          <w:lang w:val="en-US"/>
        </w:rPr>
        <w:t xml:space="preserve"> </w:t>
      </w:r>
      <w:r w:rsidR="00043A46" w:rsidRPr="00E51A80">
        <w:rPr>
          <w:rFonts w:ascii="Book Antiqua" w:hAnsi="Book Antiqua"/>
          <w:bCs/>
          <w:color w:val="000000"/>
          <w:sz w:val="20"/>
          <w:szCs w:val="20"/>
          <w:lang w:val="en-US"/>
        </w:rPr>
        <w:t>March 19, 2020</w:t>
      </w:r>
      <w:bookmarkEnd w:id="35"/>
      <w:bookmarkEnd w:id="36"/>
      <w:bookmarkEnd w:id="37"/>
      <w:r w:rsidRPr="00E51A80">
        <w:rPr>
          <w:rFonts w:ascii="Book Antiqua" w:hAnsi="Book Antiqua"/>
          <w:b/>
          <w:sz w:val="20"/>
          <w:szCs w:val="20"/>
          <w:lang w:val="en-US"/>
        </w:rPr>
        <w:t xml:space="preserve"> </w:t>
      </w:r>
    </w:p>
    <w:p w:rsidR="0060598A" w:rsidRPr="00E51A80" w:rsidRDefault="0060598A" w:rsidP="007E3E0D">
      <w:pPr>
        <w:adjustRightInd w:val="0"/>
        <w:snapToGrid w:val="0"/>
        <w:spacing w:after="0" w:line="360" w:lineRule="auto"/>
        <w:jc w:val="both"/>
        <w:rPr>
          <w:rFonts w:ascii="Book Antiqua" w:hAnsi="Book Antiqua"/>
          <w:b/>
          <w:sz w:val="20"/>
          <w:szCs w:val="20"/>
          <w:lang w:val="en-US"/>
        </w:rPr>
      </w:pPr>
      <w:r w:rsidRPr="00E51A80">
        <w:rPr>
          <w:rFonts w:ascii="Book Antiqua" w:hAnsi="Book Antiqua"/>
          <w:b/>
          <w:sz w:val="20"/>
          <w:szCs w:val="20"/>
          <w:lang w:val="en-US"/>
        </w:rPr>
        <w:t>Published online:</w:t>
      </w:r>
      <w:r w:rsidR="00E51A80" w:rsidRPr="00E51A80">
        <w:rPr>
          <w:rFonts w:ascii="Book Antiqua" w:hAnsi="Book Antiqua" w:hint="eastAsia"/>
          <w:b/>
          <w:sz w:val="20"/>
          <w:szCs w:val="20"/>
          <w:lang w:val="en-US"/>
        </w:rPr>
        <w:t xml:space="preserve"> </w:t>
      </w:r>
      <w:r w:rsidR="00E51A80" w:rsidRPr="00E51A80">
        <w:rPr>
          <w:rFonts w:ascii="Book Antiqua" w:hAnsi="Book Antiqua"/>
          <w:sz w:val="20"/>
          <w:szCs w:val="20"/>
          <w:lang w:val="en-US"/>
        </w:rPr>
        <w:t>April 7, 2020</w:t>
      </w:r>
    </w:p>
    <w:bookmarkEnd w:id="25"/>
    <w:bookmarkEnd w:id="26"/>
    <w:p w:rsidR="0060598A" w:rsidRPr="00E51A80" w:rsidRDefault="0060598A" w:rsidP="007E3E0D">
      <w:pPr>
        <w:adjustRightInd w:val="0"/>
        <w:snapToGrid w:val="0"/>
        <w:spacing w:after="0" w:line="360" w:lineRule="auto"/>
        <w:jc w:val="both"/>
        <w:rPr>
          <w:rFonts w:ascii="Book Antiqua" w:hAnsi="Book Antiqua"/>
          <w:b/>
          <w:sz w:val="20"/>
          <w:szCs w:val="20"/>
          <w:lang w:val="en-US"/>
        </w:rPr>
      </w:pPr>
      <w:r w:rsidRPr="00E51A80">
        <w:rPr>
          <w:rFonts w:ascii="Book Antiqua" w:hAnsi="Book Antiqua"/>
          <w:sz w:val="20"/>
          <w:szCs w:val="20"/>
          <w:u w:val="single"/>
          <w:lang w:val="en-US"/>
        </w:rPr>
        <w:br w:type="page"/>
      </w:r>
      <w:r w:rsidRPr="00E51A80">
        <w:rPr>
          <w:rFonts w:ascii="Book Antiqua" w:hAnsi="Book Antiqua"/>
          <w:b/>
          <w:sz w:val="20"/>
          <w:szCs w:val="20"/>
          <w:lang w:val="en-US"/>
        </w:rPr>
        <w:lastRenderedPageBreak/>
        <w:t>Abstract</w:t>
      </w:r>
    </w:p>
    <w:p w:rsidR="0060598A" w:rsidRPr="00E51A80" w:rsidRDefault="0060598A"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t>BACKGROUND</w:t>
      </w:r>
    </w:p>
    <w:p w:rsidR="002B7963" w:rsidRPr="00E51A80" w:rsidRDefault="0060598A"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sz w:val="20"/>
          <w:szCs w:val="20"/>
          <w:lang w:val="en-US"/>
        </w:rPr>
        <w:t xml:space="preserve"> </w:t>
      </w:r>
      <w:r w:rsidR="002B7963" w:rsidRPr="00E51A80">
        <w:rPr>
          <w:rFonts w:ascii="Book Antiqua" w:hAnsi="Book Antiqua" w:cs="Calibri"/>
          <w:sz w:val="20"/>
          <w:szCs w:val="20"/>
          <w:vertAlign w:val="superscript"/>
          <w:lang w:val="en-US"/>
        </w:rPr>
        <w:t>177</w:t>
      </w:r>
      <w:r w:rsidR="002B7963" w:rsidRPr="00E51A80">
        <w:rPr>
          <w:rFonts w:ascii="Book Antiqua" w:hAnsi="Book Antiqua" w:cs="Calibri"/>
          <w:sz w:val="20"/>
          <w:szCs w:val="20"/>
          <w:lang w:val="en-US"/>
        </w:rPr>
        <w:t xml:space="preserve">Lu peptide receptor radionuclide therapy (PRRT) is a recently approved therapy in Spain that has </w:t>
      </w:r>
      <w:r w:rsidR="00250066" w:rsidRPr="00E51A80">
        <w:rPr>
          <w:rFonts w:ascii="Book Antiqua" w:hAnsi="Book Antiqua" w:cs="Calibri"/>
          <w:sz w:val="20"/>
          <w:szCs w:val="20"/>
          <w:lang w:val="en-US"/>
        </w:rPr>
        <w:t xml:space="preserve">been </w:t>
      </w:r>
      <w:r w:rsidR="002B7963" w:rsidRPr="00E51A80">
        <w:rPr>
          <w:rFonts w:ascii="Book Antiqua" w:hAnsi="Book Antiqua" w:cs="Calibri"/>
          <w:sz w:val="20"/>
          <w:szCs w:val="20"/>
          <w:lang w:val="en-US"/>
        </w:rPr>
        <w:t xml:space="preserve">demonstrated to be a well-tolerated therapy for positive </w:t>
      </w:r>
      <w:proofErr w:type="spellStart"/>
      <w:r w:rsidR="002B7963" w:rsidRPr="00E51A80">
        <w:rPr>
          <w:rFonts w:ascii="Book Antiqua" w:hAnsi="Book Antiqua" w:cs="Calibri"/>
          <w:sz w:val="20"/>
          <w:szCs w:val="20"/>
          <w:lang w:val="en-US"/>
        </w:rPr>
        <w:t>somatostatin</w:t>
      </w:r>
      <w:proofErr w:type="spellEnd"/>
      <w:r w:rsidR="002B7963" w:rsidRPr="00E51A80">
        <w:rPr>
          <w:rFonts w:ascii="Book Antiqua" w:hAnsi="Book Antiqua" w:cs="Calibri"/>
          <w:sz w:val="20"/>
          <w:szCs w:val="20"/>
          <w:lang w:val="en-US"/>
        </w:rPr>
        <w:t xml:space="preserve"> receptor advanced </w:t>
      </w:r>
      <w:proofErr w:type="spellStart"/>
      <w:r w:rsidR="002B7963" w:rsidRPr="00E51A80">
        <w:rPr>
          <w:rFonts w:ascii="Book Antiqua" w:hAnsi="Book Antiqua" w:cs="Calibri"/>
          <w:sz w:val="20"/>
          <w:szCs w:val="20"/>
          <w:lang w:val="en-US"/>
        </w:rPr>
        <w:t>gastroenteropancreatic</w:t>
      </w:r>
      <w:proofErr w:type="spellEnd"/>
      <w:r w:rsidR="002B7963" w:rsidRPr="00E51A80">
        <w:rPr>
          <w:rFonts w:ascii="Book Antiqua" w:hAnsi="Book Antiqua" w:cs="Calibri"/>
          <w:sz w:val="20"/>
          <w:szCs w:val="20"/>
          <w:lang w:val="en-US"/>
        </w:rPr>
        <w:t xml:space="preserve"> neuroendocrine tumors.</w:t>
      </w:r>
    </w:p>
    <w:p w:rsidR="0060598A" w:rsidRPr="00E51A80" w:rsidRDefault="0060598A" w:rsidP="007E3E0D">
      <w:pPr>
        <w:adjustRightInd w:val="0"/>
        <w:snapToGrid w:val="0"/>
        <w:spacing w:after="0" w:line="360" w:lineRule="auto"/>
        <w:jc w:val="both"/>
        <w:rPr>
          <w:rFonts w:ascii="Book Antiqua" w:hAnsi="Book Antiqua" w:cs="Calibri"/>
          <w:b/>
          <w:bCs/>
          <w:sz w:val="20"/>
          <w:szCs w:val="20"/>
          <w:lang w:val="en-US"/>
        </w:rPr>
      </w:pPr>
    </w:p>
    <w:p w:rsidR="0060598A" w:rsidRPr="00E51A80" w:rsidRDefault="002B7963" w:rsidP="007E3E0D">
      <w:pPr>
        <w:adjustRightInd w:val="0"/>
        <w:snapToGrid w:val="0"/>
        <w:spacing w:after="0" w:line="360" w:lineRule="auto"/>
        <w:jc w:val="both"/>
        <w:rPr>
          <w:rFonts w:ascii="Book Antiqua" w:hAnsi="Book Antiqua" w:cs="Calibri"/>
          <w:caps/>
          <w:sz w:val="20"/>
          <w:szCs w:val="20"/>
          <w:lang w:val="en-US"/>
        </w:rPr>
      </w:pPr>
      <w:r w:rsidRPr="00E51A80">
        <w:rPr>
          <w:rFonts w:ascii="Book Antiqua" w:hAnsi="Book Antiqua" w:cs="Calibri"/>
          <w:bCs/>
          <w:caps/>
          <w:sz w:val="20"/>
          <w:szCs w:val="20"/>
          <w:lang w:val="en-US"/>
        </w:rPr>
        <w:t>Aim</w:t>
      </w:r>
    </w:p>
    <w:p w:rsidR="002B7963" w:rsidRPr="00E51A80" w:rsidRDefault="0060598A" w:rsidP="007E3E0D">
      <w:pPr>
        <w:adjustRightInd w:val="0"/>
        <w:snapToGrid w:val="0"/>
        <w:spacing w:after="0" w:line="360" w:lineRule="auto"/>
        <w:jc w:val="both"/>
        <w:rPr>
          <w:rFonts w:ascii="Book Antiqua" w:hAnsi="Book Antiqua"/>
          <w:sz w:val="20"/>
          <w:szCs w:val="20"/>
          <w:lang w:val="en-US"/>
        </w:rPr>
      </w:pPr>
      <w:proofErr w:type="gramStart"/>
      <w:r w:rsidRPr="00E51A80">
        <w:rPr>
          <w:rFonts w:ascii="Book Antiqua" w:hAnsi="Book Antiqua" w:cs="Calibri"/>
          <w:sz w:val="20"/>
          <w:szCs w:val="20"/>
          <w:lang w:val="en-US"/>
        </w:rPr>
        <w:t xml:space="preserve">To determine </w:t>
      </w:r>
      <w:r w:rsidR="002B7963" w:rsidRPr="00E51A80">
        <w:rPr>
          <w:rFonts w:ascii="Book Antiqua" w:hAnsi="Book Antiqua" w:cs="Calibri"/>
          <w:sz w:val="20"/>
          <w:szCs w:val="20"/>
          <w:lang w:val="en-US"/>
        </w:rPr>
        <w:t>the impact of PRRT on quality of life, radiologic and metabolic response, overall survival, p</w:t>
      </w:r>
      <w:r w:rsidR="00EA5FBD" w:rsidRPr="00E51A80">
        <w:rPr>
          <w:rFonts w:ascii="Book Antiqua" w:hAnsi="Book Antiqua" w:cs="Calibri"/>
          <w:sz w:val="20"/>
          <w:szCs w:val="20"/>
          <w:lang w:val="en-US"/>
        </w:rPr>
        <w:t>rognostic factors and toxicity.</w:t>
      </w:r>
      <w:proofErr w:type="gramEnd"/>
    </w:p>
    <w:p w:rsidR="0060598A" w:rsidRPr="00E51A80" w:rsidRDefault="0060598A" w:rsidP="007E3E0D">
      <w:pPr>
        <w:adjustRightInd w:val="0"/>
        <w:snapToGrid w:val="0"/>
        <w:spacing w:after="0" w:line="360" w:lineRule="auto"/>
        <w:jc w:val="both"/>
        <w:rPr>
          <w:rFonts w:ascii="Book Antiqua" w:hAnsi="Book Antiqua" w:cs="Calibri"/>
          <w:b/>
          <w:bCs/>
          <w:sz w:val="20"/>
          <w:szCs w:val="20"/>
          <w:lang w:val="en-US"/>
        </w:rPr>
      </w:pPr>
    </w:p>
    <w:p w:rsidR="00250066" w:rsidRPr="00E51A80" w:rsidRDefault="00EA5FBD"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t>METHODS</w:t>
      </w:r>
    </w:p>
    <w:p w:rsidR="002B7963" w:rsidRPr="00E51A80" w:rsidRDefault="00250066"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sz w:val="20"/>
          <w:szCs w:val="20"/>
          <w:lang w:val="en-US"/>
        </w:rPr>
        <w:t>Thirty-six</w:t>
      </w:r>
      <w:r w:rsidR="002B7963" w:rsidRPr="00E51A80">
        <w:rPr>
          <w:rFonts w:ascii="Book Antiqua" w:hAnsi="Book Antiqua" w:cs="Calibri"/>
          <w:sz w:val="20"/>
          <w:szCs w:val="20"/>
          <w:lang w:val="en-US"/>
        </w:rPr>
        <w:t xml:space="preserve"> patients treated with </w:t>
      </w:r>
      <w:r w:rsidR="002B7963" w:rsidRPr="00E51A80">
        <w:rPr>
          <w:rFonts w:ascii="Book Antiqua" w:hAnsi="Book Antiqua" w:cs="Calibri"/>
          <w:sz w:val="20"/>
          <w:szCs w:val="20"/>
          <w:vertAlign w:val="superscript"/>
          <w:lang w:val="en-US"/>
        </w:rPr>
        <w:t>177</w:t>
      </w:r>
      <w:r w:rsidR="002B7963" w:rsidRPr="00E51A80">
        <w:rPr>
          <w:rFonts w:ascii="Book Antiqua" w:hAnsi="Book Antiqua" w:cs="Calibri"/>
          <w:sz w:val="20"/>
          <w:szCs w:val="20"/>
          <w:lang w:val="en-US"/>
        </w:rPr>
        <w:t>Lu-PRRT fr</w:t>
      </w:r>
      <w:r w:rsidR="00F63757" w:rsidRPr="00E51A80">
        <w:rPr>
          <w:rFonts w:ascii="Book Antiqua" w:hAnsi="Book Antiqua" w:cs="Calibri"/>
          <w:sz w:val="20"/>
          <w:szCs w:val="20"/>
          <w:lang w:val="en-US"/>
        </w:rPr>
        <w:t xml:space="preserve">om 2016 to 2019 were included. </w:t>
      </w:r>
      <w:r w:rsidR="00D35F96" w:rsidRPr="00E51A80">
        <w:rPr>
          <w:rFonts w:ascii="Book Antiqua" w:hAnsi="Book Antiqua" w:cs="Calibri"/>
          <w:sz w:val="20"/>
          <w:szCs w:val="20"/>
          <w:lang w:val="en-US"/>
        </w:rPr>
        <w:t xml:space="preserve">The most frequent location of the primary tumor was the gastrointestinal tract (52.8%), pancreas (27.8%), and </w:t>
      </w:r>
      <w:proofErr w:type="spellStart"/>
      <w:r w:rsidR="00D35F96" w:rsidRPr="00E51A80">
        <w:rPr>
          <w:rFonts w:ascii="Book Antiqua" w:hAnsi="Book Antiqua" w:cs="Calibri"/>
          <w:sz w:val="20"/>
          <w:szCs w:val="20"/>
          <w:lang w:val="en-US"/>
        </w:rPr>
        <w:t>nongastropancreatic</w:t>
      </w:r>
      <w:proofErr w:type="spellEnd"/>
      <w:r w:rsidR="00D35F96" w:rsidRPr="00E51A80">
        <w:rPr>
          <w:rFonts w:ascii="Book Antiqua" w:hAnsi="Book Antiqua" w:cs="Calibri"/>
          <w:sz w:val="20"/>
          <w:szCs w:val="20"/>
          <w:lang w:val="en-US"/>
        </w:rPr>
        <w:t xml:space="preserve"> neuroendocrine tumor (11.1%). </w:t>
      </w:r>
      <w:r w:rsidRPr="00E51A80">
        <w:rPr>
          <w:rFonts w:ascii="Book Antiqua" w:hAnsi="Book Antiqua" w:cs="Calibri"/>
          <w:sz w:val="20"/>
          <w:szCs w:val="20"/>
          <w:lang w:val="en-US"/>
        </w:rPr>
        <w:t>The l</w:t>
      </w:r>
      <w:r w:rsidR="002B7963" w:rsidRPr="00E51A80">
        <w:rPr>
          <w:rFonts w:ascii="Book Antiqua" w:hAnsi="Book Antiqua" w:cs="Calibri"/>
          <w:sz w:val="20"/>
          <w:szCs w:val="20"/>
          <w:lang w:val="en-US"/>
        </w:rPr>
        <w:t>iver was the most common site of metastasis (91.7%), followed by distant nodes (50</w:t>
      </w:r>
      <w:r w:rsidRPr="00E51A80">
        <w:rPr>
          <w:rFonts w:ascii="Book Antiqua" w:hAnsi="Book Antiqua" w:cs="Calibri"/>
          <w:sz w:val="20"/>
          <w:szCs w:val="20"/>
          <w:lang w:val="en-US"/>
        </w:rPr>
        <w:t>.0</w:t>
      </w:r>
      <w:r w:rsidR="002B7963" w:rsidRPr="00E51A80">
        <w:rPr>
          <w:rFonts w:ascii="Book Antiqua" w:hAnsi="Book Antiqua" w:cs="Calibri"/>
          <w:sz w:val="20"/>
          <w:szCs w:val="20"/>
          <w:lang w:val="en-US"/>
        </w:rPr>
        <w:t>%), bone (27.8%), peritoneum (25</w:t>
      </w:r>
      <w:r w:rsidRPr="00E51A80">
        <w:rPr>
          <w:rFonts w:ascii="Book Antiqua" w:hAnsi="Book Antiqua" w:cs="Calibri"/>
          <w:sz w:val="20"/>
          <w:szCs w:val="20"/>
          <w:lang w:val="en-US"/>
        </w:rPr>
        <w:t>.0</w:t>
      </w:r>
      <w:r w:rsidR="002B7963" w:rsidRPr="00E51A80">
        <w:rPr>
          <w:rFonts w:ascii="Book Antiqua" w:hAnsi="Book Antiqua" w:cs="Calibri"/>
          <w:sz w:val="20"/>
          <w:szCs w:val="20"/>
          <w:lang w:val="en-US"/>
        </w:rPr>
        <w:t>%) and lung (11.1%). Toxicity was evaluated after the administration of each dose. Treatment efficacy was evaluated by two parameters</w:t>
      </w:r>
      <w:r w:rsidRPr="00E51A80">
        <w:rPr>
          <w:rFonts w:ascii="Book Antiqua" w:hAnsi="Book Antiqua" w:cs="Calibri"/>
          <w:sz w:val="20"/>
          <w:szCs w:val="20"/>
          <w:lang w:val="en-US"/>
        </w:rPr>
        <w:t>:</w:t>
      </w:r>
      <w:r w:rsidR="002B7963" w:rsidRPr="00E51A80">
        <w:rPr>
          <w:rFonts w:ascii="Book Antiqua" w:hAnsi="Book Antiqua" w:cs="Calibri"/>
          <w:sz w:val="20"/>
          <w:szCs w:val="20"/>
          <w:lang w:val="en-US"/>
        </w:rPr>
        <w:t xml:space="preserve"> stable disease and disease progression in </w:t>
      </w:r>
      <w:r w:rsidR="001F68D3" w:rsidRPr="00E51A80">
        <w:rPr>
          <w:rFonts w:ascii="Book Antiqua" w:hAnsi="Book Antiqua" w:cs="Calibri"/>
          <w:sz w:val="20"/>
          <w:szCs w:val="20"/>
          <w:lang w:val="en-US"/>
        </w:rPr>
        <w:t xml:space="preserve">response evaluation criteria in solid tumors </w:t>
      </w:r>
      <w:r w:rsidR="002B7963" w:rsidRPr="00E51A80">
        <w:rPr>
          <w:rFonts w:ascii="Book Antiqua" w:hAnsi="Book Antiqua" w:cs="Calibri"/>
          <w:sz w:val="20"/>
          <w:szCs w:val="20"/>
          <w:lang w:val="en-US"/>
        </w:rPr>
        <w:t xml:space="preserve">1.1 criterion and </w:t>
      </w:r>
      <w:r w:rsidR="00EA5FBD" w:rsidRPr="00E51A80">
        <w:rPr>
          <w:rFonts w:ascii="Book Antiqua" w:hAnsi="Book Antiqua" w:cs="Calibri"/>
          <w:sz w:val="20"/>
          <w:szCs w:val="20"/>
          <w:lang w:val="en-US"/>
        </w:rPr>
        <w:t>prognostic factors were tested.</w:t>
      </w:r>
    </w:p>
    <w:p w:rsidR="00EA5FBD" w:rsidRPr="00E51A80" w:rsidRDefault="00EA5FBD" w:rsidP="007E3E0D">
      <w:pPr>
        <w:adjustRightInd w:val="0"/>
        <w:snapToGrid w:val="0"/>
        <w:spacing w:after="0" w:line="360" w:lineRule="auto"/>
        <w:jc w:val="both"/>
        <w:rPr>
          <w:rFonts w:ascii="Book Antiqua" w:hAnsi="Book Antiqua" w:cs="Calibri"/>
          <w:b/>
          <w:bCs/>
          <w:sz w:val="20"/>
          <w:szCs w:val="20"/>
          <w:lang w:val="en-US"/>
        </w:rPr>
      </w:pPr>
    </w:p>
    <w:p w:rsidR="00EA5FBD" w:rsidRPr="00E51A80" w:rsidRDefault="002B7963" w:rsidP="007E3E0D">
      <w:pPr>
        <w:adjustRightInd w:val="0"/>
        <w:snapToGrid w:val="0"/>
        <w:spacing w:after="0" w:line="360" w:lineRule="auto"/>
        <w:jc w:val="both"/>
        <w:rPr>
          <w:rFonts w:ascii="Book Antiqua" w:hAnsi="Book Antiqua" w:cs="Calibri"/>
          <w:caps/>
          <w:sz w:val="20"/>
          <w:szCs w:val="20"/>
          <w:lang w:val="en-US"/>
        </w:rPr>
      </w:pPr>
      <w:r w:rsidRPr="00E51A80">
        <w:rPr>
          <w:rFonts w:ascii="Book Antiqua" w:hAnsi="Book Antiqua" w:cs="Calibri"/>
          <w:bCs/>
          <w:caps/>
          <w:sz w:val="20"/>
          <w:szCs w:val="20"/>
          <w:lang w:val="en-US"/>
        </w:rPr>
        <w:t>Results</w:t>
      </w: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sz w:val="20"/>
          <w:szCs w:val="20"/>
          <w:lang w:val="en-US"/>
        </w:rPr>
        <w:t xml:space="preserve">From 36 patients, 55.6% were men, with a median age of 61.1 </w:t>
      </w:r>
      <w:r w:rsidR="002F5793" w:rsidRPr="00E51A80">
        <w:rPr>
          <w:rFonts w:ascii="Book Antiqua" w:hAnsi="Book Antiqua" w:cs="Calibri"/>
          <w:sz w:val="20"/>
          <w:szCs w:val="20"/>
          <w:lang w:val="en-US"/>
        </w:rPr>
        <w:sym w:font="Symbol" w:char="F0B1"/>
      </w:r>
      <w:r w:rsidR="002F5793"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11.8 years. Regarding previous treatments, 55.6% </w:t>
      </w:r>
      <w:r w:rsidR="002F5793" w:rsidRPr="00E51A80">
        <w:rPr>
          <w:rFonts w:ascii="Book Antiqua" w:hAnsi="Book Antiqua" w:cs="Calibri"/>
          <w:sz w:val="20"/>
          <w:szCs w:val="20"/>
          <w:lang w:val="en-US"/>
        </w:rPr>
        <w:t xml:space="preserve">of patients </w:t>
      </w:r>
      <w:r w:rsidRPr="00E51A80">
        <w:rPr>
          <w:rFonts w:ascii="Book Antiqua" w:hAnsi="Book Antiqua" w:cs="Calibri"/>
          <w:sz w:val="20"/>
          <w:szCs w:val="20"/>
          <w:lang w:val="en-US"/>
        </w:rPr>
        <w:t xml:space="preserve">underwent surgery of the primary tumor, </w:t>
      </w:r>
      <w:r w:rsidR="002F5793" w:rsidRPr="00E51A80">
        <w:rPr>
          <w:rFonts w:ascii="Book Antiqua" w:hAnsi="Book Antiqua" w:cs="Calibri"/>
          <w:sz w:val="20"/>
          <w:szCs w:val="20"/>
          <w:lang w:val="en-US"/>
        </w:rPr>
        <w:t xml:space="preserve">100% of </w:t>
      </w:r>
      <w:r w:rsidRPr="00E51A80">
        <w:rPr>
          <w:rFonts w:ascii="Book Antiqua" w:hAnsi="Book Antiqua" w:cs="Calibri"/>
          <w:sz w:val="20"/>
          <w:szCs w:val="20"/>
          <w:lang w:val="en-US"/>
        </w:rPr>
        <w:t xml:space="preserve">patients were treated with long-acting </w:t>
      </w:r>
      <w:proofErr w:type="spellStart"/>
      <w:r w:rsidRPr="00E51A80">
        <w:rPr>
          <w:rFonts w:ascii="Book Antiqua" w:hAnsi="Book Antiqua" w:cs="Calibri"/>
          <w:sz w:val="20"/>
          <w:szCs w:val="20"/>
          <w:lang w:val="en-US"/>
        </w:rPr>
        <w:t>somatostatin</w:t>
      </w:r>
      <w:proofErr w:type="spellEnd"/>
      <w:r w:rsidRPr="00E51A80">
        <w:rPr>
          <w:rFonts w:ascii="Book Antiqua" w:hAnsi="Book Antiqua" w:cs="Calibri"/>
          <w:sz w:val="20"/>
          <w:szCs w:val="20"/>
          <w:lang w:val="en-US"/>
        </w:rPr>
        <w:t xml:space="preserve"> analogues, 66.7% </w:t>
      </w:r>
      <w:r w:rsidR="002F5793" w:rsidRPr="00E51A80">
        <w:rPr>
          <w:rFonts w:ascii="Book Antiqua" w:hAnsi="Book Antiqua" w:cs="Calibri"/>
          <w:sz w:val="20"/>
          <w:szCs w:val="20"/>
          <w:lang w:val="en-US"/>
        </w:rPr>
        <w:t xml:space="preserve">of patients were treated </w:t>
      </w:r>
      <w:r w:rsidRPr="00E51A80">
        <w:rPr>
          <w:rFonts w:ascii="Book Antiqua" w:hAnsi="Book Antiqua" w:cs="Calibri"/>
          <w:sz w:val="20"/>
          <w:szCs w:val="20"/>
          <w:lang w:val="en-US"/>
        </w:rPr>
        <w:t xml:space="preserve">with </w:t>
      </w:r>
      <w:proofErr w:type="spellStart"/>
      <w:r w:rsidRPr="00E51A80">
        <w:rPr>
          <w:rFonts w:ascii="Book Antiqua" w:hAnsi="Book Antiqua" w:cs="Calibri"/>
          <w:sz w:val="20"/>
          <w:szCs w:val="20"/>
          <w:lang w:val="en-US"/>
        </w:rPr>
        <w:t>everolimus</w:t>
      </w:r>
      <w:proofErr w:type="spellEnd"/>
      <w:r w:rsidRPr="00E51A80">
        <w:rPr>
          <w:rFonts w:ascii="Book Antiqua" w:hAnsi="Book Antiqua" w:cs="Calibri"/>
          <w:sz w:val="20"/>
          <w:szCs w:val="20"/>
          <w:lang w:val="en-US"/>
        </w:rPr>
        <w:t xml:space="preserve">, 27.8% </w:t>
      </w:r>
      <w:r w:rsidR="002F5793" w:rsidRPr="00E51A80">
        <w:rPr>
          <w:rFonts w:ascii="Book Antiqua" w:hAnsi="Book Antiqua" w:cs="Calibri"/>
          <w:sz w:val="20"/>
          <w:szCs w:val="20"/>
          <w:lang w:val="en-US"/>
        </w:rPr>
        <w:t xml:space="preserve">of patients were treated </w:t>
      </w:r>
      <w:r w:rsidRPr="00E51A80">
        <w:rPr>
          <w:rFonts w:ascii="Book Antiqua" w:hAnsi="Book Antiqua" w:cs="Calibri"/>
          <w:sz w:val="20"/>
          <w:szCs w:val="20"/>
          <w:lang w:val="en-US"/>
        </w:rPr>
        <w:t>with tyrosine kinase inhibitor</w:t>
      </w:r>
      <w:r w:rsidR="002F5793" w:rsidRPr="00E51A80">
        <w:rPr>
          <w:rFonts w:ascii="Book Antiqua" w:hAnsi="Book Antiqua" w:cs="Calibri"/>
          <w:sz w:val="20"/>
          <w:szCs w:val="20"/>
          <w:lang w:val="en-US"/>
        </w:rPr>
        <w:t>, and</w:t>
      </w:r>
      <w:r w:rsidRPr="00E51A80">
        <w:rPr>
          <w:rFonts w:ascii="Book Antiqua" w:hAnsi="Book Antiqua" w:cs="Calibri"/>
          <w:sz w:val="20"/>
          <w:szCs w:val="20"/>
          <w:lang w:val="en-US"/>
        </w:rPr>
        <w:t xml:space="preserve"> 27.8% </w:t>
      </w:r>
      <w:r w:rsidR="002F5793" w:rsidRPr="00E51A80">
        <w:rPr>
          <w:rFonts w:ascii="Book Antiqua" w:hAnsi="Book Antiqua" w:cs="Calibri"/>
          <w:sz w:val="20"/>
          <w:szCs w:val="20"/>
          <w:lang w:val="en-US"/>
        </w:rPr>
        <w:t xml:space="preserve">of patients were treated </w:t>
      </w:r>
      <w:r w:rsidRPr="00E51A80">
        <w:rPr>
          <w:rFonts w:ascii="Book Antiqua" w:hAnsi="Book Antiqua" w:cs="Calibri"/>
          <w:sz w:val="20"/>
          <w:szCs w:val="20"/>
          <w:lang w:val="en-US"/>
        </w:rPr>
        <w:t>with interferon</w:t>
      </w:r>
      <w:r w:rsidR="002F5793" w:rsidRPr="00E51A80">
        <w:rPr>
          <w:rFonts w:ascii="Book Antiqua" w:hAnsi="Book Antiqua" w:cs="Calibri"/>
          <w:sz w:val="20"/>
          <w:szCs w:val="20"/>
          <w:lang w:val="en-US"/>
        </w:rPr>
        <w:t>.</w:t>
      </w:r>
      <w:r w:rsidRPr="00E51A80">
        <w:rPr>
          <w:rFonts w:ascii="Book Antiqua" w:hAnsi="Book Antiqua" w:cs="Calibri"/>
          <w:sz w:val="20"/>
          <w:szCs w:val="20"/>
          <w:lang w:val="en-US"/>
        </w:rPr>
        <w:t xml:space="preserve"> </w:t>
      </w:r>
      <w:r w:rsidR="002F5793" w:rsidRPr="00E51A80">
        <w:rPr>
          <w:rFonts w:ascii="Book Antiqua" w:hAnsi="Book Antiqua" w:cs="Calibri"/>
          <w:sz w:val="20"/>
          <w:szCs w:val="20"/>
          <w:lang w:val="en-US"/>
        </w:rPr>
        <w:t>One</w:t>
      </w:r>
      <w:r w:rsidRPr="00E51A80">
        <w:rPr>
          <w:rFonts w:ascii="Book Antiqua" w:hAnsi="Book Antiqua" w:cs="Calibri"/>
          <w:sz w:val="20"/>
          <w:szCs w:val="20"/>
          <w:lang w:val="en-US"/>
        </w:rPr>
        <w:t xml:space="preserve"> patient received </w:t>
      </w:r>
      <w:proofErr w:type="spellStart"/>
      <w:r w:rsidRPr="00E51A80">
        <w:rPr>
          <w:rFonts w:ascii="Book Antiqua" w:hAnsi="Book Antiqua" w:cs="Calibri"/>
          <w:sz w:val="20"/>
          <w:szCs w:val="20"/>
          <w:lang w:val="en-US"/>
        </w:rPr>
        <w:t>radioembolization</w:t>
      </w:r>
      <w:proofErr w:type="spellEnd"/>
      <w:r w:rsidRPr="00E51A80">
        <w:rPr>
          <w:rFonts w:ascii="Book Antiqua" w:hAnsi="Book Antiqua" w:cs="Calibri"/>
          <w:sz w:val="20"/>
          <w:szCs w:val="20"/>
          <w:lang w:val="en-US"/>
        </w:rPr>
        <w:t xml:space="preserve">, </w:t>
      </w:r>
      <w:r w:rsidR="002F5793" w:rsidRPr="00E51A80">
        <w:rPr>
          <w:rFonts w:ascii="Book Antiqua" w:hAnsi="Book Antiqua" w:cs="Calibri"/>
          <w:sz w:val="20"/>
          <w:szCs w:val="20"/>
          <w:lang w:val="en-US"/>
        </w:rPr>
        <w:t>three patients received</w:t>
      </w:r>
      <w:r w:rsidRPr="00E51A80">
        <w:rPr>
          <w:rFonts w:ascii="Book Antiqua" w:hAnsi="Book Antiqua" w:cs="Calibri"/>
          <w:sz w:val="20"/>
          <w:szCs w:val="20"/>
          <w:lang w:val="en-US"/>
        </w:rPr>
        <w:t xml:space="preserve"> chemoembolization</w:t>
      </w:r>
      <w:r w:rsidR="002F5793" w:rsidRPr="00E51A80">
        <w:rPr>
          <w:rFonts w:ascii="Book Antiqua" w:hAnsi="Book Antiqua" w:cs="Calibri"/>
          <w:sz w:val="20"/>
          <w:szCs w:val="20"/>
          <w:lang w:val="en-US"/>
        </w:rPr>
        <w:t>,</w:t>
      </w:r>
      <w:r w:rsidRPr="00E51A80">
        <w:rPr>
          <w:rFonts w:ascii="Book Antiqua" w:hAnsi="Book Antiqua" w:cs="Calibri"/>
          <w:sz w:val="20"/>
          <w:szCs w:val="20"/>
          <w:lang w:val="en-US"/>
        </w:rPr>
        <w:t xml:space="preserve"> </w:t>
      </w:r>
      <w:proofErr w:type="gramStart"/>
      <w:r w:rsidR="002F5793" w:rsidRPr="00E51A80">
        <w:rPr>
          <w:rFonts w:ascii="Book Antiqua" w:hAnsi="Book Antiqua" w:cs="Calibri"/>
          <w:sz w:val="20"/>
          <w:szCs w:val="20"/>
          <w:lang w:val="en-US"/>
        </w:rPr>
        <w:t>six</w:t>
      </w:r>
      <w:proofErr w:type="gramEnd"/>
      <w:r w:rsidR="002F5793" w:rsidRPr="00E51A80">
        <w:rPr>
          <w:rFonts w:ascii="Book Antiqua" w:hAnsi="Book Antiqua" w:cs="Calibri"/>
          <w:sz w:val="20"/>
          <w:szCs w:val="20"/>
          <w:lang w:val="en-US"/>
        </w:rPr>
        <w:t xml:space="preserve"> patients received</w:t>
      </w:r>
      <w:r w:rsidRPr="00E51A80">
        <w:rPr>
          <w:rFonts w:ascii="Book Antiqua" w:hAnsi="Book Antiqua" w:cs="Calibri"/>
          <w:sz w:val="20"/>
          <w:szCs w:val="20"/>
          <w:lang w:val="en-US"/>
        </w:rPr>
        <w:t xml:space="preserve"> chemotherapy. Hematological toxicity was registered in 14 patients </w:t>
      </w:r>
      <w:r w:rsidR="002F5793" w:rsidRPr="00E51A80">
        <w:rPr>
          <w:rFonts w:ascii="Book Antiqua" w:hAnsi="Book Antiqua" w:cs="Calibri"/>
          <w:sz w:val="20"/>
          <w:szCs w:val="20"/>
          <w:lang w:val="en-US"/>
        </w:rPr>
        <w:t>(</w:t>
      </w:r>
      <w:r w:rsidRPr="00E51A80">
        <w:rPr>
          <w:rFonts w:ascii="Book Antiqua" w:hAnsi="Book Antiqua" w:cs="Calibri"/>
          <w:sz w:val="20"/>
          <w:szCs w:val="20"/>
          <w:lang w:val="en-US"/>
        </w:rPr>
        <w:t>G1-G2: 55</w:t>
      </w:r>
      <w:r w:rsidR="002F5793" w:rsidRPr="00E51A80">
        <w:rPr>
          <w:rFonts w:ascii="Book Antiqua" w:hAnsi="Book Antiqua" w:cs="Calibri"/>
          <w:sz w:val="20"/>
          <w:szCs w:val="20"/>
          <w:lang w:val="en-US"/>
        </w:rPr>
        <w:t>.</w:t>
      </w:r>
      <w:r w:rsidRPr="00E51A80">
        <w:rPr>
          <w:rFonts w:ascii="Book Antiqua" w:hAnsi="Book Antiqua" w:cs="Calibri"/>
          <w:sz w:val="20"/>
          <w:szCs w:val="20"/>
          <w:lang w:val="en-US"/>
        </w:rPr>
        <w:t>5% and G3: 3</w:t>
      </w:r>
      <w:r w:rsidR="002F5793" w:rsidRPr="00E51A80">
        <w:rPr>
          <w:rFonts w:ascii="Book Antiqua" w:hAnsi="Book Antiqua" w:cs="Calibri"/>
          <w:sz w:val="20"/>
          <w:szCs w:val="20"/>
          <w:lang w:val="en-US"/>
        </w:rPr>
        <w:t>.</w:t>
      </w:r>
      <w:r w:rsidRPr="00E51A80">
        <w:rPr>
          <w:rFonts w:ascii="Book Antiqua" w:hAnsi="Book Antiqua" w:cs="Calibri"/>
          <w:sz w:val="20"/>
          <w:szCs w:val="20"/>
          <w:lang w:val="en-US"/>
        </w:rPr>
        <w:t>1%</w:t>
      </w:r>
      <w:r w:rsidR="002F5793" w:rsidRPr="00E51A80">
        <w:rPr>
          <w:rFonts w:ascii="Book Antiqua" w:hAnsi="Book Antiqua" w:cs="Calibri"/>
          <w:sz w:val="20"/>
          <w:szCs w:val="20"/>
          <w:lang w:val="en-US"/>
        </w:rPr>
        <w:t>)</w:t>
      </w:r>
      <w:r w:rsidRPr="00E51A80">
        <w:rPr>
          <w:rFonts w:ascii="Book Antiqua" w:hAnsi="Book Antiqua" w:cs="Calibri"/>
          <w:sz w:val="20"/>
          <w:szCs w:val="20"/>
          <w:lang w:val="en-US"/>
        </w:rPr>
        <w:t xml:space="preserve">. Other events presented were intestinal </w:t>
      </w:r>
      <w:proofErr w:type="spellStart"/>
      <w:r w:rsidRPr="00E51A80">
        <w:rPr>
          <w:rFonts w:ascii="Book Antiqua" w:hAnsi="Book Antiqua" w:cs="Calibri"/>
          <w:sz w:val="20"/>
          <w:szCs w:val="20"/>
          <w:lang w:val="en-US"/>
        </w:rPr>
        <w:t>suboclusion</w:t>
      </w:r>
      <w:proofErr w:type="spellEnd"/>
      <w:r w:rsidRPr="00E51A80">
        <w:rPr>
          <w:rFonts w:ascii="Book Antiqua" w:hAnsi="Book Antiqua" w:cs="Calibri"/>
          <w:sz w:val="20"/>
          <w:szCs w:val="20"/>
          <w:lang w:val="en-US"/>
        </w:rPr>
        <w:t xml:space="preserve"> in </w:t>
      </w:r>
      <w:r w:rsidR="00372245" w:rsidRPr="00E51A80">
        <w:rPr>
          <w:rFonts w:ascii="Book Antiqua" w:hAnsi="Book Antiqua" w:cs="Calibri"/>
          <w:sz w:val="20"/>
          <w:szCs w:val="20"/>
          <w:lang w:val="en-US"/>
        </w:rPr>
        <w:t>4</w:t>
      </w:r>
      <w:r w:rsidRPr="00E51A80">
        <w:rPr>
          <w:rFonts w:ascii="Book Antiqua" w:hAnsi="Book Antiqua" w:cs="Calibri"/>
          <w:sz w:val="20"/>
          <w:szCs w:val="20"/>
          <w:lang w:val="en-US"/>
        </w:rPr>
        <w:t xml:space="preserve"> cases, cholestasis</w:t>
      </w:r>
      <w:r w:rsidR="002F5793" w:rsidRPr="00E51A80">
        <w:rPr>
          <w:rFonts w:ascii="Book Antiqua" w:hAnsi="Book Antiqua" w:cs="Calibri"/>
          <w:sz w:val="20"/>
          <w:szCs w:val="20"/>
          <w:lang w:val="en-US"/>
        </w:rPr>
        <w:t xml:space="preserve"> in </w:t>
      </w:r>
      <w:r w:rsidR="00372245" w:rsidRPr="00E51A80">
        <w:rPr>
          <w:rFonts w:ascii="Book Antiqua" w:hAnsi="Book Antiqua" w:cs="Calibri"/>
          <w:sz w:val="20"/>
          <w:szCs w:val="20"/>
          <w:lang w:val="en-US"/>
        </w:rPr>
        <w:t>2</w:t>
      </w:r>
      <w:r w:rsidR="002F5793" w:rsidRPr="00E51A80">
        <w:rPr>
          <w:rFonts w:ascii="Book Antiqua" w:hAnsi="Book Antiqua" w:cs="Calibri"/>
          <w:sz w:val="20"/>
          <w:szCs w:val="20"/>
          <w:lang w:val="en-US"/>
        </w:rPr>
        <w:t xml:space="preserve"> cases</w:t>
      </w:r>
      <w:r w:rsidRPr="00E51A80">
        <w:rPr>
          <w:rFonts w:ascii="Book Antiqua" w:hAnsi="Book Antiqua" w:cs="Calibri"/>
          <w:sz w:val="20"/>
          <w:szCs w:val="20"/>
          <w:lang w:val="en-US"/>
        </w:rPr>
        <w:t xml:space="preserve"> and carcinoid crisis</w:t>
      </w:r>
      <w:r w:rsidR="002F5793" w:rsidRPr="00E51A80">
        <w:rPr>
          <w:rFonts w:ascii="Book Antiqua" w:hAnsi="Book Antiqua" w:cs="Calibri"/>
          <w:sz w:val="20"/>
          <w:szCs w:val="20"/>
          <w:lang w:val="en-US"/>
        </w:rPr>
        <w:t xml:space="preserve"> in </w:t>
      </w:r>
      <w:r w:rsidR="00372245" w:rsidRPr="00E51A80">
        <w:rPr>
          <w:rFonts w:ascii="Book Antiqua" w:hAnsi="Book Antiqua" w:cs="Calibri"/>
          <w:sz w:val="20"/>
          <w:szCs w:val="20"/>
          <w:lang w:val="en-US"/>
        </w:rPr>
        <w:t>1</w:t>
      </w:r>
      <w:r w:rsidR="002F5793" w:rsidRPr="00E51A80">
        <w:rPr>
          <w:rFonts w:ascii="Book Antiqua" w:hAnsi="Book Antiqua" w:cs="Calibri"/>
          <w:sz w:val="20"/>
          <w:szCs w:val="20"/>
          <w:lang w:val="en-US"/>
        </w:rPr>
        <w:t xml:space="preserve"> case</w:t>
      </w:r>
      <w:r w:rsidRPr="00E51A80">
        <w:rPr>
          <w:rFonts w:ascii="Book Antiqua" w:hAnsi="Book Antiqua" w:cs="Calibri"/>
          <w:sz w:val="20"/>
          <w:szCs w:val="20"/>
          <w:lang w:val="en-US"/>
        </w:rPr>
        <w:t xml:space="preserve">. The </w:t>
      </w:r>
      <w:r w:rsidR="002F5793" w:rsidRPr="00E51A80">
        <w:rPr>
          <w:rFonts w:ascii="Book Antiqua" w:hAnsi="Book Antiqua" w:cs="Calibri"/>
          <w:sz w:val="20"/>
          <w:szCs w:val="20"/>
          <w:lang w:val="en-US"/>
        </w:rPr>
        <w:t>m</w:t>
      </w:r>
      <w:r w:rsidRPr="00E51A80">
        <w:rPr>
          <w:rFonts w:ascii="Book Antiqua" w:hAnsi="Book Antiqua" w:cs="Calibri"/>
          <w:sz w:val="20"/>
          <w:szCs w:val="20"/>
          <w:lang w:val="en-US"/>
        </w:rPr>
        <w:t xml:space="preserve">edian follow-up time was </w:t>
      </w:r>
      <w:r w:rsidR="00372245" w:rsidRPr="00E51A80">
        <w:rPr>
          <w:rFonts w:ascii="Book Antiqua" w:hAnsi="Book Antiqua" w:cs="Calibri"/>
          <w:sz w:val="20"/>
          <w:szCs w:val="20"/>
          <w:lang w:val="en-US"/>
        </w:rPr>
        <w:t>3</w:t>
      </w:r>
      <w:r w:rsidRPr="00E51A80">
        <w:rPr>
          <w:rFonts w:ascii="Book Antiqua" w:hAnsi="Book Antiqua" w:cs="Calibri"/>
          <w:sz w:val="20"/>
          <w:szCs w:val="20"/>
          <w:lang w:val="en-US"/>
        </w:rPr>
        <w:t xml:space="preserve"> years. Currently, 24 patients completed treatment</w:t>
      </w:r>
      <w:r w:rsidR="002F5793" w:rsidRPr="00E51A80">
        <w:rPr>
          <w:rFonts w:ascii="Book Antiqua" w:hAnsi="Book Antiqua" w:cs="Calibri"/>
          <w:sz w:val="20"/>
          <w:szCs w:val="20"/>
          <w:lang w:val="en-US"/>
        </w:rPr>
        <w:t>. Nineteen</w:t>
      </w:r>
      <w:r w:rsidRPr="00E51A80">
        <w:rPr>
          <w:rFonts w:ascii="Book Antiqua" w:hAnsi="Book Antiqua" w:cs="Calibri"/>
          <w:sz w:val="20"/>
          <w:szCs w:val="20"/>
          <w:lang w:val="en-US"/>
        </w:rPr>
        <w:t xml:space="preserve"> are alive with stable disease, </w:t>
      </w:r>
      <w:r w:rsidR="002F5793" w:rsidRPr="00E51A80">
        <w:rPr>
          <w:rFonts w:ascii="Book Antiqua" w:hAnsi="Book Antiqua" w:cs="Calibri"/>
          <w:sz w:val="20"/>
          <w:szCs w:val="20"/>
          <w:lang w:val="en-US"/>
        </w:rPr>
        <w:t>two</w:t>
      </w:r>
      <w:r w:rsidRPr="00E51A80">
        <w:rPr>
          <w:rFonts w:ascii="Book Antiqua" w:hAnsi="Book Antiqua" w:cs="Calibri"/>
          <w:sz w:val="20"/>
          <w:szCs w:val="20"/>
          <w:lang w:val="en-US"/>
        </w:rPr>
        <w:t xml:space="preserve"> have disease progressi</w:t>
      </w:r>
      <w:r w:rsidR="00EA5FBD" w:rsidRPr="00E51A80">
        <w:rPr>
          <w:rFonts w:ascii="Book Antiqua" w:hAnsi="Book Antiqua" w:cs="Calibri"/>
          <w:sz w:val="20"/>
          <w:szCs w:val="20"/>
          <w:lang w:val="en-US"/>
        </w:rPr>
        <w:t xml:space="preserve">on, </w:t>
      </w:r>
      <w:r w:rsidR="002F5793" w:rsidRPr="00E51A80">
        <w:rPr>
          <w:rFonts w:ascii="Book Antiqua" w:hAnsi="Book Antiqua" w:cs="Calibri"/>
          <w:sz w:val="20"/>
          <w:szCs w:val="20"/>
          <w:lang w:val="en-US"/>
        </w:rPr>
        <w:t xml:space="preserve">eight have died, </w:t>
      </w:r>
      <w:r w:rsidRPr="00E51A80">
        <w:rPr>
          <w:rFonts w:ascii="Book Antiqua" w:hAnsi="Book Antiqua" w:cs="Calibri"/>
          <w:sz w:val="20"/>
          <w:szCs w:val="20"/>
          <w:lang w:val="en-US"/>
        </w:rPr>
        <w:t xml:space="preserve">and </w:t>
      </w:r>
      <w:r w:rsidR="002F5793" w:rsidRPr="00E51A80">
        <w:rPr>
          <w:rFonts w:ascii="Book Antiqua" w:hAnsi="Book Antiqua" w:cs="Calibri"/>
          <w:sz w:val="20"/>
          <w:szCs w:val="20"/>
          <w:lang w:val="en-US"/>
        </w:rPr>
        <w:t xml:space="preserve">nine </w:t>
      </w:r>
      <w:r w:rsidRPr="00E51A80">
        <w:rPr>
          <w:rFonts w:ascii="Book Antiqua" w:hAnsi="Book Antiqua" w:cs="Calibri"/>
          <w:sz w:val="20"/>
          <w:szCs w:val="20"/>
          <w:lang w:val="en-US"/>
        </w:rPr>
        <w:t>are still receiving treatment. The median overall survival</w:t>
      </w:r>
      <w:r w:rsidR="009C28FB"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was 12.5 </w:t>
      </w:r>
      <w:proofErr w:type="spellStart"/>
      <w:r w:rsidRPr="00E51A80">
        <w:rPr>
          <w:rFonts w:ascii="Book Antiqua" w:hAnsi="Book Antiqua" w:cs="Calibri"/>
          <w:sz w:val="20"/>
          <w:szCs w:val="20"/>
          <w:lang w:val="en-US"/>
        </w:rPr>
        <w:t>mo</w:t>
      </w:r>
      <w:proofErr w:type="spellEnd"/>
      <w:r w:rsidR="00EA5FBD" w:rsidRPr="00E51A80">
        <w:rPr>
          <w:rFonts w:ascii="Book Antiqua" w:hAnsi="Book Antiqua" w:cs="Calibri"/>
          <w:sz w:val="20"/>
          <w:szCs w:val="20"/>
          <w:lang w:val="en-US"/>
        </w:rPr>
        <w:t xml:space="preserve"> (95%</w:t>
      </w:r>
      <w:r w:rsidR="00EA5FBD" w:rsidRPr="00E51A80">
        <w:rPr>
          <w:rFonts w:ascii="Book Antiqua" w:hAnsi="Book Antiqua"/>
          <w:sz w:val="20"/>
          <w:szCs w:val="20"/>
          <w:lang w:val="en-US"/>
        </w:rPr>
        <w:t xml:space="preserve"> </w:t>
      </w:r>
      <w:r w:rsidR="00EA5FBD" w:rsidRPr="00E51A80">
        <w:rPr>
          <w:rFonts w:ascii="Book Antiqua" w:hAnsi="Book Antiqua" w:cs="Calibri"/>
          <w:sz w:val="20"/>
          <w:szCs w:val="20"/>
          <w:lang w:val="en-US"/>
        </w:rPr>
        <w:t xml:space="preserve">confidence interval range: </w:t>
      </w:r>
      <w:r w:rsidRPr="00E51A80">
        <w:rPr>
          <w:rFonts w:ascii="Book Antiqua" w:hAnsi="Book Antiqua" w:cs="Calibri"/>
          <w:sz w:val="20"/>
          <w:szCs w:val="20"/>
          <w:lang w:val="en-US"/>
        </w:rPr>
        <w:t>9.8–15.2), being inversely proportional to toxicity in previous treatments (</w:t>
      </w:r>
      <w:r w:rsidRPr="00E51A80">
        <w:rPr>
          <w:rFonts w:ascii="Book Antiqua" w:hAnsi="Book Antiqua" w:cs="Calibri"/>
          <w:i/>
          <w:sz w:val="20"/>
          <w:szCs w:val="20"/>
          <w:lang w:val="en-US"/>
        </w:rPr>
        <w:t>P</w:t>
      </w:r>
      <w:r w:rsidR="00EA5FBD" w:rsidRPr="00E51A80">
        <w:rPr>
          <w:rFonts w:ascii="Book Antiqua" w:hAnsi="Book Antiqua" w:cs="Calibri"/>
          <w:sz w:val="20"/>
          <w:szCs w:val="20"/>
          <w:lang w:val="en-US"/>
        </w:rPr>
        <w:t xml:space="preserve"> </w:t>
      </w:r>
      <w:r w:rsidRPr="00E51A80">
        <w:rPr>
          <w:rFonts w:ascii="Book Antiqua" w:hAnsi="Book Antiqua" w:cs="Calibri"/>
          <w:sz w:val="20"/>
          <w:szCs w:val="20"/>
          <w:lang w:val="en-US"/>
        </w:rPr>
        <w:t>&lt;</w:t>
      </w:r>
      <w:r w:rsidR="00EA5FBD"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0.02) and directly proportional with matching lesion findings between </w:t>
      </w:r>
      <w:proofErr w:type="spellStart"/>
      <w:r w:rsidR="003A7D70" w:rsidRPr="00E51A80">
        <w:rPr>
          <w:rFonts w:ascii="Book Antiqua" w:hAnsi="Book Antiqua" w:cs="Calibri"/>
          <w:sz w:val="20"/>
          <w:szCs w:val="20"/>
          <w:lang w:val="en-US"/>
        </w:rPr>
        <w:t>Octreoscan</w:t>
      </w:r>
      <w:proofErr w:type="spellEnd"/>
      <w:r w:rsidRPr="00E51A80">
        <w:rPr>
          <w:rFonts w:ascii="Book Antiqua" w:hAnsi="Book Antiqua" w:cs="Calibri"/>
          <w:sz w:val="20"/>
          <w:szCs w:val="20"/>
          <w:lang w:val="en-US"/>
        </w:rPr>
        <w:t xml:space="preserve"> and </w:t>
      </w:r>
      <w:r w:rsidR="00EA5FBD" w:rsidRPr="00E51A80">
        <w:rPr>
          <w:rFonts w:ascii="Book Antiqua" w:hAnsi="Book Antiqua" w:cs="Calibri"/>
          <w:sz w:val="20"/>
          <w:szCs w:val="20"/>
          <w:lang w:val="en-US"/>
        </w:rPr>
        <w:t>computed tomography</w:t>
      </w:r>
      <w:r w:rsidRPr="00E51A80">
        <w:rPr>
          <w:rFonts w:ascii="Book Antiqua" w:hAnsi="Book Antiqua" w:cs="Calibri"/>
          <w:sz w:val="20"/>
          <w:szCs w:val="20"/>
          <w:lang w:val="en-US"/>
        </w:rPr>
        <w:t xml:space="preserve"> pre-PRRT</w:t>
      </w:r>
      <w:r w:rsidR="00EA5FBD" w:rsidRPr="00E51A80">
        <w:rPr>
          <w:rFonts w:ascii="Book Antiqua" w:hAnsi="Book Antiqua" w:cs="Calibri"/>
          <w:sz w:val="20"/>
          <w:szCs w:val="20"/>
          <w:lang w:val="en-US"/>
        </w:rPr>
        <w:t xml:space="preserve"> </w:t>
      </w:r>
      <w:r w:rsidRPr="00E51A80">
        <w:rPr>
          <w:rFonts w:ascii="Book Antiqua" w:hAnsi="Book Antiqua" w:cs="Calibri"/>
          <w:sz w:val="20"/>
          <w:szCs w:val="20"/>
          <w:lang w:val="en-US"/>
        </w:rPr>
        <w:t>(</w:t>
      </w:r>
      <w:r w:rsidRPr="00E51A80">
        <w:rPr>
          <w:rFonts w:ascii="Book Antiqua" w:hAnsi="Book Antiqua" w:cs="Calibri"/>
          <w:i/>
          <w:sz w:val="20"/>
          <w:szCs w:val="20"/>
          <w:lang w:val="en-US"/>
        </w:rPr>
        <w:t>P</w:t>
      </w:r>
      <w:r w:rsidRPr="00E51A80">
        <w:rPr>
          <w:rFonts w:ascii="Book Antiqua" w:hAnsi="Book Antiqua" w:cs="Calibri"/>
          <w:sz w:val="20"/>
          <w:szCs w:val="20"/>
          <w:lang w:val="en-US"/>
        </w:rPr>
        <w:t>&lt; 0.01), tumor grade (</w:t>
      </w:r>
      <w:r w:rsidRPr="00E51A80">
        <w:rPr>
          <w:rFonts w:ascii="Book Antiqua" w:hAnsi="Book Antiqua" w:cs="Calibri"/>
          <w:i/>
          <w:sz w:val="20"/>
          <w:szCs w:val="20"/>
          <w:lang w:val="en-US"/>
        </w:rPr>
        <w:t>P</w:t>
      </w:r>
      <w:r w:rsidR="00EA5FBD" w:rsidRPr="00E51A80">
        <w:rPr>
          <w:rFonts w:ascii="Book Antiqua" w:hAnsi="Book Antiqua" w:cs="Calibri"/>
          <w:sz w:val="20"/>
          <w:szCs w:val="20"/>
          <w:lang w:val="en-US"/>
        </w:rPr>
        <w:t xml:space="preserve"> &lt; 0.01), primary tumor surgery </w:t>
      </w:r>
      <w:r w:rsidRPr="00E51A80">
        <w:rPr>
          <w:rFonts w:ascii="Book Antiqua" w:hAnsi="Book Antiqua" w:cs="Calibri"/>
          <w:sz w:val="20"/>
          <w:szCs w:val="20"/>
          <w:lang w:val="en-US"/>
        </w:rPr>
        <w:t>(</w:t>
      </w:r>
      <w:r w:rsidRPr="00E51A80">
        <w:rPr>
          <w:rFonts w:ascii="Book Antiqua" w:hAnsi="Book Antiqua" w:cs="Calibri"/>
          <w:i/>
          <w:sz w:val="20"/>
          <w:szCs w:val="20"/>
          <w:lang w:val="en-US"/>
        </w:rPr>
        <w:t>P</w:t>
      </w:r>
      <w:r w:rsidR="00EA5FBD" w:rsidRPr="00E51A80">
        <w:rPr>
          <w:rFonts w:ascii="Book Antiqua" w:hAnsi="Book Antiqua" w:cs="Calibri"/>
          <w:sz w:val="20"/>
          <w:szCs w:val="20"/>
          <w:lang w:val="en-US"/>
        </w:rPr>
        <w:t xml:space="preserve"> = 0.03), metastasis surgery </w:t>
      </w:r>
      <w:r w:rsidRPr="00E51A80">
        <w:rPr>
          <w:rFonts w:ascii="Book Antiqua" w:hAnsi="Book Antiqua" w:cs="Calibri"/>
          <w:sz w:val="20"/>
          <w:szCs w:val="20"/>
          <w:lang w:val="en-US"/>
        </w:rPr>
        <w:t>(</w:t>
      </w:r>
      <w:r w:rsidRPr="00E51A80">
        <w:rPr>
          <w:rFonts w:ascii="Book Antiqua" w:hAnsi="Book Antiqua" w:cs="Calibri"/>
          <w:i/>
          <w:sz w:val="20"/>
          <w:szCs w:val="20"/>
          <w:lang w:val="en-US"/>
        </w:rPr>
        <w:t>P</w:t>
      </w:r>
      <w:r w:rsidR="00EA5FBD" w:rsidRPr="00E51A80">
        <w:rPr>
          <w:rFonts w:ascii="Book Antiqua" w:hAnsi="Book Antiqua" w:cs="Calibri"/>
          <w:sz w:val="20"/>
          <w:szCs w:val="20"/>
          <w:lang w:val="en-US"/>
        </w:rPr>
        <w:t xml:space="preserve"> </w:t>
      </w:r>
      <w:r w:rsidRPr="00E51A80">
        <w:rPr>
          <w:rFonts w:ascii="Book Antiqua" w:hAnsi="Book Antiqua" w:cs="Calibri"/>
          <w:sz w:val="20"/>
          <w:szCs w:val="20"/>
          <w:lang w:val="en-US"/>
        </w:rPr>
        <w:t>= 0.045) and the presence of bone lesions (</w:t>
      </w:r>
      <w:r w:rsidRPr="00E51A80">
        <w:rPr>
          <w:rFonts w:ascii="Book Antiqua" w:hAnsi="Book Antiqua" w:cs="Calibri"/>
          <w:i/>
          <w:sz w:val="20"/>
          <w:szCs w:val="20"/>
          <w:lang w:val="en-US"/>
        </w:rPr>
        <w:t>P</w:t>
      </w:r>
      <w:r w:rsidR="00EA5FBD" w:rsidRPr="00E51A80">
        <w:rPr>
          <w:rFonts w:ascii="Book Antiqua" w:hAnsi="Book Antiqua" w:cs="Calibri"/>
          <w:sz w:val="20"/>
          <w:szCs w:val="20"/>
          <w:lang w:val="en-US"/>
        </w:rPr>
        <w:t xml:space="preserve"> </w:t>
      </w:r>
      <w:r w:rsidRPr="00E51A80">
        <w:rPr>
          <w:rFonts w:ascii="Book Antiqua" w:hAnsi="Book Antiqua" w:cs="Calibri"/>
          <w:sz w:val="20"/>
          <w:szCs w:val="20"/>
          <w:lang w:val="en-US"/>
        </w:rPr>
        <w:t>=</w:t>
      </w:r>
      <w:r w:rsidR="00EA5FBD"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0.009). </w:t>
      </w:r>
      <w:r w:rsidR="002F5793" w:rsidRPr="00E51A80">
        <w:rPr>
          <w:rFonts w:ascii="Book Antiqua" w:hAnsi="Book Antiqua" w:cs="Calibri"/>
          <w:sz w:val="20"/>
          <w:szCs w:val="20"/>
          <w:lang w:val="en-US"/>
        </w:rPr>
        <w:t>I</w:t>
      </w:r>
      <w:r w:rsidRPr="00E51A80">
        <w:rPr>
          <w:rFonts w:ascii="Book Antiqua" w:hAnsi="Book Antiqua" w:cs="Calibri"/>
          <w:sz w:val="20"/>
          <w:szCs w:val="20"/>
          <w:lang w:val="en-US"/>
        </w:rPr>
        <w:t>n a multivariate Cox regression analysis, a high Ki67 index (</w:t>
      </w:r>
      <w:r w:rsidRPr="00E51A80">
        <w:rPr>
          <w:rFonts w:ascii="Book Antiqua" w:hAnsi="Book Antiqua" w:cs="Calibri"/>
          <w:i/>
          <w:sz w:val="20"/>
          <w:szCs w:val="20"/>
          <w:lang w:val="en-US"/>
        </w:rPr>
        <w:t>P</w:t>
      </w:r>
      <w:r w:rsidR="00EA5FBD"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 0.003), a mismatch in the lesion findings between </w:t>
      </w:r>
      <w:proofErr w:type="spellStart"/>
      <w:r w:rsidR="003A7D70" w:rsidRPr="00E51A80">
        <w:rPr>
          <w:rFonts w:ascii="Book Antiqua" w:hAnsi="Book Antiqua" w:cs="Calibri"/>
          <w:sz w:val="20"/>
          <w:szCs w:val="20"/>
          <w:lang w:val="en-US"/>
        </w:rPr>
        <w:t>Octreoscan</w:t>
      </w:r>
      <w:proofErr w:type="spellEnd"/>
      <w:r w:rsidRPr="00E51A80">
        <w:rPr>
          <w:rFonts w:ascii="Book Antiqua" w:hAnsi="Book Antiqua" w:cs="Calibri"/>
          <w:sz w:val="20"/>
          <w:szCs w:val="20"/>
          <w:lang w:val="en-US"/>
        </w:rPr>
        <w:t xml:space="preserve"> and </w:t>
      </w:r>
      <w:r w:rsidR="00EA5FBD" w:rsidRPr="00E51A80">
        <w:rPr>
          <w:rFonts w:ascii="Book Antiqua" w:hAnsi="Book Antiqua" w:cs="Calibri"/>
          <w:sz w:val="20"/>
          <w:szCs w:val="20"/>
          <w:lang w:val="en-US"/>
        </w:rPr>
        <w:t>computed tomography</w:t>
      </w:r>
      <w:r w:rsidRPr="00E51A80">
        <w:rPr>
          <w:rFonts w:ascii="Book Antiqua" w:hAnsi="Book Antiqua" w:cs="Calibri"/>
          <w:sz w:val="20"/>
          <w:szCs w:val="20"/>
          <w:lang w:val="en-US"/>
        </w:rPr>
        <w:t xml:space="preserve"> pre-PRRT (</w:t>
      </w:r>
      <w:r w:rsidRPr="00E51A80">
        <w:rPr>
          <w:rFonts w:ascii="Book Antiqua" w:hAnsi="Book Antiqua" w:cs="Calibri"/>
          <w:i/>
          <w:sz w:val="20"/>
          <w:szCs w:val="20"/>
          <w:lang w:val="en-US"/>
        </w:rPr>
        <w:t>P</w:t>
      </w:r>
      <w:r w:rsidR="00EA5FBD" w:rsidRPr="00E51A80">
        <w:rPr>
          <w:rFonts w:ascii="Book Antiqua" w:hAnsi="Book Antiqua" w:cs="Calibri"/>
          <w:sz w:val="20"/>
          <w:szCs w:val="20"/>
          <w:lang w:val="en-US"/>
        </w:rPr>
        <w:t xml:space="preserve"> </w:t>
      </w:r>
      <w:r w:rsidRPr="00E51A80">
        <w:rPr>
          <w:rFonts w:ascii="Book Antiqua" w:hAnsi="Book Antiqua" w:cs="Calibri"/>
          <w:sz w:val="20"/>
          <w:szCs w:val="20"/>
          <w:lang w:val="en-US"/>
        </w:rPr>
        <w:t>&lt;</w:t>
      </w:r>
      <w:r w:rsidR="00EA5FBD" w:rsidRPr="00E51A80">
        <w:rPr>
          <w:rFonts w:ascii="Book Antiqua" w:hAnsi="Book Antiqua" w:cs="Calibri"/>
          <w:sz w:val="20"/>
          <w:szCs w:val="20"/>
          <w:lang w:val="en-US"/>
        </w:rPr>
        <w:t xml:space="preserve"> </w:t>
      </w:r>
      <w:r w:rsidRPr="00E51A80">
        <w:rPr>
          <w:rFonts w:ascii="Book Antiqua" w:hAnsi="Book Antiqua" w:cs="Calibri"/>
          <w:sz w:val="20"/>
          <w:szCs w:val="20"/>
          <w:lang w:val="en-US"/>
        </w:rPr>
        <w:t>0.01) and a preceding toxicity in previous treatments (</w:t>
      </w:r>
      <w:r w:rsidRPr="00E51A80">
        <w:rPr>
          <w:rFonts w:ascii="Book Antiqua" w:hAnsi="Book Antiqua" w:cs="Calibri"/>
          <w:i/>
          <w:caps/>
          <w:sz w:val="20"/>
          <w:szCs w:val="20"/>
          <w:lang w:val="en-US"/>
        </w:rPr>
        <w:t>p</w:t>
      </w:r>
      <w:r w:rsidR="00EA5FBD" w:rsidRPr="00E51A80">
        <w:rPr>
          <w:rFonts w:ascii="Book Antiqua" w:hAnsi="Book Antiqua" w:cs="Calibri"/>
          <w:sz w:val="20"/>
          <w:szCs w:val="20"/>
          <w:lang w:val="en-US"/>
        </w:rPr>
        <w:t xml:space="preserve"> </w:t>
      </w:r>
      <w:r w:rsidRPr="00E51A80">
        <w:rPr>
          <w:rFonts w:ascii="Book Antiqua" w:hAnsi="Book Antiqua" w:cs="Calibri"/>
          <w:sz w:val="20"/>
          <w:szCs w:val="20"/>
          <w:lang w:val="en-US"/>
        </w:rPr>
        <w:t>&lt;</w:t>
      </w:r>
      <w:r w:rsidR="00EA5FBD"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0.05) were risk factors to </w:t>
      </w:r>
      <w:r w:rsidR="002F5793" w:rsidRPr="00E51A80">
        <w:rPr>
          <w:rFonts w:ascii="Book Antiqua" w:hAnsi="Book Antiqua" w:cs="Calibri"/>
          <w:sz w:val="20"/>
          <w:szCs w:val="20"/>
          <w:lang w:val="en-US"/>
        </w:rPr>
        <w:t>overall survival</w:t>
      </w:r>
      <w:r w:rsidRPr="00E51A80">
        <w:rPr>
          <w:rFonts w:ascii="Book Antiqua" w:hAnsi="Book Antiqua" w:cs="Calibri"/>
          <w:sz w:val="20"/>
          <w:szCs w:val="20"/>
          <w:lang w:val="en-US"/>
        </w:rPr>
        <w:t>.</w:t>
      </w:r>
    </w:p>
    <w:p w:rsidR="00EA5FBD" w:rsidRPr="00E51A80" w:rsidRDefault="00EA5FBD" w:rsidP="007E3E0D">
      <w:pPr>
        <w:adjustRightInd w:val="0"/>
        <w:snapToGrid w:val="0"/>
        <w:spacing w:after="0" w:line="360" w:lineRule="auto"/>
        <w:jc w:val="both"/>
        <w:rPr>
          <w:rFonts w:ascii="Book Antiqua" w:hAnsi="Book Antiqua" w:cs="Calibri"/>
          <w:b/>
          <w:bCs/>
          <w:sz w:val="20"/>
          <w:szCs w:val="20"/>
          <w:lang w:val="en-US"/>
        </w:rPr>
      </w:pPr>
    </w:p>
    <w:p w:rsidR="00EA5FBD" w:rsidRPr="00E51A80" w:rsidRDefault="002B7963" w:rsidP="007E3E0D">
      <w:pPr>
        <w:adjustRightInd w:val="0"/>
        <w:snapToGrid w:val="0"/>
        <w:spacing w:after="0" w:line="360" w:lineRule="auto"/>
        <w:jc w:val="both"/>
        <w:rPr>
          <w:rFonts w:ascii="Book Antiqua" w:hAnsi="Book Antiqua" w:cs="Calibri"/>
          <w:caps/>
          <w:sz w:val="20"/>
          <w:szCs w:val="20"/>
          <w:lang w:val="en-US"/>
        </w:rPr>
      </w:pPr>
      <w:r w:rsidRPr="00E51A80">
        <w:rPr>
          <w:rFonts w:ascii="Book Antiqua" w:hAnsi="Book Antiqua" w:cs="Calibri"/>
          <w:bCs/>
          <w:caps/>
          <w:sz w:val="20"/>
          <w:szCs w:val="20"/>
          <w:lang w:val="en-US"/>
        </w:rPr>
        <w:t>Conclusion</w:t>
      </w:r>
    </w:p>
    <w:p w:rsidR="002B7963" w:rsidRPr="00E51A80" w:rsidRDefault="002F579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sz w:val="20"/>
          <w:szCs w:val="20"/>
          <w:lang w:val="en-US"/>
        </w:rPr>
        <w:t>Overall survival</w:t>
      </w:r>
      <w:r w:rsidR="002B7963" w:rsidRPr="00E51A80">
        <w:rPr>
          <w:rFonts w:ascii="Book Antiqua" w:hAnsi="Book Antiqua" w:cs="Calibri"/>
          <w:sz w:val="20"/>
          <w:szCs w:val="20"/>
          <w:lang w:val="en-US"/>
        </w:rPr>
        <w:t xml:space="preserve"> was inversely proportional to previous toxicity and directly proportional to matching lesion findings between </w:t>
      </w:r>
      <w:proofErr w:type="spellStart"/>
      <w:r w:rsidR="003A7D70" w:rsidRPr="00E51A80">
        <w:rPr>
          <w:rFonts w:ascii="Book Antiqua" w:hAnsi="Book Antiqua" w:cs="Calibri"/>
          <w:sz w:val="20"/>
          <w:szCs w:val="20"/>
          <w:lang w:val="en-US"/>
        </w:rPr>
        <w:t>Octreoscan</w:t>
      </w:r>
      <w:proofErr w:type="spellEnd"/>
      <w:r w:rsidR="002B7963" w:rsidRPr="00E51A80">
        <w:rPr>
          <w:rFonts w:ascii="Book Antiqua" w:hAnsi="Book Antiqua" w:cs="Calibri"/>
          <w:sz w:val="20"/>
          <w:szCs w:val="20"/>
          <w:lang w:val="en-US"/>
        </w:rPr>
        <w:t xml:space="preserve"> and </w:t>
      </w:r>
      <w:r w:rsidRPr="00E51A80">
        <w:rPr>
          <w:rFonts w:ascii="Book Antiqua" w:hAnsi="Book Antiqua" w:cs="Calibri"/>
          <w:sz w:val="20"/>
          <w:szCs w:val="20"/>
          <w:lang w:val="en-US"/>
        </w:rPr>
        <w:t>computed tomography</w:t>
      </w:r>
      <w:r w:rsidR="002B7963" w:rsidRPr="00E51A80">
        <w:rPr>
          <w:rFonts w:ascii="Book Antiqua" w:hAnsi="Book Antiqua" w:cs="Calibri"/>
          <w:sz w:val="20"/>
          <w:szCs w:val="20"/>
          <w:lang w:val="en-US"/>
        </w:rPr>
        <w:t xml:space="preserve"> pre-PRRT, tumor grade, bone metastasis and primary tumor and metastasis surgery.</w:t>
      </w:r>
    </w:p>
    <w:p w:rsidR="00EA5FBD" w:rsidRPr="00E51A80" w:rsidRDefault="00EA5FBD" w:rsidP="007E3E0D">
      <w:pPr>
        <w:adjustRightInd w:val="0"/>
        <w:snapToGrid w:val="0"/>
        <w:spacing w:after="0" w:line="360" w:lineRule="auto"/>
        <w:jc w:val="both"/>
        <w:rPr>
          <w:rFonts w:ascii="Book Antiqua" w:hAnsi="Book Antiqua" w:cs="Calibri"/>
          <w:b/>
          <w:bCs/>
          <w:sz w:val="20"/>
          <w:szCs w:val="20"/>
          <w:lang w:val="en-US"/>
        </w:rPr>
      </w:pP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b/>
          <w:bCs/>
          <w:sz w:val="20"/>
          <w:szCs w:val="20"/>
          <w:lang w:val="en-US"/>
        </w:rPr>
        <w:t>Key words:</w:t>
      </w:r>
      <w:r w:rsidRPr="00E51A80">
        <w:rPr>
          <w:rFonts w:ascii="Book Antiqua" w:hAnsi="Book Antiqua" w:cs="Calibri"/>
          <w:sz w:val="20"/>
          <w:szCs w:val="20"/>
          <w:lang w:val="en-US"/>
        </w:rPr>
        <w:t xml:space="preserve"> P</w:t>
      </w:r>
      <w:r w:rsidRPr="00E51A80">
        <w:rPr>
          <w:rStyle w:val="a3"/>
          <w:rFonts w:ascii="Book Antiqua" w:hAnsi="Book Antiqua" w:cs="Calibri"/>
          <w:i w:val="0"/>
          <w:iCs w:val="0"/>
          <w:sz w:val="20"/>
          <w:szCs w:val="20"/>
          <w:shd w:val="clear" w:color="auto" w:fill="FFFFFF"/>
          <w:lang w:val="en-US"/>
        </w:rPr>
        <w:t>eptide receptor radionuclide therapy</w:t>
      </w:r>
      <w:r w:rsidRPr="00E51A80">
        <w:rPr>
          <w:rStyle w:val="a3"/>
          <w:rFonts w:ascii="Book Antiqua" w:hAnsi="Book Antiqua" w:cs="Calibri"/>
          <w:sz w:val="20"/>
          <w:szCs w:val="20"/>
          <w:shd w:val="clear" w:color="auto" w:fill="FFFFFF"/>
          <w:lang w:val="en-US"/>
        </w:rPr>
        <w:t xml:space="preserve">; </w:t>
      </w:r>
      <w:proofErr w:type="spellStart"/>
      <w:r w:rsidRPr="00E51A80">
        <w:rPr>
          <w:rFonts w:ascii="Book Antiqua" w:hAnsi="Book Antiqua" w:cs="Calibri"/>
          <w:sz w:val="20"/>
          <w:szCs w:val="20"/>
          <w:lang w:val="en-US"/>
        </w:rPr>
        <w:t>Gastropancreatic</w:t>
      </w:r>
      <w:proofErr w:type="spellEnd"/>
      <w:r w:rsidRPr="00E51A80">
        <w:rPr>
          <w:rFonts w:ascii="Book Antiqua" w:hAnsi="Book Antiqua" w:cs="Calibri"/>
          <w:sz w:val="20"/>
          <w:szCs w:val="20"/>
          <w:lang w:val="en-US"/>
        </w:rPr>
        <w:t xml:space="preserve"> neuroendocrine tumors; Radiologic</w:t>
      </w:r>
      <w:r w:rsidR="00EA5FBD" w:rsidRPr="00E51A80">
        <w:rPr>
          <w:rFonts w:ascii="Book Antiqua" w:hAnsi="Book Antiqua" w:cs="Calibri"/>
          <w:sz w:val="20"/>
          <w:szCs w:val="20"/>
          <w:lang w:val="en-US"/>
        </w:rPr>
        <w:t xml:space="preserve">al response; </w:t>
      </w:r>
      <w:proofErr w:type="gramStart"/>
      <w:r w:rsidR="00EA5FBD" w:rsidRPr="00E51A80">
        <w:rPr>
          <w:rFonts w:ascii="Book Antiqua" w:hAnsi="Book Antiqua" w:cs="Calibri"/>
          <w:sz w:val="20"/>
          <w:szCs w:val="20"/>
          <w:lang w:val="en-US"/>
        </w:rPr>
        <w:t>Metabolic</w:t>
      </w:r>
      <w:proofErr w:type="gramEnd"/>
      <w:r w:rsidR="00EA5FBD" w:rsidRPr="00E51A80">
        <w:rPr>
          <w:rFonts w:ascii="Book Antiqua" w:hAnsi="Book Antiqua" w:cs="Calibri"/>
          <w:sz w:val="20"/>
          <w:szCs w:val="20"/>
          <w:lang w:val="en-US"/>
        </w:rPr>
        <w:t xml:space="preserve"> response</w:t>
      </w:r>
    </w:p>
    <w:p w:rsidR="002B7963" w:rsidRPr="00E51A80" w:rsidRDefault="002B7963" w:rsidP="007E3E0D">
      <w:pPr>
        <w:adjustRightInd w:val="0"/>
        <w:snapToGrid w:val="0"/>
        <w:spacing w:after="0" w:line="360" w:lineRule="auto"/>
        <w:jc w:val="both"/>
        <w:rPr>
          <w:rFonts w:ascii="Book Antiqua" w:hAnsi="Book Antiqua" w:cs="Calibri"/>
          <w:sz w:val="20"/>
          <w:szCs w:val="20"/>
          <w:lang w:val="en-US"/>
        </w:rPr>
      </w:pPr>
    </w:p>
    <w:p w:rsidR="00D30BD1" w:rsidRDefault="00D30BD1" w:rsidP="00D30BD1">
      <w:pPr>
        <w:adjustRightInd w:val="0"/>
        <w:snapToGrid w:val="0"/>
        <w:spacing w:line="360" w:lineRule="auto"/>
        <w:rPr>
          <w:rFonts w:ascii="Book Antiqua" w:hAnsi="Book Antiqua" w:cs="Calibri" w:hint="eastAsia"/>
          <w:bCs/>
          <w:sz w:val="20"/>
          <w:szCs w:val="20"/>
        </w:rPr>
      </w:pPr>
      <w:bookmarkStart w:id="38" w:name="OLE_LINK2878"/>
      <w:bookmarkStart w:id="39" w:name="OLE_LINK2194"/>
      <w:bookmarkStart w:id="40" w:name="OLE_LINK1939"/>
      <w:bookmarkStart w:id="41" w:name="OLE_LINK1764"/>
      <w:bookmarkStart w:id="42" w:name="OLE_LINK1763"/>
      <w:bookmarkStart w:id="43" w:name="OLE_LINK1762"/>
      <w:bookmarkStart w:id="44" w:name="OLE_LINK1635"/>
      <w:bookmarkStart w:id="45" w:name="OLE_LINK1634"/>
      <w:bookmarkStart w:id="46" w:name="OLE_LINK1225"/>
      <w:bookmarkStart w:id="47" w:name="OLE_LINK1224"/>
      <w:bookmarkStart w:id="48" w:name="OLE_LINK1044"/>
      <w:bookmarkStart w:id="49" w:name="OLE_LINK1322"/>
      <w:bookmarkStart w:id="50" w:name="OLE_LINK1155"/>
      <w:bookmarkStart w:id="51" w:name="OLE_LINK1154"/>
      <w:bookmarkStart w:id="52" w:name="OLE_LINK1196"/>
      <w:bookmarkStart w:id="53" w:name="OLE_LINK905"/>
      <w:bookmarkStart w:id="54" w:name="OLE_LINK742"/>
      <w:bookmarkStart w:id="55" w:name="OLE_LINK711"/>
      <w:bookmarkStart w:id="56" w:name="OLE_LINK533"/>
      <w:bookmarkStart w:id="57" w:name="OLE_LINK531"/>
      <w:r w:rsidRPr="00D30BD1">
        <w:rPr>
          <w:rFonts w:ascii="Book Antiqua" w:hAnsi="Book Antiqua" w:cs="Calibri" w:hint="eastAsia"/>
          <w:b/>
          <w:sz w:val="20"/>
          <w:szCs w:val="20"/>
        </w:rPr>
        <w:t>Citation:</w:t>
      </w:r>
      <w:r>
        <w:rPr>
          <w:rFonts w:ascii="Book Antiqua" w:hAnsi="Book Antiqua" w:cs="Calibri" w:hint="eastAsia"/>
          <w:sz w:val="20"/>
          <w:szCs w:val="20"/>
        </w:rPr>
        <w:t xml:space="preserve"> </w:t>
      </w:r>
      <w:r>
        <w:rPr>
          <w:rFonts w:ascii="Book Antiqua" w:hAnsi="Book Antiqua" w:cs="Calibri"/>
          <w:sz w:val="20"/>
          <w:szCs w:val="20"/>
        </w:rPr>
        <w:t xml:space="preserve">Abou Jokh Casas E, Pubul V, Anido-Herranz U, Mallón M, Pombo M, Garrido M, Cabezas JM, Cameselle JM, Hilal A, Ruibal Á. </w:t>
      </w:r>
      <w:r>
        <w:rPr>
          <w:rFonts w:ascii="Book Antiqua" w:hAnsi="Book Antiqua" w:cs="Calibri"/>
          <w:bCs/>
          <w:sz w:val="20"/>
          <w:szCs w:val="20"/>
        </w:rPr>
        <w:t xml:space="preserve">Evaluation of </w:t>
      </w:r>
      <w:r>
        <w:rPr>
          <w:rFonts w:ascii="Book Antiqua" w:hAnsi="Book Antiqua" w:cs="Calibri"/>
          <w:bCs/>
          <w:sz w:val="20"/>
          <w:szCs w:val="20"/>
          <w:vertAlign w:val="superscript"/>
        </w:rPr>
        <w:t>177</w:t>
      </w:r>
      <w:r>
        <w:rPr>
          <w:rFonts w:ascii="Book Antiqua" w:hAnsi="Book Antiqua" w:cs="Calibri"/>
          <w:bCs/>
          <w:sz w:val="20"/>
          <w:szCs w:val="20"/>
        </w:rPr>
        <w:t xml:space="preserve">Lu-Dotatate treatment in patients with metastatic neuroendocrine tumors and prognostic factors. </w:t>
      </w:r>
      <w:r>
        <w:rPr>
          <w:rFonts w:ascii="Book Antiqua" w:hAnsi="Book Antiqua"/>
          <w:i/>
          <w:sz w:val="20"/>
          <w:szCs w:val="20"/>
        </w:rPr>
        <w:t>World J Gastroenterol</w:t>
      </w:r>
      <w:r>
        <w:rPr>
          <w:rFonts w:ascii="Book Antiqua" w:hAnsi="Book Antiqua"/>
          <w:sz w:val="20"/>
          <w:szCs w:val="20"/>
        </w:rPr>
        <w:t xml:space="preserve"> </w:t>
      </w:r>
      <w:r>
        <w:rPr>
          <w:rFonts w:ascii="Book Antiqua" w:hAnsi="Book Antiqua" w:cs="Calibri"/>
          <w:bCs/>
          <w:sz w:val="20"/>
          <w:szCs w:val="20"/>
        </w:rPr>
        <w:t xml:space="preserve">2020; 26(13): 1513-1524  </w:t>
      </w:r>
      <w:r w:rsidRPr="00D30BD1">
        <w:rPr>
          <w:rFonts w:ascii="Book Antiqua" w:hAnsi="Book Antiqua" w:cs="Calibri"/>
          <w:b/>
          <w:bCs/>
          <w:sz w:val="20"/>
          <w:szCs w:val="20"/>
        </w:rPr>
        <w:t>URL</w:t>
      </w:r>
      <w:r>
        <w:rPr>
          <w:rFonts w:ascii="Book Antiqua" w:hAnsi="Book Antiqua" w:cs="Calibri"/>
          <w:bCs/>
          <w:sz w:val="20"/>
          <w:szCs w:val="20"/>
        </w:rPr>
        <w:t xml:space="preserve">: </w:t>
      </w:r>
      <w:r>
        <w:rPr>
          <w:rFonts w:ascii="Book Antiqua" w:hAnsi="Book Antiqua" w:cs="Calibri"/>
          <w:bCs/>
          <w:sz w:val="20"/>
          <w:szCs w:val="20"/>
        </w:rPr>
        <w:fldChar w:fldCharType="begin"/>
      </w:r>
      <w:r>
        <w:rPr>
          <w:rFonts w:ascii="Book Antiqua" w:hAnsi="Book Antiqua" w:cs="Calibri"/>
          <w:bCs/>
          <w:sz w:val="20"/>
          <w:szCs w:val="20"/>
        </w:rPr>
        <w:instrText xml:space="preserve"> HYPERLINK "https://www.wjgnet.com/1007-9327/full/v26/i13/1513.htm" </w:instrText>
      </w:r>
      <w:r>
        <w:rPr>
          <w:rFonts w:ascii="Book Antiqua" w:hAnsi="Book Antiqua" w:cs="Calibri"/>
          <w:bCs/>
          <w:sz w:val="20"/>
          <w:szCs w:val="20"/>
        </w:rPr>
        <w:fldChar w:fldCharType="separate"/>
      </w:r>
      <w:r w:rsidRPr="001F43F3">
        <w:rPr>
          <w:rStyle w:val="a4"/>
          <w:rFonts w:ascii="Book Antiqua" w:hAnsi="Book Antiqua" w:cs="Calibri"/>
          <w:bCs/>
          <w:sz w:val="20"/>
          <w:szCs w:val="20"/>
        </w:rPr>
        <w:t>https://www.wjgnet.com/1007-9327/full/v26/i13/1513.htm</w:t>
      </w:r>
      <w:r>
        <w:rPr>
          <w:rFonts w:ascii="Book Antiqua" w:hAnsi="Book Antiqua" w:cs="Calibri"/>
          <w:bCs/>
          <w:sz w:val="20"/>
          <w:szCs w:val="20"/>
        </w:rPr>
        <w:fldChar w:fldCharType="end"/>
      </w:r>
      <w:r>
        <w:rPr>
          <w:rFonts w:ascii="Book Antiqua" w:hAnsi="Book Antiqua" w:cs="Calibri"/>
          <w:bCs/>
          <w:sz w:val="20"/>
          <w:szCs w:val="20"/>
        </w:rPr>
        <w:t xml:space="preserve"> </w:t>
      </w:r>
    </w:p>
    <w:p w:rsidR="00D30BD1" w:rsidRDefault="00D30BD1" w:rsidP="00D30BD1">
      <w:pPr>
        <w:adjustRightInd w:val="0"/>
        <w:snapToGrid w:val="0"/>
        <w:spacing w:line="360" w:lineRule="auto"/>
        <w:rPr>
          <w:rFonts w:ascii="Book Antiqua" w:hAnsi="Book Antiqua" w:cs="Calibri"/>
          <w:bCs/>
          <w:sz w:val="20"/>
          <w:szCs w:val="20"/>
        </w:rPr>
      </w:pPr>
      <w:r w:rsidRPr="00D30BD1">
        <w:rPr>
          <w:rFonts w:ascii="Book Antiqua" w:hAnsi="Book Antiqua" w:cs="Calibri"/>
          <w:b/>
          <w:bCs/>
          <w:sz w:val="20"/>
          <w:szCs w:val="20"/>
        </w:rPr>
        <w:t>DOI:</w:t>
      </w:r>
      <w:r>
        <w:rPr>
          <w:rFonts w:ascii="Book Antiqua" w:hAnsi="Book Antiqua" w:cs="Calibri"/>
          <w:bCs/>
          <w:sz w:val="20"/>
          <w:szCs w:val="20"/>
        </w:rPr>
        <w:t xml:space="preserve"> https://dx.doi.org/10.3748/wjg.v26.i13.1513</w:t>
      </w:r>
    </w:p>
    <w:p w:rsidR="00EA5FBD" w:rsidRPr="00D30BD1" w:rsidRDefault="00EA5FBD" w:rsidP="007E3E0D">
      <w:pPr>
        <w:pStyle w:val="10"/>
        <w:adjustRightInd w:val="0"/>
        <w:snapToGrid w:val="0"/>
        <w:spacing w:line="360" w:lineRule="auto"/>
        <w:jc w:val="both"/>
        <w:rPr>
          <w:rFonts w:ascii="Book Antiqua" w:hAnsi="Book Antiqua" w:cs="Times New Roman"/>
          <w:b/>
          <w:color w:val="auto"/>
          <w:sz w:val="20"/>
          <w:lang w:val="es-ES"/>
        </w:rPr>
      </w:pPr>
    </w:p>
    <w:p w:rsidR="002B7963" w:rsidRPr="00E51A80" w:rsidRDefault="002B7963" w:rsidP="007E3E0D">
      <w:pPr>
        <w:pStyle w:val="10"/>
        <w:adjustRightInd w:val="0"/>
        <w:snapToGrid w:val="0"/>
        <w:spacing w:line="360" w:lineRule="auto"/>
        <w:jc w:val="both"/>
        <w:rPr>
          <w:rFonts w:ascii="Book Antiqua" w:hAnsi="Book Antiqua"/>
          <w:color w:val="auto"/>
          <w:sz w:val="20"/>
          <w:lang w:val="en-US"/>
        </w:rPr>
      </w:pPr>
      <w:r w:rsidRPr="00E51A80">
        <w:rPr>
          <w:rFonts w:ascii="Book Antiqua" w:hAnsi="Book Antiqua" w:cs="Times New Roman"/>
          <w:b/>
          <w:color w:val="auto"/>
          <w:sz w:val="20"/>
          <w:lang w:val="en-US"/>
        </w:rPr>
        <w:t>Core tip:</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E51A80">
        <w:rPr>
          <w:rFonts w:ascii="Book Antiqua" w:hAnsi="Book Antiqua" w:cs="Times New Roman"/>
          <w:b/>
          <w:color w:val="auto"/>
          <w:sz w:val="20"/>
          <w:lang w:val="en-US"/>
        </w:rPr>
        <w:t xml:space="preserve"> </w:t>
      </w:r>
      <w:bookmarkEnd w:id="53"/>
      <w:bookmarkEnd w:id="54"/>
      <w:bookmarkEnd w:id="55"/>
      <w:bookmarkEnd w:id="56"/>
      <w:bookmarkEnd w:id="57"/>
      <w:r w:rsidRPr="00E51A80">
        <w:rPr>
          <w:rFonts w:ascii="Book Antiqua" w:hAnsi="Book Antiqua" w:cs="Times New Roman"/>
          <w:bCs/>
          <w:color w:val="auto"/>
          <w:sz w:val="20"/>
          <w:lang w:val="en-US"/>
        </w:rPr>
        <w:t>Pe</w:t>
      </w:r>
      <w:r w:rsidRPr="00E51A80">
        <w:rPr>
          <w:rFonts w:ascii="Book Antiqua" w:hAnsi="Book Antiqua" w:cs="Times New Roman"/>
          <w:color w:val="auto"/>
          <w:sz w:val="20"/>
          <w:lang w:val="en-US"/>
        </w:rPr>
        <w:t xml:space="preserve">ptide receptor radionuclide therapy has been used successfully in patients diagnosed with metastatic </w:t>
      </w:r>
      <w:proofErr w:type="spellStart"/>
      <w:r w:rsidRPr="00E51A80">
        <w:rPr>
          <w:rFonts w:ascii="Book Antiqua" w:hAnsi="Book Antiqua" w:cs="Times New Roman"/>
          <w:color w:val="auto"/>
          <w:sz w:val="20"/>
          <w:lang w:val="en-US"/>
        </w:rPr>
        <w:t>gastroenteropancreatic</w:t>
      </w:r>
      <w:proofErr w:type="spellEnd"/>
      <w:r w:rsidRPr="00E51A80">
        <w:rPr>
          <w:rFonts w:ascii="Book Antiqua" w:hAnsi="Book Antiqua" w:cs="Times New Roman"/>
          <w:color w:val="auto"/>
          <w:sz w:val="20"/>
          <w:lang w:val="en-US"/>
        </w:rPr>
        <w:t xml:space="preserve"> </w:t>
      </w:r>
      <w:proofErr w:type="spellStart"/>
      <w:r w:rsidRPr="00E51A80">
        <w:rPr>
          <w:rFonts w:ascii="Book Antiqua" w:hAnsi="Book Antiqua" w:cs="Times New Roman"/>
          <w:color w:val="auto"/>
          <w:sz w:val="20"/>
          <w:lang w:val="en-US"/>
        </w:rPr>
        <w:t>somatostatin</w:t>
      </w:r>
      <w:proofErr w:type="spellEnd"/>
      <w:r w:rsidRPr="00E51A80">
        <w:rPr>
          <w:rFonts w:ascii="Book Antiqua" w:hAnsi="Book Antiqua" w:cs="Times New Roman"/>
          <w:color w:val="auto"/>
          <w:sz w:val="20"/>
          <w:lang w:val="en-US"/>
        </w:rPr>
        <w:t xml:space="preserve"> receptor positive tumors when </w:t>
      </w:r>
      <w:proofErr w:type="spellStart"/>
      <w:r w:rsidRPr="00E51A80">
        <w:rPr>
          <w:rFonts w:ascii="Book Antiqua" w:hAnsi="Book Antiqua" w:cs="Times New Roman"/>
          <w:color w:val="auto"/>
          <w:sz w:val="20"/>
          <w:lang w:val="en-US"/>
        </w:rPr>
        <w:t>cytoreductive</w:t>
      </w:r>
      <w:proofErr w:type="spellEnd"/>
      <w:r w:rsidRPr="00E51A80">
        <w:rPr>
          <w:rFonts w:ascii="Book Antiqua" w:hAnsi="Book Antiqua" w:cs="Times New Roman"/>
          <w:color w:val="auto"/>
          <w:sz w:val="20"/>
          <w:lang w:val="en-US"/>
        </w:rPr>
        <w:t xml:space="preserve"> options are limited. In this study we found that overall survival was inversely proportional to toxicity to previous treatments and directly proportional to matching lesion findings between </w:t>
      </w:r>
      <w:proofErr w:type="spellStart"/>
      <w:r w:rsidR="003A7D70" w:rsidRPr="00E51A80">
        <w:rPr>
          <w:rFonts w:ascii="Book Antiqua" w:hAnsi="Book Antiqua" w:cs="Times New Roman"/>
          <w:color w:val="auto"/>
          <w:sz w:val="20"/>
          <w:lang w:val="en-US"/>
        </w:rPr>
        <w:t>Octreoscan</w:t>
      </w:r>
      <w:proofErr w:type="spellEnd"/>
      <w:r w:rsidRPr="00E51A80">
        <w:rPr>
          <w:rFonts w:ascii="Book Antiqua" w:hAnsi="Book Antiqua" w:cs="Times New Roman"/>
          <w:color w:val="auto"/>
          <w:sz w:val="20"/>
          <w:lang w:val="en-US"/>
        </w:rPr>
        <w:t xml:space="preserve"> and </w:t>
      </w:r>
      <w:r w:rsidR="00EA5FBD" w:rsidRPr="00E51A80">
        <w:rPr>
          <w:rFonts w:ascii="Book Antiqua" w:hAnsi="Book Antiqua" w:cs="Times New Roman"/>
          <w:color w:val="auto"/>
          <w:sz w:val="20"/>
          <w:lang w:val="en-US"/>
        </w:rPr>
        <w:t>computed tomography</w:t>
      </w:r>
      <w:r w:rsidRPr="00E51A80">
        <w:rPr>
          <w:rFonts w:ascii="Book Antiqua" w:hAnsi="Book Antiqua" w:cs="Times New Roman"/>
          <w:color w:val="auto"/>
          <w:sz w:val="20"/>
          <w:lang w:val="en-US"/>
        </w:rPr>
        <w:t xml:space="preserve"> pre-</w:t>
      </w:r>
      <w:r w:rsidR="00EA5FBD" w:rsidRPr="00E51A80">
        <w:rPr>
          <w:rFonts w:ascii="Book Antiqua" w:hAnsi="Book Antiqua" w:cs="Times New Roman"/>
          <w:bCs/>
          <w:color w:val="auto"/>
          <w:sz w:val="20"/>
          <w:lang w:val="en-US"/>
        </w:rPr>
        <w:t>pe</w:t>
      </w:r>
      <w:r w:rsidR="00EA5FBD" w:rsidRPr="00E51A80">
        <w:rPr>
          <w:rFonts w:ascii="Book Antiqua" w:hAnsi="Book Antiqua" w:cs="Times New Roman"/>
          <w:color w:val="auto"/>
          <w:sz w:val="20"/>
          <w:lang w:val="en-US"/>
        </w:rPr>
        <w:t>ptide receptor radionuclide therapy</w:t>
      </w:r>
      <w:r w:rsidRPr="00E51A80">
        <w:rPr>
          <w:rFonts w:ascii="Book Antiqua" w:hAnsi="Book Antiqua" w:cs="Times New Roman"/>
          <w:color w:val="auto"/>
          <w:sz w:val="20"/>
          <w:lang w:val="en-US"/>
        </w:rPr>
        <w:t>, tumor grade, bone metastasis and primar</w:t>
      </w:r>
      <w:r w:rsidR="00EA5FBD" w:rsidRPr="00E51A80">
        <w:rPr>
          <w:rFonts w:ascii="Book Antiqua" w:hAnsi="Book Antiqua" w:cs="Times New Roman"/>
          <w:color w:val="auto"/>
          <w:sz w:val="20"/>
          <w:lang w:val="en-US"/>
        </w:rPr>
        <w:t xml:space="preserve">y tumor and metastasis surgery. </w:t>
      </w:r>
      <w:r w:rsidRPr="00E51A80">
        <w:rPr>
          <w:rFonts w:ascii="Book Antiqua" w:hAnsi="Book Antiqua" w:cs="Times New Roman"/>
          <w:color w:val="auto"/>
          <w:sz w:val="20"/>
          <w:lang w:val="en-US"/>
        </w:rPr>
        <w:t>Also, pseudo-progression in the middle of the treatment was a common finding that should be taken into consideration by clinicians in daily practice.</w:t>
      </w:r>
    </w:p>
    <w:p w:rsidR="002B7963" w:rsidRPr="00E51A80" w:rsidRDefault="001F68D3" w:rsidP="007E3E0D">
      <w:pPr>
        <w:adjustRightInd w:val="0"/>
        <w:snapToGrid w:val="0"/>
        <w:spacing w:after="0" w:line="360" w:lineRule="auto"/>
        <w:jc w:val="both"/>
        <w:rPr>
          <w:rFonts w:ascii="Book Antiqua" w:hAnsi="Book Antiqua"/>
          <w:b/>
          <w:sz w:val="20"/>
          <w:szCs w:val="20"/>
          <w:u w:val="single"/>
          <w:lang w:val="en-US"/>
        </w:rPr>
      </w:pPr>
      <w:r w:rsidRPr="00E51A80">
        <w:rPr>
          <w:rFonts w:ascii="Book Antiqua" w:hAnsi="Book Antiqua"/>
          <w:sz w:val="20"/>
          <w:szCs w:val="20"/>
          <w:lang w:val="en-US"/>
        </w:rPr>
        <w:br w:type="page"/>
      </w:r>
      <w:r w:rsidRPr="00E51A80">
        <w:rPr>
          <w:rFonts w:ascii="Book Antiqua" w:hAnsi="Book Antiqua"/>
          <w:b/>
          <w:sz w:val="20"/>
          <w:szCs w:val="20"/>
          <w:u w:val="single"/>
          <w:lang w:val="en-US"/>
        </w:rPr>
        <w:lastRenderedPageBreak/>
        <w:t>INTRODUCTION</w:t>
      </w:r>
      <w:r w:rsidR="002B7963" w:rsidRPr="00E51A80">
        <w:rPr>
          <w:rFonts w:ascii="Book Antiqua" w:hAnsi="Book Antiqua" w:cs="Calibri"/>
          <w:b/>
          <w:bCs/>
          <w:sz w:val="20"/>
          <w:szCs w:val="20"/>
          <w:lang w:val="en-US"/>
        </w:rPr>
        <w:t xml:space="preserve"> </w:t>
      </w: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sz w:val="20"/>
          <w:szCs w:val="20"/>
          <w:lang w:val="en-US"/>
        </w:rPr>
        <w:t xml:space="preserve">Neuroendocrine tumors (NETs) form a heterogeneous group of neoplasms with predominantly neuroendocrine differentiation that can develop in any place of the human body and that have the ability to secrete peptides and </w:t>
      </w:r>
      <w:proofErr w:type="spellStart"/>
      <w:proofErr w:type="gramStart"/>
      <w:r w:rsidRPr="00E51A80">
        <w:rPr>
          <w:rFonts w:ascii="Book Antiqua" w:hAnsi="Book Antiqua" w:cs="Calibri"/>
          <w:sz w:val="20"/>
          <w:szCs w:val="20"/>
          <w:lang w:val="en-US"/>
        </w:rPr>
        <w:t>neuroamines</w:t>
      </w:r>
      <w:proofErr w:type="spellEnd"/>
      <w:r w:rsidR="001F68D3" w:rsidRPr="00E51A80">
        <w:rPr>
          <w:rFonts w:ascii="Book Antiqua" w:hAnsi="Book Antiqua"/>
          <w:sz w:val="20"/>
          <w:szCs w:val="20"/>
          <w:vertAlign w:val="superscript"/>
          <w:lang w:val="en-US"/>
        </w:rPr>
        <w:t>[</w:t>
      </w:r>
      <w:proofErr w:type="gramEnd"/>
      <w:r w:rsidR="001F68D3" w:rsidRPr="00E51A80">
        <w:rPr>
          <w:rFonts w:ascii="Book Antiqua" w:hAnsi="Book Antiqua"/>
          <w:sz w:val="20"/>
          <w:szCs w:val="20"/>
          <w:vertAlign w:val="superscript"/>
          <w:lang w:val="en-US"/>
        </w:rPr>
        <w:t>1]</w:t>
      </w:r>
      <w:r w:rsidRPr="00E51A80">
        <w:rPr>
          <w:rFonts w:ascii="Book Antiqua" w:hAnsi="Book Antiqua" w:cs="Calibri"/>
          <w:sz w:val="20"/>
          <w:szCs w:val="20"/>
          <w:lang w:val="en-US"/>
        </w:rPr>
        <w:t>. Physiologically the transcription factors that direct fate and cell proliferation during embryological development maintain a balance between proliferation, cellular differentiation and apoptosis</w:t>
      </w:r>
      <w:r w:rsidR="00D400DE" w:rsidRPr="00E51A80">
        <w:rPr>
          <w:rFonts w:ascii="Book Antiqua" w:hAnsi="Book Antiqua" w:cs="Calibri"/>
          <w:sz w:val="20"/>
          <w:szCs w:val="20"/>
          <w:lang w:val="en-US"/>
        </w:rPr>
        <w:t>.</w:t>
      </w:r>
      <w:r w:rsidRPr="00E51A80">
        <w:rPr>
          <w:rFonts w:ascii="Book Antiqua" w:hAnsi="Book Antiqua" w:cs="Calibri"/>
          <w:sz w:val="20"/>
          <w:szCs w:val="20"/>
          <w:lang w:val="en-US"/>
        </w:rPr>
        <w:t xml:space="preserve"> </w:t>
      </w:r>
      <w:r w:rsidR="00D400DE" w:rsidRPr="00E51A80">
        <w:rPr>
          <w:rFonts w:ascii="Book Antiqua" w:hAnsi="Book Antiqua" w:cs="Calibri"/>
          <w:sz w:val="20"/>
          <w:szCs w:val="20"/>
          <w:lang w:val="en-US"/>
        </w:rPr>
        <w:t>T</w:t>
      </w:r>
      <w:r w:rsidRPr="00E51A80">
        <w:rPr>
          <w:rFonts w:ascii="Book Antiqua" w:hAnsi="Book Antiqua" w:cs="Calibri"/>
          <w:sz w:val="20"/>
          <w:szCs w:val="20"/>
          <w:lang w:val="en-US"/>
        </w:rPr>
        <w:t>herefore</w:t>
      </w:r>
      <w:r w:rsidR="00D400DE" w:rsidRPr="00E51A80">
        <w:rPr>
          <w:rFonts w:ascii="Book Antiqua" w:hAnsi="Book Antiqua" w:cs="Calibri"/>
          <w:sz w:val="20"/>
          <w:szCs w:val="20"/>
          <w:lang w:val="en-US"/>
        </w:rPr>
        <w:t>,</w:t>
      </w:r>
      <w:r w:rsidRPr="00E51A80">
        <w:rPr>
          <w:rFonts w:ascii="Book Antiqua" w:hAnsi="Book Antiqua" w:cs="Calibri"/>
          <w:sz w:val="20"/>
          <w:szCs w:val="20"/>
          <w:lang w:val="en-US"/>
        </w:rPr>
        <w:t xml:space="preserve"> its disturbance</w:t>
      </w:r>
      <w:r w:rsidR="001F68D3" w:rsidRPr="00E51A80">
        <w:rPr>
          <w:rFonts w:ascii="Book Antiqua" w:hAnsi="Book Antiqua" w:cs="Calibri"/>
          <w:sz w:val="20"/>
          <w:szCs w:val="20"/>
          <w:lang w:val="en-US"/>
        </w:rPr>
        <w:t xml:space="preserve"> play</w:t>
      </w:r>
      <w:r w:rsidR="00D400DE" w:rsidRPr="00E51A80">
        <w:rPr>
          <w:rFonts w:ascii="Book Antiqua" w:hAnsi="Book Antiqua" w:cs="Calibri"/>
          <w:sz w:val="20"/>
          <w:szCs w:val="20"/>
          <w:lang w:val="en-US"/>
        </w:rPr>
        <w:t>s</w:t>
      </w:r>
      <w:r w:rsidR="001F68D3" w:rsidRPr="00E51A80">
        <w:rPr>
          <w:rFonts w:ascii="Book Antiqua" w:hAnsi="Book Antiqua" w:cs="Calibri"/>
          <w:sz w:val="20"/>
          <w:szCs w:val="20"/>
          <w:lang w:val="en-US"/>
        </w:rPr>
        <w:t xml:space="preserve"> a key role in </w:t>
      </w:r>
      <w:proofErr w:type="spellStart"/>
      <w:proofErr w:type="gramStart"/>
      <w:r w:rsidR="001F68D3" w:rsidRPr="00E51A80">
        <w:rPr>
          <w:rFonts w:ascii="Book Antiqua" w:hAnsi="Book Antiqua" w:cs="Calibri"/>
          <w:sz w:val="20"/>
          <w:szCs w:val="20"/>
          <w:lang w:val="en-US"/>
        </w:rPr>
        <w:t>oncogenesis</w:t>
      </w:r>
      <w:proofErr w:type="spellEnd"/>
      <w:r w:rsidR="001F68D3" w:rsidRPr="00E51A80">
        <w:rPr>
          <w:rFonts w:ascii="Book Antiqua" w:hAnsi="Book Antiqua" w:cs="Calibri"/>
          <w:sz w:val="20"/>
          <w:szCs w:val="20"/>
          <w:vertAlign w:val="superscript"/>
          <w:lang w:val="en-US"/>
        </w:rPr>
        <w:t>[</w:t>
      </w:r>
      <w:proofErr w:type="gramEnd"/>
      <w:r w:rsidR="001F68D3" w:rsidRPr="00E51A80">
        <w:rPr>
          <w:rFonts w:ascii="Book Antiqua" w:hAnsi="Book Antiqua" w:cs="Calibri"/>
          <w:sz w:val="20"/>
          <w:szCs w:val="20"/>
          <w:vertAlign w:val="superscript"/>
          <w:lang w:val="en-US"/>
        </w:rPr>
        <w:t>1]</w:t>
      </w:r>
      <w:r w:rsidRPr="00E51A80">
        <w:rPr>
          <w:rFonts w:ascii="Book Antiqua" w:hAnsi="Book Antiqua" w:cs="Calibri"/>
          <w:sz w:val="20"/>
          <w:szCs w:val="20"/>
          <w:lang w:val="en-US"/>
        </w:rPr>
        <w:t>. This can lead to a malignant transformation of cells of the neuroendocrine system</w:t>
      </w:r>
      <w:r w:rsidR="00D400DE" w:rsidRPr="00E51A80">
        <w:rPr>
          <w:rFonts w:ascii="Book Antiqua" w:hAnsi="Book Antiqua" w:cs="Calibri"/>
          <w:sz w:val="20"/>
          <w:szCs w:val="20"/>
          <w:lang w:val="en-US"/>
        </w:rPr>
        <w:t>,</w:t>
      </w:r>
      <w:r w:rsidRPr="00E51A80">
        <w:rPr>
          <w:rFonts w:ascii="Book Antiqua" w:hAnsi="Book Antiqua" w:cs="Calibri"/>
          <w:sz w:val="20"/>
          <w:szCs w:val="20"/>
          <w:lang w:val="en-US"/>
        </w:rPr>
        <w:t xml:space="preserve"> which derives from the neural crest and endoderm and is characterized by its capacity to generate peptides that produce hormonal </w:t>
      </w:r>
      <w:proofErr w:type="gramStart"/>
      <w:r w:rsidRPr="00E51A80">
        <w:rPr>
          <w:rFonts w:ascii="Book Antiqua" w:hAnsi="Book Antiqua" w:cs="Calibri"/>
          <w:sz w:val="20"/>
          <w:szCs w:val="20"/>
          <w:lang w:val="en-US"/>
        </w:rPr>
        <w:t>syndromes</w:t>
      </w:r>
      <w:r w:rsidR="001F68D3" w:rsidRPr="00E51A80">
        <w:rPr>
          <w:rFonts w:ascii="Book Antiqua" w:hAnsi="Book Antiqua"/>
          <w:sz w:val="20"/>
          <w:szCs w:val="20"/>
          <w:vertAlign w:val="superscript"/>
          <w:lang w:val="en-US"/>
        </w:rPr>
        <w:t>[</w:t>
      </w:r>
      <w:proofErr w:type="gramEnd"/>
      <w:r w:rsidR="001F68D3" w:rsidRPr="00E51A80">
        <w:rPr>
          <w:rFonts w:ascii="Book Antiqua" w:hAnsi="Book Antiqua"/>
          <w:sz w:val="20"/>
          <w:szCs w:val="20"/>
          <w:vertAlign w:val="superscript"/>
          <w:lang w:val="en-US"/>
        </w:rPr>
        <w:t>1]</w:t>
      </w:r>
      <w:r w:rsidR="001F68D3" w:rsidRPr="00E51A80">
        <w:rPr>
          <w:rFonts w:ascii="Book Antiqua" w:hAnsi="Book Antiqua" w:cs="Calibri"/>
          <w:sz w:val="20"/>
          <w:szCs w:val="20"/>
          <w:lang w:val="en-US"/>
        </w:rPr>
        <w:t>.</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t xml:space="preserve">Although they can originate from any organ, </w:t>
      </w:r>
      <w:proofErr w:type="spellStart"/>
      <w:r w:rsidRPr="00E51A80">
        <w:rPr>
          <w:rFonts w:ascii="Book Antiqua" w:hAnsi="Book Antiqua" w:cs="Calibri"/>
          <w:sz w:val="20"/>
          <w:szCs w:val="20"/>
          <w:lang w:val="en-US"/>
        </w:rPr>
        <w:t>gastroenteropancreatic</w:t>
      </w:r>
      <w:proofErr w:type="spellEnd"/>
      <w:r w:rsidRPr="00E51A80">
        <w:rPr>
          <w:rFonts w:ascii="Book Antiqua" w:hAnsi="Book Antiqua" w:cs="Calibri"/>
          <w:sz w:val="20"/>
          <w:szCs w:val="20"/>
          <w:lang w:val="en-US"/>
        </w:rPr>
        <w:t xml:space="preserve"> endocrine tumors are the most numerous (67.5%) followed by </w:t>
      </w:r>
      <w:proofErr w:type="spellStart"/>
      <w:r w:rsidRPr="00E51A80">
        <w:rPr>
          <w:rFonts w:ascii="Book Antiqua" w:hAnsi="Book Antiqua" w:cs="Calibri"/>
          <w:sz w:val="20"/>
          <w:szCs w:val="20"/>
          <w:lang w:val="en-US"/>
        </w:rPr>
        <w:t>bronchopul</w:t>
      </w:r>
      <w:r w:rsidR="001F68D3" w:rsidRPr="00E51A80">
        <w:rPr>
          <w:rFonts w:ascii="Book Antiqua" w:hAnsi="Book Antiqua" w:cs="Calibri"/>
          <w:sz w:val="20"/>
          <w:szCs w:val="20"/>
          <w:lang w:val="en-US"/>
        </w:rPr>
        <w:t>monary</w:t>
      </w:r>
      <w:proofErr w:type="spellEnd"/>
      <w:r w:rsidR="001F68D3" w:rsidRPr="00E51A80">
        <w:rPr>
          <w:rFonts w:ascii="Book Antiqua" w:hAnsi="Book Antiqua" w:cs="Calibri"/>
          <w:sz w:val="20"/>
          <w:szCs w:val="20"/>
          <w:lang w:val="en-US"/>
        </w:rPr>
        <w:t xml:space="preserve"> tumors (25.3%</w:t>
      </w:r>
      <w:proofErr w:type="gramStart"/>
      <w:r w:rsidR="001F68D3" w:rsidRPr="00E51A80">
        <w:rPr>
          <w:rFonts w:ascii="Book Antiqua" w:hAnsi="Book Antiqua" w:cs="Calibri"/>
          <w:sz w:val="20"/>
          <w:szCs w:val="20"/>
          <w:lang w:val="en-US"/>
        </w:rPr>
        <w:t>)</w:t>
      </w:r>
      <w:r w:rsidR="001F68D3" w:rsidRPr="00E51A80">
        <w:rPr>
          <w:rFonts w:ascii="Book Antiqua" w:hAnsi="Book Antiqua"/>
          <w:sz w:val="20"/>
          <w:szCs w:val="20"/>
          <w:vertAlign w:val="superscript"/>
          <w:lang w:val="en-US"/>
        </w:rPr>
        <w:t>[</w:t>
      </w:r>
      <w:proofErr w:type="gramEnd"/>
      <w:r w:rsidR="00DA60B5" w:rsidRPr="00E51A80">
        <w:rPr>
          <w:rFonts w:ascii="Book Antiqua" w:hAnsi="Book Antiqua"/>
          <w:sz w:val="20"/>
          <w:szCs w:val="20"/>
          <w:vertAlign w:val="superscript"/>
          <w:lang w:val="en-US"/>
        </w:rPr>
        <w:t>2</w:t>
      </w:r>
      <w:r w:rsidR="001F68D3" w:rsidRPr="00E51A80">
        <w:rPr>
          <w:rFonts w:ascii="Book Antiqua" w:hAnsi="Book Antiqua"/>
          <w:sz w:val="20"/>
          <w:szCs w:val="20"/>
          <w:vertAlign w:val="superscript"/>
          <w:lang w:val="en-US"/>
        </w:rPr>
        <w:t>]</w:t>
      </w:r>
      <w:r w:rsidRPr="00E51A80">
        <w:rPr>
          <w:rFonts w:ascii="Book Antiqua" w:hAnsi="Book Antiqua" w:cs="Calibri"/>
          <w:sz w:val="20"/>
          <w:szCs w:val="20"/>
          <w:lang w:val="en-US"/>
        </w:rPr>
        <w:t xml:space="preserve">, </w:t>
      </w:r>
      <w:r w:rsidR="00D400DE" w:rsidRPr="00E51A80">
        <w:rPr>
          <w:rFonts w:ascii="Book Antiqua" w:hAnsi="Book Antiqua" w:cs="Calibri"/>
          <w:sz w:val="20"/>
          <w:szCs w:val="20"/>
          <w:lang w:val="en-US"/>
        </w:rPr>
        <w:t xml:space="preserve">and </w:t>
      </w:r>
      <w:r w:rsidRPr="00E51A80">
        <w:rPr>
          <w:rFonts w:ascii="Book Antiqua" w:hAnsi="Book Antiqua" w:cs="Calibri"/>
          <w:sz w:val="20"/>
          <w:szCs w:val="20"/>
          <w:lang w:val="en-US"/>
        </w:rPr>
        <w:t>the remaining cases ar</w:t>
      </w:r>
      <w:r w:rsidR="001F68D3" w:rsidRPr="00E51A80">
        <w:rPr>
          <w:rFonts w:ascii="Book Antiqua" w:hAnsi="Book Antiqua" w:cs="Calibri"/>
          <w:sz w:val="20"/>
          <w:szCs w:val="20"/>
          <w:lang w:val="en-US"/>
        </w:rPr>
        <w:t xml:space="preserve">ise in other endocrine tissues. </w:t>
      </w:r>
      <w:r w:rsidRPr="00E51A80">
        <w:rPr>
          <w:rFonts w:ascii="Book Antiqua" w:hAnsi="Book Antiqua" w:cs="Calibri"/>
          <w:sz w:val="20"/>
          <w:szCs w:val="20"/>
          <w:lang w:val="en-US"/>
        </w:rPr>
        <w:t xml:space="preserve">The most common site of </w:t>
      </w:r>
      <w:proofErr w:type="spellStart"/>
      <w:r w:rsidR="00D400DE" w:rsidRPr="00E51A80">
        <w:rPr>
          <w:rFonts w:ascii="Book Antiqua" w:hAnsi="Book Antiqua" w:cs="Calibri"/>
          <w:sz w:val="20"/>
          <w:szCs w:val="20"/>
          <w:lang w:val="en-US"/>
        </w:rPr>
        <w:t>gastroenteropancreatic</w:t>
      </w:r>
      <w:proofErr w:type="spellEnd"/>
      <w:r w:rsidR="00D400DE" w:rsidRPr="00E51A80">
        <w:rPr>
          <w:rFonts w:ascii="Book Antiqua" w:hAnsi="Book Antiqua" w:cs="Calibri"/>
          <w:sz w:val="20"/>
          <w:szCs w:val="20"/>
          <w:lang w:val="en-US"/>
        </w:rPr>
        <w:t xml:space="preserve"> endocrine tumors</w:t>
      </w:r>
      <w:r w:rsidRPr="00E51A80">
        <w:rPr>
          <w:rFonts w:ascii="Book Antiqua" w:hAnsi="Book Antiqua" w:cs="Calibri"/>
          <w:sz w:val="20"/>
          <w:szCs w:val="20"/>
          <w:lang w:val="en-US"/>
        </w:rPr>
        <w:t xml:space="preserve"> is the pancreas (30</w:t>
      </w:r>
      <w:r w:rsidR="001F68D3" w:rsidRPr="00E51A80">
        <w:rPr>
          <w:rFonts w:ascii="Book Antiqua" w:hAnsi="Book Antiqua" w:cs="Calibri"/>
          <w:sz w:val="20"/>
          <w:szCs w:val="20"/>
          <w:lang w:val="en-US"/>
        </w:rPr>
        <w:t>%</w:t>
      </w:r>
      <w:r w:rsidRPr="00E51A80">
        <w:rPr>
          <w:rFonts w:ascii="Book Antiqua" w:hAnsi="Book Antiqua" w:cs="Calibri"/>
          <w:sz w:val="20"/>
          <w:szCs w:val="20"/>
          <w:lang w:val="en-US"/>
        </w:rPr>
        <w:t>-40%), the small intestine (15</w:t>
      </w:r>
      <w:r w:rsidR="001F68D3" w:rsidRPr="00E51A80">
        <w:rPr>
          <w:rFonts w:ascii="Book Antiqua" w:hAnsi="Book Antiqua" w:cs="Calibri"/>
          <w:sz w:val="20"/>
          <w:szCs w:val="20"/>
          <w:lang w:val="en-US"/>
        </w:rPr>
        <w:t>%</w:t>
      </w:r>
      <w:r w:rsidRPr="00E51A80">
        <w:rPr>
          <w:rFonts w:ascii="Book Antiqua" w:hAnsi="Book Antiqua" w:cs="Calibri"/>
          <w:sz w:val="20"/>
          <w:szCs w:val="20"/>
          <w:lang w:val="en-US"/>
        </w:rPr>
        <w:t>-20%) and the rectum (5</w:t>
      </w:r>
      <w:r w:rsidR="001F68D3" w:rsidRPr="00E51A80">
        <w:rPr>
          <w:rFonts w:ascii="Book Antiqua" w:hAnsi="Book Antiqua" w:cs="Calibri"/>
          <w:sz w:val="20"/>
          <w:szCs w:val="20"/>
          <w:lang w:val="en-US"/>
        </w:rPr>
        <w:t>%</w:t>
      </w:r>
      <w:r w:rsidRPr="00E51A80">
        <w:rPr>
          <w:rFonts w:ascii="Book Antiqua" w:hAnsi="Book Antiqua" w:cs="Calibri"/>
          <w:sz w:val="20"/>
          <w:szCs w:val="20"/>
          <w:lang w:val="en-US"/>
        </w:rPr>
        <w:t>-15%</w:t>
      </w:r>
      <w:proofErr w:type="gramStart"/>
      <w:r w:rsidRPr="00E51A80">
        <w:rPr>
          <w:rFonts w:ascii="Book Antiqua" w:hAnsi="Book Antiqua" w:cs="Calibri"/>
          <w:sz w:val="20"/>
          <w:szCs w:val="20"/>
          <w:lang w:val="en-US"/>
        </w:rPr>
        <w:t>)</w:t>
      </w:r>
      <w:r w:rsidR="001F68D3" w:rsidRPr="00E51A80">
        <w:rPr>
          <w:rFonts w:ascii="Book Antiqua" w:hAnsi="Book Antiqua"/>
          <w:sz w:val="20"/>
          <w:szCs w:val="20"/>
          <w:vertAlign w:val="superscript"/>
          <w:lang w:val="en-US"/>
        </w:rPr>
        <w:t>[</w:t>
      </w:r>
      <w:proofErr w:type="gramEnd"/>
      <w:r w:rsidR="00DA60B5" w:rsidRPr="00E51A80">
        <w:rPr>
          <w:rFonts w:ascii="Book Antiqua" w:hAnsi="Book Antiqua"/>
          <w:sz w:val="20"/>
          <w:szCs w:val="20"/>
          <w:vertAlign w:val="superscript"/>
          <w:lang w:val="en-US"/>
        </w:rPr>
        <w:t>3</w:t>
      </w:r>
      <w:r w:rsidR="001F68D3" w:rsidRPr="00E51A80">
        <w:rPr>
          <w:rFonts w:ascii="Book Antiqua" w:hAnsi="Book Antiqua"/>
          <w:sz w:val="20"/>
          <w:szCs w:val="20"/>
          <w:vertAlign w:val="superscript"/>
          <w:lang w:val="en-US"/>
        </w:rPr>
        <w:t>]</w:t>
      </w:r>
      <w:r w:rsidR="001F68D3" w:rsidRPr="00E51A80">
        <w:rPr>
          <w:rFonts w:ascii="Book Antiqua" w:hAnsi="Book Antiqua"/>
          <w:sz w:val="20"/>
          <w:szCs w:val="20"/>
          <w:lang w:val="en-US"/>
        </w:rPr>
        <w:t>.</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t xml:space="preserve">NETs are an uncommon type of </w:t>
      </w:r>
      <w:proofErr w:type="spellStart"/>
      <w:r w:rsidR="00D35F96" w:rsidRPr="00E51A80">
        <w:rPr>
          <w:rFonts w:ascii="Book Antiqua" w:hAnsi="Book Antiqua" w:cs="Calibri"/>
          <w:sz w:val="20"/>
          <w:szCs w:val="20"/>
          <w:lang w:val="en-US"/>
        </w:rPr>
        <w:t>neoplasia</w:t>
      </w:r>
      <w:proofErr w:type="spellEnd"/>
      <w:r w:rsidR="00D35F96" w:rsidRPr="00E51A80">
        <w:rPr>
          <w:rFonts w:ascii="Book Antiqua" w:hAnsi="Book Antiqua" w:cs="Calibri"/>
          <w:sz w:val="20"/>
          <w:szCs w:val="20"/>
          <w:lang w:val="en-US"/>
        </w:rPr>
        <w:t>;</w:t>
      </w:r>
      <w:r w:rsidRPr="00E51A80">
        <w:rPr>
          <w:rFonts w:ascii="Book Antiqua" w:hAnsi="Book Antiqua" w:cs="Calibri"/>
          <w:sz w:val="20"/>
          <w:szCs w:val="20"/>
          <w:lang w:val="en-US"/>
        </w:rPr>
        <w:t xml:space="preserve"> however, its prevalence is higher than other gastrointestinal cancers such as pancreatic, esophageal and </w:t>
      </w:r>
      <w:proofErr w:type="spellStart"/>
      <w:r w:rsidRPr="00E51A80">
        <w:rPr>
          <w:rFonts w:ascii="Book Antiqua" w:hAnsi="Book Antiqua" w:cs="Calibri"/>
          <w:sz w:val="20"/>
          <w:szCs w:val="20"/>
          <w:lang w:val="en-US"/>
        </w:rPr>
        <w:t>hepatobiliary</w:t>
      </w:r>
      <w:proofErr w:type="spellEnd"/>
      <w:r w:rsidRPr="00E51A80">
        <w:rPr>
          <w:rFonts w:ascii="Book Antiqua" w:hAnsi="Book Antiqua" w:cs="Calibri"/>
          <w:sz w:val="20"/>
          <w:szCs w:val="20"/>
          <w:lang w:val="en-US"/>
        </w:rPr>
        <w:t xml:space="preserve"> cancer, being exceed</w:t>
      </w:r>
      <w:r w:rsidR="001F68D3" w:rsidRPr="00E51A80">
        <w:rPr>
          <w:rFonts w:ascii="Book Antiqua" w:hAnsi="Book Antiqua" w:cs="Calibri"/>
          <w:sz w:val="20"/>
          <w:szCs w:val="20"/>
          <w:lang w:val="en-US"/>
        </w:rPr>
        <w:t xml:space="preserve">ed only by colorectal </w:t>
      </w:r>
      <w:proofErr w:type="gramStart"/>
      <w:r w:rsidR="001F68D3" w:rsidRPr="00E51A80">
        <w:rPr>
          <w:rFonts w:ascii="Book Antiqua" w:hAnsi="Book Antiqua" w:cs="Calibri"/>
          <w:sz w:val="20"/>
          <w:szCs w:val="20"/>
          <w:lang w:val="en-US"/>
        </w:rPr>
        <w:t>neoplasms</w:t>
      </w:r>
      <w:r w:rsidR="001F68D3" w:rsidRPr="00E51A80">
        <w:rPr>
          <w:rFonts w:ascii="Book Antiqua" w:hAnsi="Book Antiqua"/>
          <w:sz w:val="20"/>
          <w:szCs w:val="20"/>
          <w:vertAlign w:val="superscript"/>
          <w:lang w:val="en-US"/>
        </w:rPr>
        <w:t>[</w:t>
      </w:r>
      <w:proofErr w:type="gramEnd"/>
      <w:r w:rsidR="00DA60B5" w:rsidRPr="00E51A80">
        <w:rPr>
          <w:rFonts w:ascii="Book Antiqua" w:hAnsi="Book Antiqua"/>
          <w:sz w:val="20"/>
          <w:szCs w:val="20"/>
          <w:vertAlign w:val="superscript"/>
          <w:lang w:val="en-US"/>
        </w:rPr>
        <w:t>2</w:t>
      </w:r>
      <w:r w:rsidR="001F68D3" w:rsidRPr="00E51A80">
        <w:rPr>
          <w:rFonts w:ascii="Book Antiqua" w:hAnsi="Book Antiqua"/>
          <w:sz w:val="20"/>
          <w:szCs w:val="20"/>
          <w:vertAlign w:val="superscript"/>
          <w:lang w:val="en-US"/>
        </w:rPr>
        <w:t>]</w:t>
      </w:r>
      <w:r w:rsidRPr="00E51A80">
        <w:rPr>
          <w:rFonts w:ascii="Book Antiqua" w:hAnsi="Book Antiqua"/>
          <w:sz w:val="20"/>
          <w:szCs w:val="20"/>
          <w:lang w:val="en-US"/>
        </w:rPr>
        <w:t xml:space="preserve">. </w:t>
      </w:r>
      <w:r w:rsidRPr="00E51A80">
        <w:rPr>
          <w:rFonts w:ascii="Book Antiqua" w:hAnsi="Book Antiqua" w:cs="Calibri"/>
          <w:sz w:val="20"/>
          <w:szCs w:val="20"/>
          <w:lang w:val="en-US"/>
        </w:rPr>
        <w:t xml:space="preserve">Its current incidence and prevalence increase are probably due to the extensive use of more developed routine radiological tests and endoscopic </w:t>
      </w:r>
      <w:proofErr w:type="gramStart"/>
      <w:r w:rsidRPr="00E51A80">
        <w:rPr>
          <w:rFonts w:ascii="Book Antiqua" w:hAnsi="Book Antiqua" w:cs="Calibri"/>
          <w:sz w:val="20"/>
          <w:szCs w:val="20"/>
          <w:lang w:val="en-US"/>
        </w:rPr>
        <w:t>techniques</w:t>
      </w:r>
      <w:r w:rsidR="001F68D3" w:rsidRPr="00E51A80">
        <w:rPr>
          <w:rFonts w:ascii="Book Antiqua" w:hAnsi="Book Antiqua"/>
          <w:sz w:val="20"/>
          <w:szCs w:val="20"/>
          <w:vertAlign w:val="superscript"/>
          <w:lang w:val="en-US"/>
        </w:rPr>
        <w:t>[</w:t>
      </w:r>
      <w:proofErr w:type="gramEnd"/>
      <w:r w:rsidR="00DA60B5" w:rsidRPr="00E51A80">
        <w:rPr>
          <w:rFonts w:ascii="Book Antiqua" w:hAnsi="Book Antiqua"/>
          <w:sz w:val="20"/>
          <w:szCs w:val="20"/>
          <w:vertAlign w:val="superscript"/>
          <w:lang w:val="en-US"/>
        </w:rPr>
        <w:t>3</w:t>
      </w:r>
      <w:r w:rsidR="001F68D3" w:rsidRPr="00E51A80">
        <w:rPr>
          <w:rFonts w:ascii="Book Antiqua" w:hAnsi="Book Antiqua"/>
          <w:sz w:val="20"/>
          <w:szCs w:val="20"/>
          <w:vertAlign w:val="superscript"/>
          <w:lang w:val="en-US"/>
        </w:rPr>
        <w:t>]</w:t>
      </w:r>
      <w:r w:rsidRPr="00E51A80">
        <w:rPr>
          <w:rFonts w:ascii="Book Antiqua" w:hAnsi="Book Antiqua" w:cs="Calibri"/>
          <w:sz w:val="20"/>
          <w:szCs w:val="20"/>
          <w:lang w:val="en-US"/>
        </w:rPr>
        <w:t>. According to the data from the Surveillance Epide</w:t>
      </w:r>
      <w:r w:rsidR="001F68D3" w:rsidRPr="00E51A80">
        <w:rPr>
          <w:rFonts w:ascii="Book Antiqua" w:hAnsi="Book Antiqua" w:cs="Calibri"/>
          <w:sz w:val="20"/>
          <w:szCs w:val="20"/>
          <w:lang w:val="en-US"/>
        </w:rPr>
        <w:t>miology and End Results program</w:t>
      </w:r>
      <w:r w:rsidRPr="00E51A80">
        <w:rPr>
          <w:rFonts w:ascii="Book Antiqua" w:hAnsi="Book Antiqua" w:cs="Calibri"/>
          <w:sz w:val="20"/>
          <w:szCs w:val="20"/>
          <w:lang w:val="en-US"/>
        </w:rPr>
        <w:t xml:space="preserve"> of the National Cancer Institute, an increase in the incidence of gastric NETs in the latter was reported</w:t>
      </w:r>
      <w:r w:rsidR="001F68D3" w:rsidRPr="00E51A80">
        <w:rPr>
          <w:rFonts w:ascii="Book Antiqua" w:hAnsi="Book Antiqua" w:cs="Calibri"/>
          <w:sz w:val="20"/>
          <w:szCs w:val="20"/>
          <w:lang w:val="en-US"/>
        </w:rPr>
        <w:t xml:space="preserve"> by 0.3 per 100</w:t>
      </w:r>
      <w:r w:rsidRPr="00E51A80">
        <w:rPr>
          <w:rFonts w:ascii="Book Antiqua" w:hAnsi="Book Antiqua" w:cs="Calibri"/>
          <w:sz w:val="20"/>
          <w:szCs w:val="20"/>
          <w:lang w:val="en-US"/>
        </w:rPr>
        <w:t xml:space="preserve">000 in the last </w:t>
      </w:r>
      <w:r w:rsidR="00372245" w:rsidRPr="00E51A80">
        <w:rPr>
          <w:rFonts w:ascii="Book Antiqua" w:hAnsi="Book Antiqua" w:cs="Calibri"/>
          <w:sz w:val="20"/>
          <w:szCs w:val="20"/>
          <w:lang w:val="en-US"/>
        </w:rPr>
        <w:t xml:space="preserve">30 </w:t>
      </w:r>
      <w:r w:rsidRPr="00E51A80">
        <w:rPr>
          <w:rFonts w:ascii="Book Antiqua" w:hAnsi="Book Antiqua" w:cs="Calibri"/>
          <w:sz w:val="20"/>
          <w:szCs w:val="20"/>
          <w:lang w:val="en-US"/>
        </w:rPr>
        <w:t>years and that it is attributed to the routine use of endoscopic techniques</w:t>
      </w:r>
      <w:r w:rsidR="00D400DE" w:rsidRPr="00E51A80">
        <w:rPr>
          <w:rFonts w:ascii="Book Antiqua" w:hAnsi="Book Antiqua" w:cs="Calibri"/>
          <w:sz w:val="20"/>
          <w:szCs w:val="20"/>
          <w:lang w:val="en-US"/>
        </w:rPr>
        <w:t>.</w:t>
      </w:r>
      <w:r w:rsidRPr="00E51A80">
        <w:rPr>
          <w:rFonts w:ascii="Book Antiqua" w:hAnsi="Book Antiqua" w:cs="Calibri"/>
          <w:sz w:val="20"/>
          <w:szCs w:val="20"/>
          <w:lang w:val="en-US"/>
        </w:rPr>
        <w:t xml:space="preserve"> </w:t>
      </w:r>
      <w:r w:rsidR="00D400DE" w:rsidRPr="00E51A80">
        <w:rPr>
          <w:rFonts w:ascii="Book Antiqua" w:hAnsi="Book Antiqua" w:cs="Calibri"/>
          <w:sz w:val="20"/>
          <w:szCs w:val="20"/>
          <w:lang w:val="en-US"/>
        </w:rPr>
        <w:t>T</w:t>
      </w:r>
      <w:r w:rsidRPr="00E51A80">
        <w:rPr>
          <w:rFonts w:ascii="Book Antiqua" w:hAnsi="Book Antiqua" w:cs="Calibri"/>
          <w:sz w:val="20"/>
          <w:szCs w:val="20"/>
          <w:lang w:val="en-US"/>
        </w:rPr>
        <w:t xml:space="preserve">his increase in incidence was similar </w:t>
      </w:r>
      <w:r w:rsidR="00D400DE" w:rsidRPr="00E51A80">
        <w:rPr>
          <w:rFonts w:ascii="Book Antiqua" w:hAnsi="Book Antiqua" w:cs="Calibri"/>
          <w:sz w:val="20"/>
          <w:szCs w:val="20"/>
          <w:lang w:val="en-US"/>
        </w:rPr>
        <w:t>across</w:t>
      </w:r>
      <w:r w:rsidRPr="00E51A80">
        <w:rPr>
          <w:rFonts w:ascii="Book Antiqua" w:hAnsi="Book Antiqua" w:cs="Calibri"/>
          <w:sz w:val="20"/>
          <w:szCs w:val="20"/>
          <w:lang w:val="en-US"/>
        </w:rPr>
        <w:t xml:space="preserve"> sex and </w:t>
      </w:r>
      <w:proofErr w:type="gramStart"/>
      <w:r w:rsidRPr="00E51A80">
        <w:rPr>
          <w:rFonts w:ascii="Book Antiqua" w:hAnsi="Book Antiqua" w:cs="Calibri"/>
          <w:sz w:val="20"/>
          <w:szCs w:val="20"/>
          <w:lang w:val="en-US"/>
        </w:rPr>
        <w:t>race</w:t>
      </w:r>
      <w:r w:rsidR="001F68D3" w:rsidRPr="00E51A80">
        <w:rPr>
          <w:rFonts w:ascii="Book Antiqua" w:hAnsi="Book Antiqua"/>
          <w:sz w:val="20"/>
          <w:szCs w:val="20"/>
          <w:vertAlign w:val="superscript"/>
          <w:lang w:val="en-US"/>
        </w:rPr>
        <w:t>[</w:t>
      </w:r>
      <w:proofErr w:type="gramEnd"/>
      <w:r w:rsidR="00DA60B5" w:rsidRPr="00E51A80">
        <w:rPr>
          <w:rFonts w:ascii="Book Antiqua" w:hAnsi="Book Antiqua"/>
          <w:sz w:val="20"/>
          <w:szCs w:val="20"/>
          <w:vertAlign w:val="superscript"/>
          <w:lang w:val="en-US"/>
        </w:rPr>
        <w:t>3</w:t>
      </w:r>
      <w:r w:rsidR="001F68D3" w:rsidRPr="00E51A80">
        <w:rPr>
          <w:rFonts w:ascii="Book Antiqua" w:hAnsi="Book Antiqua"/>
          <w:sz w:val="20"/>
          <w:szCs w:val="20"/>
          <w:vertAlign w:val="superscript"/>
          <w:lang w:val="en-US"/>
        </w:rPr>
        <w:t>]</w:t>
      </w:r>
      <w:r w:rsidR="001F68D3" w:rsidRPr="00E51A80">
        <w:rPr>
          <w:rFonts w:ascii="Book Antiqua" w:hAnsi="Book Antiqua"/>
          <w:sz w:val="20"/>
          <w:szCs w:val="20"/>
          <w:lang w:val="en-US"/>
        </w:rPr>
        <w:t>.</w:t>
      </w:r>
      <w:r w:rsidR="00DB1B11"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According to the results of the national cancer registry in Spain, a substantial increase in the latest trends was reported, being the incidence of 2.5 to 5 cases per 100000 inhabitants in the Caucasian </w:t>
      </w:r>
      <w:proofErr w:type="gramStart"/>
      <w:r w:rsidRPr="00E51A80">
        <w:rPr>
          <w:rFonts w:ascii="Book Antiqua" w:hAnsi="Book Antiqua" w:cs="Calibri"/>
          <w:sz w:val="20"/>
          <w:szCs w:val="20"/>
          <w:lang w:val="en-US"/>
        </w:rPr>
        <w:t>population</w:t>
      </w:r>
      <w:r w:rsidR="001F68D3" w:rsidRPr="00E51A80">
        <w:rPr>
          <w:rFonts w:ascii="Book Antiqua" w:hAnsi="Book Antiqua"/>
          <w:sz w:val="20"/>
          <w:szCs w:val="20"/>
          <w:vertAlign w:val="superscript"/>
          <w:lang w:val="en-US"/>
        </w:rPr>
        <w:t>[</w:t>
      </w:r>
      <w:proofErr w:type="gramEnd"/>
      <w:r w:rsidR="00DA60B5" w:rsidRPr="00E51A80">
        <w:rPr>
          <w:rFonts w:ascii="Book Antiqua" w:hAnsi="Book Antiqua"/>
          <w:sz w:val="20"/>
          <w:szCs w:val="20"/>
          <w:vertAlign w:val="superscript"/>
          <w:lang w:val="en-US"/>
        </w:rPr>
        <w:t>3</w:t>
      </w:r>
      <w:r w:rsidR="001F68D3" w:rsidRPr="00E51A80">
        <w:rPr>
          <w:rFonts w:ascii="Book Antiqua" w:hAnsi="Book Antiqua"/>
          <w:sz w:val="20"/>
          <w:szCs w:val="20"/>
          <w:vertAlign w:val="superscript"/>
          <w:lang w:val="en-US"/>
        </w:rPr>
        <w:t>]</w:t>
      </w:r>
      <w:r w:rsidR="001F68D3" w:rsidRPr="00E51A80">
        <w:rPr>
          <w:rFonts w:ascii="Book Antiqua" w:hAnsi="Book Antiqua"/>
          <w:sz w:val="20"/>
          <w:szCs w:val="20"/>
          <w:lang w:val="en-US"/>
        </w:rPr>
        <w:t>.</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t xml:space="preserve">An exclusive feature of well-differentiated </w:t>
      </w:r>
      <w:proofErr w:type="spellStart"/>
      <w:r w:rsidRPr="00E51A80">
        <w:rPr>
          <w:rFonts w:ascii="Book Antiqua" w:hAnsi="Book Antiqua" w:cs="Calibri"/>
          <w:sz w:val="20"/>
          <w:szCs w:val="20"/>
          <w:lang w:val="en-US"/>
        </w:rPr>
        <w:t>gastrop</w:t>
      </w:r>
      <w:r w:rsidR="001F68D3" w:rsidRPr="00E51A80">
        <w:rPr>
          <w:rFonts w:ascii="Book Antiqua" w:hAnsi="Book Antiqua" w:cs="Calibri"/>
          <w:sz w:val="20"/>
          <w:szCs w:val="20"/>
          <w:lang w:val="en-US"/>
        </w:rPr>
        <w:t>ancreatic</w:t>
      </w:r>
      <w:proofErr w:type="spellEnd"/>
      <w:r w:rsidR="001F68D3" w:rsidRPr="00E51A80">
        <w:rPr>
          <w:rFonts w:ascii="Book Antiqua" w:hAnsi="Book Antiqua" w:cs="Calibri"/>
          <w:sz w:val="20"/>
          <w:szCs w:val="20"/>
          <w:lang w:val="en-US"/>
        </w:rPr>
        <w:t xml:space="preserve"> neuroendocrine tumor</w:t>
      </w:r>
      <w:r w:rsidRPr="00E51A80">
        <w:rPr>
          <w:rFonts w:ascii="Book Antiqua" w:hAnsi="Book Antiqua" w:cs="Calibri"/>
          <w:sz w:val="20"/>
          <w:szCs w:val="20"/>
          <w:lang w:val="en-US"/>
        </w:rPr>
        <w:t xml:space="preserve"> is the overexpression of </w:t>
      </w:r>
      <w:bookmarkStart w:id="58" w:name="_Hlk16935096"/>
      <w:proofErr w:type="spellStart"/>
      <w:r w:rsidRPr="00E51A80">
        <w:rPr>
          <w:rFonts w:ascii="Book Antiqua" w:hAnsi="Book Antiqua" w:cs="Calibri"/>
          <w:sz w:val="20"/>
          <w:szCs w:val="20"/>
          <w:lang w:val="en-US"/>
        </w:rPr>
        <w:t>somatostatin</w:t>
      </w:r>
      <w:proofErr w:type="spellEnd"/>
      <w:r w:rsidRPr="00E51A80">
        <w:rPr>
          <w:rFonts w:ascii="Book Antiqua" w:hAnsi="Book Antiqua" w:cs="Calibri"/>
          <w:sz w:val="20"/>
          <w:szCs w:val="20"/>
          <w:lang w:val="en-US"/>
        </w:rPr>
        <w:t xml:space="preserve"> receptors</w:t>
      </w:r>
      <w:bookmarkEnd w:id="58"/>
      <w:r w:rsidRPr="00E51A80">
        <w:rPr>
          <w:rFonts w:ascii="Book Antiqua" w:hAnsi="Book Antiqua" w:cs="Calibri"/>
          <w:sz w:val="20"/>
          <w:szCs w:val="20"/>
          <w:lang w:val="en-US"/>
        </w:rPr>
        <w:t xml:space="preserve">, which is the basis for possible treatments with </w:t>
      </w:r>
      <w:proofErr w:type="spellStart"/>
      <w:r w:rsidRPr="00E51A80">
        <w:rPr>
          <w:rFonts w:ascii="Book Antiqua" w:hAnsi="Book Antiqua" w:cs="Calibri"/>
          <w:sz w:val="20"/>
          <w:szCs w:val="20"/>
          <w:lang w:val="en-US"/>
        </w:rPr>
        <w:t>somatostatin</w:t>
      </w:r>
      <w:proofErr w:type="spellEnd"/>
      <w:r w:rsidRPr="00E51A80">
        <w:rPr>
          <w:rFonts w:ascii="Book Antiqua" w:hAnsi="Book Antiqua" w:cs="Calibri"/>
          <w:sz w:val="20"/>
          <w:szCs w:val="20"/>
          <w:lang w:val="en-US"/>
        </w:rPr>
        <w:t xml:space="preserve"> analogues or with radionuclide-labeled peptides that bind to </w:t>
      </w:r>
      <w:proofErr w:type="spellStart"/>
      <w:r w:rsidR="00DB1B11" w:rsidRPr="00E51A80">
        <w:rPr>
          <w:rFonts w:ascii="Book Antiqua" w:hAnsi="Book Antiqua" w:cs="Calibri"/>
          <w:sz w:val="20"/>
          <w:szCs w:val="20"/>
          <w:lang w:val="en-US"/>
        </w:rPr>
        <w:t>somatostatin</w:t>
      </w:r>
      <w:proofErr w:type="spellEnd"/>
      <w:r w:rsidR="00DB1B11" w:rsidRPr="00E51A80">
        <w:rPr>
          <w:rFonts w:ascii="Book Antiqua" w:hAnsi="Book Antiqua" w:cs="Calibri"/>
          <w:sz w:val="20"/>
          <w:szCs w:val="20"/>
          <w:lang w:val="en-US"/>
        </w:rPr>
        <w:t xml:space="preserve"> receptors</w:t>
      </w:r>
      <w:r w:rsidRPr="00E51A80">
        <w:rPr>
          <w:rFonts w:ascii="Book Antiqua" w:hAnsi="Book Antiqua" w:cs="Calibri"/>
          <w:sz w:val="20"/>
          <w:szCs w:val="20"/>
          <w:lang w:val="en-US"/>
        </w:rPr>
        <w:t xml:space="preserve"> and for imaging </w:t>
      </w:r>
      <w:proofErr w:type="gramStart"/>
      <w:r w:rsidRPr="00E51A80">
        <w:rPr>
          <w:rFonts w:ascii="Book Antiqua" w:hAnsi="Book Antiqua" w:cs="Calibri"/>
          <w:sz w:val="20"/>
          <w:szCs w:val="20"/>
          <w:lang w:val="en-US"/>
        </w:rPr>
        <w:t>tests</w:t>
      </w:r>
      <w:r w:rsidR="001F68D3" w:rsidRPr="00E51A80">
        <w:rPr>
          <w:rFonts w:ascii="Book Antiqua" w:hAnsi="Book Antiqua" w:cs="Calibri"/>
          <w:sz w:val="20"/>
          <w:szCs w:val="20"/>
          <w:vertAlign w:val="superscript"/>
          <w:lang w:val="en-US"/>
        </w:rPr>
        <w:t>[</w:t>
      </w:r>
      <w:proofErr w:type="gramEnd"/>
      <w:r w:rsidR="001F68D3" w:rsidRPr="00E51A80">
        <w:rPr>
          <w:rFonts w:ascii="Book Antiqua" w:hAnsi="Book Antiqua" w:cs="Calibri"/>
          <w:sz w:val="20"/>
          <w:szCs w:val="20"/>
          <w:vertAlign w:val="superscript"/>
          <w:lang w:val="en-US"/>
        </w:rPr>
        <w:t>4,5]</w:t>
      </w:r>
      <w:r w:rsidR="001F68D3"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In the past two decades, peptide receptor radionuclide therapy (PRRT) with radiolabeled </w:t>
      </w:r>
      <w:proofErr w:type="spellStart"/>
      <w:r w:rsidRPr="00E51A80">
        <w:rPr>
          <w:rFonts w:ascii="Book Antiqua" w:hAnsi="Book Antiqua" w:cs="Calibri"/>
          <w:sz w:val="20"/>
          <w:szCs w:val="20"/>
          <w:lang w:val="en-US"/>
        </w:rPr>
        <w:t>somatostatin</w:t>
      </w:r>
      <w:proofErr w:type="spellEnd"/>
      <w:r w:rsidRPr="00E51A80">
        <w:rPr>
          <w:rFonts w:ascii="Book Antiqua" w:hAnsi="Book Antiqua" w:cs="Calibri"/>
          <w:sz w:val="20"/>
          <w:szCs w:val="20"/>
          <w:lang w:val="en-US"/>
        </w:rPr>
        <w:t xml:space="preserve"> analogues </w:t>
      </w:r>
      <w:r w:rsidRPr="00E51A80">
        <w:rPr>
          <w:rFonts w:ascii="Book Antiqua" w:hAnsi="Book Antiqua" w:cs="Calibri"/>
          <w:sz w:val="20"/>
          <w:szCs w:val="20"/>
          <w:vertAlign w:val="superscript"/>
          <w:lang w:val="en-US"/>
        </w:rPr>
        <w:t>177</w:t>
      </w:r>
      <w:r w:rsidRPr="00E51A80">
        <w:rPr>
          <w:rFonts w:ascii="Book Antiqua" w:hAnsi="Book Antiqua" w:cs="Calibri"/>
          <w:sz w:val="20"/>
          <w:szCs w:val="20"/>
          <w:lang w:val="en-US"/>
        </w:rPr>
        <w:t>Lu-DOTA0-Tyr3-octreotate (</w:t>
      </w:r>
      <w:r w:rsidRPr="00E51A80">
        <w:rPr>
          <w:rFonts w:ascii="Book Antiqua" w:hAnsi="Book Antiqua" w:cs="Calibri"/>
          <w:sz w:val="20"/>
          <w:szCs w:val="20"/>
          <w:vertAlign w:val="superscript"/>
          <w:lang w:val="en-US"/>
        </w:rPr>
        <w:t>177</w:t>
      </w:r>
      <w:r w:rsidRPr="00E51A80">
        <w:rPr>
          <w:rFonts w:ascii="Book Antiqua" w:hAnsi="Book Antiqua" w:cs="Calibri"/>
          <w:sz w:val="20"/>
          <w:szCs w:val="20"/>
          <w:lang w:val="en-US"/>
        </w:rPr>
        <w:t xml:space="preserve">Lu-Dotatate) has been used successfully in patients diagnosed with metastatic </w:t>
      </w:r>
      <w:proofErr w:type="spellStart"/>
      <w:r w:rsidRPr="00E51A80">
        <w:rPr>
          <w:rFonts w:ascii="Book Antiqua" w:hAnsi="Book Antiqua" w:cs="Calibri"/>
          <w:sz w:val="20"/>
          <w:szCs w:val="20"/>
          <w:lang w:val="en-US"/>
        </w:rPr>
        <w:t>gastroenteropancreatic</w:t>
      </w:r>
      <w:proofErr w:type="spellEnd"/>
      <w:r w:rsidRPr="00E51A80">
        <w:rPr>
          <w:rFonts w:ascii="Book Antiqua" w:hAnsi="Book Antiqua" w:cs="Calibri"/>
          <w:sz w:val="20"/>
          <w:szCs w:val="20"/>
          <w:lang w:val="en-US"/>
        </w:rPr>
        <w:t xml:space="preserve"> </w:t>
      </w:r>
      <w:proofErr w:type="spellStart"/>
      <w:r w:rsidRPr="00E51A80">
        <w:rPr>
          <w:rFonts w:ascii="Book Antiqua" w:hAnsi="Book Antiqua" w:cs="Calibri"/>
          <w:sz w:val="20"/>
          <w:szCs w:val="20"/>
          <w:lang w:val="en-US"/>
        </w:rPr>
        <w:t>somatostatin</w:t>
      </w:r>
      <w:proofErr w:type="spellEnd"/>
      <w:r w:rsidRPr="00E51A80">
        <w:rPr>
          <w:rFonts w:ascii="Book Antiqua" w:hAnsi="Book Antiqua" w:cs="Calibri"/>
          <w:sz w:val="20"/>
          <w:szCs w:val="20"/>
          <w:lang w:val="en-US"/>
        </w:rPr>
        <w:t xml:space="preserve"> receptor positive tumors when </w:t>
      </w:r>
      <w:proofErr w:type="spellStart"/>
      <w:r w:rsidRPr="00E51A80">
        <w:rPr>
          <w:rFonts w:ascii="Book Antiqua" w:hAnsi="Book Antiqua" w:cs="Calibri"/>
          <w:sz w:val="20"/>
          <w:szCs w:val="20"/>
          <w:lang w:val="en-US"/>
        </w:rPr>
        <w:t>cytoreductive</w:t>
      </w:r>
      <w:proofErr w:type="spellEnd"/>
      <w:r w:rsidRPr="00E51A80">
        <w:rPr>
          <w:rFonts w:ascii="Book Antiqua" w:hAnsi="Book Antiqua" w:cs="Calibri"/>
          <w:sz w:val="20"/>
          <w:szCs w:val="20"/>
          <w:lang w:val="en-US"/>
        </w:rPr>
        <w:t xml:space="preserve"> options are </w:t>
      </w:r>
      <w:proofErr w:type="gramStart"/>
      <w:r w:rsidRPr="00E51A80">
        <w:rPr>
          <w:rFonts w:ascii="Book Antiqua" w:hAnsi="Book Antiqua" w:cs="Calibri"/>
          <w:sz w:val="20"/>
          <w:szCs w:val="20"/>
          <w:lang w:val="en-US"/>
        </w:rPr>
        <w:t>limited</w:t>
      </w:r>
      <w:r w:rsidR="001F68D3" w:rsidRPr="00E51A80">
        <w:rPr>
          <w:rFonts w:ascii="Book Antiqua" w:hAnsi="Book Antiqua"/>
          <w:sz w:val="20"/>
          <w:szCs w:val="20"/>
          <w:vertAlign w:val="superscript"/>
          <w:lang w:val="en-US"/>
        </w:rPr>
        <w:t>[</w:t>
      </w:r>
      <w:proofErr w:type="gramEnd"/>
      <w:r w:rsidR="001F68D3" w:rsidRPr="00E51A80">
        <w:rPr>
          <w:rFonts w:ascii="Book Antiqua" w:hAnsi="Book Antiqua"/>
          <w:sz w:val="20"/>
          <w:szCs w:val="20"/>
          <w:vertAlign w:val="superscript"/>
          <w:lang w:val="en-US"/>
        </w:rPr>
        <w:t>6]</w:t>
      </w:r>
      <w:r w:rsidRPr="00E51A80">
        <w:rPr>
          <w:rFonts w:ascii="Book Antiqua" w:hAnsi="Book Antiqua"/>
          <w:sz w:val="20"/>
          <w:szCs w:val="20"/>
          <w:lang w:val="en-US"/>
        </w:rPr>
        <w:t xml:space="preserve">. </w:t>
      </w:r>
    </w:p>
    <w:p w:rsidR="002B7963" w:rsidRPr="00E51A80" w:rsidRDefault="002B7963" w:rsidP="007E3E0D">
      <w:pPr>
        <w:tabs>
          <w:tab w:val="left" w:pos="3165"/>
        </w:tabs>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Book Antiqua"/>
          <w:sz w:val="20"/>
          <w:szCs w:val="20"/>
          <w:vertAlign w:val="superscript"/>
          <w:lang w:val="en-US"/>
        </w:rPr>
        <w:t>177</w:t>
      </w:r>
      <w:r w:rsidRPr="00E51A80">
        <w:rPr>
          <w:rFonts w:ascii="Book Antiqua" w:hAnsi="Book Antiqua" w:cs="Book Antiqua"/>
          <w:sz w:val="20"/>
          <w:szCs w:val="20"/>
          <w:lang w:val="en-US"/>
        </w:rPr>
        <w:t xml:space="preserve">Lu-Dotatate is a radionuclide labeled peptide that binds to </w:t>
      </w:r>
      <w:proofErr w:type="spellStart"/>
      <w:r w:rsidR="00DB1B11" w:rsidRPr="00E51A80">
        <w:rPr>
          <w:rFonts w:ascii="Book Antiqua" w:hAnsi="Book Antiqua" w:cs="Calibri"/>
          <w:sz w:val="20"/>
          <w:szCs w:val="20"/>
          <w:lang w:val="en-US"/>
        </w:rPr>
        <w:t>somatostatin</w:t>
      </w:r>
      <w:proofErr w:type="spellEnd"/>
      <w:r w:rsidR="00DB1B11" w:rsidRPr="00E51A80">
        <w:rPr>
          <w:rFonts w:ascii="Book Antiqua" w:hAnsi="Book Antiqua" w:cs="Calibri"/>
          <w:sz w:val="20"/>
          <w:szCs w:val="20"/>
          <w:lang w:val="en-US"/>
        </w:rPr>
        <w:t xml:space="preserve"> receptors</w:t>
      </w:r>
      <w:r w:rsidRPr="00E51A80">
        <w:rPr>
          <w:rFonts w:ascii="Book Antiqua" w:hAnsi="Book Antiqua" w:cs="Book Antiqua"/>
          <w:sz w:val="20"/>
          <w:szCs w:val="20"/>
          <w:lang w:val="en-US"/>
        </w:rPr>
        <w:t xml:space="preserve"> with high affinity for type </w:t>
      </w:r>
      <w:proofErr w:type="gramStart"/>
      <w:r w:rsidRPr="00E51A80">
        <w:rPr>
          <w:rFonts w:ascii="Book Antiqua" w:hAnsi="Book Antiqua" w:cs="Book Antiqua"/>
          <w:sz w:val="20"/>
          <w:szCs w:val="20"/>
          <w:lang w:val="en-US"/>
        </w:rPr>
        <w:t>2 receptor</w:t>
      </w:r>
      <w:proofErr w:type="gramEnd"/>
      <w:r w:rsidRPr="00E51A80">
        <w:rPr>
          <w:rFonts w:ascii="Book Antiqua" w:hAnsi="Book Antiqua" w:cs="Book Antiqua"/>
          <w:sz w:val="20"/>
          <w:szCs w:val="20"/>
          <w:lang w:val="en-US"/>
        </w:rPr>
        <w:t xml:space="preserve"> and binds to the tumor cells that overexpress them. </w:t>
      </w:r>
      <w:r w:rsidRPr="00E51A80">
        <w:rPr>
          <w:rFonts w:ascii="Book Antiqua" w:hAnsi="Book Antiqua" w:cs="Book Antiqua"/>
          <w:sz w:val="20"/>
          <w:szCs w:val="20"/>
          <w:vertAlign w:val="superscript"/>
          <w:lang w:val="en-US"/>
        </w:rPr>
        <w:t>177</w:t>
      </w:r>
      <w:r w:rsidRPr="00E51A80">
        <w:rPr>
          <w:rFonts w:ascii="Book Antiqua" w:hAnsi="Book Antiqua" w:cs="Book Antiqua"/>
          <w:sz w:val="20"/>
          <w:szCs w:val="20"/>
          <w:lang w:val="en-US"/>
        </w:rPr>
        <w:t>Lu is a radionuclide that disintegrates into stable hafnium (</w:t>
      </w:r>
      <w:r w:rsidRPr="00E51A80">
        <w:rPr>
          <w:rFonts w:ascii="Book Antiqua" w:hAnsi="Book Antiqua" w:cs="Book Antiqua"/>
          <w:sz w:val="20"/>
          <w:szCs w:val="20"/>
          <w:vertAlign w:val="superscript"/>
          <w:lang w:val="en-US"/>
        </w:rPr>
        <w:t>177</w:t>
      </w:r>
      <w:r w:rsidRPr="00E51A80">
        <w:rPr>
          <w:rFonts w:ascii="Book Antiqua" w:hAnsi="Book Antiqua" w:cs="Book Antiqua"/>
          <w:sz w:val="20"/>
          <w:szCs w:val="20"/>
          <w:lang w:val="en-US"/>
        </w:rPr>
        <w:t>H</w:t>
      </w:r>
      <w:r w:rsidR="001F68D3" w:rsidRPr="00E51A80">
        <w:rPr>
          <w:rFonts w:ascii="Book Antiqua" w:hAnsi="Book Antiqua" w:cs="Book Antiqua"/>
          <w:sz w:val="20"/>
          <w:szCs w:val="20"/>
          <w:lang w:val="en-US"/>
        </w:rPr>
        <w:t>f) by emission of β-</w:t>
      </w:r>
      <w:r w:rsidRPr="00E51A80">
        <w:rPr>
          <w:rFonts w:ascii="Book Antiqua" w:hAnsi="Book Antiqua" w:cs="Book Antiqua"/>
          <w:sz w:val="20"/>
          <w:szCs w:val="20"/>
          <w:lang w:val="en-US"/>
        </w:rPr>
        <w:t>particles</w:t>
      </w:r>
      <w:r w:rsidR="00DB1B11" w:rsidRPr="00E51A80">
        <w:rPr>
          <w:rFonts w:ascii="Book Antiqua" w:hAnsi="Book Antiqua" w:cs="Book Antiqua"/>
          <w:sz w:val="20"/>
          <w:szCs w:val="20"/>
          <w:lang w:val="en-US"/>
        </w:rPr>
        <w:t>. It</w:t>
      </w:r>
      <w:r w:rsidRPr="00E51A80">
        <w:rPr>
          <w:rFonts w:ascii="Book Antiqua" w:hAnsi="Book Antiqua" w:cs="Book Antiqua"/>
          <w:sz w:val="20"/>
          <w:szCs w:val="20"/>
          <w:lang w:val="en-US"/>
        </w:rPr>
        <w:t xml:space="preserve"> also emit</w:t>
      </w:r>
      <w:r w:rsidR="00DB1B11" w:rsidRPr="00E51A80">
        <w:rPr>
          <w:rFonts w:ascii="Book Antiqua" w:hAnsi="Book Antiqua" w:cs="Book Antiqua"/>
          <w:sz w:val="20"/>
          <w:szCs w:val="20"/>
          <w:lang w:val="en-US"/>
        </w:rPr>
        <w:t>s</w:t>
      </w:r>
      <w:r w:rsidRPr="00E51A80">
        <w:rPr>
          <w:rFonts w:ascii="Book Antiqua" w:hAnsi="Book Antiqua" w:cs="Book Antiqua"/>
          <w:sz w:val="20"/>
          <w:szCs w:val="20"/>
          <w:lang w:val="en-US"/>
        </w:rPr>
        <w:t xml:space="preserve"> low energy gamma radiation with a half-life of 6.65 d</w:t>
      </w:r>
      <w:r w:rsidR="001F68D3" w:rsidRPr="00E51A80">
        <w:rPr>
          <w:rFonts w:ascii="Book Antiqua" w:hAnsi="Book Antiqua" w:cs="Book Antiqua"/>
          <w:sz w:val="20"/>
          <w:szCs w:val="20"/>
          <w:lang w:val="en-US"/>
        </w:rPr>
        <w:t xml:space="preserve"> </w:t>
      </w:r>
      <w:r w:rsidRPr="00E51A80">
        <w:rPr>
          <w:rFonts w:ascii="Book Antiqua" w:hAnsi="Book Antiqua" w:cs="Book Antiqua"/>
          <w:sz w:val="20"/>
          <w:szCs w:val="20"/>
          <w:lang w:val="en-US"/>
        </w:rPr>
        <w:t xml:space="preserve">and is indicated in adults for the treatment of </w:t>
      </w:r>
      <w:proofErr w:type="spellStart"/>
      <w:r w:rsidR="00D400DE" w:rsidRPr="00E51A80">
        <w:rPr>
          <w:rFonts w:ascii="Book Antiqua" w:hAnsi="Book Antiqua" w:cs="Calibri"/>
          <w:sz w:val="20"/>
          <w:szCs w:val="20"/>
          <w:lang w:val="en-US"/>
        </w:rPr>
        <w:t>gastroenteropancreatic</w:t>
      </w:r>
      <w:proofErr w:type="spellEnd"/>
      <w:r w:rsidR="00D400DE" w:rsidRPr="00E51A80">
        <w:rPr>
          <w:rFonts w:ascii="Book Antiqua" w:hAnsi="Book Antiqua" w:cs="Calibri"/>
          <w:sz w:val="20"/>
          <w:szCs w:val="20"/>
          <w:lang w:val="en-US"/>
        </w:rPr>
        <w:t xml:space="preserve"> endocrine tumors</w:t>
      </w:r>
      <w:r w:rsidRPr="00E51A80">
        <w:rPr>
          <w:rFonts w:ascii="Book Antiqua" w:hAnsi="Book Antiqua" w:cs="Book Antiqua"/>
          <w:sz w:val="20"/>
          <w:szCs w:val="20"/>
          <w:lang w:val="en-US"/>
        </w:rPr>
        <w:t xml:space="preserve"> positive for </w:t>
      </w:r>
      <w:proofErr w:type="spellStart"/>
      <w:r w:rsidRPr="00E51A80">
        <w:rPr>
          <w:rFonts w:ascii="Book Antiqua" w:hAnsi="Book Antiqua" w:cs="Book Antiqua"/>
          <w:sz w:val="20"/>
          <w:szCs w:val="20"/>
          <w:lang w:val="en-US"/>
        </w:rPr>
        <w:t>somatostatin</w:t>
      </w:r>
      <w:proofErr w:type="spellEnd"/>
      <w:r w:rsidRPr="00E51A80">
        <w:rPr>
          <w:rFonts w:ascii="Book Antiqua" w:hAnsi="Book Antiqua" w:cs="Book Antiqua"/>
          <w:sz w:val="20"/>
          <w:szCs w:val="20"/>
          <w:lang w:val="en-US"/>
        </w:rPr>
        <w:t xml:space="preserve"> receptor, well differentiated (G1 and G2), progressive and </w:t>
      </w:r>
      <w:proofErr w:type="spellStart"/>
      <w:r w:rsidRPr="00E51A80">
        <w:rPr>
          <w:rFonts w:ascii="Book Antiqua" w:hAnsi="Book Antiqua" w:cs="Book Antiqua"/>
          <w:sz w:val="20"/>
          <w:szCs w:val="20"/>
          <w:lang w:val="en-US"/>
        </w:rPr>
        <w:t>unresectable</w:t>
      </w:r>
      <w:proofErr w:type="spellEnd"/>
      <w:r w:rsidRPr="00E51A80">
        <w:rPr>
          <w:rFonts w:ascii="Book Antiqua" w:hAnsi="Book Antiqua" w:cs="Book Antiqua"/>
          <w:sz w:val="20"/>
          <w:szCs w:val="20"/>
          <w:lang w:val="en-US"/>
        </w:rPr>
        <w:t xml:space="preserve"> or </w:t>
      </w:r>
      <w:proofErr w:type="gramStart"/>
      <w:r w:rsidRPr="00E51A80">
        <w:rPr>
          <w:rFonts w:ascii="Book Antiqua" w:hAnsi="Book Antiqua" w:cs="Book Antiqua"/>
          <w:sz w:val="20"/>
          <w:szCs w:val="20"/>
          <w:lang w:val="en-US"/>
        </w:rPr>
        <w:t>metastatic</w:t>
      </w:r>
      <w:r w:rsidR="001F68D3" w:rsidRPr="00E51A80">
        <w:rPr>
          <w:rFonts w:ascii="Book Antiqua" w:hAnsi="Book Antiqua"/>
          <w:sz w:val="20"/>
          <w:szCs w:val="20"/>
          <w:vertAlign w:val="superscript"/>
          <w:lang w:val="en-US"/>
        </w:rPr>
        <w:t>[</w:t>
      </w:r>
      <w:proofErr w:type="gramEnd"/>
      <w:r w:rsidR="001F68D3" w:rsidRPr="00E51A80">
        <w:rPr>
          <w:rFonts w:ascii="Book Antiqua" w:hAnsi="Book Antiqua"/>
          <w:sz w:val="20"/>
          <w:szCs w:val="20"/>
          <w:vertAlign w:val="superscript"/>
          <w:lang w:val="en-US"/>
        </w:rPr>
        <w:t>7]</w:t>
      </w:r>
      <w:r w:rsidRPr="00E51A80">
        <w:rPr>
          <w:rFonts w:ascii="Book Antiqua" w:hAnsi="Book Antiqua"/>
          <w:sz w:val="20"/>
          <w:szCs w:val="20"/>
          <w:lang w:val="en-US"/>
        </w:rPr>
        <w:t xml:space="preserve">. </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lastRenderedPageBreak/>
        <w:t>The aim of this study is to determine the impact of this treatment on the patient</w:t>
      </w:r>
      <w:r w:rsidR="001F68D3" w:rsidRPr="00E51A80">
        <w:rPr>
          <w:rFonts w:ascii="Book Antiqua" w:hAnsi="Book Antiqua" w:cs="Calibri"/>
          <w:sz w:val="20"/>
          <w:szCs w:val="20"/>
          <w:lang w:val="en-US"/>
        </w:rPr>
        <w:t>’</w:t>
      </w:r>
      <w:r w:rsidRPr="00E51A80">
        <w:rPr>
          <w:rFonts w:ascii="Book Antiqua" w:hAnsi="Book Antiqua" w:cs="Calibri"/>
          <w:sz w:val="20"/>
          <w:szCs w:val="20"/>
          <w:lang w:val="en-US"/>
        </w:rPr>
        <w:t>s quality of life, radiological and metabolic response, overall survival and possible prognostic factors and its toxicity.</w:t>
      </w:r>
    </w:p>
    <w:p w:rsidR="002B7963" w:rsidRPr="00E51A80" w:rsidRDefault="002B7963" w:rsidP="007E3E0D">
      <w:pPr>
        <w:adjustRightInd w:val="0"/>
        <w:snapToGrid w:val="0"/>
        <w:spacing w:after="0" w:line="360" w:lineRule="auto"/>
        <w:ind w:hanging="708"/>
        <w:jc w:val="both"/>
        <w:rPr>
          <w:rFonts w:ascii="Book Antiqua" w:hAnsi="Book Antiqua" w:cs="Calibri"/>
          <w:b/>
          <w:bCs/>
          <w:sz w:val="20"/>
          <w:szCs w:val="20"/>
          <w:lang w:val="en-US"/>
        </w:rPr>
      </w:pPr>
    </w:p>
    <w:p w:rsidR="001F68D3" w:rsidRPr="00E51A80" w:rsidRDefault="001F68D3" w:rsidP="007E3E0D">
      <w:pPr>
        <w:adjustRightInd w:val="0"/>
        <w:snapToGrid w:val="0"/>
        <w:spacing w:after="0" w:line="360" w:lineRule="auto"/>
        <w:jc w:val="both"/>
        <w:rPr>
          <w:rFonts w:ascii="Book Antiqua" w:hAnsi="Book Antiqua"/>
          <w:b/>
          <w:sz w:val="20"/>
          <w:szCs w:val="20"/>
          <w:u w:val="single"/>
          <w:lang w:val="en-US"/>
        </w:rPr>
      </w:pPr>
      <w:bookmarkStart w:id="59" w:name="_Hlk34344585"/>
      <w:r w:rsidRPr="00E51A80">
        <w:rPr>
          <w:rFonts w:ascii="Book Antiqua" w:hAnsi="Book Antiqua"/>
          <w:b/>
          <w:sz w:val="20"/>
          <w:szCs w:val="20"/>
          <w:u w:val="single"/>
          <w:lang w:val="en-US"/>
        </w:rPr>
        <w:t>MATERIALS AND METHODS</w:t>
      </w: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sz w:val="20"/>
          <w:szCs w:val="20"/>
          <w:lang w:val="en-US"/>
        </w:rPr>
        <w:t xml:space="preserve">This is a retrospective longitudinal observational study in which impact on quality of life, radiological and metabolic response, overall survival, possible prognostic factors and toxicity were evaluated in patients diagnosed with advanced tumors expressing </w:t>
      </w:r>
      <w:proofErr w:type="spellStart"/>
      <w:r w:rsidRPr="00E51A80">
        <w:rPr>
          <w:rFonts w:ascii="Book Antiqua" w:hAnsi="Book Antiqua" w:cs="Calibri"/>
          <w:sz w:val="20"/>
          <w:szCs w:val="20"/>
          <w:lang w:val="en-US"/>
        </w:rPr>
        <w:t>somatostatin</w:t>
      </w:r>
      <w:proofErr w:type="spellEnd"/>
      <w:r w:rsidRPr="00E51A80">
        <w:rPr>
          <w:rFonts w:ascii="Book Antiqua" w:hAnsi="Book Antiqua" w:cs="Calibri"/>
          <w:sz w:val="20"/>
          <w:szCs w:val="20"/>
          <w:lang w:val="en-US"/>
        </w:rPr>
        <w:t xml:space="preserve"> receptors treated with PRRT. The information pertinent to this cohort of patients is collected through the clinical history, obtaining information about clinical data, treatment response and disease state. These data were treated confidentially and in an encrypted form for analysis</w:t>
      </w:r>
      <w:r w:rsidR="00EF35E1" w:rsidRPr="00E51A80">
        <w:rPr>
          <w:rFonts w:ascii="Book Antiqua" w:hAnsi="Book Antiqua" w:cs="Calibri"/>
          <w:sz w:val="20"/>
          <w:szCs w:val="20"/>
          <w:lang w:val="en-US"/>
        </w:rPr>
        <w:t>.</w:t>
      </w:r>
      <w:r w:rsidRPr="00E51A80">
        <w:rPr>
          <w:rFonts w:ascii="Book Antiqua" w:hAnsi="Book Antiqua" w:cs="Calibri"/>
          <w:sz w:val="20"/>
          <w:szCs w:val="20"/>
          <w:lang w:val="en-US"/>
        </w:rPr>
        <w:t xml:space="preserve"> </w:t>
      </w:r>
      <w:r w:rsidR="00EF35E1" w:rsidRPr="00E51A80">
        <w:rPr>
          <w:rFonts w:ascii="Book Antiqua" w:hAnsi="Book Antiqua" w:cs="Calibri"/>
          <w:sz w:val="20"/>
          <w:szCs w:val="20"/>
          <w:lang w:val="en-US"/>
        </w:rPr>
        <w:t>W</w:t>
      </w:r>
      <w:r w:rsidRPr="00E51A80">
        <w:rPr>
          <w:rFonts w:ascii="Book Antiqua" w:hAnsi="Book Antiqua" w:cs="Calibri"/>
          <w:sz w:val="20"/>
          <w:szCs w:val="20"/>
          <w:lang w:val="en-US"/>
        </w:rPr>
        <w:t>ritten consent w</w:t>
      </w:r>
      <w:r w:rsidR="001F68D3" w:rsidRPr="00E51A80">
        <w:rPr>
          <w:rFonts w:ascii="Book Antiqua" w:hAnsi="Book Antiqua" w:cs="Calibri"/>
          <w:sz w:val="20"/>
          <w:szCs w:val="20"/>
          <w:lang w:val="en-US"/>
        </w:rPr>
        <w:t xml:space="preserve">as obtained from all patients. </w:t>
      </w:r>
    </w:p>
    <w:bookmarkEnd w:id="59"/>
    <w:p w:rsidR="002B7963" w:rsidRPr="00E51A80" w:rsidRDefault="002B7963" w:rsidP="007E3E0D">
      <w:pPr>
        <w:adjustRightInd w:val="0"/>
        <w:snapToGrid w:val="0"/>
        <w:spacing w:after="0" w:line="360" w:lineRule="auto"/>
        <w:jc w:val="both"/>
        <w:rPr>
          <w:rFonts w:ascii="Book Antiqua" w:hAnsi="Book Antiqua" w:cs="Book Antiqua"/>
          <w:sz w:val="20"/>
          <w:szCs w:val="20"/>
          <w:lang w:val="en-US"/>
        </w:rPr>
      </w:pPr>
    </w:p>
    <w:p w:rsidR="002B7963" w:rsidRPr="00E51A80" w:rsidRDefault="002B7963" w:rsidP="007E3E0D">
      <w:pPr>
        <w:adjustRightInd w:val="0"/>
        <w:snapToGrid w:val="0"/>
        <w:spacing w:after="0" w:line="360" w:lineRule="auto"/>
        <w:jc w:val="both"/>
        <w:rPr>
          <w:rFonts w:ascii="Book Antiqua" w:hAnsi="Book Antiqua"/>
          <w:i/>
          <w:sz w:val="20"/>
          <w:szCs w:val="20"/>
          <w:lang w:val="en-US"/>
        </w:rPr>
      </w:pPr>
      <w:r w:rsidRPr="00E51A80">
        <w:rPr>
          <w:rFonts w:ascii="Book Antiqua" w:hAnsi="Book Antiqua" w:cs="Calibri"/>
          <w:b/>
          <w:bCs/>
          <w:i/>
          <w:sz w:val="20"/>
          <w:szCs w:val="20"/>
          <w:lang w:val="en-US"/>
        </w:rPr>
        <w:t>Patients</w:t>
      </w: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sz w:val="20"/>
          <w:szCs w:val="20"/>
          <w:lang w:val="en-US"/>
        </w:rPr>
        <w:t xml:space="preserve">Patients diagnosed with advanced NET treated from May 2016 to November 2019 were included. All patients received </w:t>
      </w:r>
      <w:r w:rsidRPr="00E51A80">
        <w:rPr>
          <w:rFonts w:ascii="Book Antiqua" w:hAnsi="Book Antiqua" w:cs="Calibri"/>
          <w:sz w:val="20"/>
          <w:szCs w:val="20"/>
          <w:vertAlign w:val="superscript"/>
          <w:lang w:val="en-US"/>
        </w:rPr>
        <w:t>177</w:t>
      </w:r>
      <w:r w:rsidRPr="00E51A80">
        <w:rPr>
          <w:rFonts w:ascii="Book Antiqua" w:hAnsi="Book Antiqua" w:cs="Calibri"/>
          <w:sz w:val="20"/>
          <w:szCs w:val="20"/>
          <w:lang w:val="en-US"/>
        </w:rPr>
        <w:t xml:space="preserve">Lu-Dotatate treatment in the Nuclear Medicine department of the University Hospital Santiago de </w:t>
      </w:r>
      <w:proofErr w:type="spellStart"/>
      <w:r w:rsidRPr="00E51A80">
        <w:rPr>
          <w:rFonts w:ascii="Book Antiqua" w:hAnsi="Book Antiqua" w:cs="Calibri"/>
          <w:sz w:val="20"/>
          <w:szCs w:val="20"/>
          <w:lang w:val="en-US"/>
        </w:rPr>
        <w:t>Compostela</w:t>
      </w:r>
      <w:proofErr w:type="spellEnd"/>
      <w:r w:rsidRPr="00E51A80">
        <w:rPr>
          <w:rFonts w:ascii="Book Antiqua" w:hAnsi="Book Antiqua" w:cs="Calibri"/>
          <w:sz w:val="20"/>
          <w:szCs w:val="20"/>
          <w:lang w:val="en-US"/>
        </w:rPr>
        <w:t xml:space="preserve"> in Spain. These patients come from all the autonomous community of Galicia and have been previously evaluated by a committee of endocrine tumors in their own hospital </w:t>
      </w:r>
      <w:r w:rsidR="00EF35E1" w:rsidRPr="00E51A80">
        <w:rPr>
          <w:rFonts w:ascii="Book Antiqua" w:hAnsi="Book Antiqua" w:cs="Calibri"/>
          <w:sz w:val="20"/>
          <w:szCs w:val="20"/>
          <w:lang w:val="en-US"/>
        </w:rPr>
        <w:t>c</w:t>
      </w:r>
      <w:r w:rsidRPr="00E51A80">
        <w:rPr>
          <w:rFonts w:ascii="Book Antiqua" w:hAnsi="Book Antiqua" w:cs="Calibri"/>
          <w:sz w:val="20"/>
          <w:szCs w:val="20"/>
          <w:lang w:val="en-US"/>
        </w:rPr>
        <w:t>enter. Also, t</w:t>
      </w:r>
      <w:r w:rsidRPr="00E51A80">
        <w:rPr>
          <w:rFonts w:ascii="Book Antiqua" w:eastAsia="GpnrbjAdvTT3713a231+22" w:hAnsi="Book Antiqua" w:cs="Calibri"/>
          <w:sz w:val="20"/>
          <w:szCs w:val="20"/>
          <w:lang w:val="en-US"/>
        </w:rPr>
        <w:t>his study was evaluated and approved by the ethical c</w:t>
      </w:r>
      <w:r w:rsidR="001F68D3" w:rsidRPr="00E51A80">
        <w:rPr>
          <w:rFonts w:ascii="Book Antiqua" w:eastAsia="GpnrbjAdvTT3713a231+22" w:hAnsi="Book Antiqua" w:cs="Calibri"/>
          <w:sz w:val="20"/>
          <w:szCs w:val="20"/>
          <w:lang w:val="en-US"/>
        </w:rPr>
        <w:t>ommittee of our medical center.</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eastAsia="GpnrbjAdvTT3713a231+22" w:hAnsi="Book Antiqua" w:cs="Calibri"/>
          <w:sz w:val="20"/>
          <w:szCs w:val="20"/>
          <w:lang w:val="en-US"/>
        </w:rPr>
        <w:t xml:space="preserve">To evaluate the impact of PRRT over quality life of each patient, three parameters were used by means of a questionnaire after each dose, including </w:t>
      </w:r>
      <w:r w:rsidR="001F68D3" w:rsidRPr="00E51A80">
        <w:rPr>
          <w:rFonts w:ascii="Book Antiqua" w:eastAsia="GpnrbjAdvTT3713a231+22" w:hAnsi="Book Antiqua" w:cs="Calibri"/>
          <w:sz w:val="20"/>
          <w:szCs w:val="20"/>
          <w:lang w:val="en-US"/>
        </w:rPr>
        <w:t>“</w:t>
      </w:r>
      <w:r w:rsidRPr="00E51A80">
        <w:rPr>
          <w:rFonts w:ascii="Book Antiqua" w:eastAsia="GpnrbjAdvTT3713a231+22" w:hAnsi="Book Antiqua" w:cs="Calibri"/>
          <w:sz w:val="20"/>
          <w:szCs w:val="20"/>
          <w:lang w:val="en-US"/>
        </w:rPr>
        <w:t>overall improvement</w:t>
      </w:r>
      <w:r w:rsidR="00EF35E1" w:rsidRPr="00E51A80">
        <w:rPr>
          <w:rFonts w:ascii="Book Antiqua" w:eastAsia="GpnrbjAdvTT3713a231+22" w:hAnsi="Book Antiqua" w:cs="Calibri"/>
          <w:sz w:val="20"/>
          <w:szCs w:val="20"/>
          <w:lang w:val="en-US"/>
        </w:rPr>
        <w:t>,</w:t>
      </w:r>
      <w:r w:rsidR="001F68D3" w:rsidRPr="00E51A80">
        <w:rPr>
          <w:rFonts w:ascii="Book Antiqua" w:eastAsia="GpnrbjAdvTT3713a231+22" w:hAnsi="Book Antiqua" w:cs="Calibri"/>
          <w:sz w:val="20"/>
          <w:szCs w:val="20"/>
          <w:lang w:val="en-US"/>
        </w:rPr>
        <w:t>”</w:t>
      </w:r>
      <w:r w:rsidRPr="00E51A80">
        <w:rPr>
          <w:rFonts w:ascii="Book Antiqua" w:eastAsia="GpnrbjAdvTT3713a231+22" w:hAnsi="Book Antiqua" w:cs="Calibri"/>
          <w:sz w:val="20"/>
          <w:szCs w:val="20"/>
          <w:lang w:val="en-US"/>
        </w:rPr>
        <w:t xml:space="preserve"> </w:t>
      </w:r>
      <w:r w:rsidR="001F68D3" w:rsidRPr="00E51A80">
        <w:rPr>
          <w:rFonts w:ascii="Book Antiqua" w:eastAsia="GpnrbjAdvTT3713a231+22" w:hAnsi="Book Antiqua" w:cs="Calibri"/>
          <w:sz w:val="20"/>
          <w:szCs w:val="20"/>
          <w:lang w:val="en-US"/>
        </w:rPr>
        <w:t>“</w:t>
      </w:r>
      <w:r w:rsidRPr="00E51A80">
        <w:rPr>
          <w:rFonts w:ascii="Book Antiqua" w:eastAsia="GpnrbjAdvTT3713a231+22" w:hAnsi="Book Antiqua" w:cs="Calibri"/>
          <w:sz w:val="20"/>
          <w:szCs w:val="20"/>
          <w:lang w:val="en-US"/>
        </w:rPr>
        <w:t>pain assessment</w:t>
      </w:r>
      <w:r w:rsidR="001F68D3" w:rsidRPr="00E51A80">
        <w:rPr>
          <w:rFonts w:ascii="Book Antiqua" w:eastAsia="GpnrbjAdvTT3713a231+22" w:hAnsi="Book Antiqua" w:cs="Calibri"/>
          <w:sz w:val="20"/>
          <w:szCs w:val="20"/>
          <w:lang w:val="en-US"/>
        </w:rPr>
        <w:t>”</w:t>
      </w:r>
      <w:r w:rsidRPr="00E51A80">
        <w:rPr>
          <w:rFonts w:ascii="Book Antiqua" w:eastAsia="GpnrbjAdvTT3713a231+22" w:hAnsi="Book Antiqua" w:cs="Calibri"/>
          <w:sz w:val="20"/>
          <w:szCs w:val="20"/>
          <w:lang w:val="en-US"/>
        </w:rPr>
        <w:t xml:space="preserve"> and </w:t>
      </w:r>
      <w:r w:rsidR="001F68D3" w:rsidRPr="00E51A80">
        <w:rPr>
          <w:rFonts w:ascii="Book Antiqua" w:eastAsia="GpnrbjAdvTT3713a231+22" w:hAnsi="Book Antiqua" w:cs="Calibri"/>
          <w:sz w:val="20"/>
          <w:szCs w:val="20"/>
          <w:lang w:val="en-US"/>
        </w:rPr>
        <w:t>“</w:t>
      </w:r>
      <w:r w:rsidRPr="00E51A80">
        <w:rPr>
          <w:rFonts w:ascii="Book Antiqua" w:eastAsia="GpnrbjAdvTT3713a231+22" w:hAnsi="Book Antiqua" w:cs="Calibri"/>
          <w:sz w:val="20"/>
          <w:szCs w:val="20"/>
          <w:lang w:val="en-US"/>
        </w:rPr>
        <w:t>evaluation of hormonal secretion symptoms</w:t>
      </w:r>
      <w:r w:rsidR="001F68D3" w:rsidRPr="00E51A80">
        <w:rPr>
          <w:rFonts w:ascii="Book Antiqua" w:eastAsia="GpnrbjAdvTT3713a231+22" w:hAnsi="Book Antiqua" w:cs="Calibri"/>
          <w:sz w:val="20"/>
          <w:szCs w:val="20"/>
          <w:lang w:val="en-US"/>
        </w:rPr>
        <w:t>”</w:t>
      </w:r>
      <w:r w:rsidRPr="00E51A80">
        <w:rPr>
          <w:rFonts w:ascii="Book Antiqua" w:eastAsia="GpnrbjAdvTT3713a231+22" w:hAnsi="Book Antiqua" w:cs="Calibri"/>
          <w:sz w:val="20"/>
          <w:szCs w:val="20"/>
          <w:lang w:val="en-US"/>
        </w:rPr>
        <w:t xml:space="preserve"> that included the assessment of diarrhea</w:t>
      </w:r>
      <w:r w:rsidR="001F68D3" w:rsidRPr="00E51A80">
        <w:rPr>
          <w:rFonts w:ascii="Book Antiqua" w:eastAsia="GpnrbjAdvTT3713a231+22" w:hAnsi="Book Antiqua" w:cs="Calibri"/>
          <w:sz w:val="20"/>
          <w:szCs w:val="20"/>
          <w:lang w:val="en-US"/>
        </w:rPr>
        <w:t>, flushing, and abdominal pain.</w:t>
      </w:r>
    </w:p>
    <w:p w:rsidR="002B7963" w:rsidRPr="00E51A80" w:rsidRDefault="002B7963" w:rsidP="007E3E0D">
      <w:pPr>
        <w:adjustRightInd w:val="0"/>
        <w:snapToGrid w:val="0"/>
        <w:spacing w:after="0" w:line="360" w:lineRule="auto"/>
        <w:jc w:val="both"/>
        <w:rPr>
          <w:rFonts w:ascii="Book Antiqua" w:hAnsi="Book Antiqua" w:cs="Calibri"/>
          <w:strike/>
          <w:sz w:val="20"/>
          <w:szCs w:val="20"/>
          <w:lang w:val="en-US"/>
        </w:rPr>
      </w:pP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b/>
          <w:bCs/>
          <w:i/>
          <w:iCs/>
          <w:sz w:val="20"/>
          <w:szCs w:val="20"/>
          <w:lang w:val="en-US"/>
        </w:rPr>
        <w:t xml:space="preserve">PRRT </w:t>
      </w:r>
    </w:p>
    <w:p w:rsidR="002B7963" w:rsidRPr="00E51A80" w:rsidRDefault="00F63757"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sz w:val="20"/>
          <w:szCs w:val="20"/>
          <w:lang w:val="en-US"/>
        </w:rPr>
        <w:t xml:space="preserve">The </w:t>
      </w:r>
      <w:r w:rsidR="002B7963" w:rsidRPr="00E51A80">
        <w:rPr>
          <w:rFonts w:ascii="Book Antiqua" w:hAnsi="Book Antiqua" w:cs="Calibri"/>
          <w:sz w:val="20"/>
          <w:szCs w:val="20"/>
          <w:lang w:val="en-US"/>
        </w:rPr>
        <w:t xml:space="preserve">inclusion criteria were: patients with advanced NET with a baseline tumor uptake on </w:t>
      </w:r>
      <w:r w:rsidR="0082690D" w:rsidRPr="00E51A80">
        <w:rPr>
          <w:rFonts w:ascii="Book Antiqua" w:hAnsi="Book Antiqua" w:cs="Calibri"/>
          <w:sz w:val="20"/>
          <w:szCs w:val="20"/>
          <w:lang w:val="en-US"/>
        </w:rPr>
        <w:t>(</w:t>
      </w:r>
      <w:r w:rsidR="002B7963" w:rsidRPr="00E51A80">
        <w:rPr>
          <w:rFonts w:ascii="Book Antiqua" w:hAnsi="Book Antiqua" w:cs="Calibri"/>
          <w:sz w:val="20"/>
          <w:szCs w:val="20"/>
          <w:lang w:val="en-US"/>
        </w:rPr>
        <w:t>111In-DTPA0</w:t>
      </w:r>
      <w:r w:rsidR="0082690D" w:rsidRPr="00E51A80">
        <w:rPr>
          <w:rFonts w:ascii="Book Antiqua" w:hAnsi="Book Antiqua" w:cs="Calibri"/>
          <w:sz w:val="20"/>
          <w:szCs w:val="20"/>
          <w:lang w:val="en-US"/>
        </w:rPr>
        <w:t>)</w:t>
      </w:r>
      <w:r w:rsidR="002B7963" w:rsidRPr="00E51A80">
        <w:rPr>
          <w:rFonts w:ascii="Book Antiqua" w:hAnsi="Book Antiqua" w:cs="Calibri"/>
          <w:sz w:val="20"/>
          <w:szCs w:val="20"/>
          <w:lang w:val="en-US"/>
        </w:rPr>
        <w:t xml:space="preserve"> </w:t>
      </w:r>
      <w:proofErr w:type="spellStart"/>
      <w:r w:rsidR="002B7963" w:rsidRPr="00E51A80">
        <w:rPr>
          <w:rFonts w:ascii="Book Antiqua" w:hAnsi="Book Antiqua" w:cs="Calibri"/>
          <w:sz w:val="20"/>
          <w:szCs w:val="20"/>
          <w:lang w:val="en-US"/>
        </w:rPr>
        <w:t>octreotide</w:t>
      </w:r>
      <w:proofErr w:type="spellEnd"/>
      <w:r w:rsidR="002B7963" w:rsidRPr="00E51A80">
        <w:rPr>
          <w:rFonts w:ascii="Book Antiqua" w:hAnsi="Book Antiqua" w:cs="Calibri"/>
          <w:sz w:val="20"/>
          <w:szCs w:val="20"/>
          <w:lang w:val="en-US"/>
        </w:rPr>
        <w:t xml:space="preserve"> </w:t>
      </w:r>
      <w:proofErr w:type="spellStart"/>
      <w:r w:rsidR="002B7963" w:rsidRPr="00E51A80">
        <w:rPr>
          <w:rFonts w:ascii="Book Antiqua" w:hAnsi="Book Antiqua" w:cs="Calibri"/>
          <w:sz w:val="20"/>
          <w:szCs w:val="20"/>
          <w:lang w:val="en-US"/>
        </w:rPr>
        <w:t>scintigraphy</w:t>
      </w:r>
      <w:proofErr w:type="spellEnd"/>
      <w:r w:rsidR="002B7963" w:rsidRPr="00E51A80">
        <w:rPr>
          <w:rFonts w:ascii="Book Antiqua" w:hAnsi="Book Antiqua" w:cs="Calibri"/>
          <w:sz w:val="20"/>
          <w:szCs w:val="20"/>
          <w:lang w:val="en-US"/>
        </w:rPr>
        <w:t xml:space="preserve"> (</w:t>
      </w:r>
      <w:proofErr w:type="spellStart"/>
      <w:r w:rsidR="002B7963" w:rsidRPr="00E51A80">
        <w:rPr>
          <w:rFonts w:ascii="Book Antiqua" w:hAnsi="Book Antiqua" w:cs="Calibri"/>
          <w:sz w:val="20"/>
          <w:szCs w:val="20"/>
          <w:lang w:val="en-US"/>
        </w:rPr>
        <w:t>Octreoscan</w:t>
      </w:r>
      <w:proofErr w:type="spellEnd"/>
      <w:r w:rsidR="002B7963" w:rsidRPr="00E51A80">
        <w:rPr>
          <w:rFonts w:ascii="Book Antiqua" w:hAnsi="Book Antiqua" w:cs="Calibri"/>
          <w:sz w:val="20"/>
          <w:szCs w:val="20"/>
          <w:vertAlign w:val="superscript"/>
          <w:lang w:val="en-US"/>
        </w:rPr>
        <w:t>®</w:t>
      </w:r>
      <w:r w:rsidR="002B7963" w:rsidRPr="00E51A80">
        <w:rPr>
          <w:rFonts w:ascii="Book Antiqua" w:hAnsi="Book Antiqua" w:cs="Calibri"/>
          <w:sz w:val="20"/>
          <w:szCs w:val="20"/>
          <w:lang w:val="en-US"/>
        </w:rPr>
        <w:t>) in tumor cells at least as high as in normal liver tissue (</w:t>
      </w:r>
      <w:proofErr w:type="spellStart"/>
      <w:r w:rsidR="002B7963" w:rsidRPr="00E51A80">
        <w:rPr>
          <w:rFonts w:ascii="Book Antiqua" w:hAnsi="Book Antiqua" w:cs="Calibri"/>
          <w:sz w:val="20"/>
          <w:szCs w:val="20"/>
          <w:lang w:val="en-US"/>
        </w:rPr>
        <w:t>Krenning</w:t>
      </w:r>
      <w:proofErr w:type="spellEnd"/>
      <w:r w:rsidR="002B7963" w:rsidRPr="00E51A80">
        <w:rPr>
          <w:rFonts w:ascii="Book Antiqua" w:hAnsi="Book Antiqua" w:cs="Calibri"/>
          <w:sz w:val="20"/>
          <w:szCs w:val="20"/>
          <w:lang w:val="en-US"/>
        </w:rPr>
        <w:t xml:space="preserve"> score ≥ 2), tumor progression to previous treatments defined by response evaluation criteria in solid tumors (RECIST) in </w:t>
      </w:r>
      <w:r w:rsidR="002B3764" w:rsidRPr="00E51A80">
        <w:rPr>
          <w:rFonts w:ascii="Book Antiqua" w:hAnsi="Book Antiqua" w:cs="Calibri"/>
          <w:sz w:val="20"/>
          <w:szCs w:val="20"/>
          <w:lang w:val="en-US"/>
        </w:rPr>
        <w:t>computed tomography (CT)</w:t>
      </w:r>
      <w:r w:rsidR="002B7963" w:rsidRPr="00E51A80">
        <w:rPr>
          <w:rFonts w:ascii="Book Antiqua" w:hAnsi="Book Antiqua" w:cs="Calibri"/>
          <w:sz w:val="20"/>
          <w:szCs w:val="20"/>
          <w:lang w:val="en-US"/>
        </w:rPr>
        <w:t xml:space="preserve"> or </w:t>
      </w:r>
      <w:r w:rsidR="002B3764" w:rsidRPr="00E51A80">
        <w:rPr>
          <w:rFonts w:ascii="Book Antiqua" w:hAnsi="Book Antiqua" w:cs="Calibri"/>
          <w:sz w:val="20"/>
          <w:szCs w:val="20"/>
          <w:lang w:val="en-US"/>
        </w:rPr>
        <w:t xml:space="preserve">magnetic resonance imaging </w:t>
      </w:r>
      <w:r w:rsidR="002B7963" w:rsidRPr="00E51A80">
        <w:rPr>
          <w:rFonts w:ascii="Book Antiqua" w:hAnsi="Book Antiqua" w:cs="Calibri"/>
          <w:sz w:val="20"/>
          <w:szCs w:val="20"/>
          <w:lang w:val="en-US"/>
        </w:rPr>
        <w:t xml:space="preserve">performed at least 3 </w:t>
      </w:r>
      <w:proofErr w:type="spellStart"/>
      <w:r w:rsidR="002B7963" w:rsidRPr="00E51A80">
        <w:rPr>
          <w:rFonts w:ascii="Book Antiqua" w:hAnsi="Book Antiqua" w:cs="Calibri"/>
          <w:sz w:val="20"/>
          <w:szCs w:val="20"/>
          <w:lang w:val="en-US"/>
        </w:rPr>
        <w:t>mo</w:t>
      </w:r>
      <w:proofErr w:type="spellEnd"/>
      <w:r w:rsidR="002B7963" w:rsidRPr="00E51A80">
        <w:rPr>
          <w:rFonts w:ascii="Book Antiqua" w:hAnsi="Book Antiqua" w:cs="Calibri"/>
          <w:sz w:val="20"/>
          <w:szCs w:val="20"/>
          <w:lang w:val="en-US"/>
        </w:rPr>
        <w:t xml:space="preserve"> before the treatment, a life expectancy of at least 6 </w:t>
      </w:r>
      <w:proofErr w:type="spellStart"/>
      <w:r w:rsidR="002B7963" w:rsidRPr="00E51A80">
        <w:rPr>
          <w:rFonts w:ascii="Book Antiqua" w:hAnsi="Book Antiqua" w:cs="Calibri"/>
          <w:sz w:val="20"/>
          <w:szCs w:val="20"/>
          <w:lang w:val="en-US"/>
        </w:rPr>
        <w:t>mo</w:t>
      </w:r>
      <w:proofErr w:type="spellEnd"/>
      <w:r w:rsidR="002B7963" w:rsidRPr="00E51A80">
        <w:rPr>
          <w:rFonts w:ascii="Book Antiqua" w:hAnsi="Book Antiqua" w:cs="Calibri"/>
          <w:sz w:val="20"/>
          <w:szCs w:val="20"/>
          <w:lang w:val="en-US"/>
        </w:rPr>
        <w:t xml:space="preserve">, baseline serum hemoglobin </w:t>
      </w:r>
      <w:r w:rsidR="002B7963" w:rsidRPr="00E51A80">
        <w:rPr>
          <w:rFonts w:ascii="Book Antiqua" w:eastAsia="GpnrbjAdvTT3713a231+22" w:hAnsi="Book Antiqua" w:cs="Calibri"/>
          <w:sz w:val="20"/>
          <w:szCs w:val="20"/>
          <w:lang w:val="en-US"/>
        </w:rPr>
        <w:t>≥</w:t>
      </w:r>
      <w:r w:rsidR="001F68D3" w:rsidRPr="00E51A80">
        <w:rPr>
          <w:rFonts w:ascii="Book Antiqua" w:eastAsia="GpnrbjAdvTT3713a231+22" w:hAnsi="Book Antiqua" w:cs="Calibri"/>
          <w:sz w:val="20"/>
          <w:szCs w:val="20"/>
          <w:lang w:val="en-US"/>
        </w:rPr>
        <w:t xml:space="preserve"> </w:t>
      </w:r>
      <w:r w:rsidR="002B7963" w:rsidRPr="00E51A80">
        <w:rPr>
          <w:rFonts w:ascii="Book Antiqua" w:hAnsi="Book Antiqua" w:cs="Calibri"/>
          <w:sz w:val="20"/>
          <w:szCs w:val="20"/>
          <w:lang w:val="en-US"/>
        </w:rPr>
        <w:t>8 g/</w:t>
      </w:r>
      <w:proofErr w:type="spellStart"/>
      <w:r w:rsidR="002B7963" w:rsidRPr="00E51A80">
        <w:rPr>
          <w:rFonts w:ascii="Book Antiqua" w:hAnsi="Book Antiqua" w:cs="Calibri"/>
          <w:sz w:val="20"/>
          <w:szCs w:val="20"/>
          <w:lang w:val="en-US"/>
        </w:rPr>
        <w:t>d</w:t>
      </w:r>
      <w:r w:rsidR="001F68D3" w:rsidRPr="00E51A80">
        <w:rPr>
          <w:rFonts w:ascii="Book Antiqua" w:hAnsi="Book Antiqua" w:cs="Calibri"/>
          <w:sz w:val="20"/>
          <w:szCs w:val="20"/>
          <w:lang w:val="en-US"/>
        </w:rPr>
        <w:t>L</w:t>
      </w:r>
      <w:proofErr w:type="spellEnd"/>
      <w:r w:rsidR="00EF35E1" w:rsidRPr="00E51A80">
        <w:rPr>
          <w:rFonts w:ascii="Book Antiqua" w:hAnsi="Book Antiqua" w:cs="Calibri"/>
          <w:sz w:val="20"/>
          <w:szCs w:val="20"/>
          <w:lang w:val="en-US"/>
        </w:rPr>
        <w:t>,</w:t>
      </w:r>
      <w:r w:rsidR="001F68D3" w:rsidRPr="00E51A80">
        <w:rPr>
          <w:rFonts w:ascii="Book Antiqua" w:hAnsi="Book Antiqua" w:cs="Calibri"/>
          <w:sz w:val="20"/>
          <w:szCs w:val="20"/>
          <w:lang w:val="en-US"/>
        </w:rPr>
        <w:t xml:space="preserve"> white blood cell count </w:t>
      </w:r>
      <w:r w:rsidR="002B7963" w:rsidRPr="00E51A80">
        <w:rPr>
          <w:rFonts w:ascii="Book Antiqua" w:eastAsia="GpnrbjAdvTT3713a231+22" w:hAnsi="Book Antiqua" w:cs="Calibri"/>
          <w:sz w:val="20"/>
          <w:szCs w:val="20"/>
          <w:lang w:val="en-US"/>
        </w:rPr>
        <w:t>&gt;</w:t>
      </w:r>
      <w:r w:rsidR="00C529ED" w:rsidRPr="00E51A80">
        <w:rPr>
          <w:rFonts w:ascii="Book Antiqua" w:hAnsi="Book Antiqua" w:cs="Calibri"/>
          <w:sz w:val="20"/>
          <w:szCs w:val="20"/>
          <w:lang w:val="en-US"/>
        </w:rPr>
        <w:t xml:space="preserve"> </w:t>
      </w:r>
      <w:r w:rsidR="002B7963" w:rsidRPr="00E51A80">
        <w:rPr>
          <w:rFonts w:ascii="Book Antiqua" w:eastAsia="GpnrbjAdvTT3713a231+22" w:hAnsi="Book Antiqua" w:cs="Calibri"/>
          <w:sz w:val="20"/>
          <w:szCs w:val="20"/>
          <w:lang w:val="en-US"/>
        </w:rPr>
        <w:t>3000/µ</w:t>
      </w:r>
      <w:r w:rsidR="001F68D3" w:rsidRPr="00E51A80">
        <w:rPr>
          <w:rFonts w:ascii="Book Antiqua" w:eastAsia="GpnrbjAdvTT3713a231+22" w:hAnsi="Book Antiqua" w:cs="Calibri"/>
          <w:sz w:val="20"/>
          <w:szCs w:val="20"/>
          <w:lang w:val="en-US"/>
        </w:rPr>
        <w:t>L</w:t>
      </w:r>
      <w:r w:rsidR="00EF35E1" w:rsidRPr="00E51A80">
        <w:rPr>
          <w:rFonts w:ascii="Book Antiqua" w:hAnsi="Book Antiqua" w:cs="Calibri"/>
          <w:sz w:val="20"/>
          <w:szCs w:val="20"/>
          <w:lang w:val="en-US"/>
        </w:rPr>
        <w:t xml:space="preserve">, </w:t>
      </w:r>
      <w:r w:rsidR="002B7963" w:rsidRPr="00E51A80">
        <w:rPr>
          <w:rFonts w:ascii="Book Antiqua" w:hAnsi="Book Antiqua" w:cs="Calibri"/>
          <w:sz w:val="20"/>
          <w:szCs w:val="20"/>
          <w:lang w:val="en-US"/>
        </w:rPr>
        <w:t xml:space="preserve">platelet count </w:t>
      </w:r>
      <w:r w:rsidR="002B7963" w:rsidRPr="00E51A80">
        <w:rPr>
          <w:rFonts w:ascii="Book Antiqua" w:eastAsia="GpnrbjAdvTT3713a231+22" w:hAnsi="Book Antiqua" w:cs="Calibri"/>
          <w:sz w:val="20"/>
          <w:szCs w:val="20"/>
          <w:lang w:val="en-US"/>
        </w:rPr>
        <w:t>≥</w:t>
      </w:r>
      <w:r w:rsidR="002B3764" w:rsidRPr="00E51A80">
        <w:rPr>
          <w:rFonts w:ascii="Book Antiqua" w:eastAsia="GpnrbjAdvTT3713a231+22" w:hAnsi="Book Antiqua" w:cs="Calibri"/>
          <w:sz w:val="20"/>
          <w:szCs w:val="20"/>
          <w:lang w:val="en-US"/>
        </w:rPr>
        <w:t xml:space="preserve"> </w:t>
      </w:r>
      <w:r w:rsidR="002B7963" w:rsidRPr="00E51A80">
        <w:rPr>
          <w:rFonts w:ascii="Book Antiqua" w:hAnsi="Book Antiqua" w:cs="Calibri"/>
          <w:sz w:val="20"/>
          <w:szCs w:val="20"/>
          <w:lang w:val="en-US"/>
        </w:rPr>
        <w:t>75.000/µ</w:t>
      </w:r>
      <w:r w:rsidR="002B3764" w:rsidRPr="00E51A80">
        <w:rPr>
          <w:rFonts w:ascii="Book Antiqua" w:hAnsi="Book Antiqua" w:cs="Calibri"/>
          <w:sz w:val="20"/>
          <w:szCs w:val="20"/>
          <w:lang w:val="en-US"/>
        </w:rPr>
        <w:t>L</w:t>
      </w:r>
      <w:r w:rsidR="00EF35E1" w:rsidRPr="00E51A80">
        <w:rPr>
          <w:rFonts w:ascii="Book Antiqua" w:hAnsi="Book Antiqua" w:cs="Calibri"/>
          <w:sz w:val="20"/>
          <w:szCs w:val="20"/>
          <w:lang w:val="en-US"/>
        </w:rPr>
        <w:t>,</w:t>
      </w:r>
      <w:r w:rsidR="002B7963" w:rsidRPr="00E51A80">
        <w:rPr>
          <w:rFonts w:ascii="Book Antiqua" w:hAnsi="Book Antiqua" w:cs="Calibri"/>
          <w:sz w:val="20"/>
          <w:szCs w:val="20"/>
          <w:lang w:val="en-US"/>
        </w:rPr>
        <w:t xml:space="preserve"> </w:t>
      </w:r>
      <w:proofErr w:type="spellStart"/>
      <w:r w:rsidR="002B7963" w:rsidRPr="00E51A80">
        <w:rPr>
          <w:rFonts w:ascii="Book Antiqua" w:hAnsi="Book Antiqua" w:cs="Calibri"/>
          <w:sz w:val="20"/>
          <w:szCs w:val="20"/>
          <w:lang w:val="en-US"/>
        </w:rPr>
        <w:t>creatinine</w:t>
      </w:r>
      <w:proofErr w:type="spellEnd"/>
      <w:r w:rsidR="002B7963" w:rsidRPr="00E51A80">
        <w:rPr>
          <w:rFonts w:ascii="Book Antiqua" w:hAnsi="Book Antiqua" w:cs="Calibri"/>
          <w:sz w:val="20"/>
          <w:szCs w:val="20"/>
          <w:lang w:val="en-US"/>
        </w:rPr>
        <w:t xml:space="preserve"> clearance </w:t>
      </w:r>
      <w:r w:rsidR="002B7963" w:rsidRPr="00E51A80">
        <w:rPr>
          <w:rFonts w:ascii="Book Antiqua" w:eastAsia="GpnrbjAdvTT3713a231+22" w:hAnsi="Book Antiqua" w:cs="Calibri"/>
          <w:sz w:val="20"/>
          <w:szCs w:val="20"/>
          <w:lang w:val="en-US"/>
        </w:rPr>
        <w:t>&gt;</w:t>
      </w:r>
      <w:r w:rsidR="002B3764" w:rsidRPr="00E51A80">
        <w:rPr>
          <w:rFonts w:ascii="Book Antiqua" w:eastAsia="GpnrbjAdvTT3713a231+22" w:hAnsi="Book Antiqua" w:cs="Calibri"/>
          <w:sz w:val="20"/>
          <w:szCs w:val="20"/>
          <w:lang w:val="en-US"/>
        </w:rPr>
        <w:t xml:space="preserve"> </w:t>
      </w:r>
      <w:r w:rsidR="002B7963" w:rsidRPr="00E51A80">
        <w:rPr>
          <w:rFonts w:ascii="Book Antiqua" w:eastAsia="GpnrbjAdvTT3713a231+22" w:hAnsi="Book Antiqua" w:cs="Calibri"/>
          <w:sz w:val="20"/>
          <w:szCs w:val="20"/>
          <w:lang w:val="en-US"/>
        </w:rPr>
        <w:t>5</w:t>
      </w:r>
      <w:r w:rsidR="002B7963" w:rsidRPr="00E51A80">
        <w:rPr>
          <w:rFonts w:ascii="Book Antiqua" w:hAnsi="Book Antiqua" w:cs="Calibri"/>
          <w:sz w:val="20"/>
          <w:szCs w:val="20"/>
          <w:lang w:val="en-US"/>
        </w:rPr>
        <w:t>0 m</w:t>
      </w:r>
      <w:r w:rsidR="002B3764" w:rsidRPr="00E51A80">
        <w:rPr>
          <w:rFonts w:ascii="Book Antiqua" w:hAnsi="Book Antiqua" w:cs="Calibri"/>
          <w:sz w:val="20"/>
          <w:szCs w:val="20"/>
          <w:lang w:val="en-US"/>
        </w:rPr>
        <w:t>L</w:t>
      </w:r>
      <w:r w:rsidRPr="00E51A80">
        <w:rPr>
          <w:rFonts w:ascii="Book Antiqua" w:hAnsi="Book Antiqua" w:cs="Calibri"/>
          <w:sz w:val="20"/>
          <w:szCs w:val="20"/>
          <w:lang w:val="en-US"/>
        </w:rPr>
        <w:t xml:space="preserve">/min, </w:t>
      </w:r>
      <w:r w:rsidR="00EF35E1" w:rsidRPr="00E51A80">
        <w:rPr>
          <w:rFonts w:ascii="Book Antiqua" w:hAnsi="Book Antiqua" w:cs="Calibri"/>
          <w:sz w:val="20"/>
          <w:szCs w:val="20"/>
          <w:lang w:val="en-US"/>
        </w:rPr>
        <w:t>b</w:t>
      </w:r>
      <w:r w:rsidR="002B7963" w:rsidRPr="00E51A80">
        <w:rPr>
          <w:rFonts w:ascii="Book Antiqua" w:hAnsi="Book Antiqua" w:cs="Calibri"/>
          <w:sz w:val="20"/>
          <w:szCs w:val="20"/>
          <w:lang w:val="en-US"/>
        </w:rPr>
        <w:t>ilirubin &lt;</w:t>
      </w:r>
      <w:r w:rsidR="002B3764" w:rsidRPr="00E51A80">
        <w:rPr>
          <w:rFonts w:ascii="Book Antiqua" w:hAnsi="Book Antiqua" w:cs="Calibri"/>
          <w:sz w:val="20"/>
          <w:szCs w:val="20"/>
          <w:lang w:val="en-US"/>
        </w:rPr>
        <w:t xml:space="preserve"> </w:t>
      </w:r>
      <w:r w:rsidR="002B7963" w:rsidRPr="00E51A80">
        <w:rPr>
          <w:rFonts w:ascii="Book Antiqua" w:hAnsi="Book Antiqua" w:cs="Calibri"/>
          <w:sz w:val="20"/>
          <w:szCs w:val="20"/>
          <w:lang w:val="en-US"/>
        </w:rPr>
        <w:t>3 times the range limit, serum albumin</w:t>
      </w:r>
      <w:r w:rsidR="002B3764" w:rsidRPr="00E51A80">
        <w:rPr>
          <w:rFonts w:ascii="Book Antiqua" w:hAnsi="Book Antiqua" w:cs="Calibri"/>
          <w:sz w:val="20"/>
          <w:szCs w:val="20"/>
          <w:lang w:val="en-US"/>
        </w:rPr>
        <w:t xml:space="preserve"> &gt; 30g/</w:t>
      </w:r>
      <w:r w:rsidR="002B7963" w:rsidRPr="00E51A80">
        <w:rPr>
          <w:rFonts w:ascii="Book Antiqua" w:hAnsi="Book Antiqua" w:cs="Calibri"/>
          <w:sz w:val="20"/>
          <w:szCs w:val="20"/>
          <w:lang w:val="en-US"/>
        </w:rPr>
        <w:t>L (</w:t>
      </w:r>
      <w:r w:rsidR="00EF35E1" w:rsidRPr="00E51A80">
        <w:rPr>
          <w:rFonts w:ascii="Book Antiqua" w:hAnsi="Book Antiqua" w:cs="Calibri"/>
          <w:sz w:val="20"/>
          <w:szCs w:val="20"/>
          <w:lang w:val="en-US"/>
        </w:rPr>
        <w:t>i</w:t>
      </w:r>
      <w:r w:rsidR="002B7963" w:rsidRPr="00E51A80">
        <w:rPr>
          <w:rFonts w:ascii="Book Antiqua" w:hAnsi="Book Antiqua" w:cs="Calibri"/>
          <w:sz w:val="20"/>
          <w:szCs w:val="20"/>
          <w:lang w:val="en-US"/>
        </w:rPr>
        <w:t>f the albumin &lt;</w:t>
      </w:r>
      <w:r w:rsidR="002B3764" w:rsidRPr="00E51A80">
        <w:rPr>
          <w:rFonts w:ascii="Book Antiqua" w:hAnsi="Book Antiqua" w:cs="Calibri"/>
          <w:sz w:val="20"/>
          <w:szCs w:val="20"/>
          <w:lang w:val="en-US"/>
        </w:rPr>
        <w:t xml:space="preserve"> </w:t>
      </w:r>
      <w:r w:rsidR="002B7963" w:rsidRPr="00E51A80">
        <w:rPr>
          <w:rFonts w:ascii="Book Antiqua" w:hAnsi="Book Antiqua" w:cs="Calibri"/>
          <w:sz w:val="20"/>
          <w:szCs w:val="20"/>
          <w:lang w:val="en-US"/>
        </w:rPr>
        <w:t>30</w:t>
      </w:r>
      <w:r w:rsidR="002B3764" w:rsidRPr="00E51A80">
        <w:rPr>
          <w:rFonts w:ascii="Book Antiqua" w:hAnsi="Book Antiqua" w:cs="Calibri"/>
          <w:sz w:val="20"/>
          <w:szCs w:val="20"/>
          <w:lang w:val="en-US"/>
        </w:rPr>
        <w:t xml:space="preserve"> g/</w:t>
      </w:r>
      <w:r w:rsidR="002B7963" w:rsidRPr="00E51A80">
        <w:rPr>
          <w:rFonts w:ascii="Book Antiqua" w:hAnsi="Book Antiqua" w:cs="Calibri"/>
          <w:sz w:val="20"/>
          <w:szCs w:val="20"/>
          <w:lang w:val="en-US"/>
        </w:rPr>
        <w:t>L</w:t>
      </w:r>
      <w:r w:rsidR="00EF35E1" w:rsidRPr="00E51A80">
        <w:rPr>
          <w:rFonts w:ascii="Book Antiqua" w:hAnsi="Book Antiqua" w:cs="Calibri"/>
          <w:sz w:val="20"/>
          <w:szCs w:val="20"/>
          <w:lang w:val="en-US"/>
        </w:rPr>
        <w:t>, then</w:t>
      </w:r>
      <w:r w:rsidR="002B7963" w:rsidRPr="00E51A80">
        <w:rPr>
          <w:rFonts w:ascii="Book Antiqua" w:hAnsi="Book Antiqua" w:cs="Calibri"/>
          <w:sz w:val="20"/>
          <w:szCs w:val="20"/>
          <w:lang w:val="en-US"/>
        </w:rPr>
        <w:t xml:space="preserve"> </w:t>
      </w:r>
      <w:proofErr w:type="spellStart"/>
      <w:r w:rsidR="002B7963" w:rsidRPr="00E51A80">
        <w:rPr>
          <w:rFonts w:ascii="Book Antiqua" w:hAnsi="Book Antiqua" w:cs="Calibri"/>
          <w:sz w:val="20"/>
          <w:szCs w:val="20"/>
          <w:lang w:val="en-US"/>
        </w:rPr>
        <w:t>prothrombin</w:t>
      </w:r>
      <w:proofErr w:type="spellEnd"/>
      <w:r w:rsidR="002B7963" w:rsidRPr="00E51A80">
        <w:rPr>
          <w:rFonts w:ascii="Book Antiqua" w:hAnsi="Book Antiqua" w:cs="Calibri"/>
          <w:sz w:val="20"/>
          <w:szCs w:val="20"/>
          <w:lang w:val="en-US"/>
        </w:rPr>
        <w:t xml:space="preserve"> time must be normal) and a </w:t>
      </w:r>
      <w:proofErr w:type="spellStart"/>
      <w:r w:rsidR="002B7963" w:rsidRPr="00E51A80">
        <w:rPr>
          <w:rFonts w:ascii="Book Antiqua" w:hAnsi="Book Antiqua" w:cs="Calibri"/>
          <w:sz w:val="20"/>
          <w:szCs w:val="20"/>
          <w:lang w:val="en-US"/>
        </w:rPr>
        <w:t>Karnofsky</w:t>
      </w:r>
      <w:proofErr w:type="spellEnd"/>
      <w:r w:rsidR="002B7963" w:rsidRPr="00E51A80">
        <w:rPr>
          <w:rFonts w:ascii="Book Antiqua" w:hAnsi="Book Antiqua" w:cs="Calibri"/>
          <w:sz w:val="20"/>
          <w:szCs w:val="20"/>
          <w:lang w:val="en-US"/>
        </w:rPr>
        <w:t xml:space="preserve"> performance status </w:t>
      </w:r>
      <w:r w:rsidR="002B7963" w:rsidRPr="00E51A80">
        <w:rPr>
          <w:rFonts w:ascii="Book Antiqua" w:eastAsia="GpnrbjAdvTT3713a231+22" w:hAnsi="Book Antiqua" w:cs="Calibri"/>
          <w:sz w:val="20"/>
          <w:szCs w:val="20"/>
          <w:lang w:val="en-US"/>
        </w:rPr>
        <w:t>≥</w:t>
      </w:r>
      <w:r w:rsidR="002B3764" w:rsidRPr="00E51A80">
        <w:rPr>
          <w:rFonts w:ascii="Book Antiqua" w:eastAsia="GpnrbjAdvTT3713a231+22" w:hAnsi="Book Antiqua" w:cs="Calibri"/>
          <w:sz w:val="20"/>
          <w:szCs w:val="20"/>
          <w:lang w:val="en-US"/>
        </w:rPr>
        <w:t xml:space="preserve"> </w:t>
      </w:r>
      <w:r w:rsidR="002B7963" w:rsidRPr="00E51A80">
        <w:rPr>
          <w:rFonts w:ascii="Book Antiqua" w:eastAsia="GpnrbjAdvTT3713a231+22" w:hAnsi="Book Antiqua" w:cs="Calibri"/>
          <w:sz w:val="20"/>
          <w:szCs w:val="20"/>
          <w:lang w:val="en-US"/>
        </w:rPr>
        <w:t>60 or an ECOG</w:t>
      </w:r>
      <w:r w:rsidR="002B3764" w:rsidRPr="00E51A80">
        <w:rPr>
          <w:rFonts w:ascii="Book Antiqua" w:eastAsia="GpnrbjAdvTT3713a231+22" w:hAnsi="Book Antiqua" w:cs="Calibri"/>
          <w:sz w:val="20"/>
          <w:szCs w:val="20"/>
          <w:lang w:val="en-US"/>
        </w:rPr>
        <w:t xml:space="preserve"> </w:t>
      </w:r>
      <w:r w:rsidR="002B7963" w:rsidRPr="00E51A80">
        <w:rPr>
          <w:rFonts w:ascii="Book Antiqua" w:eastAsia="GpnrbjAdvTT3713a231+22" w:hAnsi="Book Antiqua" w:cs="Calibri"/>
          <w:sz w:val="20"/>
          <w:szCs w:val="20"/>
          <w:lang w:val="en-US"/>
        </w:rPr>
        <w:t>&lt;</w:t>
      </w:r>
      <w:r w:rsidR="002B3764" w:rsidRPr="00E51A80">
        <w:rPr>
          <w:rFonts w:ascii="Book Antiqua" w:eastAsia="GpnrbjAdvTT3713a231+22" w:hAnsi="Book Antiqua" w:cs="Calibri"/>
          <w:sz w:val="20"/>
          <w:szCs w:val="20"/>
          <w:lang w:val="en-US"/>
        </w:rPr>
        <w:t xml:space="preserve"> </w:t>
      </w:r>
      <w:r w:rsidR="002B7963" w:rsidRPr="00E51A80">
        <w:rPr>
          <w:rFonts w:ascii="Book Antiqua" w:eastAsia="GpnrbjAdvTT3713a231+22" w:hAnsi="Book Antiqua" w:cs="Calibri"/>
          <w:sz w:val="20"/>
          <w:szCs w:val="20"/>
          <w:lang w:val="en-US"/>
        </w:rPr>
        <w:t xml:space="preserve">2. </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t>Patients were hospitalized for the administration of the treatment in which 30 min before the infusion of PRRT a capsule contai</w:t>
      </w:r>
      <w:r w:rsidR="002B3764" w:rsidRPr="00E51A80">
        <w:rPr>
          <w:rFonts w:ascii="Book Antiqua" w:hAnsi="Book Antiqua" w:cs="Calibri"/>
          <w:sz w:val="20"/>
          <w:szCs w:val="20"/>
          <w:lang w:val="en-US"/>
        </w:rPr>
        <w:t xml:space="preserve">ning 300 mg of </w:t>
      </w:r>
      <w:proofErr w:type="spellStart"/>
      <w:r w:rsidR="002B3764" w:rsidRPr="00E51A80">
        <w:rPr>
          <w:rFonts w:ascii="Book Antiqua" w:hAnsi="Book Antiqua" w:cs="Calibri"/>
          <w:sz w:val="20"/>
          <w:szCs w:val="20"/>
          <w:lang w:val="en-US"/>
        </w:rPr>
        <w:t>netupitant</w:t>
      </w:r>
      <w:proofErr w:type="spellEnd"/>
      <w:r w:rsidR="002B3764" w:rsidRPr="00E51A80">
        <w:rPr>
          <w:rFonts w:ascii="Book Antiqua" w:hAnsi="Book Antiqua" w:cs="Calibri"/>
          <w:sz w:val="20"/>
          <w:szCs w:val="20"/>
          <w:lang w:val="en-US"/>
        </w:rPr>
        <w:t xml:space="preserve"> and 0.</w:t>
      </w:r>
      <w:r w:rsidRPr="00E51A80">
        <w:rPr>
          <w:rFonts w:ascii="Book Antiqua" w:hAnsi="Book Antiqua" w:cs="Calibri"/>
          <w:sz w:val="20"/>
          <w:szCs w:val="20"/>
          <w:lang w:val="en-US"/>
        </w:rPr>
        <w:t>5</w:t>
      </w:r>
      <w:r w:rsidR="002B3764"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mg of </w:t>
      </w:r>
      <w:proofErr w:type="spellStart"/>
      <w:r w:rsidRPr="00E51A80">
        <w:rPr>
          <w:rFonts w:ascii="Book Antiqua" w:hAnsi="Book Antiqua" w:cs="Calibri"/>
          <w:sz w:val="20"/>
          <w:szCs w:val="20"/>
          <w:lang w:val="en-US"/>
        </w:rPr>
        <w:t>palonosetron</w:t>
      </w:r>
      <w:proofErr w:type="spellEnd"/>
      <w:r w:rsidRPr="00E51A80">
        <w:rPr>
          <w:rFonts w:ascii="Book Antiqua" w:hAnsi="Book Antiqua" w:cs="Calibri"/>
          <w:sz w:val="20"/>
          <w:szCs w:val="20"/>
          <w:lang w:val="en-US"/>
        </w:rPr>
        <w:t xml:space="preserve"> (</w:t>
      </w:r>
      <w:proofErr w:type="spellStart"/>
      <w:r w:rsidRPr="00E51A80">
        <w:rPr>
          <w:rFonts w:ascii="Book Antiqua" w:hAnsi="Book Antiqua" w:cs="Calibri"/>
          <w:sz w:val="20"/>
          <w:szCs w:val="20"/>
          <w:lang w:val="en-US"/>
        </w:rPr>
        <w:t>Akynzeo</w:t>
      </w:r>
      <w:proofErr w:type="spellEnd"/>
      <w:r w:rsidRPr="00E51A80">
        <w:rPr>
          <w:rFonts w:ascii="Book Antiqua" w:hAnsi="Book Antiqua" w:cs="Calibri"/>
          <w:sz w:val="20"/>
          <w:szCs w:val="20"/>
          <w:vertAlign w:val="superscript"/>
          <w:lang w:val="en-US"/>
        </w:rPr>
        <w:t>®</w:t>
      </w:r>
      <w:r w:rsidRPr="00E51A80">
        <w:rPr>
          <w:rFonts w:ascii="Book Antiqua" w:hAnsi="Book Antiqua" w:cs="Calibri"/>
          <w:sz w:val="20"/>
          <w:szCs w:val="20"/>
          <w:lang w:val="en-US"/>
        </w:rPr>
        <w:t>) was administrated orally. Later, an infusion of amino acids (2.5% arginine and 2.5% lysine, 1 L) was started 30 min before the administration of the radio</w:t>
      </w:r>
      <w:r w:rsidR="002B3764" w:rsidRPr="00E51A80">
        <w:rPr>
          <w:rFonts w:ascii="Book Antiqua" w:hAnsi="Book Antiqua" w:cs="Calibri"/>
          <w:sz w:val="20"/>
          <w:szCs w:val="20"/>
          <w:lang w:val="en-US"/>
        </w:rPr>
        <w:t xml:space="preserve">pharmaceutical, lasting for 4-6 </w:t>
      </w:r>
      <w:r w:rsidRPr="00E51A80">
        <w:rPr>
          <w:rFonts w:ascii="Book Antiqua" w:hAnsi="Book Antiqua" w:cs="Calibri"/>
          <w:sz w:val="20"/>
          <w:szCs w:val="20"/>
          <w:lang w:val="en-US"/>
        </w:rPr>
        <w:t xml:space="preserve">h. The </w:t>
      </w:r>
      <w:r w:rsidRPr="00E51A80">
        <w:rPr>
          <w:rFonts w:ascii="Book Antiqua" w:hAnsi="Book Antiqua" w:cs="Calibri"/>
          <w:sz w:val="20"/>
          <w:szCs w:val="20"/>
          <w:lang w:val="en-US"/>
        </w:rPr>
        <w:lastRenderedPageBreak/>
        <w:t xml:space="preserve">radiopharmaceutical was co-administered using a second pump system. All cycle doses were 7.4 </w:t>
      </w:r>
      <w:proofErr w:type="spellStart"/>
      <w:r w:rsidRPr="00E51A80">
        <w:rPr>
          <w:rFonts w:ascii="Book Antiqua" w:hAnsi="Book Antiqua" w:cs="Calibri"/>
          <w:sz w:val="20"/>
          <w:szCs w:val="20"/>
          <w:lang w:val="en-US"/>
        </w:rPr>
        <w:t>GBq</w:t>
      </w:r>
      <w:proofErr w:type="spellEnd"/>
      <w:r w:rsidRPr="00E51A80">
        <w:rPr>
          <w:rFonts w:ascii="Book Antiqua" w:hAnsi="Book Antiqua" w:cs="Calibri"/>
          <w:sz w:val="20"/>
          <w:szCs w:val="20"/>
          <w:lang w:val="en-US"/>
        </w:rPr>
        <w:t xml:space="preserve"> (200 </w:t>
      </w:r>
      <w:proofErr w:type="spellStart"/>
      <w:r w:rsidRPr="00E51A80">
        <w:rPr>
          <w:rFonts w:ascii="Book Antiqua" w:hAnsi="Book Antiqua" w:cs="Calibri"/>
          <w:sz w:val="20"/>
          <w:szCs w:val="20"/>
          <w:lang w:val="en-US"/>
        </w:rPr>
        <w:t>mCi</w:t>
      </w:r>
      <w:proofErr w:type="spellEnd"/>
      <w:r w:rsidRPr="00E51A80">
        <w:rPr>
          <w:rFonts w:ascii="Book Antiqua" w:hAnsi="Book Antiqua" w:cs="Calibri"/>
          <w:sz w:val="20"/>
          <w:szCs w:val="20"/>
          <w:lang w:val="en-US"/>
        </w:rPr>
        <w:t xml:space="preserve">) of </w:t>
      </w:r>
      <w:r w:rsidRPr="00E51A80">
        <w:rPr>
          <w:rFonts w:ascii="Book Antiqua" w:hAnsi="Book Antiqua" w:cs="Calibri"/>
          <w:sz w:val="20"/>
          <w:szCs w:val="20"/>
          <w:vertAlign w:val="superscript"/>
          <w:lang w:val="en-US"/>
        </w:rPr>
        <w:t>177</w:t>
      </w:r>
      <w:r w:rsidRPr="00E51A80">
        <w:rPr>
          <w:rFonts w:ascii="Book Antiqua" w:hAnsi="Book Antiqua" w:cs="Calibri"/>
          <w:sz w:val="20"/>
          <w:szCs w:val="20"/>
          <w:lang w:val="en-US"/>
        </w:rPr>
        <w:t xml:space="preserve">Lu-Dotatate, injected over 30 min completing 4 cycles of treatment. The intended interval between treatments cycles was </w:t>
      </w:r>
      <w:r w:rsidR="002B3764" w:rsidRPr="00E51A80">
        <w:rPr>
          <w:rFonts w:ascii="Book Antiqua" w:hAnsi="Book Antiqua" w:cs="Calibri"/>
          <w:sz w:val="20"/>
          <w:szCs w:val="20"/>
          <w:lang w:val="en-US"/>
        </w:rPr>
        <w:t>6–10 wk</w:t>
      </w:r>
      <w:r w:rsidRPr="00E51A80">
        <w:rPr>
          <w:rFonts w:ascii="Book Antiqua" w:hAnsi="Book Antiqua" w:cs="Calibri"/>
          <w:sz w:val="20"/>
          <w:szCs w:val="20"/>
          <w:lang w:val="en-US"/>
        </w:rPr>
        <w:t>.</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t xml:space="preserve">Between treatment cycles patients underwent blood analysis </w:t>
      </w:r>
      <w:r w:rsidR="00391185" w:rsidRPr="00E51A80">
        <w:rPr>
          <w:rFonts w:ascii="Book Antiqua" w:hAnsi="Book Antiqua" w:cs="Calibri"/>
          <w:sz w:val="20"/>
          <w:szCs w:val="20"/>
          <w:lang w:val="en-US"/>
        </w:rPr>
        <w:t xml:space="preserve">4 </w:t>
      </w:r>
      <w:r w:rsidRPr="00E51A80">
        <w:rPr>
          <w:rFonts w:ascii="Book Antiqua" w:hAnsi="Book Antiqua" w:cs="Calibri"/>
          <w:sz w:val="20"/>
          <w:szCs w:val="20"/>
          <w:lang w:val="en-US"/>
        </w:rPr>
        <w:t xml:space="preserve">and </w:t>
      </w:r>
      <w:r w:rsidR="00391185" w:rsidRPr="00E51A80">
        <w:rPr>
          <w:rFonts w:ascii="Book Antiqua" w:hAnsi="Book Antiqua" w:cs="Calibri"/>
          <w:sz w:val="20"/>
          <w:szCs w:val="20"/>
          <w:lang w:val="en-US"/>
        </w:rPr>
        <w:t xml:space="preserve">6 </w:t>
      </w:r>
      <w:proofErr w:type="spellStart"/>
      <w:r w:rsidR="00391185" w:rsidRPr="00E51A80">
        <w:rPr>
          <w:rFonts w:ascii="Book Antiqua" w:hAnsi="Book Antiqua" w:cs="Calibri"/>
          <w:sz w:val="20"/>
          <w:szCs w:val="20"/>
          <w:lang w:val="en-US"/>
        </w:rPr>
        <w:t>wk</w:t>
      </w:r>
      <w:proofErr w:type="spellEnd"/>
      <w:r w:rsidRPr="00E51A80">
        <w:rPr>
          <w:rFonts w:ascii="Book Antiqua" w:hAnsi="Book Antiqua" w:cs="Calibri"/>
          <w:sz w:val="20"/>
          <w:szCs w:val="20"/>
          <w:lang w:val="en-US"/>
        </w:rPr>
        <w:t xml:space="preserve"> after the dose administration to detect possible side</w:t>
      </w:r>
      <w:r w:rsidR="00EF35E1"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effects. These blood tests included a </w:t>
      </w:r>
      <w:proofErr w:type="spellStart"/>
      <w:r w:rsidRPr="00E51A80">
        <w:rPr>
          <w:rFonts w:ascii="Book Antiqua" w:hAnsi="Book Antiqua" w:cs="Calibri"/>
          <w:sz w:val="20"/>
          <w:szCs w:val="20"/>
          <w:lang w:val="en-US"/>
        </w:rPr>
        <w:t>hemogram</w:t>
      </w:r>
      <w:proofErr w:type="spellEnd"/>
      <w:r w:rsidR="00EF35E1" w:rsidRPr="00E51A80">
        <w:rPr>
          <w:rFonts w:ascii="Book Antiqua" w:hAnsi="Book Antiqua" w:cs="Calibri"/>
          <w:sz w:val="20"/>
          <w:szCs w:val="20"/>
          <w:lang w:val="en-US"/>
        </w:rPr>
        <w:t xml:space="preserve"> and</w:t>
      </w:r>
      <w:r w:rsidRPr="00E51A80">
        <w:rPr>
          <w:rFonts w:ascii="Book Antiqua" w:hAnsi="Book Antiqua" w:cs="Calibri"/>
          <w:sz w:val="20"/>
          <w:szCs w:val="20"/>
          <w:lang w:val="en-US"/>
        </w:rPr>
        <w:t xml:space="preserve"> renal and liver function parameters. A full body </w:t>
      </w:r>
      <w:proofErr w:type="spellStart"/>
      <w:r w:rsidRPr="00E51A80">
        <w:rPr>
          <w:rFonts w:ascii="Book Antiqua" w:hAnsi="Book Antiqua" w:cs="Calibri"/>
          <w:sz w:val="20"/>
          <w:szCs w:val="20"/>
          <w:lang w:val="en-US"/>
        </w:rPr>
        <w:t>scintigraphy</w:t>
      </w:r>
      <w:proofErr w:type="spellEnd"/>
      <w:r w:rsidRPr="00E51A80">
        <w:rPr>
          <w:rFonts w:ascii="Book Antiqua" w:hAnsi="Book Antiqua" w:cs="Calibri"/>
          <w:sz w:val="20"/>
          <w:szCs w:val="20"/>
          <w:lang w:val="en-US"/>
        </w:rPr>
        <w:t xml:space="preserve"> was performed 24 h after each dose in an Optima 640 gamma camera from General Electric as well as a whole body </w:t>
      </w:r>
      <w:r w:rsidR="00EF35E1" w:rsidRPr="00E51A80">
        <w:rPr>
          <w:rFonts w:ascii="Book Antiqua" w:hAnsi="Book Antiqua" w:cs="Calibri"/>
          <w:sz w:val="20"/>
          <w:szCs w:val="20"/>
          <w:lang w:val="en-US"/>
        </w:rPr>
        <w:t>CT</w:t>
      </w:r>
      <w:r w:rsidRPr="00E51A80">
        <w:rPr>
          <w:rFonts w:ascii="Book Antiqua" w:hAnsi="Book Antiqua" w:cs="Calibri"/>
          <w:sz w:val="20"/>
          <w:szCs w:val="20"/>
          <w:lang w:val="en-US"/>
        </w:rPr>
        <w:t xml:space="preserve"> following the second cycle to evaluate RECIST criterion. The follow-up included CT or </w:t>
      </w:r>
      <w:r w:rsidR="002B3764" w:rsidRPr="00E51A80">
        <w:rPr>
          <w:rFonts w:ascii="Book Antiqua" w:hAnsi="Book Antiqua" w:cs="Calibri"/>
          <w:sz w:val="20"/>
          <w:szCs w:val="20"/>
          <w:lang w:val="en-US"/>
        </w:rPr>
        <w:t>magnetic resonance imaging</w:t>
      </w:r>
      <w:r w:rsidRPr="00E51A80">
        <w:rPr>
          <w:rFonts w:ascii="Book Antiqua" w:hAnsi="Book Antiqua" w:cs="Calibri"/>
          <w:sz w:val="20"/>
          <w:szCs w:val="20"/>
          <w:lang w:val="en-US"/>
        </w:rPr>
        <w:t xml:space="preserve"> performed 3-6 </w:t>
      </w:r>
      <w:proofErr w:type="spellStart"/>
      <w:proofErr w:type="gramStart"/>
      <w:r w:rsidRPr="00E51A80">
        <w:rPr>
          <w:rFonts w:ascii="Book Antiqua" w:hAnsi="Book Antiqua" w:cs="Calibri"/>
          <w:sz w:val="20"/>
          <w:szCs w:val="20"/>
          <w:lang w:val="en-US"/>
        </w:rPr>
        <w:t>mo</w:t>
      </w:r>
      <w:proofErr w:type="spellEnd"/>
      <w:proofErr w:type="gramEnd"/>
      <w:r w:rsidRPr="00E51A80">
        <w:rPr>
          <w:rFonts w:ascii="Book Antiqua" w:hAnsi="Book Antiqua" w:cs="Calibri"/>
          <w:sz w:val="20"/>
          <w:szCs w:val="20"/>
          <w:lang w:val="en-US"/>
        </w:rPr>
        <w:t xml:space="preserve"> after the last treatment and thereafter every 6 mo.</w:t>
      </w:r>
    </w:p>
    <w:p w:rsidR="002B3764" w:rsidRPr="00E51A80" w:rsidRDefault="002B3764" w:rsidP="007E3E0D">
      <w:pPr>
        <w:adjustRightInd w:val="0"/>
        <w:snapToGrid w:val="0"/>
        <w:spacing w:after="0" w:line="360" w:lineRule="auto"/>
        <w:jc w:val="both"/>
        <w:rPr>
          <w:rFonts w:ascii="Book Antiqua" w:hAnsi="Book Antiqua" w:cs="Calibri"/>
          <w:b/>
          <w:bCs/>
          <w:i/>
          <w:iCs/>
          <w:sz w:val="20"/>
          <w:szCs w:val="20"/>
          <w:lang w:val="en-US"/>
        </w:rPr>
      </w:pPr>
    </w:p>
    <w:p w:rsidR="002B7963" w:rsidRPr="00E51A80" w:rsidRDefault="002B3764"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b/>
          <w:bCs/>
          <w:i/>
          <w:iCs/>
          <w:sz w:val="20"/>
          <w:szCs w:val="20"/>
          <w:lang w:val="en-US"/>
        </w:rPr>
        <w:t>Statistical analys</w:t>
      </w:r>
      <w:r w:rsidR="00F81B77" w:rsidRPr="00E51A80">
        <w:rPr>
          <w:rFonts w:ascii="Book Antiqua" w:hAnsi="Book Antiqua" w:cs="Calibri"/>
          <w:b/>
          <w:bCs/>
          <w:i/>
          <w:iCs/>
          <w:sz w:val="20"/>
          <w:szCs w:val="20"/>
          <w:lang w:val="en-US"/>
        </w:rPr>
        <w:t>i</w:t>
      </w:r>
      <w:r w:rsidRPr="00E51A80">
        <w:rPr>
          <w:rFonts w:ascii="Book Antiqua" w:hAnsi="Book Antiqua" w:cs="Calibri"/>
          <w:b/>
          <w:bCs/>
          <w:i/>
          <w:iCs/>
          <w:sz w:val="20"/>
          <w:szCs w:val="20"/>
          <w:lang w:val="en-US"/>
        </w:rPr>
        <w:t>s</w:t>
      </w: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sz w:val="20"/>
          <w:szCs w:val="20"/>
          <w:lang w:val="en-US"/>
        </w:rPr>
        <w:t>Statistical analyses were performed using IBM SPSS</w:t>
      </w:r>
      <w:r w:rsidRPr="00E51A80">
        <w:rPr>
          <w:rFonts w:ascii="Book Antiqua" w:hAnsi="Book Antiqua" w:cs="Calibri"/>
          <w:sz w:val="20"/>
          <w:szCs w:val="20"/>
          <w:vertAlign w:val="superscript"/>
          <w:lang w:val="en-US"/>
        </w:rPr>
        <w:t>®</w:t>
      </w:r>
      <w:r w:rsidRPr="00E51A80">
        <w:rPr>
          <w:rFonts w:ascii="Book Antiqua" w:hAnsi="Book Antiqua" w:cs="Calibri"/>
          <w:sz w:val="20"/>
          <w:szCs w:val="20"/>
          <w:lang w:val="en-US"/>
        </w:rPr>
        <w:t xml:space="preserve"> version 23.0 with the data obtained. A descriptive analysis was carried out describing the continuous variables as means, medians and standard deviation while the categorical variables were described as proportions, including 95% confidence intervals</w:t>
      </w:r>
      <w:r w:rsidR="00977194" w:rsidRPr="00E51A80">
        <w:rPr>
          <w:rFonts w:ascii="Book Antiqua" w:hAnsi="Book Antiqua" w:cs="Calibri"/>
          <w:sz w:val="20"/>
          <w:szCs w:val="20"/>
          <w:lang w:val="en-US"/>
        </w:rPr>
        <w:t xml:space="preserve"> (CI</w:t>
      </w:r>
      <w:r w:rsidR="007E3E0D" w:rsidRPr="00E51A80">
        <w:rPr>
          <w:rFonts w:ascii="Book Antiqua" w:hAnsi="Book Antiqua" w:cs="Calibri"/>
          <w:sz w:val="20"/>
          <w:szCs w:val="20"/>
          <w:lang w:val="en-US"/>
        </w:rPr>
        <w:t>s</w:t>
      </w:r>
      <w:r w:rsidR="00977194" w:rsidRPr="00E51A80">
        <w:rPr>
          <w:rFonts w:ascii="Book Antiqua" w:hAnsi="Book Antiqua" w:cs="Calibri"/>
          <w:sz w:val="20"/>
          <w:szCs w:val="20"/>
          <w:lang w:val="en-US"/>
        </w:rPr>
        <w:t xml:space="preserve">). </w:t>
      </w:r>
      <w:r w:rsidRPr="00E51A80">
        <w:rPr>
          <w:rFonts w:ascii="Book Antiqua" w:hAnsi="Book Antiqua" w:cs="Calibri"/>
          <w:sz w:val="20"/>
          <w:szCs w:val="20"/>
          <w:lang w:val="en-US"/>
        </w:rPr>
        <w:t>The radiological, clinical and metabolic response variable w</w:t>
      </w:r>
      <w:r w:rsidR="00F81B77" w:rsidRPr="00E51A80">
        <w:rPr>
          <w:rFonts w:ascii="Book Antiqua" w:hAnsi="Book Antiqua" w:cs="Calibri"/>
          <w:sz w:val="20"/>
          <w:szCs w:val="20"/>
          <w:lang w:val="en-US"/>
        </w:rPr>
        <w:t>as</w:t>
      </w:r>
      <w:r w:rsidRPr="00E51A80">
        <w:rPr>
          <w:rFonts w:ascii="Book Antiqua" w:hAnsi="Book Antiqua" w:cs="Calibri"/>
          <w:sz w:val="20"/>
          <w:szCs w:val="20"/>
          <w:lang w:val="en-US"/>
        </w:rPr>
        <w:t xml:space="preserve"> calculated as the percenta</w:t>
      </w:r>
      <w:r w:rsidR="00F63757" w:rsidRPr="00E51A80">
        <w:rPr>
          <w:rFonts w:ascii="Book Antiqua" w:hAnsi="Book Antiqua" w:cs="Calibri"/>
          <w:sz w:val="20"/>
          <w:szCs w:val="20"/>
          <w:lang w:val="en-US"/>
        </w:rPr>
        <w:t xml:space="preserve">ge of patients that responded. </w:t>
      </w:r>
      <w:r w:rsidRPr="00E51A80">
        <w:rPr>
          <w:rFonts w:ascii="Book Antiqua" w:hAnsi="Book Antiqua" w:cs="Calibri"/>
          <w:sz w:val="20"/>
          <w:szCs w:val="20"/>
          <w:lang w:val="en-US"/>
        </w:rPr>
        <w:t>Progression-free survival was calculated from the initiation date treatment with PRRT until disease progression, assessed by RECIST criteria or death from any cause</w:t>
      </w:r>
      <w:r w:rsidR="00EF35E1" w:rsidRPr="00E51A80">
        <w:rPr>
          <w:rFonts w:ascii="Book Antiqua" w:hAnsi="Book Antiqua" w:cs="Calibri"/>
          <w:sz w:val="20"/>
          <w:szCs w:val="20"/>
          <w:lang w:val="en-US"/>
        </w:rPr>
        <w:t>. O</w:t>
      </w:r>
      <w:r w:rsidRPr="00E51A80">
        <w:rPr>
          <w:rFonts w:ascii="Book Antiqua" w:hAnsi="Book Antiqua" w:cs="Calibri"/>
          <w:sz w:val="20"/>
          <w:szCs w:val="20"/>
          <w:lang w:val="en-US"/>
        </w:rPr>
        <w:t>verall survival was calculated from the start date of treatment with PRRT until the date of death of the patient for any reason</w:t>
      </w:r>
      <w:r w:rsidR="00EF35E1" w:rsidRPr="00E51A80">
        <w:rPr>
          <w:rFonts w:ascii="Book Antiqua" w:hAnsi="Book Antiqua" w:cs="Calibri"/>
          <w:sz w:val="20"/>
          <w:szCs w:val="20"/>
          <w:lang w:val="en-US"/>
        </w:rPr>
        <w:t xml:space="preserve"> and was</w:t>
      </w:r>
      <w:r w:rsidRPr="00E51A80">
        <w:rPr>
          <w:rFonts w:ascii="Book Antiqua" w:hAnsi="Book Antiqua" w:cs="Calibri"/>
          <w:sz w:val="20"/>
          <w:szCs w:val="20"/>
          <w:lang w:val="en-US"/>
        </w:rPr>
        <w:t xml:space="preserve"> estimated using Kaplan-Meier. Cox regression was used to evaluate the association with independent variables.</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t xml:space="preserve">The study was conducted following the </w:t>
      </w:r>
      <w:r w:rsidR="00A33E84" w:rsidRPr="00E51A80">
        <w:rPr>
          <w:rFonts w:ascii="Book Antiqua" w:hAnsi="Book Antiqua" w:cs="Calibri"/>
          <w:sz w:val="20"/>
          <w:szCs w:val="20"/>
          <w:lang w:val="en-US"/>
        </w:rPr>
        <w:t xml:space="preserve">Declaration of </w:t>
      </w:r>
      <w:r w:rsidRPr="00E51A80">
        <w:rPr>
          <w:rFonts w:ascii="Book Antiqua" w:hAnsi="Book Antiqua" w:cs="Calibri"/>
          <w:sz w:val="20"/>
          <w:szCs w:val="20"/>
          <w:lang w:val="en-US"/>
        </w:rPr>
        <w:t xml:space="preserve">Helsinki of the </w:t>
      </w:r>
      <w:r w:rsidR="00A33E84" w:rsidRPr="00E51A80">
        <w:rPr>
          <w:rFonts w:ascii="Book Antiqua" w:hAnsi="Book Antiqua" w:cs="Calibri"/>
          <w:sz w:val="20"/>
          <w:szCs w:val="20"/>
          <w:lang w:val="en-US"/>
        </w:rPr>
        <w:t>W</w:t>
      </w:r>
      <w:r w:rsidRPr="00E51A80">
        <w:rPr>
          <w:rFonts w:ascii="Book Antiqua" w:hAnsi="Book Antiqua" w:cs="Calibri"/>
          <w:sz w:val="20"/>
          <w:szCs w:val="20"/>
          <w:lang w:val="en-US"/>
        </w:rPr>
        <w:t xml:space="preserve">orld </w:t>
      </w:r>
      <w:r w:rsidR="00A33E84" w:rsidRPr="00E51A80">
        <w:rPr>
          <w:rFonts w:ascii="Book Antiqua" w:hAnsi="Book Antiqua" w:cs="Calibri"/>
          <w:sz w:val="20"/>
          <w:szCs w:val="20"/>
          <w:lang w:val="en-US"/>
        </w:rPr>
        <w:t>M</w:t>
      </w:r>
      <w:r w:rsidRPr="00E51A80">
        <w:rPr>
          <w:rFonts w:ascii="Book Antiqua" w:hAnsi="Book Antiqua" w:cs="Calibri"/>
          <w:sz w:val="20"/>
          <w:szCs w:val="20"/>
          <w:lang w:val="en-US"/>
        </w:rPr>
        <w:t xml:space="preserve">edical </w:t>
      </w:r>
      <w:r w:rsidR="00A33E84" w:rsidRPr="00E51A80">
        <w:rPr>
          <w:rFonts w:ascii="Book Antiqua" w:hAnsi="Book Antiqua" w:cs="Calibri"/>
          <w:sz w:val="20"/>
          <w:szCs w:val="20"/>
          <w:lang w:val="en-US"/>
        </w:rPr>
        <w:t>A</w:t>
      </w:r>
      <w:r w:rsidRPr="00E51A80">
        <w:rPr>
          <w:rFonts w:ascii="Book Antiqua" w:hAnsi="Book Antiqua" w:cs="Calibri"/>
          <w:sz w:val="20"/>
          <w:szCs w:val="20"/>
          <w:lang w:val="en-US"/>
        </w:rPr>
        <w:t xml:space="preserve">ssociation </w:t>
      </w:r>
      <w:r w:rsidR="00A33E84" w:rsidRPr="00E51A80">
        <w:rPr>
          <w:rFonts w:ascii="Book Antiqua" w:hAnsi="Book Antiqua" w:cs="Calibri"/>
          <w:sz w:val="20"/>
          <w:szCs w:val="20"/>
          <w:lang w:val="en-US"/>
        </w:rPr>
        <w:t>(</w:t>
      </w:r>
      <w:r w:rsidRPr="00E51A80">
        <w:rPr>
          <w:rFonts w:ascii="Book Antiqua" w:hAnsi="Book Antiqua" w:cs="Calibri"/>
          <w:sz w:val="20"/>
          <w:szCs w:val="20"/>
          <w:lang w:val="en-US"/>
        </w:rPr>
        <w:t>1964</w:t>
      </w:r>
      <w:r w:rsidR="00A33E84" w:rsidRPr="00E51A80">
        <w:rPr>
          <w:rFonts w:ascii="Book Antiqua" w:hAnsi="Book Antiqua" w:cs="Calibri"/>
          <w:sz w:val="20"/>
          <w:szCs w:val="20"/>
          <w:lang w:val="en-US"/>
        </w:rPr>
        <w:t>)</w:t>
      </w:r>
      <w:r w:rsidRPr="00E51A80">
        <w:rPr>
          <w:rFonts w:ascii="Book Antiqua" w:hAnsi="Book Antiqua" w:cs="Calibri"/>
          <w:sz w:val="20"/>
          <w:szCs w:val="20"/>
          <w:lang w:val="en-US"/>
        </w:rPr>
        <w:t xml:space="preserve"> and ratifications of </w:t>
      </w:r>
      <w:r w:rsidR="002B3764" w:rsidRPr="00E51A80">
        <w:rPr>
          <w:rFonts w:ascii="Book Antiqua" w:hAnsi="Book Antiqua" w:cs="Calibri"/>
          <w:sz w:val="20"/>
          <w:szCs w:val="20"/>
          <w:lang w:val="en-US"/>
        </w:rPr>
        <w:t xml:space="preserve">the following assemblies </w:t>
      </w:r>
      <w:r w:rsidRPr="00E51A80">
        <w:rPr>
          <w:rFonts w:ascii="Book Antiqua" w:hAnsi="Book Antiqua" w:cs="Calibri"/>
          <w:sz w:val="20"/>
          <w:szCs w:val="20"/>
          <w:lang w:val="en-US"/>
        </w:rPr>
        <w:t xml:space="preserve">on ethical principles for medical research in humans </w:t>
      </w:r>
      <w:r w:rsidR="00A33E84" w:rsidRPr="00E51A80">
        <w:rPr>
          <w:rFonts w:ascii="Book Antiqua" w:hAnsi="Book Antiqua" w:cs="Calibri"/>
          <w:sz w:val="20"/>
          <w:szCs w:val="20"/>
          <w:lang w:val="en-US"/>
        </w:rPr>
        <w:t>(</w:t>
      </w:r>
      <w:r w:rsidRPr="00E51A80">
        <w:rPr>
          <w:rFonts w:ascii="Book Antiqua" w:hAnsi="Book Antiqua" w:cs="Calibri"/>
          <w:sz w:val="20"/>
          <w:szCs w:val="20"/>
          <w:lang w:val="en-US"/>
        </w:rPr>
        <w:t>RD 1090/2015, of December 24, of clinical trials, specifically the provisions of article 38 on good clinical practice and the Convention on Human Rights and Biomedicine), made in Oviedo on April 4, 1997 and successive updates.</w:t>
      </w:r>
    </w:p>
    <w:p w:rsidR="002B3764" w:rsidRPr="00E51A80" w:rsidRDefault="002B3764" w:rsidP="007E3E0D">
      <w:pPr>
        <w:adjustRightInd w:val="0"/>
        <w:snapToGrid w:val="0"/>
        <w:spacing w:after="0" w:line="360" w:lineRule="auto"/>
        <w:jc w:val="both"/>
        <w:rPr>
          <w:rFonts w:ascii="Book Antiqua" w:hAnsi="Book Antiqua" w:cs="Calibri"/>
          <w:b/>
          <w:bCs/>
          <w:sz w:val="20"/>
          <w:szCs w:val="20"/>
          <w:lang w:val="en-US"/>
        </w:rPr>
      </w:pPr>
    </w:p>
    <w:p w:rsidR="002B7963" w:rsidRPr="00E51A80" w:rsidRDefault="002B7963" w:rsidP="007E3E0D">
      <w:pPr>
        <w:adjustRightInd w:val="0"/>
        <w:snapToGrid w:val="0"/>
        <w:spacing w:after="0" w:line="360" w:lineRule="auto"/>
        <w:jc w:val="both"/>
        <w:rPr>
          <w:rFonts w:ascii="Book Antiqua" w:hAnsi="Book Antiqua"/>
          <w:sz w:val="20"/>
          <w:szCs w:val="20"/>
          <w:u w:val="single"/>
          <w:lang w:val="en-US"/>
        </w:rPr>
      </w:pPr>
      <w:r w:rsidRPr="00E51A80">
        <w:rPr>
          <w:rFonts w:ascii="Book Antiqua" w:hAnsi="Book Antiqua" w:cs="Calibri"/>
          <w:b/>
          <w:bCs/>
          <w:sz w:val="20"/>
          <w:szCs w:val="20"/>
          <w:u w:val="single"/>
          <w:lang w:val="en-US"/>
        </w:rPr>
        <w:t>RESULTS</w:t>
      </w: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b/>
          <w:bCs/>
          <w:i/>
          <w:iCs/>
          <w:sz w:val="20"/>
          <w:szCs w:val="20"/>
          <w:lang w:val="en-US"/>
        </w:rPr>
        <w:t xml:space="preserve">Baseline clinical characteristics </w:t>
      </w: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sz w:val="20"/>
          <w:szCs w:val="20"/>
          <w:lang w:val="en-US"/>
        </w:rPr>
        <w:t>The median age was 61.</w:t>
      </w:r>
      <w:r w:rsidR="002B3764" w:rsidRPr="00E51A80">
        <w:rPr>
          <w:rFonts w:ascii="Book Antiqua" w:hAnsi="Book Antiqua" w:cs="Calibri"/>
          <w:sz w:val="20"/>
          <w:szCs w:val="20"/>
          <w:lang w:val="en-US"/>
        </w:rPr>
        <w:t xml:space="preserve">1 </w:t>
      </w:r>
      <w:r w:rsidR="00C13144" w:rsidRPr="00E51A80">
        <w:rPr>
          <w:rFonts w:ascii="Book Antiqua" w:hAnsi="Book Antiqua" w:cs="Calibri"/>
          <w:sz w:val="20"/>
          <w:szCs w:val="20"/>
          <w:lang w:val="en-US"/>
        </w:rPr>
        <w:sym w:font="Symbol" w:char="F0B1"/>
      </w:r>
      <w:r w:rsidR="00C13144" w:rsidRPr="00E51A80">
        <w:rPr>
          <w:rFonts w:ascii="Book Antiqua" w:hAnsi="Book Antiqua" w:cs="Calibri"/>
          <w:sz w:val="20"/>
          <w:szCs w:val="20"/>
          <w:lang w:val="en-US"/>
        </w:rPr>
        <w:t xml:space="preserve"> </w:t>
      </w:r>
      <w:r w:rsidR="002B3764" w:rsidRPr="00E51A80">
        <w:rPr>
          <w:rFonts w:ascii="Book Antiqua" w:hAnsi="Book Antiqua" w:cs="Calibri"/>
          <w:sz w:val="20"/>
          <w:szCs w:val="20"/>
          <w:lang w:val="en-US"/>
        </w:rPr>
        <w:t>11.8 years (age range: 38-</w:t>
      </w:r>
      <w:r w:rsidRPr="00E51A80">
        <w:rPr>
          <w:rFonts w:ascii="Book Antiqua" w:hAnsi="Book Antiqua" w:cs="Calibri"/>
          <w:sz w:val="20"/>
          <w:szCs w:val="20"/>
          <w:lang w:val="en-US"/>
        </w:rPr>
        <w:t xml:space="preserve">85 years), </w:t>
      </w:r>
      <w:r w:rsidR="00C13144" w:rsidRPr="00E51A80">
        <w:rPr>
          <w:rFonts w:ascii="Book Antiqua" w:hAnsi="Book Antiqua" w:cs="Calibri"/>
          <w:sz w:val="20"/>
          <w:szCs w:val="20"/>
          <w:lang w:val="en-US"/>
        </w:rPr>
        <w:t xml:space="preserve">and </w:t>
      </w:r>
      <w:r w:rsidRPr="00E51A80">
        <w:rPr>
          <w:rFonts w:ascii="Book Antiqua" w:hAnsi="Book Antiqua" w:cs="Calibri"/>
          <w:sz w:val="20"/>
          <w:szCs w:val="20"/>
          <w:lang w:val="en-US"/>
        </w:rPr>
        <w:t xml:space="preserve">20 were men (55.6%). Regarding medical history, </w:t>
      </w:r>
      <w:r w:rsidR="00C13144" w:rsidRPr="00E51A80">
        <w:rPr>
          <w:rFonts w:ascii="Book Antiqua" w:hAnsi="Book Antiqua" w:cs="Calibri"/>
          <w:sz w:val="20"/>
          <w:szCs w:val="20"/>
          <w:lang w:val="en-US"/>
        </w:rPr>
        <w:t>seven</w:t>
      </w:r>
      <w:r w:rsidRPr="00E51A80">
        <w:rPr>
          <w:rFonts w:ascii="Book Antiqua" w:hAnsi="Book Antiqua" w:cs="Calibri"/>
          <w:sz w:val="20"/>
          <w:szCs w:val="20"/>
          <w:lang w:val="en-US"/>
        </w:rPr>
        <w:t xml:space="preserve"> patients were diabetic (19.4%), </w:t>
      </w:r>
      <w:r w:rsidR="00C13144" w:rsidRPr="00E51A80">
        <w:rPr>
          <w:rFonts w:ascii="Book Antiqua" w:hAnsi="Book Antiqua" w:cs="Calibri"/>
          <w:sz w:val="20"/>
          <w:szCs w:val="20"/>
          <w:lang w:val="en-US"/>
        </w:rPr>
        <w:t>fifteen</w:t>
      </w:r>
      <w:r w:rsidRPr="00E51A80">
        <w:rPr>
          <w:rFonts w:ascii="Book Antiqua" w:hAnsi="Book Antiqua" w:cs="Calibri"/>
          <w:sz w:val="20"/>
          <w:szCs w:val="20"/>
          <w:lang w:val="en-US"/>
        </w:rPr>
        <w:t xml:space="preserve"> were hypertensive (41.7%), </w:t>
      </w:r>
      <w:r w:rsidR="00C13144" w:rsidRPr="00E51A80">
        <w:rPr>
          <w:rFonts w:ascii="Book Antiqua" w:hAnsi="Book Antiqua" w:cs="Calibri"/>
          <w:sz w:val="20"/>
          <w:szCs w:val="20"/>
          <w:lang w:val="en-US"/>
        </w:rPr>
        <w:t>nine</w:t>
      </w:r>
      <w:r w:rsidRPr="00E51A80">
        <w:rPr>
          <w:rFonts w:ascii="Book Antiqua" w:hAnsi="Book Antiqua" w:cs="Calibri"/>
          <w:sz w:val="20"/>
          <w:szCs w:val="20"/>
          <w:lang w:val="en-US"/>
        </w:rPr>
        <w:t xml:space="preserve"> had smoking habits prior</w:t>
      </w:r>
      <w:r w:rsidR="00C13144" w:rsidRPr="00E51A80">
        <w:rPr>
          <w:rFonts w:ascii="Book Antiqua" w:hAnsi="Book Antiqua" w:cs="Calibri"/>
          <w:sz w:val="20"/>
          <w:szCs w:val="20"/>
          <w:lang w:val="en-US"/>
        </w:rPr>
        <w:t xml:space="preserve"> to</w:t>
      </w:r>
      <w:r w:rsidRPr="00E51A80">
        <w:rPr>
          <w:rFonts w:ascii="Book Antiqua" w:hAnsi="Book Antiqua" w:cs="Calibri"/>
          <w:sz w:val="20"/>
          <w:szCs w:val="20"/>
          <w:lang w:val="en-US"/>
        </w:rPr>
        <w:t xml:space="preserve"> the diagnosis (25</w:t>
      </w:r>
      <w:r w:rsidR="002B3764" w:rsidRPr="00E51A80">
        <w:rPr>
          <w:rFonts w:ascii="Book Antiqua" w:hAnsi="Book Antiqua" w:cs="Calibri"/>
          <w:sz w:val="20"/>
          <w:szCs w:val="20"/>
          <w:lang w:val="en-US"/>
        </w:rPr>
        <w:t xml:space="preserve">%), </w:t>
      </w:r>
      <w:r w:rsidR="00C13144" w:rsidRPr="00E51A80">
        <w:rPr>
          <w:rFonts w:ascii="Book Antiqua" w:hAnsi="Book Antiqua" w:cs="Calibri"/>
          <w:sz w:val="20"/>
          <w:szCs w:val="20"/>
          <w:lang w:val="en-US"/>
        </w:rPr>
        <w:t xml:space="preserve">five </w:t>
      </w:r>
      <w:r w:rsidR="002B3764" w:rsidRPr="00E51A80">
        <w:rPr>
          <w:rFonts w:ascii="Book Antiqua" w:hAnsi="Book Antiqua" w:cs="Calibri"/>
          <w:sz w:val="20"/>
          <w:szCs w:val="20"/>
          <w:lang w:val="en-US"/>
        </w:rPr>
        <w:t>had cancer history (13.9%</w:t>
      </w:r>
      <w:r w:rsidRPr="00E51A80">
        <w:rPr>
          <w:rFonts w:ascii="Book Antiqua" w:hAnsi="Book Antiqua" w:cs="Calibri"/>
          <w:sz w:val="20"/>
          <w:szCs w:val="20"/>
          <w:lang w:val="en-US"/>
        </w:rPr>
        <w:t>), of which 3 received chemo-radiotherapy treatments</w:t>
      </w:r>
      <w:r w:rsidR="00C13144" w:rsidRPr="00E51A80">
        <w:rPr>
          <w:rFonts w:ascii="Book Antiqua" w:hAnsi="Book Antiqua" w:cs="Calibri"/>
          <w:sz w:val="20"/>
          <w:szCs w:val="20"/>
          <w:lang w:val="en-US"/>
        </w:rPr>
        <w:t>,</w:t>
      </w:r>
      <w:r w:rsidRPr="00E51A80">
        <w:rPr>
          <w:rFonts w:ascii="Book Antiqua" w:hAnsi="Book Antiqua" w:cs="Calibri"/>
          <w:sz w:val="20"/>
          <w:szCs w:val="20"/>
          <w:lang w:val="en-US"/>
        </w:rPr>
        <w:t xml:space="preserve"> and </w:t>
      </w:r>
      <w:r w:rsidR="002B3764" w:rsidRPr="00E51A80">
        <w:rPr>
          <w:rFonts w:ascii="Book Antiqua" w:hAnsi="Book Antiqua" w:cs="Calibri"/>
          <w:sz w:val="20"/>
          <w:szCs w:val="20"/>
          <w:lang w:val="en-US"/>
        </w:rPr>
        <w:t xml:space="preserve">one patient was </w:t>
      </w:r>
      <w:r w:rsidR="00C13144" w:rsidRPr="00E51A80">
        <w:rPr>
          <w:rFonts w:ascii="Book Antiqua" w:hAnsi="Book Antiqua" w:cs="Calibri"/>
          <w:sz w:val="20"/>
          <w:szCs w:val="20"/>
          <w:lang w:val="en-US"/>
        </w:rPr>
        <w:t xml:space="preserve">a </w:t>
      </w:r>
      <w:r w:rsidR="002B3764" w:rsidRPr="00E51A80">
        <w:rPr>
          <w:rFonts w:ascii="Book Antiqua" w:hAnsi="Book Antiqua" w:cs="Calibri"/>
          <w:sz w:val="20"/>
          <w:szCs w:val="20"/>
          <w:lang w:val="en-US"/>
        </w:rPr>
        <w:t xml:space="preserve">carrier of </w:t>
      </w:r>
      <w:r w:rsidRPr="00E51A80">
        <w:rPr>
          <w:rFonts w:ascii="Book Antiqua" w:hAnsi="Book Antiqua" w:cs="Calibri"/>
          <w:sz w:val="20"/>
          <w:szCs w:val="20"/>
          <w:lang w:val="en-US"/>
        </w:rPr>
        <w:t xml:space="preserve">a mutation in </w:t>
      </w:r>
      <w:r w:rsidR="00C13144" w:rsidRPr="00E51A80">
        <w:rPr>
          <w:rFonts w:ascii="Book Antiqua" w:hAnsi="Book Antiqua" w:cs="Calibri"/>
          <w:sz w:val="20"/>
          <w:szCs w:val="20"/>
          <w:lang w:val="en-US"/>
        </w:rPr>
        <w:t xml:space="preserve">the </w:t>
      </w:r>
      <w:r w:rsidRPr="00E51A80">
        <w:rPr>
          <w:rFonts w:ascii="Book Antiqua" w:hAnsi="Book Antiqua" w:cs="Calibri"/>
          <w:iCs/>
          <w:sz w:val="20"/>
          <w:szCs w:val="20"/>
          <w:lang w:val="en-US"/>
        </w:rPr>
        <w:t>MEN-1</w:t>
      </w:r>
      <w:r w:rsidR="002B3764" w:rsidRPr="00E51A80">
        <w:rPr>
          <w:rFonts w:ascii="Book Antiqua" w:hAnsi="Book Antiqua" w:cs="Calibri"/>
          <w:sz w:val="20"/>
          <w:szCs w:val="20"/>
          <w:lang w:val="en-US"/>
        </w:rPr>
        <w:t xml:space="preserve"> gene.</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t>Regarding chief complain</w:t>
      </w:r>
      <w:r w:rsidR="00C13144" w:rsidRPr="00E51A80">
        <w:rPr>
          <w:rFonts w:ascii="Book Antiqua" w:hAnsi="Book Antiqua" w:cs="Calibri"/>
          <w:sz w:val="20"/>
          <w:szCs w:val="20"/>
          <w:lang w:val="en-US"/>
        </w:rPr>
        <w:t>ts</w:t>
      </w:r>
      <w:r w:rsidRPr="00E51A80">
        <w:rPr>
          <w:rFonts w:ascii="Book Antiqua" w:hAnsi="Book Antiqua" w:cs="Calibri"/>
          <w:sz w:val="20"/>
          <w:szCs w:val="20"/>
          <w:lang w:val="en-US"/>
        </w:rPr>
        <w:t>, 33.3% consulted for abdominal pain, 16.67% for gastrointestinal and hormonal related symptoms, 12.5% for weight loss and 11.1% had no symptoms prior the diagnosis. In 58.3%</w:t>
      </w:r>
      <w:r w:rsidR="00DC5FA1" w:rsidRPr="00E51A80">
        <w:rPr>
          <w:rFonts w:ascii="Book Antiqua" w:hAnsi="Book Antiqua" w:cs="Calibri"/>
          <w:sz w:val="20"/>
          <w:szCs w:val="20"/>
          <w:lang w:val="en-US"/>
        </w:rPr>
        <w:t xml:space="preserve"> of patients, </w:t>
      </w:r>
      <w:r w:rsidRPr="00E51A80">
        <w:rPr>
          <w:rFonts w:ascii="Book Antiqua" w:hAnsi="Book Antiqua" w:cs="Calibri"/>
          <w:sz w:val="20"/>
          <w:szCs w:val="20"/>
          <w:lang w:val="en-US"/>
        </w:rPr>
        <w:t>the diagnosis was casual by an imaging test performed for other reasons, 30.6% guided by clinical suspicion and 5.6% during a surgical intervent</w:t>
      </w:r>
      <w:r w:rsidR="002B3764" w:rsidRPr="00E51A80">
        <w:rPr>
          <w:rFonts w:ascii="Book Antiqua" w:hAnsi="Book Antiqua" w:cs="Calibri"/>
          <w:sz w:val="20"/>
          <w:szCs w:val="20"/>
          <w:lang w:val="en-US"/>
        </w:rPr>
        <w:t xml:space="preserve">ion for uterine </w:t>
      </w:r>
      <w:proofErr w:type="spellStart"/>
      <w:r w:rsidR="002B3764" w:rsidRPr="00E51A80">
        <w:rPr>
          <w:rFonts w:ascii="Book Antiqua" w:hAnsi="Book Antiqua" w:cs="Calibri"/>
          <w:sz w:val="20"/>
          <w:szCs w:val="20"/>
          <w:lang w:val="en-US"/>
        </w:rPr>
        <w:t>leiomyomatosis</w:t>
      </w:r>
      <w:proofErr w:type="spellEnd"/>
      <w:r w:rsidR="002B3764" w:rsidRPr="00E51A80">
        <w:rPr>
          <w:rFonts w:ascii="Book Antiqua" w:hAnsi="Book Antiqua" w:cs="Calibri"/>
          <w:sz w:val="20"/>
          <w:szCs w:val="20"/>
          <w:lang w:val="en-US"/>
        </w:rPr>
        <w:t>.</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lastRenderedPageBreak/>
        <w:t>The most common primary tumor was in the gastrointestinal tract (52.8%), followed by the pancreas (27.8%)</w:t>
      </w:r>
      <w:r w:rsidR="00DC5FA1" w:rsidRPr="00E51A80">
        <w:rPr>
          <w:rFonts w:ascii="Book Antiqua" w:hAnsi="Book Antiqua" w:cs="Calibri"/>
          <w:sz w:val="20"/>
          <w:szCs w:val="20"/>
          <w:lang w:val="en-US"/>
        </w:rPr>
        <w:t>.</w:t>
      </w:r>
      <w:r w:rsidRPr="00E51A80">
        <w:rPr>
          <w:rFonts w:ascii="Book Antiqua" w:hAnsi="Book Antiqua" w:cs="Calibri"/>
          <w:sz w:val="20"/>
          <w:szCs w:val="20"/>
          <w:lang w:val="en-US"/>
        </w:rPr>
        <w:t xml:space="preserve"> </w:t>
      </w:r>
      <w:r w:rsidR="00DC5FA1" w:rsidRPr="00E51A80">
        <w:rPr>
          <w:rFonts w:ascii="Book Antiqua" w:hAnsi="Book Antiqua" w:cs="Calibri"/>
          <w:sz w:val="20"/>
          <w:szCs w:val="20"/>
          <w:lang w:val="en-US"/>
        </w:rPr>
        <w:t xml:space="preserve">A </w:t>
      </w:r>
      <w:proofErr w:type="spellStart"/>
      <w:r w:rsidRPr="00E51A80">
        <w:rPr>
          <w:rFonts w:ascii="Book Antiqua" w:hAnsi="Book Antiqua" w:cs="Calibri"/>
          <w:sz w:val="20"/>
          <w:szCs w:val="20"/>
          <w:lang w:val="en-US"/>
        </w:rPr>
        <w:t>nongastropancreatic</w:t>
      </w:r>
      <w:proofErr w:type="spellEnd"/>
      <w:r w:rsidRPr="00E51A80">
        <w:rPr>
          <w:rFonts w:ascii="Book Antiqua" w:hAnsi="Book Antiqua" w:cs="Calibri"/>
          <w:sz w:val="20"/>
          <w:szCs w:val="20"/>
          <w:lang w:val="en-US"/>
        </w:rPr>
        <w:t xml:space="preserve"> NET</w:t>
      </w:r>
      <w:r w:rsidR="00DC5FA1" w:rsidRPr="00E51A80">
        <w:rPr>
          <w:rFonts w:ascii="Book Antiqua" w:hAnsi="Book Antiqua" w:cs="Calibri"/>
          <w:sz w:val="20"/>
          <w:szCs w:val="20"/>
          <w:lang w:val="en-US"/>
        </w:rPr>
        <w:t xml:space="preserve"> was diagnosed 11.1% of patients</w:t>
      </w:r>
      <w:r w:rsidRPr="00E51A80">
        <w:rPr>
          <w:rFonts w:ascii="Book Antiqua" w:hAnsi="Book Antiqua" w:cs="Calibri"/>
          <w:sz w:val="20"/>
          <w:szCs w:val="20"/>
          <w:lang w:val="en-US"/>
        </w:rPr>
        <w:t xml:space="preserve">, including two </w:t>
      </w:r>
      <w:proofErr w:type="spellStart"/>
      <w:r w:rsidRPr="00E51A80">
        <w:rPr>
          <w:rFonts w:ascii="Book Antiqua" w:hAnsi="Book Antiqua" w:cs="Calibri"/>
          <w:sz w:val="20"/>
          <w:szCs w:val="20"/>
          <w:lang w:val="en-US"/>
        </w:rPr>
        <w:t>endobronchi</w:t>
      </w:r>
      <w:r w:rsidR="002B3764" w:rsidRPr="00E51A80">
        <w:rPr>
          <w:rFonts w:ascii="Book Antiqua" w:hAnsi="Book Antiqua" w:cs="Calibri"/>
          <w:sz w:val="20"/>
          <w:szCs w:val="20"/>
          <w:lang w:val="en-US"/>
        </w:rPr>
        <w:t>al</w:t>
      </w:r>
      <w:proofErr w:type="spellEnd"/>
      <w:r w:rsidR="002B3764" w:rsidRPr="00E51A80">
        <w:rPr>
          <w:rFonts w:ascii="Book Antiqua" w:hAnsi="Book Antiqua" w:cs="Calibri"/>
          <w:sz w:val="20"/>
          <w:szCs w:val="20"/>
          <w:lang w:val="en-US"/>
        </w:rPr>
        <w:t xml:space="preserve"> NETs</w:t>
      </w:r>
      <w:r w:rsidR="00DC5FA1" w:rsidRPr="00E51A80">
        <w:rPr>
          <w:rFonts w:ascii="Book Antiqua" w:hAnsi="Book Antiqua" w:cs="Calibri"/>
          <w:sz w:val="20"/>
          <w:szCs w:val="20"/>
          <w:lang w:val="en-US"/>
        </w:rPr>
        <w:t>,</w:t>
      </w:r>
      <w:r w:rsidR="002B3764" w:rsidRPr="00E51A80">
        <w:rPr>
          <w:rFonts w:ascii="Book Antiqua" w:hAnsi="Book Antiqua" w:cs="Calibri"/>
          <w:sz w:val="20"/>
          <w:szCs w:val="20"/>
          <w:lang w:val="en-US"/>
        </w:rPr>
        <w:t xml:space="preserve"> one </w:t>
      </w:r>
      <w:proofErr w:type="spellStart"/>
      <w:r w:rsidR="002B3764" w:rsidRPr="00E51A80">
        <w:rPr>
          <w:rFonts w:ascii="Book Antiqua" w:hAnsi="Book Antiqua" w:cs="Calibri"/>
          <w:sz w:val="20"/>
          <w:szCs w:val="20"/>
          <w:lang w:val="en-US"/>
        </w:rPr>
        <w:t>thymic</w:t>
      </w:r>
      <w:proofErr w:type="spellEnd"/>
      <w:r w:rsidR="002B3764" w:rsidRPr="00E51A80">
        <w:rPr>
          <w:rFonts w:ascii="Book Antiqua" w:hAnsi="Book Antiqua" w:cs="Calibri"/>
          <w:sz w:val="20"/>
          <w:szCs w:val="20"/>
          <w:lang w:val="en-US"/>
        </w:rPr>
        <w:t xml:space="preserve"> and </w:t>
      </w:r>
      <w:r w:rsidR="00DC5FA1" w:rsidRPr="00E51A80">
        <w:rPr>
          <w:rFonts w:ascii="Book Antiqua" w:hAnsi="Book Antiqua" w:cs="Calibri"/>
          <w:sz w:val="20"/>
          <w:szCs w:val="20"/>
          <w:lang w:val="en-US"/>
        </w:rPr>
        <w:t>three</w:t>
      </w:r>
      <w:r w:rsidRPr="00E51A80">
        <w:rPr>
          <w:rFonts w:ascii="Book Antiqua" w:hAnsi="Book Antiqua" w:cs="Calibri"/>
          <w:sz w:val="20"/>
          <w:szCs w:val="20"/>
          <w:lang w:val="en-US"/>
        </w:rPr>
        <w:t xml:space="preserve"> with</w:t>
      </w:r>
      <w:r w:rsidR="002B3764" w:rsidRPr="00E51A80">
        <w:rPr>
          <w:rFonts w:ascii="Book Antiqua" w:hAnsi="Book Antiqua" w:cs="Calibri"/>
          <w:sz w:val="20"/>
          <w:szCs w:val="20"/>
          <w:lang w:val="en-US"/>
        </w:rPr>
        <w:t xml:space="preserve"> unknown origin </w:t>
      </w:r>
      <w:r w:rsidR="00DC5FA1" w:rsidRPr="00E51A80">
        <w:rPr>
          <w:rFonts w:ascii="Book Antiqua" w:hAnsi="Book Antiqua" w:cs="Calibri"/>
          <w:sz w:val="20"/>
          <w:szCs w:val="20"/>
          <w:lang w:val="en-US"/>
        </w:rPr>
        <w:t xml:space="preserve">of the </w:t>
      </w:r>
      <w:r w:rsidR="002B3764" w:rsidRPr="00E51A80">
        <w:rPr>
          <w:rFonts w:ascii="Book Antiqua" w:hAnsi="Book Antiqua" w:cs="Calibri"/>
          <w:sz w:val="20"/>
          <w:szCs w:val="20"/>
          <w:lang w:val="en-US"/>
        </w:rPr>
        <w:t xml:space="preserve">primary tumor. </w:t>
      </w:r>
      <w:r w:rsidRPr="00E51A80">
        <w:rPr>
          <w:rFonts w:ascii="Book Antiqua" w:hAnsi="Book Antiqua" w:cs="Calibri"/>
          <w:sz w:val="20"/>
          <w:szCs w:val="20"/>
          <w:lang w:val="en-US"/>
        </w:rPr>
        <w:t>The vast majority of the patients (91.7%) had liver metastases followed by metastasis in the peritoneum (25</w:t>
      </w:r>
      <w:r w:rsidR="00DC5FA1" w:rsidRPr="00E51A80">
        <w:rPr>
          <w:rFonts w:ascii="Book Antiqua" w:hAnsi="Book Antiqua" w:cs="Calibri"/>
          <w:sz w:val="20"/>
          <w:szCs w:val="20"/>
          <w:lang w:val="en-US"/>
        </w:rPr>
        <w:t>.0</w:t>
      </w:r>
      <w:r w:rsidRPr="00E51A80">
        <w:rPr>
          <w:rFonts w:ascii="Book Antiqua" w:hAnsi="Book Antiqua" w:cs="Calibri"/>
          <w:sz w:val="20"/>
          <w:szCs w:val="20"/>
          <w:lang w:val="en-US"/>
        </w:rPr>
        <w:t>%), lymph nodes (50</w:t>
      </w:r>
      <w:r w:rsidR="00DC5FA1" w:rsidRPr="00E51A80">
        <w:rPr>
          <w:rFonts w:ascii="Book Antiqua" w:hAnsi="Book Antiqua" w:cs="Calibri"/>
          <w:sz w:val="20"/>
          <w:szCs w:val="20"/>
          <w:lang w:val="en-US"/>
        </w:rPr>
        <w:t>.0</w:t>
      </w:r>
      <w:r w:rsidRPr="00E51A80">
        <w:rPr>
          <w:rFonts w:ascii="Book Antiqua" w:hAnsi="Book Antiqua" w:cs="Calibri"/>
          <w:sz w:val="20"/>
          <w:szCs w:val="20"/>
          <w:lang w:val="en-US"/>
        </w:rPr>
        <w:t xml:space="preserve">%), bone (27.8%), lung (11.1%) and other locations including a lesion in the heart, in the suprarenal gland, in the kidney and </w:t>
      </w:r>
      <w:r w:rsidR="00DC5FA1" w:rsidRPr="00E51A80">
        <w:rPr>
          <w:rFonts w:ascii="Book Antiqua" w:hAnsi="Book Antiqua" w:cs="Calibri"/>
          <w:sz w:val="20"/>
          <w:szCs w:val="20"/>
          <w:lang w:val="en-US"/>
        </w:rPr>
        <w:t xml:space="preserve">in the </w:t>
      </w:r>
      <w:r w:rsidRPr="00E51A80">
        <w:rPr>
          <w:rFonts w:ascii="Book Antiqua" w:hAnsi="Book Antiqua" w:cs="Calibri"/>
          <w:sz w:val="20"/>
          <w:szCs w:val="20"/>
          <w:lang w:val="en-US"/>
        </w:rPr>
        <w:t>ovary. Baseline characteristics are presented in Table 1.</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t xml:space="preserve">Regarding </w:t>
      </w:r>
      <w:proofErr w:type="spellStart"/>
      <w:r w:rsidRPr="00E51A80">
        <w:rPr>
          <w:rFonts w:ascii="Book Antiqua" w:hAnsi="Book Antiqua" w:cs="Calibri"/>
          <w:sz w:val="20"/>
          <w:szCs w:val="20"/>
          <w:lang w:val="en-US"/>
        </w:rPr>
        <w:t>anatomopathological</w:t>
      </w:r>
      <w:proofErr w:type="spellEnd"/>
      <w:r w:rsidRPr="00E51A80">
        <w:rPr>
          <w:rFonts w:ascii="Book Antiqua" w:hAnsi="Book Antiqua" w:cs="Calibri"/>
          <w:sz w:val="20"/>
          <w:szCs w:val="20"/>
          <w:lang w:val="en-US"/>
        </w:rPr>
        <w:t xml:space="preserve"> characteristics, 41.7% were grade 1 (Ki67% ≤</w:t>
      </w:r>
      <w:r w:rsidR="002B3764"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2), 50% </w:t>
      </w:r>
      <w:r w:rsidR="00DC5FA1" w:rsidRPr="00E51A80">
        <w:rPr>
          <w:rFonts w:ascii="Book Antiqua" w:hAnsi="Book Antiqua" w:cs="Calibri"/>
          <w:sz w:val="20"/>
          <w:szCs w:val="20"/>
          <w:lang w:val="en-US"/>
        </w:rPr>
        <w:t xml:space="preserve">were </w:t>
      </w:r>
      <w:r w:rsidRPr="00E51A80">
        <w:rPr>
          <w:rFonts w:ascii="Book Antiqua" w:hAnsi="Book Antiqua" w:cs="Calibri"/>
          <w:sz w:val="20"/>
          <w:szCs w:val="20"/>
          <w:lang w:val="en-US"/>
        </w:rPr>
        <w:t>grade 2 (Ki67%</w:t>
      </w:r>
      <w:r w:rsidR="00DC5FA1"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 3-20) and 8.3% </w:t>
      </w:r>
      <w:r w:rsidR="00DC5FA1" w:rsidRPr="00E51A80">
        <w:rPr>
          <w:rFonts w:ascii="Book Antiqua" w:hAnsi="Book Antiqua" w:cs="Calibri"/>
          <w:sz w:val="20"/>
          <w:szCs w:val="20"/>
          <w:lang w:val="en-US"/>
        </w:rPr>
        <w:t xml:space="preserve">were </w:t>
      </w:r>
      <w:r w:rsidRPr="00E51A80">
        <w:rPr>
          <w:rFonts w:ascii="Book Antiqua" w:hAnsi="Book Antiqua" w:cs="Calibri"/>
          <w:sz w:val="20"/>
          <w:szCs w:val="20"/>
          <w:lang w:val="en-US"/>
        </w:rPr>
        <w:t>grade 3 (Ki67%</w:t>
      </w:r>
      <w:r w:rsidR="002B3764" w:rsidRPr="00E51A80">
        <w:rPr>
          <w:rFonts w:ascii="Book Antiqua" w:hAnsi="Book Antiqua" w:cs="Calibri"/>
          <w:sz w:val="20"/>
          <w:szCs w:val="20"/>
          <w:lang w:val="en-US"/>
        </w:rPr>
        <w:t xml:space="preserve"> </w:t>
      </w:r>
      <w:r w:rsidRPr="00E51A80">
        <w:rPr>
          <w:rFonts w:ascii="Book Antiqua" w:hAnsi="Book Antiqua" w:cs="Calibri"/>
          <w:sz w:val="20"/>
          <w:szCs w:val="20"/>
          <w:lang w:val="en-US"/>
        </w:rPr>
        <w:t>&gt;</w:t>
      </w:r>
      <w:r w:rsidR="002B3764"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20), of which </w:t>
      </w:r>
      <w:r w:rsidR="00DC5FA1" w:rsidRPr="00E51A80">
        <w:rPr>
          <w:rFonts w:ascii="Book Antiqua" w:hAnsi="Book Antiqua" w:cs="Calibri"/>
          <w:sz w:val="20"/>
          <w:szCs w:val="20"/>
          <w:lang w:val="en-US"/>
        </w:rPr>
        <w:t>two</w:t>
      </w:r>
      <w:r w:rsidRPr="00E51A80">
        <w:rPr>
          <w:rFonts w:ascii="Book Antiqua" w:hAnsi="Book Antiqua" w:cs="Calibri"/>
          <w:sz w:val="20"/>
          <w:szCs w:val="20"/>
          <w:lang w:val="en-US"/>
        </w:rPr>
        <w:t xml:space="preserve"> were poorly differentiated neuroendocrine </w:t>
      </w:r>
      <w:proofErr w:type="gramStart"/>
      <w:r w:rsidRPr="00E51A80">
        <w:rPr>
          <w:rFonts w:ascii="Book Antiqua" w:hAnsi="Book Antiqua" w:cs="Calibri"/>
          <w:sz w:val="20"/>
          <w:szCs w:val="20"/>
          <w:lang w:val="en-US"/>
        </w:rPr>
        <w:t>carcinoma</w:t>
      </w:r>
      <w:r w:rsidR="00955C84" w:rsidRPr="00E51A80">
        <w:rPr>
          <w:rFonts w:ascii="Book Antiqua" w:hAnsi="Book Antiqua" w:cs="Calibri"/>
          <w:sz w:val="20"/>
          <w:szCs w:val="20"/>
          <w:lang w:val="en-US"/>
        </w:rPr>
        <w:t xml:space="preserve"> </w:t>
      </w:r>
      <w:r w:rsidRPr="00E51A80">
        <w:rPr>
          <w:rFonts w:ascii="Book Antiqua" w:hAnsi="Book Antiqua" w:cs="Calibri"/>
          <w:sz w:val="20"/>
          <w:szCs w:val="20"/>
          <w:lang w:val="en-US"/>
        </w:rPr>
        <w:t>.</w:t>
      </w:r>
      <w:proofErr w:type="gramEnd"/>
      <w:r w:rsidRPr="00E51A80">
        <w:rPr>
          <w:rFonts w:ascii="Book Antiqua" w:hAnsi="Book Antiqua" w:cs="Calibri"/>
          <w:sz w:val="20"/>
          <w:szCs w:val="20"/>
          <w:lang w:val="en-US"/>
        </w:rPr>
        <w:t xml:space="preserve"> Of the total number of patients, 63.9% completed treatment with PRRT, 25</w:t>
      </w:r>
      <w:r w:rsidR="00955C84" w:rsidRPr="00E51A80">
        <w:rPr>
          <w:rFonts w:ascii="Book Antiqua" w:hAnsi="Book Antiqua" w:cs="Calibri"/>
          <w:sz w:val="20"/>
          <w:szCs w:val="20"/>
          <w:lang w:val="en-US"/>
        </w:rPr>
        <w:t>.0</w:t>
      </w:r>
      <w:r w:rsidRPr="00E51A80">
        <w:rPr>
          <w:rFonts w:ascii="Book Antiqua" w:hAnsi="Book Antiqua" w:cs="Calibri"/>
          <w:sz w:val="20"/>
          <w:szCs w:val="20"/>
          <w:lang w:val="en-US"/>
        </w:rPr>
        <w:t>% patients are receiving treatment and 11.1% could not complete it due to death or complications of their underlying disease.</w:t>
      </w:r>
    </w:p>
    <w:p w:rsidR="002B3764" w:rsidRPr="00E51A80" w:rsidRDefault="002B3764" w:rsidP="007E3E0D">
      <w:pPr>
        <w:adjustRightInd w:val="0"/>
        <w:snapToGrid w:val="0"/>
        <w:spacing w:after="0" w:line="360" w:lineRule="auto"/>
        <w:jc w:val="both"/>
        <w:rPr>
          <w:rFonts w:ascii="Book Antiqua" w:hAnsi="Book Antiqua" w:cs="Calibri"/>
          <w:b/>
          <w:bCs/>
          <w:i/>
          <w:iCs/>
          <w:sz w:val="20"/>
          <w:szCs w:val="20"/>
          <w:lang w:val="en-US"/>
        </w:rPr>
      </w:pP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b/>
          <w:bCs/>
          <w:i/>
          <w:iCs/>
          <w:sz w:val="20"/>
          <w:szCs w:val="20"/>
          <w:lang w:val="en-US"/>
        </w:rPr>
        <w:t xml:space="preserve">Treatment patterns before PRRT </w:t>
      </w: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sz w:val="20"/>
          <w:szCs w:val="20"/>
          <w:lang w:val="en-US"/>
        </w:rPr>
        <w:t>More than half of the patients had surgically removed the primary tumor (</w:t>
      </w:r>
      <w:proofErr w:type="gramStart"/>
      <w:r w:rsidRPr="00E51A80">
        <w:rPr>
          <w:rFonts w:ascii="Book Antiqua" w:hAnsi="Book Antiqua" w:cs="Calibri"/>
          <w:sz w:val="20"/>
          <w:szCs w:val="20"/>
          <w:lang w:val="en-US"/>
        </w:rPr>
        <w:t>55.6%)</w:t>
      </w:r>
      <w:r w:rsidR="00955C84" w:rsidRPr="00E51A80">
        <w:rPr>
          <w:rFonts w:ascii="Book Antiqua" w:hAnsi="Book Antiqua" w:cs="Calibri"/>
          <w:sz w:val="20"/>
          <w:szCs w:val="20"/>
          <w:lang w:val="en-US"/>
        </w:rPr>
        <w:t>,</w:t>
      </w:r>
      <w:proofErr w:type="gramEnd"/>
      <w:r w:rsidRPr="00E51A80">
        <w:rPr>
          <w:rFonts w:ascii="Book Antiqua" w:hAnsi="Book Antiqua" w:cs="Calibri"/>
          <w:sz w:val="20"/>
          <w:szCs w:val="20"/>
          <w:lang w:val="en-US"/>
        </w:rPr>
        <w:t xml:space="preserve"> and 19.4% underwent surgery of </w:t>
      </w:r>
      <w:r w:rsidR="002B3764" w:rsidRPr="00E51A80">
        <w:rPr>
          <w:rFonts w:ascii="Book Antiqua" w:hAnsi="Book Antiqua" w:cs="Calibri"/>
          <w:sz w:val="20"/>
          <w:szCs w:val="20"/>
          <w:lang w:val="en-US"/>
        </w:rPr>
        <w:t xml:space="preserve">the metastases. All patients </w:t>
      </w:r>
      <w:r w:rsidRPr="00E51A80">
        <w:rPr>
          <w:rFonts w:ascii="Book Antiqua" w:hAnsi="Book Antiqua" w:cs="Calibri"/>
          <w:sz w:val="20"/>
          <w:szCs w:val="20"/>
          <w:lang w:val="en-US"/>
        </w:rPr>
        <w:t xml:space="preserve">were treated with </w:t>
      </w:r>
      <w:proofErr w:type="spellStart"/>
      <w:r w:rsidR="00D35F96" w:rsidRPr="00E51A80">
        <w:rPr>
          <w:rFonts w:ascii="Book Antiqua" w:hAnsi="Book Antiqua" w:cs="Calibri"/>
          <w:sz w:val="20"/>
          <w:szCs w:val="20"/>
          <w:lang w:val="en-US"/>
        </w:rPr>
        <w:t>somatostatin</w:t>
      </w:r>
      <w:proofErr w:type="spellEnd"/>
      <w:r w:rsidRPr="00E51A80">
        <w:rPr>
          <w:rFonts w:ascii="Book Antiqua" w:hAnsi="Book Antiqua" w:cs="Calibri"/>
          <w:sz w:val="20"/>
          <w:szCs w:val="20"/>
          <w:lang w:val="en-US"/>
        </w:rPr>
        <w:t xml:space="preserve"> analogues (SSA), 44.4% needed treatment with short-acting </w:t>
      </w:r>
      <w:proofErr w:type="spellStart"/>
      <w:r w:rsidRPr="00E51A80">
        <w:rPr>
          <w:rFonts w:ascii="Book Antiqua" w:hAnsi="Book Antiqua" w:cs="Calibri"/>
          <w:sz w:val="20"/>
          <w:szCs w:val="20"/>
          <w:lang w:val="en-US"/>
        </w:rPr>
        <w:t>octreotide</w:t>
      </w:r>
      <w:proofErr w:type="spellEnd"/>
      <w:r w:rsidRPr="00E51A80">
        <w:rPr>
          <w:rFonts w:ascii="Book Antiqua" w:hAnsi="Book Antiqua" w:cs="Calibri"/>
          <w:sz w:val="20"/>
          <w:szCs w:val="20"/>
          <w:lang w:val="en-US"/>
        </w:rPr>
        <w:t xml:space="preserve">, 66.7% received </w:t>
      </w:r>
      <w:proofErr w:type="spellStart"/>
      <w:r w:rsidR="00955C84" w:rsidRPr="00E51A80">
        <w:rPr>
          <w:rFonts w:ascii="Book Antiqua" w:hAnsi="Book Antiqua" w:cs="Calibri"/>
          <w:sz w:val="20"/>
          <w:szCs w:val="20"/>
          <w:lang w:val="en-US"/>
        </w:rPr>
        <w:t>e</w:t>
      </w:r>
      <w:r w:rsidRPr="00E51A80">
        <w:rPr>
          <w:rFonts w:ascii="Book Antiqua" w:hAnsi="Book Antiqua" w:cs="Calibri"/>
          <w:sz w:val="20"/>
          <w:szCs w:val="20"/>
          <w:lang w:val="en-US"/>
        </w:rPr>
        <w:t>verolimus</w:t>
      </w:r>
      <w:proofErr w:type="spellEnd"/>
      <w:r w:rsidRPr="00E51A80">
        <w:rPr>
          <w:rFonts w:ascii="Book Antiqua" w:hAnsi="Book Antiqua" w:cs="Calibri"/>
          <w:sz w:val="20"/>
          <w:szCs w:val="20"/>
          <w:lang w:val="en-US"/>
        </w:rPr>
        <w:t>, 27.8%</w:t>
      </w:r>
      <w:r w:rsidR="00955C84" w:rsidRPr="00E51A80">
        <w:rPr>
          <w:rFonts w:ascii="Book Antiqua" w:hAnsi="Book Antiqua" w:cs="Calibri"/>
          <w:sz w:val="20"/>
          <w:szCs w:val="20"/>
          <w:lang w:val="en-US"/>
        </w:rPr>
        <w:t xml:space="preserve"> received</w:t>
      </w:r>
      <w:r w:rsidRPr="00E51A80">
        <w:rPr>
          <w:rFonts w:ascii="Book Antiqua" w:hAnsi="Book Antiqua" w:cs="Calibri"/>
          <w:sz w:val="20"/>
          <w:szCs w:val="20"/>
          <w:lang w:val="en-US"/>
        </w:rPr>
        <w:t xml:space="preserve"> </w:t>
      </w:r>
      <w:proofErr w:type="spellStart"/>
      <w:r w:rsidR="00955C84" w:rsidRPr="00E51A80">
        <w:rPr>
          <w:rFonts w:ascii="Book Antiqua" w:hAnsi="Book Antiqua" w:cs="Calibri"/>
          <w:sz w:val="20"/>
          <w:szCs w:val="20"/>
          <w:lang w:val="en-US"/>
        </w:rPr>
        <w:t>s</w:t>
      </w:r>
      <w:r w:rsidRPr="00E51A80">
        <w:rPr>
          <w:rFonts w:ascii="Book Antiqua" w:hAnsi="Book Antiqua" w:cs="Calibri"/>
          <w:sz w:val="20"/>
          <w:szCs w:val="20"/>
          <w:lang w:val="en-US"/>
        </w:rPr>
        <w:t>unitinib</w:t>
      </w:r>
      <w:proofErr w:type="spellEnd"/>
      <w:r w:rsidRPr="00E51A80">
        <w:rPr>
          <w:rFonts w:ascii="Book Antiqua" w:hAnsi="Book Antiqua" w:cs="Calibri"/>
          <w:sz w:val="20"/>
          <w:szCs w:val="20"/>
          <w:lang w:val="en-US"/>
        </w:rPr>
        <w:t xml:space="preserve">, 27.8% </w:t>
      </w:r>
      <w:r w:rsidR="00955C84" w:rsidRPr="00E51A80">
        <w:rPr>
          <w:rFonts w:ascii="Book Antiqua" w:hAnsi="Book Antiqua" w:cs="Calibri"/>
          <w:sz w:val="20"/>
          <w:szCs w:val="20"/>
          <w:lang w:val="en-US"/>
        </w:rPr>
        <w:t xml:space="preserve">received </w:t>
      </w:r>
      <w:r w:rsidRPr="00E51A80">
        <w:rPr>
          <w:rFonts w:ascii="Book Antiqua" w:hAnsi="Book Antiqua" w:cs="Calibri"/>
          <w:sz w:val="20"/>
          <w:szCs w:val="20"/>
          <w:lang w:val="en-US"/>
        </w:rPr>
        <w:t>treatment with interferon,</w:t>
      </w:r>
      <w:r w:rsidR="00955C84" w:rsidRPr="00E51A80">
        <w:rPr>
          <w:rFonts w:ascii="Book Antiqua" w:hAnsi="Book Antiqua" w:cs="Calibri"/>
          <w:sz w:val="20"/>
          <w:szCs w:val="20"/>
          <w:lang w:val="en-US"/>
        </w:rPr>
        <w:t xml:space="preserve"> and</w:t>
      </w:r>
      <w:r w:rsidRPr="00E51A80">
        <w:rPr>
          <w:rFonts w:ascii="Book Antiqua" w:hAnsi="Book Antiqua" w:cs="Calibri"/>
          <w:sz w:val="20"/>
          <w:szCs w:val="20"/>
          <w:lang w:val="en-US"/>
        </w:rPr>
        <w:t xml:space="preserve"> 16.7% </w:t>
      </w:r>
      <w:r w:rsidR="00955C84" w:rsidRPr="00E51A80">
        <w:rPr>
          <w:rFonts w:ascii="Book Antiqua" w:hAnsi="Book Antiqua" w:cs="Calibri"/>
          <w:sz w:val="20"/>
          <w:szCs w:val="20"/>
          <w:lang w:val="en-US"/>
        </w:rPr>
        <w:t xml:space="preserve">received </w:t>
      </w:r>
      <w:r w:rsidRPr="00E51A80">
        <w:rPr>
          <w:rFonts w:ascii="Book Antiqua" w:hAnsi="Book Antiqua" w:cs="Calibri"/>
          <w:sz w:val="20"/>
          <w:szCs w:val="20"/>
          <w:lang w:val="en-US"/>
        </w:rPr>
        <w:t>chemotherapy</w:t>
      </w:r>
      <w:r w:rsidR="00955C84" w:rsidRPr="00E51A80">
        <w:rPr>
          <w:rFonts w:ascii="Book Antiqua" w:hAnsi="Book Antiqua" w:cs="Calibri"/>
          <w:sz w:val="20"/>
          <w:szCs w:val="20"/>
          <w:lang w:val="en-US"/>
        </w:rPr>
        <w:t>.</w:t>
      </w:r>
      <w:r w:rsidRPr="00E51A80">
        <w:rPr>
          <w:rFonts w:ascii="Book Antiqua" w:hAnsi="Book Antiqua" w:cs="Calibri"/>
          <w:sz w:val="20"/>
          <w:szCs w:val="20"/>
          <w:lang w:val="en-US"/>
        </w:rPr>
        <w:t xml:space="preserve"> </w:t>
      </w:r>
      <w:r w:rsidR="00955C84" w:rsidRPr="00E51A80">
        <w:rPr>
          <w:rFonts w:ascii="Book Antiqua" w:hAnsi="Book Antiqua" w:cs="Calibri"/>
          <w:sz w:val="20"/>
          <w:szCs w:val="20"/>
          <w:lang w:val="en-US"/>
        </w:rPr>
        <w:t>Four</w:t>
      </w:r>
      <w:r w:rsidRPr="00E51A80">
        <w:rPr>
          <w:rFonts w:ascii="Book Antiqua" w:hAnsi="Book Antiqua" w:cs="Calibri"/>
          <w:sz w:val="20"/>
          <w:szCs w:val="20"/>
          <w:lang w:val="en-US"/>
        </w:rPr>
        <w:t xml:space="preserve"> patients received liver directed therapy, </w:t>
      </w:r>
      <w:r w:rsidR="00955C84" w:rsidRPr="00E51A80">
        <w:rPr>
          <w:rFonts w:ascii="Book Antiqua" w:hAnsi="Book Antiqua" w:cs="Calibri"/>
          <w:sz w:val="20"/>
          <w:szCs w:val="20"/>
          <w:lang w:val="en-US"/>
        </w:rPr>
        <w:t xml:space="preserve">three </w:t>
      </w:r>
      <w:r w:rsidRPr="00E51A80">
        <w:rPr>
          <w:rFonts w:ascii="Book Antiqua" w:hAnsi="Book Antiqua" w:cs="Calibri"/>
          <w:sz w:val="20"/>
          <w:szCs w:val="20"/>
          <w:lang w:val="en-US"/>
        </w:rPr>
        <w:t xml:space="preserve">of which underwent chemoembolization and </w:t>
      </w:r>
      <w:r w:rsidR="00955C84" w:rsidRPr="00E51A80">
        <w:rPr>
          <w:rFonts w:ascii="Book Antiqua" w:hAnsi="Book Antiqua" w:cs="Calibri"/>
          <w:sz w:val="20"/>
          <w:szCs w:val="20"/>
          <w:lang w:val="en-US"/>
        </w:rPr>
        <w:t>one underwent</w:t>
      </w:r>
      <w:r w:rsidRPr="00E51A80">
        <w:rPr>
          <w:rFonts w:ascii="Book Antiqua" w:hAnsi="Book Antiqua" w:cs="Calibri"/>
          <w:sz w:val="20"/>
          <w:szCs w:val="20"/>
          <w:lang w:val="en-US"/>
        </w:rPr>
        <w:t xml:space="preserve"> </w:t>
      </w:r>
      <w:proofErr w:type="spellStart"/>
      <w:r w:rsidRPr="00E51A80">
        <w:rPr>
          <w:rFonts w:ascii="Book Antiqua" w:hAnsi="Book Antiqua" w:cs="Calibri"/>
          <w:sz w:val="20"/>
          <w:szCs w:val="20"/>
          <w:lang w:val="en-US"/>
        </w:rPr>
        <w:t>transarterial</w:t>
      </w:r>
      <w:proofErr w:type="spellEnd"/>
      <w:r w:rsidRPr="00E51A80">
        <w:rPr>
          <w:rFonts w:ascii="Book Antiqua" w:hAnsi="Book Antiqua" w:cs="Calibri"/>
          <w:sz w:val="20"/>
          <w:szCs w:val="20"/>
          <w:lang w:val="en-US"/>
        </w:rPr>
        <w:t xml:space="preserve"> </w:t>
      </w:r>
      <w:proofErr w:type="spellStart"/>
      <w:r w:rsidRPr="00E51A80">
        <w:rPr>
          <w:rFonts w:ascii="Book Antiqua" w:hAnsi="Book Antiqua" w:cs="Calibri"/>
          <w:sz w:val="20"/>
          <w:szCs w:val="20"/>
          <w:lang w:val="en-US"/>
        </w:rPr>
        <w:t>radioembolization</w:t>
      </w:r>
      <w:proofErr w:type="spellEnd"/>
      <w:r w:rsidRPr="00E51A80">
        <w:rPr>
          <w:rFonts w:ascii="Book Antiqua" w:hAnsi="Book Antiqua" w:cs="Calibri"/>
          <w:sz w:val="20"/>
          <w:szCs w:val="20"/>
          <w:lang w:val="en-US"/>
        </w:rPr>
        <w:t xml:space="preserve"> of liver metastases.</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t xml:space="preserve">Most patients (94.4%) had progression to previous treatments 12 </w:t>
      </w:r>
      <w:proofErr w:type="spellStart"/>
      <w:r w:rsidRPr="00E51A80">
        <w:rPr>
          <w:rFonts w:ascii="Book Antiqua" w:hAnsi="Book Antiqua" w:cs="Calibri"/>
          <w:sz w:val="20"/>
          <w:szCs w:val="20"/>
          <w:lang w:val="en-US"/>
        </w:rPr>
        <w:t>mo</w:t>
      </w:r>
      <w:proofErr w:type="spellEnd"/>
      <w:r w:rsidRPr="00E51A80">
        <w:rPr>
          <w:rFonts w:ascii="Book Antiqua" w:hAnsi="Book Antiqua" w:cs="Calibri"/>
          <w:sz w:val="20"/>
          <w:szCs w:val="20"/>
          <w:lang w:val="en-US"/>
        </w:rPr>
        <w:t xml:space="preserve"> after their start</w:t>
      </w:r>
      <w:r w:rsidR="00955C84" w:rsidRPr="00E51A80">
        <w:rPr>
          <w:rFonts w:ascii="Book Antiqua" w:hAnsi="Book Antiqua" w:cs="Calibri"/>
          <w:sz w:val="20"/>
          <w:szCs w:val="20"/>
          <w:lang w:val="en-US"/>
        </w:rPr>
        <w:t>.</w:t>
      </w:r>
      <w:r w:rsidRPr="00E51A80">
        <w:rPr>
          <w:rFonts w:ascii="Book Antiqua" w:hAnsi="Book Antiqua" w:cs="Calibri"/>
          <w:sz w:val="20"/>
          <w:szCs w:val="20"/>
          <w:lang w:val="en-US"/>
        </w:rPr>
        <w:t xml:space="preserve"> </w:t>
      </w:r>
      <w:r w:rsidR="00955C84" w:rsidRPr="00E51A80">
        <w:rPr>
          <w:rFonts w:ascii="Book Antiqua" w:hAnsi="Book Antiqua" w:cs="Calibri"/>
          <w:sz w:val="20"/>
          <w:szCs w:val="20"/>
          <w:lang w:val="en-US"/>
        </w:rPr>
        <w:t>O</w:t>
      </w:r>
      <w:r w:rsidRPr="00E51A80">
        <w:rPr>
          <w:rFonts w:ascii="Book Antiqua" w:hAnsi="Book Antiqua" w:cs="Calibri"/>
          <w:sz w:val="20"/>
          <w:szCs w:val="20"/>
          <w:lang w:val="en-US"/>
        </w:rPr>
        <w:t>nly 5.6%</w:t>
      </w:r>
      <w:r w:rsidR="00955C84" w:rsidRPr="00E51A80">
        <w:rPr>
          <w:rFonts w:ascii="Book Antiqua" w:hAnsi="Book Antiqua" w:cs="Calibri"/>
          <w:sz w:val="20"/>
          <w:szCs w:val="20"/>
          <w:lang w:val="en-US"/>
        </w:rPr>
        <w:t xml:space="preserve"> of patients</w:t>
      </w:r>
      <w:r w:rsidRPr="00E51A80">
        <w:rPr>
          <w:rFonts w:ascii="Book Antiqua" w:hAnsi="Book Antiqua" w:cs="Calibri"/>
          <w:sz w:val="20"/>
          <w:szCs w:val="20"/>
          <w:lang w:val="en-US"/>
        </w:rPr>
        <w:t xml:space="preserve"> had early progression of their disease according to RECIST criteria before 12 </w:t>
      </w:r>
      <w:proofErr w:type="gramStart"/>
      <w:r w:rsidRPr="00E51A80">
        <w:rPr>
          <w:rFonts w:ascii="Book Antiqua" w:hAnsi="Book Antiqua" w:cs="Calibri"/>
          <w:sz w:val="20"/>
          <w:szCs w:val="20"/>
          <w:lang w:val="en-US"/>
        </w:rPr>
        <w:t>mo</w:t>
      </w:r>
      <w:proofErr w:type="gramEnd"/>
      <w:r w:rsidRPr="00E51A80">
        <w:rPr>
          <w:rFonts w:ascii="Book Antiqua" w:hAnsi="Book Antiqua" w:cs="Calibri"/>
          <w:sz w:val="20"/>
          <w:szCs w:val="20"/>
          <w:lang w:val="en-US"/>
        </w:rPr>
        <w:t>.</w:t>
      </w:r>
      <w:bookmarkStart w:id="60" w:name="_Hlk12208107"/>
      <w:bookmarkEnd w:id="60"/>
    </w:p>
    <w:p w:rsidR="002B3764" w:rsidRPr="00E51A80" w:rsidRDefault="002B3764" w:rsidP="007E3E0D">
      <w:pPr>
        <w:adjustRightInd w:val="0"/>
        <w:snapToGrid w:val="0"/>
        <w:spacing w:after="0" w:line="360" w:lineRule="auto"/>
        <w:jc w:val="both"/>
        <w:rPr>
          <w:rFonts w:ascii="Book Antiqua" w:hAnsi="Book Antiqua" w:cs="Calibri"/>
          <w:b/>
          <w:bCs/>
          <w:i/>
          <w:iCs/>
          <w:sz w:val="20"/>
          <w:szCs w:val="20"/>
          <w:lang w:val="en-US"/>
        </w:rPr>
      </w:pP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b/>
          <w:bCs/>
          <w:i/>
          <w:iCs/>
          <w:sz w:val="20"/>
          <w:szCs w:val="20"/>
          <w:lang w:val="en-US"/>
        </w:rPr>
        <w:t xml:space="preserve">Metabolic and radiological imaging response </w:t>
      </w: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sz w:val="20"/>
          <w:szCs w:val="20"/>
          <w:lang w:val="en-US"/>
        </w:rPr>
        <w:t xml:space="preserve">We assessed whether there was a matching coincidence between the lesions described in the CT evaluation and the </w:t>
      </w:r>
      <w:proofErr w:type="spellStart"/>
      <w:r w:rsidRPr="00E51A80">
        <w:rPr>
          <w:rFonts w:ascii="Book Antiqua" w:hAnsi="Book Antiqua" w:cs="Calibri"/>
          <w:sz w:val="20"/>
          <w:szCs w:val="20"/>
          <w:lang w:val="en-US"/>
        </w:rPr>
        <w:t>Octreoscan</w:t>
      </w:r>
      <w:bookmarkStart w:id="61" w:name="__DdeLink__2732_1429002784"/>
      <w:proofErr w:type="spellEnd"/>
      <w:r w:rsidRPr="00E51A80">
        <w:rPr>
          <w:rFonts w:ascii="Book Antiqua" w:hAnsi="Book Antiqua" w:cs="Calibri"/>
          <w:sz w:val="20"/>
          <w:szCs w:val="20"/>
          <w:vertAlign w:val="superscript"/>
          <w:lang w:val="en-US"/>
        </w:rPr>
        <w:t>®</w:t>
      </w:r>
      <w:bookmarkEnd w:id="61"/>
      <w:r w:rsidRPr="00E51A80">
        <w:rPr>
          <w:rFonts w:ascii="Book Antiqua" w:hAnsi="Book Antiqua" w:cs="Calibri"/>
          <w:sz w:val="20"/>
          <w:szCs w:val="20"/>
          <w:lang w:val="en-US"/>
        </w:rPr>
        <w:t xml:space="preserve"> pre-PRRT</w:t>
      </w:r>
      <w:r w:rsidR="008F3B1B" w:rsidRPr="00E51A80">
        <w:rPr>
          <w:rFonts w:ascii="Book Antiqua" w:hAnsi="Book Antiqua" w:cs="Calibri"/>
          <w:sz w:val="20"/>
          <w:szCs w:val="20"/>
          <w:lang w:val="en-US"/>
        </w:rPr>
        <w:t>.</w:t>
      </w:r>
      <w:r w:rsidRPr="00E51A80">
        <w:rPr>
          <w:rFonts w:ascii="Book Antiqua" w:hAnsi="Book Antiqua" w:cs="Calibri"/>
          <w:sz w:val="20"/>
          <w:szCs w:val="20"/>
          <w:lang w:val="en-US"/>
        </w:rPr>
        <w:t xml:space="preserve"> </w:t>
      </w:r>
      <w:r w:rsidR="008F3B1B" w:rsidRPr="00E51A80">
        <w:rPr>
          <w:rFonts w:ascii="Book Antiqua" w:hAnsi="Book Antiqua" w:cs="Calibri"/>
          <w:sz w:val="20"/>
          <w:szCs w:val="20"/>
          <w:lang w:val="en-US"/>
        </w:rPr>
        <w:t>Twenty-six</w:t>
      </w:r>
      <w:r w:rsidRPr="00E51A80">
        <w:rPr>
          <w:rFonts w:ascii="Book Antiqua" w:hAnsi="Book Antiqua" w:cs="Calibri"/>
          <w:sz w:val="20"/>
          <w:szCs w:val="20"/>
          <w:lang w:val="en-US"/>
        </w:rPr>
        <w:t xml:space="preserve"> (72.2%) of the patients presented matching lesions in the two studies, 13.9% had lesions in the CT that did not express </w:t>
      </w:r>
      <w:proofErr w:type="spellStart"/>
      <w:r w:rsidR="008F3B1B" w:rsidRPr="00E51A80">
        <w:rPr>
          <w:rFonts w:ascii="Book Antiqua" w:hAnsi="Book Antiqua" w:cs="Calibri"/>
          <w:sz w:val="20"/>
          <w:szCs w:val="20"/>
          <w:lang w:val="en-US"/>
        </w:rPr>
        <w:t>s</w:t>
      </w:r>
      <w:r w:rsidRPr="00E51A80">
        <w:rPr>
          <w:rFonts w:ascii="Book Antiqua" w:hAnsi="Book Antiqua" w:cs="Calibri"/>
          <w:sz w:val="20"/>
          <w:szCs w:val="20"/>
          <w:lang w:val="en-US"/>
        </w:rPr>
        <w:t>omatostatin</w:t>
      </w:r>
      <w:proofErr w:type="spellEnd"/>
      <w:r w:rsidRPr="00E51A80">
        <w:rPr>
          <w:rFonts w:ascii="Book Antiqua" w:hAnsi="Book Antiqua" w:cs="Calibri"/>
          <w:sz w:val="20"/>
          <w:szCs w:val="20"/>
          <w:lang w:val="en-US"/>
        </w:rPr>
        <w:t xml:space="preserve"> receptors in </w:t>
      </w:r>
      <w:bookmarkStart w:id="62" w:name="__DdeLink__368548_1036967586"/>
      <w:proofErr w:type="spellStart"/>
      <w:r w:rsidRPr="00E51A80">
        <w:rPr>
          <w:rFonts w:ascii="Book Antiqua" w:hAnsi="Book Antiqua" w:cs="Calibri"/>
          <w:sz w:val="20"/>
          <w:szCs w:val="20"/>
          <w:lang w:val="en-US"/>
        </w:rPr>
        <w:t>Octreoscan</w:t>
      </w:r>
      <w:proofErr w:type="spellEnd"/>
      <w:r w:rsidRPr="00E51A80">
        <w:rPr>
          <w:rFonts w:ascii="Book Antiqua" w:hAnsi="Book Antiqua" w:cs="Calibri"/>
          <w:sz w:val="20"/>
          <w:szCs w:val="20"/>
          <w:vertAlign w:val="superscript"/>
          <w:lang w:val="en-US"/>
        </w:rPr>
        <w:t>®</w:t>
      </w:r>
      <w:bookmarkEnd w:id="62"/>
      <w:r w:rsidR="008F3B1B" w:rsidRPr="00E51A80">
        <w:rPr>
          <w:rFonts w:ascii="Book Antiqua" w:hAnsi="Book Antiqua" w:cs="Calibri"/>
          <w:sz w:val="20"/>
          <w:szCs w:val="20"/>
          <w:lang w:val="en-US"/>
        </w:rPr>
        <w:t>,</w:t>
      </w:r>
      <w:r w:rsidRPr="00E51A80">
        <w:rPr>
          <w:rFonts w:ascii="Book Antiqua" w:hAnsi="Book Antiqua" w:cs="Calibri"/>
          <w:sz w:val="20"/>
          <w:szCs w:val="20"/>
          <w:lang w:val="en-US"/>
        </w:rPr>
        <w:t xml:space="preserve"> and 13.9% presented metabolic lesions without </w:t>
      </w:r>
      <w:r w:rsidR="002B3764" w:rsidRPr="00E51A80">
        <w:rPr>
          <w:rFonts w:ascii="Book Antiqua" w:hAnsi="Book Antiqua" w:cs="Calibri"/>
          <w:sz w:val="20"/>
          <w:szCs w:val="20"/>
          <w:lang w:val="en-US"/>
        </w:rPr>
        <w:t>anatomical correlate in the CT.</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t xml:space="preserve">It was corroborated that 69.4% of the patients presented a greater number of lesions in the </w:t>
      </w:r>
      <w:proofErr w:type="spellStart"/>
      <w:r w:rsidRPr="00E51A80">
        <w:rPr>
          <w:rFonts w:ascii="Book Antiqua" w:hAnsi="Book Antiqua" w:cs="Calibri"/>
          <w:sz w:val="20"/>
          <w:szCs w:val="20"/>
          <w:lang w:val="en-US"/>
        </w:rPr>
        <w:t>scintigraphy</w:t>
      </w:r>
      <w:proofErr w:type="spellEnd"/>
      <w:r w:rsidRPr="00E51A80">
        <w:rPr>
          <w:rFonts w:ascii="Book Antiqua" w:hAnsi="Book Antiqua" w:cs="Calibri"/>
          <w:sz w:val="20"/>
          <w:szCs w:val="20"/>
          <w:lang w:val="en-US"/>
        </w:rPr>
        <w:t xml:space="preserve"> scan after the first dose of PRRT than in those described in the </w:t>
      </w:r>
      <w:proofErr w:type="spellStart"/>
      <w:r w:rsidRPr="00E51A80">
        <w:rPr>
          <w:rFonts w:ascii="Book Antiqua" w:hAnsi="Book Antiqua" w:cs="Calibri"/>
          <w:sz w:val="20"/>
          <w:szCs w:val="20"/>
          <w:lang w:val="en-US"/>
        </w:rPr>
        <w:t>Octreoscan</w:t>
      </w:r>
      <w:proofErr w:type="spellEnd"/>
      <w:r w:rsidRPr="00E51A80">
        <w:rPr>
          <w:rFonts w:ascii="Book Antiqua" w:hAnsi="Book Antiqua" w:cs="Calibri"/>
          <w:sz w:val="20"/>
          <w:szCs w:val="20"/>
          <w:vertAlign w:val="superscript"/>
          <w:lang w:val="en-US"/>
        </w:rPr>
        <w:t>®</w:t>
      </w:r>
      <w:r w:rsidRPr="00E51A80">
        <w:rPr>
          <w:rFonts w:ascii="Book Antiqua" w:hAnsi="Book Antiqua" w:cs="Calibri"/>
          <w:sz w:val="20"/>
          <w:szCs w:val="20"/>
          <w:lang w:val="en-US"/>
        </w:rPr>
        <w:t xml:space="preserve"> pre-treatment. </w:t>
      </w:r>
      <w:r w:rsidR="008F3B1B" w:rsidRPr="00E51A80">
        <w:rPr>
          <w:rFonts w:ascii="Book Antiqua" w:hAnsi="Book Antiqua" w:cs="Calibri"/>
          <w:sz w:val="20"/>
          <w:szCs w:val="20"/>
          <w:lang w:val="en-US"/>
        </w:rPr>
        <w:t>T</w:t>
      </w:r>
      <w:r w:rsidRPr="00E51A80">
        <w:rPr>
          <w:rFonts w:ascii="Book Antiqua" w:hAnsi="Book Antiqua" w:cs="Calibri"/>
          <w:sz w:val="20"/>
          <w:szCs w:val="20"/>
          <w:lang w:val="en-US"/>
        </w:rPr>
        <w:t>he most frequent</w:t>
      </w:r>
      <w:r w:rsidR="002B3764" w:rsidRPr="00E51A80">
        <w:rPr>
          <w:rFonts w:ascii="Book Antiqua" w:hAnsi="Book Antiqua" w:cs="Calibri"/>
          <w:sz w:val="20"/>
          <w:szCs w:val="20"/>
          <w:lang w:val="en-US"/>
        </w:rPr>
        <w:t xml:space="preserve"> localization was the liver (38.9%), bone (11.</w:t>
      </w:r>
      <w:r w:rsidRPr="00E51A80">
        <w:rPr>
          <w:rFonts w:ascii="Book Antiqua" w:hAnsi="Book Antiqua" w:cs="Calibri"/>
          <w:sz w:val="20"/>
          <w:szCs w:val="20"/>
          <w:lang w:val="en-US"/>
        </w:rPr>
        <w:t xml:space="preserve">1%), lymph (5.6%), lung (2.8%) and spleen (2.8%). </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t>At the end of the treatment, 23 patients completed the treatment</w:t>
      </w:r>
      <w:r w:rsidR="008F3B1B" w:rsidRPr="00E51A80">
        <w:rPr>
          <w:rFonts w:ascii="Book Antiqua" w:hAnsi="Book Antiqua" w:cs="Calibri"/>
          <w:sz w:val="20"/>
          <w:szCs w:val="20"/>
          <w:lang w:val="en-US"/>
        </w:rPr>
        <w:t>.</w:t>
      </w:r>
      <w:r w:rsidRPr="00E51A80">
        <w:rPr>
          <w:rFonts w:ascii="Book Antiqua" w:hAnsi="Book Antiqua" w:cs="Calibri"/>
          <w:sz w:val="20"/>
          <w:szCs w:val="20"/>
          <w:lang w:val="en-US"/>
        </w:rPr>
        <w:t xml:space="preserve"> </w:t>
      </w:r>
      <w:r w:rsidR="008F3B1B" w:rsidRPr="00E51A80">
        <w:rPr>
          <w:rFonts w:ascii="Book Antiqua" w:hAnsi="Book Antiqua" w:cs="Calibri"/>
          <w:sz w:val="20"/>
          <w:szCs w:val="20"/>
          <w:lang w:val="en-US"/>
        </w:rPr>
        <w:t xml:space="preserve">Of these patients, </w:t>
      </w:r>
      <w:r w:rsidRPr="00E51A80">
        <w:rPr>
          <w:rFonts w:ascii="Book Antiqua" w:hAnsi="Book Antiqua" w:cs="Calibri"/>
          <w:sz w:val="20"/>
          <w:szCs w:val="20"/>
          <w:lang w:val="en-US"/>
        </w:rPr>
        <w:t xml:space="preserve">11 (30.6%) presented a decrease in the number of lesions in the </w:t>
      </w:r>
      <w:r w:rsidR="008F3B1B" w:rsidRPr="00E51A80">
        <w:rPr>
          <w:rFonts w:ascii="Book Antiqua" w:hAnsi="Book Antiqua" w:cs="Calibri"/>
          <w:sz w:val="20"/>
          <w:szCs w:val="20"/>
          <w:lang w:val="en-US"/>
        </w:rPr>
        <w:t>fourth</w:t>
      </w:r>
      <w:r w:rsidRPr="00E51A80">
        <w:rPr>
          <w:rFonts w:ascii="Book Antiqua" w:hAnsi="Book Antiqua" w:cs="Calibri"/>
          <w:sz w:val="20"/>
          <w:szCs w:val="20"/>
          <w:lang w:val="en-US"/>
        </w:rPr>
        <w:t xml:space="preserve"> post-dose </w:t>
      </w:r>
      <w:proofErr w:type="spellStart"/>
      <w:r w:rsidRPr="00E51A80">
        <w:rPr>
          <w:rFonts w:ascii="Book Antiqua" w:hAnsi="Book Antiqua" w:cs="Calibri"/>
          <w:sz w:val="20"/>
          <w:szCs w:val="20"/>
          <w:lang w:val="en-US"/>
        </w:rPr>
        <w:t>scintigraphy</w:t>
      </w:r>
      <w:proofErr w:type="spellEnd"/>
      <w:r w:rsidRPr="00E51A80">
        <w:rPr>
          <w:rFonts w:ascii="Book Antiqua" w:hAnsi="Book Antiqua" w:cs="Calibri"/>
          <w:sz w:val="20"/>
          <w:szCs w:val="20"/>
          <w:lang w:val="en-US"/>
        </w:rPr>
        <w:t xml:space="preserve"> compared to the first scan</w:t>
      </w:r>
      <w:r w:rsidR="008F3B1B" w:rsidRPr="00E51A80">
        <w:rPr>
          <w:rFonts w:ascii="Book Antiqua" w:hAnsi="Book Antiqua" w:cs="Calibri"/>
          <w:sz w:val="20"/>
          <w:szCs w:val="20"/>
          <w:lang w:val="en-US"/>
        </w:rPr>
        <w:t>. The intensity of lesions decreased in</w:t>
      </w:r>
      <w:r w:rsidRPr="00E51A80">
        <w:rPr>
          <w:rFonts w:ascii="Book Antiqua" w:hAnsi="Book Antiqua" w:cs="Calibri"/>
          <w:sz w:val="20"/>
          <w:szCs w:val="20"/>
          <w:lang w:val="en-US"/>
        </w:rPr>
        <w:t xml:space="preserve"> 33.3% </w:t>
      </w:r>
      <w:r w:rsidR="008F3B1B" w:rsidRPr="00E51A80">
        <w:rPr>
          <w:rFonts w:ascii="Book Antiqua" w:hAnsi="Book Antiqua" w:cs="Calibri"/>
          <w:sz w:val="20"/>
          <w:szCs w:val="20"/>
          <w:lang w:val="en-US"/>
        </w:rPr>
        <w:t>of patients, which</w:t>
      </w:r>
      <w:r w:rsidRPr="00E51A80">
        <w:rPr>
          <w:rFonts w:ascii="Book Antiqua" w:hAnsi="Book Antiqua" w:cs="Calibri"/>
          <w:sz w:val="20"/>
          <w:szCs w:val="20"/>
          <w:lang w:val="en-US"/>
        </w:rPr>
        <w:t xml:space="preserve"> chang</w:t>
      </w:r>
      <w:r w:rsidR="008F3B1B" w:rsidRPr="00E51A80">
        <w:rPr>
          <w:rFonts w:ascii="Book Antiqua" w:hAnsi="Book Antiqua" w:cs="Calibri"/>
          <w:sz w:val="20"/>
          <w:szCs w:val="20"/>
          <w:lang w:val="en-US"/>
        </w:rPr>
        <w:t>ed</w:t>
      </w:r>
      <w:r w:rsidRPr="00E51A80">
        <w:rPr>
          <w:rFonts w:ascii="Book Antiqua" w:hAnsi="Book Antiqua" w:cs="Calibri"/>
          <w:sz w:val="20"/>
          <w:szCs w:val="20"/>
          <w:lang w:val="en-US"/>
        </w:rPr>
        <w:t xml:space="preserve"> th</w:t>
      </w:r>
      <w:r w:rsidR="002B3764" w:rsidRPr="00E51A80">
        <w:rPr>
          <w:rFonts w:ascii="Book Antiqua" w:hAnsi="Book Antiqua" w:cs="Calibri"/>
          <w:sz w:val="20"/>
          <w:szCs w:val="20"/>
          <w:lang w:val="en-US"/>
        </w:rPr>
        <w:t xml:space="preserve">e </w:t>
      </w:r>
      <w:proofErr w:type="spellStart"/>
      <w:r w:rsidR="002B3764" w:rsidRPr="00E51A80">
        <w:rPr>
          <w:rFonts w:ascii="Book Antiqua" w:hAnsi="Book Antiqua" w:cs="Calibri"/>
          <w:sz w:val="20"/>
          <w:szCs w:val="20"/>
          <w:lang w:val="en-US"/>
        </w:rPr>
        <w:t>Krenning</w:t>
      </w:r>
      <w:proofErr w:type="spellEnd"/>
      <w:r w:rsidR="002B3764" w:rsidRPr="00E51A80">
        <w:rPr>
          <w:rFonts w:ascii="Book Antiqua" w:hAnsi="Book Antiqua" w:cs="Calibri"/>
          <w:sz w:val="20"/>
          <w:szCs w:val="20"/>
          <w:lang w:val="en-US"/>
        </w:rPr>
        <w:t xml:space="preserve"> score from 4 to 3. </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t xml:space="preserve">In the CT evaluation after the administration of the </w:t>
      </w:r>
      <w:r w:rsidR="00FE08F0" w:rsidRPr="00E51A80">
        <w:rPr>
          <w:rFonts w:ascii="Book Antiqua" w:hAnsi="Book Antiqua" w:cs="Calibri"/>
          <w:sz w:val="20"/>
          <w:szCs w:val="20"/>
          <w:lang w:val="en-US"/>
        </w:rPr>
        <w:t>second</w:t>
      </w:r>
      <w:r w:rsidRPr="00E51A80">
        <w:rPr>
          <w:rFonts w:ascii="Book Antiqua" w:hAnsi="Book Antiqua" w:cs="Calibri"/>
          <w:sz w:val="20"/>
          <w:szCs w:val="20"/>
          <w:lang w:val="en-US"/>
        </w:rPr>
        <w:t xml:space="preserve"> dose, the radionuclide treatment was effective</w:t>
      </w:r>
      <w:r w:rsidR="00FE08F0" w:rsidRPr="00E51A80">
        <w:rPr>
          <w:rFonts w:ascii="Book Antiqua" w:hAnsi="Book Antiqua" w:cs="Calibri"/>
          <w:sz w:val="20"/>
          <w:szCs w:val="20"/>
          <w:lang w:val="en-US"/>
        </w:rPr>
        <w:t xml:space="preserve"> at</w:t>
      </w:r>
      <w:r w:rsidRPr="00E51A80">
        <w:rPr>
          <w:rFonts w:ascii="Book Antiqua" w:hAnsi="Book Antiqua" w:cs="Calibri"/>
          <w:sz w:val="20"/>
          <w:szCs w:val="20"/>
          <w:lang w:val="en-US"/>
        </w:rPr>
        <w:t xml:space="preserve"> achieving a radiological stability according to RECIST criteria in 20 patients (69%)</w:t>
      </w:r>
      <w:r w:rsidR="00FE08F0" w:rsidRPr="00E51A80">
        <w:rPr>
          <w:rFonts w:ascii="Book Antiqua" w:hAnsi="Book Antiqua" w:cs="Calibri"/>
          <w:sz w:val="20"/>
          <w:szCs w:val="20"/>
          <w:lang w:val="en-US"/>
        </w:rPr>
        <w:t>.</w:t>
      </w:r>
      <w:r w:rsidRPr="00E51A80">
        <w:rPr>
          <w:rFonts w:ascii="Book Antiqua" w:hAnsi="Book Antiqua" w:cs="Calibri"/>
          <w:sz w:val="20"/>
          <w:szCs w:val="20"/>
          <w:lang w:val="en-US"/>
        </w:rPr>
        <w:t xml:space="preserve"> </w:t>
      </w:r>
      <w:r w:rsidR="00FE08F0" w:rsidRPr="00E51A80">
        <w:rPr>
          <w:rFonts w:ascii="Book Antiqua" w:hAnsi="Book Antiqua" w:cs="Calibri"/>
          <w:sz w:val="20"/>
          <w:szCs w:val="20"/>
          <w:lang w:val="en-US"/>
        </w:rPr>
        <w:lastRenderedPageBreak/>
        <w:t>H</w:t>
      </w:r>
      <w:r w:rsidRPr="00E51A80">
        <w:rPr>
          <w:rFonts w:ascii="Book Antiqua" w:hAnsi="Book Antiqua" w:cs="Calibri"/>
          <w:sz w:val="20"/>
          <w:szCs w:val="20"/>
          <w:lang w:val="en-US"/>
        </w:rPr>
        <w:t xml:space="preserve">owever, there was an apparent radiological progression in </w:t>
      </w:r>
      <w:r w:rsidR="00FE08F0" w:rsidRPr="00E51A80">
        <w:rPr>
          <w:rFonts w:ascii="Book Antiqua" w:hAnsi="Book Antiqua" w:cs="Calibri"/>
          <w:sz w:val="20"/>
          <w:szCs w:val="20"/>
          <w:lang w:val="en-US"/>
        </w:rPr>
        <w:t>nine</w:t>
      </w:r>
      <w:r w:rsidRPr="00E51A80">
        <w:rPr>
          <w:rFonts w:ascii="Book Antiqua" w:hAnsi="Book Antiqua" w:cs="Calibri"/>
          <w:sz w:val="20"/>
          <w:szCs w:val="20"/>
          <w:lang w:val="en-US"/>
        </w:rPr>
        <w:t xml:space="preserve"> cases (25%). Despite this, due to a significant clinical improvement and control of hormonal related symptoms, it was decided in a multidisciplinary committee to complete the treatment</w:t>
      </w:r>
      <w:r w:rsidR="00FE08F0" w:rsidRPr="00E51A80">
        <w:rPr>
          <w:rFonts w:ascii="Book Antiqua" w:hAnsi="Book Antiqua" w:cs="Calibri"/>
          <w:sz w:val="20"/>
          <w:szCs w:val="20"/>
          <w:lang w:val="en-US"/>
        </w:rPr>
        <w:t>.</w:t>
      </w:r>
      <w:r w:rsidRPr="00E51A80">
        <w:rPr>
          <w:rFonts w:ascii="Book Antiqua" w:hAnsi="Book Antiqua" w:cs="Calibri"/>
          <w:sz w:val="20"/>
          <w:szCs w:val="20"/>
          <w:lang w:val="en-US"/>
        </w:rPr>
        <w:t xml:space="preserve"> </w:t>
      </w:r>
      <w:r w:rsidR="00FE08F0" w:rsidRPr="00E51A80">
        <w:rPr>
          <w:rFonts w:ascii="Book Antiqua" w:hAnsi="Book Antiqua" w:cs="Calibri"/>
          <w:sz w:val="20"/>
          <w:szCs w:val="20"/>
          <w:lang w:val="en-US"/>
        </w:rPr>
        <w:t>D</w:t>
      </w:r>
      <w:r w:rsidRPr="00E51A80">
        <w:rPr>
          <w:rFonts w:ascii="Book Antiqua" w:hAnsi="Book Antiqua" w:cs="Calibri"/>
          <w:sz w:val="20"/>
          <w:szCs w:val="20"/>
          <w:lang w:val="en-US"/>
        </w:rPr>
        <w:t>isease control</w:t>
      </w:r>
      <w:r w:rsidR="00FE08F0" w:rsidRPr="00E51A80">
        <w:rPr>
          <w:rFonts w:ascii="Book Antiqua" w:hAnsi="Book Antiqua" w:cs="Calibri"/>
          <w:sz w:val="20"/>
          <w:szCs w:val="20"/>
          <w:lang w:val="en-US"/>
        </w:rPr>
        <w:t xml:space="preserve"> was reached</w:t>
      </w:r>
      <w:r w:rsidRPr="00E51A80">
        <w:rPr>
          <w:rFonts w:ascii="Book Antiqua" w:hAnsi="Book Antiqua" w:cs="Calibri"/>
          <w:sz w:val="20"/>
          <w:szCs w:val="20"/>
          <w:lang w:val="en-US"/>
        </w:rPr>
        <w:t xml:space="preserve"> in the evaluation aft</w:t>
      </w:r>
      <w:r w:rsidR="00F63757" w:rsidRPr="00E51A80">
        <w:rPr>
          <w:rFonts w:ascii="Book Antiqua" w:hAnsi="Book Antiqua" w:cs="Calibri"/>
          <w:sz w:val="20"/>
          <w:szCs w:val="20"/>
          <w:lang w:val="en-US"/>
        </w:rPr>
        <w:t xml:space="preserve">er the last dose in all cases. </w:t>
      </w:r>
      <w:r w:rsidRPr="00E51A80">
        <w:rPr>
          <w:rFonts w:ascii="Book Antiqua" w:hAnsi="Book Antiqua" w:cs="Calibri"/>
          <w:sz w:val="20"/>
          <w:szCs w:val="20"/>
          <w:lang w:val="en-US"/>
        </w:rPr>
        <w:t xml:space="preserve">So far, </w:t>
      </w:r>
      <w:bookmarkStart w:id="63" w:name="_Hlk24313041"/>
      <w:r w:rsidR="00FE08F0" w:rsidRPr="00E51A80">
        <w:rPr>
          <w:rFonts w:ascii="Book Antiqua" w:hAnsi="Book Antiqua" w:cs="Calibri"/>
          <w:sz w:val="20"/>
          <w:szCs w:val="20"/>
          <w:lang w:val="en-US"/>
        </w:rPr>
        <w:t xml:space="preserve">nineteen </w:t>
      </w:r>
      <w:r w:rsidRPr="00E51A80">
        <w:rPr>
          <w:rFonts w:ascii="Book Antiqua" w:hAnsi="Book Antiqua" w:cs="Calibri"/>
          <w:sz w:val="20"/>
          <w:szCs w:val="20"/>
          <w:lang w:val="en-US"/>
        </w:rPr>
        <w:t xml:space="preserve">patients (52.8%) are alive with stable disease, </w:t>
      </w:r>
      <w:r w:rsidR="00FE08F0" w:rsidRPr="00E51A80">
        <w:rPr>
          <w:rFonts w:ascii="Book Antiqua" w:hAnsi="Book Antiqua" w:cs="Calibri"/>
          <w:sz w:val="20"/>
          <w:szCs w:val="20"/>
          <w:lang w:val="en-US"/>
        </w:rPr>
        <w:t>two</w:t>
      </w:r>
      <w:r w:rsidRPr="00E51A80">
        <w:rPr>
          <w:rFonts w:ascii="Book Antiqua" w:hAnsi="Book Antiqua" w:cs="Calibri"/>
          <w:sz w:val="20"/>
          <w:szCs w:val="20"/>
          <w:lang w:val="en-US"/>
        </w:rPr>
        <w:t xml:space="preserve"> (5.6%) have di</w:t>
      </w:r>
      <w:r w:rsidR="002B3764" w:rsidRPr="00E51A80">
        <w:rPr>
          <w:rFonts w:ascii="Book Antiqua" w:hAnsi="Book Antiqua" w:cs="Calibri"/>
          <w:sz w:val="20"/>
          <w:szCs w:val="20"/>
          <w:lang w:val="en-US"/>
        </w:rPr>
        <w:t xml:space="preserve">sease progression, </w:t>
      </w:r>
      <w:r w:rsidR="00FE08F0" w:rsidRPr="00E51A80">
        <w:rPr>
          <w:rFonts w:ascii="Book Antiqua" w:hAnsi="Book Antiqua" w:cs="Calibri"/>
          <w:sz w:val="20"/>
          <w:szCs w:val="20"/>
          <w:lang w:val="en-US"/>
        </w:rPr>
        <w:t>eight</w:t>
      </w:r>
      <w:r w:rsidR="002B3764" w:rsidRPr="00E51A80">
        <w:rPr>
          <w:rFonts w:ascii="Book Antiqua" w:hAnsi="Book Antiqua" w:cs="Calibri"/>
          <w:sz w:val="20"/>
          <w:szCs w:val="20"/>
          <w:lang w:val="en-US"/>
        </w:rPr>
        <w:t xml:space="preserve"> (22.</w:t>
      </w:r>
      <w:r w:rsidRPr="00E51A80">
        <w:rPr>
          <w:rFonts w:ascii="Book Antiqua" w:hAnsi="Book Antiqua" w:cs="Calibri"/>
          <w:sz w:val="20"/>
          <w:szCs w:val="20"/>
          <w:lang w:val="en-US"/>
        </w:rPr>
        <w:t xml:space="preserve">2%) </w:t>
      </w:r>
      <w:r w:rsidR="00FE08F0" w:rsidRPr="00E51A80">
        <w:rPr>
          <w:rFonts w:ascii="Book Antiqua" w:hAnsi="Book Antiqua" w:cs="Calibri"/>
          <w:sz w:val="20"/>
          <w:szCs w:val="20"/>
          <w:lang w:val="en-US"/>
        </w:rPr>
        <w:t>have died</w:t>
      </w:r>
      <w:r w:rsidRPr="00E51A80">
        <w:rPr>
          <w:rFonts w:ascii="Book Antiqua" w:hAnsi="Book Antiqua" w:cs="Calibri"/>
          <w:sz w:val="20"/>
          <w:szCs w:val="20"/>
          <w:lang w:val="en-US"/>
        </w:rPr>
        <w:t xml:space="preserve"> </w:t>
      </w:r>
      <w:bookmarkEnd w:id="63"/>
      <w:r w:rsidRPr="00E51A80">
        <w:rPr>
          <w:rFonts w:ascii="Book Antiqua" w:hAnsi="Book Antiqua" w:cs="Calibri"/>
          <w:sz w:val="20"/>
          <w:szCs w:val="20"/>
          <w:lang w:val="en-US"/>
        </w:rPr>
        <w:t xml:space="preserve">and </w:t>
      </w:r>
      <w:r w:rsidR="00FE08F0" w:rsidRPr="00E51A80">
        <w:rPr>
          <w:rFonts w:ascii="Book Antiqua" w:hAnsi="Book Antiqua" w:cs="Calibri"/>
          <w:sz w:val="20"/>
          <w:szCs w:val="20"/>
          <w:lang w:val="en-US"/>
        </w:rPr>
        <w:t>seven</w:t>
      </w:r>
      <w:r w:rsidRPr="00E51A80">
        <w:rPr>
          <w:rFonts w:ascii="Book Antiqua" w:hAnsi="Book Antiqua" w:cs="Calibri"/>
          <w:sz w:val="20"/>
          <w:szCs w:val="20"/>
          <w:lang w:val="en-US"/>
        </w:rPr>
        <w:t xml:space="preserve"> (25</w:t>
      </w:r>
      <w:r w:rsidR="00FE08F0" w:rsidRPr="00E51A80">
        <w:rPr>
          <w:rFonts w:ascii="Book Antiqua" w:hAnsi="Book Antiqua" w:cs="Calibri"/>
          <w:sz w:val="20"/>
          <w:szCs w:val="20"/>
          <w:lang w:val="en-US"/>
        </w:rPr>
        <w:t>.0</w:t>
      </w:r>
      <w:r w:rsidRPr="00E51A80">
        <w:rPr>
          <w:rFonts w:ascii="Book Antiqua" w:hAnsi="Book Antiqua" w:cs="Calibri"/>
          <w:sz w:val="20"/>
          <w:szCs w:val="20"/>
          <w:lang w:val="en-US"/>
        </w:rPr>
        <w:t xml:space="preserve">%) are still receiving treatment. </w:t>
      </w:r>
    </w:p>
    <w:p w:rsidR="00977194" w:rsidRPr="00E51A80" w:rsidRDefault="00977194" w:rsidP="007E3E0D">
      <w:pPr>
        <w:adjustRightInd w:val="0"/>
        <w:snapToGrid w:val="0"/>
        <w:spacing w:after="0" w:line="360" w:lineRule="auto"/>
        <w:jc w:val="both"/>
        <w:rPr>
          <w:rFonts w:ascii="Book Antiqua" w:hAnsi="Book Antiqua" w:cs="Calibri"/>
          <w:b/>
          <w:bCs/>
          <w:i/>
          <w:iCs/>
          <w:sz w:val="20"/>
          <w:szCs w:val="20"/>
          <w:lang w:val="en-US"/>
        </w:rPr>
      </w:pP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b/>
          <w:bCs/>
          <w:i/>
          <w:iCs/>
          <w:sz w:val="20"/>
          <w:szCs w:val="20"/>
          <w:lang w:val="en-US"/>
        </w:rPr>
        <w:t>Quality of life</w:t>
      </w:r>
    </w:p>
    <w:p w:rsidR="002B7963" w:rsidRPr="00E51A80" w:rsidRDefault="002B7963" w:rsidP="00FE7289">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sz w:val="20"/>
          <w:szCs w:val="20"/>
          <w:lang w:val="en-US"/>
        </w:rPr>
        <w:t xml:space="preserve">After the administration of the first and second doses, </w:t>
      </w:r>
      <w:r w:rsidR="00FE08F0" w:rsidRPr="00E51A80">
        <w:rPr>
          <w:rFonts w:ascii="Book Antiqua" w:hAnsi="Book Antiqua" w:cs="Calibri"/>
          <w:sz w:val="20"/>
          <w:szCs w:val="20"/>
          <w:lang w:val="en-US"/>
        </w:rPr>
        <w:t>75%</w:t>
      </w:r>
      <w:r w:rsidRPr="00E51A80">
        <w:rPr>
          <w:rFonts w:ascii="Book Antiqua" w:hAnsi="Book Antiqua" w:cs="Calibri"/>
          <w:sz w:val="20"/>
          <w:szCs w:val="20"/>
          <w:lang w:val="en-US"/>
        </w:rPr>
        <w:t xml:space="preserve"> of the patients pr</w:t>
      </w:r>
      <w:r w:rsidR="00977194" w:rsidRPr="00E51A80">
        <w:rPr>
          <w:rFonts w:ascii="Book Antiqua" w:hAnsi="Book Antiqua" w:cs="Calibri"/>
          <w:sz w:val="20"/>
          <w:szCs w:val="20"/>
          <w:lang w:val="en-US"/>
        </w:rPr>
        <w:t xml:space="preserve">esented an overall improvement </w:t>
      </w:r>
      <w:r w:rsidRPr="00E51A80">
        <w:rPr>
          <w:rFonts w:ascii="Book Antiqua" w:hAnsi="Book Antiqua" w:cs="Calibri"/>
          <w:sz w:val="20"/>
          <w:szCs w:val="20"/>
          <w:lang w:val="en-US"/>
        </w:rPr>
        <w:t xml:space="preserve">that remained </w:t>
      </w:r>
      <w:r w:rsidR="00977194" w:rsidRPr="00E51A80">
        <w:rPr>
          <w:rFonts w:ascii="Book Antiqua" w:hAnsi="Book Antiqua" w:cs="Calibri"/>
          <w:sz w:val="20"/>
          <w:szCs w:val="20"/>
          <w:lang w:val="en-US"/>
        </w:rPr>
        <w:t>until the end of the treatment.</w:t>
      </w:r>
      <w:r w:rsidR="009C28FB" w:rsidRPr="00E51A80">
        <w:rPr>
          <w:rFonts w:ascii="Book Antiqua" w:hAnsi="Book Antiqua" w:cs="Calibri"/>
          <w:sz w:val="20"/>
          <w:szCs w:val="20"/>
          <w:lang w:val="en-US"/>
        </w:rPr>
        <w:t xml:space="preserve"> </w:t>
      </w:r>
      <w:r w:rsidRPr="00E51A80">
        <w:rPr>
          <w:rFonts w:ascii="Book Antiqua" w:hAnsi="Book Antiqua" w:cs="Calibri"/>
          <w:sz w:val="20"/>
          <w:szCs w:val="20"/>
          <w:lang w:val="en-US"/>
        </w:rPr>
        <w:t>Regarding the eval</w:t>
      </w:r>
      <w:r w:rsidR="00977194" w:rsidRPr="00E51A80">
        <w:rPr>
          <w:rFonts w:ascii="Book Antiqua" w:hAnsi="Book Antiqua" w:cs="Calibri"/>
          <w:sz w:val="20"/>
          <w:szCs w:val="20"/>
          <w:lang w:val="en-US"/>
        </w:rPr>
        <w:t>uation of pain, 15 patients (41.</w:t>
      </w:r>
      <w:r w:rsidRPr="00E51A80">
        <w:rPr>
          <w:rFonts w:ascii="Book Antiqua" w:hAnsi="Book Antiqua" w:cs="Calibri"/>
          <w:sz w:val="20"/>
          <w:szCs w:val="20"/>
          <w:lang w:val="en-US"/>
        </w:rPr>
        <w:t>7%) reported a clear recovery after the first dose</w:t>
      </w:r>
      <w:r w:rsidR="009C28FB" w:rsidRPr="00E51A80">
        <w:rPr>
          <w:rFonts w:ascii="Book Antiqua" w:hAnsi="Book Antiqua" w:cs="Calibri"/>
          <w:sz w:val="20"/>
          <w:szCs w:val="20"/>
          <w:lang w:val="en-US"/>
        </w:rPr>
        <w:t>.</w:t>
      </w:r>
      <w:r w:rsidRPr="00E51A80">
        <w:rPr>
          <w:rFonts w:ascii="Book Antiqua" w:hAnsi="Book Antiqua" w:cs="Calibri"/>
          <w:sz w:val="20"/>
          <w:szCs w:val="20"/>
          <w:lang w:val="en-US"/>
        </w:rPr>
        <w:t xml:space="preserve"> </w:t>
      </w:r>
      <w:r w:rsidR="009C28FB" w:rsidRPr="00E51A80">
        <w:rPr>
          <w:rFonts w:ascii="Book Antiqua" w:hAnsi="Book Antiqua" w:cs="Calibri"/>
          <w:sz w:val="20"/>
          <w:szCs w:val="20"/>
          <w:lang w:val="en-US"/>
        </w:rPr>
        <w:t>O</w:t>
      </w:r>
      <w:r w:rsidRPr="00E51A80">
        <w:rPr>
          <w:rFonts w:ascii="Book Antiqua" w:hAnsi="Book Antiqua" w:cs="Calibri"/>
          <w:sz w:val="20"/>
          <w:szCs w:val="20"/>
          <w:lang w:val="en-US"/>
        </w:rPr>
        <w:t xml:space="preserve">f </w:t>
      </w:r>
      <w:r w:rsidR="009C28FB" w:rsidRPr="00E51A80">
        <w:rPr>
          <w:rFonts w:ascii="Book Antiqua" w:hAnsi="Book Antiqua" w:cs="Calibri"/>
          <w:sz w:val="20"/>
          <w:szCs w:val="20"/>
          <w:lang w:val="en-US"/>
        </w:rPr>
        <w:t>these patients</w:t>
      </w:r>
      <w:r w:rsidRPr="00E51A80">
        <w:rPr>
          <w:rFonts w:ascii="Book Antiqua" w:hAnsi="Book Antiqua" w:cs="Calibri"/>
          <w:sz w:val="20"/>
          <w:szCs w:val="20"/>
          <w:lang w:val="en-US"/>
        </w:rPr>
        <w:t xml:space="preserve">, </w:t>
      </w:r>
      <w:r w:rsidR="009C28FB" w:rsidRPr="00E51A80">
        <w:rPr>
          <w:rFonts w:ascii="Book Antiqua" w:hAnsi="Book Antiqua" w:cs="Calibri"/>
          <w:sz w:val="20"/>
          <w:szCs w:val="20"/>
          <w:lang w:val="en-US"/>
        </w:rPr>
        <w:t>ten</w:t>
      </w:r>
      <w:r w:rsidRPr="00E51A80">
        <w:rPr>
          <w:rFonts w:ascii="Book Antiqua" w:hAnsi="Book Antiqua" w:cs="Calibri"/>
          <w:sz w:val="20"/>
          <w:szCs w:val="20"/>
          <w:lang w:val="en-US"/>
        </w:rPr>
        <w:t xml:space="preserve"> (27%) were asymptomatic after the last dose. Of </w:t>
      </w:r>
      <w:r w:rsidR="009C28FB" w:rsidRPr="00E51A80">
        <w:rPr>
          <w:rFonts w:ascii="Book Antiqua" w:hAnsi="Book Antiqua" w:cs="Calibri"/>
          <w:sz w:val="20"/>
          <w:szCs w:val="20"/>
          <w:lang w:val="en-US"/>
        </w:rPr>
        <w:t xml:space="preserve">the </w:t>
      </w:r>
      <w:r w:rsidRPr="00E51A80">
        <w:rPr>
          <w:rFonts w:ascii="Book Antiqua" w:hAnsi="Book Antiqua" w:cs="Calibri"/>
          <w:sz w:val="20"/>
          <w:szCs w:val="20"/>
          <w:lang w:val="en-US"/>
        </w:rPr>
        <w:t>15 patients with hormonal secretion symptoms, 66.6% reported an amelioration of symptoms after the first dose, reaching control at the end of treatment in 26.6% of the patients.</w:t>
      </w:r>
    </w:p>
    <w:p w:rsidR="00977194" w:rsidRPr="00E51A80" w:rsidRDefault="00977194" w:rsidP="007E3E0D">
      <w:pPr>
        <w:adjustRightInd w:val="0"/>
        <w:snapToGrid w:val="0"/>
        <w:spacing w:after="0" w:line="360" w:lineRule="auto"/>
        <w:jc w:val="both"/>
        <w:rPr>
          <w:rFonts w:ascii="Book Antiqua" w:hAnsi="Book Antiqua" w:cs="Calibri"/>
          <w:b/>
          <w:bCs/>
          <w:i/>
          <w:iCs/>
          <w:sz w:val="20"/>
          <w:szCs w:val="20"/>
          <w:lang w:val="en-US"/>
        </w:rPr>
      </w:pPr>
      <w:bookmarkStart w:id="64" w:name="_Hlk12208124"/>
      <w:bookmarkEnd w:id="64"/>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b/>
          <w:bCs/>
          <w:i/>
          <w:iCs/>
          <w:sz w:val="20"/>
          <w:szCs w:val="20"/>
          <w:lang w:val="en-US"/>
        </w:rPr>
        <w:t>Overall survival and prognostic factors</w:t>
      </w: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sz w:val="20"/>
          <w:szCs w:val="20"/>
          <w:lang w:val="en-US"/>
        </w:rPr>
        <w:t xml:space="preserve">The median overall survival (OS) was 12.5 </w:t>
      </w:r>
      <w:proofErr w:type="spellStart"/>
      <w:r w:rsidRPr="00E51A80">
        <w:rPr>
          <w:rFonts w:ascii="Book Antiqua" w:hAnsi="Book Antiqua" w:cs="Calibri"/>
          <w:sz w:val="20"/>
          <w:szCs w:val="20"/>
          <w:lang w:val="en-US"/>
        </w:rPr>
        <w:t>mo</w:t>
      </w:r>
      <w:proofErr w:type="spellEnd"/>
      <w:r w:rsidRPr="00E51A80">
        <w:rPr>
          <w:rFonts w:ascii="Book Antiqua" w:hAnsi="Book Antiqua" w:cs="Calibri"/>
          <w:sz w:val="20"/>
          <w:szCs w:val="20"/>
          <w:lang w:val="en-US"/>
        </w:rPr>
        <w:t xml:space="preserve"> (</w:t>
      </w:r>
      <w:r w:rsidR="00D2120A" w:rsidRPr="00E51A80">
        <w:rPr>
          <w:rFonts w:ascii="Book Antiqua" w:hAnsi="Book Antiqua" w:cs="Calibri"/>
          <w:sz w:val="20"/>
          <w:szCs w:val="20"/>
          <w:lang w:val="en-US"/>
        </w:rPr>
        <w:t>95%CI</w:t>
      </w:r>
      <w:r w:rsidRPr="00E51A80">
        <w:rPr>
          <w:rFonts w:ascii="Book Antiqua" w:hAnsi="Book Antiqua" w:cs="Calibri"/>
          <w:sz w:val="20"/>
          <w:szCs w:val="20"/>
          <w:lang w:val="en-US"/>
        </w:rPr>
        <w:t>: 9.8–15.2) (</w:t>
      </w:r>
      <w:r w:rsidR="00977194" w:rsidRPr="00E51A80">
        <w:rPr>
          <w:rFonts w:ascii="Book Antiqua" w:hAnsi="Book Antiqua" w:cs="Calibri"/>
          <w:sz w:val="20"/>
          <w:szCs w:val="20"/>
          <w:lang w:val="en-US"/>
        </w:rPr>
        <w:t xml:space="preserve">Figure </w:t>
      </w:r>
      <w:r w:rsidRPr="00E51A80">
        <w:rPr>
          <w:rFonts w:ascii="Book Antiqua" w:hAnsi="Book Antiqua" w:cs="Calibri"/>
          <w:sz w:val="20"/>
          <w:szCs w:val="20"/>
          <w:lang w:val="en-US"/>
        </w:rPr>
        <w:t xml:space="preserve">1). Eight patients (22.2%) died during follow-up. </w:t>
      </w:r>
      <w:bookmarkStart w:id="65" w:name="_Hlk24313934"/>
      <w:r w:rsidRPr="00E51A80">
        <w:rPr>
          <w:rFonts w:ascii="Book Antiqua" w:hAnsi="Book Antiqua" w:cs="Calibri"/>
          <w:sz w:val="20"/>
          <w:szCs w:val="20"/>
          <w:lang w:val="en-US"/>
        </w:rPr>
        <w:t>OS was inversely proportional to preceding toxicity in previous treatments (</w:t>
      </w:r>
      <w:r w:rsidRPr="00E51A80">
        <w:rPr>
          <w:rFonts w:ascii="Book Antiqua" w:hAnsi="Book Antiqua" w:cs="Calibri"/>
          <w:i/>
          <w:sz w:val="20"/>
          <w:szCs w:val="20"/>
          <w:lang w:val="en-US"/>
        </w:rPr>
        <w:t>P</w:t>
      </w:r>
      <w:r w:rsidRPr="00E51A80">
        <w:rPr>
          <w:rFonts w:ascii="Book Antiqua" w:hAnsi="Book Antiqua" w:cs="Calibri"/>
          <w:sz w:val="20"/>
          <w:szCs w:val="20"/>
          <w:lang w:val="en-US"/>
        </w:rPr>
        <w:t xml:space="preserve"> &lt;</w:t>
      </w:r>
      <w:r w:rsidR="00977194" w:rsidRPr="00E51A80">
        <w:rPr>
          <w:rFonts w:ascii="Book Antiqua" w:hAnsi="Book Antiqua" w:cs="Calibri"/>
          <w:sz w:val="20"/>
          <w:szCs w:val="20"/>
          <w:lang w:val="en-US"/>
        </w:rPr>
        <w:t xml:space="preserve"> </w:t>
      </w:r>
      <w:r w:rsidRPr="00E51A80">
        <w:rPr>
          <w:rFonts w:ascii="Book Antiqua" w:hAnsi="Book Antiqua" w:cs="Calibri"/>
          <w:sz w:val="20"/>
          <w:szCs w:val="20"/>
          <w:lang w:val="en-US"/>
        </w:rPr>
        <w:t>0.02) wi</w:t>
      </w:r>
      <w:r w:rsidR="00977194" w:rsidRPr="00E51A80">
        <w:rPr>
          <w:rFonts w:ascii="Book Antiqua" w:hAnsi="Book Antiqua" w:cs="Calibri"/>
          <w:sz w:val="20"/>
          <w:szCs w:val="20"/>
          <w:lang w:val="en-US"/>
        </w:rPr>
        <w:t>th a hazard ratio (HR) of 0.09 (</w:t>
      </w:r>
      <w:r w:rsidR="00D2120A" w:rsidRPr="00E51A80">
        <w:rPr>
          <w:rFonts w:ascii="Book Antiqua" w:hAnsi="Book Antiqua" w:cs="Calibri"/>
          <w:sz w:val="20"/>
          <w:szCs w:val="20"/>
          <w:lang w:val="en-US"/>
        </w:rPr>
        <w:t>95%CI</w:t>
      </w:r>
      <w:r w:rsidR="00977194" w:rsidRPr="00E51A80">
        <w:rPr>
          <w:rFonts w:ascii="Book Antiqua" w:hAnsi="Book Antiqua" w:cs="Calibri"/>
          <w:sz w:val="20"/>
          <w:szCs w:val="20"/>
          <w:lang w:val="en-US"/>
        </w:rPr>
        <w:t>:</w:t>
      </w:r>
      <w:r w:rsidRPr="00E51A80">
        <w:rPr>
          <w:rFonts w:ascii="Book Antiqua" w:hAnsi="Book Antiqua" w:cs="Calibri"/>
          <w:sz w:val="20"/>
          <w:szCs w:val="20"/>
          <w:lang w:val="en-US"/>
        </w:rPr>
        <w:t xml:space="preserve"> 0.01–0.7; </w:t>
      </w:r>
      <w:r w:rsidRPr="00E51A80">
        <w:rPr>
          <w:rFonts w:ascii="Book Antiqua" w:hAnsi="Book Antiqua" w:cs="Calibri"/>
          <w:i/>
          <w:sz w:val="20"/>
          <w:szCs w:val="20"/>
          <w:lang w:val="en-US"/>
        </w:rPr>
        <w:t>P</w:t>
      </w:r>
      <w:r w:rsidR="001E2BA5" w:rsidRPr="00E51A80">
        <w:rPr>
          <w:rFonts w:ascii="Book Antiqua" w:hAnsi="Book Antiqua" w:cs="Calibri"/>
          <w:sz w:val="20"/>
          <w:szCs w:val="20"/>
          <w:lang w:val="en-US"/>
        </w:rPr>
        <w:t xml:space="preserve"> = </w:t>
      </w:r>
      <w:r w:rsidRPr="00E51A80">
        <w:rPr>
          <w:rFonts w:ascii="Book Antiqua" w:hAnsi="Book Antiqua" w:cs="Calibri"/>
          <w:sz w:val="20"/>
          <w:szCs w:val="20"/>
          <w:lang w:val="en-US"/>
        </w:rPr>
        <w:t xml:space="preserve">0.02) and is directly proportional with matching lesion findings between </w:t>
      </w:r>
      <w:proofErr w:type="spellStart"/>
      <w:r w:rsidR="003A7D70" w:rsidRPr="00E51A80">
        <w:rPr>
          <w:rFonts w:ascii="Book Antiqua" w:hAnsi="Book Antiqua" w:cs="Calibri"/>
          <w:sz w:val="20"/>
          <w:szCs w:val="20"/>
          <w:lang w:val="en-US"/>
        </w:rPr>
        <w:t>Octreoscan</w:t>
      </w:r>
      <w:proofErr w:type="spellEnd"/>
      <w:r w:rsidRPr="00E51A80">
        <w:rPr>
          <w:rFonts w:ascii="Book Antiqua" w:hAnsi="Book Antiqua" w:cs="Calibri"/>
          <w:sz w:val="20"/>
          <w:szCs w:val="20"/>
          <w:lang w:val="en-US"/>
        </w:rPr>
        <w:t xml:space="preserve"> and CT pre-PRRT (</w:t>
      </w:r>
      <w:r w:rsidRPr="00E51A80">
        <w:rPr>
          <w:rFonts w:ascii="Book Antiqua" w:hAnsi="Book Antiqua" w:cs="Calibri"/>
          <w:i/>
          <w:sz w:val="20"/>
          <w:szCs w:val="20"/>
          <w:lang w:val="en-US"/>
        </w:rPr>
        <w:t>P</w:t>
      </w:r>
      <w:r w:rsidR="00977194" w:rsidRPr="00E51A80">
        <w:rPr>
          <w:rFonts w:ascii="Book Antiqua" w:hAnsi="Book Antiqua" w:cs="Calibri"/>
          <w:sz w:val="20"/>
          <w:szCs w:val="20"/>
          <w:lang w:val="en-US"/>
        </w:rPr>
        <w:t xml:space="preserve"> </w:t>
      </w:r>
      <w:r w:rsidRPr="00E51A80">
        <w:rPr>
          <w:rFonts w:ascii="Book Antiqua" w:hAnsi="Book Antiqua" w:cs="Calibri"/>
          <w:sz w:val="20"/>
          <w:szCs w:val="20"/>
          <w:lang w:val="en-US"/>
        </w:rPr>
        <w:t>&lt;</w:t>
      </w:r>
      <w:r w:rsidR="00977194" w:rsidRPr="00E51A80">
        <w:rPr>
          <w:rFonts w:ascii="Book Antiqua" w:hAnsi="Book Antiqua" w:cs="Calibri"/>
          <w:sz w:val="20"/>
          <w:szCs w:val="20"/>
          <w:lang w:val="en-US"/>
        </w:rPr>
        <w:t xml:space="preserve"> </w:t>
      </w:r>
      <w:r w:rsidRPr="00E51A80">
        <w:rPr>
          <w:rFonts w:ascii="Book Antiqua" w:hAnsi="Book Antiqua" w:cs="Calibri"/>
          <w:sz w:val="20"/>
          <w:szCs w:val="20"/>
          <w:lang w:val="en-US"/>
        </w:rPr>
        <w:t>0.01, HR</w:t>
      </w:r>
      <w:r w:rsidR="00977194" w:rsidRPr="00E51A80">
        <w:rPr>
          <w:rFonts w:ascii="Book Antiqua" w:hAnsi="Book Antiqua" w:cs="Calibri"/>
          <w:sz w:val="20"/>
          <w:szCs w:val="20"/>
          <w:lang w:val="en-US"/>
        </w:rPr>
        <w:t>: 0.36</w:t>
      </w:r>
      <w:r w:rsidR="009C28FB" w:rsidRPr="00E51A80">
        <w:rPr>
          <w:rFonts w:ascii="Book Antiqua" w:hAnsi="Book Antiqua" w:cs="Calibri"/>
          <w:sz w:val="20"/>
          <w:szCs w:val="20"/>
          <w:lang w:val="en-US"/>
        </w:rPr>
        <w:t>,</w:t>
      </w:r>
      <w:r w:rsidR="00977194" w:rsidRPr="00E51A80">
        <w:rPr>
          <w:rFonts w:ascii="Book Antiqua" w:hAnsi="Book Antiqua" w:cs="Calibri"/>
          <w:sz w:val="20"/>
          <w:szCs w:val="20"/>
          <w:lang w:val="en-US"/>
        </w:rPr>
        <w:t xml:space="preserve"> </w:t>
      </w:r>
      <w:r w:rsidR="00D2120A" w:rsidRPr="00E51A80">
        <w:rPr>
          <w:rFonts w:ascii="Book Antiqua" w:hAnsi="Book Antiqua" w:cs="Calibri"/>
          <w:sz w:val="20"/>
          <w:szCs w:val="20"/>
          <w:lang w:val="en-US"/>
        </w:rPr>
        <w:t>95%CI</w:t>
      </w:r>
      <w:r w:rsidR="00977194" w:rsidRPr="00E51A80">
        <w:rPr>
          <w:rFonts w:ascii="Book Antiqua" w:hAnsi="Book Antiqua" w:cs="Calibri"/>
          <w:sz w:val="20"/>
          <w:szCs w:val="20"/>
          <w:lang w:val="en-US"/>
        </w:rPr>
        <w:t>:</w:t>
      </w:r>
      <w:r w:rsidRPr="00E51A80">
        <w:rPr>
          <w:rFonts w:ascii="Book Antiqua" w:hAnsi="Book Antiqua" w:cs="Calibri"/>
          <w:sz w:val="20"/>
          <w:szCs w:val="20"/>
          <w:lang w:val="en-US"/>
        </w:rPr>
        <w:t xml:space="preserve"> 0.07–1.79; </w:t>
      </w:r>
      <w:r w:rsidRPr="00E51A80">
        <w:rPr>
          <w:rFonts w:ascii="Book Antiqua" w:hAnsi="Book Antiqua" w:cs="Calibri"/>
          <w:i/>
          <w:sz w:val="20"/>
          <w:szCs w:val="20"/>
          <w:lang w:val="en-US"/>
        </w:rPr>
        <w:t>P</w:t>
      </w:r>
      <w:r w:rsidR="001E2BA5" w:rsidRPr="00E51A80">
        <w:rPr>
          <w:rFonts w:ascii="Book Antiqua" w:hAnsi="Book Antiqua" w:cs="Calibri"/>
          <w:sz w:val="20"/>
          <w:szCs w:val="20"/>
          <w:lang w:val="en-US"/>
        </w:rPr>
        <w:t xml:space="preserve"> = </w:t>
      </w:r>
      <w:r w:rsidRPr="00E51A80">
        <w:rPr>
          <w:rFonts w:ascii="Book Antiqua" w:hAnsi="Book Antiqua" w:cs="Calibri"/>
          <w:sz w:val="20"/>
          <w:szCs w:val="20"/>
          <w:lang w:val="en-US"/>
        </w:rPr>
        <w:t>0.21); tumor grade (</w:t>
      </w:r>
      <w:r w:rsidRPr="00E51A80">
        <w:rPr>
          <w:rFonts w:ascii="Book Antiqua" w:hAnsi="Book Antiqua" w:cs="Calibri"/>
          <w:i/>
          <w:sz w:val="20"/>
          <w:szCs w:val="20"/>
          <w:lang w:val="en-US"/>
        </w:rPr>
        <w:t>P</w:t>
      </w:r>
      <w:r w:rsidR="00977194" w:rsidRPr="00E51A80">
        <w:rPr>
          <w:rFonts w:ascii="Book Antiqua" w:hAnsi="Book Antiqua" w:cs="Calibri"/>
          <w:sz w:val="20"/>
          <w:szCs w:val="20"/>
          <w:lang w:val="en-US"/>
        </w:rPr>
        <w:t xml:space="preserve"> </w:t>
      </w:r>
      <w:r w:rsidRPr="00E51A80">
        <w:rPr>
          <w:rFonts w:ascii="Book Antiqua" w:hAnsi="Book Antiqua" w:cs="Calibri"/>
          <w:sz w:val="20"/>
          <w:szCs w:val="20"/>
          <w:lang w:val="en-US"/>
        </w:rPr>
        <w:t>&lt;</w:t>
      </w:r>
      <w:r w:rsidR="00977194" w:rsidRPr="00E51A80">
        <w:rPr>
          <w:rFonts w:ascii="Book Antiqua" w:hAnsi="Book Antiqua" w:cs="Calibri"/>
          <w:sz w:val="20"/>
          <w:szCs w:val="20"/>
          <w:lang w:val="en-US"/>
        </w:rPr>
        <w:t xml:space="preserve"> </w:t>
      </w:r>
      <w:r w:rsidRPr="00E51A80">
        <w:rPr>
          <w:rFonts w:ascii="Book Antiqua" w:hAnsi="Book Antiqua" w:cs="Calibri"/>
          <w:sz w:val="20"/>
          <w:szCs w:val="20"/>
          <w:lang w:val="en-US"/>
        </w:rPr>
        <w:t>0.01, HR</w:t>
      </w:r>
      <w:r w:rsidR="00977194" w:rsidRPr="00E51A80">
        <w:rPr>
          <w:rFonts w:ascii="Book Antiqua" w:hAnsi="Book Antiqua" w:cs="Calibri"/>
          <w:sz w:val="20"/>
          <w:szCs w:val="20"/>
          <w:lang w:val="en-US"/>
        </w:rPr>
        <w:t>: 0.09</w:t>
      </w:r>
      <w:r w:rsidR="009C28FB" w:rsidRPr="00E51A80">
        <w:rPr>
          <w:rFonts w:ascii="Book Antiqua" w:hAnsi="Book Antiqua" w:cs="Calibri"/>
          <w:sz w:val="20"/>
          <w:szCs w:val="20"/>
          <w:lang w:val="en-US"/>
        </w:rPr>
        <w:t>,</w:t>
      </w:r>
      <w:r w:rsidR="00977194" w:rsidRPr="00E51A80">
        <w:rPr>
          <w:rFonts w:ascii="Book Antiqua" w:hAnsi="Book Antiqua" w:cs="Calibri"/>
          <w:sz w:val="20"/>
          <w:szCs w:val="20"/>
          <w:lang w:val="en-US"/>
        </w:rPr>
        <w:t xml:space="preserve"> </w:t>
      </w:r>
      <w:r w:rsidR="00D2120A" w:rsidRPr="00E51A80">
        <w:rPr>
          <w:rFonts w:ascii="Book Antiqua" w:hAnsi="Book Antiqua" w:cs="Calibri"/>
          <w:sz w:val="20"/>
          <w:szCs w:val="20"/>
          <w:lang w:val="en-US"/>
        </w:rPr>
        <w:t>95%CI</w:t>
      </w:r>
      <w:r w:rsidR="00977194" w:rsidRPr="00E51A80">
        <w:rPr>
          <w:rFonts w:ascii="Book Antiqua" w:hAnsi="Book Antiqua" w:cs="Calibri"/>
          <w:sz w:val="20"/>
          <w:szCs w:val="20"/>
          <w:lang w:val="en-US"/>
        </w:rPr>
        <w:t>:</w:t>
      </w:r>
      <w:r w:rsidRPr="00E51A80">
        <w:rPr>
          <w:rFonts w:ascii="Book Antiqua" w:hAnsi="Book Antiqua" w:cs="Calibri"/>
          <w:sz w:val="20"/>
          <w:szCs w:val="20"/>
          <w:lang w:val="en-US"/>
        </w:rPr>
        <w:t xml:space="preserve"> 0.014–0.676; </w:t>
      </w:r>
      <w:r w:rsidRPr="00E51A80">
        <w:rPr>
          <w:rFonts w:ascii="Book Antiqua" w:hAnsi="Book Antiqua" w:cs="Calibri"/>
          <w:i/>
          <w:sz w:val="20"/>
          <w:szCs w:val="20"/>
          <w:lang w:val="en-US"/>
        </w:rPr>
        <w:t>P</w:t>
      </w:r>
      <w:r w:rsidR="001E2BA5"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 0.018) (</w:t>
      </w:r>
      <w:r w:rsidR="00977194" w:rsidRPr="00E51A80">
        <w:rPr>
          <w:rFonts w:ascii="Book Antiqua" w:hAnsi="Book Antiqua" w:cs="Calibri"/>
          <w:sz w:val="20"/>
          <w:szCs w:val="20"/>
          <w:lang w:val="en-US"/>
        </w:rPr>
        <w:t xml:space="preserve">Figure </w:t>
      </w:r>
      <w:r w:rsidRPr="00E51A80">
        <w:rPr>
          <w:rFonts w:ascii="Book Antiqua" w:hAnsi="Book Antiqua" w:cs="Calibri"/>
          <w:sz w:val="20"/>
          <w:szCs w:val="20"/>
          <w:lang w:val="en-US"/>
        </w:rPr>
        <w:t>2); primary tumor surgery (</w:t>
      </w:r>
      <w:r w:rsidRPr="00E51A80">
        <w:rPr>
          <w:rFonts w:ascii="Book Antiqua" w:hAnsi="Book Antiqua" w:cs="Calibri"/>
          <w:i/>
          <w:sz w:val="20"/>
          <w:szCs w:val="20"/>
          <w:lang w:val="en-US"/>
        </w:rPr>
        <w:t>P</w:t>
      </w:r>
      <w:r w:rsidR="00977194" w:rsidRPr="00E51A80">
        <w:rPr>
          <w:rFonts w:ascii="Book Antiqua" w:hAnsi="Book Antiqua" w:cs="Calibri"/>
          <w:sz w:val="20"/>
          <w:szCs w:val="20"/>
          <w:lang w:val="en-US"/>
        </w:rPr>
        <w:t xml:space="preserve"> </w:t>
      </w:r>
      <w:r w:rsidRPr="00E51A80">
        <w:rPr>
          <w:rFonts w:ascii="Book Antiqua" w:hAnsi="Book Antiqua" w:cs="Calibri"/>
          <w:sz w:val="20"/>
          <w:szCs w:val="20"/>
          <w:lang w:val="en-US"/>
        </w:rPr>
        <w:t>= 0.03, HR</w:t>
      </w:r>
      <w:r w:rsidR="00977194" w:rsidRPr="00E51A80">
        <w:rPr>
          <w:rFonts w:ascii="Book Antiqua" w:hAnsi="Book Antiqua" w:cs="Calibri"/>
          <w:sz w:val="20"/>
          <w:szCs w:val="20"/>
          <w:lang w:val="en-US"/>
        </w:rPr>
        <w:t>: 1.7</w:t>
      </w:r>
      <w:r w:rsidR="009C28FB" w:rsidRPr="00E51A80">
        <w:rPr>
          <w:rFonts w:ascii="Book Antiqua" w:hAnsi="Book Antiqua" w:cs="Calibri"/>
          <w:sz w:val="20"/>
          <w:szCs w:val="20"/>
          <w:lang w:val="en-US"/>
        </w:rPr>
        <w:t>,</w:t>
      </w:r>
      <w:r w:rsidR="00977194" w:rsidRPr="00E51A80">
        <w:rPr>
          <w:rFonts w:ascii="Book Antiqua" w:hAnsi="Book Antiqua" w:cs="Calibri"/>
          <w:sz w:val="20"/>
          <w:szCs w:val="20"/>
          <w:lang w:val="en-US"/>
        </w:rPr>
        <w:t xml:space="preserve"> </w:t>
      </w:r>
      <w:r w:rsidR="00D2120A" w:rsidRPr="00E51A80">
        <w:rPr>
          <w:rFonts w:ascii="Book Antiqua" w:hAnsi="Book Antiqua" w:cs="Calibri"/>
          <w:sz w:val="20"/>
          <w:szCs w:val="20"/>
          <w:lang w:val="en-US"/>
        </w:rPr>
        <w:t>95%CI</w:t>
      </w:r>
      <w:r w:rsidR="00977194" w:rsidRPr="00E51A80">
        <w:rPr>
          <w:rFonts w:ascii="Book Antiqua" w:hAnsi="Book Antiqua" w:cs="Calibri"/>
          <w:sz w:val="20"/>
          <w:szCs w:val="20"/>
          <w:lang w:val="en-US"/>
        </w:rPr>
        <w:t>: 0.48–6.</w:t>
      </w:r>
      <w:r w:rsidRPr="00E51A80">
        <w:rPr>
          <w:rFonts w:ascii="Book Antiqua" w:hAnsi="Book Antiqua" w:cs="Calibri"/>
          <w:sz w:val="20"/>
          <w:szCs w:val="20"/>
          <w:lang w:val="en-US"/>
        </w:rPr>
        <w:t xml:space="preserve">03; </w:t>
      </w:r>
      <w:r w:rsidRPr="00E51A80">
        <w:rPr>
          <w:rFonts w:ascii="Book Antiqua" w:hAnsi="Book Antiqua" w:cs="Calibri"/>
          <w:i/>
          <w:sz w:val="20"/>
          <w:szCs w:val="20"/>
          <w:lang w:val="en-US"/>
        </w:rPr>
        <w:t>P</w:t>
      </w:r>
      <w:r w:rsidR="001E2BA5"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 0.4); metastasis surgery (</w:t>
      </w:r>
      <w:r w:rsidRPr="00E51A80">
        <w:rPr>
          <w:rFonts w:ascii="Book Antiqua" w:hAnsi="Book Antiqua" w:cs="Calibri"/>
          <w:i/>
          <w:sz w:val="20"/>
          <w:szCs w:val="20"/>
          <w:lang w:val="en-US"/>
        </w:rPr>
        <w:t>P</w:t>
      </w:r>
      <w:r w:rsidR="00977194" w:rsidRPr="00E51A80">
        <w:rPr>
          <w:rFonts w:ascii="Book Antiqua" w:hAnsi="Book Antiqua" w:cs="Calibri"/>
          <w:sz w:val="20"/>
          <w:szCs w:val="20"/>
          <w:lang w:val="en-US"/>
        </w:rPr>
        <w:t xml:space="preserve"> </w:t>
      </w:r>
      <w:r w:rsidRPr="00E51A80">
        <w:rPr>
          <w:rFonts w:ascii="Book Antiqua" w:hAnsi="Book Antiqua" w:cs="Calibri"/>
          <w:sz w:val="20"/>
          <w:szCs w:val="20"/>
          <w:lang w:val="en-US"/>
        </w:rPr>
        <w:t>= 0.045, HR</w:t>
      </w:r>
      <w:r w:rsidR="00977194" w:rsidRPr="00E51A80">
        <w:rPr>
          <w:rFonts w:ascii="Book Antiqua" w:hAnsi="Book Antiqua" w:cs="Calibri"/>
          <w:sz w:val="20"/>
          <w:szCs w:val="20"/>
          <w:lang w:val="en-US"/>
        </w:rPr>
        <w:t>: 26.</w:t>
      </w:r>
      <w:r w:rsidRPr="00E51A80">
        <w:rPr>
          <w:rFonts w:ascii="Book Antiqua" w:hAnsi="Book Antiqua" w:cs="Calibri"/>
          <w:sz w:val="20"/>
          <w:szCs w:val="20"/>
          <w:lang w:val="en-US"/>
        </w:rPr>
        <w:t>2</w:t>
      </w:r>
      <w:r w:rsidR="009C28FB" w:rsidRPr="00E51A80">
        <w:rPr>
          <w:rFonts w:ascii="Book Antiqua" w:hAnsi="Book Antiqua" w:cs="Calibri"/>
          <w:sz w:val="20"/>
          <w:szCs w:val="20"/>
          <w:lang w:val="en-US"/>
        </w:rPr>
        <w:t>,</w:t>
      </w:r>
      <w:r w:rsidR="00977194" w:rsidRPr="00E51A80">
        <w:rPr>
          <w:rFonts w:ascii="Book Antiqua" w:hAnsi="Book Antiqua" w:cs="Calibri"/>
          <w:sz w:val="20"/>
          <w:szCs w:val="20"/>
          <w:lang w:val="en-US"/>
        </w:rPr>
        <w:t xml:space="preserve"> </w:t>
      </w:r>
      <w:r w:rsidR="00D2120A" w:rsidRPr="00E51A80">
        <w:rPr>
          <w:rFonts w:ascii="Book Antiqua" w:hAnsi="Book Antiqua" w:cs="Calibri"/>
          <w:sz w:val="20"/>
          <w:szCs w:val="20"/>
          <w:lang w:val="en-US"/>
        </w:rPr>
        <w:t>95%CI</w:t>
      </w:r>
      <w:r w:rsidR="00977194" w:rsidRPr="00E51A80">
        <w:rPr>
          <w:rFonts w:ascii="Book Antiqua" w:hAnsi="Book Antiqua" w:cs="Calibri"/>
          <w:sz w:val="20"/>
          <w:szCs w:val="20"/>
          <w:lang w:val="en-US"/>
        </w:rPr>
        <w:t>:</w:t>
      </w:r>
      <w:r w:rsidRPr="00E51A80">
        <w:rPr>
          <w:rFonts w:ascii="Book Antiqua" w:hAnsi="Book Antiqua" w:cs="Calibri"/>
          <w:sz w:val="20"/>
          <w:szCs w:val="20"/>
          <w:lang w:val="en-US"/>
        </w:rPr>
        <w:t xml:space="preserve"> 0.01–711; </w:t>
      </w:r>
      <w:r w:rsidRPr="00E51A80">
        <w:rPr>
          <w:rFonts w:ascii="Book Antiqua" w:hAnsi="Book Antiqua" w:cs="Calibri"/>
          <w:i/>
          <w:sz w:val="20"/>
          <w:szCs w:val="20"/>
          <w:lang w:val="en-US"/>
        </w:rPr>
        <w:t>P</w:t>
      </w:r>
      <w:r w:rsidR="001E2BA5" w:rsidRPr="00E51A80">
        <w:rPr>
          <w:rFonts w:ascii="Book Antiqua" w:hAnsi="Book Antiqua" w:cs="Calibri"/>
          <w:sz w:val="20"/>
          <w:szCs w:val="20"/>
          <w:lang w:val="en-US"/>
        </w:rPr>
        <w:t xml:space="preserve"> = </w:t>
      </w:r>
      <w:r w:rsidRPr="00E51A80">
        <w:rPr>
          <w:rFonts w:ascii="Book Antiqua" w:hAnsi="Book Antiqua" w:cs="Calibri"/>
          <w:sz w:val="20"/>
          <w:szCs w:val="20"/>
          <w:lang w:val="en-US"/>
        </w:rPr>
        <w:t>0.41) (</w:t>
      </w:r>
      <w:r w:rsidR="00977194" w:rsidRPr="00E51A80">
        <w:rPr>
          <w:rFonts w:ascii="Book Antiqua" w:hAnsi="Book Antiqua" w:cs="Calibri"/>
          <w:sz w:val="20"/>
          <w:szCs w:val="20"/>
          <w:lang w:val="en-US"/>
        </w:rPr>
        <w:t xml:space="preserve">Figure </w:t>
      </w:r>
      <w:r w:rsidRPr="00E51A80">
        <w:rPr>
          <w:rFonts w:ascii="Book Antiqua" w:hAnsi="Book Antiqua" w:cs="Calibri"/>
          <w:sz w:val="20"/>
          <w:szCs w:val="20"/>
          <w:lang w:val="en-US"/>
        </w:rPr>
        <w:t>3)</w:t>
      </w:r>
      <w:r w:rsidR="003A7D70" w:rsidRPr="00E51A80">
        <w:rPr>
          <w:rFonts w:ascii="Book Antiqua" w:hAnsi="Book Antiqua" w:cs="Calibri"/>
          <w:sz w:val="20"/>
          <w:szCs w:val="20"/>
          <w:lang w:val="en-US"/>
        </w:rPr>
        <w:t>;</w:t>
      </w:r>
      <w:r w:rsidRPr="00E51A80">
        <w:rPr>
          <w:rFonts w:ascii="Book Antiqua" w:hAnsi="Book Antiqua" w:cs="Calibri"/>
          <w:sz w:val="20"/>
          <w:szCs w:val="20"/>
          <w:lang w:val="en-US"/>
        </w:rPr>
        <w:t xml:space="preserve"> and the presence of bone metastasis (BM) (</w:t>
      </w:r>
      <w:r w:rsidRPr="00E51A80">
        <w:rPr>
          <w:rFonts w:ascii="Book Antiqua" w:hAnsi="Book Antiqua" w:cs="Calibri"/>
          <w:i/>
          <w:sz w:val="20"/>
          <w:szCs w:val="20"/>
          <w:lang w:val="en-US"/>
        </w:rPr>
        <w:t>P</w:t>
      </w:r>
      <w:r w:rsidR="00977194" w:rsidRPr="00E51A80">
        <w:rPr>
          <w:rFonts w:ascii="Book Antiqua" w:hAnsi="Book Antiqua" w:cs="Calibri"/>
          <w:sz w:val="20"/>
          <w:szCs w:val="20"/>
          <w:lang w:val="en-US"/>
        </w:rPr>
        <w:t xml:space="preserve"> </w:t>
      </w:r>
      <w:r w:rsidRPr="00E51A80">
        <w:rPr>
          <w:rFonts w:ascii="Book Antiqua" w:hAnsi="Book Antiqua" w:cs="Calibri"/>
          <w:sz w:val="20"/>
          <w:szCs w:val="20"/>
          <w:lang w:val="en-US"/>
        </w:rPr>
        <w:t>=</w:t>
      </w:r>
      <w:r w:rsidR="00977194" w:rsidRPr="00E51A80">
        <w:rPr>
          <w:rFonts w:ascii="Book Antiqua" w:hAnsi="Book Antiqua" w:cs="Calibri"/>
          <w:sz w:val="20"/>
          <w:szCs w:val="20"/>
          <w:lang w:val="en-US"/>
        </w:rPr>
        <w:t xml:space="preserve"> </w:t>
      </w:r>
      <w:r w:rsidRPr="00E51A80">
        <w:rPr>
          <w:rFonts w:ascii="Book Antiqua" w:hAnsi="Book Antiqua" w:cs="Calibri"/>
          <w:sz w:val="20"/>
          <w:szCs w:val="20"/>
          <w:lang w:val="en-US"/>
        </w:rPr>
        <w:t>0.009, HR</w:t>
      </w:r>
      <w:r w:rsidR="00977194" w:rsidRPr="00E51A80">
        <w:rPr>
          <w:rFonts w:ascii="Book Antiqua" w:hAnsi="Book Antiqua" w:cs="Calibri"/>
          <w:sz w:val="20"/>
          <w:szCs w:val="20"/>
          <w:lang w:val="en-US"/>
        </w:rPr>
        <w:t>: 0.08</w:t>
      </w:r>
      <w:r w:rsidR="003A7D70" w:rsidRPr="00E51A80">
        <w:rPr>
          <w:rFonts w:ascii="Book Antiqua" w:hAnsi="Book Antiqua" w:cs="Calibri"/>
          <w:sz w:val="20"/>
          <w:szCs w:val="20"/>
          <w:lang w:val="en-US"/>
        </w:rPr>
        <w:t>,</w:t>
      </w:r>
      <w:r w:rsidR="00977194" w:rsidRPr="00E51A80">
        <w:rPr>
          <w:rFonts w:ascii="Book Antiqua" w:hAnsi="Book Antiqua" w:cs="Calibri"/>
          <w:sz w:val="20"/>
          <w:szCs w:val="20"/>
          <w:lang w:val="en-US"/>
        </w:rPr>
        <w:t xml:space="preserve"> </w:t>
      </w:r>
      <w:r w:rsidR="00D2120A" w:rsidRPr="00E51A80">
        <w:rPr>
          <w:rFonts w:ascii="Book Antiqua" w:hAnsi="Book Antiqua" w:cs="Calibri"/>
          <w:sz w:val="20"/>
          <w:szCs w:val="20"/>
          <w:lang w:val="en-US"/>
        </w:rPr>
        <w:t>95%CI</w:t>
      </w:r>
      <w:r w:rsidR="00977194" w:rsidRPr="00E51A80">
        <w:rPr>
          <w:rFonts w:ascii="Book Antiqua" w:hAnsi="Book Antiqua" w:cs="Calibri"/>
          <w:sz w:val="20"/>
          <w:szCs w:val="20"/>
          <w:lang w:val="en-US"/>
        </w:rPr>
        <w:t>:</w:t>
      </w:r>
      <w:r w:rsidRPr="00E51A80">
        <w:rPr>
          <w:rFonts w:ascii="Book Antiqua" w:hAnsi="Book Antiqua" w:cs="Calibri"/>
          <w:sz w:val="20"/>
          <w:szCs w:val="20"/>
          <w:lang w:val="en-US"/>
        </w:rPr>
        <w:t xml:space="preserve"> 0.015–0.446; </w:t>
      </w:r>
      <w:r w:rsidRPr="00E51A80">
        <w:rPr>
          <w:rFonts w:ascii="Book Antiqua" w:hAnsi="Book Antiqua" w:cs="Calibri"/>
          <w:i/>
          <w:sz w:val="20"/>
          <w:szCs w:val="20"/>
          <w:lang w:val="en-US"/>
        </w:rPr>
        <w:t>P</w:t>
      </w:r>
      <w:r w:rsidR="001E2BA5" w:rsidRPr="00E51A80">
        <w:rPr>
          <w:rFonts w:ascii="Book Antiqua" w:hAnsi="Book Antiqua" w:cs="Calibri"/>
          <w:sz w:val="20"/>
          <w:szCs w:val="20"/>
          <w:lang w:val="en-US"/>
        </w:rPr>
        <w:t xml:space="preserve"> = </w:t>
      </w:r>
      <w:r w:rsidRPr="00E51A80">
        <w:rPr>
          <w:rFonts w:ascii="Book Antiqua" w:hAnsi="Book Antiqua" w:cs="Calibri"/>
          <w:sz w:val="20"/>
          <w:szCs w:val="20"/>
          <w:lang w:val="en-US"/>
        </w:rPr>
        <w:t>0.004) (</w:t>
      </w:r>
      <w:r w:rsidR="00977194" w:rsidRPr="00E51A80">
        <w:rPr>
          <w:rFonts w:ascii="Book Antiqua" w:hAnsi="Book Antiqua" w:cs="Calibri"/>
          <w:sz w:val="20"/>
          <w:szCs w:val="20"/>
          <w:lang w:val="en-US"/>
        </w:rPr>
        <w:t xml:space="preserve">Figure </w:t>
      </w:r>
      <w:r w:rsidRPr="00E51A80">
        <w:rPr>
          <w:rFonts w:ascii="Book Antiqua" w:hAnsi="Book Antiqua" w:cs="Calibri"/>
          <w:sz w:val="20"/>
          <w:szCs w:val="20"/>
          <w:lang w:val="en-US"/>
        </w:rPr>
        <w:t xml:space="preserve">4). </w:t>
      </w:r>
      <w:r w:rsidR="003A7D70" w:rsidRPr="00E51A80">
        <w:rPr>
          <w:rFonts w:ascii="Book Antiqua" w:hAnsi="Book Antiqua" w:cs="Calibri"/>
          <w:sz w:val="20"/>
          <w:szCs w:val="20"/>
          <w:lang w:val="en-US"/>
        </w:rPr>
        <w:t>I</w:t>
      </w:r>
      <w:r w:rsidRPr="00E51A80">
        <w:rPr>
          <w:rFonts w:ascii="Book Antiqua" w:hAnsi="Book Antiqua" w:cs="Calibri"/>
          <w:sz w:val="20"/>
          <w:szCs w:val="20"/>
          <w:lang w:val="en-US"/>
        </w:rPr>
        <w:t>n a multivariate Cox regression analysis, a high Ki67 index (</w:t>
      </w:r>
      <w:r w:rsidRPr="00E51A80">
        <w:rPr>
          <w:rFonts w:ascii="Book Antiqua" w:hAnsi="Book Antiqua" w:cs="Calibri"/>
          <w:i/>
          <w:sz w:val="20"/>
          <w:szCs w:val="20"/>
          <w:lang w:val="en-US"/>
        </w:rPr>
        <w:t>P</w:t>
      </w:r>
      <w:r w:rsidR="00977194"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 0.003), a mismatch in the lesion findings between </w:t>
      </w:r>
      <w:proofErr w:type="spellStart"/>
      <w:r w:rsidR="003A7D70" w:rsidRPr="00E51A80">
        <w:rPr>
          <w:rFonts w:ascii="Book Antiqua" w:hAnsi="Book Antiqua" w:cs="Calibri"/>
          <w:sz w:val="20"/>
          <w:szCs w:val="20"/>
          <w:lang w:val="en-US"/>
        </w:rPr>
        <w:t>Octreoscan</w:t>
      </w:r>
      <w:proofErr w:type="spellEnd"/>
      <w:r w:rsidRPr="00E51A80">
        <w:rPr>
          <w:rFonts w:ascii="Book Antiqua" w:hAnsi="Book Antiqua" w:cs="Calibri"/>
          <w:sz w:val="20"/>
          <w:szCs w:val="20"/>
          <w:lang w:val="en-US"/>
        </w:rPr>
        <w:t xml:space="preserve"> and CT pre-PRRT (</w:t>
      </w:r>
      <w:r w:rsidRPr="00E51A80">
        <w:rPr>
          <w:rFonts w:ascii="Book Antiqua" w:hAnsi="Book Antiqua" w:cs="Calibri"/>
          <w:i/>
          <w:sz w:val="20"/>
          <w:szCs w:val="20"/>
          <w:lang w:val="en-US"/>
        </w:rPr>
        <w:t>P</w:t>
      </w:r>
      <w:r w:rsidR="00977194" w:rsidRPr="00E51A80">
        <w:rPr>
          <w:rFonts w:ascii="Book Antiqua" w:hAnsi="Book Antiqua" w:cs="Calibri"/>
          <w:sz w:val="20"/>
          <w:szCs w:val="20"/>
          <w:lang w:val="en-US"/>
        </w:rPr>
        <w:t xml:space="preserve"> </w:t>
      </w:r>
      <w:r w:rsidRPr="00E51A80">
        <w:rPr>
          <w:rFonts w:ascii="Book Antiqua" w:hAnsi="Book Antiqua" w:cs="Calibri"/>
          <w:sz w:val="20"/>
          <w:szCs w:val="20"/>
          <w:lang w:val="en-US"/>
        </w:rPr>
        <w:t>&lt;</w:t>
      </w:r>
      <w:r w:rsidR="00977194" w:rsidRPr="00E51A80">
        <w:rPr>
          <w:rFonts w:ascii="Book Antiqua" w:hAnsi="Book Antiqua" w:cs="Calibri"/>
          <w:sz w:val="20"/>
          <w:szCs w:val="20"/>
          <w:lang w:val="en-US"/>
        </w:rPr>
        <w:t xml:space="preserve"> </w:t>
      </w:r>
      <w:r w:rsidRPr="00E51A80">
        <w:rPr>
          <w:rFonts w:ascii="Book Antiqua" w:hAnsi="Book Antiqua" w:cs="Calibri"/>
          <w:sz w:val="20"/>
          <w:szCs w:val="20"/>
          <w:lang w:val="en-US"/>
        </w:rPr>
        <w:t>0.01) and a preceding toxicity in previous treatments (</w:t>
      </w:r>
      <w:r w:rsidRPr="00E51A80">
        <w:rPr>
          <w:rFonts w:ascii="Book Antiqua" w:hAnsi="Book Antiqua" w:cs="Calibri"/>
          <w:i/>
          <w:caps/>
          <w:sz w:val="20"/>
          <w:szCs w:val="20"/>
          <w:lang w:val="en-US"/>
        </w:rPr>
        <w:t>p</w:t>
      </w:r>
      <w:r w:rsidR="00977194" w:rsidRPr="00E51A80">
        <w:rPr>
          <w:rFonts w:ascii="Book Antiqua" w:hAnsi="Book Antiqua" w:cs="Calibri"/>
          <w:sz w:val="20"/>
          <w:szCs w:val="20"/>
          <w:lang w:val="en-US"/>
        </w:rPr>
        <w:t xml:space="preserve"> </w:t>
      </w:r>
      <w:r w:rsidRPr="00E51A80">
        <w:rPr>
          <w:rFonts w:ascii="Book Antiqua" w:hAnsi="Book Antiqua" w:cs="Calibri"/>
          <w:sz w:val="20"/>
          <w:szCs w:val="20"/>
          <w:lang w:val="en-US"/>
        </w:rPr>
        <w:t>&lt;</w:t>
      </w:r>
      <w:r w:rsidR="00977194"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0.05) were risk factors </w:t>
      </w:r>
      <w:r w:rsidR="003A7D70" w:rsidRPr="00E51A80">
        <w:rPr>
          <w:rFonts w:ascii="Book Antiqua" w:hAnsi="Book Antiqua" w:cs="Calibri"/>
          <w:sz w:val="20"/>
          <w:szCs w:val="20"/>
          <w:lang w:val="en-US"/>
        </w:rPr>
        <w:t>for</w:t>
      </w:r>
      <w:r w:rsidRPr="00E51A80">
        <w:rPr>
          <w:rFonts w:ascii="Book Antiqua" w:hAnsi="Book Antiqua" w:cs="Calibri"/>
          <w:sz w:val="20"/>
          <w:szCs w:val="20"/>
          <w:lang w:val="en-US"/>
        </w:rPr>
        <w:t xml:space="preserve"> OS.</w:t>
      </w:r>
      <w:bookmarkEnd w:id="65"/>
    </w:p>
    <w:p w:rsidR="002B7963" w:rsidRPr="00E51A80" w:rsidRDefault="003A7D70"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t>OS</w:t>
      </w:r>
      <w:r w:rsidR="002B7963" w:rsidRPr="00E51A80">
        <w:rPr>
          <w:rFonts w:ascii="Book Antiqua" w:hAnsi="Book Antiqua" w:cs="Calibri"/>
          <w:sz w:val="20"/>
          <w:szCs w:val="20"/>
          <w:lang w:val="en-US"/>
        </w:rPr>
        <w:t xml:space="preserve"> was not significantly different by gender (</w:t>
      </w:r>
      <w:r w:rsidR="002B7963" w:rsidRPr="00E51A80">
        <w:rPr>
          <w:rFonts w:ascii="Book Antiqua" w:hAnsi="Book Antiqua" w:cs="Calibri"/>
          <w:i/>
          <w:sz w:val="20"/>
          <w:szCs w:val="20"/>
          <w:lang w:val="en-US"/>
        </w:rPr>
        <w:t>P</w:t>
      </w:r>
      <w:r w:rsidR="00977194" w:rsidRPr="00E51A80">
        <w:rPr>
          <w:rFonts w:ascii="Book Antiqua" w:hAnsi="Book Antiqua" w:cs="Calibri"/>
          <w:sz w:val="20"/>
          <w:szCs w:val="20"/>
          <w:lang w:val="en-US"/>
        </w:rPr>
        <w:t xml:space="preserve"> </w:t>
      </w:r>
      <w:r w:rsidR="002B7963" w:rsidRPr="00E51A80">
        <w:rPr>
          <w:rFonts w:ascii="Book Antiqua" w:hAnsi="Book Antiqua" w:cs="Calibri"/>
          <w:sz w:val="20"/>
          <w:szCs w:val="20"/>
          <w:lang w:val="en-US"/>
        </w:rPr>
        <w:t>= 0.74, HR</w:t>
      </w:r>
      <w:r w:rsidR="00977194" w:rsidRPr="00E51A80">
        <w:rPr>
          <w:rFonts w:ascii="Book Antiqua" w:hAnsi="Book Antiqua" w:cs="Calibri"/>
          <w:sz w:val="20"/>
          <w:szCs w:val="20"/>
          <w:lang w:val="en-US"/>
        </w:rPr>
        <w:t>: 1.4</w:t>
      </w:r>
      <w:r w:rsidRPr="00E51A80">
        <w:rPr>
          <w:rFonts w:ascii="Book Antiqua" w:hAnsi="Book Antiqua" w:cs="Calibri"/>
          <w:sz w:val="20"/>
          <w:szCs w:val="20"/>
          <w:lang w:val="en-US"/>
        </w:rPr>
        <w:t>,</w:t>
      </w:r>
      <w:r w:rsidR="00977194" w:rsidRPr="00E51A80">
        <w:rPr>
          <w:rFonts w:ascii="Book Antiqua" w:hAnsi="Book Antiqua" w:cs="Calibri"/>
          <w:sz w:val="20"/>
          <w:szCs w:val="20"/>
          <w:lang w:val="en-US"/>
        </w:rPr>
        <w:t xml:space="preserve"> </w:t>
      </w:r>
      <w:r w:rsidR="00D2120A" w:rsidRPr="00E51A80">
        <w:rPr>
          <w:rFonts w:ascii="Book Antiqua" w:hAnsi="Book Antiqua" w:cs="Calibri"/>
          <w:sz w:val="20"/>
          <w:szCs w:val="20"/>
          <w:lang w:val="en-US"/>
        </w:rPr>
        <w:t>95%CI</w:t>
      </w:r>
      <w:r w:rsidR="00977194" w:rsidRPr="00E51A80">
        <w:rPr>
          <w:rFonts w:ascii="Book Antiqua" w:hAnsi="Book Antiqua" w:cs="Calibri"/>
          <w:sz w:val="20"/>
          <w:szCs w:val="20"/>
          <w:lang w:val="en-US"/>
        </w:rPr>
        <w:t>:</w:t>
      </w:r>
      <w:r w:rsidR="002B7963" w:rsidRPr="00E51A80">
        <w:rPr>
          <w:rFonts w:ascii="Book Antiqua" w:hAnsi="Book Antiqua" w:cs="Calibri"/>
          <w:sz w:val="20"/>
          <w:szCs w:val="20"/>
          <w:lang w:val="en-US"/>
        </w:rPr>
        <w:t xml:space="preserve"> 0.39–5.47; </w:t>
      </w:r>
      <w:r w:rsidR="002B7963" w:rsidRPr="00E51A80">
        <w:rPr>
          <w:rFonts w:ascii="Book Antiqua" w:hAnsi="Book Antiqua" w:cs="Calibri"/>
          <w:i/>
          <w:sz w:val="20"/>
          <w:szCs w:val="20"/>
          <w:lang w:val="en-US"/>
        </w:rPr>
        <w:t>P</w:t>
      </w:r>
      <w:r w:rsidR="001E2BA5" w:rsidRPr="00E51A80">
        <w:rPr>
          <w:rFonts w:ascii="Book Antiqua" w:hAnsi="Book Antiqua" w:cs="Calibri"/>
          <w:sz w:val="20"/>
          <w:szCs w:val="20"/>
          <w:lang w:val="en-US"/>
        </w:rPr>
        <w:t xml:space="preserve"> = </w:t>
      </w:r>
      <w:r w:rsidR="002B7963" w:rsidRPr="00E51A80">
        <w:rPr>
          <w:rFonts w:ascii="Book Antiqua" w:hAnsi="Book Antiqua" w:cs="Calibri"/>
          <w:sz w:val="20"/>
          <w:szCs w:val="20"/>
          <w:lang w:val="en-US"/>
        </w:rPr>
        <w:t>0.56); oncological history (</w:t>
      </w:r>
      <w:r w:rsidR="002B7963" w:rsidRPr="00E51A80">
        <w:rPr>
          <w:rFonts w:ascii="Book Antiqua" w:hAnsi="Book Antiqua" w:cs="Calibri"/>
          <w:i/>
          <w:sz w:val="20"/>
          <w:szCs w:val="20"/>
          <w:lang w:val="en-US"/>
        </w:rPr>
        <w:t>P</w:t>
      </w:r>
      <w:r w:rsidR="002B7963" w:rsidRPr="00E51A80">
        <w:rPr>
          <w:rFonts w:ascii="Book Antiqua" w:hAnsi="Book Antiqua" w:cs="Calibri"/>
          <w:sz w:val="20"/>
          <w:szCs w:val="20"/>
          <w:lang w:val="en-US"/>
        </w:rPr>
        <w:t xml:space="preserve"> =</w:t>
      </w:r>
      <w:r w:rsidR="00977194" w:rsidRPr="00E51A80">
        <w:rPr>
          <w:rFonts w:ascii="Book Antiqua" w:hAnsi="Book Antiqua" w:cs="Calibri"/>
          <w:sz w:val="20"/>
          <w:szCs w:val="20"/>
          <w:lang w:val="en-US"/>
        </w:rPr>
        <w:t xml:space="preserve"> </w:t>
      </w:r>
      <w:r w:rsidR="002B7963" w:rsidRPr="00E51A80">
        <w:rPr>
          <w:rFonts w:ascii="Book Antiqua" w:hAnsi="Book Antiqua" w:cs="Calibri"/>
          <w:sz w:val="20"/>
          <w:szCs w:val="20"/>
          <w:lang w:val="en-US"/>
        </w:rPr>
        <w:t>0.091, HR</w:t>
      </w:r>
      <w:r w:rsidR="00977194" w:rsidRPr="00E51A80">
        <w:rPr>
          <w:rFonts w:ascii="Book Antiqua" w:hAnsi="Book Antiqua" w:cs="Calibri"/>
          <w:sz w:val="20"/>
          <w:szCs w:val="20"/>
          <w:lang w:val="en-US"/>
        </w:rPr>
        <w:t>: 23.95</w:t>
      </w:r>
      <w:r w:rsidRPr="00E51A80">
        <w:rPr>
          <w:rFonts w:ascii="Book Antiqua" w:hAnsi="Book Antiqua" w:cs="Calibri"/>
          <w:sz w:val="20"/>
          <w:szCs w:val="20"/>
          <w:lang w:val="en-US"/>
        </w:rPr>
        <w:t>,</w:t>
      </w:r>
      <w:r w:rsidR="00977194" w:rsidRPr="00E51A80">
        <w:rPr>
          <w:rFonts w:ascii="Book Antiqua" w:hAnsi="Book Antiqua" w:cs="Calibri"/>
          <w:sz w:val="20"/>
          <w:szCs w:val="20"/>
          <w:lang w:val="en-US"/>
        </w:rPr>
        <w:t xml:space="preserve"> </w:t>
      </w:r>
      <w:r w:rsidR="00D2120A" w:rsidRPr="00E51A80">
        <w:rPr>
          <w:rFonts w:ascii="Book Antiqua" w:hAnsi="Book Antiqua" w:cs="Calibri"/>
          <w:sz w:val="20"/>
          <w:szCs w:val="20"/>
          <w:lang w:val="en-US"/>
        </w:rPr>
        <w:t>95%CI</w:t>
      </w:r>
      <w:r w:rsidR="00977194" w:rsidRPr="00E51A80">
        <w:rPr>
          <w:rFonts w:ascii="Book Antiqua" w:hAnsi="Book Antiqua" w:cs="Calibri"/>
          <w:sz w:val="20"/>
          <w:szCs w:val="20"/>
          <w:lang w:val="en-US"/>
        </w:rPr>
        <w:t>: 0.</w:t>
      </w:r>
      <w:r w:rsidR="002B7963" w:rsidRPr="00E51A80">
        <w:rPr>
          <w:rFonts w:ascii="Book Antiqua" w:hAnsi="Book Antiqua" w:cs="Calibri"/>
          <w:sz w:val="20"/>
          <w:szCs w:val="20"/>
          <w:lang w:val="en-US"/>
        </w:rPr>
        <w:t xml:space="preserve">00–316; </w:t>
      </w:r>
      <w:r w:rsidR="002B7963" w:rsidRPr="00E51A80">
        <w:rPr>
          <w:rFonts w:ascii="Book Antiqua" w:hAnsi="Book Antiqua" w:cs="Calibri"/>
          <w:i/>
          <w:sz w:val="20"/>
          <w:szCs w:val="20"/>
          <w:lang w:val="en-US"/>
        </w:rPr>
        <w:t>P</w:t>
      </w:r>
      <w:r w:rsidR="001E2BA5" w:rsidRPr="00E51A80">
        <w:rPr>
          <w:rFonts w:ascii="Book Antiqua" w:hAnsi="Book Antiqua" w:cs="Calibri"/>
          <w:sz w:val="20"/>
          <w:szCs w:val="20"/>
          <w:lang w:val="en-US"/>
        </w:rPr>
        <w:t xml:space="preserve"> = </w:t>
      </w:r>
      <w:r w:rsidR="00F63757" w:rsidRPr="00E51A80">
        <w:rPr>
          <w:rFonts w:ascii="Book Antiqua" w:hAnsi="Book Antiqua" w:cs="Calibri"/>
          <w:sz w:val="20"/>
          <w:szCs w:val="20"/>
          <w:lang w:val="en-US"/>
        </w:rPr>
        <w:t xml:space="preserve">0.51); smoking </w:t>
      </w:r>
      <w:r w:rsidR="002B7963" w:rsidRPr="00E51A80">
        <w:rPr>
          <w:rFonts w:ascii="Book Antiqua" w:hAnsi="Book Antiqua" w:cs="Calibri"/>
          <w:sz w:val="20"/>
          <w:szCs w:val="20"/>
          <w:lang w:val="en-US"/>
        </w:rPr>
        <w:t>(</w:t>
      </w:r>
      <w:r w:rsidR="002B7963" w:rsidRPr="00E51A80">
        <w:rPr>
          <w:rFonts w:ascii="Book Antiqua" w:hAnsi="Book Antiqua" w:cs="Calibri"/>
          <w:i/>
          <w:sz w:val="20"/>
          <w:szCs w:val="20"/>
          <w:lang w:val="en-US"/>
        </w:rPr>
        <w:t>P</w:t>
      </w:r>
      <w:r w:rsidR="00977194" w:rsidRPr="00E51A80">
        <w:rPr>
          <w:rFonts w:ascii="Book Antiqua" w:hAnsi="Book Antiqua" w:cs="Calibri"/>
          <w:sz w:val="20"/>
          <w:szCs w:val="20"/>
          <w:lang w:val="en-US"/>
        </w:rPr>
        <w:t xml:space="preserve"> </w:t>
      </w:r>
      <w:r w:rsidR="002B7963" w:rsidRPr="00E51A80">
        <w:rPr>
          <w:rFonts w:ascii="Book Antiqua" w:hAnsi="Book Antiqua" w:cs="Calibri"/>
          <w:sz w:val="20"/>
          <w:szCs w:val="20"/>
          <w:lang w:val="en-US"/>
        </w:rPr>
        <w:t>= 0.34,</w:t>
      </w:r>
      <w:r w:rsidR="002B7963" w:rsidRPr="00E51A80">
        <w:rPr>
          <w:rFonts w:ascii="Book Antiqua" w:hAnsi="Book Antiqua" w:cs="Book Antiqua"/>
          <w:sz w:val="20"/>
          <w:szCs w:val="20"/>
          <w:lang w:val="en-US"/>
        </w:rPr>
        <w:t xml:space="preserve"> </w:t>
      </w:r>
      <w:r w:rsidR="002B7963" w:rsidRPr="00E51A80">
        <w:rPr>
          <w:rFonts w:ascii="Book Antiqua" w:hAnsi="Book Antiqua" w:cs="Calibri"/>
          <w:sz w:val="20"/>
          <w:szCs w:val="20"/>
          <w:lang w:val="en-US"/>
        </w:rPr>
        <w:t>HR</w:t>
      </w:r>
      <w:r w:rsidR="00977194" w:rsidRPr="00E51A80">
        <w:rPr>
          <w:rFonts w:ascii="Book Antiqua" w:hAnsi="Book Antiqua" w:cs="Calibri"/>
          <w:sz w:val="20"/>
          <w:szCs w:val="20"/>
          <w:lang w:val="en-US"/>
        </w:rPr>
        <w:t>: 5.07</w:t>
      </w:r>
      <w:r w:rsidRPr="00E51A80">
        <w:rPr>
          <w:rFonts w:ascii="Book Antiqua" w:hAnsi="Book Antiqua" w:cs="Calibri"/>
          <w:sz w:val="20"/>
          <w:szCs w:val="20"/>
          <w:lang w:val="en-US"/>
        </w:rPr>
        <w:t xml:space="preserve">, </w:t>
      </w:r>
      <w:r w:rsidR="00D2120A" w:rsidRPr="00E51A80">
        <w:rPr>
          <w:rFonts w:ascii="Book Antiqua" w:hAnsi="Book Antiqua" w:cs="Calibri"/>
          <w:sz w:val="20"/>
          <w:szCs w:val="20"/>
          <w:lang w:val="en-US"/>
        </w:rPr>
        <w:t>95%CI</w:t>
      </w:r>
      <w:r w:rsidR="00977194" w:rsidRPr="00E51A80">
        <w:rPr>
          <w:rFonts w:ascii="Book Antiqua" w:hAnsi="Book Antiqua" w:cs="Calibri"/>
          <w:sz w:val="20"/>
          <w:szCs w:val="20"/>
          <w:lang w:val="en-US"/>
        </w:rPr>
        <w:t>: 0.63–40.</w:t>
      </w:r>
      <w:r w:rsidR="002B7963" w:rsidRPr="00E51A80">
        <w:rPr>
          <w:rFonts w:ascii="Book Antiqua" w:hAnsi="Book Antiqua" w:cs="Calibri"/>
          <w:sz w:val="20"/>
          <w:szCs w:val="20"/>
          <w:lang w:val="en-US"/>
        </w:rPr>
        <w:t xml:space="preserve">28; </w:t>
      </w:r>
      <w:r w:rsidR="002B7963" w:rsidRPr="00E51A80">
        <w:rPr>
          <w:rFonts w:ascii="Book Antiqua" w:hAnsi="Book Antiqua" w:cs="Calibri"/>
          <w:i/>
          <w:sz w:val="20"/>
          <w:szCs w:val="20"/>
          <w:lang w:val="en-US"/>
        </w:rPr>
        <w:t>P</w:t>
      </w:r>
      <w:r w:rsidR="001E2BA5" w:rsidRPr="00E51A80">
        <w:rPr>
          <w:rFonts w:ascii="Book Antiqua" w:hAnsi="Book Antiqua" w:cs="Calibri"/>
          <w:sz w:val="20"/>
          <w:szCs w:val="20"/>
          <w:lang w:val="en-US"/>
        </w:rPr>
        <w:t xml:space="preserve"> = </w:t>
      </w:r>
      <w:r w:rsidR="00F63757" w:rsidRPr="00E51A80">
        <w:rPr>
          <w:rFonts w:ascii="Book Antiqua" w:hAnsi="Book Antiqua" w:cs="Calibri"/>
          <w:sz w:val="20"/>
          <w:szCs w:val="20"/>
          <w:lang w:val="en-US"/>
        </w:rPr>
        <w:t>0.12);</w:t>
      </w:r>
      <w:r w:rsidR="002B7963" w:rsidRPr="00E51A80">
        <w:rPr>
          <w:rFonts w:ascii="Book Antiqua" w:hAnsi="Book Antiqua" w:cs="Calibri"/>
          <w:sz w:val="20"/>
          <w:szCs w:val="20"/>
          <w:lang w:val="en-US"/>
        </w:rPr>
        <w:t xml:space="preserve"> treatment with SSA (</w:t>
      </w:r>
      <w:r w:rsidR="002B7963" w:rsidRPr="00E51A80">
        <w:rPr>
          <w:rFonts w:ascii="Book Antiqua" w:hAnsi="Book Antiqua" w:cs="Calibri"/>
          <w:i/>
          <w:caps/>
          <w:sz w:val="20"/>
          <w:szCs w:val="20"/>
          <w:lang w:val="en-US"/>
        </w:rPr>
        <w:t>p</w:t>
      </w:r>
      <w:r w:rsidR="001E2BA5" w:rsidRPr="00E51A80">
        <w:rPr>
          <w:rFonts w:ascii="Book Antiqua" w:hAnsi="Book Antiqua" w:cs="Calibri"/>
          <w:sz w:val="20"/>
          <w:szCs w:val="20"/>
          <w:lang w:val="en-US"/>
        </w:rPr>
        <w:t xml:space="preserve"> = </w:t>
      </w:r>
      <w:r w:rsidR="00977194" w:rsidRPr="00E51A80">
        <w:rPr>
          <w:rFonts w:ascii="Book Antiqua" w:hAnsi="Book Antiqua" w:cs="Calibri"/>
          <w:sz w:val="20"/>
          <w:szCs w:val="20"/>
          <w:lang w:val="en-US"/>
        </w:rPr>
        <w:t>0.</w:t>
      </w:r>
      <w:r w:rsidR="002B7963" w:rsidRPr="00E51A80">
        <w:rPr>
          <w:rFonts w:ascii="Book Antiqua" w:hAnsi="Book Antiqua" w:cs="Calibri"/>
          <w:sz w:val="20"/>
          <w:szCs w:val="20"/>
          <w:lang w:val="en-US"/>
        </w:rPr>
        <w:t>959, HR</w:t>
      </w:r>
      <w:r w:rsidR="00977194" w:rsidRPr="00E51A80">
        <w:rPr>
          <w:rFonts w:ascii="Book Antiqua" w:hAnsi="Book Antiqua" w:cs="Calibri"/>
          <w:sz w:val="20"/>
          <w:szCs w:val="20"/>
          <w:lang w:val="en-US"/>
        </w:rPr>
        <w:t>: 1.59</w:t>
      </w:r>
      <w:r w:rsidRPr="00E51A80">
        <w:rPr>
          <w:rFonts w:ascii="Book Antiqua" w:hAnsi="Book Antiqua" w:cs="Calibri"/>
          <w:sz w:val="20"/>
          <w:szCs w:val="20"/>
          <w:lang w:val="en-US"/>
        </w:rPr>
        <w:t>,</w:t>
      </w:r>
      <w:r w:rsidR="00977194" w:rsidRPr="00E51A80">
        <w:rPr>
          <w:rFonts w:ascii="Book Antiqua" w:hAnsi="Book Antiqua" w:cs="Calibri"/>
          <w:sz w:val="20"/>
          <w:szCs w:val="20"/>
          <w:lang w:val="en-US"/>
        </w:rPr>
        <w:t xml:space="preserve"> </w:t>
      </w:r>
      <w:r w:rsidR="00D2120A" w:rsidRPr="00E51A80">
        <w:rPr>
          <w:rFonts w:ascii="Book Antiqua" w:hAnsi="Book Antiqua" w:cs="Calibri"/>
          <w:sz w:val="20"/>
          <w:szCs w:val="20"/>
          <w:lang w:val="en-US"/>
        </w:rPr>
        <w:t>95%CI</w:t>
      </w:r>
      <w:r w:rsidR="00977194" w:rsidRPr="00E51A80">
        <w:rPr>
          <w:rFonts w:ascii="Book Antiqua" w:hAnsi="Book Antiqua" w:cs="Calibri"/>
          <w:sz w:val="20"/>
          <w:szCs w:val="20"/>
          <w:lang w:val="en-US"/>
        </w:rPr>
        <w:t xml:space="preserve">: </w:t>
      </w:r>
      <w:r w:rsidR="002B7963" w:rsidRPr="00E51A80">
        <w:rPr>
          <w:rFonts w:ascii="Book Antiqua" w:hAnsi="Book Antiqua" w:cs="Calibri"/>
          <w:sz w:val="20"/>
          <w:szCs w:val="20"/>
          <w:lang w:val="en-US"/>
        </w:rPr>
        <w:t xml:space="preserve">0.32–7.71; </w:t>
      </w:r>
      <w:r w:rsidR="002B7963" w:rsidRPr="00E51A80">
        <w:rPr>
          <w:rFonts w:ascii="Book Antiqua" w:hAnsi="Book Antiqua" w:cs="Calibri"/>
          <w:i/>
          <w:sz w:val="20"/>
          <w:szCs w:val="20"/>
          <w:lang w:val="en-US"/>
        </w:rPr>
        <w:t>P</w:t>
      </w:r>
      <w:r w:rsidR="001E2BA5" w:rsidRPr="00E51A80">
        <w:rPr>
          <w:rFonts w:ascii="Book Antiqua" w:hAnsi="Book Antiqua" w:cs="Calibri"/>
          <w:sz w:val="20"/>
          <w:szCs w:val="20"/>
          <w:lang w:val="en-US"/>
        </w:rPr>
        <w:t xml:space="preserve"> = </w:t>
      </w:r>
      <w:r w:rsidR="002B7963" w:rsidRPr="00E51A80">
        <w:rPr>
          <w:rFonts w:ascii="Book Antiqua" w:hAnsi="Book Antiqua" w:cs="Calibri"/>
          <w:sz w:val="20"/>
          <w:szCs w:val="20"/>
          <w:lang w:val="en-US"/>
        </w:rPr>
        <w:t xml:space="preserve">0.56); </w:t>
      </w:r>
      <w:proofErr w:type="spellStart"/>
      <w:r w:rsidR="002B7963" w:rsidRPr="00E51A80">
        <w:rPr>
          <w:rFonts w:ascii="Book Antiqua" w:hAnsi="Book Antiqua" w:cs="Calibri"/>
          <w:sz w:val="20"/>
          <w:szCs w:val="20"/>
          <w:lang w:val="en-US"/>
        </w:rPr>
        <w:t>everolimus</w:t>
      </w:r>
      <w:proofErr w:type="spellEnd"/>
      <w:r w:rsidR="002B7963" w:rsidRPr="00E51A80">
        <w:rPr>
          <w:rFonts w:ascii="Book Antiqua" w:hAnsi="Book Antiqua" w:cs="Calibri"/>
          <w:sz w:val="20"/>
          <w:szCs w:val="20"/>
          <w:lang w:val="en-US"/>
        </w:rPr>
        <w:t xml:space="preserve"> (</w:t>
      </w:r>
      <w:r w:rsidR="002B7963" w:rsidRPr="00E51A80">
        <w:rPr>
          <w:rFonts w:ascii="Book Antiqua" w:hAnsi="Book Antiqua" w:cs="Calibri"/>
          <w:i/>
          <w:sz w:val="20"/>
          <w:szCs w:val="20"/>
          <w:lang w:val="en-US"/>
        </w:rPr>
        <w:t>P</w:t>
      </w:r>
      <w:r w:rsidR="00977194" w:rsidRPr="00E51A80">
        <w:rPr>
          <w:rFonts w:ascii="Book Antiqua" w:hAnsi="Book Antiqua" w:cs="Calibri"/>
          <w:sz w:val="20"/>
          <w:szCs w:val="20"/>
          <w:lang w:val="en-US"/>
        </w:rPr>
        <w:t xml:space="preserve"> </w:t>
      </w:r>
      <w:r w:rsidR="002B7963" w:rsidRPr="00E51A80">
        <w:rPr>
          <w:rFonts w:ascii="Book Antiqua" w:hAnsi="Book Antiqua" w:cs="Calibri"/>
          <w:sz w:val="20"/>
          <w:szCs w:val="20"/>
          <w:lang w:val="en-US"/>
        </w:rPr>
        <w:t>= 0.97,</w:t>
      </w:r>
      <w:r w:rsidR="002B7963" w:rsidRPr="00E51A80">
        <w:rPr>
          <w:rFonts w:ascii="Book Antiqua" w:hAnsi="Book Antiqua" w:cs="Book Antiqua"/>
          <w:sz w:val="20"/>
          <w:szCs w:val="20"/>
          <w:lang w:val="en-US"/>
        </w:rPr>
        <w:t xml:space="preserve"> </w:t>
      </w:r>
      <w:r w:rsidR="002B7963" w:rsidRPr="00E51A80">
        <w:rPr>
          <w:rFonts w:ascii="Book Antiqua" w:hAnsi="Book Antiqua" w:cs="Calibri"/>
          <w:sz w:val="20"/>
          <w:szCs w:val="20"/>
          <w:lang w:val="en-US"/>
        </w:rPr>
        <w:t>HR</w:t>
      </w:r>
      <w:r w:rsidR="00977194" w:rsidRPr="00E51A80">
        <w:rPr>
          <w:rFonts w:ascii="Book Antiqua" w:hAnsi="Book Antiqua" w:cs="Calibri"/>
          <w:sz w:val="20"/>
          <w:szCs w:val="20"/>
          <w:lang w:val="en-US"/>
        </w:rPr>
        <w:t>: 0.85</w:t>
      </w:r>
      <w:r w:rsidRPr="00E51A80">
        <w:rPr>
          <w:rFonts w:ascii="Book Antiqua" w:hAnsi="Book Antiqua" w:cs="Calibri"/>
          <w:sz w:val="20"/>
          <w:szCs w:val="20"/>
          <w:lang w:val="en-US"/>
        </w:rPr>
        <w:t>,</w:t>
      </w:r>
      <w:r w:rsidR="00977194" w:rsidRPr="00E51A80">
        <w:rPr>
          <w:rFonts w:ascii="Book Antiqua" w:hAnsi="Book Antiqua" w:cs="Calibri"/>
          <w:sz w:val="20"/>
          <w:szCs w:val="20"/>
          <w:lang w:val="en-US"/>
        </w:rPr>
        <w:t xml:space="preserve"> </w:t>
      </w:r>
      <w:r w:rsidR="00D2120A" w:rsidRPr="00E51A80">
        <w:rPr>
          <w:rFonts w:ascii="Book Antiqua" w:hAnsi="Book Antiqua" w:cs="Calibri"/>
          <w:sz w:val="20"/>
          <w:szCs w:val="20"/>
          <w:lang w:val="en-US"/>
        </w:rPr>
        <w:t>95%CI</w:t>
      </w:r>
      <w:r w:rsidR="00977194" w:rsidRPr="00E51A80">
        <w:rPr>
          <w:rFonts w:ascii="Book Antiqua" w:hAnsi="Book Antiqua" w:cs="Calibri"/>
          <w:sz w:val="20"/>
          <w:szCs w:val="20"/>
          <w:lang w:val="en-US"/>
        </w:rPr>
        <w:t>:</w:t>
      </w:r>
      <w:r w:rsidR="002B7963" w:rsidRPr="00E51A80">
        <w:rPr>
          <w:rFonts w:ascii="Book Antiqua" w:hAnsi="Book Antiqua" w:cs="Calibri"/>
          <w:sz w:val="20"/>
          <w:szCs w:val="20"/>
          <w:lang w:val="en-US"/>
        </w:rPr>
        <w:t xml:space="preserve"> 0.21–3.35; </w:t>
      </w:r>
      <w:r w:rsidR="002B7963" w:rsidRPr="00E51A80">
        <w:rPr>
          <w:rFonts w:ascii="Book Antiqua" w:hAnsi="Book Antiqua" w:cs="Calibri"/>
          <w:i/>
          <w:sz w:val="20"/>
          <w:szCs w:val="20"/>
          <w:lang w:val="en-US"/>
        </w:rPr>
        <w:t>P</w:t>
      </w:r>
      <w:r w:rsidR="001E2BA5" w:rsidRPr="00E51A80">
        <w:rPr>
          <w:rFonts w:ascii="Book Antiqua" w:hAnsi="Book Antiqua" w:cs="Calibri"/>
          <w:sz w:val="20"/>
          <w:szCs w:val="20"/>
          <w:lang w:val="en-US"/>
        </w:rPr>
        <w:t xml:space="preserve"> = </w:t>
      </w:r>
      <w:r w:rsidR="002B7963" w:rsidRPr="00E51A80">
        <w:rPr>
          <w:rFonts w:ascii="Book Antiqua" w:hAnsi="Book Antiqua" w:cs="Calibri"/>
          <w:sz w:val="20"/>
          <w:szCs w:val="20"/>
          <w:lang w:val="en-US"/>
        </w:rPr>
        <w:t xml:space="preserve">0.82); </w:t>
      </w:r>
      <w:proofErr w:type="spellStart"/>
      <w:r w:rsidR="00A82252" w:rsidRPr="00E51A80">
        <w:rPr>
          <w:rFonts w:ascii="Book Antiqua" w:hAnsi="Book Antiqua" w:cs="Calibri"/>
          <w:sz w:val="20"/>
          <w:szCs w:val="20"/>
          <w:lang w:val="en-US"/>
        </w:rPr>
        <w:t>sunitinib</w:t>
      </w:r>
      <w:proofErr w:type="spellEnd"/>
      <w:r w:rsidR="00A82252" w:rsidRPr="00E51A80">
        <w:rPr>
          <w:rFonts w:ascii="Book Antiqua" w:hAnsi="Book Antiqua" w:cs="Calibri"/>
          <w:sz w:val="20"/>
          <w:szCs w:val="20"/>
          <w:lang w:val="en-US"/>
        </w:rPr>
        <w:t xml:space="preserve"> </w:t>
      </w:r>
      <w:r w:rsidR="002B7963" w:rsidRPr="00E51A80">
        <w:rPr>
          <w:rFonts w:ascii="Book Antiqua" w:hAnsi="Book Antiqua" w:cs="Calibri"/>
          <w:sz w:val="20"/>
          <w:szCs w:val="20"/>
          <w:lang w:val="en-US"/>
        </w:rPr>
        <w:t>(</w:t>
      </w:r>
      <w:r w:rsidR="002B7963" w:rsidRPr="00E51A80">
        <w:rPr>
          <w:rFonts w:ascii="Book Antiqua" w:hAnsi="Book Antiqua" w:cs="Calibri"/>
          <w:i/>
          <w:sz w:val="20"/>
          <w:szCs w:val="20"/>
          <w:lang w:val="en-US"/>
        </w:rPr>
        <w:t>P</w:t>
      </w:r>
      <w:r w:rsidR="00977194" w:rsidRPr="00E51A80">
        <w:rPr>
          <w:rFonts w:ascii="Book Antiqua" w:hAnsi="Book Antiqua" w:cs="Calibri"/>
          <w:sz w:val="20"/>
          <w:szCs w:val="20"/>
          <w:lang w:val="en-US"/>
        </w:rPr>
        <w:t xml:space="preserve"> </w:t>
      </w:r>
      <w:r w:rsidR="002B7963" w:rsidRPr="00E51A80">
        <w:rPr>
          <w:rFonts w:ascii="Book Antiqua" w:hAnsi="Book Antiqua" w:cs="Calibri"/>
          <w:sz w:val="20"/>
          <w:szCs w:val="20"/>
          <w:lang w:val="en-US"/>
        </w:rPr>
        <w:t>= 0.993, HR</w:t>
      </w:r>
      <w:r w:rsidR="00977194" w:rsidRPr="00E51A80">
        <w:rPr>
          <w:rFonts w:ascii="Book Antiqua" w:hAnsi="Book Antiqua" w:cs="Calibri"/>
          <w:sz w:val="20"/>
          <w:szCs w:val="20"/>
          <w:lang w:val="en-US"/>
        </w:rPr>
        <w:t>: 0.85</w:t>
      </w:r>
      <w:r w:rsidRPr="00E51A80">
        <w:rPr>
          <w:rFonts w:ascii="Book Antiqua" w:hAnsi="Book Antiqua" w:cs="Calibri"/>
          <w:sz w:val="20"/>
          <w:szCs w:val="20"/>
          <w:lang w:val="en-US"/>
        </w:rPr>
        <w:t>,</w:t>
      </w:r>
      <w:r w:rsidR="00977194" w:rsidRPr="00E51A80">
        <w:rPr>
          <w:rFonts w:ascii="Book Antiqua" w:hAnsi="Book Antiqua" w:cs="Calibri"/>
          <w:sz w:val="20"/>
          <w:szCs w:val="20"/>
          <w:lang w:val="en-US"/>
        </w:rPr>
        <w:t xml:space="preserve"> </w:t>
      </w:r>
      <w:r w:rsidR="00D2120A" w:rsidRPr="00E51A80">
        <w:rPr>
          <w:rFonts w:ascii="Book Antiqua" w:hAnsi="Book Antiqua" w:cs="Calibri"/>
          <w:sz w:val="20"/>
          <w:szCs w:val="20"/>
          <w:lang w:val="en-US"/>
        </w:rPr>
        <w:t>95%CI</w:t>
      </w:r>
      <w:r w:rsidR="00977194" w:rsidRPr="00E51A80">
        <w:rPr>
          <w:rFonts w:ascii="Book Antiqua" w:hAnsi="Book Antiqua" w:cs="Calibri"/>
          <w:sz w:val="20"/>
          <w:szCs w:val="20"/>
          <w:lang w:val="en-US"/>
        </w:rPr>
        <w:t>:</w:t>
      </w:r>
      <w:r w:rsidR="002B7963" w:rsidRPr="00E51A80">
        <w:rPr>
          <w:rFonts w:ascii="Book Antiqua" w:hAnsi="Book Antiqua" w:cs="Calibri"/>
          <w:sz w:val="20"/>
          <w:szCs w:val="20"/>
          <w:lang w:val="en-US"/>
        </w:rPr>
        <w:t xml:space="preserve"> 0.23–3.04; </w:t>
      </w:r>
      <w:r w:rsidR="002B7963" w:rsidRPr="00E51A80">
        <w:rPr>
          <w:rFonts w:ascii="Book Antiqua" w:hAnsi="Book Antiqua" w:cs="Calibri"/>
          <w:i/>
          <w:sz w:val="20"/>
          <w:szCs w:val="20"/>
          <w:lang w:val="en-US"/>
        </w:rPr>
        <w:t>P</w:t>
      </w:r>
      <w:r w:rsidR="001E2BA5" w:rsidRPr="00E51A80">
        <w:rPr>
          <w:rFonts w:ascii="Book Antiqua" w:hAnsi="Book Antiqua" w:cs="Calibri"/>
          <w:sz w:val="20"/>
          <w:szCs w:val="20"/>
          <w:lang w:val="en-US"/>
        </w:rPr>
        <w:t xml:space="preserve"> = </w:t>
      </w:r>
      <w:r w:rsidR="002B7963" w:rsidRPr="00E51A80">
        <w:rPr>
          <w:rFonts w:ascii="Book Antiqua" w:hAnsi="Book Antiqua" w:cs="Calibri"/>
          <w:sz w:val="20"/>
          <w:szCs w:val="20"/>
          <w:lang w:val="en-US"/>
        </w:rPr>
        <w:t>0.80); interferon (</w:t>
      </w:r>
      <w:r w:rsidR="002B7963" w:rsidRPr="00E51A80">
        <w:rPr>
          <w:rFonts w:ascii="Book Antiqua" w:hAnsi="Book Antiqua" w:cs="Calibri"/>
          <w:i/>
          <w:sz w:val="20"/>
          <w:szCs w:val="20"/>
          <w:lang w:val="en-US"/>
        </w:rPr>
        <w:t>P</w:t>
      </w:r>
      <w:r w:rsidR="00977194" w:rsidRPr="00E51A80">
        <w:rPr>
          <w:rFonts w:ascii="Book Antiqua" w:hAnsi="Book Antiqua" w:cs="Calibri"/>
          <w:sz w:val="20"/>
          <w:szCs w:val="20"/>
          <w:lang w:val="en-US"/>
        </w:rPr>
        <w:t xml:space="preserve"> </w:t>
      </w:r>
      <w:r w:rsidR="002B7963" w:rsidRPr="00E51A80">
        <w:rPr>
          <w:rFonts w:ascii="Book Antiqua" w:hAnsi="Book Antiqua" w:cs="Calibri"/>
          <w:sz w:val="20"/>
          <w:szCs w:val="20"/>
          <w:lang w:val="en-US"/>
        </w:rPr>
        <w:t>= 0.945, HR</w:t>
      </w:r>
      <w:r w:rsidR="00977194" w:rsidRPr="00E51A80">
        <w:rPr>
          <w:rFonts w:ascii="Book Antiqua" w:hAnsi="Book Antiqua" w:cs="Calibri"/>
          <w:sz w:val="20"/>
          <w:szCs w:val="20"/>
          <w:lang w:val="en-US"/>
        </w:rPr>
        <w:t>: 1.04</w:t>
      </w:r>
      <w:r w:rsidRPr="00E51A80">
        <w:rPr>
          <w:rFonts w:ascii="Book Antiqua" w:hAnsi="Book Antiqua" w:cs="Calibri"/>
          <w:sz w:val="20"/>
          <w:szCs w:val="20"/>
          <w:lang w:val="en-US"/>
        </w:rPr>
        <w:t>,</w:t>
      </w:r>
      <w:r w:rsidR="00977194" w:rsidRPr="00E51A80">
        <w:rPr>
          <w:rFonts w:ascii="Book Antiqua" w:hAnsi="Book Antiqua" w:cs="Calibri"/>
          <w:sz w:val="20"/>
          <w:szCs w:val="20"/>
          <w:lang w:val="en-US"/>
        </w:rPr>
        <w:t xml:space="preserve"> </w:t>
      </w:r>
      <w:r w:rsidR="00D2120A" w:rsidRPr="00E51A80">
        <w:rPr>
          <w:rFonts w:ascii="Book Antiqua" w:hAnsi="Book Antiqua" w:cs="Calibri"/>
          <w:sz w:val="20"/>
          <w:szCs w:val="20"/>
          <w:lang w:val="en-US"/>
        </w:rPr>
        <w:t>95%CI</w:t>
      </w:r>
      <w:r w:rsidR="00977194" w:rsidRPr="00E51A80">
        <w:rPr>
          <w:rFonts w:ascii="Book Antiqua" w:hAnsi="Book Antiqua" w:cs="Calibri"/>
          <w:sz w:val="20"/>
          <w:szCs w:val="20"/>
          <w:lang w:val="en-US"/>
        </w:rPr>
        <w:t>:</w:t>
      </w:r>
      <w:r w:rsidR="002B7963" w:rsidRPr="00E51A80">
        <w:rPr>
          <w:rFonts w:ascii="Book Antiqua" w:hAnsi="Book Antiqua" w:cs="Calibri"/>
          <w:sz w:val="20"/>
          <w:szCs w:val="20"/>
          <w:lang w:val="en-US"/>
        </w:rPr>
        <w:t xml:space="preserve"> 0.21–5.17; </w:t>
      </w:r>
      <w:r w:rsidR="002B7963" w:rsidRPr="00E51A80">
        <w:rPr>
          <w:rFonts w:ascii="Book Antiqua" w:hAnsi="Book Antiqua" w:cs="Calibri"/>
          <w:i/>
          <w:sz w:val="20"/>
          <w:szCs w:val="20"/>
          <w:lang w:val="en-US"/>
        </w:rPr>
        <w:t>P</w:t>
      </w:r>
      <w:r w:rsidR="001E2BA5" w:rsidRPr="00E51A80">
        <w:rPr>
          <w:rFonts w:ascii="Book Antiqua" w:hAnsi="Book Antiqua" w:cs="Calibri"/>
          <w:sz w:val="20"/>
          <w:szCs w:val="20"/>
          <w:lang w:val="en-US"/>
        </w:rPr>
        <w:t xml:space="preserve"> = </w:t>
      </w:r>
      <w:r w:rsidR="002B7963" w:rsidRPr="00E51A80">
        <w:rPr>
          <w:rFonts w:ascii="Book Antiqua" w:hAnsi="Book Antiqua" w:cs="Calibri"/>
          <w:sz w:val="20"/>
          <w:szCs w:val="20"/>
          <w:lang w:val="en-US"/>
        </w:rPr>
        <w:t xml:space="preserve">0.95); </w:t>
      </w:r>
      <w:proofErr w:type="spellStart"/>
      <w:r w:rsidR="002B7963" w:rsidRPr="00E51A80">
        <w:rPr>
          <w:rFonts w:ascii="Book Antiqua" w:hAnsi="Book Antiqua" w:cs="Calibri"/>
          <w:sz w:val="20"/>
          <w:szCs w:val="20"/>
          <w:lang w:val="en-US"/>
        </w:rPr>
        <w:t>radioembolization</w:t>
      </w:r>
      <w:proofErr w:type="spellEnd"/>
      <w:r w:rsidR="002B7963" w:rsidRPr="00E51A80">
        <w:rPr>
          <w:rFonts w:ascii="Book Antiqua" w:hAnsi="Book Antiqua" w:cs="Calibri"/>
          <w:sz w:val="20"/>
          <w:szCs w:val="20"/>
          <w:lang w:val="en-US"/>
        </w:rPr>
        <w:t xml:space="preserve"> (</w:t>
      </w:r>
      <w:r w:rsidR="002B7963" w:rsidRPr="00E51A80">
        <w:rPr>
          <w:rFonts w:ascii="Book Antiqua" w:hAnsi="Book Antiqua" w:cs="Calibri"/>
          <w:i/>
          <w:caps/>
          <w:sz w:val="20"/>
          <w:szCs w:val="20"/>
          <w:lang w:val="en-US"/>
        </w:rPr>
        <w:t>p</w:t>
      </w:r>
      <w:r w:rsidR="001E2BA5" w:rsidRPr="00E51A80">
        <w:rPr>
          <w:rFonts w:ascii="Book Antiqua" w:hAnsi="Book Antiqua" w:cs="Calibri"/>
          <w:sz w:val="20"/>
          <w:szCs w:val="20"/>
          <w:lang w:val="en-US"/>
        </w:rPr>
        <w:t xml:space="preserve"> = </w:t>
      </w:r>
      <w:r w:rsidR="002B7963" w:rsidRPr="00E51A80">
        <w:rPr>
          <w:rFonts w:ascii="Book Antiqua" w:hAnsi="Book Antiqua" w:cs="Calibri"/>
          <w:sz w:val="20"/>
          <w:szCs w:val="20"/>
          <w:lang w:val="en-US"/>
        </w:rPr>
        <w:t>0</w:t>
      </w:r>
      <w:r w:rsidR="00977194" w:rsidRPr="00E51A80">
        <w:rPr>
          <w:rFonts w:ascii="Book Antiqua" w:hAnsi="Book Antiqua" w:cs="Calibri"/>
          <w:sz w:val="20"/>
          <w:szCs w:val="20"/>
          <w:lang w:val="en-US"/>
        </w:rPr>
        <w:t>.</w:t>
      </w:r>
      <w:r w:rsidR="002B7963" w:rsidRPr="00E51A80">
        <w:rPr>
          <w:rFonts w:ascii="Book Antiqua" w:hAnsi="Book Antiqua" w:cs="Calibri"/>
          <w:sz w:val="20"/>
          <w:szCs w:val="20"/>
          <w:lang w:val="en-US"/>
        </w:rPr>
        <w:t xml:space="preserve">425); </w:t>
      </w:r>
      <w:proofErr w:type="spellStart"/>
      <w:r w:rsidR="00A82252" w:rsidRPr="00E51A80">
        <w:rPr>
          <w:rFonts w:ascii="Book Antiqua" w:hAnsi="Book Antiqua" w:cs="Calibri"/>
          <w:sz w:val="20"/>
          <w:szCs w:val="20"/>
          <w:lang w:val="en-US"/>
        </w:rPr>
        <w:t>quimioembolization</w:t>
      </w:r>
      <w:proofErr w:type="spellEnd"/>
      <w:r w:rsidR="00A82252" w:rsidRPr="00E51A80">
        <w:rPr>
          <w:rFonts w:ascii="Book Antiqua" w:hAnsi="Book Antiqua" w:cs="Calibri"/>
          <w:sz w:val="20"/>
          <w:szCs w:val="20"/>
          <w:lang w:val="en-US"/>
        </w:rPr>
        <w:t xml:space="preserve"> </w:t>
      </w:r>
      <w:r w:rsidR="002B7963" w:rsidRPr="00E51A80">
        <w:rPr>
          <w:rFonts w:ascii="Book Antiqua" w:hAnsi="Book Antiqua" w:cs="Calibri"/>
          <w:sz w:val="20"/>
          <w:szCs w:val="20"/>
          <w:lang w:val="en-US"/>
        </w:rPr>
        <w:t>(</w:t>
      </w:r>
      <w:r w:rsidR="002B7963" w:rsidRPr="00E51A80">
        <w:rPr>
          <w:rFonts w:ascii="Book Antiqua" w:hAnsi="Book Antiqua" w:cs="Calibri"/>
          <w:i/>
          <w:caps/>
          <w:sz w:val="20"/>
          <w:szCs w:val="20"/>
          <w:lang w:val="en-US"/>
        </w:rPr>
        <w:t>p</w:t>
      </w:r>
      <w:r w:rsidR="00977194" w:rsidRPr="00E51A80">
        <w:rPr>
          <w:rFonts w:ascii="Book Antiqua" w:hAnsi="Book Antiqua" w:cs="Calibri"/>
          <w:sz w:val="20"/>
          <w:szCs w:val="20"/>
          <w:lang w:val="en-US"/>
        </w:rPr>
        <w:t xml:space="preserve"> </w:t>
      </w:r>
      <w:r w:rsidR="002B7963" w:rsidRPr="00E51A80">
        <w:rPr>
          <w:rFonts w:ascii="Book Antiqua" w:hAnsi="Book Antiqua" w:cs="Calibri"/>
          <w:sz w:val="20"/>
          <w:szCs w:val="20"/>
          <w:lang w:val="en-US"/>
        </w:rPr>
        <w:t>= 0.972, HR</w:t>
      </w:r>
      <w:r w:rsidR="00977194" w:rsidRPr="00E51A80">
        <w:rPr>
          <w:rFonts w:ascii="Book Antiqua" w:hAnsi="Book Antiqua" w:cs="Calibri"/>
          <w:sz w:val="20"/>
          <w:szCs w:val="20"/>
          <w:lang w:val="en-US"/>
        </w:rPr>
        <w:t>: 0.25</w:t>
      </w:r>
      <w:r w:rsidRPr="00E51A80">
        <w:rPr>
          <w:rFonts w:ascii="Book Antiqua" w:hAnsi="Book Antiqua" w:cs="Calibri"/>
          <w:sz w:val="20"/>
          <w:szCs w:val="20"/>
          <w:lang w:val="en-US"/>
        </w:rPr>
        <w:t>,</w:t>
      </w:r>
      <w:r w:rsidR="00977194" w:rsidRPr="00E51A80">
        <w:rPr>
          <w:rFonts w:ascii="Book Antiqua" w:hAnsi="Book Antiqua" w:cs="Calibri"/>
          <w:sz w:val="20"/>
          <w:szCs w:val="20"/>
          <w:lang w:val="en-US"/>
        </w:rPr>
        <w:t xml:space="preserve"> </w:t>
      </w:r>
      <w:r w:rsidR="00D2120A" w:rsidRPr="00E51A80">
        <w:rPr>
          <w:rFonts w:ascii="Book Antiqua" w:hAnsi="Book Antiqua" w:cs="Calibri"/>
          <w:sz w:val="20"/>
          <w:szCs w:val="20"/>
          <w:lang w:val="en-US"/>
        </w:rPr>
        <w:t>95%CI</w:t>
      </w:r>
      <w:r w:rsidR="00977194" w:rsidRPr="00E51A80">
        <w:rPr>
          <w:rFonts w:ascii="Book Antiqua" w:hAnsi="Book Antiqua" w:cs="Calibri"/>
          <w:sz w:val="20"/>
          <w:szCs w:val="20"/>
          <w:lang w:val="en-US"/>
        </w:rPr>
        <w:t>:</w:t>
      </w:r>
      <w:r w:rsidR="002B7963" w:rsidRPr="00E51A80">
        <w:rPr>
          <w:rFonts w:ascii="Book Antiqua" w:hAnsi="Book Antiqua" w:cs="Calibri"/>
          <w:sz w:val="20"/>
          <w:szCs w:val="20"/>
          <w:lang w:val="en-US"/>
        </w:rPr>
        <w:t xml:space="preserve"> 0.02–2.53; </w:t>
      </w:r>
      <w:r w:rsidR="002B7963" w:rsidRPr="00E51A80">
        <w:rPr>
          <w:rFonts w:ascii="Book Antiqua" w:hAnsi="Book Antiqua" w:cs="Calibri"/>
          <w:i/>
          <w:sz w:val="20"/>
          <w:szCs w:val="20"/>
          <w:lang w:val="en-US"/>
        </w:rPr>
        <w:t>P</w:t>
      </w:r>
      <w:r w:rsidR="001E2BA5" w:rsidRPr="00E51A80">
        <w:rPr>
          <w:rFonts w:ascii="Book Antiqua" w:hAnsi="Book Antiqua" w:cs="Calibri"/>
          <w:sz w:val="20"/>
          <w:szCs w:val="20"/>
          <w:lang w:val="en-US"/>
        </w:rPr>
        <w:t xml:space="preserve"> =</w:t>
      </w:r>
      <w:r w:rsidR="002B7963" w:rsidRPr="00E51A80">
        <w:rPr>
          <w:rFonts w:ascii="Book Antiqua" w:hAnsi="Book Antiqua" w:cs="Calibri"/>
          <w:sz w:val="20"/>
          <w:szCs w:val="20"/>
          <w:lang w:val="en-US"/>
        </w:rPr>
        <w:t xml:space="preserve"> 0.24)</w:t>
      </w:r>
      <w:r w:rsidR="00FC410F" w:rsidRPr="00E51A80">
        <w:rPr>
          <w:rFonts w:ascii="Book Antiqua" w:hAnsi="Book Antiqua" w:cs="Calibri"/>
          <w:sz w:val="20"/>
          <w:szCs w:val="20"/>
          <w:lang w:val="en-US"/>
        </w:rPr>
        <w:t>;</w:t>
      </w:r>
      <w:r w:rsidR="002B7963" w:rsidRPr="00E51A80">
        <w:rPr>
          <w:rFonts w:ascii="Book Antiqua" w:hAnsi="Book Antiqua" w:cs="Calibri"/>
          <w:sz w:val="20"/>
          <w:szCs w:val="20"/>
          <w:lang w:val="en-US"/>
        </w:rPr>
        <w:t xml:space="preserve"> and </w:t>
      </w:r>
      <w:proofErr w:type="spellStart"/>
      <w:r w:rsidR="00A82252" w:rsidRPr="00E51A80">
        <w:rPr>
          <w:rFonts w:ascii="Book Antiqua" w:hAnsi="Book Antiqua" w:cs="Calibri"/>
          <w:sz w:val="20"/>
          <w:szCs w:val="20"/>
          <w:lang w:val="en-US"/>
        </w:rPr>
        <w:t>quimiotherapy</w:t>
      </w:r>
      <w:proofErr w:type="spellEnd"/>
      <w:r w:rsidR="00A82252" w:rsidRPr="00E51A80">
        <w:rPr>
          <w:rFonts w:ascii="Book Antiqua" w:hAnsi="Book Antiqua" w:cs="Calibri"/>
          <w:sz w:val="20"/>
          <w:szCs w:val="20"/>
          <w:lang w:val="en-US"/>
        </w:rPr>
        <w:t xml:space="preserve"> </w:t>
      </w:r>
      <w:r w:rsidR="002B7963" w:rsidRPr="00E51A80">
        <w:rPr>
          <w:rFonts w:ascii="Book Antiqua" w:hAnsi="Book Antiqua" w:cs="Calibri"/>
          <w:sz w:val="20"/>
          <w:szCs w:val="20"/>
          <w:lang w:val="en-US"/>
        </w:rPr>
        <w:t>(</w:t>
      </w:r>
      <w:r w:rsidR="002B7963" w:rsidRPr="00E51A80">
        <w:rPr>
          <w:rFonts w:ascii="Book Antiqua" w:hAnsi="Book Antiqua" w:cs="Calibri"/>
          <w:i/>
          <w:sz w:val="20"/>
          <w:szCs w:val="20"/>
          <w:lang w:val="en-US"/>
        </w:rPr>
        <w:t>P</w:t>
      </w:r>
      <w:r w:rsidR="00977194" w:rsidRPr="00E51A80">
        <w:rPr>
          <w:rFonts w:ascii="Book Antiqua" w:hAnsi="Book Antiqua" w:cs="Calibri"/>
          <w:sz w:val="20"/>
          <w:szCs w:val="20"/>
          <w:lang w:val="en-US"/>
        </w:rPr>
        <w:t xml:space="preserve"> </w:t>
      </w:r>
      <w:r w:rsidR="00F63757" w:rsidRPr="00E51A80">
        <w:rPr>
          <w:rFonts w:ascii="Book Antiqua" w:hAnsi="Book Antiqua" w:cs="Calibri"/>
          <w:sz w:val="20"/>
          <w:szCs w:val="20"/>
          <w:lang w:val="en-US"/>
        </w:rPr>
        <w:t>=</w:t>
      </w:r>
      <w:r w:rsidR="002B7963" w:rsidRPr="00E51A80">
        <w:rPr>
          <w:rFonts w:ascii="Book Antiqua" w:hAnsi="Book Antiqua" w:cs="Calibri"/>
          <w:sz w:val="20"/>
          <w:szCs w:val="20"/>
          <w:lang w:val="en-US"/>
        </w:rPr>
        <w:t xml:space="preserve"> 0.06, HR</w:t>
      </w:r>
      <w:r w:rsidR="00977194" w:rsidRPr="00E51A80">
        <w:rPr>
          <w:rFonts w:ascii="Book Antiqua" w:hAnsi="Book Antiqua" w:cs="Calibri"/>
          <w:sz w:val="20"/>
          <w:szCs w:val="20"/>
          <w:lang w:val="en-US"/>
        </w:rPr>
        <w:t>: 0.42</w:t>
      </w:r>
      <w:r w:rsidR="00FC410F" w:rsidRPr="00E51A80">
        <w:rPr>
          <w:rFonts w:ascii="Book Antiqua" w:hAnsi="Book Antiqua" w:cs="Calibri"/>
          <w:sz w:val="20"/>
          <w:szCs w:val="20"/>
          <w:lang w:val="en-US"/>
        </w:rPr>
        <w:t>,</w:t>
      </w:r>
      <w:r w:rsidR="00977194" w:rsidRPr="00E51A80">
        <w:rPr>
          <w:rFonts w:ascii="Book Antiqua" w:hAnsi="Book Antiqua" w:cs="Calibri"/>
          <w:sz w:val="20"/>
          <w:szCs w:val="20"/>
          <w:lang w:val="en-US"/>
        </w:rPr>
        <w:t xml:space="preserve"> </w:t>
      </w:r>
      <w:r w:rsidR="00D2120A" w:rsidRPr="00E51A80">
        <w:rPr>
          <w:rFonts w:ascii="Book Antiqua" w:hAnsi="Book Antiqua" w:cs="Calibri"/>
          <w:sz w:val="20"/>
          <w:szCs w:val="20"/>
          <w:lang w:val="en-US"/>
        </w:rPr>
        <w:t>95%CI</w:t>
      </w:r>
      <w:r w:rsidR="00977194" w:rsidRPr="00E51A80">
        <w:rPr>
          <w:rFonts w:ascii="Book Antiqua" w:hAnsi="Book Antiqua" w:cs="Calibri"/>
          <w:sz w:val="20"/>
          <w:szCs w:val="20"/>
          <w:lang w:val="en-US"/>
        </w:rPr>
        <w:t xml:space="preserve">: </w:t>
      </w:r>
      <w:r w:rsidR="002B7963" w:rsidRPr="00E51A80">
        <w:rPr>
          <w:rFonts w:ascii="Book Antiqua" w:hAnsi="Book Antiqua" w:cs="Calibri"/>
          <w:sz w:val="20"/>
          <w:szCs w:val="20"/>
          <w:lang w:val="en-US"/>
        </w:rPr>
        <w:t xml:space="preserve">0.12–1.52; </w:t>
      </w:r>
      <w:r w:rsidR="002B7963" w:rsidRPr="00E51A80">
        <w:rPr>
          <w:rFonts w:ascii="Book Antiqua" w:hAnsi="Book Antiqua" w:cs="Calibri"/>
          <w:i/>
          <w:sz w:val="20"/>
          <w:szCs w:val="20"/>
          <w:lang w:val="en-US"/>
        </w:rPr>
        <w:t>P</w:t>
      </w:r>
      <w:r w:rsidR="001E2BA5" w:rsidRPr="00E51A80">
        <w:rPr>
          <w:rFonts w:ascii="Book Antiqua" w:hAnsi="Book Antiqua" w:cs="Calibri"/>
          <w:sz w:val="20"/>
          <w:szCs w:val="20"/>
          <w:lang w:val="en-US"/>
        </w:rPr>
        <w:t xml:space="preserve"> =</w:t>
      </w:r>
      <w:r w:rsidR="00977194" w:rsidRPr="00E51A80">
        <w:rPr>
          <w:rFonts w:ascii="Book Antiqua" w:hAnsi="Book Antiqua" w:cs="Calibri"/>
          <w:sz w:val="20"/>
          <w:szCs w:val="20"/>
          <w:lang w:val="en-US"/>
        </w:rPr>
        <w:t xml:space="preserve"> 0.18).</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t>History of hypertension (</w:t>
      </w:r>
      <w:r w:rsidRPr="00E51A80">
        <w:rPr>
          <w:rFonts w:ascii="Book Antiqua" w:hAnsi="Book Antiqua" w:cs="Calibri"/>
          <w:i/>
          <w:sz w:val="20"/>
          <w:szCs w:val="20"/>
          <w:lang w:val="en-US"/>
        </w:rPr>
        <w:t>P</w:t>
      </w:r>
      <w:r w:rsidR="00A82252" w:rsidRPr="00E51A80">
        <w:rPr>
          <w:rFonts w:ascii="Book Antiqua" w:hAnsi="Book Antiqua" w:cs="Calibri"/>
          <w:sz w:val="20"/>
          <w:szCs w:val="20"/>
          <w:lang w:val="en-US"/>
        </w:rPr>
        <w:t xml:space="preserve"> = 0.</w:t>
      </w:r>
      <w:r w:rsidRPr="00E51A80">
        <w:rPr>
          <w:rFonts w:ascii="Book Antiqua" w:hAnsi="Book Antiqua" w:cs="Calibri"/>
          <w:sz w:val="20"/>
          <w:szCs w:val="20"/>
          <w:lang w:val="en-US"/>
        </w:rPr>
        <w:t>06), diabetes (</w:t>
      </w:r>
      <w:r w:rsidRPr="00E51A80">
        <w:rPr>
          <w:rFonts w:ascii="Book Antiqua" w:hAnsi="Book Antiqua" w:cs="Calibri"/>
          <w:i/>
          <w:sz w:val="20"/>
          <w:szCs w:val="20"/>
          <w:lang w:val="en-US"/>
        </w:rPr>
        <w:t>P</w:t>
      </w:r>
      <w:r w:rsidR="00A82252" w:rsidRPr="00E51A80">
        <w:rPr>
          <w:rFonts w:ascii="Book Antiqua" w:hAnsi="Book Antiqua" w:cs="Calibri"/>
          <w:sz w:val="20"/>
          <w:szCs w:val="20"/>
          <w:lang w:val="en-US"/>
        </w:rPr>
        <w:t xml:space="preserve"> = 0.</w:t>
      </w:r>
      <w:r w:rsidRPr="00E51A80">
        <w:rPr>
          <w:rFonts w:ascii="Book Antiqua" w:hAnsi="Book Antiqua" w:cs="Calibri"/>
          <w:sz w:val="20"/>
          <w:szCs w:val="20"/>
          <w:lang w:val="en-US"/>
        </w:rPr>
        <w:t>83), oncology diseases (</w:t>
      </w:r>
      <w:r w:rsidRPr="00E51A80">
        <w:rPr>
          <w:rFonts w:ascii="Book Antiqua" w:hAnsi="Book Antiqua" w:cs="Calibri"/>
          <w:i/>
          <w:sz w:val="20"/>
          <w:szCs w:val="20"/>
          <w:lang w:val="en-US"/>
        </w:rPr>
        <w:t>P</w:t>
      </w:r>
      <w:r w:rsidR="00A82252" w:rsidRPr="00E51A80">
        <w:rPr>
          <w:rFonts w:ascii="Book Antiqua" w:hAnsi="Book Antiqua" w:cs="Calibri"/>
          <w:sz w:val="20"/>
          <w:szCs w:val="20"/>
          <w:lang w:val="en-US"/>
        </w:rPr>
        <w:t xml:space="preserve"> = 0.</w:t>
      </w:r>
      <w:r w:rsidRPr="00E51A80">
        <w:rPr>
          <w:rFonts w:ascii="Book Antiqua" w:hAnsi="Book Antiqua" w:cs="Calibri"/>
          <w:sz w:val="20"/>
          <w:szCs w:val="20"/>
          <w:lang w:val="en-US"/>
        </w:rPr>
        <w:t>31),</w:t>
      </w:r>
      <w:r w:rsidR="00A82252" w:rsidRPr="00E51A80">
        <w:rPr>
          <w:rFonts w:ascii="Book Antiqua" w:hAnsi="Book Antiqua" w:cs="Calibri"/>
          <w:sz w:val="20"/>
          <w:szCs w:val="20"/>
          <w:lang w:val="en-US"/>
        </w:rPr>
        <w:t xml:space="preserve"> </w:t>
      </w:r>
      <w:r w:rsidRPr="00E51A80">
        <w:rPr>
          <w:rFonts w:ascii="Book Antiqua" w:hAnsi="Book Antiqua" w:cs="Calibri"/>
          <w:sz w:val="20"/>
          <w:szCs w:val="20"/>
          <w:lang w:val="en-US"/>
        </w:rPr>
        <w:t>smoking (</w:t>
      </w:r>
      <w:r w:rsidRPr="00E51A80">
        <w:rPr>
          <w:rFonts w:ascii="Book Antiqua" w:hAnsi="Book Antiqua" w:cs="Calibri"/>
          <w:i/>
          <w:sz w:val="20"/>
          <w:szCs w:val="20"/>
          <w:lang w:val="en-US"/>
        </w:rPr>
        <w:t>P</w:t>
      </w:r>
      <w:r w:rsidR="00A82252" w:rsidRPr="00E51A80">
        <w:rPr>
          <w:rFonts w:ascii="Book Antiqua" w:hAnsi="Book Antiqua" w:cs="Calibri"/>
          <w:sz w:val="20"/>
          <w:szCs w:val="20"/>
          <w:lang w:val="en-US"/>
        </w:rPr>
        <w:t xml:space="preserve"> = 0.</w:t>
      </w:r>
      <w:r w:rsidRPr="00E51A80">
        <w:rPr>
          <w:rFonts w:ascii="Book Antiqua" w:hAnsi="Book Antiqua" w:cs="Calibri"/>
          <w:sz w:val="20"/>
          <w:szCs w:val="20"/>
          <w:lang w:val="en-US"/>
        </w:rPr>
        <w:t>08) as well as other factors such as</w:t>
      </w:r>
      <w:r w:rsidR="00FC410F" w:rsidRPr="00E51A80">
        <w:rPr>
          <w:rFonts w:ascii="Book Antiqua" w:hAnsi="Book Antiqua" w:cs="Calibri"/>
          <w:sz w:val="20"/>
          <w:szCs w:val="20"/>
          <w:lang w:val="en-US"/>
        </w:rPr>
        <w:t xml:space="preserve"> t</w:t>
      </w:r>
      <w:r w:rsidR="00A82252" w:rsidRPr="00E51A80">
        <w:rPr>
          <w:rFonts w:ascii="Book Antiqua" w:hAnsi="Book Antiqua" w:cs="Calibri"/>
          <w:sz w:val="20"/>
          <w:szCs w:val="20"/>
          <w:lang w:val="en-US"/>
        </w:rPr>
        <w:t xml:space="preserve">he </w:t>
      </w:r>
      <w:r w:rsidRPr="00E51A80">
        <w:rPr>
          <w:rFonts w:ascii="Book Antiqua" w:hAnsi="Book Antiqua" w:cs="Calibri"/>
          <w:sz w:val="20"/>
          <w:szCs w:val="20"/>
          <w:lang w:val="en-US"/>
        </w:rPr>
        <w:t>location of the primary tumor (</w:t>
      </w:r>
      <w:r w:rsidRPr="00E51A80">
        <w:rPr>
          <w:rFonts w:ascii="Book Antiqua" w:hAnsi="Book Antiqua" w:cs="Calibri"/>
          <w:i/>
          <w:caps/>
          <w:sz w:val="20"/>
          <w:szCs w:val="20"/>
          <w:lang w:val="en-US"/>
        </w:rPr>
        <w:t>p</w:t>
      </w:r>
      <w:r w:rsidR="001E2BA5" w:rsidRPr="00E51A80">
        <w:rPr>
          <w:rFonts w:ascii="Book Antiqua" w:hAnsi="Book Antiqua" w:cs="Calibri"/>
          <w:sz w:val="20"/>
          <w:szCs w:val="20"/>
          <w:lang w:val="en-US"/>
        </w:rPr>
        <w:t xml:space="preserve"> =</w:t>
      </w:r>
      <w:r w:rsidR="00A82252" w:rsidRPr="00E51A80">
        <w:rPr>
          <w:rFonts w:ascii="Book Antiqua" w:hAnsi="Book Antiqua" w:cs="Calibri"/>
          <w:sz w:val="20"/>
          <w:szCs w:val="20"/>
          <w:lang w:val="en-US"/>
        </w:rPr>
        <w:t xml:space="preserve"> 0.426), </w:t>
      </w:r>
      <w:r w:rsidRPr="00E51A80">
        <w:rPr>
          <w:rFonts w:ascii="Book Antiqua" w:hAnsi="Book Antiqua" w:cs="Calibri"/>
          <w:sz w:val="20"/>
          <w:szCs w:val="20"/>
          <w:lang w:val="en-US"/>
        </w:rPr>
        <w:t>treatment with SSA (</w:t>
      </w:r>
      <w:r w:rsidRPr="00E51A80">
        <w:rPr>
          <w:rFonts w:ascii="Book Antiqua" w:hAnsi="Book Antiqua" w:cs="Calibri"/>
          <w:i/>
          <w:sz w:val="20"/>
          <w:szCs w:val="20"/>
          <w:lang w:val="en-US"/>
        </w:rPr>
        <w:t>P</w:t>
      </w:r>
      <w:r w:rsidR="00A82252" w:rsidRPr="00E51A80">
        <w:rPr>
          <w:rFonts w:ascii="Book Antiqua" w:hAnsi="Book Antiqua" w:cs="Calibri"/>
          <w:sz w:val="20"/>
          <w:szCs w:val="20"/>
          <w:lang w:val="en-US"/>
        </w:rPr>
        <w:t xml:space="preserve"> = 0.</w:t>
      </w:r>
      <w:r w:rsidRPr="00E51A80">
        <w:rPr>
          <w:rFonts w:ascii="Book Antiqua" w:hAnsi="Book Antiqua" w:cs="Calibri"/>
          <w:sz w:val="20"/>
          <w:szCs w:val="20"/>
          <w:lang w:val="en-US"/>
        </w:rPr>
        <w:t xml:space="preserve">56), </w:t>
      </w:r>
      <w:proofErr w:type="spellStart"/>
      <w:r w:rsidRPr="00E51A80">
        <w:rPr>
          <w:rFonts w:ascii="Book Antiqua" w:hAnsi="Book Antiqua" w:cs="Calibri"/>
          <w:sz w:val="20"/>
          <w:szCs w:val="20"/>
          <w:lang w:val="en-US"/>
        </w:rPr>
        <w:t>everolimus</w:t>
      </w:r>
      <w:proofErr w:type="spellEnd"/>
      <w:r w:rsidRPr="00E51A80">
        <w:rPr>
          <w:rFonts w:ascii="Book Antiqua" w:hAnsi="Book Antiqua" w:cs="Calibri"/>
          <w:sz w:val="20"/>
          <w:szCs w:val="20"/>
          <w:lang w:val="en-US"/>
        </w:rPr>
        <w:t xml:space="preserve"> (</w:t>
      </w:r>
      <w:r w:rsidRPr="00E51A80">
        <w:rPr>
          <w:rFonts w:ascii="Book Antiqua" w:hAnsi="Book Antiqua" w:cs="Calibri"/>
          <w:i/>
          <w:sz w:val="20"/>
          <w:szCs w:val="20"/>
          <w:lang w:val="en-US"/>
        </w:rPr>
        <w:t>P</w:t>
      </w:r>
      <w:r w:rsidR="00A82252" w:rsidRPr="00E51A80">
        <w:rPr>
          <w:rFonts w:ascii="Book Antiqua" w:hAnsi="Book Antiqua" w:cs="Calibri"/>
          <w:sz w:val="20"/>
          <w:szCs w:val="20"/>
          <w:lang w:val="en-US"/>
        </w:rPr>
        <w:t xml:space="preserve"> = 0.</w:t>
      </w:r>
      <w:r w:rsidRPr="00E51A80">
        <w:rPr>
          <w:rFonts w:ascii="Book Antiqua" w:hAnsi="Book Antiqua" w:cs="Calibri"/>
          <w:sz w:val="20"/>
          <w:szCs w:val="20"/>
          <w:lang w:val="en-US"/>
        </w:rPr>
        <w:t xml:space="preserve">82), </w:t>
      </w:r>
      <w:proofErr w:type="spellStart"/>
      <w:r w:rsidRPr="00E51A80">
        <w:rPr>
          <w:rFonts w:ascii="Book Antiqua" w:hAnsi="Book Antiqua" w:cs="Calibri"/>
          <w:sz w:val="20"/>
          <w:szCs w:val="20"/>
          <w:lang w:val="en-US"/>
        </w:rPr>
        <w:t>sunitinib</w:t>
      </w:r>
      <w:proofErr w:type="spellEnd"/>
      <w:r w:rsidRPr="00E51A80">
        <w:rPr>
          <w:rFonts w:ascii="Book Antiqua" w:hAnsi="Book Antiqua" w:cs="Calibri"/>
          <w:sz w:val="20"/>
          <w:szCs w:val="20"/>
          <w:lang w:val="en-US"/>
        </w:rPr>
        <w:t xml:space="preserve"> (</w:t>
      </w:r>
      <w:r w:rsidRPr="00E51A80">
        <w:rPr>
          <w:rFonts w:ascii="Book Antiqua" w:hAnsi="Book Antiqua" w:cs="Calibri"/>
          <w:i/>
          <w:sz w:val="20"/>
          <w:szCs w:val="20"/>
          <w:lang w:val="en-US"/>
        </w:rPr>
        <w:t>P</w:t>
      </w:r>
      <w:r w:rsidR="00A82252" w:rsidRPr="00E51A80">
        <w:rPr>
          <w:rFonts w:ascii="Book Antiqua" w:hAnsi="Book Antiqua" w:cs="Calibri"/>
          <w:sz w:val="20"/>
          <w:szCs w:val="20"/>
          <w:lang w:val="en-US"/>
        </w:rPr>
        <w:t xml:space="preserve"> = 0.</w:t>
      </w:r>
      <w:r w:rsidRPr="00E51A80">
        <w:rPr>
          <w:rFonts w:ascii="Book Antiqua" w:hAnsi="Book Antiqua" w:cs="Calibri"/>
          <w:sz w:val="20"/>
          <w:szCs w:val="20"/>
          <w:lang w:val="en-US"/>
        </w:rPr>
        <w:t>80) and interferon (</w:t>
      </w:r>
      <w:r w:rsidRPr="00E51A80">
        <w:rPr>
          <w:rFonts w:ascii="Book Antiqua" w:hAnsi="Book Antiqua" w:cs="Calibri"/>
          <w:i/>
          <w:sz w:val="20"/>
          <w:szCs w:val="20"/>
          <w:lang w:val="en-US"/>
        </w:rPr>
        <w:t>P</w:t>
      </w:r>
      <w:r w:rsidR="00A82252" w:rsidRPr="00E51A80">
        <w:rPr>
          <w:rFonts w:ascii="Book Antiqua" w:hAnsi="Book Antiqua" w:cs="Calibri"/>
          <w:sz w:val="20"/>
          <w:szCs w:val="20"/>
          <w:lang w:val="en-US"/>
        </w:rPr>
        <w:t xml:space="preserve"> = 0.</w:t>
      </w:r>
      <w:r w:rsidRPr="00E51A80">
        <w:rPr>
          <w:rFonts w:ascii="Book Antiqua" w:hAnsi="Book Antiqua" w:cs="Calibri"/>
          <w:sz w:val="20"/>
          <w:szCs w:val="20"/>
          <w:lang w:val="en-US"/>
        </w:rPr>
        <w:t xml:space="preserve">95) </w:t>
      </w:r>
      <w:r w:rsidR="00FC410F" w:rsidRPr="00E51A80">
        <w:rPr>
          <w:rFonts w:ascii="Book Antiqua" w:hAnsi="Book Antiqua" w:cs="Calibri"/>
          <w:sz w:val="20"/>
          <w:szCs w:val="20"/>
          <w:lang w:val="en-US"/>
        </w:rPr>
        <w:t>were not</w:t>
      </w:r>
      <w:r w:rsidRPr="00E51A80">
        <w:rPr>
          <w:rFonts w:ascii="Book Antiqua" w:hAnsi="Book Antiqua" w:cs="Calibri"/>
          <w:sz w:val="20"/>
          <w:szCs w:val="20"/>
          <w:lang w:val="en-US"/>
        </w:rPr>
        <w:t xml:space="preserve"> predict</w:t>
      </w:r>
      <w:r w:rsidR="00FC410F" w:rsidRPr="00E51A80">
        <w:rPr>
          <w:rFonts w:ascii="Book Antiqua" w:hAnsi="Book Antiqua" w:cs="Calibri"/>
          <w:sz w:val="20"/>
          <w:szCs w:val="20"/>
          <w:lang w:val="en-US"/>
        </w:rPr>
        <w:t>ive</w:t>
      </w:r>
      <w:r w:rsidRPr="00E51A80">
        <w:rPr>
          <w:rFonts w:ascii="Book Antiqua" w:hAnsi="Book Antiqua" w:cs="Calibri"/>
          <w:sz w:val="20"/>
          <w:szCs w:val="20"/>
          <w:lang w:val="en-US"/>
        </w:rPr>
        <w:t xml:space="preserve"> risk factors.</w:t>
      </w:r>
    </w:p>
    <w:p w:rsidR="00A82252" w:rsidRPr="00E51A80" w:rsidRDefault="00A82252" w:rsidP="007E3E0D">
      <w:pPr>
        <w:adjustRightInd w:val="0"/>
        <w:snapToGrid w:val="0"/>
        <w:spacing w:after="0" w:line="360" w:lineRule="auto"/>
        <w:jc w:val="both"/>
        <w:rPr>
          <w:rFonts w:ascii="Book Antiqua" w:hAnsi="Book Antiqua" w:cs="Calibri"/>
          <w:b/>
          <w:bCs/>
          <w:sz w:val="20"/>
          <w:szCs w:val="20"/>
          <w:lang w:val="en-US"/>
        </w:rPr>
      </w:pPr>
      <w:bookmarkStart w:id="66" w:name="_Hlk12208138"/>
      <w:bookmarkEnd w:id="66"/>
    </w:p>
    <w:p w:rsidR="002B7963" w:rsidRPr="00E51A80" w:rsidRDefault="002B7963" w:rsidP="007E3E0D">
      <w:pPr>
        <w:adjustRightInd w:val="0"/>
        <w:snapToGrid w:val="0"/>
        <w:spacing w:after="0" w:line="360" w:lineRule="auto"/>
        <w:jc w:val="both"/>
        <w:rPr>
          <w:rFonts w:ascii="Book Antiqua" w:hAnsi="Book Antiqua"/>
          <w:i/>
          <w:sz w:val="20"/>
          <w:szCs w:val="20"/>
          <w:lang w:val="en-US"/>
        </w:rPr>
      </w:pPr>
      <w:r w:rsidRPr="00E51A80">
        <w:rPr>
          <w:rFonts w:ascii="Book Antiqua" w:hAnsi="Book Antiqua" w:cs="Calibri"/>
          <w:b/>
          <w:bCs/>
          <w:i/>
          <w:sz w:val="20"/>
          <w:szCs w:val="20"/>
          <w:lang w:val="en-US"/>
        </w:rPr>
        <w:lastRenderedPageBreak/>
        <w:t>Toxicity</w:t>
      </w: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sz w:val="20"/>
          <w:szCs w:val="20"/>
          <w:lang w:val="en-US"/>
        </w:rPr>
        <w:t xml:space="preserve">In this study, 44.4% of the patients presented toxicity to previous treatments before PRRT, of which 36.1% were due to </w:t>
      </w:r>
      <w:proofErr w:type="spellStart"/>
      <w:r w:rsidRPr="00E51A80">
        <w:rPr>
          <w:rFonts w:ascii="Book Antiqua" w:hAnsi="Book Antiqua" w:cs="Calibri"/>
          <w:sz w:val="20"/>
          <w:szCs w:val="20"/>
          <w:lang w:val="en-US"/>
        </w:rPr>
        <w:t>everolimus</w:t>
      </w:r>
      <w:proofErr w:type="spellEnd"/>
      <w:r w:rsidRPr="00E51A80">
        <w:rPr>
          <w:rFonts w:ascii="Book Antiqua" w:hAnsi="Book Antiqua" w:cs="Calibri"/>
          <w:sz w:val="20"/>
          <w:szCs w:val="20"/>
          <w:lang w:val="en-US"/>
        </w:rPr>
        <w:t xml:space="preserve"> and 8.3% to chemotherapy. </w:t>
      </w:r>
      <w:r w:rsidR="00FC410F" w:rsidRPr="00E51A80">
        <w:rPr>
          <w:rFonts w:ascii="Book Antiqua" w:hAnsi="Book Antiqua" w:cs="Calibri"/>
          <w:sz w:val="20"/>
          <w:szCs w:val="20"/>
          <w:lang w:val="en-US"/>
        </w:rPr>
        <w:t xml:space="preserve">Toxicity grade 1-2 was present in </w:t>
      </w:r>
      <w:r w:rsidRPr="00E51A80">
        <w:rPr>
          <w:rFonts w:ascii="Book Antiqua" w:hAnsi="Book Antiqua" w:cs="Calibri"/>
          <w:sz w:val="20"/>
          <w:szCs w:val="20"/>
          <w:lang w:val="en-US"/>
        </w:rPr>
        <w:t xml:space="preserve">71.4% </w:t>
      </w:r>
      <w:r w:rsidR="00FC410F" w:rsidRPr="00E51A80">
        <w:rPr>
          <w:rFonts w:ascii="Book Antiqua" w:hAnsi="Book Antiqua" w:cs="Calibri"/>
          <w:sz w:val="20"/>
          <w:szCs w:val="20"/>
          <w:lang w:val="en-US"/>
        </w:rPr>
        <w:t xml:space="preserve">of patients, and grade 3-4 was present in </w:t>
      </w:r>
      <w:r w:rsidRPr="00E51A80">
        <w:rPr>
          <w:rFonts w:ascii="Book Antiqua" w:hAnsi="Book Antiqua" w:cs="Calibri"/>
          <w:sz w:val="20"/>
          <w:szCs w:val="20"/>
          <w:lang w:val="en-US"/>
        </w:rPr>
        <w:t xml:space="preserve">28.6% </w:t>
      </w:r>
      <w:r w:rsidR="00FC410F" w:rsidRPr="00E51A80">
        <w:rPr>
          <w:rFonts w:ascii="Book Antiqua" w:hAnsi="Book Antiqua" w:cs="Calibri"/>
          <w:sz w:val="20"/>
          <w:szCs w:val="20"/>
          <w:lang w:val="en-US"/>
        </w:rPr>
        <w:t>of patients</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t>During PRRT, acute adverse effects (&lt;</w:t>
      </w:r>
      <w:r w:rsidR="00A82252" w:rsidRPr="00E51A80">
        <w:rPr>
          <w:rFonts w:ascii="Book Antiqua" w:hAnsi="Book Antiqua" w:cs="Calibri"/>
          <w:sz w:val="20"/>
          <w:szCs w:val="20"/>
          <w:lang w:val="en-US"/>
        </w:rPr>
        <w:t xml:space="preserve"> </w:t>
      </w:r>
      <w:r w:rsidRPr="00E51A80">
        <w:rPr>
          <w:rFonts w:ascii="Book Antiqua" w:hAnsi="Book Antiqua" w:cs="Calibri"/>
          <w:sz w:val="20"/>
          <w:szCs w:val="20"/>
          <w:lang w:val="en-US"/>
        </w:rPr>
        <w:t>24</w:t>
      </w:r>
      <w:r w:rsidR="00A82252" w:rsidRPr="00E51A80">
        <w:rPr>
          <w:rFonts w:ascii="Book Antiqua" w:hAnsi="Book Antiqua" w:cs="Calibri"/>
          <w:sz w:val="20"/>
          <w:szCs w:val="20"/>
          <w:lang w:val="en-US"/>
        </w:rPr>
        <w:t xml:space="preserve"> </w:t>
      </w:r>
      <w:r w:rsidRPr="00E51A80">
        <w:rPr>
          <w:rFonts w:ascii="Book Antiqua" w:hAnsi="Book Antiqua" w:cs="Calibri"/>
          <w:sz w:val="20"/>
          <w:szCs w:val="20"/>
          <w:lang w:val="en-US"/>
        </w:rPr>
        <w:t>h) were more frequent after the administration of the first dose</w:t>
      </w:r>
      <w:r w:rsidR="00FC410F" w:rsidRPr="00E51A80">
        <w:rPr>
          <w:rFonts w:ascii="Book Antiqua" w:hAnsi="Book Antiqua" w:cs="Calibri"/>
          <w:sz w:val="20"/>
          <w:szCs w:val="20"/>
          <w:lang w:val="en-US"/>
        </w:rPr>
        <w:t>, which</w:t>
      </w:r>
      <w:r w:rsidRPr="00E51A80">
        <w:rPr>
          <w:rFonts w:ascii="Book Antiqua" w:hAnsi="Book Antiqua" w:cs="Calibri"/>
          <w:sz w:val="20"/>
          <w:szCs w:val="20"/>
          <w:lang w:val="en-US"/>
        </w:rPr>
        <w:t xml:space="preserve"> manifest</w:t>
      </w:r>
      <w:r w:rsidR="00FC410F" w:rsidRPr="00E51A80">
        <w:rPr>
          <w:rFonts w:ascii="Book Antiqua" w:hAnsi="Book Antiqua" w:cs="Calibri"/>
          <w:sz w:val="20"/>
          <w:szCs w:val="20"/>
          <w:lang w:val="en-US"/>
        </w:rPr>
        <w:t>ed</w:t>
      </w:r>
      <w:r w:rsidRPr="00E51A80">
        <w:rPr>
          <w:rFonts w:ascii="Book Antiqua" w:hAnsi="Book Antiqua" w:cs="Calibri"/>
          <w:sz w:val="20"/>
          <w:szCs w:val="20"/>
          <w:lang w:val="en-US"/>
        </w:rPr>
        <w:t xml:space="preserve"> in 33.3% of the patients with sickness (25%), abdominal discomfort or pain (2.8%)</w:t>
      </w:r>
      <w:r w:rsidR="00FC410F" w:rsidRPr="00E51A80">
        <w:rPr>
          <w:rFonts w:ascii="Book Antiqua" w:hAnsi="Book Antiqua" w:cs="Calibri"/>
          <w:sz w:val="20"/>
          <w:szCs w:val="20"/>
          <w:lang w:val="en-US"/>
        </w:rPr>
        <w:t xml:space="preserve"> and</w:t>
      </w:r>
      <w:r w:rsidRPr="00E51A80">
        <w:rPr>
          <w:rFonts w:ascii="Book Antiqua" w:hAnsi="Book Antiqua" w:cs="Calibri"/>
          <w:sz w:val="20"/>
          <w:szCs w:val="20"/>
          <w:lang w:val="en-US"/>
        </w:rPr>
        <w:t xml:space="preserve"> extravasation (2.8%)</w:t>
      </w:r>
      <w:r w:rsidR="00FC410F" w:rsidRPr="00E51A80">
        <w:rPr>
          <w:rFonts w:ascii="Book Antiqua" w:hAnsi="Book Antiqua" w:cs="Calibri"/>
          <w:sz w:val="20"/>
          <w:szCs w:val="20"/>
          <w:lang w:val="en-US"/>
        </w:rPr>
        <w:t>.</w:t>
      </w:r>
      <w:r w:rsidRPr="00E51A80">
        <w:rPr>
          <w:rFonts w:ascii="Book Antiqua" w:hAnsi="Book Antiqua" w:cs="Calibri"/>
          <w:sz w:val="20"/>
          <w:szCs w:val="20"/>
          <w:lang w:val="en-US"/>
        </w:rPr>
        <w:t xml:space="preserve"> </w:t>
      </w:r>
      <w:r w:rsidR="00FC410F" w:rsidRPr="00E51A80">
        <w:rPr>
          <w:rFonts w:ascii="Book Antiqua" w:hAnsi="Book Antiqua" w:cs="Calibri"/>
          <w:sz w:val="20"/>
          <w:szCs w:val="20"/>
          <w:lang w:val="en-US"/>
        </w:rPr>
        <w:t>A</w:t>
      </w:r>
      <w:r w:rsidRPr="00E51A80">
        <w:rPr>
          <w:rFonts w:ascii="Book Antiqua" w:hAnsi="Book Antiqua" w:cs="Calibri"/>
          <w:sz w:val="20"/>
          <w:szCs w:val="20"/>
          <w:lang w:val="en-US"/>
        </w:rPr>
        <w:t xml:space="preserve"> hormone-related crisis in one patient</w:t>
      </w:r>
      <w:r w:rsidR="00B17682" w:rsidRPr="00E51A80">
        <w:rPr>
          <w:rFonts w:ascii="Book Antiqua" w:hAnsi="Book Antiqua" w:cs="Calibri"/>
          <w:sz w:val="20"/>
          <w:szCs w:val="20"/>
          <w:lang w:val="en-US"/>
        </w:rPr>
        <w:t xml:space="preserve"> resulted in</w:t>
      </w:r>
      <w:r w:rsidRPr="00E51A80">
        <w:rPr>
          <w:rFonts w:ascii="Book Antiqua" w:hAnsi="Book Antiqua" w:cs="Calibri"/>
          <w:sz w:val="20"/>
          <w:szCs w:val="20"/>
          <w:lang w:val="en-US"/>
        </w:rPr>
        <w:t xml:space="preserve"> hospitaliz</w:t>
      </w:r>
      <w:r w:rsidR="00B17682" w:rsidRPr="00E51A80">
        <w:rPr>
          <w:rFonts w:ascii="Book Antiqua" w:hAnsi="Book Antiqua" w:cs="Calibri"/>
          <w:sz w:val="20"/>
          <w:szCs w:val="20"/>
          <w:lang w:val="en-US"/>
        </w:rPr>
        <w:t>ation</w:t>
      </w:r>
      <w:r w:rsidRPr="00E51A80">
        <w:rPr>
          <w:rFonts w:ascii="Book Antiqua" w:hAnsi="Book Antiqua" w:cs="Calibri"/>
          <w:sz w:val="20"/>
          <w:szCs w:val="20"/>
          <w:lang w:val="en-US"/>
        </w:rPr>
        <w:t xml:space="preserve"> within 5 d after the administration dose. All recovered after adequate care. </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t>During treatment, 55.6% of the patients suffered complications or toxicity. Hematological toxicity was present in 38.8%</w:t>
      </w:r>
      <w:r w:rsidR="00B17682" w:rsidRPr="00E51A80">
        <w:rPr>
          <w:rFonts w:ascii="Book Antiqua" w:hAnsi="Book Antiqua" w:cs="Calibri"/>
          <w:sz w:val="20"/>
          <w:szCs w:val="20"/>
          <w:lang w:val="en-US"/>
        </w:rPr>
        <w:t xml:space="preserve"> with one case</w:t>
      </w:r>
      <w:r w:rsidRPr="00E51A80">
        <w:rPr>
          <w:rFonts w:ascii="Book Antiqua" w:hAnsi="Book Antiqua" w:cs="Calibri"/>
          <w:sz w:val="20"/>
          <w:szCs w:val="20"/>
          <w:lang w:val="en-US"/>
        </w:rPr>
        <w:t xml:space="preserve"> being severe (CTCAE v.4 o v.5.)</w:t>
      </w:r>
      <w:r w:rsidR="00A82252" w:rsidRPr="00E51A80">
        <w:rPr>
          <w:rFonts w:ascii="Book Antiqua" w:hAnsi="Book Antiqua"/>
          <w:sz w:val="20"/>
          <w:szCs w:val="20"/>
          <w:vertAlign w:val="superscript"/>
          <w:lang w:val="en-US"/>
        </w:rPr>
        <w:t>[8]</w:t>
      </w:r>
      <w:r w:rsidR="00A82252" w:rsidRPr="00E51A80">
        <w:rPr>
          <w:rFonts w:ascii="Book Antiqua" w:hAnsi="Book Antiqua" w:cs="Calibri"/>
          <w:sz w:val="20"/>
          <w:szCs w:val="20"/>
          <w:lang w:val="en-US"/>
        </w:rPr>
        <w:t xml:space="preserve"> </w:t>
      </w:r>
      <w:proofErr w:type="gramStart"/>
      <w:r w:rsidRPr="00E51A80">
        <w:rPr>
          <w:rFonts w:ascii="Book Antiqua" w:hAnsi="Book Antiqua" w:cs="Calibri"/>
          <w:sz w:val="20"/>
          <w:szCs w:val="20"/>
          <w:lang w:val="en-US"/>
        </w:rPr>
        <w:t>with</w:t>
      </w:r>
      <w:proofErr w:type="gramEnd"/>
      <w:r w:rsidRPr="00E51A80">
        <w:rPr>
          <w:rFonts w:ascii="Book Antiqua" w:hAnsi="Book Antiqua" w:cs="Calibri"/>
          <w:sz w:val="20"/>
          <w:szCs w:val="20"/>
          <w:lang w:val="en-US"/>
        </w:rPr>
        <w:t xml:space="preserve"> thrombocytopenia. Four patients (11.1%) suffered intestinal </w:t>
      </w:r>
      <w:proofErr w:type="spellStart"/>
      <w:r w:rsidRPr="00E51A80">
        <w:rPr>
          <w:rFonts w:ascii="Book Antiqua" w:hAnsi="Book Antiqua" w:cs="Calibri"/>
          <w:sz w:val="20"/>
          <w:szCs w:val="20"/>
          <w:lang w:val="en-US"/>
        </w:rPr>
        <w:t>suboclusion</w:t>
      </w:r>
      <w:proofErr w:type="spellEnd"/>
      <w:r w:rsidRPr="00E51A80">
        <w:rPr>
          <w:rFonts w:ascii="Book Antiqua" w:hAnsi="Book Antiqua" w:cs="Calibri"/>
          <w:sz w:val="20"/>
          <w:szCs w:val="20"/>
          <w:lang w:val="en-US"/>
        </w:rPr>
        <w:t xml:space="preserve"> in which only one had to be surgically operated</w:t>
      </w:r>
      <w:r w:rsidR="00B17682" w:rsidRPr="00E51A80">
        <w:rPr>
          <w:rFonts w:ascii="Book Antiqua" w:hAnsi="Book Antiqua" w:cs="Calibri"/>
          <w:sz w:val="20"/>
          <w:szCs w:val="20"/>
          <w:lang w:val="en-US"/>
        </w:rPr>
        <w:t>,</w:t>
      </w:r>
      <w:r w:rsidRPr="00E51A80">
        <w:rPr>
          <w:rFonts w:ascii="Book Antiqua" w:hAnsi="Book Antiqua" w:cs="Calibri"/>
          <w:sz w:val="20"/>
          <w:szCs w:val="20"/>
          <w:lang w:val="en-US"/>
        </w:rPr>
        <w:t xml:space="preserve"> and </w:t>
      </w:r>
      <w:r w:rsidR="00B17682" w:rsidRPr="00E51A80">
        <w:rPr>
          <w:rFonts w:ascii="Book Antiqua" w:hAnsi="Book Antiqua" w:cs="Calibri"/>
          <w:sz w:val="20"/>
          <w:szCs w:val="20"/>
          <w:lang w:val="en-US"/>
        </w:rPr>
        <w:t>three</w:t>
      </w:r>
      <w:r w:rsidRPr="00E51A80">
        <w:rPr>
          <w:rFonts w:ascii="Book Antiqua" w:hAnsi="Book Antiqua" w:cs="Calibri"/>
          <w:sz w:val="20"/>
          <w:szCs w:val="20"/>
          <w:lang w:val="en-US"/>
        </w:rPr>
        <w:t xml:space="preserve"> patients (8%) presented </w:t>
      </w:r>
      <w:r w:rsidR="00793262" w:rsidRPr="00E51A80">
        <w:rPr>
          <w:rFonts w:ascii="Book Antiqua" w:hAnsi="Book Antiqua" w:cs="Calibri"/>
          <w:sz w:val="20"/>
          <w:szCs w:val="20"/>
          <w:lang w:val="en-US"/>
        </w:rPr>
        <w:t xml:space="preserve">with </w:t>
      </w:r>
      <w:r w:rsidRPr="00E51A80">
        <w:rPr>
          <w:rFonts w:ascii="Book Antiqua" w:hAnsi="Book Antiqua" w:cs="Calibri"/>
          <w:sz w:val="20"/>
          <w:szCs w:val="20"/>
          <w:lang w:val="en-US"/>
        </w:rPr>
        <w:t xml:space="preserve">cholestasis that corrected spontaneously. One patient with extensive liver metastasis presented </w:t>
      </w:r>
      <w:r w:rsidR="00793262" w:rsidRPr="00E51A80">
        <w:rPr>
          <w:rFonts w:ascii="Book Antiqua" w:hAnsi="Book Antiqua" w:cs="Calibri"/>
          <w:sz w:val="20"/>
          <w:szCs w:val="20"/>
          <w:lang w:val="en-US"/>
        </w:rPr>
        <w:t xml:space="preserve">with </w:t>
      </w:r>
      <w:r w:rsidRPr="00E51A80">
        <w:rPr>
          <w:rFonts w:ascii="Book Antiqua" w:hAnsi="Book Antiqua" w:cs="Calibri"/>
          <w:sz w:val="20"/>
          <w:szCs w:val="20"/>
          <w:lang w:val="en-US"/>
        </w:rPr>
        <w:t>serious delayed liver toxicity</w:t>
      </w:r>
      <w:r w:rsidR="00793262" w:rsidRPr="00E51A80">
        <w:rPr>
          <w:rFonts w:ascii="Book Antiqua" w:hAnsi="Book Antiqua" w:cs="Calibri"/>
          <w:sz w:val="20"/>
          <w:szCs w:val="20"/>
          <w:lang w:val="en-US"/>
        </w:rPr>
        <w:t>.</w:t>
      </w:r>
      <w:r w:rsidRPr="00E51A80">
        <w:rPr>
          <w:rFonts w:ascii="Book Antiqua" w:hAnsi="Book Antiqua" w:cs="Calibri"/>
          <w:sz w:val="20"/>
          <w:szCs w:val="20"/>
          <w:lang w:val="en-US"/>
        </w:rPr>
        <w:t xml:space="preserve"> </w:t>
      </w:r>
      <w:r w:rsidR="00793262" w:rsidRPr="00E51A80">
        <w:rPr>
          <w:rFonts w:ascii="Book Antiqua" w:hAnsi="Book Antiqua" w:cs="Calibri"/>
          <w:sz w:val="20"/>
          <w:szCs w:val="20"/>
          <w:lang w:val="en-US"/>
        </w:rPr>
        <w:t>L</w:t>
      </w:r>
      <w:r w:rsidRPr="00E51A80">
        <w:rPr>
          <w:rFonts w:ascii="Book Antiqua" w:hAnsi="Book Antiqua" w:cs="Calibri"/>
          <w:sz w:val="20"/>
          <w:szCs w:val="20"/>
          <w:lang w:val="en-US"/>
        </w:rPr>
        <w:t>iver functions deteriorated in the weeks following the first administration,</w:t>
      </w:r>
      <w:r w:rsidR="00793262" w:rsidRPr="00E51A80">
        <w:rPr>
          <w:rFonts w:ascii="Book Antiqua" w:hAnsi="Book Antiqua" w:cs="Calibri"/>
          <w:sz w:val="20"/>
          <w:szCs w:val="20"/>
          <w:lang w:val="en-US"/>
        </w:rPr>
        <w:t xml:space="preserve"> and</w:t>
      </w:r>
      <w:r w:rsidRPr="00E51A80">
        <w:rPr>
          <w:rFonts w:ascii="Book Antiqua" w:hAnsi="Book Antiqua" w:cs="Calibri"/>
          <w:sz w:val="20"/>
          <w:szCs w:val="20"/>
          <w:lang w:val="en-US"/>
        </w:rPr>
        <w:t xml:space="preserve"> the patie</w:t>
      </w:r>
      <w:r w:rsidR="00A82252" w:rsidRPr="00E51A80">
        <w:rPr>
          <w:rFonts w:ascii="Book Antiqua" w:hAnsi="Book Antiqua" w:cs="Calibri"/>
          <w:sz w:val="20"/>
          <w:szCs w:val="20"/>
          <w:lang w:val="en-US"/>
        </w:rPr>
        <w:t xml:space="preserve">nt died of hepatic failure 5 </w:t>
      </w:r>
      <w:proofErr w:type="spellStart"/>
      <w:r w:rsidR="00A82252" w:rsidRPr="00E51A80">
        <w:rPr>
          <w:rFonts w:ascii="Book Antiqua" w:hAnsi="Book Antiqua" w:cs="Calibri"/>
          <w:sz w:val="20"/>
          <w:szCs w:val="20"/>
          <w:lang w:val="en-US"/>
        </w:rPr>
        <w:t>wk</w:t>
      </w:r>
      <w:proofErr w:type="spellEnd"/>
      <w:r w:rsidRPr="00E51A80">
        <w:rPr>
          <w:rFonts w:ascii="Book Antiqua" w:hAnsi="Book Antiqua" w:cs="Calibri"/>
          <w:sz w:val="20"/>
          <w:szCs w:val="20"/>
          <w:lang w:val="en-US"/>
        </w:rPr>
        <w:t xml:space="preserve"> later.</w:t>
      </w:r>
    </w:p>
    <w:p w:rsidR="002B7963" w:rsidRPr="00E51A80" w:rsidRDefault="002B7963" w:rsidP="007E3E0D">
      <w:pPr>
        <w:adjustRightInd w:val="0"/>
        <w:snapToGrid w:val="0"/>
        <w:spacing w:after="0" w:line="360" w:lineRule="auto"/>
        <w:jc w:val="both"/>
        <w:rPr>
          <w:rFonts w:ascii="Book Antiqua" w:hAnsi="Book Antiqua" w:cs="Calibri"/>
          <w:sz w:val="20"/>
          <w:szCs w:val="20"/>
          <w:lang w:val="en-US"/>
        </w:rPr>
      </w:pPr>
    </w:p>
    <w:p w:rsidR="002B7963" w:rsidRPr="00E51A80" w:rsidRDefault="002B7963" w:rsidP="007E3E0D">
      <w:pPr>
        <w:adjustRightInd w:val="0"/>
        <w:snapToGrid w:val="0"/>
        <w:spacing w:after="0" w:line="360" w:lineRule="auto"/>
        <w:jc w:val="both"/>
        <w:rPr>
          <w:rFonts w:ascii="Book Antiqua" w:hAnsi="Book Antiqua"/>
          <w:sz w:val="20"/>
          <w:szCs w:val="20"/>
          <w:u w:val="single"/>
          <w:lang w:val="en-US"/>
        </w:rPr>
      </w:pPr>
      <w:r w:rsidRPr="00E51A80">
        <w:rPr>
          <w:rFonts w:ascii="Book Antiqua" w:hAnsi="Book Antiqua" w:cs="Calibri"/>
          <w:b/>
          <w:bCs/>
          <w:sz w:val="20"/>
          <w:szCs w:val="20"/>
          <w:u w:val="single"/>
          <w:lang w:val="en-US"/>
        </w:rPr>
        <w:t>DISCUS</w:t>
      </w:r>
      <w:r w:rsidR="007E3E0D" w:rsidRPr="00E51A80">
        <w:rPr>
          <w:rFonts w:ascii="Book Antiqua" w:hAnsi="Book Antiqua" w:cs="Calibri"/>
          <w:b/>
          <w:bCs/>
          <w:sz w:val="20"/>
          <w:szCs w:val="20"/>
          <w:u w:val="single"/>
          <w:lang w:val="en-US"/>
        </w:rPr>
        <w:t>S</w:t>
      </w:r>
      <w:r w:rsidRPr="00E51A80">
        <w:rPr>
          <w:rFonts w:ascii="Book Antiqua" w:hAnsi="Book Antiqua" w:cs="Calibri"/>
          <w:b/>
          <w:bCs/>
          <w:sz w:val="20"/>
          <w:szCs w:val="20"/>
          <w:u w:val="single"/>
          <w:lang w:val="en-US"/>
        </w:rPr>
        <w:t>ION</w:t>
      </w: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sz w:val="20"/>
          <w:szCs w:val="20"/>
          <w:lang w:val="en-US"/>
        </w:rPr>
        <w:t xml:space="preserve">In this study, the median OS obtained was 12.5 </w:t>
      </w:r>
      <w:proofErr w:type="spellStart"/>
      <w:proofErr w:type="gramStart"/>
      <w:r w:rsidRPr="00E51A80">
        <w:rPr>
          <w:rFonts w:ascii="Book Antiqua" w:hAnsi="Book Antiqua" w:cs="Calibri"/>
          <w:sz w:val="20"/>
          <w:szCs w:val="20"/>
          <w:lang w:val="en-US"/>
        </w:rPr>
        <w:t>mo</w:t>
      </w:r>
      <w:proofErr w:type="spellEnd"/>
      <w:proofErr w:type="gramEnd"/>
      <w:r w:rsidRPr="00E51A80">
        <w:rPr>
          <w:rFonts w:ascii="Book Antiqua" w:hAnsi="Book Antiqua" w:cs="Calibri"/>
          <w:sz w:val="20"/>
          <w:szCs w:val="20"/>
          <w:lang w:val="en-US"/>
        </w:rPr>
        <w:t xml:space="preserve"> after </w:t>
      </w:r>
      <w:r w:rsidR="00372245" w:rsidRPr="00E51A80">
        <w:rPr>
          <w:rFonts w:ascii="Book Antiqua" w:hAnsi="Book Antiqua" w:cs="Calibri"/>
          <w:sz w:val="20"/>
          <w:szCs w:val="20"/>
          <w:lang w:val="en-US"/>
        </w:rPr>
        <w:t>3</w:t>
      </w:r>
      <w:r w:rsidRPr="00E51A80">
        <w:rPr>
          <w:rFonts w:ascii="Book Antiqua" w:hAnsi="Book Antiqua" w:cs="Calibri"/>
          <w:sz w:val="20"/>
          <w:szCs w:val="20"/>
          <w:lang w:val="en-US"/>
        </w:rPr>
        <w:t xml:space="preserve"> years of follow-up,</w:t>
      </w:r>
      <w:r w:rsidR="00A44544" w:rsidRPr="00E51A80">
        <w:rPr>
          <w:rFonts w:ascii="Book Antiqua" w:hAnsi="Book Antiqua" w:cs="Calibri"/>
          <w:sz w:val="20"/>
          <w:szCs w:val="20"/>
          <w:lang w:val="en-US"/>
        </w:rPr>
        <w:t xml:space="preserve"> and</w:t>
      </w:r>
      <w:r w:rsidRPr="00E51A80">
        <w:rPr>
          <w:rFonts w:ascii="Book Antiqua" w:hAnsi="Book Antiqua" w:cs="Calibri"/>
          <w:sz w:val="20"/>
          <w:szCs w:val="20"/>
          <w:lang w:val="en-US"/>
        </w:rPr>
        <w:t xml:space="preserve"> death presented in 21.8%</w:t>
      </w:r>
      <w:r w:rsidR="00A44544" w:rsidRPr="00E51A80">
        <w:rPr>
          <w:rFonts w:ascii="Book Antiqua" w:hAnsi="Book Antiqua" w:cs="Calibri"/>
          <w:sz w:val="20"/>
          <w:szCs w:val="20"/>
          <w:lang w:val="en-US"/>
        </w:rPr>
        <w:t xml:space="preserve"> of patients</w:t>
      </w:r>
      <w:r w:rsidRPr="00E51A80">
        <w:rPr>
          <w:rFonts w:ascii="Book Antiqua" w:hAnsi="Book Antiqua" w:cs="Calibri"/>
          <w:sz w:val="20"/>
          <w:szCs w:val="20"/>
          <w:lang w:val="en-US"/>
        </w:rPr>
        <w:t xml:space="preserve">. </w:t>
      </w:r>
      <w:r w:rsidR="00A82252" w:rsidRPr="00E51A80">
        <w:rPr>
          <w:rFonts w:ascii="Book Antiqua" w:hAnsi="Book Antiqua" w:cs="Calibri"/>
          <w:sz w:val="20"/>
          <w:szCs w:val="20"/>
          <w:lang w:val="en-US"/>
        </w:rPr>
        <w:t>Thomas</w:t>
      </w:r>
      <w:r w:rsidRPr="00E51A80">
        <w:rPr>
          <w:rFonts w:ascii="Book Antiqua" w:hAnsi="Book Antiqua" w:cs="Calibri"/>
          <w:sz w:val="20"/>
          <w:szCs w:val="20"/>
          <w:lang w:val="en-US"/>
        </w:rPr>
        <w:t xml:space="preserve"> </w:t>
      </w:r>
      <w:r w:rsidRPr="00E51A80">
        <w:rPr>
          <w:rFonts w:ascii="Book Antiqua" w:hAnsi="Book Antiqua" w:cs="Calibri"/>
          <w:i/>
          <w:sz w:val="20"/>
          <w:szCs w:val="20"/>
          <w:lang w:val="en-US"/>
        </w:rPr>
        <w:t xml:space="preserve">et </w:t>
      </w:r>
      <w:proofErr w:type="gramStart"/>
      <w:r w:rsidRPr="00E51A80">
        <w:rPr>
          <w:rFonts w:ascii="Book Antiqua" w:hAnsi="Book Antiqua" w:cs="Calibri"/>
          <w:i/>
          <w:sz w:val="20"/>
          <w:szCs w:val="20"/>
          <w:lang w:val="en-US"/>
        </w:rPr>
        <w:t>al</w:t>
      </w:r>
      <w:r w:rsidR="00A82252" w:rsidRPr="00E51A80">
        <w:rPr>
          <w:rFonts w:ascii="Book Antiqua" w:hAnsi="Book Antiqua" w:cs="Calibri"/>
          <w:sz w:val="20"/>
          <w:szCs w:val="20"/>
          <w:vertAlign w:val="superscript"/>
          <w:lang w:val="en-US"/>
        </w:rPr>
        <w:t>[</w:t>
      </w:r>
      <w:proofErr w:type="gramEnd"/>
      <w:r w:rsidR="00A82252" w:rsidRPr="00E51A80">
        <w:rPr>
          <w:rFonts w:ascii="Book Antiqua" w:hAnsi="Book Antiqua" w:cs="Calibri"/>
          <w:sz w:val="20"/>
          <w:szCs w:val="20"/>
          <w:vertAlign w:val="superscript"/>
          <w:lang w:val="en-US"/>
        </w:rPr>
        <w:t>9]</w:t>
      </w:r>
      <w:r w:rsidRPr="00E51A80">
        <w:rPr>
          <w:rFonts w:ascii="Book Antiqua" w:hAnsi="Book Antiqua" w:cs="Calibri"/>
          <w:sz w:val="20"/>
          <w:szCs w:val="20"/>
          <w:lang w:val="en-US"/>
        </w:rPr>
        <w:t xml:space="preserve"> in a retrospective review with 273 patients diagnosed with advanced </w:t>
      </w:r>
      <w:r w:rsidR="00A44544" w:rsidRPr="00E51A80">
        <w:rPr>
          <w:rFonts w:ascii="Book Antiqua" w:hAnsi="Book Antiqua" w:cs="Calibri"/>
          <w:sz w:val="20"/>
          <w:szCs w:val="20"/>
          <w:lang w:val="en-US"/>
        </w:rPr>
        <w:t>gastrointestinal</w:t>
      </w:r>
      <w:r w:rsidRPr="00E51A80">
        <w:rPr>
          <w:rFonts w:ascii="Book Antiqua" w:hAnsi="Book Antiqua" w:cs="Calibri"/>
          <w:sz w:val="20"/>
          <w:szCs w:val="20"/>
          <w:lang w:val="en-US"/>
        </w:rPr>
        <w:t xml:space="preserve"> NET for a similar period of time (41 </w:t>
      </w:r>
      <w:proofErr w:type="spellStart"/>
      <w:r w:rsidRPr="00E51A80">
        <w:rPr>
          <w:rFonts w:ascii="Book Antiqua" w:hAnsi="Book Antiqua" w:cs="Calibri"/>
          <w:sz w:val="20"/>
          <w:szCs w:val="20"/>
          <w:lang w:val="en-US"/>
        </w:rPr>
        <w:t>mo</w:t>
      </w:r>
      <w:proofErr w:type="spellEnd"/>
      <w:r w:rsidRPr="00E51A80">
        <w:rPr>
          <w:rFonts w:ascii="Book Antiqua" w:hAnsi="Book Antiqua" w:cs="Calibri"/>
          <w:sz w:val="20"/>
          <w:szCs w:val="20"/>
          <w:lang w:val="en-US"/>
        </w:rPr>
        <w:t>) record</w:t>
      </w:r>
      <w:r w:rsidR="00A44544" w:rsidRPr="00E51A80">
        <w:rPr>
          <w:rFonts w:ascii="Book Antiqua" w:hAnsi="Book Antiqua" w:cs="Calibri"/>
          <w:sz w:val="20"/>
          <w:szCs w:val="20"/>
          <w:lang w:val="en-US"/>
        </w:rPr>
        <w:t>ed</w:t>
      </w:r>
      <w:r w:rsidRPr="00E51A80">
        <w:rPr>
          <w:rFonts w:ascii="Book Antiqua" w:hAnsi="Book Antiqua" w:cs="Calibri"/>
          <w:sz w:val="20"/>
          <w:szCs w:val="20"/>
          <w:lang w:val="en-US"/>
        </w:rPr>
        <w:t xml:space="preserve"> 28% mortality during follow-up</w:t>
      </w:r>
      <w:r w:rsidRPr="00E51A80">
        <w:rPr>
          <w:rFonts w:ascii="Book Antiqua" w:hAnsi="Book Antiqua"/>
          <w:sz w:val="20"/>
          <w:szCs w:val="20"/>
          <w:lang w:val="en-US"/>
        </w:rPr>
        <w:t>.</w:t>
      </w:r>
    </w:p>
    <w:p w:rsidR="006063E4" w:rsidRPr="00E51A80" w:rsidRDefault="002B7963" w:rsidP="00FE7289">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t xml:space="preserve">In this cohort of patients, OS was inversely proportional </w:t>
      </w:r>
      <w:r w:rsidR="00A44544" w:rsidRPr="00E51A80">
        <w:rPr>
          <w:rFonts w:ascii="Book Antiqua" w:hAnsi="Book Antiqua" w:cs="Calibri"/>
          <w:sz w:val="20"/>
          <w:szCs w:val="20"/>
          <w:lang w:val="en-US"/>
        </w:rPr>
        <w:t xml:space="preserve">with </w:t>
      </w:r>
      <w:r w:rsidRPr="00E51A80">
        <w:rPr>
          <w:rFonts w:ascii="Book Antiqua" w:hAnsi="Book Antiqua" w:cs="Calibri"/>
          <w:sz w:val="20"/>
          <w:szCs w:val="20"/>
          <w:lang w:val="en-US"/>
        </w:rPr>
        <w:t>respect to toxicity in previous treatments (</w:t>
      </w:r>
      <w:r w:rsidRPr="00E51A80">
        <w:rPr>
          <w:rFonts w:ascii="Book Antiqua" w:hAnsi="Book Antiqua" w:cs="Calibri"/>
          <w:i/>
          <w:sz w:val="20"/>
          <w:szCs w:val="20"/>
          <w:lang w:val="en-US"/>
        </w:rPr>
        <w:t>P</w:t>
      </w:r>
      <w:r w:rsidRPr="00E51A80">
        <w:rPr>
          <w:rFonts w:ascii="Book Antiqua" w:hAnsi="Book Antiqua" w:cs="Calibri"/>
          <w:sz w:val="20"/>
          <w:szCs w:val="20"/>
          <w:lang w:val="en-US"/>
        </w:rPr>
        <w:t xml:space="preserve"> &lt;</w:t>
      </w:r>
      <w:r w:rsidR="00A82252"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0.05), while </w:t>
      </w:r>
      <w:r w:rsidR="00A44544" w:rsidRPr="00E51A80">
        <w:rPr>
          <w:rFonts w:ascii="Book Antiqua" w:hAnsi="Book Antiqua" w:cs="Calibri"/>
          <w:sz w:val="20"/>
          <w:szCs w:val="20"/>
          <w:lang w:val="en-US"/>
        </w:rPr>
        <w:t xml:space="preserve">it </w:t>
      </w:r>
      <w:r w:rsidRPr="00E51A80">
        <w:rPr>
          <w:rFonts w:ascii="Book Antiqua" w:hAnsi="Book Antiqua" w:cs="Calibri"/>
          <w:sz w:val="20"/>
          <w:szCs w:val="20"/>
          <w:lang w:val="en-US"/>
        </w:rPr>
        <w:t xml:space="preserve">was directly proportional to matching lesion findings between </w:t>
      </w:r>
      <w:proofErr w:type="spellStart"/>
      <w:r w:rsidR="003A7D70" w:rsidRPr="00E51A80">
        <w:rPr>
          <w:rFonts w:ascii="Book Antiqua" w:hAnsi="Book Antiqua" w:cs="Calibri"/>
          <w:sz w:val="20"/>
          <w:szCs w:val="20"/>
          <w:lang w:val="en-US"/>
        </w:rPr>
        <w:t>Octreoscan</w:t>
      </w:r>
      <w:proofErr w:type="spellEnd"/>
      <w:r w:rsidRPr="00E51A80">
        <w:rPr>
          <w:rFonts w:ascii="Book Antiqua" w:hAnsi="Book Antiqua" w:cs="Calibri"/>
          <w:sz w:val="20"/>
          <w:szCs w:val="20"/>
          <w:lang w:val="en-US"/>
        </w:rPr>
        <w:t xml:space="preserve"> and CT pre-PRRT (</w:t>
      </w:r>
      <w:r w:rsidRPr="00E51A80">
        <w:rPr>
          <w:rFonts w:ascii="Book Antiqua" w:hAnsi="Book Antiqua" w:cs="Calibri"/>
          <w:i/>
          <w:sz w:val="20"/>
          <w:szCs w:val="20"/>
          <w:lang w:val="en-US"/>
        </w:rPr>
        <w:t>P</w:t>
      </w:r>
      <w:r w:rsidR="00A82252" w:rsidRPr="00E51A80">
        <w:rPr>
          <w:rFonts w:ascii="Book Antiqua" w:hAnsi="Book Antiqua" w:cs="Calibri"/>
          <w:sz w:val="20"/>
          <w:szCs w:val="20"/>
          <w:lang w:val="en-US"/>
        </w:rPr>
        <w:t xml:space="preserve"> </w:t>
      </w:r>
      <w:r w:rsidRPr="00E51A80">
        <w:rPr>
          <w:rFonts w:ascii="Book Antiqua" w:hAnsi="Book Antiqua" w:cs="Calibri"/>
          <w:sz w:val="20"/>
          <w:szCs w:val="20"/>
          <w:lang w:val="en-US"/>
        </w:rPr>
        <w:t>&lt;</w:t>
      </w:r>
      <w:r w:rsidR="00A82252" w:rsidRPr="00E51A80">
        <w:rPr>
          <w:rFonts w:ascii="Book Antiqua" w:hAnsi="Book Antiqua" w:cs="Calibri"/>
          <w:sz w:val="20"/>
          <w:szCs w:val="20"/>
          <w:lang w:val="en-US"/>
        </w:rPr>
        <w:t xml:space="preserve"> </w:t>
      </w:r>
      <w:r w:rsidRPr="00E51A80">
        <w:rPr>
          <w:rFonts w:ascii="Book Antiqua" w:hAnsi="Book Antiqua" w:cs="Calibri"/>
          <w:sz w:val="20"/>
          <w:szCs w:val="20"/>
          <w:lang w:val="en-US"/>
        </w:rPr>
        <w:t>0.01), surgery of the primary tumor or its metastasis, tumor grade and the presence of bone lesions. These findings are confirmed by conducting a multivariate Cox regression analysis</w:t>
      </w:r>
      <w:r w:rsidR="00A44544" w:rsidRPr="00E51A80">
        <w:rPr>
          <w:rFonts w:ascii="Book Antiqua" w:hAnsi="Book Antiqua" w:cs="Calibri"/>
          <w:sz w:val="20"/>
          <w:szCs w:val="20"/>
          <w:lang w:val="en-US"/>
        </w:rPr>
        <w:t>.</w:t>
      </w:r>
      <w:r w:rsidRPr="00E51A80">
        <w:rPr>
          <w:rFonts w:ascii="Book Antiqua" w:hAnsi="Book Antiqua" w:cs="Calibri"/>
          <w:sz w:val="20"/>
          <w:szCs w:val="20"/>
          <w:lang w:val="en-US"/>
        </w:rPr>
        <w:t xml:space="preserve"> </w:t>
      </w:r>
      <w:r w:rsidR="00A44544" w:rsidRPr="00E51A80">
        <w:rPr>
          <w:rFonts w:ascii="Book Antiqua" w:hAnsi="Book Antiqua" w:cs="Calibri"/>
          <w:sz w:val="20"/>
          <w:szCs w:val="20"/>
          <w:lang w:val="en-US"/>
        </w:rPr>
        <w:t>A</w:t>
      </w:r>
      <w:r w:rsidRPr="00E51A80">
        <w:rPr>
          <w:rFonts w:ascii="Book Antiqua" w:hAnsi="Book Antiqua" w:cs="Calibri"/>
          <w:sz w:val="20"/>
          <w:szCs w:val="20"/>
          <w:lang w:val="en-US"/>
        </w:rPr>
        <w:t xml:space="preserve"> high Ki67 index (</w:t>
      </w:r>
      <w:r w:rsidRPr="00E51A80">
        <w:rPr>
          <w:rFonts w:ascii="Book Antiqua" w:hAnsi="Book Antiqua" w:cs="Calibri"/>
          <w:i/>
          <w:sz w:val="20"/>
          <w:szCs w:val="20"/>
          <w:lang w:val="en-US"/>
        </w:rPr>
        <w:t>P</w:t>
      </w:r>
      <w:r w:rsidR="00A82252"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 0.003), a mismatch in lesion findings between </w:t>
      </w:r>
      <w:proofErr w:type="spellStart"/>
      <w:r w:rsidR="003A7D70" w:rsidRPr="00E51A80">
        <w:rPr>
          <w:rFonts w:ascii="Book Antiqua" w:hAnsi="Book Antiqua" w:cs="Calibri"/>
          <w:sz w:val="20"/>
          <w:szCs w:val="20"/>
          <w:lang w:val="en-US"/>
        </w:rPr>
        <w:t>Octreoscan</w:t>
      </w:r>
      <w:proofErr w:type="spellEnd"/>
      <w:r w:rsidRPr="00E51A80">
        <w:rPr>
          <w:rFonts w:ascii="Book Antiqua" w:hAnsi="Book Antiqua" w:cs="Calibri"/>
          <w:sz w:val="20"/>
          <w:szCs w:val="20"/>
          <w:lang w:val="en-US"/>
        </w:rPr>
        <w:t xml:space="preserve"> and CT pre-PRRT (</w:t>
      </w:r>
      <w:r w:rsidRPr="00E51A80">
        <w:rPr>
          <w:rFonts w:ascii="Book Antiqua" w:hAnsi="Book Antiqua" w:cs="Calibri"/>
          <w:i/>
          <w:sz w:val="20"/>
          <w:szCs w:val="20"/>
          <w:lang w:val="en-US"/>
        </w:rPr>
        <w:t>P</w:t>
      </w:r>
      <w:r w:rsidR="00A82252" w:rsidRPr="00E51A80">
        <w:rPr>
          <w:rFonts w:ascii="Book Antiqua" w:hAnsi="Book Antiqua" w:cs="Calibri"/>
          <w:sz w:val="20"/>
          <w:szCs w:val="20"/>
          <w:lang w:val="en-US"/>
        </w:rPr>
        <w:t xml:space="preserve"> </w:t>
      </w:r>
      <w:r w:rsidRPr="00E51A80">
        <w:rPr>
          <w:rFonts w:ascii="Book Antiqua" w:hAnsi="Book Antiqua" w:cs="Calibri"/>
          <w:sz w:val="20"/>
          <w:szCs w:val="20"/>
          <w:lang w:val="en-US"/>
        </w:rPr>
        <w:t>&lt;</w:t>
      </w:r>
      <w:r w:rsidR="00A82252" w:rsidRPr="00E51A80">
        <w:rPr>
          <w:rFonts w:ascii="Book Antiqua" w:hAnsi="Book Antiqua" w:cs="Calibri"/>
          <w:sz w:val="20"/>
          <w:szCs w:val="20"/>
          <w:lang w:val="en-US"/>
        </w:rPr>
        <w:t xml:space="preserve"> </w:t>
      </w:r>
      <w:r w:rsidRPr="00E51A80">
        <w:rPr>
          <w:rFonts w:ascii="Book Antiqua" w:hAnsi="Book Antiqua" w:cs="Calibri"/>
          <w:sz w:val="20"/>
          <w:szCs w:val="20"/>
          <w:lang w:val="en-US"/>
        </w:rPr>
        <w:t>0.01) and toxicity in previous treatments (</w:t>
      </w:r>
      <w:r w:rsidRPr="00E51A80">
        <w:rPr>
          <w:rFonts w:ascii="Book Antiqua" w:hAnsi="Book Antiqua" w:cs="Calibri"/>
          <w:i/>
          <w:caps/>
          <w:sz w:val="20"/>
          <w:szCs w:val="20"/>
          <w:lang w:val="en-US"/>
        </w:rPr>
        <w:t>p</w:t>
      </w:r>
      <w:r w:rsidR="00A82252" w:rsidRPr="00E51A80">
        <w:rPr>
          <w:rFonts w:ascii="Book Antiqua" w:hAnsi="Book Antiqua" w:cs="Calibri"/>
          <w:sz w:val="20"/>
          <w:szCs w:val="20"/>
          <w:lang w:val="en-US"/>
        </w:rPr>
        <w:t xml:space="preserve"> </w:t>
      </w:r>
      <w:r w:rsidRPr="00E51A80">
        <w:rPr>
          <w:rFonts w:ascii="Book Antiqua" w:hAnsi="Book Antiqua" w:cs="Calibri"/>
          <w:sz w:val="20"/>
          <w:szCs w:val="20"/>
          <w:lang w:val="en-US"/>
        </w:rPr>
        <w:t>&lt;</w:t>
      </w:r>
      <w:r w:rsidR="00A82252" w:rsidRPr="00E51A80">
        <w:rPr>
          <w:rFonts w:ascii="Book Antiqua" w:hAnsi="Book Antiqua" w:cs="Calibri"/>
          <w:sz w:val="20"/>
          <w:szCs w:val="20"/>
          <w:lang w:val="en-US"/>
        </w:rPr>
        <w:t xml:space="preserve"> </w:t>
      </w:r>
      <w:r w:rsidRPr="00E51A80">
        <w:rPr>
          <w:rFonts w:ascii="Book Antiqua" w:hAnsi="Book Antiqua" w:cs="Calibri"/>
          <w:sz w:val="20"/>
          <w:szCs w:val="20"/>
          <w:lang w:val="en-US"/>
        </w:rPr>
        <w:t>0.05) were risk factors to OS.</w:t>
      </w:r>
      <w:r w:rsidR="006063E4"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Other contributing factors to OS were tumor grade and the presence of bone lesions. It is increasingly recognized that Ki-67 index and tumor grade are powerful determinants of survival. A study with 74 patients demonstrated the favorable response and long-term outcome of patients with G1/G2 </w:t>
      </w:r>
      <w:proofErr w:type="spellStart"/>
      <w:r w:rsidR="00A44544" w:rsidRPr="00E51A80">
        <w:rPr>
          <w:rFonts w:ascii="Book Antiqua" w:hAnsi="Book Antiqua"/>
          <w:sz w:val="20"/>
          <w:szCs w:val="20"/>
          <w:lang w:val="en-US"/>
        </w:rPr>
        <w:t>gastroenteropancreatic</w:t>
      </w:r>
      <w:proofErr w:type="spellEnd"/>
      <w:r w:rsidR="00A44544" w:rsidRPr="00E51A80" w:rsidDel="00A44544">
        <w:rPr>
          <w:rFonts w:ascii="Book Antiqua" w:hAnsi="Book Antiqua" w:cs="Calibri"/>
          <w:sz w:val="20"/>
          <w:szCs w:val="20"/>
          <w:lang w:val="en-US"/>
        </w:rPr>
        <w:t xml:space="preserve"> </w:t>
      </w:r>
      <w:r w:rsidRPr="00E51A80">
        <w:rPr>
          <w:rFonts w:ascii="Book Antiqua" w:hAnsi="Book Antiqua" w:cs="Calibri"/>
          <w:sz w:val="20"/>
          <w:szCs w:val="20"/>
          <w:lang w:val="en-US"/>
        </w:rPr>
        <w:t>NET after PRRT being the most powerful predict</w:t>
      </w:r>
      <w:r w:rsidR="006063E4" w:rsidRPr="00E51A80">
        <w:rPr>
          <w:rFonts w:ascii="Book Antiqua" w:hAnsi="Book Antiqua" w:cs="Calibri"/>
          <w:sz w:val="20"/>
          <w:szCs w:val="20"/>
          <w:lang w:val="en-US"/>
        </w:rPr>
        <w:t>ive</w:t>
      </w:r>
      <w:r w:rsidRPr="00E51A80">
        <w:rPr>
          <w:rFonts w:ascii="Book Antiqua" w:hAnsi="Book Antiqua" w:cs="Calibri"/>
          <w:sz w:val="20"/>
          <w:szCs w:val="20"/>
          <w:lang w:val="en-US"/>
        </w:rPr>
        <w:t xml:space="preserve"> factor </w:t>
      </w:r>
      <w:r w:rsidR="006063E4" w:rsidRPr="00E51A80">
        <w:rPr>
          <w:rFonts w:ascii="Book Antiqua" w:hAnsi="Book Antiqua" w:cs="Calibri"/>
          <w:sz w:val="20"/>
          <w:szCs w:val="20"/>
          <w:lang w:val="en-US"/>
        </w:rPr>
        <w:t>in</w:t>
      </w:r>
      <w:r w:rsidRPr="00E51A80">
        <w:rPr>
          <w:rFonts w:ascii="Book Antiqua" w:hAnsi="Book Antiqua" w:cs="Calibri"/>
          <w:sz w:val="20"/>
          <w:szCs w:val="20"/>
          <w:lang w:val="en-US"/>
        </w:rPr>
        <w:t xml:space="preserve"> </w:t>
      </w:r>
      <w:proofErr w:type="gramStart"/>
      <w:r w:rsidRPr="00E51A80">
        <w:rPr>
          <w:rFonts w:ascii="Book Antiqua" w:hAnsi="Book Antiqua" w:cs="Calibri"/>
          <w:sz w:val="20"/>
          <w:szCs w:val="20"/>
          <w:lang w:val="en-US"/>
        </w:rPr>
        <w:t>OS</w:t>
      </w:r>
      <w:r w:rsidR="00A82252" w:rsidRPr="00E51A80">
        <w:rPr>
          <w:rFonts w:ascii="Book Antiqua" w:hAnsi="Book Antiqua"/>
          <w:sz w:val="20"/>
          <w:szCs w:val="20"/>
          <w:vertAlign w:val="superscript"/>
          <w:lang w:val="en-US"/>
        </w:rPr>
        <w:t>[</w:t>
      </w:r>
      <w:proofErr w:type="gramEnd"/>
      <w:r w:rsidR="00A82252" w:rsidRPr="00E51A80">
        <w:rPr>
          <w:rFonts w:ascii="Book Antiqua" w:hAnsi="Book Antiqua"/>
          <w:sz w:val="20"/>
          <w:szCs w:val="20"/>
          <w:vertAlign w:val="superscript"/>
          <w:lang w:val="en-US"/>
        </w:rPr>
        <w:t>10]</w:t>
      </w:r>
      <w:r w:rsidRPr="00E51A80">
        <w:rPr>
          <w:rFonts w:ascii="Book Antiqua" w:hAnsi="Book Antiqua"/>
          <w:sz w:val="20"/>
          <w:szCs w:val="20"/>
          <w:lang w:val="en-US"/>
        </w:rPr>
        <w:t xml:space="preserve">. </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t xml:space="preserve">Regarding BM, there is little published data on the general prognostic impact of bone metastasis in NET in the context of PRRT, but it is well known that this outcome is associated with pain and eventual decrease of bone marrow </w:t>
      </w:r>
      <w:proofErr w:type="gramStart"/>
      <w:r w:rsidRPr="00E51A80">
        <w:rPr>
          <w:rFonts w:ascii="Book Antiqua" w:hAnsi="Book Antiqua" w:cs="Calibri"/>
          <w:sz w:val="20"/>
          <w:szCs w:val="20"/>
          <w:lang w:val="en-US"/>
        </w:rPr>
        <w:t>function</w:t>
      </w:r>
      <w:r w:rsidR="00A82252" w:rsidRPr="00E51A80">
        <w:rPr>
          <w:rFonts w:ascii="Book Antiqua" w:hAnsi="Book Antiqua" w:cs="Calibri"/>
          <w:sz w:val="20"/>
          <w:szCs w:val="20"/>
          <w:vertAlign w:val="superscript"/>
          <w:lang w:val="en-US"/>
        </w:rPr>
        <w:t>[</w:t>
      </w:r>
      <w:proofErr w:type="gramEnd"/>
      <w:r w:rsidR="00A82252" w:rsidRPr="00E51A80">
        <w:rPr>
          <w:rFonts w:ascii="Book Antiqua" w:hAnsi="Book Antiqua" w:cs="Calibri"/>
          <w:sz w:val="20"/>
          <w:szCs w:val="20"/>
          <w:vertAlign w:val="superscript"/>
          <w:lang w:val="en-US"/>
        </w:rPr>
        <w:t>11]</w:t>
      </w:r>
      <w:r w:rsidRPr="00E51A80">
        <w:rPr>
          <w:rFonts w:ascii="Book Antiqua" w:hAnsi="Book Antiqua" w:cs="Calibri"/>
          <w:sz w:val="20"/>
          <w:szCs w:val="20"/>
          <w:lang w:val="en-US"/>
        </w:rPr>
        <w:t xml:space="preserve">. It is difficult to evaluate the direct prognostic impact of BM in NET due to the incidence and the heterogeneity of these tumors as well as the frequent coexistence of multiple distant metastases. To the best of our knowledge, only retrospective studies and one systematic review have analyzed this topic. In the study by </w:t>
      </w:r>
      <w:proofErr w:type="spellStart"/>
      <w:r w:rsidR="00A82252" w:rsidRPr="00E51A80">
        <w:rPr>
          <w:rFonts w:ascii="Book Antiqua" w:hAnsi="Book Antiqua" w:cs="Calibri"/>
          <w:sz w:val="20"/>
          <w:szCs w:val="20"/>
          <w:lang w:val="en-US"/>
        </w:rPr>
        <w:t>Strosberg</w:t>
      </w:r>
      <w:proofErr w:type="spellEnd"/>
      <w:r w:rsidR="00A82252" w:rsidRPr="00E51A80">
        <w:rPr>
          <w:rFonts w:ascii="Book Antiqua" w:hAnsi="Book Antiqua" w:cs="Calibri"/>
          <w:sz w:val="20"/>
          <w:szCs w:val="20"/>
          <w:lang w:val="en-US"/>
        </w:rPr>
        <w:t xml:space="preserve"> </w:t>
      </w:r>
      <w:r w:rsidR="00A82252" w:rsidRPr="00E51A80">
        <w:rPr>
          <w:rFonts w:ascii="Book Antiqua" w:hAnsi="Book Antiqua" w:cs="Calibri"/>
          <w:i/>
          <w:sz w:val="20"/>
          <w:szCs w:val="20"/>
          <w:lang w:val="en-US"/>
        </w:rPr>
        <w:t xml:space="preserve">et </w:t>
      </w:r>
      <w:proofErr w:type="gramStart"/>
      <w:r w:rsidR="00A82252" w:rsidRPr="00E51A80">
        <w:rPr>
          <w:rFonts w:ascii="Book Antiqua" w:hAnsi="Book Antiqua" w:cs="Calibri"/>
          <w:i/>
          <w:sz w:val="20"/>
          <w:szCs w:val="20"/>
          <w:lang w:val="en-US"/>
        </w:rPr>
        <w:t>al</w:t>
      </w:r>
      <w:r w:rsidR="00F63757" w:rsidRPr="00E51A80">
        <w:rPr>
          <w:rFonts w:ascii="Book Antiqua" w:hAnsi="Book Antiqua" w:cs="Calibri"/>
          <w:sz w:val="20"/>
          <w:szCs w:val="20"/>
          <w:vertAlign w:val="superscript"/>
          <w:lang w:val="en-US"/>
        </w:rPr>
        <w:t>[</w:t>
      </w:r>
      <w:proofErr w:type="gramEnd"/>
      <w:r w:rsidR="00F63757" w:rsidRPr="00E51A80">
        <w:rPr>
          <w:rFonts w:ascii="Book Antiqua" w:hAnsi="Book Antiqua" w:cs="Calibri"/>
          <w:sz w:val="20"/>
          <w:szCs w:val="20"/>
          <w:vertAlign w:val="superscript"/>
          <w:lang w:val="en-US"/>
        </w:rPr>
        <w:t>1</w:t>
      </w:r>
      <w:r w:rsidR="007E292A" w:rsidRPr="00E51A80">
        <w:rPr>
          <w:rFonts w:ascii="Book Antiqua" w:hAnsi="Book Antiqua" w:cs="Calibri"/>
          <w:sz w:val="20"/>
          <w:szCs w:val="20"/>
          <w:vertAlign w:val="superscript"/>
          <w:lang w:val="en-US"/>
        </w:rPr>
        <w:t>2</w:t>
      </w:r>
      <w:r w:rsidR="00F63757" w:rsidRPr="00E51A80">
        <w:rPr>
          <w:rFonts w:ascii="Book Antiqua" w:hAnsi="Book Antiqua" w:cs="Calibri"/>
          <w:sz w:val="20"/>
          <w:szCs w:val="20"/>
          <w:vertAlign w:val="superscript"/>
          <w:lang w:val="en-US"/>
        </w:rPr>
        <w:t>]</w:t>
      </w:r>
      <w:r w:rsidRPr="00E51A80">
        <w:rPr>
          <w:rFonts w:ascii="Book Antiqua" w:hAnsi="Book Antiqua" w:cs="Calibri"/>
          <w:sz w:val="20"/>
          <w:szCs w:val="20"/>
          <w:lang w:val="en-US"/>
        </w:rPr>
        <w:t xml:space="preserve">, evaluating 146 cases of metastatic </w:t>
      </w:r>
      <w:proofErr w:type="spellStart"/>
      <w:r w:rsidRPr="00E51A80">
        <w:rPr>
          <w:rFonts w:ascii="Book Antiqua" w:hAnsi="Book Antiqua" w:cs="Calibri"/>
          <w:sz w:val="20"/>
          <w:szCs w:val="20"/>
          <w:lang w:val="en-US"/>
        </w:rPr>
        <w:t>midgut</w:t>
      </w:r>
      <w:proofErr w:type="spellEnd"/>
      <w:r w:rsidRPr="00E51A80">
        <w:rPr>
          <w:rFonts w:ascii="Book Antiqua" w:hAnsi="Book Antiqua" w:cs="Calibri"/>
          <w:sz w:val="20"/>
          <w:szCs w:val="20"/>
          <w:lang w:val="en-US"/>
        </w:rPr>
        <w:t xml:space="preserve"> NE</w:t>
      </w:r>
      <w:r w:rsidR="006063E4" w:rsidRPr="00E51A80">
        <w:rPr>
          <w:rFonts w:ascii="Book Antiqua" w:hAnsi="Book Antiqua" w:cs="Calibri"/>
          <w:sz w:val="20"/>
          <w:szCs w:val="20"/>
          <w:lang w:val="en-US"/>
        </w:rPr>
        <w:t>T</w:t>
      </w:r>
      <w:r w:rsidRPr="00E51A80">
        <w:rPr>
          <w:rFonts w:ascii="Book Antiqua" w:hAnsi="Book Antiqua" w:cs="Calibri"/>
          <w:sz w:val="20"/>
          <w:szCs w:val="20"/>
          <w:lang w:val="en-US"/>
        </w:rPr>
        <w:t>s, BM represented a negative prognostic factor because patients with BMs (</w:t>
      </w:r>
      <w:r w:rsidRPr="00E51A80">
        <w:rPr>
          <w:rFonts w:ascii="Book Antiqua" w:hAnsi="Book Antiqua" w:cs="Calibri"/>
          <w:i/>
          <w:sz w:val="20"/>
          <w:szCs w:val="20"/>
          <w:lang w:val="en-US"/>
        </w:rPr>
        <w:t>n</w:t>
      </w:r>
      <w:r w:rsidRPr="00E51A80">
        <w:rPr>
          <w:rFonts w:ascii="Book Antiqua" w:hAnsi="Book Antiqua" w:cs="Calibri"/>
          <w:sz w:val="20"/>
          <w:szCs w:val="20"/>
          <w:lang w:val="en-US"/>
        </w:rPr>
        <w:t xml:space="preserve"> = 35) had a median survival of 32 </w:t>
      </w:r>
      <w:proofErr w:type="spellStart"/>
      <w:r w:rsidRPr="00E51A80">
        <w:rPr>
          <w:rFonts w:ascii="Book Antiqua" w:hAnsi="Book Antiqua" w:cs="Calibri"/>
          <w:sz w:val="20"/>
          <w:szCs w:val="20"/>
          <w:lang w:val="en-US"/>
        </w:rPr>
        <w:t>mo</w:t>
      </w:r>
      <w:proofErr w:type="spellEnd"/>
      <w:r w:rsidR="00A82252" w:rsidRPr="00E51A80">
        <w:rPr>
          <w:rFonts w:ascii="Book Antiqua" w:hAnsi="Book Antiqua" w:cs="Calibri"/>
          <w:sz w:val="20"/>
          <w:szCs w:val="20"/>
          <w:lang w:val="en-US"/>
        </w:rPr>
        <w:t xml:space="preserve"> (</w:t>
      </w:r>
      <w:r w:rsidR="00D2120A" w:rsidRPr="00E51A80">
        <w:rPr>
          <w:rFonts w:ascii="Book Antiqua" w:hAnsi="Book Antiqua" w:cs="Calibri"/>
          <w:sz w:val="20"/>
          <w:szCs w:val="20"/>
          <w:lang w:val="en-US"/>
        </w:rPr>
        <w:t>95%CI</w:t>
      </w:r>
      <w:r w:rsidR="00A82252" w:rsidRPr="00E51A80">
        <w:rPr>
          <w:rFonts w:ascii="Book Antiqua" w:hAnsi="Book Antiqua" w:cs="Calibri"/>
          <w:sz w:val="20"/>
          <w:szCs w:val="20"/>
          <w:lang w:val="en-US"/>
        </w:rPr>
        <w:t>:</w:t>
      </w:r>
      <w:r w:rsidRPr="00E51A80">
        <w:rPr>
          <w:rFonts w:ascii="Book Antiqua" w:hAnsi="Book Antiqua" w:cs="Calibri"/>
          <w:sz w:val="20"/>
          <w:szCs w:val="20"/>
          <w:lang w:val="en-US"/>
        </w:rPr>
        <w:t xml:space="preserve"> 28–35 </w:t>
      </w:r>
      <w:proofErr w:type="spellStart"/>
      <w:r w:rsidRPr="00E51A80">
        <w:rPr>
          <w:rFonts w:ascii="Book Antiqua" w:hAnsi="Book Antiqua" w:cs="Calibri"/>
          <w:sz w:val="20"/>
          <w:szCs w:val="20"/>
          <w:lang w:val="en-US"/>
        </w:rPr>
        <w:t>mo</w:t>
      </w:r>
      <w:proofErr w:type="spellEnd"/>
      <w:r w:rsidRPr="00E51A80">
        <w:rPr>
          <w:rFonts w:ascii="Book Antiqua" w:hAnsi="Book Antiqua" w:cs="Calibri"/>
          <w:sz w:val="20"/>
          <w:szCs w:val="20"/>
          <w:lang w:val="en-US"/>
        </w:rPr>
        <w:t>) and a 5-year survival rate of 20%</w:t>
      </w:r>
      <w:r w:rsidRPr="00E51A80">
        <w:rPr>
          <w:rFonts w:ascii="Book Antiqua" w:hAnsi="Book Antiqua"/>
          <w:sz w:val="20"/>
          <w:szCs w:val="20"/>
          <w:lang w:val="en-US"/>
        </w:rPr>
        <w:t xml:space="preserve">. </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lastRenderedPageBreak/>
        <w:t xml:space="preserve">On the other hand, OS was similar and independent to other factors, such as the location of the primary tumor and the administration of previous treatments with SSA or others. However, a larger number of patients </w:t>
      </w:r>
      <w:proofErr w:type="gramStart"/>
      <w:r w:rsidRPr="00E51A80">
        <w:rPr>
          <w:rFonts w:ascii="Book Antiqua" w:hAnsi="Book Antiqua" w:cs="Calibri"/>
          <w:sz w:val="20"/>
          <w:szCs w:val="20"/>
          <w:lang w:val="en-US"/>
        </w:rPr>
        <w:t>is</w:t>
      </w:r>
      <w:proofErr w:type="gramEnd"/>
      <w:r w:rsidRPr="00E51A80">
        <w:rPr>
          <w:rFonts w:ascii="Book Antiqua" w:hAnsi="Book Antiqua" w:cs="Calibri"/>
          <w:sz w:val="20"/>
          <w:szCs w:val="20"/>
          <w:lang w:val="en-US"/>
        </w:rPr>
        <w:t xml:space="preserve"> needed to determine a</w:t>
      </w:r>
      <w:r w:rsidR="006063E4" w:rsidRPr="00E51A80">
        <w:rPr>
          <w:rFonts w:ascii="Book Antiqua" w:hAnsi="Book Antiqua" w:cs="Calibri"/>
          <w:sz w:val="20"/>
          <w:szCs w:val="20"/>
          <w:lang w:val="en-US"/>
        </w:rPr>
        <w:t>n accurate</w:t>
      </w:r>
      <w:r w:rsidRPr="00E51A80">
        <w:rPr>
          <w:rFonts w:ascii="Book Antiqua" w:hAnsi="Book Antiqua" w:cs="Calibri"/>
          <w:sz w:val="20"/>
          <w:szCs w:val="20"/>
          <w:lang w:val="en-US"/>
        </w:rPr>
        <w:t xml:space="preserve"> relationship between these variables.</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t xml:space="preserve">Most patients (72.2%) presented </w:t>
      </w:r>
      <w:r w:rsidR="006063E4" w:rsidRPr="00E51A80">
        <w:rPr>
          <w:rFonts w:ascii="Book Antiqua" w:hAnsi="Book Antiqua" w:cs="Calibri"/>
          <w:sz w:val="20"/>
          <w:szCs w:val="20"/>
          <w:lang w:val="en-US"/>
        </w:rPr>
        <w:t xml:space="preserve">with </w:t>
      </w:r>
      <w:r w:rsidRPr="00E51A80">
        <w:rPr>
          <w:rFonts w:ascii="Book Antiqua" w:hAnsi="Book Antiqua" w:cs="Calibri"/>
          <w:sz w:val="20"/>
          <w:szCs w:val="20"/>
          <w:lang w:val="en-US"/>
        </w:rPr>
        <w:t>matching lesions identified in</w:t>
      </w:r>
      <w:r w:rsidR="006063E4" w:rsidRPr="00E51A80">
        <w:rPr>
          <w:rFonts w:ascii="Book Antiqua" w:hAnsi="Book Antiqua" w:cs="Calibri"/>
          <w:sz w:val="20"/>
          <w:szCs w:val="20"/>
          <w:lang w:val="en-US"/>
        </w:rPr>
        <w:t xml:space="preserve"> the</w:t>
      </w:r>
      <w:r w:rsidRPr="00E51A80">
        <w:rPr>
          <w:rFonts w:ascii="Book Antiqua" w:hAnsi="Book Antiqua" w:cs="Calibri"/>
          <w:sz w:val="20"/>
          <w:szCs w:val="20"/>
          <w:lang w:val="en-US"/>
        </w:rPr>
        <w:t xml:space="preserve"> CT evaluation and </w:t>
      </w:r>
      <w:proofErr w:type="spellStart"/>
      <w:r w:rsidR="003A7D70" w:rsidRPr="00E51A80">
        <w:rPr>
          <w:rFonts w:ascii="Book Antiqua" w:hAnsi="Book Antiqua" w:cs="Calibri"/>
          <w:sz w:val="20"/>
          <w:szCs w:val="20"/>
          <w:lang w:val="en-US"/>
        </w:rPr>
        <w:t>Octreoscan</w:t>
      </w:r>
      <w:proofErr w:type="spellEnd"/>
      <w:r w:rsidRPr="00E51A80">
        <w:rPr>
          <w:rFonts w:ascii="Book Antiqua" w:hAnsi="Book Antiqua" w:cs="Calibri"/>
          <w:sz w:val="20"/>
          <w:szCs w:val="20"/>
          <w:vertAlign w:val="superscript"/>
          <w:lang w:val="en-US"/>
        </w:rPr>
        <w:t>®</w:t>
      </w:r>
      <w:r w:rsidRPr="00E51A80">
        <w:rPr>
          <w:rFonts w:ascii="Book Antiqua" w:hAnsi="Book Antiqua" w:cs="Calibri"/>
          <w:sz w:val="20"/>
          <w:szCs w:val="20"/>
          <w:lang w:val="en-US"/>
        </w:rPr>
        <w:t xml:space="preserve"> pre-PRRT, </w:t>
      </w:r>
      <w:r w:rsidR="006063E4" w:rsidRPr="00E51A80">
        <w:rPr>
          <w:rFonts w:ascii="Book Antiqua" w:hAnsi="Book Antiqua" w:cs="Calibri"/>
          <w:sz w:val="20"/>
          <w:szCs w:val="20"/>
          <w:lang w:val="en-US"/>
        </w:rPr>
        <w:t xml:space="preserve">while </w:t>
      </w:r>
      <w:r w:rsidRPr="00E51A80">
        <w:rPr>
          <w:rFonts w:ascii="Book Antiqua" w:hAnsi="Book Antiqua" w:cs="Calibri"/>
          <w:sz w:val="20"/>
          <w:szCs w:val="20"/>
          <w:lang w:val="en-US"/>
        </w:rPr>
        <w:t xml:space="preserve">13.9% had more lesions in the CT that did not express </w:t>
      </w:r>
      <w:proofErr w:type="spellStart"/>
      <w:r w:rsidR="006063E4" w:rsidRPr="00E51A80">
        <w:rPr>
          <w:rFonts w:ascii="Book Antiqua" w:hAnsi="Book Antiqua" w:cs="Calibri"/>
          <w:sz w:val="20"/>
          <w:szCs w:val="20"/>
          <w:lang w:val="en-US"/>
        </w:rPr>
        <w:t>s</w:t>
      </w:r>
      <w:r w:rsidRPr="00E51A80">
        <w:rPr>
          <w:rFonts w:ascii="Book Antiqua" w:hAnsi="Book Antiqua" w:cs="Calibri"/>
          <w:sz w:val="20"/>
          <w:szCs w:val="20"/>
          <w:lang w:val="en-US"/>
        </w:rPr>
        <w:t>omatostatin</w:t>
      </w:r>
      <w:proofErr w:type="spellEnd"/>
      <w:r w:rsidRPr="00E51A80">
        <w:rPr>
          <w:rFonts w:ascii="Book Antiqua" w:hAnsi="Book Antiqua" w:cs="Calibri"/>
          <w:sz w:val="20"/>
          <w:szCs w:val="20"/>
          <w:lang w:val="en-US"/>
        </w:rPr>
        <w:t xml:space="preserve"> receptors in </w:t>
      </w:r>
      <w:proofErr w:type="spellStart"/>
      <w:r w:rsidRPr="00E51A80">
        <w:rPr>
          <w:rFonts w:ascii="Book Antiqua" w:hAnsi="Book Antiqua" w:cs="Calibri"/>
          <w:sz w:val="20"/>
          <w:szCs w:val="20"/>
          <w:lang w:val="en-US"/>
        </w:rPr>
        <w:t>Octreoscan</w:t>
      </w:r>
      <w:proofErr w:type="spellEnd"/>
      <w:r w:rsidRPr="00E51A80">
        <w:rPr>
          <w:rFonts w:ascii="Book Antiqua" w:hAnsi="Book Antiqua" w:cs="Calibri"/>
          <w:sz w:val="20"/>
          <w:szCs w:val="20"/>
          <w:vertAlign w:val="superscript"/>
          <w:lang w:val="en-US"/>
        </w:rPr>
        <w:t>®</w:t>
      </w:r>
      <w:r w:rsidRPr="00E51A80">
        <w:rPr>
          <w:rFonts w:ascii="Book Antiqua" w:hAnsi="Book Antiqua" w:cs="Calibri"/>
          <w:sz w:val="20"/>
          <w:szCs w:val="20"/>
          <w:lang w:val="en-US"/>
        </w:rPr>
        <w:t xml:space="preserve"> and 13.9% presented metabolic lesions without</w:t>
      </w:r>
      <w:r w:rsidR="00F63757" w:rsidRPr="00E51A80">
        <w:rPr>
          <w:rFonts w:ascii="Book Antiqua" w:hAnsi="Book Antiqua" w:cs="Calibri"/>
          <w:sz w:val="20"/>
          <w:szCs w:val="20"/>
          <w:lang w:val="en-US"/>
        </w:rPr>
        <w:t xml:space="preserve"> anatomical correlation in CT. </w:t>
      </w:r>
      <w:r w:rsidRPr="00E51A80">
        <w:rPr>
          <w:rFonts w:ascii="Book Antiqua" w:hAnsi="Book Antiqua" w:cs="Calibri"/>
          <w:sz w:val="20"/>
          <w:szCs w:val="20"/>
          <w:lang w:val="en-US"/>
        </w:rPr>
        <w:t xml:space="preserve">Matching lesions between </w:t>
      </w:r>
      <w:proofErr w:type="spellStart"/>
      <w:r w:rsidR="003A7D70" w:rsidRPr="00E51A80">
        <w:rPr>
          <w:rFonts w:ascii="Book Antiqua" w:hAnsi="Book Antiqua" w:cs="Calibri"/>
          <w:sz w:val="20"/>
          <w:szCs w:val="20"/>
          <w:lang w:val="en-US"/>
        </w:rPr>
        <w:t>Octreoscan</w:t>
      </w:r>
      <w:proofErr w:type="spellEnd"/>
      <w:r w:rsidRPr="00E51A80">
        <w:rPr>
          <w:rFonts w:ascii="Book Antiqua" w:hAnsi="Book Antiqua" w:cs="Calibri"/>
          <w:sz w:val="20"/>
          <w:szCs w:val="20"/>
          <w:lang w:val="en-US"/>
        </w:rPr>
        <w:t xml:space="preserve"> and CT pre-PRRT had a proportional relationship to OS, representing a prognostic factor (</w:t>
      </w:r>
      <w:r w:rsidRPr="00E51A80">
        <w:rPr>
          <w:rFonts w:ascii="Book Antiqua" w:hAnsi="Book Antiqua" w:cs="Calibri"/>
          <w:i/>
          <w:caps/>
          <w:sz w:val="20"/>
          <w:szCs w:val="20"/>
          <w:lang w:val="en-US"/>
        </w:rPr>
        <w:t>p</w:t>
      </w:r>
      <w:r w:rsidR="007F7976" w:rsidRPr="00E51A80">
        <w:rPr>
          <w:rFonts w:ascii="Book Antiqua" w:hAnsi="Book Antiqua" w:cs="Calibri"/>
          <w:sz w:val="20"/>
          <w:szCs w:val="20"/>
          <w:lang w:val="en-US"/>
        </w:rPr>
        <w:t xml:space="preserve"> </w:t>
      </w:r>
      <w:r w:rsidRPr="00E51A80">
        <w:rPr>
          <w:rFonts w:ascii="Book Antiqua" w:hAnsi="Book Antiqua" w:cs="Calibri"/>
          <w:sz w:val="20"/>
          <w:szCs w:val="20"/>
          <w:lang w:val="en-US"/>
        </w:rPr>
        <w:t>&lt;</w:t>
      </w:r>
      <w:r w:rsidR="007F7976" w:rsidRPr="00E51A80">
        <w:rPr>
          <w:rFonts w:ascii="Book Antiqua" w:hAnsi="Book Antiqua" w:cs="Calibri"/>
          <w:sz w:val="20"/>
          <w:szCs w:val="20"/>
          <w:lang w:val="en-US"/>
        </w:rPr>
        <w:t xml:space="preserve"> 0.</w:t>
      </w:r>
      <w:r w:rsidRPr="00E51A80">
        <w:rPr>
          <w:rFonts w:ascii="Book Antiqua" w:hAnsi="Book Antiqua" w:cs="Calibri"/>
          <w:sz w:val="20"/>
          <w:szCs w:val="20"/>
          <w:lang w:val="en-US"/>
        </w:rPr>
        <w:t xml:space="preserve">05). This </w:t>
      </w:r>
      <w:r w:rsidR="0082593D" w:rsidRPr="00E51A80">
        <w:rPr>
          <w:rFonts w:ascii="Book Antiqua" w:hAnsi="Book Antiqua" w:cs="Calibri"/>
          <w:sz w:val="20"/>
          <w:szCs w:val="20"/>
          <w:lang w:val="en-US"/>
        </w:rPr>
        <w:t xml:space="preserve">may </w:t>
      </w:r>
      <w:r w:rsidRPr="00E51A80">
        <w:rPr>
          <w:rFonts w:ascii="Book Antiqua" w:hAnsi="Book Antiqua" w:cs="Calibri"/>
          <w:sz w:val="20"/>
          <w:szCs w:val="20"/>
          <w:lang w:val="en-US"/>
        </w:rPr>
        <w:t xml:space="preserve">be </w:t>
      </w:r>
      <w:r w:rsidR="0082593D" w:rsidRPr="00E51A80">
        <w:rPr>
          <w:rFonts w:ascii="Book Antiqua" w:hAnsi="Book Antiqua" w:cs="Calibri"/>
          <w:sz w:val="20"/>
          <w:szCs w:val="20"/>
          <w:lang w:val="en-US"/>
        </w:rPr>
        <w:t>due</w:t>
      </w:r>
      <w:r w:rsidRPr="00E51A80">
        <w:rPr>
          <w:rFonts w:ascii="Book Antiqua" w:hAnsi="Book Antiqua" w:cs="Calibri"/>
          <w:sz w:val="20"/>
          <w:szCs w:val="20"/>
          <w:lang w:val="en-US"/>
        </w:rPr>
        <w:t xml:space="preserve"> </w:t>
      </w:r>
      <w:r w:rsidR="0082593D" w:rsidRPr="00E51A80">
        <w:rPr>
          <w:rFonts w:ascii="Book Antiqua" w:hAnsi="Book Antiqua" w:cs="Calibri"/>
          <w:sz w:val="20"/>
          <w:szCs w:val="20"/>
          <w:lang w:val="en-US"/>
        </w:rPr>
        <w:t>to</w:t>
      </w:r>
      <w:r w:rsidRPr="00E51A80">
        <w:rPr>
          <w:rFonts w:ascii="Book Antiqua" w:hAnsi="Book Antiqua" w:cs="Calibri"/>
          <w:sz w:val="20"/>
          <w:szCs w:val="20"/>
          <w:lang w:val="en-US"/>
        </w:rPr>
        <w:t xml:space="preserve"> all lesions visualized on the CT express</w:t>
      </w:r>
      <w:r w:rsidR="0082593D" w:rsidRPr="00E51A80">
        <w:rPr>
          <w:rFonts w:ascii="Book Antiqua" w:hAnsi="Book Antiqua" w:cs="Calibri"/>
          <w:sz w:val="20"/>
          <w:szCs w:val="20"/>
          <w:lang w:val="en-US"/>
        </w:rPr>
        <w:t>ing</w:t>
      </w:r>
      <w:r w:rsidRPr="00E51A80">
        <w:rPr>
          <w:rFonts w:ascii="Book Antiqua" w:hAnsi="Book Antiqua" w:cs="Calibri"/>
          <w:sz w:val="20"/>
          <w:szCs w:val="20"/>
          <w:lang w:val="en-US"/>
        </w:rPr>
        <w:t xml:space="preserve"> </w:t>
      </w:r>
      <w:proofErr w:type="spellStart"/>
      <w:r w:rsidRPr="00E51A80">
        <w:rPr>
          <w:rFonts w:ascii="Book Antiqua" w:hAnsi="Book Antiqua" w:cs="Calibri"/>
          <w:sz w:val="20"/>
          <w:szCs w:val="20"/>
          <w:lang w:val="en-US"/>
        </w:rPr>
        <w:t>somatostatin</w:t>
      </w:r>
      <w:proofErr w:type="spellEnd"/>
      <w:r w:rsidRPr="00E51A80">
        <w:rPr>
          <w:rFonts w:ascii="Book Antiqua" w:hAnsi="Book Antiqua" w:cs="Calibri"/>
          <w:sz w:val="20"/>
          <w:szCs w:val="20"/>
          <w:lang w:val="en-US"/>
        </w:rPr>
        <w:t xml:space="preserve"> receptors</w:t>
      </w:r>
      <w:r w:rsidR="0082593D" w:rsidRPr="00E51A80">
        <w:rPr>
          <w:rFonts w:ascii="Book Antiqua" w:hAnsi="Book Antiqua" w:cs="Calibri"/>
          <w:sz w:val="20"/>
          <w:szCs w:val="20"/>
          <w:lang w:val="en-US"/>
        </w:rPr>
        <w:t>. Therefore,</w:t>
      </w:r>
      <w:r w:rsidRPr="00E51A80">
        <w:rPr>
          <w:rFonts w:ascii="Book Antiqua" w:hAnsi="Book Antiqua" w:cs="Calibri"/>
          <w:sz w:val="20"/>
          <w:szCs w:val="20"/>
          <w:lang w:val="en-US"/>
        </w:rPr>
        <w:t xml:space="preserve"> a greater number of tumor cells w</w:t>
      </w:r>
      <w:r w:rsidR="0082593D" w:rsidRPr="00E51A80">
        <w:rPr>
          <w:rFonts w:ascii="Book Antiqua" w:hAnsi="Book Antiqua" w:cs="Calibri"/>
          <w:sz w:val="20"/>
          <w:szCs w:val="20"/>
          <w:lang w:val="en-US"/>
        </w:rPr>
        <w:t>ould</w:t>
      </w:r>
      <w:r w:rsidRPr="00E51A80">
        <w:rPr>
          <w:rFonts w:ascii="Book Antiqua" w:hAnsi="Book Antiqua" w:cs="Calibri"/>
          <w:sz w:val="20"/>
          <w:szCs w:val="20"/>
          <w:lang w:val="en-US"/>
        </w:rPr>
        <w:t xml:space="preserve"> be treated by the radionuclide and would respon</w:t>
      </w:r>
      <w:r w:rsidR="0082593D" w:rsidRPr="00E51A80">
        <w:rPr>
          <w:rFonts w:ascii="Book Antiqua" w:hAnsi="Book Antiqua" w:cs="Calibri"/>
          <w:sz w:val="20"/>
          <w:szCs w:val="20"/>
          <w:lang w:val="en-US"/>
        </w:rPr>
        <w:t>d well</w:t>
      </w:r>
      <w:r w:rsidRPr="00E51A80">
        <w:rPr>
          <w:rFonts w:ascii="Book Antiqua" w:hAnsi="Book Antiqua" w:cs="Calibri"/>
          <w:sz w:val="20"/>
          <w:szCs w:val="20"/>
          <w:lang w:val="en-US"/>
        </w:rPr>
        <w:t xml:space="preserve"> to treatment. However, in the case of a wide cellular heterogen</w:t>
      </w:r>
      <w:r w:rsidR="0082593D" w:rsidRPr="00E51A80">
        <w:rPr>
          <w:rFonts w:ascii="Book Antiqua" w:hAnsi="Book Antiqua" w:cs="Calibri"/>
          <w:sz w:val="20"/>
          <w:szCs w:val="20"/>
          <w:lang w:val="en-US"/>
        </w:rPr>
        <w:t>e</w:t>
      </w:r>
      <w:r w:rsidRPr="00E51A80">
        <w:rPr>
          <w:rFonts w:ascii="Book Antiqua" w:hAnsi="Book Antiqua" w:cs="Calibri"/>
          <w:sz w:val="20"/>
          <w:szCs w:val="20"/>
          <w:lang w:val="en-US"/>
        </w:rPr>
        <w:t xml:space="preserve">ity and having lesions in the CT that are not visualized in </w:t>
      </w:r>
      <w:r w:rsidR="0082593D" w:rsidRPr="00E51A80">
        <w:rPr>
          <w:rFonts w:ascii="Book Antiqua" w:hAnsi="Book Antiqua" w:cs="Calibri"/>
          <w:sz w:val="20"/>
          <w:szCs w:val="20"/>
          <w:lang w:val="en-US"/>
        </w:rPr>
        <w:t xml:space="preserve">the </w:t>
      </w:r>
      <w:proofErr w:type="spellStart"/>
      <w:r w:rsidRPr="00E51A80">
        <w:rPr>
          <w:rFonts w:ascii="Book Antiqua" w:hAnsi="Book Antiqua" w:cs="Calibri"/>
          <w:sz w:val="20"/>
          <w:szCs w:val="20"/>
          <w:lang w:val="en-US"/>
        </w:rPr>
        <w:t>Octreoscan</w:t>
      </w:r>
      <w:proofErr w:type="spellEnd"/>
      <w:r w:rsidRPr="00E51A80">
        <w:rPr>
          <w:rFonts w:ascii="Book Antiqua" w:hAnsi="Book Antiqua" w:cs="Calibri"/>
          <w:sz w:val="20"/>
          <w:szCs w:val="20"/>
          <w:vertAlign w:val="superscript"/>
          <w:lang w:val="en-US"/>
        </w:rPr>
        <w:t>®</w:t>
      </w:r>
      <w:r w:rsidRPr="00E51A80">
        <w:rPr>
          <w:rFonts w:ascii="Book Antiqua" w:hAnsi="Book Antiqua" w:cs="Calibri"/>
          <w:sz w:val="20"/>
          <w:szCs w:val="20"/>
          <w:lang w:val="en-US"/>
        </w:rPr>
        <w:t>, the scope of the radiopharmaceutical w</w:t>
      </w:r>
      <w:r w:rsidR="0082593D" w:rsidRPr="00E51A80">
        <w:rPr>
          <w:rFonts w:ascii="Book Antiqua" w:hAnsi="Book Antiqua" w:cs="Calibri"/>
          <w:sz w:val="20"/>
          <w:szCs w:val="20"/>
          <w:lang w:val="en-US"/>
        </w:rPr>
        <w:t>ould</w:t>
      </w:r>
      <w:r w:rsidRPr="00E51A80">
        <w:rPr>
          <w:rFonts w:ascii="Book Antiqua" w:hAnsi="Book Antiqua" w:cs="Calibri"/>
          <w:sz w:val="20"/>
          <w:szCs w:val="20"/>
          <w:lang w:val="en-US"/>
        </w:rPr>
        <w:t xml:space="preserve"> be limited </w:t>
      </w:r>
      <w:r w:rsidR="0082593D" w:rsidRPr="00E51A80">
        <w:rPr>
          <w:rFonts w:ascii="Book Antiqua" w:hAnsi="Book Antiqua" w:cs="Calibri"/>
          <w:sz w:val="20"/>
          <w:szCs w:val="20"/>
          <w:lang w:val="en-US"/>
        </w:rPr>
        <w:t>to</w:t>
      </w:r>
      <w:r w:rsidRPr="00E51A80">
        <w:rPr>
          <w:rFonts w:ascii="Book Antiqua" w:hAnsi="Book Antiqua" w:cs="Calibri"/>
          <w:sz w:val="20"/>
          <w:szCs w:val="20"/>
          <w:lang w:val="en-US"/>
        </w:rPr>
        <w:t xml:space="preserve"> the lesions with positive receptors, leaving the rest of the tumor cells untreated. </w:t>
      </w:r>
      <w:r w:rsidR="0082593D" w:rsidRPr="00E51A80">
        <w:rPr>
          <w:rFonts w:ascii="Book Antiqua" w:hAnsi="Book Antiqua" w:cs="Calibri"/>
          <w:sz w:val="20"/>
          <w:szCs w:val="20"/>
          <w:lang w:val="en-US"/>
        </w:rPr>
        <w:t xml:space="preserve">This is the first study to our knowledge to report </w:t>
      </w:r>
      <w:r w:rsidR="007A2351" w:rsidRPr="00E51A80">
        <w:rPr>
          <w:rFonts w:ascii="Book Antiqua" w:hAnsi="Book Antiqua" w:cs="Calibri"/>
          <w:sz w:val="20"/>
          <w:szCs w:val="20"/>
          <w:lang w:val="en-US"/>
        </w:rPr>
        <w:t>this important</w:t>
      </w:r>
      <w:r w:rsidRPr="00E51A80">
        <w:rPr>
          <w:rFonts w:ascii="Book Antiqua" w:hAnsi="Book Antiqua" w:cs="Calibri"/>
          <w:sz w:val="20"/>
          <w:szCs w:val="20"/>
          <w:lang w:val="en-US"/>
        </w:rPr>
        <w:t xml:space="preserve"> outcome. This result may help to evaluate individual prognostic factors to OS as well </w:t>
      </w:r>
      <w:r w:rsidR="007A2351" w:rsidRPr="00E51A80">
        <w:rPr>
          <w:rFonts w:ascii="Book Antiqua" w:hAnsi="Book Antiqua" w:cs="Calibri"/>
          <w:sz w:val="20"/>
          <w:szCs w:val="20"/>
          <w:lang w:val="en-US"/>
        </w:rPr>
        <w:t xml:space="preserve">as </w:t>
      </w:r>
      <w:r w:rsidRPr="00E51A80">
        <w:rPr>
          <w:rFonts w:ascii="Book Antiqua" w:hAnsi="Book Antiqua" w:cs="Calibri"/>
          <w:sz w:val="20"/>
          <w:szCs w:val="20"/>
          <w:lang w:val="en-US"/>
        </w:rPr>
        <w:t xml:space="preserve">for the need to conduct </w:t>
      </w:r>
      <w:proofErr w:type="gramStart"/>
      <w:r w:rsidRPr="00E51A80">
        <w:rPr>
          <w:rFonts w:ascii="Book Antiqua" w:hAnsi="Book Antiqua" w:cs="Calibri"/>
          <w:sz w:val="20"/>
          <w:szCs w:val="20"/>
          <w:lang w:val="en-US"/>
        </w:rPr>
        <w:t>a</w:t>
      </w:r>
      <w:proofErr w:type="gramEnd"/>
      <w:r w:rsidRPr="00E51A80">
        <w:rPr>
          <w:rFonts w:ascii="Book Antiqua" w:hAnsi="Book Antiqua" w:cs="Calibri"/>
          <w:sz w:val="20"/>
          <w:szCs w:val="20"/>
          <w:lang w:val="en-US"/>
        </w:rPr>
        <w:t xml:space="preserve"> </w:t>
      </w:r>
      <w:r w:rsidRPr="00E51A80">
        <w:rPr>
          <w:rFonts w:ascii="Book Antiqua" w:hAnsi="Book Antiqua" w:cs="Calibri"/>
          <w:sz w:val="20"/>
          <w:szCs w:val="20"/>
          <w:vertAlign w:val="superscript"/>
          <w:lang w:val="en-US"/>
        </w:rPr>
        <w:t>18</w:t>
      </w:r>
      <w:r w:rsidRPr="00E51A80">
        <w:rPr>
          <w:rFonts w:ascii="Book Antiqua" w:hAnsi="Book Antiqua" w:cs="Calibri"/>
          <w:sz w:val="20"/>
          <w:szCs w:val="20"/>
          <w:lang w:val="en-US"/>
        </w:rPr>
        <w:t>F-FDG</w:t>
      </w:r>
      <w:r w:rsidR="007A2351" w:rsidRPr="00E51A80">
        <w:rPr>
          <w:rFonts w:ascii="Book Antiqua" w:hAnsi="Book Antiqua" w:cs="Calibri"/>
          <w:sz w:val="20"/>
          <w:szCs w:val="20"/>
          <w:lang w:val="en-US"/>
        </w:rPr>
        <w:t xml:space="preserve"> positron emission tomography</w:t>
      </w:r>
      <w:r w:rsidRPr="00E51A80">
        <w:rPr>
          <w:rFonts w:ascii="Book Antiqua" w:hAnsi="Book Antiqua" w:cs="Calibri"/>
          <w:sz w:val="20"/>
          <w:szCs w:val="20"/>
          <w:lang w:val="en-US"/>
        </w:rPr>
        <w:t>/CT to predict treatment response in patients</w:t>
      </w:r>
      <w:r w:rsidR="00F63757" w:rsidRPr="00E51A80">
        <w:rPr>
          <w:rFonts w:ascii="Book Antiqua" w:hAnsi="Book Antiqua" w:cs="Calibri"/>
          <w:sz w:val="20"/>
          <w:szCs w:val="20"/>
          <w:lang w:val="en-US"/>
        </w:rPr>
        <w:t xml:space="preserve"> with cellular heterogen</w:t>
      </w:r>
      <w:r w:rsidR="007A2351" w:rsidRPr="00E51A80">
        <w:rPr>
          <w:rFonts w:ascii="Book Antiqua" w:hAnsi="Book Antiqua" w:cs="Calibri"/>
          <w:sz w:val="20"/>
          <w:szCs w:val="20"/>
          <w:lang w:val="en-US"/>
        </w:rPr>
        <w:t>e</w:t>
      </w:r>
      <w:r w:rsidR="00F63757" w:rsidRPr="00E51A80">
        <w:rPr>
          <w:rFonts w:ascii="Book Antiqua" w:hAnsi="Book Antiqua" w:cs="Calibri"/>
          <w:sz w:val="20"/>
          <w:szCs w:val="20"/>
          <w:lang w:val="en-US"/>
        </w:rPr>
        <w:t xml:space="preserve">ity. </w:t>
      </w:r>
      <w:r w:rsidRPr="00E51A80">
        <w:rPr>
          <w:rFonts w:ascii="Book Antiqua" w:hAnsi="Book Antiqua" w:cs="Calibri"/>
          <w:sz w:val="20"/>
          <w:szCs w:val="20"/>
          <w:lang w:val="en-US"/>
        </w:rPr>
        <w:t xml:space="preserve">In addition, they demonstrate the need for more research with a greater number of patients assessing the importance of this and other prognostic factors that are yet to be described </w:t>
      </w:r>
      <w:r w:rsidR="007A2351" w:rsidRPr="00E51A80">
        <w:rPr>
          <w:rFonts w:ascii="Book Antiqua" w:hAnsi="Book Antiqua" w:cs="Calibri"/>
          <w:sz w:val="20"/>
          <w:szCs w:val="20"/>
          <w:lang w:val="en-US"/>
        </w:rPr>
        <w:t xml:space="preserve">in order </w:t>
      </w:r>
      <w:r w:rsidRPr="00E51A80">
        <w:rPr>
          <w:rFonts w:ascii="Book Antiqua" w:hAnsi="Book Antiqua" w:cs="Calibri"/>
          <w:sz w:val="20"/>
          <w:szCs w:val="20"/>
          <w:lang w:val="en-US"/>
        </w:rPr>
        <w:t xml:space="preserve">to improve patient management. </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t>Another important result in this study</w:t>
      </w:r>
      <w:r w:rsidR="007A2351" w:rsidRPr="00E51A80">
        <w:rPr>
          <w:rFonts w:ascii="Book Antiqua" w:hAnsi="Book Antiqua" w:cs="Calibri"/>
          <w:sz w:val="20"/>
          <w:szCs w:val="20"/>
          <w:lang w:val="en-US"/>
        </w:rPr>
        <w:t xml:space="preserve"> was </w:t>
      </w:r>
      <w:r w:rsidRPr="00E51A80">
        <w:rPr>
          <w:rFonts w:ascii="Book Antiqua" w:hAnsi="Book Antiqua" w:cs="Calibri"/>
          <w:sz w:val="20"/>
          <w:szCs w:val="20"/>
          <w:lang w:val="en-US"/>
        </w:rPr>
        <w:t xml:space="preserve">an apparent radiological progression in 20 cases (55.6%) in the CT evaluation after the second dose manifested as an </w:t>
      </w:r>
      <w:r w:rsidR="007F7976" w:rsidRPr="00E51A80">
        <w:rPr>
          <w:rFonts w:ascii="Book Antiqua" w:hAnsi="Book Antiqua" w:cs="Calibri"/>
          <w:sz w:val="20"/>
          <w:szCs w:val="20"/>
          <w:lang w:val="en-US"/>
        </w:rPr>
        <w:t>increase in</w:t>
      </w:r>
      <w:r w:rsidR="007A2351" w:rsidRPr="00E51A80">
        <w:rPr>
          <w:rFonts w:ascii="Book Antiqua" w:hAnsi="Book Antiqua" w:cs="Calibri"/>
          <w:sz w:val="20"/>
          <w:szCs w:val="20"/>
          <w:lang w:val="en-US"/>
        </w:rPr>
        <w:t xml:space="preserve"> the</w:t>
      </w:r>
      <w:r w:rsidR="007F7976" w:rsidRPr="00E51A80">
        <w:rPr>
          <w:rFonts w:ascii="Book Antiqua" w:hAnsi="Book Antiqua" w:cs="Calibri"/>
          <w:sz w:val="20"/>
          <w:szCs w:val="20"/>
          <w:lang w:val="en-US"/>
        </w:rPr>
        <w:t xml:space="preserve"> lesion’</w:t>
      </w:r>
      <w:r w:rsidRPr="00E51A80">
        <w:rPr>
          <w:rFonts w:ascii="Book Antiqua" w:hAnsi="Book Antiqua" w:cs="Calibri"/>
          <w:sz w:val="20"/>
          <w:szCs w:val="20"/>
          <w:lang w:val="en-US"/>
        </w:rPr>
        <w:t>s diameter. Despite this, due to a significant clinical improvement and symptom control, it was decided to complete the treatment</w:t>
      </w:r>
      <w:r w:rsidR="007A2351" w:rsidRPr="00E51A80">
        <w:rPr>
          <w:rFonts w:ascii="Book Antiqua" w:hAnsi="Book Antiqua" w:cs="Calibri"/>
          <w:sz w:val="20"/>
          <w:szCs w:val="20"/>
          <w:lang w:val="en-US"/>
        </w:rPr>
        <w:t>.</w:t>
      </w:r>
      <w:r w:rsidRPr="00E51A80">
        <w:rPr>
          <w:rFonts w:ascii="Book Antiqua" w:hAnsi="Book Antiqua" w:cs="Calibri"/>
          <w:sz w:val="20"/>
          <w:szCs w:val="20"/>
          <w:lang w:val="en-US"/>
        </w:rPr>
        <w:t xml:space="preserve"> </w:t>
      </w:r>
      <w:r w:rsidR="007A2351" w:rsidRPr="00E51A80">
        <w:rPr>
          <w:rFonts w:ascii="Book Antiqua" w:hAnsi="Book Antiqua" w:cs="Calibri"/>
          <w:sz w:val="20"/>
          <w:szCs w:val="20"/>
          <w:lang w:val="en-US"/>
        </w:rPr>
        <w:t>D</w:t>
      </w:r>
      <w:r w:rsidRPr="00E51A80">
        <w:rPr>
          <w:rFonts w:ascii="Book Antiqua" w:hAnsi="Book Antiqua" w:cs="Calibri"/>
          <w:sz w:val="20"/>
          <w:szCs w:val="20"/>
          <w:lang w:val="en-US"/>
        </w:rPr>
        <w:t xml:space="preserve">isease control </w:t>
      </w:r>
      <w:r w:rsidR="007A2351" w:rsidRPr="00E51A80">
        <w:rPr>
          <w:rFonts w:ascii="Book Antiqua" w:hAnsi="Book Antiqua" w:cs="Calibri"/>
          <w:sz w:val="20"/>
          <w:szCs w:val="20"/>
          <w:lang w:val="en-US"/>
        </w:rPr>
        <w:t xml:space="preserve">was reached </w:t>
      </w:r>
      <w:r w:rsidRPr="00E51A80">
        <w:rPr>
          <w:rFonts w:ascii="Book Antiqua" w:hAnsi="Book Antiqua" w:cs="Calibri"/>
          <w:sz w:val="20"/>
          <w:szCs w:val="20"/>
          <w:lang w:val="en-US"/>
        </w:rPr>
        <w:t>afte</w:t>
      </w:r>
      <w:r w:rsidR="007F7976" w:rsidRPr="00E51A80">
        <w:rPr>
          <w:rFonts w:ascii="Book Antiqua" w:hAnsi="Book Antiqua" w:cs="Calibri"/>
          <w:sz w:val="20"/>
          <w:szCs w:val="20"/>
          <w:lang w:val="en-US"/>
        </w:rPr>
        <w:t xml:space="preserve">r the last dose in all cases. </w:t>
      </w:r>
      <w:r w:rsidRPr="00E51A80">
        <w:rPr>
          <w:rFonts w:ascii="Book Antiqua" w:hAnsi="Book Antiqua" w:cs="Calibri"/>
          <w:sz w:val="20"/>
          <w:szCs w:val="20"/>
          <w:lang w:val="en-US"/>
        </w:rPr>
        <w:t>This transient increase was probably due to inflammation causing localized edematous tissue at the site of the metastase</w:t>
      </w:r>
      <w:r w:rsidR="007F7976" w:rsidRPr="00E51A80">
        <w:rPr>
          <w:rFonts w:ascii="Book Antiqua" w:hAnsi="Book Antiqua" w:cs="Calibri"/>
          <w:sz w:val="20"/>
          <w:szCs w:val="20"/>
          <w:lang w:val="en-US"/>
        </w:rPr>
        <w:t xml:space="preserve">s and not based on progression. </w:t>
      </w:r>
      <w:r w:rsidRPr="00E51A80">
        <w:rPr>
          <w:rFonts w:ascii="Book Antiqua" w:hAnsi="Book Antiqua" w:cs="Calibri"/>
          <w:sz w:val="20"/>
          <w:szCs w:val="20"/>
          <w:lang w:val="en-US"/>
        </w:rPr>
        <w:t xml:space="preserve">This radiogenic edema has been described previously as possible pitfalls by </w:t>
      </w:r>
      <w:proofErr w:type="spellStart"/>
      <w:r w:rsidRPr="00E51A80">
        <w:rPr>
          <w:rFonts w:ascii="Book Antiqua" w:hAnsi="Book Antiqua" w:cs="Calibri"/>
          <w:sz w:val="20"/>
          <w:szCs w:val="20"/>
          <w:lang w:val="en-US"/>
        </w:rPr>
        <w:t>Brabander</w:t>
      </w:r>
      <w:proofErr w:type="spellEnd"/>
      <w:r w:rsidRPr="00E51A80">
        <w:rPr>
          <w:rFonts w:ascii="Book Antiqua" w:hAnsi="Book Antiqua" w:cs="Calibri"/>
          <w:sz w:val="20"/>
          <w:szCs w:val="20"/>
          <w:lang w:val="en-US"/>
        </w:rPr>
        <w:t xml:space="preserve"> </w:t>
      </w:r>
      <w:r w:rsidR="00F04BF1" w:rsidRPr="00E51A80">
        <w:rPr>
          <w:rFonts w:ascii="Book Antiqua" w:hAnsi="Book Antiqua" w:cs="Calibri"/>
          <w:i/>
          <w:iCs/>
          <w:sz w:val="20"/>
          <w:szCs w:val="20"/>
          <w:lang w:val="en-US"/>
        </w:rPr>
        <w:t xml:space="preserve">et </w:t>
      </w:r>
      <w:proofErr w:type="gramStart"/>
      <w:r w:rsidR="00F04BF1" w:rsidRPr="00E51A80">
        <w:rPr>
          <w:rFonts w:ascii="Book Antiqua" w:hAnsi="Book Antiqua" w:cs="Calibri"/>
          <w:i/>
          <w:iCs/>
          <w:sz w:val="20"/>
          <w:szCs w:val="20"/>
          <w:lang w:val="en-US"/>
        </w:rPr>
        <w:t>al</w:t>
      </w:r>
      <w:r w:rsidR="007F7976" w:rsidRPr="00E51A80">
        <w:rPr>
          <w:rFonts w:ascii="Book Antiqua" w:hAnsi="Book Antiqua"/>
          <w:sz w:val="20"/>
          <w:szCs w:val="20"/>
          <w:vertAlign w:val="superscript"/>
          <w:lang w:val="en-US"/>
        </w:rPr>
        <w:t>[</w:t>
      </w:r>
      <w:proofErr w:type="gramEnd"/>
      <w:r w:rsidR="007F7976" w:rsidRPr="00E51A80">
        <w:rPr>
          <w:rFonts w:ascii="Book Antiqua" w:hAnsi="Book Antiqua"/>
          <w:sz w:val="20"/>
          <w:szCs w:val="20"/>
          <w:vertAlign w:val="superscript"/>
          <w:lang w:val="en-US"/>
        </w:rPr>
        <w:t>13]</w:t>
      </w:r>
      <w:r w:rsidRPr="00E51A80">
        <w:rPr>
          <w:rFonts w:ascii="Book Antiqua" w:hAnsi="Book Antiqua"/>
          <w:sz w:val="20"/>
          <w:szCs w:val="20"/>
          <w:lang w:val="en-US"/>
        </w:rPr>
        <w:t>,</w:t>
      </w:r>
      <w:r w:rsidRPr="00E51A80">
        <w:rPr>
          <w:rFonts w:ascii="Book Antiqua" w:hAnsi="Book Antiqua" w:cs="Calibri"/>
          <w:sz w:val="20"/>
          <w:szCs w:val="20"/>
          <w:lang w:val="en-US"/>
        </w:rPr>
        <w:t xml:space="preserve"> in which the phenomenon was called pseudo-progression. These findings were previously described in brain tumors and external beam radiation, in cytokine studies, </w:t>
      </w:r>
      <w:r w:rsidR="00F04BF1" w:rsidRPr="00E51A80">
        <w:rPr>
          <w:rFonts w:ascii="Book Antiqua" w:hAnsi="Book Antiqua" w:cs="Calibri"/>
          <w:sz w:val="20"/>
          <w:szCs w:val="20"/>
          <w:lang w:val="en-US"/>
        </w:rPr>
        <w:t xml:space="preserve">in </w:t>
      </w:r>
      <w:r w:rsidRPr="00E51A80">
        <w:rPr>
          <w:rFonts w:ascii="Book Antiqua" w:hAnsi="Book Antiqua" w:cs="Calibri"/>
          <w:sz w:val="20"/>
          <w:szCs w:val="20"/>
          <w:lang w:val="en-US"/>
        </w:rPr>
        <w:t xml:space="preserve">monoclonal antibodies and </w:t>
      </w:r>
      <w:r w:rsidR="00F04BF1" w:rsidRPr="00E51A80">
        <w:rPr>
          <w:rFonts w:ascii="Book Antiqua" w:hAnsi="Book Antiqua" w:cs="Calibri"/>
          <w:sz w:val="20"/>
          <w:szCs w:val="20"/>
          <w:lang w:val="en-US"/>
        </w:rPr>
        <w:t xml:space="preserve">in </w:t>
      </w:r>
      <w:r w:rsidRPr="00E51A80">
        <w:rPr>
          <w:rFonts w:ascii="Book Antiqua" w:hAnsi="Book Antiqua" w:cs="Calibri"/>
          <w:sz w:val="20"/>
          <w:szCs w:val="20"/>
          <w:lang w:val="en-US"/>
        </w:rPr>
        <w:t>immunotherapy, where the increase in tumor size was probably related to infusion of lymphocytes and macrophages and was not always considered as disease progression. Therefore, in NET patients, clinicians should be aware and take into account in daily practice that an increase in tumor size is frequent due to radiation</w:t>
      </w:r>
      <w:r w:rsidR="00F04BF1" w:rsidRPr="00E51A80">
        <w:rPr>
          <w:rFonts w:ascii="Book Antiqua" w:hAnsi="Book Antiqua" w:cs="Calibri"/>
          <w:sz w:val="20"/>
          <w:szCs w:val="20"/>
          <w:lang w:val="en-US"/>
        </w:rPr>
        <w:t>-</w:t>
      </w:r>
      <w:r w:rsidRPr="00E51A80">
        <w:rPr>
          <w:rFonts w:ascii="Book Antiqua" w:hAnsi="Book Antiqua" w:cs="Calibri"/>
          <w:sz w:val="20"/>
          <w:szCs w:val="20"/>
          <w:lang w:val="en-US"/>
        </w:rPr>
        <w:t xml:space="preserve">induced inflammation and not always refers to tumor </w:t>
      </w:r>
      <w:proofErr w:type="gramStart"/>
      <w:r w:rsidRPr="00E51A80">
        <w:rPr>
          <w:rFonts w:ascii="Book Antiqua" w:hAnsi="Book Antiqua" w:cs="Calibri"/>
          <w:sz w:val="20"/>
          <w:szCs w:val="20"/>
          <w:lang w:val="en-US"/>
        </w:rPr>
        <w:t>progression</w:t>
      </w:r>
      <w:r w:rsidR="007F7976" w:rsidRPr="00E51A80">
        <w:rPr>
          <w:rFonts w:ascii="Book Antiqua" w:hAnsi="Book Antiqua"/>
          <w:sz w:val="20"/>
          <w:szCs w:val="20"/>
          <w:vertAlign w:val="superscript"/>
          <w:lang w:val="en-US"/>
        </w:rPr>
        <w:t>[</w:t>
      </w:r>
      <w:proofErr w:type="gramEnd"/>
      <w:r w:rsidR="007F7976" w:rsidRPr="00E51A80">
        <w:rPr>
          <w:rFonts w:ascii="Book Antiqua" w:hAnsi="Book Antiqua"/>
          <w:sz w:val="20"/>
          <w:szCs w:val="20"/>
          <w:vertAlign w:val="superscript"/>
          <w:lang w:val="en-US"/>
        </w:rPr>
        <w:t>13]</w:t>
      </w:r>
      <w:r w:rsidRPr="00E51A80">
        <w:rPr>
          <w:rFonts w:ascii="Book Antiqua" w:hAnsi="Book Antiqua"/>
          <w:sz w:val="20"/>
          <w:szCs w:val="20"/>
          <w:lang w:val="en-US"/>
        </w:rPr>
        <w:t xml:space="preserve">. </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lang w:val="en-US"/>
        </w:rPr>
        <w:t>Currently, the only available curative treatment for NET is surgery, but for those patients who have</w:t>
      </w:r>
      <w:r w:rsidR="00F04BF1" w:rsidRPr="00E51A80">
        <w:rPr>
          <w:rFonts w:ascii="Book Antiqua" w:hAnsi="Book Antiqua" w:cs="Calibri"/>
          <w:sz w:val="20"/>
          <w:szCs w:val="20"/>
          <w:lang w:val="en-US"/>
        </w:rPr>
        <w:t xml:space="preserve"> an</w:t>
      </w:r>
      <w:r w:rsidRPr="00E51A80">
        <w:rPr>
          <w:rFonts w:ascii="Book Antiqua" w:hAnsi="Book Antiqua" w:cs="Calibri"/>
          <w:sz w:val="20"/>
          <w:szCs w:val="20"/>
          <w:lang w:val="en-US"/>
        </w:rPr>
        <w:t xml:space="preserve"> inoperable primary tumor, recurrent </w:t>
      </w:r>
      <w:r w:rsidR="00F04BF1" w:rsidRPr="00E51A80">
        <w:rPr>
          <w:rFonts w:ascii="Book Antiqua" w:hAnsi="Book Antiqua" w:cs="Calibri"/>
          <w:sz w:val="20"/>
          <w:szCs w:val="20"/>
          <w:lang w:val="en-US"/>
        </w:rPr>
        <w:t xml:space="preserve">disease </w:t>
      </w:r>
      <w:r w:rsidRPr="00E51A80">
        <w:rPr>
          <w:rFonts w:ascii="Book Antiqua" w:hAnsi="Book Antiqua" w:cs="Calibri"/>
          <w:sz w:val="20"/>
          <w:szCs w:val="20"/>
          <w:lang w:val="en-US"/>
        </w:rPr>
        <w:t xml:space="preserve">or metastatic disease, few therapeutic options are available. PRRT is commonly </w:t>
      </w:r>
      <w:proofErr w:type="spellStart"/>
      <w:r w:rsidRPr="00E51A80">
        <w:rPr>
          <w:rFonts w:ascii="Book Antiqua" w:hAnsi="Book Antiqua" w:cs="Calibri"/>
          <w:sz w:val="20"/>
          <w:szCs w:val="20"/>
          <w:lang w:val="en-US"/>
        </w:rPr>
        <w:t>noncurative</w:t>
      </w:r>
      <w:proofErr w:type="spellEnd"/>
      <w:r w:rsidRPr="00E51A80">
        <w:rPr>
          <w:rFonts w:ascii="Book Antiqua" w:hAnsi="Book Antiqua" w:cs="Calibri"/>
          <w:sz w:val="20"/>
          <w:szCs w:val="20"/>
          <w:lang w:val="en-US"/>
        </w:rPr>
        <w:t xml:space="preserve"> in patients diagnosed with NETs</w:t>
      </w:r>
      <w:r w:rsidR="00F04BF1" w:rsidRPr="00E51A80">
        <w:rPr>
          <w:rFonts w:ascii="Book Antiqua" w:hAnsi="Book Antiqua" w:cs="Calibri"/>
          <w:sz w:val="20"/>
          <w:szCs w:val="20"/>
          <w:lang w:val="en-US"/>
        </w:rPr>
        <w:t>.</w:t>
      </w:r>
      <w:r w:rsidRPr="00E51A80">
        <w:rPr>
          <w:rFonts w:ascii="Book Antiqua" w:hAnsi="Book Antiqua" w:cs="Calibri"/>
          <w:sz w:val="20"/>
          <w:szCs w:val="20"/>
          <w:lang w:val="en-US"/>
        </w:rPr>
        <w:t xml:space="preserve"> </w:t>
      </w:r>
      <w:r w:rsidR="00F04BF1" w:rsidRPr="00E51A80">
        <w:rPr>
          <w:rFonts w:ascii="Book Antiqua" w:hAnsi="Book Antiqua" w:cs="Calibri"/>
          <w:sz w:val="20"/>
          <w:szCs w:val="20"/>
          <w:lang w:val="en-US"/>
        </w:rPr>
        <w:t>T</w:t>
      </w:r>
      <w:r w:rsidRPr="00E51A80">
        <w:rPr>
          <w:rFonts w:ascii="Book Antiqua" w:hAnsi="Book Antiqua" w:cs="Calibri"/>
          <w:sz w:val="20"/>
          <w:szCs w:val="20"/>
          <w:lang w:val="en-US"/>
        </w:rPr>
        <w:t>herefore</w:t>
      </w:r>
      <w:r w:rsidR="00F04BF1" w:rsidRPr="00E51A80">
        <w:rPr>
          <w:rFonts w:ascii="Book Antiqua" w:hAnsi="Book Antiqua" w:cs="Calibri"/>
          <w:sz w:val="20"/>
          <w:szCs w:val="20"/>
          <w:lang w:val="en-US"/>
        </w:rPr>
        <w:t>,</w:t>
      </w:r>
      <w:r w:rsidRPr="00E51A80">
        <w:rPr>
          <w:rFonts w:ascii="Book Antiqua" w:hAnsi="Book Antiqua" w:cs="Calibri"/>
          <w:sz w:val="20"/>
          <w:szCs w:val="20"/>
          <w:lang w:val="en-US"/>
        </w:rPr>
        <w:t xml:space="preserve"> this systemic treatment should be focused on improving patient q</w:t>
      </w:r>
      <w:r w:rsidR="00F63757" w:rsidRPr="00E51A80">
        <w:rPr>
          <w:rFonts w:ascii="Book Antiqua" w:hAnsi="Book Antiqua" w:cs="Calibri"/>
          <w:sz w:val="20"/>
          <w:szCs w:val="20"/>
          <w:lang w:val="en-US"/>
        </w:rPr>
        <w:t>uality of life.</w:t>
      </w:r>
      <w:r w:rsidRPr="00E51A80">
        <w:rPr>
          <w:rFonts w:ascii="Book Antiqua" w:hAnsi="Book Antiqua" w:cs="Calibri"/>
          <w:sz w:val="20"/>
          <w:szCs w:val="20"/>
          <w:lang w:val="en-US"/>
        </w:rPr>
        <w:t xml:space="preserve"> Our results demonstrate an improvement in quality of life in 75% of our patients, better pain assessment in 41.7% and a better control of hormonal related symptoms in 66.6%, reaching full control at the end of the treatment in </w:t>
      </w:r>
      <w:r w:rsidRPr="00E51A80">
        <w:rPr>
          <w:rFonts w:ascii="Book Antiqua" w:hAnsi="Book Antiqua" w:cs="Calibri"/>
          <w:sz w:val="20"/>
          <w:szCs w:val="20"/>
          <w:lang w:val="en-US"/>
        </w:rPr>
        <w:lastRenderedPageBreak/>
        <w:t xml:space="preserve">26.6% of the population. Also, 41.6% of our patients were asymptomatic after the fourth dose. These results also prove the need for more research with a greater number of patients in assessing adverse events and effects on quality of life for NET </w:t>
      </w:r>
      <w:proofErr w:type="gramStart"/>
      <w:r w:rsidRPr="00E51A80">
        <w:rPr>
          <w:rFonts w:ascii="Book Antiqua" w:hAnsi="Book Antiqua" w:cs="Calibri"/>
          <w:sz w:val="20"/>
          <w:szCs w:val="20"/>
          <w:lang w:val="en-US"/>
        </w:rPr>
        <w:t>therapies</w:t>
      </w:r>
      <w:r w:rsidR="007F7976" w:rsidRPr="00E51A80">
        <w:rPr>
          <w:rFonts w:ascii="Book Antiqua" w:hAnsi="Book Antiqua"/>
          <w:sz w:val="20"/>
          <w:szCs w:val="20"/>
          <w:vertAlign w:val="superscript"/>
          <w:lang w:val="en-US"/>
        </w:rPr>
        <w:t>[</w:t>
      </w:r>
      <w:proofErr w:type="gramEnd"/>
      <w:r w:rsidR="007F7976" w:rsidRPr="00E51A80">
        <w:rPr>
          <w:rFonts w:ascii="Book Antiqua" w:hAnsi="Book Antiqua"/>
          <w:sz w:val="20"/>
          <w:szCs w:val="20"/>
          <w:vertAlign w:val="superscript"/>
          <w:lang w:val="en-US"/>
        </w:rPr>
        <w:t>14]</w:t>
      </w:r>
      <w:r w:rsidRPr="00E51A80">
        <w:rPr>
          <w:rFonts w:ascii="Book Antiqua" w:hAnsi="Book Antiqua"/>
          <w:sz w:val="20"/>
          <w:szCs w:val="20"/>
          <w:lang w:val="en-US"/>
        </w:rPr>
        <w:t xml:space="preserve">. </w:t>
      </w:r>
    </w:p>
    <w:p w:rsidR="002B7963" w:rsidRPr="00E51A80" w:rsidRDefault="002B7963" w:rsidP="007E3E0D">
      <w:pPr>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eastAsia="Times-Roman" w:hAnsi="Book Antiqua" w:cs="Calibri"/>
          <w:sz w:val="20"/>
          <w:szCs w:val="20"/>
          <w:lang w:val="en-US"/>
        </w:rPr>
        <w:t xml:space="preserve">The NETTER-1 study showed a significant quality-of-life benefit for patients with </w:t>
      </w:r>
      <w:proofErr w:type="spellStart"/>
      <w:r w:rsidRPr="00E51A80">
        <w:rPr>
          <w:rFonts w:ascii="Book Antiqua" w:eastAsia="Times-Roman" w:hAnsi="Book Antiqua" w:cs="Calibri"/>
          <w:sz w:val="20"/>
          <w:szCs w:val="20"/>
          <w:lang w:val="en-US"/>
        </w:rPr>
        <w:t>midgut</w:t>
      </w:r>
      <w:proofErr w:type="spellEnd"/>
      <w:r w:rsidRPr="00E51A80">
        <w:rPr>
          <w:rFonts w:ascii="Book Antiqua" w:eastAsia="Times-Roman" w:hAnsi="Book Antiqua" w:cs="Calibri"/>
          <w:sz w:val="20"/>
          <w:szCs w:val="20"/>
          <w:lang w:val="en-US"/>
        </w:rPr>
        <w:t xml:space="preserve"> NETs who received </w:t>
      </w:r>
      <w:r w:rsidRPr="00E51A80">
        <w:rPr>
          <w:rFonts w:ascii="Book Antiqua" w:eastAsia="Times-Roman" w:hAnsi="Book Antiqua" w:cs="Calibri"/>
          <w:sz w:val="20"/>
          <w:szCs w:val="20"/>
          <w:vertAlign w:val="superscript"/>
          <w:lang w:val="en-US"/>
        </w:rPr>
        <w:t>177</w:t>
      </w:r>
      <w:r w:rsidRPr="00E51A80">
        <w:rPr>
          <w:rFonts w:ascii="Book Antiqua" w:eastAsia="Times-Roman" w:hAnsi="Book Antiqua" w:cs="Calibri"/>
          <w:sz w:val="20"/>
          <w:szCs w:val="20"/>
          <w:lang w:val="en-US"/>
        </w:rPr>
        <w:t xml:space="preserve">Lu-DOTATATE </w:t>
      </w:r>
      <w:r w:rsidRPr="00E51A80">
        <w:rPr>
          <w:rFonts w:ascii="Book Antiqua" w:eastAsia="Times-Roman" w:hAnsi="Book Antiqua" w:cs="Calibri"/>
          <w:i/>
          <w:iCs/>
          <w:sz w:val="20"/>
          <w:szCs w:val="20"/>
          <w:lang w:val="en-US"/>
        </w:rPr>
        <w:t>versus</w:t>
      </w:r>
      <w:r w:rsidRPr="00E51A80">
        <w:rPr>
          <w:rFonts w:ascii="Book Antiqua" w:eastAsia="Times-Roman" w:hAnsi="Book Antiqua" w:cs="Calibri"/>
          <w:sz w:val="20"/>
          <w:szCs w:val="20"/>
          <w:lang w:val="en-US"/>
        </w:rPr>
        <w:t xml:space="preserve"> those treated with high dose long-acting </w:t>
      </w:r>
      <w:proofErr w:type="spellStart"/>
      <w:r w:rsidRPr="00E51A80">
        <w:rPr>
          <w:rFonts w:ascii="Book Antiqua" w:eastAsia="Times-Roman" w:hAnsi="Book Antiqua" w:cs="Calibri"/>
          <w:sz w:val="20"/>
          <w:szCs w:val="20"/>
          <w:lang w:val="en-US"/>
        </w:rPr>
        <w:t>octreotide</w:t>
      </w:r>
      <w:proofErr w:type="spellEnd"/>
      <w:r w:rsidRPr="00E51A80">
        <w:rPr>
          <w:rFonts w:ascii="Book Antiqua" w:eastAsia="Times-Roman" w:hAnsi="Book Antiqua" w:cs="Calibri"/>
          <w:sz w:val="20"/>
          <w:szCs w:val="20"/>
          <w:lang w:val="en-US"/>
        </w:rPr>
        <w:t xml:space="preserve"> specifically for diarrhea, flushing and abdominal </w:t>
      </w:r>
      <w:proofErr w:type="gramStart"/>
      <w:r w:rsidRPr="00E51A80">
        <w:rPr>
          <w:rFonts w:ascii="Book Antiqua" w:eastAsia="Times-Roman" w:hAnsi="Book Antiqua" w:cs="Calibri"/>
          <w:sz w:val="20"/>
          <w:szCs w:val="20"/>
          <w:lang w:val="en-US"/>
        </w:rPr>
        <w:t>pain</w:t>
      </w:r>
      <w:r w:rsidR="007F7976" w:rsidRPr="00E51A80">
        <w:rPr>
          <w:rFonts w:ascii="Book Antiqua" w:eastAsia="Times-Roman" w:hAnsi="Book Antiqua" w:cs="Calibri"/>
          <w:sz w:val="20"/>
          <w:szCs w:val="20"/>
          <w:vertAlign w:val="superscript"/>
          <w:lang w:val="en-US"/>
        </w:rPr>
        <w:t>[</w:t>
      </w:r>
      <w:proofErr w:type="gramEnd"/>
      <w:r w:rsidR="007F7976" w:rsidRPr="00E51A80">
        <w:rPr>
          <w:rFonts w:ascii="Book Antiqua" w:eastAsia="Times-Roman" w:hAnsi="Book Antiqua" w:cs="Calibri"/>
          <w:sz w:val="20"/>
          <w:szCs w:val="20"/>
          <w:vertAlign w:val="superscript"/>
          <w:lang w:val="en-US"/>
        </w:rPr>
        <w:t>15,16]</w:t>
      </w:r>
      <w:r w:rsidR="00F63757" w:rsidRPr="00E51A80">
        <w:rPr>
          <w:rFonts w:ascii="Book Antiqua" w:eastAsia="Times-Roman" w:hAnsi="Book Antiqua" w:cs="Calibri"/>
          <w:sz w:val="20"/>
          <w:szCs w:val="20"/>
          <w:lang w:val="en-US"/>
        </w:rPr>
        <w:t xml:space="preserve">. </w:t>
      </w:r>
      <w:r w:rsidRPr="00E51A80">
        <w:rPr>
          <w:rFonts w:ascii="Book Antiqua" w:eastAsia="Times-Roman" w:hAnsi="Book Antiqua" w:cs="Calibri"/>
          <w:sz w:val="20"/>
          <w:szCs w:val="20"/>
          <w:lang w:val="en-US"/>
        </w:rPr>
        <w:t xml:space="preserve">Likewise, </w:t>
      </w:r>
      <w:proofErr w:type="spellStart"/>
      <w:r w:rsidRPr="00E51A80">
        <w:rPr>
          <w:rFonts w:ascii="Book Antiqua" w:eastAsia="Times-Roman" w:hAnsi="Book Antiqua" w:cs="Calibri"/>
          <w:sz w:val="20"/>
          <w:szCs w:val="20"/>
          <w:lang w:val="en-US"/>
        </w:rPr>
        <w:t>Tellestar</w:t>
      </w:r>
      <w:proofErr w:type="spellEnd"/>
      <w:r w:rsidRPr="00E51A80">
        <w:rPr>
          <w:rFonts w:ascii="Book Antiqua" w:eastAsia="Times-Roman" w:hAnsi="Book Antiqua" w:cs="Calibri"/>
          <w:sz w:val="20"/>
          <w:szCs w:val="20"/>
          <w:lang w:val="en-US"/>
        </w:rPr>
        <w:t xml:space="preserve"> is a Phase III, multicenter, randomized, double-blind, placebo-controlled study in which clinical outcomes were assessed. The study suggested a sustained improvement in bowel movement frequency in patients with carcinoid syndrome and a long-term effect on patient´s well-</w:t>
      </w:r>
      <w:proofErr w:type="gramStart"/>
      <w:r w:rsidRPr="00E51A80">
        <w:rPr>
          <w:rFonts w:ascii="Book Antiqua" w:eastAsia="Times-Roman" w:hAnsi="Book Antiqua" w:cs="Calibri"/>
          <w:sz w:val="20"/>
          <w:szCs w:val="20"/>
          <w:lang w:val="en-US"/>
        </w:rPr>
        <w:t>being</w:t>
      </w:r>
      <w:r w:rsidR="007F7976" w:rsidRPr="00E51A80">
        <w:rPr>
          <w:rFonts w:ascii="Book Antiqua" w:hAnsi="Book Antiqua"/>
          <w:sz w:val="20"/>
          <w:szCs w:val="20"/>
          <w:vertAlign w:val="superscript"/>
          <w:lang w:val="en-US"/>
        </w:rPr>
        <w:t>[</w:t>
      </w:r>
      <w:proofErr w:type="gramEnd"/>
      <w:r w:rsidR="007F7976" w:rsidRPr="00E51A80">
        <w:rPr>
          <w:rFonts w:ascii="Book Antiqua" w:hAnsi="Book Antiqua"/>
          <w:sz w:val="20"/>
          <w:szCs w:val="20"/>
          <w:vertAlign w:val="superscript"/>
          <w:lang w:val="en-US"/>
        </w:rPr>
        <w:t>17]</w:t>
      </w:r>
      <w:r w:rsidRPr="00E51A80">
        <w:rPr>
          <w:rFonts w:ascii="Book Antiqua" w:hAnsi="Book Antiqua"/>
          <w:sz w:val="20"/>
          <w:szCs w:val="20"/>
          <w:lang w:val="en-US"/>
        </w:rPr>
        <w:t xml:space="preserve">. </w:t>
      </w:r>
      <w:r w:rsidR="00F04BF1" w:rsidRPr="00E51A80">
        <w:rPr>
          <w:rFonts w:ascii="Book Antiqua" w:hAnsi="Book Antiqua" w:cs="Calibri"/>
          <w:sz w:val="20"/>
          <w:szCs w:val="20"/>
          <w:lang w:val="en-US"/>
        </w:rPr>
        <w:t>Additionally</w:t>
      </w:r>
      <w:r w:rsidRPr="00E51A80">
        <w:rPr>
          <w:rFonts w:ascii="Book Antiqua" w:hAnsi="Book Antiqua" w:cs="Calibri"/>
          <w:sz w:val="20"/>
          <w:szCs w:val="20"/>
          <w:lang w:val="en-US"/>
        </w:rPr>
        <w:t>, Martini</w:t>
      </w:r>
      <w:r w:rsidR="007F7976" w:rsidRPr="00E51A80">
        <w:rPr>
          <w:rFonts w:ascii="Book Antiqua" w:hAnsi="Book Antiqua" w:cs="Calibri"/>
          <w:sz w:val="20"/>
          <w:szCs w:val="20"/>
          <w:lang w:val="en-US"/>
        </w:rPr>
        <w:t xml:space="preserve"> </w:t>
      </w:r>
      <w:r w:rsidR="007F7976" w:rsidRPr="00E51A80">
        <w:rPr>
          <w:rFonts w:ascii="Book Antiqua" w:hAnsi="Book Antiqua" w:cs="Calibri"/>
          <w:i/>
          <w:sz w:val="20"/>
          <w:szCs w:val="20"/>
          <w:lang w:val="en-US"/>
        </w:rPr>
        <w:t xml:space="preserve">et </w:t>
      </w:r>
      <w:proofErr w:type="gramStart"/>
      <w:r w:rsidR="007F7976" w:rsidRPr="00E51A80">
        <w:rPr>
          <w:rFonts w:ascii="Book Antiqua" w:hAnsi="Book Antiqua" w:cs="Calibri"/>
          <w:i/>
          <w:sz w:val="20"/>
          <w:szCs w:val="20"/>
          <w:lang w:val="en-US"/>
        </w:rPr>
        <w:t>al</w:t>
      </w:r>
      <w:r w:rsidR="007F7976" w:rsidRPr="00E51A80">
        <w:rPr>
          <w:rFonts w:ascii="Book Antiqua" w:hAnsi="Book Antiqua" w:cs="Calibri"/>
          <w:sz w:val="20"/>
          <w:szCs w:val="20"/>
          <w:vertAlign w:val="superscript"/>
          <w:lang w:val="en-US"/>
        </w:rPr>
        <w:t>[</w:t>
      </w:r>
      <w:proofErr w:type="gramEnd"/>
      <w:r w:rsidR="007F7976" w:rsidRPr="00E51A80">
        <w:rPr>
          <w:rFonts w:ascii="Book Antiqua" w:hAnsi="Book Antiqua" w:cs="Calibri"/>
          <w:sz w:val="20"/>
          <w:szCs w:val="20"/>
          <w:vertAlign w:val="superscript"/>
          <w:lang w:val="en-US"/>
        </w:rPr>
        <w:t>18]</w:t>
      </w:r>
      <w:r w:rsidR="007F7976"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studied the impact of health-related quality of life </w:t>
      </w:r>
      <w:r w:rsidR="005344E8" w:rsidRPr="00E51A80">
        <w:rPr>
          <w:rFonts w:ascii="Book Antiqua" w:hAnsi="Book Antiqua" w:cs="Calibri"/>
          <w:sz w:val="20"/>
          <w:szCs w:val="20"/>
          <w:lang w:val="en-US"/>
        </w:rPr>
        <w:t>(</w:t>
      </w:r>
      <w:proofErr w:type="spellStart"/>
      <w:r w:rsidR="005344E8" w:rsidRPr="00E51A80">
        <w:rPr>
          <w:rFonts w:ascii="Book Antiqua" w:hAnsi="Book Antiqua" w:cs="Calibri"/>
          <w:sz w:val="20"/>
          <w:szCs w:val="20"/>
          <w:lang w:val="en-US"/>
        </w:rPr>
        <w:t>HRQoL</w:t>
      </w:r>
      <w:proofErr w:type="spellEnd"/>
      <w:r w:rsidR="005344E8" w:rsidRPr="00E51A80">
        <w:rPr>
          <w:rFonts w:ascii="Book Antiqua" w:hAnsi="Book Antiqua" w:cs="Calibri"/>
          <w:sz w:val="20"/>
          <w:szCs w:val="20"/>
          <w:lang w:val="en-US"/>
        </w:rPr>
        <w:t xml:space="preserve">) </w:t>
      </w:r>
      <w:r w:rsidRPr="00E51A80">
        <w:rPr>
          <w:rFonts w:ascii="Book Antiqua" w:hAnsi="Book Antiqua" w:cs="Calibri"/>
          <w:sz w:val="20"/>
          <w:szCs w:val="20"/>
          <w:lang w:val="en-US"/>
        </w:rPr>
        <w:t xml:space="preserve">from the first </w:t>
      </w:r>
      <w:r w:rsidR="007F7976" w:rsidRPr="00E51A80">
        <w:rPr>
          <w:rFonts w:ascii="Book Antiqua" w:hAnsi="Book Antiqua" w:cs="Calibri"/>
          <w:sz w:val="20"/>
          <w:szCs w:val="20"/>
          <w:lang w:val="en-US"/>
        </w:rPr>
        <w:t xml:space="preserve">PRRT </w:t>
      </w:r>
      <w:r w:rsidRPr="00E51A80">
        <w:rPr>
          <w:rFonts w:ascii="Book Antiqua" w:hAnsi="Book Antiqua" w:cs="Calibri"/>
          <w:sz w:val="20"/>
          <w:szCs w:val="20"/>
          <w:lang w:val="en-US"/>
        </w:rPr>
        <w:t>to the first restaging and compared the scores with general</w:t>
      </w:r>
      <w:r w:rsidR="00F04BF1" w:rsidRPr="00E51A80">
        <w:rPr>
          <w:rFonts w:ascii="Book Antiqua" w:hAnsi="Book Antiqua" w:cs="Calibri"/>
          <w:sz w:val="20"/>
          <w:szCs w:val="20"/>
          <w:lang w:val="en-US"/>
        </w:rPr>
        <w:t xml:space="preserve"> </w:t>
      </w:r>
      <w:r w:rsidRPr="00E51A80">
        <w:rPr>
          <w:rFonts w:ascii="Book Antiqua" w:hAnsi="Book Antiqua" w:cs="Calibri"/>
          <w:sz w:val="20"/>
          <w:szCs w:val="20"/>
          <w:lang w:val="en-US"/>
        </w:rPr>
        <w:t>population norms.</w:t>
      </w:r>
      <w:r w:rsidR="007F7976" w:rsidRPr="00E51A80">
        <w:rPr>
          <w:rFonts w:ascii="Book Antiqua" w:hAnsi="Book Antiqua" w:cs="Calibri"/>
          <w:sz w:val="20"/>
          <w:szCs w:val="20"/>
          <w:lang w:val="en-US"/>
        </w:rPr>
        <w:t xml:space="preserve"> </w:t>
      </w:r>
      <w:r w:rsidRPr="00E51A80">
        <w:rPr>
          <w:rFonts w:ascii="Book Antiqua" w:hAnsi="Book Antiqua" w:cs="Calibri"/>
          <w:sz w:val="20"/>
          <w:szCs w:val="20"/>
          <w:lang w:val="en-US"/>
        </w:rPr>
        <w:t>They observed improvements from baseline to the first restaging for diarrhea in small-intestine NET patients</w:t>
      </w:r>
      <w:r w:rsidR="007A31B3" w:rsidRPr="00E51A80">
        <w:rPr>
          <w:rFonts w:ascii="Book Antiqua" w:hAnsi="Book Antiqua" w:cs="Calibri"/>
          <w:sz w:val="20"/>
          <w:szCs w:val="20"/>
          <w:lang w:val="en-US"/>
        </w:rPr>
        <w:t xml:space="preserve"> and</w:t>
      </w:r>
      <w:r w:rsidRPr="00E51A80">
        <w:rPr>
          <w:rFonts w:ascii="Book Antiqua" w:hAnsi="Book Antiqua" w:cs="Calibri"/>
          <w:sz w:val="20"/>
          <w:szCs w:val="20"/>
          <w:lang w:val="en-US"/>
        </w:rPr>
        <w:t xml:space="preserve"> a clinically relevant decrease in appetite loss</w:t>
      </w:r>
      <w:r w:rsidR="007A31B3" w:rsidRPr="00E51A80">
        <w:rPr>
          <w:rFonts w:ascii="Book Antiqua" w:hAnsi="Book Antiqua" w:cs="Calibri"/>
          <w:sz w:val="20"/>
          <w:szCs w:val="20"/>
          <w:lang w:val="en-US"/>
        </w:rPr>
        <w:t xml:space="preserve"> (</w:t>
      </w:r>
      <w:r w:rsidRPr="00E51A80">
        <w:rPr>
          <w:rFonts w:ascii="Book Antiqua" w:hAnsi="Book Antiqua" w:cs="Calibri"/>
          <w:sz w:val="20"/>
          <w:szCs w:val="20"/>
          <w:lang w:val="en-US"/>
        </w:rPr>
        <w:t>for female small-intestine NET patients only</w:t>
      </w:r>
      <w:r w:rsidR="007A31B3" w:rsidRPr="00E51A80">
        <w:rPr>
          <w:rFonts w:ascii="Book Antiqua" w:hAnsi="Book Antiqua" w:cs="Calibri"/>
          <w:sz w:val="20"/>
          <w:szCs w:val="20"/>
          <w:lang w:val="en-US"/>
        </w:rPr>
        <w:t>)</w:t>
      </w:r>
      <w:r w:rsidRPr="00E51A80">
        <w:rPr>
          <w:rFonts w:ascii="Book Antiqua" w:hAnsi="Book Antiqua" w:cs="Calibri"/>
          <w:sz w:val="20"/>
          <w:szCs w:val="20"/>
          <w:lang w:val="en-US"/>
        </w:rPr>
        <w:t xml:space="preserve">. Compared with </w:t>
      </w:r>
      <w:proofErr w:type="spellStart"/>
      <w:r w:rsidRPr="00E51A80">
        <w:rPr>
          <w:rFonts w:ascii="Book Antiqua" w:hAnsi="Book Antiqua" w:cs="Calibri"/>
          <w:sz w:val="20"/>
          <w:szCs w:val="20"/>
          <w:lang w:val="en-US"/>
        </w:rPr>
        <w:t>HRQoL</w:t>
      </w:r>
      <w:proofErr w:type="spellEnd"/>
      <w:r w:rsidRPr="00E51A80">
        <w:rPr>
          <w:rFonts w:ascii="Book Antiqua" w:hAnsi="Book Antiqua" w:cs="Calibri"/>
          <w:sz w:val="20"/>
          <w:szCs w:val="20"/>
          <w:lang w:val="en-US"/>
        </w:rPr>
        <w:t xml:space="preserve"> </w:t>
      </w:r>
      <w:r w:rsidR="00F04BF1" w:rsidRPr="00E51A80">
        <w:rPr>
          <w:rFonts w:ascii="Book Antiqua" w:hAnsi="Book Antiqua" w:cs="Calibri"/>
          <w:sz w:val="20"/>
          <w:szCs w:val="20"/>
          <w:lang w:val="en-US"/>
        </w:rPr>
        <w:t>general population</w:t>
      </w:r>
      <w:r w:rsidRPr="00E51A80">
        <w:rPr>
          <w:rFonts w:ascii="Book Antiqua" w:hAnsi="Book Antiqua" w:cs="Calibri"/>
          <w:sz w:val="20"/>
          <w:szCs w:val="20"/>
          <w:lang w:val="en-US"/>
        </w:rPr>
        <w:t xml:space="preserve"> norms, patients had impairments consisting of diarrhea</w:t>
      </w:r>
      <w:r w:rsidR="007A31B3" w:rsidRPr="00E51A80">
        <w:rPr>
          <w:rFonts w:ascii="Book Antiqua" w:hAnsi="Book Antiqua" w:cs="Calibri"/>
          <w:sz w:val="20"/>
          <w:szCs w:val="20"/>
          <w:lang w:val="en-US"/>
        </w:rPr>
        <w:t>,</w:t>
      </w:r>
      <w:r w:rsidRPr="00E51A80">
        <w:rPr>
          <w:rFonts w:ascii="Book Antiqua" w:hAnsi="Book Antiqua" w:cs="Calibri"/>
          <w:sz w:val="20"/>
          <w:szCs w:val="20"/>
          <w:lang w:val="en-US"/>
        </w:rPr>
        <w:t xml:space="preserve"> fatigue</w:t>
      </w:r>
      <w:r w:rsidR="007A31B3" w:rsidRPr="00E51A80">
        <w:rPr>
          <w:rFonts w:ascii="Book Antiqua" w:hAnsi="Book Antiqua" w:cs="Calibri"/>
          <w:sz w:val="20"/>
          <w:szCs w:val="20"/>
          <w:lang w:val="en-US"/>
        </w:rPr>
        <w:t>,</w:t>
      </w:r>
      <w:r w:rsidRPr="00E51A80">
        <w:rPr>
          <w:rFonts w:ascii="Book Antiqua" w:hAnsi="Book Antiqua" w:cs="Calibri"/>
          <w:sz w:val="20"/>
          <w:szCs w:val="20"/>
          <w:lang w:val="en-US"/>
        </w:rPr>
        <w:t xml:space="preserve"> appetite loss</w:t>
      </w:r>
      <w:r w:rsidR="007A31B3" w:rsidRPr="00E51A80">
        <w:rPr>
          <w:rFonts w:ascii="Book Antiqua" w:hAnsi="Book Antiqua" w:cs="Calibri"/>
          <w:sz w:val="20"/>
          <w:szCs w:val="20"/>
          <w:lang w:val="en-US"/>
        </w:rPr>
        <w:t>,</w:t>
      </w:r>
      <w:r w:rsidRPr="00E51A80">
        <w:rPr>
          <w:rFonts w:ascii="Book Antiqua" w:hAnsi="Book Antiqua" w:cs="Calibri"/>
          <w:sz w:val="20"/>
          <w:szCs w:val="20"/>
          <w:lang w:val="en-US"/>
        </w:rPr>
        <w:t xml:space="preserve"> reduced physical, social, and role functioning and reduced global </w:t>
      </w:r>
      <w:proofErr w:type="spellStart"/>
      <w:r w:rsidRPr="00E51A80">
        <w:rPr>
          <w:rFonts w:ascii="Book Antiqua" w:hAnsi="Book Antiqua" w:cs="Calibri"/>
          <w:sz w:val="20"/>
          <w:szCs w:val="20"/>
          <w:lang w:val="en-US"/>
        </w:rPr>
        <w:t>HRQoL</w:t>
      </w:r>
      <w:proofErr w:type="spellEnd"/>
      <w:r w:rsidRPr="00E51A80">
        <w:rPr>
          <w:rFonts w:ascii="Book Antiqua" w:hAnsi="Book Antiqua" w:cs="Calibri"/>
          <w:sz w:val="20"/>
          <w:szCs w:val="20"/>
          <w:lang w:val="en-US"/>
        </w:rPr>
        <w:t xml:space="preserve">. In conclusion their findings supported overall stable </w:t>
      </w:r>
      <w:proofErr w:type="spellStart"/>
      <w:r w:rsidRPr="00E51A80">
        <w:rPr>
          <w:rFonts w:ascii="Book Antiqua" w:hAnsi="Book Antiqua" w:cs="Calibri"/>
          <w:sz w:val="20"/>
          <w:szCs w:val="20"/>
          <w:lang w:val="en-US"/>
        </w:rPr>
        <w:t>HRQoL</w:t>
      </w:r>
      <w:proofErr w:type="spellEnd"/>
      <w:r w:rsidRPr="00E51A80">
        <w:rPr>
          <w:rFonts w:ascii="Book Antiqua" w:hAnsi="Book Antiqua" w:cs="Calibri"/>
          <w:sz w:val="20"/>
          <w:szCs w:val="20"/>
          <w:lang w:val="en-US"/>
        </w:rPr>
        <w:t xml:space="preserve"> under PRRT. However, significant </w:t>
      </w:r>
      <w:proofErr w:type="spellStart"/>
      <w:r w:rsidRPr="00E51A80">
        <w:rPr>
          <w:rFonts w:ascii="Book Antiqua" w:hAnsi="Book Antiqua" w:cs="Calibri"/>
          <w:sz w:val="20"/>
          <w:szCs w:val="20"/>
          <w:lang w:val="en-US"/>
        </w:rPr>
        <w:t>HRQoL</w:t>
      </w:r>
      <w:proofErr w:type="spellEnd"/>
      <w:r w:rsidRPr="00E51A80">
        <w:rPr>
          <w:rFonts w:ascii="Book Antiqua" w:hAnsi="Book Antiqua" w:cs="Calibri"/>
          <w:sz w:val="20"/>
          <w:szCs w:val="20"/>
          <w:lang w:val="en-US"/>
        </w:rPr>
        <w:t xml:space="preserve"> impairments compared with the </w:t>
      </w:r>
      <w:r w:rsidR="00F04BF1" w:rsidRPr="00E51A80">
        <w:rPr>
          <w:rFonts w:ascii="Book Antiqua" w:hAnsi="Book Antiqua" w:cs="Calibri"/>
          <w:sz w:val="20"/>
          <w:szCs w:val="20"/>
          <w:lang w:val="en-US"/>
        </w:rPr>
        <w:t>general population</w:t>
      </w:r>
      <w:r w:rsidRPr="00E51A80">
        <w:rPr>
          <w:rFonts w:ascii="Book Antiqua" w:hAnsi="Book Antiqua" w:cs="Calibri"/>
          <w:sz w:val="20"/>
          <w:szCs w:val="20"/>
          <w:lang w:val="en-US"/>
        </w:rPr>
        <w:t xml:space="preserve"> and potentially specific subgroup</w:t>
      </w:r>
      <w:r w:rsidR="007F7976" w:rsidRPr="00E51A80">
        <w:rPr>
          <w:rFonts w:ascii="Book Antiqua" w:hAnsi="Book Antiqua" w:cs="Calibri"/>
          <w:sz w:val="20"/>
          <w:szCs w:val="20"/>
          <w:lang w:val="en-US"/>
        </w:rPr>
        <w:t xml:space="preserve"> patterns need to be considered</w:t>
      </w:r>
      <w:r w:rsidR="007F7976" w:rsidRPr="00E51A80">
        <w:rPr>
          <w:rFonts w:ascii="Book Antiqua" w:hAnsi="Book Antiqua"/>
          <w:sz w:val="20"/>
          <w:szCs w:val="20"/>
          <w:lang w:val="en-US"/>
        </w:rPr>
        <w:t>.</w:t>
      </w:r>
    </w:p>
    <w:p w:rsidR="002B7963" w:rsidRPr="00E51A80" w:rsidRDefault="002B7963" w:rsidP="007E3E0D">
      <w:pPr>
        <w:pStyle w:val="HTMLconformatoprevio1"/>
        <w:adjustRightInd w:val="0"/>
        <w:snapToGrid w:val="0"/>
        <w:spacing w:line="360" w:lineRule="auto"/>
        <w:ind w:firstLineChars="100" w:firstLine="200"/>
        <w:jc w:val="both"/>
        <w:rPr>
          <w:rFonts w:ascii="Book Antiqua" w:hAnsi="Book Antiqua"/>
          <w:lang w:val="en-US"/>
        </w:rPr>
      </w:pPr>
      <w:r w:rsidRPr="00E51A80">
        <w:rPr>
          <w:rFonts w:ascii="Book Antiqua" w:hAnsi="Book Antiqua" w:cs="Calibri"/>
          <w:lang w:val="en-US"/>
        </w:rPr>
        <w:t xml:space="preserve">Side effects in our group were either related to the administration of the amino acids or due to the radio-peptide </w:t>
      </w:r>
      <w:proofErr w:type="gramStart"/>
      <w:r w:rsidRPr="00E51A80">
        <w:rPr>
          <w:rFonts w:ascii="Book Antiqua" w:hAnsi="Book Antiqua" w:cs="Calibri"/>
          <w:lang w:val="en-US"/>
        </w:rPr>
        <w:t>itself</w:t>
      </w:r>
      <w:r w:rsidR="007F7976" w:rsidRPr="00E51A80">
        <w:rPr>
          <w:rFonts w:ascii="Book Antiqua" w:hAnsi="Book Antiqua" w:cs="Calibri"/>
          <w:vertAlign w:val="superscript"/>
          <w:lang w:val="en-US"/>
        </w:rPr>
        <w:t>[</w:t>
      </w:r>
      <w:proofErr w:type="gramEnd"/>
      <w:r w:rsidR="007F7976" w:rsidRPr="00E51A80">
        <w:rPr>
          <w:rFonts w:ascii="Book Antiqua" w:hAnsi="Book Antiqua" w:cs="Calibri"/>
          <w:vertAlign w:val="superscript"/>
          <w:lang w:val="en-US"/>
        </w:rPr>
        <w:t>19,20]</w:t>
      </w:r>
      <w:r w:rsidRPr="00E51A80">
        <w:rPr>
          <w:rFonts w:ascii="Book Antiqua" w:hAnsi="Book Antiqua"/>
          <w:lang w:val="en-US"/>
        </w:rPr>
        <w:t>.</w:t>
      </w:r>
      <w:r w:rsidR="00F63757" w:rsidRPr="00E51A80">
        <w:rPr>
          <w:rFonts w:ascii="Book Antiqua" w:hAnsi="Book Antiqua" w:cs="Calibri"/>
          <w:lang w:val="en-US"/>
        </w:rPr>
        <w:t xml:space="preserve"> </w:t>
      </w:r>
      <w:r w:rsidRPr="00E51A80">
        <w:rPr>
          <w:rFonts w:ascii="Book Antiqua" w:hAnsi="Book Antiqua" w:cs="Calibri"/>
          <w:lang w:val="en-US"/>
        </w:rPr>
        <w:t xml:space="preserve">During the follow-up, half of the patients suffered some kind of complication or toxicity, in order of frequency: nausea, discomfort or abdominal pain and a carcinoid crisis triggered by the massive release of bioactive substances. Similarly, the evaluation of toxicity in a group of 504 patients who were given </w:t>
      </w:r>
      <w:r w:rsidR="007A31B3" w:rsidRPr="00E51A80">
        <w:rPr>
          <w:rFonts w:ascii="Book Antiqua" w:hAnsi="Book Antiqua" w:cs="Calibri"/>
          <w:lang w:val="en-US"/>
        </w:rPr>
        <w:t>four</w:t>
      </w:r>
      <w:r w:rsidRPr="00E51A80">
        <w:rPr>
          <w:rFonts w:ascii="Book Antiqua" w:hAnsi="Book Antiqua" w:cs="Calibri"/>
          <w:lang w:val="en-US"/>
        </w:rPr>
        <w:t xml:space="preserve"> cycles of treat</w:t>
      </w:r>
      <w:r w:rsidR="007F7976" w:rsidRPr="00E51A80">
        <w:rPr>
          <w:rFonts w:ascii="Book Antiqua" w:hAnsi="Book Antiqua" w:cs="Calibri"/>
          <w:lang w:val="en-US"/>
        </w:rPr>
        <w:t xml:space="preserve">ment at intervals of 6 to 10 </w:t>
      </w:r>
      <w:proofErr w:type="spellStart"/>
      <w:r w:rsidR="007F7976" w:rsidRPr="00E51A80">
        <w:rPr>
          <w:rFonts w:ascii="Book Antiqua" w:hAnsi="Book Antiqua" w:cs="Calibri"/>
          <w:lang w:val="en-US"/>
        </w:rPr>
        <w:t>wk</w:t>
      </w:r>
      <w:proofErr w:type="spellEnd"/>
      <w:r w:rsidRPr="00E51A80">
        <w:rPr>
          <w:rFonts w:ascii="Book Antiqua" w:hAnsi="Book Antiqua" w:cs="Calibri"/>
          <w:lang w:val="en-US"/>
        </w:rPr>
        <w:t xml:space="preserve"> revealed that the most common symptoms in the first 24</w:t>
      </w:r>
      <w:r w:rsidR="007F7976" w:rsidRPr="00E51A80">
        <w:rPr>
          <w:rFonts w:ascii="Book Antiqua" w:hAnsi="Book Antiqua" w:cs="Calibri"/>
          <w:lang w:val="en-US"/>
        </w:rPr>
        <w:t xml:space="preserve"> </w:t>
      </w:r>
      <w:r w:rsidRPr="00E51A80">
        <w:rPr>
          <w:rFonts w:ascii="Book Antiqua" w:hAnsi="Book Antiqua" w:cs="Calibri"/>
          <w:lang w:val="en-US"/>
        </w:rPr>
        <w:t>h were nausea (25%), vomiting (10%) and pain (10%)</w:t>
      </w:r>
      <w:r w:rsidR="007F7976" w:rsidRPr="00E51A80">
        <w:rPr>
          <w:rFonts w:ascii="Book Antiqua" w:hAnsi="Book Antiqua"/>
          <w:vertAlign w:val="superscript"/>
          <w:lang w:val="en-US"/>
        </w:rPr>
        <w:t>[21]</w:t>
      </w:r>
      <w:r w:rsidRPr="00E51A80">
        <w:rPr>
          <w:rFonts w:ascii="Book Antiqua" w:hAnsi="Book Antiqua"/>
          <w:lang w:val="en-US"/>
        </w:rPr>
        <w:t xml:space="preserve">. </w:t>
      </w:r>
      <w:r w:rsidRPr="00E51A80">
        <w:rPr>
          <w:rFonts w:ascii="Book Antiqua" w:hAnsi="Book Antiqua" w:cs="Calibri"/>
          <w:lang w:val="en-US"/>
        </w:rPr>
        <w:t xml:space="preserve">In a similar study, carried out in 479 patients, it was determined that only 1% with hormonally active neuroendocrine tumors had a clinical crisis after </w:t>
      </w:r>
      <w:proofErr w:type="gramStart"/>
      <w:r w:rsidRPr="00E51A80">
        <w:rPr>
          <w:rFonts w:ascii="Book Antiqua" w:hAnsi="Book Antiqua" w:cs="Calibri"/>
          <w:lang w:val="en-US"/>
        </w:rPr>
        <w:t>administration</w:t>
      </w:r>
      <w:r w:rsidR="007F7976" w:rsidRPr="00E51A80">
        <w:rPr>
          <w:rFonts w:ascii="Book Antiqua" w:hAnsi="Book Antiqua"/>
          <w:vertAlign w:val="superscript"/>
          <w:lang w:val="en-US"/>
        </w:rPr>
        <w:t>[</w:t>
      </w:r>
      <w:proofErr w:type="gramEnd"/>
      <w:r w:rsidR="007F7976" w:rsidRPr="00E51A80">
        <w:rPr>
          <w:rFonts w:ascii="Book Antiqua" w:hAnsi="Book Antiqua"/>
          <w:vertAlign w:val="superscript"/>
          <w:lang w:val="en-US"/>
        </w:rPr>
        <w:t>22]</w:t>
      </w:r>
      <w:r w:rsidR="007F7976" w:rsidRPr="00E51A80">
        <w:rPr>
          <w:rFonts w:ascii="Book Antiqua" w:hAnsi="Book Antiqua"/>
          <w:lang w:val="en-US"/>
        </w:rPr>
        <w:t>.</w:t>
      </w:r>
    </w:p>
    <w:p w:rsidR="002B7963" w:rsidRPr="00E51A80" w:rsidRDefault="002B7963" w:rsidP="007E3E0D">
      <w:pPr>
        <w:pStyle w:val="HTMLconformatoprevio1"/>
        <w:adjustRightInd w:val="0"/>
        <w:snapToGrid w:val="0"/>
        <w:spacing w:line="360" w:lineRule="auto"/>
        <w:ind w:firstLineChars="100" w:firstLine="200"/>
        <w:jc w:val="both"/>
        <w:rPr>
          <w:rFonts w:ascii="Book Antiqua" w:hAnsi="Book Antiqua"/>
          <w:lang w:val="en-US"/>
        </w:rPr>
      </w:pPr>
      <w:r w:rsidRPr="00E51A80">
        <w:rPr>
          <w:rFonts w:ascii="Book Antiqua" w:hAnsi="Book Antiqua" w:cs="Calibri"/>
          <w:lang w:val="en-US"/>
        </w:rPr>
        <w:t xml:space="preserve">The development of hematological toxicity was found in </w:t>
      </w:r>
      <w:r w:rsidR="007A31B3" w:rsidRPr="00E51A80">
        <w:rPr>
          <w:rFonts w:ascii="Book Antiqua" w:hAnsi="Book Antiqua" w:cs="Calibri"/>
          <w:lang w:val="en-US"/>
        </w:rPr>
        <w:t xml:space="preserve">almost </w:t>
      </w:r>
      <w:r w:rsidRPr="00E51A80">
        <w:rPr>
          <w:rFonts w:ascii="Book Antiqua" w:hAnsi="Book Antiqua" w:cs="Calibri"/>
          <w:lang w:val="en-US"/>
        </w:rPr>
        <w:t xml:space="preserve">half of the patients (38.8%), being severe (grade 3) in </w:t>
      </w:r>
      <w:r w:rsidR="007A31B3" w:rsidRPr="00E51A80">
        <w:rPr>
          <w:rFonts w:ascii="Book Antiqua" w:hAnsi="Book Antiqua" w:cs="Calibri"/>
          <w:lang w:val="en-US"/>
        </w:rPr>
        <w:t>one</w:t>
      </w:r>
      <w:r w:rsidRPr="00E51A80">
        <w:rPr>
          <w:rFonts w:ascii="Book Antiqua" w:hAnsi="Book Antiqua" w:cs="Calibri"/>
          <w:lang w:val="en-US"/>
        </w:rPr>
        <w:t xml:space="preserve"> case (2.8%) with thrombocytopenia. A recent study conducted with 450 patients treated </w:t>
      </w:r>
      <w:r w:rsidR="007A31B3" w:rsidRPr="00E51A80">
        <w:rPr>
          <w:rFonts w:ascii="Book Antiqua" w:hAnsi="Book Antiqua" w:cs="Calibri"/>
          <w:lang w:val="en-US"/>
        </w:rPr>
        <w:t xml:space="preserve">with PRRT </w:t>
      </w:r>
      <w:r w:rsidRPr="00E51A80">
        <w:rPr>
          <w:rFonts w:ascii="Book Antiqua" w:hAnsi="Book Antiqua" w:cs="Calibri"/>
          <w:lang w:val="en-US"/>
        </w:rPr>
        <w:t xml:space="preserve">in </w:t>
      </w:r>
      <w:r w:rsidR="007A31B3" w:rsidRPr="00E51A80">
        <w:rPr>
          <w:rFonts w:ascii="Book Antiqua" w:hAnsi="Book Antiqua" w:cs="Calibri"/>
          <w:lang w:val="en-US"/>
        </w:rPr>
        <w:t>five</w:t>
      </w:r>
      <w:r w:rsidRPr="00E51A80">
        <w:rPr>
          <w:rFonts w:ascii="Book Antiqua" w:hAnsi="Book Antiqua" w:cs="Calibri"/>
          <w:lang w:val="en-US"/>
        </w:rPr>
        <w:t xml:space="preserve"> different centers stipulated that serious adverse events were rare with leukopenia and thrombocytopenia of grade 3 in 1.1% and 1.3% of patients respectively, and only one episode of grade 4 </w:t>
      </w:r>
      <w:proofErr w:type="gramStart"/>
      <w:r w:rsidRPr="00E51A80">
        <w:rPr>
          <w:rFonts w:ascii="Book Antiqua" w:hAnsi="Book Antiqua" w:cs="Calibri"/>
          <w:lang w:val="en-US"/>
        </w:rPr>
        <w:t>thrombocytopenia</w:t>
      </w:r>
      <w:r w:rsidR="007F7976" w:rsidRPr="00E51A80">
        <w:rPr>
          <w:rFonts w:ascii="Book Antiqua" w:hAnsi="Book Antiqua" w:cs="Calibri"/>
          <w:vertAlign w:val="superscript"/>
          <w:lang w:val="en-US"/>
        </w:rPr>
        <w:t>[</w:t>
      </w:r>
      <w:proofErr w:type="gramEnd"/>
      <w:r w:rsidR="007F7976" w:rsidRPr="00E51A80">
        <w:rPr>
          <w:rFonts w:ascii="Book Antiqua" w:hAnsi="Book Antiqua" w:cs="Calibri"/>
          <w:vertAlign w:val="superscript"/>
          <w:lang w:val="en-US"/>
        </w:rPr>
        <w:t>23,24]</w:t>
      </w:r>
      <w:r w:rsidR="007F7976" w:rsidRPr="00E51A80">
        <w:rPr>
          <w:rFonts w:ascii="Book Antiqua" w:hAnsi="Book Antiqua"/>
          <w:lang w:val="en-US"/>
        </w:rPr>
        <w:t>.</w:t>
      </w:r>
    </w:p>
    <w:p w:rsidR="002B7963" w:rsidRPr="00E51A80" w:rsidRDefault="002B7963" w:rsidP="007E3E0D">
      <w:pPr>
        <w:pStyle w:val="HTMLconformatoprevio1"/>
        <w:adjustRightInd w:val="0"/>
        <w:snapToGrid w:val="0"/>
        <w:spacing w:line="360" w:lineRule="auto"/>
        <w:ind w:firstLineChars="100" w:firstLine="200"/>
        <w:jc w:val="both"/>
        <w:rPr>
          <w:rFonts w:ascii="Book Antiqua" w:hAnsi="Book Antiqua"/>
          <w:lang w:val="en-US"/>
        </w:rPr>
      </w:pPr>
      <w:r w:rsidRPr="00E51A80">
        <w:rPr>
          <w:rFonts w:ascii="Book Antiqua" w:hAnsi="Book Antiqua" w:cs="Calibri"/>
          <w:lang w:val="en-US"/>
        </w:rPr>
        <w:t>The most serious side effect in our study was observed in one patient with extensive liver metastasis who developed a severe deterioration of liver function. In patients with or without mild metastatic hepatic involvement, no significant liver toxicity has been reported</w:t>
      </w:r>
      <w:r w:rsidR="00BB35AE" w:rsidRPr="00E51A80">
        <w:rPr>
          <w:rFonts w:ascii="Book Antiqua" w:hAnsi="Book Antiqua" w:cs="Calibri"/>
          <w:lang w:val="en-US"/>
        </w:rPr>
        <w:t>.</w:t>
      </w:r>
      <w:r w:rsidRPr="00E51A80">
        <w:rPr>
          <w:rFonts w:ascii="Book Antiqua" w:hAnsi="Book Antiqua" w:cs="Calibri"/>
          <w:lang w:val="en-US"/>
        </w:rPr>
        <w:t xml:space="preserve"> </w:t>
      </w:r>
      <w:r w:rsidR="00BB35AE" w:rsidRPr="00E51A80">
        <w:rPr>
          <w:rFonts w:ascii="Book Antiqua" w:hAnsi="Book Antiqua" w:cs="Calibri"/>
          <w:lang w:val="en-US"/>
        </w:rPr>
        <w:t>H</w:t>
      </w:r>
      <w:r w:rsidRPr="00E51A80">
        <w:rPr>
          <w:rFonts w:ascii="Book Antiqua" w:hAnsi="Book Antiqua" w:cs="Calibri"/>
          <w:lang w:val="en-US"/>
        </w:rPr>
        <w:t>owever, in patients with massive liver metastases and impaired hepatic function, hepatic toxicity may occur</w:t>
      </w:r>
      <w:r w:rsidR="00BB35AE" w:rsidRPr="00E51A80">
        <w:rPr>
          <w:rFonts w:ascii="Book Antiqua" w:hAnsi="Book Antiqua" w:cs="Calibri"/>
          <w:lang w:val="en-US"/>
        </w:rPr>
        <w:t>.</w:t>
      </w:r>
      <w:r w:rsidRPr="00E51A80">
        <w:rPr>
          <w:rFonts w:ascii="Book Antiqua" w:hAnsi="Book Antiqua" w:cs="Calibri"/>
          <w:lang w:val="en-US"/>
        </w:rPr>
        <w:t xml:space="preserve"> </w:t>
      </w:r>
      <w:r w:rsidR="00BB35AE" w:rsidRPr="00E51A80">
        <w:rPr>
          <w:rFonts w:ascii="Book Antiqua" w:hAnsi="Book Antiqua" w:cs="Calibri"/>
          <w:lang w:val="en-US"/>
        </w:rPr>
        <w:t>T</w:t>
      </w:r>
      <w:r w:rsidRPr="00E51A80">
        <w:rPr>
          <w:rFonts w:ascii="Book Antiqua" w:hAnsi="Book Antiqua" w:cs="Calibri"/>
          <w:lang w:val="en-US"/>
        </w:rPr>
        <w:t xml:space="preserve">his should be considered, along with pre-existing conditions affecting the liver, when deciding the appropriate </w:t>
      </w:r>
      <w:proofErr w:type="gramStart"/>
      <w:r w:rsidRPr="00E51A80">
        <w:rPr>
          <w:rFonts w:ascii="Book Antiqua" w:hAnsi="Book Antiqua" w:cs="Calibri"/>
          <w:lang w:val="en-US"/>
        </w:rPr>
        <w:t>dose</w:t>
      </w:r>
      <w:r w:rsidR="007F7976" w:rsidRPr="00E51A80">
        <w:rPr>
          <w:rFonts w:ascii="Book Antiqua" w:hAnsi="Book Antiqua"/>
          <w:vertAlign w:val="superscript"/>
          <w:lang w:val="en-US"/>
        </w:rPr>
        <w:t>[</w:t>
      </w:r>
      <w:proofErr w:type="gramEnd"/>
      <w:r w:rsidR="007F7976" w:rsidRPr="00E51A80">
        <w:rPr>
          <w:rFonts w:ascii="Book Antiqua" w:hAnsi="Book Antiqua"/>
          <w:vertAlign w:val="superscript"/>
          <w:lang w:val="en-US"/>
        </w:rPr>
        <w:t>20]</w:t>
      </w:r>
      <w:r w:rsidR="007F7976" w:rsidRPr="00E51A80">
        <w:rPr>
          <w:rFonts w:ascii="Book Antiqua" w:hAnsi="Book Antiqua"/>
          <w:lang w:val="en-US"/>
        </w:rPr>
        <w:t>.</w:t>
      </w:r>
    </w:p>
    <w:p w:rsidR="002B7963" w:rsidRPr="00E51A80" w:rsidRDefault="002B7963" w:rsidP="007E3E0D">
      <w:pPr>
        <w:pStyle w:val="HTMLconformatoprevio1"/>
        <w:adjustRightInd w:val="0"/>
        <w:snapToGrid w:val="0"/>
        <w:spacing w:line="360" w:lineRule="auto"/>
        <w:jc w:val="both"/>
        <w:rPr>
          <w:rFonts w:ascii="Book Antiqua" w:hAnsi="Book Antiqua" w:cs="Calibri"/>
          <w:lang w:val="en-US"/>
        </w:rPr>
      </w:pPr>
    </w:p>
    <w:p w:rsidR="002B7963" w:rsidRPr="00E51A80" w:rsidRDefault="002B7963" w:rsidP="007E3E0D">
      <w:pPr>
        <w:pStyle w:val="HTMLconformatoprevio1"/>
        <w:adjustRightInd w:val="0"/>
        <w:snapToGrid w:val="0"/>
        <w:spacing w:line="360" w:lineRule="auto"/>
        <w:jc w:val="both"/>
        <w:rPr>
          <w:rFonts w:ascii="Book Antiqua" w:hAnsi="Book Antiqua"/>
          <w:i/>
          <w:lang w:val="en-US"/>
        </w:rPr>
      </w:pPr>
      <w:r w:rsidRPr="00E51A80">
        <w:rPr>
          <w:rFonts w:ascii="Book Antiqua" w:hAnsi="Book Antiqua" w:cs="Calibri"/>
          <w:b/>
          <w:bCs/>
          <w:i/>
          <w:lang w:val="en-US"/>
        </w:rPr>
        <w:lastRenderedPageBreak/>
        <w:t>Study limitations</w:t>
      </w: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sz w:val="20"/>
          <w:szCs w:val="20"/>
          <w:lang w:val="en-US"/>
        </w:rPr>
        <w:t>This study has limitations. First, it is a retrospective observational study</w:t>
      </w:r>
      <w:r w:rsidR="00BB35AE" w:rsidRPr="00E51A80">
        <w:rPr>
          <w:rFonts w:ascii="Book Antiqua" w:hAnsi="Book Antiqua" w:cs="Calibri"/>
          <w:sz w:val="20"/>
          <w:szCs w:val="20"/>
          <w:lang w:val="en-US"/>
        </w:rPr>
        <w:t>.</w:t>
      </w:r>
      <w:r w:rsidRPr="00E51A80">
        <w:rPr>
          <w:rFonts w:ascii="Book Antiqua" w:hAnsi="Book Antiqua" w:cs="Calibri"/>
          <w:sz w:val="20"/>
          <w:szCs w:val="20"/>
          <w:lang w:val="en-US"/>
        </w:rPr>
        <w:t xml:space="preserve"> </w:t>
      </w:r>
      <w:r w:rsidR="00BB35AE" w:rsidRPr="00E51A80">
        <w:rPr>
          <w:rFonts w:ascii="Book Antiqua" w:hAnsi="Book Antiqua" w:cs="Calibri"/>
          <w:sz w:val="20"/>
          <w:szCs w:val="20"/>
          <w:lang w:val="en-US"/>
        </w:rPr>
        <w:t>T</w:t>
      </w:r>
      <w:r w:rsidRPr="00E51A80">
        <w:rPr>
          <w:rFonts w:ascii="Book Antiqua" w:hAnsi="Book Antiqua" w:cs="Calibri"/>
          <w:sz w:val="20"/>
          <w:szCs w:val="20"/>
          <w:lang w:val="en-US"/>
        </w:rPr>
        <w:t>he aim is to observe and describe</w:t>
      </w:r>
      <w:r w:rsidR="00BB35AE" w:rsidRPr="00E51A80">
        <w:rPr>
          <w:rFonts w:ascii="Book Antiqua" w:hAnsi="Book Antiqua" w:cs="Calibri"/>
          <w:sz w:val="20"/>
          <w:szCs w:val="20"/>
          <w:lang w:val="en-US"/>
        </w:rPr>
        <w:t xml:space="preserve"> and</w:t>
      </w:r>
      <w:r w:rsidRPr="00E51A80">
        <w:rPr>
          <w:rFonts w:ascii="Book Antiqua" w:hAnsi="Book Antiqua" w:cs="Calibri"/>
          <w:sz w:val="20"/>
          <w:szCs w:val="20"/>
          <w:lang w:val="en-US"/>
        </w:rPr>
        <w:t xml:space="preserve"> lac</w:t>
      </w:r>
      <w:r w:rsidR="00BB35AE" w:rsidRPr="00E51A80">
        <w:rPr>
          <w:rFonts w:ascii="Book Antiqua" w:hAnsi="Book Antiqua" w:cs="Calibri"/>
          <w:sz w:val="20"/>
          <w:szCs w:val="20"/>
          <w:lang w:val="en-US"/>
        </w:rPr>
        <w:t>ks</w:t>
      </w:r>
      <w:r w:rsidRPr="00E51A80">
        <w:rPr>
          <w:rFonts w:ascii="Book Antiqua" w:hAnsi="Book Antiqua" w:cs="Calibri"/>
          <w:sz w:val="20"/>
          <w:szCs w:val="20"/>
          <w:lang w:val="en-US"/>
        </w:rPr>
        <w:t xml:space="preserve"> an intervention in the natural course of patients</w:t>
      </w:r>
      <w:r w:rsidR="00BB35AE" w:rsidRPr="00E51A80">
        <w:rPr>
          <w:rFonts w:ascii="Book Antiqua" w:hAnsi="Book Antiqua" w:cs="Calibri"/>
          <w:sz w:val="20"/>
          <w:szCs w:val="20"/>
          <w:lang w:val="en-US"/>
        </w:rPr>
        <w:t>.</w:t>
      </w:r>
      <w:r w:rsidRPr="00E51A80">
        <w:rPr>
          <w:rFonts w:ascii="Book Antiqua" w:hAnsi="Book Antiqua" w:cs="Calibri"/>
          <w:sz w:val="20"/>
          <w:szCs w:val="20"/>
          <w:lang w:val="en-US"/>
        </w:rPr>
        <w:t xml:space="preserve"> </w:t>
      </w:r>
      <w:r w:rsidR="00BB35AE" w:rsidRPr="00E51A80">
        <w:rPr>
          <w:rFonts w:ascii="Book Antiqua" w:hAnsi="Book Antiqua" w:cs="Calibri"/>
          <w:sz w:val="20"/>
          <w:szCs w:val="20"/>
          <w:lang w:val="en-US"/>
        </w:rPr>
        <w:t>Therefore, o</w:t>
      </w:r>
      <w:r w:rsidRPr="00E51A80">
        <w:rPr>
          <w:rFonts w:ascii="Book Antiqua" w:hAnsi="Book Antiqua" w:cs="Calibri"/>
          <w:sz w:val="20"/>
          <w:szCs w:val="20"/>
          <w:lang w:val="en-US"/>
        </w:rPr>
        <w:t>ne or more variable</w:t>
      </w:r>
      <w:r w:rsidR="00BB35AE" w:rsidRPr="00E51A80">
        <w:rPr>
          <w:rFonts w:ascii="Book Antiqua" w:hAnsi="Book Antiqua" w:cs="Calibri"/>
          <w:sz w:val="20"/>
          <w:szCs w:val="20"/>
          <w:lang w:val="en-US"/>
        </w:rPr>
        <w:t>s</w:t>
      </w:r>
      <w:r w:rsidRPr="00E51A80">
        <w:rPr>
          <w:rFonts w:ascii="Book Antiqua" w:hAnsi="Book Antiqua" w:cs="Calibri"/>
          <w:sz w:val="20"/>
          <w:szCs w:val="20"/>
          <w:lang w:val="en-US"/>
        </w:rPr>
        <w:t xml:space="preserve"> of </w:t>
      </w:r>
      <w:r w:rsidR="00F63757" w:rsidRPr="00E51A80">
        <w:rPr>
          <w:rFonts w:ascii="Book Antiqua" w:hAnsi="Book Antiqua" w:cs="Calibri"/>
          <w:sz w:val="20"/>
          <w:szCs w:val="20"/>
          <w:lang w:val="en-US"/>
        </w:rPr>
        <w:t xml:space="preserve">interest could not be studied. </w:t>
      </w:r>
      <w:r w:rsidRPr="00E51A80">
        <w:rPr>
          <w:rFonts w:ascii="Book Antiqua" w:hAnsi="Book Antiqua" w:cs="Calibri"/>
          <w:sz w:val="20"/>
          <w:szCs w:val="20"/>
          <w:lang w:val="en-US"/>
        </w:rPr>
        <w:t xml:space="preserve">As well, we are aware that the number of patients is scarce and limited, but this is the first study to our knowledge to describe that matching lesions in CT and </w:t>
      </w:r>
      <w:proofErr w:type="spellStart"/>
      <w:r w:rsidRPr="00E51A80">
        <w:rPr>
          <w:rFonts w:ascii="Book Antiqua" w:hAnsi="Book Antiqua" w:cs="Calibri"/>
          <w:sz w:val="20"/>
          <w:szCs w:val="20"/>
          <w:lang w:val="en-US"/>
        </w:rPr>
        <w:t>Octreoscan</w:t>
      </w:r>
      <w:proofErr w:type="spellEnd"/>
      <w:r w:rsidRPr="00E51A80">
        <w:rPr>
          <w:rFonts w:ascii="Book Antiqua" w:hAnsi="Book Antiqua" w:cs="Calibri"/>
          <w:sz w:val="20"/>
          <w:szCs w:val="20"/>
          <w:vertAlign w:val="superscript"/>
          <w:lang w:val="en-US"/>
        </w:rPr>
        <w:t>®</w:t>
      </w:r>
      <w:r w:rsidRPr="00E51A80">
        <w:rPr>
          <w:rFonts w:ascii="Book Antiqua" w:hAnsi="Book Antiqua" w:cs="Calibri"/>
          <w:sz w:val="20"/>
          <w:szCs w:val="20"/>
          <w:lang w:val="en-US"/>
        </w:rPr>
        <w:t xml:space="preserve"> previous to PRRT treatmen</w:t>
      </w:r>
      <w:r w:rsidR="007F7976" w:rsidRPr="00E51A80">
        <w:rPr>
          <w:rFonts w:ascii="Book Antiqua" w:hAnsi="Book Antiqua" w:cs="Calibri"/>
          <w:sz w:val="20"/>
          <w:szCs w:val="20"/>
          <w:lang w:val="en-US"/>
        </w:rPr>
        <w:t xml:space="preserve">t could be a prognostic factor </w:t>
      </w:r>
      <w:r w:rsidRPr="00E51A80">
        <w:rPr>
          <w:rFonts w:ascii="Book Antiqua" w:hAnsi="Book Antiqua" w:cs="Calibri"/>
          <w:sz w:val="20"/>
          <w:szCs w:val="20"/>
          <w:lang w:val="en-US"/>
        </w:rPr>
        <w:t xml:space="preserve">that should be studied with a </w:t>
      </w:r>
      <w:r w:rsidR="00BB35AE" w:rsidRPr="00E51A80">
        <w:rPr>
          <w:rFonts w:ascii="Book Antiqua" w:hAnsi="Book Antiqua" w:cs="Calibri"/>
          <w:sz w:val="20"/>
          <w:szCs w:val="20"/>
          <w:lang w:val="en-US"/>
        </w:rPr>
        <w:t xml:space="preserve">larger </w:t>
      </w:r>
      <w:r w:rsidRPr="00E51A80">
        <w:rPr>
          <w:rFonts w:ascii="Book Antiqua" w:hAnsi="Book Antiqua" w:cs="Calibri"/>
          <w:sz w:val="20"/>
          <w:szCs w:val="20"/>
          <w:lang w:val="en-US"/>
        </w:rPr>
        <w:t xml:space="preserve">cohort of patients. If </w:t>
      </w:r>
      <w:r w:rsidR="00BB35AE" w:rsidRPr="00E51A80">
        <w:rPr>
          <w:rFonts w:ascii="Book Antiqua" w:hAnsi="Book Antiqua" w:cs="Calibri"/>
          <w:sz w:val="20"/>
          <w:szCs w:val="20"/>
          <w:lang w:val="en-US"/>
        </w:rPr>
        <w:t>corroborated</w:t>
      </w:r>
      <w:r w:rsidRPr="00E51A80">
        <w:rPr>
          <w:rFonts w:ascii="Book Antiqua" w:hAnsi="Book Antiqua" w:cs="Calibri"/>
          <w:sz w:val="20"/>
          <w:szCs w:val="20"/>
          <w:lang w:val="en-US"/>
        </w:rPr>
        <w:t>, this finding could be considered into treatment decision</w:t>
      </w:r>
      <w:r w:rsidR="00BB35AE" w:rsidRPr="00E51A80">
        <w:rPr>
          <w:rFonts w:ascii="Book Antiqua" w:hAnsi="Book Antiqua" w:cs="Calibri"/>
          <w:sz w:val="20"/>
          <w:szCs w:val="20"/>
          <w:lang w:val="en-US"/>
        </w:rPr>
        <w:t>s</w:t>
      </w:r>
      <w:r w:rsidRPr="00E51A80">
        <w:rPr>
          <w:rFonts w:ascii="Book Antiqua" w:hAnsi="Book Antiqua" w:cs="Calibri"/>
          <w:sz w:val="20"/>
          <w:szCs w:val="20"/>
          <w:lang w:val="en-US"/>
        </w:rPr>
        <w:t xml:space="preserve"> and may result in major patient surveillance. </w:t>
      </w:r>
    </w:p>
    <w:p w:rsidR="002B7963" w:rsidRPr="00E51A80" w:rsidRDefault="002B7963" w:rsidP="007E3E0D">
      <w:pPr>
        <w:tabs>
          <w:tab w:val="left" w:pos="5812"/>
        </w:tabs>
        <w:adjustRightInd w:val="0"/>
        <w:snapToGrid w:val="0"/>
        <w:spacing w:after="0" w:line="360" w:lineRule="auto"/>
        <w:ind w:firstLineChars="100" w:firstLine="200"/>
        <w:jc w:val="both"/>
        <w:rPr>
          <w:rFonts w:ascii="Book Antiqua" w:hAnsi="Book Antiqua"/>
          <w:sz w:val="20"/>
          <w:szCs w:val="20"/>
          <w:lang w:val="en-US"/>
        </w:rPr>
      </w:pPr>
      <w:r w:rsidRPr="00E51A80">
        <w:rPr>
          <w:rFonts w:ascii="Book Antiqua" w:hAnsi="Book Antiqua" w:cs="Calibri"/>
          <w:sz w:val="20"/>
          <w:szCs w:val="20"/>
          <w:shd w:val="clear" w:color="auto" w:fill="FFFFFF"/>
          <w:lang w:val="en-US"/>
        </w:rPr>
        <w:t>In this study we found that</w:t>
      </w:r>
      <w:r w:rsidRPr="00E51A80">
        <w:rPr>
          <w:rFonts w:ascii="Book Antiqua" w:hAnsi="Book Antiqua" w:cs="Calibri"/>
          <w:sz w:val="20"/>
          <w:szCs w:val="20"/>
          <w:lang w:val="en-US"/>
        </w:rPr>
        <w:t xml:space="preserve"> matching lesions in CT and </w:t>
      </w:r>
      <w:proofErr w:type="spellStart"/>
      <w:r w:rsidRPr="00E51A80">
        <w:rPr>
          <w:rFonts w:ascii="Book Antiqua" w:hAnsi="Book Antiqua" w:cs="Calibri"/>
          <w:sz w:val="20"/>
          <w:szCs w:val="20"/>
          <w:lang w:val="en-US"/>
        </w:rPr>
        <w:t>Octreoscan</w:t>
      </w:r>
      <w:proofErr w:type="spellEnd"/>
      <w:r w:rsidRPr="00E51A80">
        <w:rPr>
          <w:rFonts w:ascii="Book Antiqua" w:hAnsi="Book Antiqua" w:cs="Calibri"/>
          <w:sz w:val="20"/>
          <w:szCs w:val="20"/>
          <w:vertAlign w:val="superscript"/>
          <w:lang w:val="en-US"/>
        </w:rPr>
        <w:t>®</w:t>
      </w:r>
      <w:r w:rsidRPr="00E51A80">
        <w:rPr>
          <w:rFonts w:ascii="Book Antiqua" w:hAnsi="Book Antiqua" w:cs="Calibri"/>
          <w:sz w:val="20"/>
          <w:szCs w:val="20"/>
          <w:lang w:val="en-US"/>
        </w:rPr>
        <w:t xml:space="preserve"> pre-PRRT, represent a prognostic factor to overall survival and that pseudo-progression is a common finding observed in the first stages of the treatment that should be taken into consideration by c</w:t>
      </w:r>
      <w:r w:rsidRPr="00E51A80">
        <w:rPr>
          <w:rFonts w:ascii="Book Antiqua" w:hAnsi="Book Antiqua" w:cs="Calibri"/>
          <w:sz w:val="20"/>
          <w:szCs w:val="20"/>
          <w:shd w:val="clear" w:color="auto" w:fill="FFFFFF"/>
          <w:lang w:val="en-US"/>
        </w:rPr>
        <w:t xml:space="preserve">linicians in daily practice. </w:t>
      </w:r>
    </w:p>
    <w:p w:rsidR="002B7963" w:rsidRPr="00E51A80" w:rsidRDefault="002B7963" w:rsidP="007E3E0D">
      <w:pPr>
        <w:adjustRightInd w:val="0"/>
        <w:snapToGrid w:val="0"/>
        <w:spacing w:after="0" w:line="360" w:lineRule="auto"/>
        <w:jc w:val="both"/>
        <w:rPr>
          <w:rFonts w:ascii="Book Antiqua" w:hAnsi="Book Antiqua" w:cs="Calibri"/>
          <w:b/>
          <w:bCs/>
          <w:sz w:val="20"/>
          <w:szCs w:val="20"/>
          <w:lang w:val="en-US"/>
        </w:rPr>
      </w:pPr>
    </w:p>
    <w:p w:rsidR="007F7976" w:rsidRPr="00E51A80" w:rsidRDefault="007F7976" w:rsidP="007E3E0D">
      <w:pPr>
        <w:adjustRightInd w:val="0"/>
        <w:snapToGrid w:val="0"/>
        <w:spacing w:after="0" w:line="360" w:lineRule="auto"/>
        <w:jc w:val="both"/>
        <w:rPr>
          <w:rFonts w:ascii="Book Antiqua" w:hAnsi="Book Antiqua"/>
          <w:b/>
          <w:sz w:val="20"/>
          <w:szCs w:val="20"/>
          <w:u w:val="single"/>
          <w:lang w:val="en-US"/>
        </w:rPr>
      </w:pPr>
      <w:bookmarkStart w:id="67" w:name="OLE_LINK259"/>
      <w:bookmarkStart w:id="68" w:name="OLE_LINK151"/>
      <w:bookmarkStart w:id="69" w:name="OLE_LINK625"/>
      <w:bookmarkStart w:id="70" w:name="OLE_LINK839"/>
      <w:bookmarkStart w:id="71" w:name="OLE_LINK560"/>
      <w:bookmarkStart w:id="72" w:name="OLE_LINK403"/>
      <w:bookmarkStart w:id="73" w:name="OLE_LINK521"/>
      <w:bookmarkStart w:id="74" w:name="OLE_LINK332"/>
      <w:bookmarkStart w:id="75" w:name="OLE_LINK316"/>
      <w:bookmarkStart w:id="76" w:name="OLE_LINK24"/>
      <w:bookmarkStart w:id="77" w:name="OLE_LINK23"/>
      <w:bookmarkStart w:id="78" w:name="OLE_LINK12"/>
      <w:bookmarkStart w:id="79" w:name="OLE_LINK11"/>
      <w:bookmarkStart w:id="80" w:name="OLE_LINK245"/>
      <w:bookmarkStart w:id="81" w:name="OLE_LINK244"/>
      <w:bookmarkStart w:id="82" w:name="OLE_LINK206"/>
      <w:bookmarkStart w:id="83" w:name="OLE_LINK205"/>
      <w:bookmarkStart w:id="84" w:name="OLE_LINK159"/>
      <w:bookmarkStart w:id="85" w:name="OLE_LINK158"/>
      <w:r w:rsidRPr="00E51A80">
        <w:rPr>
          <w:rFonts w:ascii="Book Antiqua" w:hAnsi="Book Antiqua"/>
          <w:b/>
          <w:sz w:val="20"/>
          <w:szCs w:val="20"/>
          <w:u w:val="single"/>
          <w:lang w:val="en-US"/>
        </w:rPr>
        <w:t>ARTICLE HIGHLIGHTS</w:t>
      </w:r>
    </w:p>
    <w:p w:rsidR="007F7976" w:rsidRPr="00E51A80" w:rsidRDefault="007F7976" w:rsidP="007E3E0D">
      <w:pPr>
        <w:adjustRightInd w:val="0"/>
        <w:snapToGrid w:val="0"/>
        <w:spacing w:after="0" w:line="360" w:lineRule="auto"/>
        <w:jc w:val="both"/>
        <w:rPr>
          <w:rFonts w:ascii="Book Antiqua" w:hAnsi="Book Antiqua"/>
          <w:b/>
          <w:i/>
          <w:sz w:val="20"/>
          <w:szCs w:val="20"/>
          <w:lang w:val="en-US"/>
        </w:rPr>
      </w:pPr>
      <w:r w:rsidRPr="00E51A80">
        <w:rPr>
          <w:rFonts w:ascii="Book Antiqua" w:hAnsi="Book Antiqua"/>
          <w:b/>
          <w:i/>
          <w:sz w:val="20"/>
          <w:szCs w:val="20"/>
          <w:lang w:val="en-US"/>
        </w:rPr>
        <w:t>Research background</w:t>
      </w: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eastAsia="Times New Roman" w:hAnsi="Book Antiqua" w:cs="Book Antiqua"/>
          <w:sz w:val="20"/>
          <w:szCs w:val="20"/>
          <w:lang w:val="en-US"/>
        </w:rPr>
        <w:t xml:space="preserve">The incidence and prevalence of neuroendocrine tumors are currently increasing, probably due to the extensive use of more developed routine radiological tests and endoscopic techniques. In patients with limited </w:t>
      </w:r>
      <w:proofErr w:type="spellStart"/>
      <w:r w:rsidRPr="00E51A80">
        <w:rPr>
          <w:rFonts w:ascii="Book Antiqua" w:eastAsia="Times New Roman" w:hAnsi="Book Antiqua" w:cs="Book Antiqua"/>
          <w:sz w:val="20"/>
          <w:szCs w:val="20"/>
          <w:lang w:val="en-US"/>
        </w:rPr>
        <w:t>cytoreductive</w:t>
      </w:r>
      <w:proofErr w:type="spellEnd"/>
      <w:r w:rsidRPr="00E51A80">
        <w:rPr>
          <w:rFonts w:ascii="Book Antiqua" w:eastAsia="Times New Roman" w:hAnsi="Book Antiqua" w:cs="Book Antiqua"/>
          <w:sz w:val="20"/>
          <w:szCs w:val="20"/>
          <w:lang w:val="en-US"/>
        </w:rPr>
        <w:t xml:space="preserve"> options, peptide receptor radionuclide therapy (PRRT) with radiolabeled </w:t>
      </w:r>
      <w:proofErr w:type="spellStart"/>
      <w:r w:rsidRPr="00E51A80">
        <w:rPr>
          <w:rFonts w:ascii="Book Antiqua" w:eastAsia="Times New Roman" w:hAnsi="Book Antiqua" w:cs="Book Antiqua"/>
          <w:sz w:val="20"/>
          <w:szCs w:val="20"/>
          <w:lang w:val="en-US"/>
        </w:rPr>
        <w:t>somatostatin</w:t>
      </w:r>
      <w:proofErr w:type="spellEnd"/>
      <w:r w:rsidRPr="00E51A80">
        <w:rPr>
          <w:rFonts w:ascii="Book Antiqua" w:eastAsia="Times New Roman" w:hAnsi="Book Antiqua" w:cs="Book Antiqua"/>
          <w:sz w:val="20"/>
          <w:szCs w:val="20"/>
          <w:lang w:val="en-US"/>
        </w:rPr>
        <w:t xml:space="preserve"> analogues </w:t>
      </w:r>
      <w:r w:rsidRPr="00E51A80">
        <w:rPr>
          <w:rFonts w:ascii="Book Antiqua" w:eastAsia="Times New Roman" w:hAnsi="Book Antiqua" w:cs="Book Antiqua"/>
          <w:sz w:val="20"/>
          <w:szCs w:val="20"/>
          <w:vertAlign w:val="superscript"/>
          <w:lang w:val="en-US"/>
        </w:rPr>
        <w:t>177</w:t>
      </w:r>
      <w:r w:rsidRPr="00E51A80">
        <w:rPr>
          <w:rFonts w:ascii="Book Antiqua" w:eastAsia="Times New Roman" w:hAnsi="Book Antiqua" w:cs="Book Antiqua"/>
          <w:sz w:val="20"/>
          <w:szCs w:val="20"/>
          <w:lang w:val="en-US"/>
        </w:rPr>
        <w:t>Lu-DOTA0-Tyr3-octreotate (</w:t>
      </w:r>
      <w:r w:rsidRPr="00E51A80">
        <w:rPr>
          <w:rFonts w:ascii="Book Antiqua" w:eastAsia="Times New Roman" w:hAnsi="Book Antiqua" w:cs="Book Antiqua"/>
          <w:sz w:val="20"/>
          <w:szCs w:val="20"/>
          <w:vertAlign w:val="superscript"/>
          <w:lang w:val="en-US"/>
        </w:rPr>
        <w:t>177</w:t>
      </w:r>
      <w:r w:rsidRPr="00E51A80">
        <w:rPr>
          <w:rFonts w:ascii="Book Antiqua" w:eastAsia="Times New Roman" w:hAnsi="Book Antiqua" w:cs="Book Antiqua"/>
          <w:sz w:val="20"/>
          <w:szCs w:val="20"/>
          <w:lang w:val="en-US"/>
        </w:rPr>
        <w:t xml:space="preserve">Lu-Dotatate) has been used successfully in patients diagnosed with metastatic </w:t>
      </w:r>
      <w:proofErr w:type="spellStart"/>
      <w:r w:rsidRPr="00E51A80">
        <w:rPr>
          <w:rFonts w:ascii="Book Antiqua" w:eastAsia="Times New Roman" w:hAnsi="Book Antiqua" w:cs="Book Antiqua"/>
          <w:sz w:val="20"/>
          <w:szCs w:val="20"/>
          <w:lang w:val="en-US"/>
        </w:rPr>
        <w:t>gastroenteropancreatic</w:t>
      </w:r>
      <w:proofErr w:type="spellEnd"/>
      <w:r w:rsidRPr="00E51A80">
        <w:rPr>
          <w:rFonts w:ascii="Book Antiqua" w:eastAsia="Times New Roman" w:hAnsi="Book Antiqua" w:cs="Book Antiqua"/>
          <w:sz w:val="20"/>
          <w:szCs w:val="20"/>
          <w:lang w:val="en-US"/>
        </w:rPr>
        <w:t xml:space="preserve"> </w:t>
      </w:r>
      <w:proofErr w:type="spellStart"/>
      <w:r w:rsidRPr="00E51A80">
        <w:rPr>
          <w:rFonts w:ascii="Book Antiqua" w:eastAsia="Times New Roman" w:hAnsi="Book Antiqua" w:cs="Book Antiqua"/>
          <w:sz w:val="20"/>
          <w:szCs w:val="20"/>
          <w:lang w:val="en-US"/>
        </w:rPr>
        <w:t>somatostatin</w:t>
      </w:r>
      <w:proofErr w:type="spellEnd"/>
      <w:r w:rsidRPr="00E51A80">
        <w:rPr>
          <w:rFonts w:ascii="Book Antiqua" w:eastAsia="Times New Roman" w:hAnsi="Book Antiqua" w:cs="Book Antiqua"/>
          <w:sz w:val="20"/>
          <w:szCs w:val="20"/>
          <w:lang w:val="en-US"/>
        </w:rPr>
        <w:t xml:space="preserve"> receptor positive tumors in the past two decades.</w:t>
      </w:r>
    </w:p>
    <w:p w:rsidR="002B7963" w:rsidRPr="00E51A80" w:rsidRDefault="002B7963" w:rsidP="007E3E0D">
      <w:pPr>
        <w:adjustRightInd w:val="0"/>
        <w:snapToGrid w:val="0"/>
        <w:spacing w:after="0" w:line="360" w:lineRule="auto"/>
        <w:jc w:val="both"/>
        <w:rPr>
          <w:rFonts w:ascii="Book Antiqua" w:eastAsia="Times New Roman" w:hAnsi="Book Antiqua" w:cs="Book Antiqua"/>
          <w:sz w:val="20"/>
          <w:szCs w:val="20"/>
          <w:lang w:val="en-US"/>
        </w:rPr>
      </w:pPr>
    </w:p>
    <w:p w:rsidR="002B7963" w:rsidRPr="00E51A80" w:rsidRDefault="002B7963" w:rsidP="007E3E0D">
      <w:pPr>
        <w:adjustRightInd w:val="0"/>
        <w:snapToGrid w:val="0"/>
        <w:spacing w:after="0" w:line="360" w:lineRule="auto"/>
        <w:jc w:val="both"/>
        <w:rPr>
          <w:rFonts w:ascii="Book Antiqua" w:hAnsi="Book Antiqua"/>
          <w:b/>
          <w:i/>
          <w:sz w:val="20"/>
          <w:szCs w:val="20"/>
          <w:lang w:val="en-US"/>
        </w:rPr>
      </w:pPr>
      <w:r w:rsidRPr="00E51A80">
        <w:rPr>
          <w:rFonts w:ascii="Book Antiqua" w:hAnsi="Book Antiqua"/>
          <w:b/>
          <w:i/>
          <w:sz w:val="20"/>
          <w:szCs w:val="20"/>
          <w:lang w:val="en-US"/>
        </w:rPr>
        <w:t>Research motivation</w:t>
      </w: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eastAsia="Times New Roman" w:hAnsi="Book Antiqua" w:cs="Book Antiqua"/>
          <w:sz w:val="20"/>
          <w:szCs w:val="20"/>
          <w:lang w:val="en-US"/>
        </w:rPr>
        <w:t>The aim of this study was to determine the impact of this treatment on patient</w:t>
      </w:r>
      <w:r w:rsidR="00FE6295" w:rsidRPr="00E51A80">
        <w:rPr>
          <w:rFonts w:ascii="Book Antiqua" w:eastAsia="Times New Roman" w:hAnsi="Book Antiqua" w:cs="Book Antiqua"/>
          <w:sz w:val="20"/>
          <w:szCs w:val="20"/>
          <w:lang w:val="en-US"/>
        </w:rPr>
        <w:t>’</w:t>
      </w:r>
      <w:r w:rsidRPr="00E51A80">
        <w:rPr>
          <w:rFonts w:ascii="Book Antiqua" w:eastAsia="Times New Roman" w:hAnsi="Book Antiqua" w:cs="Book Antiqua"/>
          <w:sz w:val="20"/>
          <w:szCs w:val="20"/>
          <w:lang w:val="en-US"/>
        </w:rPr>
        <w:t xml:space="preserve">s quality of life, radiological and metabolic response, overall survival, prognostic factors and its toxicity. </w:t>
      </w:r>
    </w:p>
    <w:p w:rsidR="002B7963" w:rsidRPr="00E51A80" w:rsidRDefault="002B7963" w:rsidP="007E3E0D">
      <w:pPr>
        <w:adjustRightInd w:val="0"/>
        <w:snapToGrid w:val="0"/>
        <w:spacing w:after="0" w:line="360" w:lineRule="auto"/>
        <w:jc w:val="both"/>
        <w:rPr>
          <w:rFonts w:ascii="Book Antiqua" w:eastAsia="Times New Roman" w:hAnsi="Book Antiqua" w:cs="Book Antiqua"/>
          <w:sz w:val="20"/>
          <w:szCs w:val="20"/>
          <w:lang w:val="en-US"/>
        </w:rPr>
      </w:pPr>
    </w:p>
    <w:p w:rsidR="002B7963" w:rsidRPr="00E51A80" w:rsidRDefault="002B7963" w:rsidP="007E3E0D">
      <w:pPr>
        <w:adjustRightInd w:val="0"/>
        <w:snapToGrid w:val="0"/>
        <w:spacing w:after="0" w:line="360" w:lineRule="auto"/>
        <w:jc w:val="both"/>
        <w:rPr>
          <w:rFonts w:ascii="Book Antiqua" w:hAnsi="Book Antiqua"/>
          <w:b/>
          <w:i/>
          <w:sz w:val="20"/>
          <w:szCs w:val="20"/>
          <w:lang w:val="en-US"/>
        </w:rPr>
      </w:pPr>
      <w:r w:rsidRPr="00E51A80">
        <w:rPr>
          <w:rFonts w:ascii="Book Antiqua" w:hAnsi="Book Antiqua"/>
          <w:b/>
          <w:i/>
          <w:sz w:val="20"/>
          <w:szCs w:val="20"/>
          <w:lang w:val="en-US"/>
        </w:rPr>
        <w:t xml:space="preserve">Research objectives </w:t>
      </w: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eastAsia="Times New Roman" w:hAnsi="Book Antiqua" w:cs="Book Antiqua"/>
          <w:sz w:val="20"/>
          <w:szCs w:val="20"/>
          <w:lang w:val="en-US"/>
        </w:rPr>
        <w:t>The determination of prognostic factors that can modify the overall survival of these patients is of vital importance</w:t>
      </w:r>
      <w:r w:rsidR="00FE6295" w:rsidRPr="00E51A80">
        <w:rPr>
          <w:rFonts w:ascii="Book Antiqua" w:eastAsia="Times New Roman" w:hAnsi="Book Antiqua" w:cs="Book Antiqua"/>
          <w:sz w:val="20"/>
          <w:szCs w:val="20"/>
          <w:lang w:val="en-US"/>
        </w:rPr>
        <w:t xml:space="preserve"> because</w:t>
      </w:r>
      <w:r w:rsidRPr="00E51A80">
        <w:rPr>
          <w:rFonts w:ascii="Book Antiqua" w:eastAsia="Times New Roman" w:hAnsi="Book Antiqua" w:cs="Book Antiqua"/>
          <w:sz w:val="20"/>
          <w:szCs w:val="20"/>
          <w:lang w:val="en-US"/>
        </w:rPr>
        <w:t xml:space="preserve"> it could allow a more specialized therapy and increase patient’s surveillance when required</w:t>
      </w:r>
      <w:r w:rsidR="00FE6295" w:rsidRPr="00E51A80">
        <w:rPr>
          <w:rFonts w:ascii="Book Antiqua" w:eastAsia="Times New Roman" w:hAnsi="Book Antiqua" w:cs="Book Antiqua"/>
          <w:sz w:val="20"/>
          <w:szCs w:val="20"/>
          <w:lang w:val="en-US"/>
        </w:rPr>
        <w:t>.</w:t>
      </w:r>
      <w:r w:rsidRPr="00E51A80">
        <w:rPr>
          <w:rFonts w:ascii="Book Antiqua" w:eastAsia="Times New Roman" w:hAnsi="Book Antiqua" w:cs="Book Antiqua"/>
          <w:sz w:val="20"/>
          <w:szCs w:val="20"/>
          <w:lang w:val="en-US"/>
        </w:rPr>
        <w:t xml:space="preserve"> </w:t>
      </w:r>
      <w:r w:rsidR="00FE6295" w:rsidRPr="00E51A80">
        <w:rPr>
          <w:rFonts w:ascii="Book Antiqua" w:eastAsia="Times New Roman" w:hAnsi="Book Antiqua" w:cs="Book Antiqua"/>
          <w:sz w:val="20"/>
          <w:szCs w:val="20"/>
          <w:lang w:val="en-US"/>
        </w:rPr>
        <w:t>T</w:t>
      </w:r>
      <w:r w:rsidRPr="00E51A80">
        <w:rPr>
          <w:rFonts w:ascii="Book Antiqua" w:eastAsia="Times New Roman" w:hAnsi="Book Antiqua" w:cs="Book Antiqua"/>
          <w:sz w:val="20"/>
          <w:szCs w:val="20"/>
          <w:lang w:val="en-US"/>
        </w:rPr>
        <w:t>his might be an interesting approach in future research.</w:t>
      </w:r>
    </w:p>
    <w:p w:rsidR="002B7963" w:rsidRPr="00E51A80" w:rsidRDefault="002B7963" w:rsidP="007E3E0D">
      <w:pPr>
        <w:adjustRightInd w:val="0"/>
        <w:snapToGrid w:val="0"/>
        <w:spacing w:after="0" w:line="360" w:lineRule="auto"/>
        <w:jc w:val="both"/>
        <w:rPr>
          <w:rFonts w:ascii="Book Antiqua" w:hAnsi="Book Antiqua" w:cs="Book Antiqua"/>
          <w:b/>
          <w:sz w:val="20"/>
          <w:szCs w:val="20"/>
          <w:lang w:val="en-US"/>
        </w:rPr>
      </w:pP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Book Antiqua"/>
          <w:b/>
          <w:i/>
          <w:sz w:val="20"/>
          <w:szCs w:val="20"/>
          <w:lang w:val="en-US"/>
        </w:rPr>
        <w:t>Research methods</w:t>
      </w: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sz w:val="20"/>
          <w:szCs w:val="20"/>
          <w:lang w:val="en-US"/>
        </w:rPr>
        <w:t xml:space="preserve">This is a retrospective longitudinal observational study in which impact on quality of life, radiological and metabolic response, overall survival, prognostic factors and toxicity were evaluated in patients diagnosed with advanced tumors expressing </w:t>
      </w:r>
      <w:proofErr w:type="spellStart"/>
      <w:r w:rsidRPr="00E51A80">
        <w:rPr>
          <w:rFonts w:ascii="Book Antiqua" w:hAnsi="Book Antiqua" w:cs="Calibri"/>
          <w:sz w:val="20"/>
          <w:szCs w:val="20"/>
          <w:lang w:val="en-US"/>
        </w:rPr>
        <w:t>somatostatin</w:t>
      </w:r>
      <w:proofErr w:type="spellEnd"/>
      <w:r w:rsidRPr="00E51A80">
        <w:rPr>
          <w:rFonts w:ascii="Book Antiqua" w:hAnsi="Book Antiqua" w:cs="Calibri"/>
          <w:sz w:val="20"/>
          <w:szCs w:val="20"/>
          <w:lang w:val="en-US"/>
        </w:rPr>
        <w:t xml:space="preserve"> receptors treated with PRRT. The information pertinent to this cohort of patients was collected through the clinical history, obtaining information about clinical data, treatment response and disease state. These data were treated confidentially and in an encrypted form for analysis</w:t>
      </w:r>
      <w:r w:rsidR="00FE6295" w:rsidRPr="00E51A80">
        <w:rPr>
          <w:rFonts w:ascii="Book Antiqua" w:hAnsi="Book Antiqua" w:cs="Calibri"/>
          <w:sz w:val="20"/>
          <w:szCs w:val="20"/>
          <w:lang w:val="en-US"/>
        </w:rPr>
        <w:t>.</w:t>
      </w:r>
      <w:r w:rsidRPr="00E51A80">
        <w:rPr>
          <w:rFonts w:ascii="Book Antiqua" w:hAnsi="Book Antiqua" w:cs="Calibri"/>
          <w:sz w:val="20"/>
          <w:szCs w:val="20"/>
          <w:lang w:val="en-US"/>
        </w:rPr>
        <w:t xml:space="preserve"> </w:t>
      </w:r>
      <w:r w:rsidR="00FE6295" w:rsidRPr="00E51A80">
        <w:rPr>
          <w:rFonts w:ascii="Book Antiqua" w:hAnsi="Book Antiqua" w:cs="Calibri"/>
          <w:sz w:val="20"/>
          <w:szCs w:val="20"/>
          <w:lang w:val="en-US"/>
        </w:rPr>
        <w:t>W</w:t>
      </w:r>
      <w:r w:rsidRPr="00E51A80">
        <w:rPr>
          <w:rFonts w:ascii="Book Antiqua" w:hAnsi="Book Antiqua" w:cs="Calibri"/>
          <w:sz w:val="20"/>
          <w:szCs w:val="20"/>
          <w:lang w:val="en-US"/>
        </w:rPr>
        <w:t xml:space="preserve">ritten consent was obtained from all patients. </w:t>
      </w:r>
    </w:p>
    <w:p w:rsidR="002B7963" w:rsidRPr="00E51A80" w:rsidRDefault="002B7963" w:rsidP="007E3E0D">
      <w:pPr>
        <w:adjustRightInd w:val="0"/>
        <w:snapToGrid w:val="0"/>
        <w:spacing w:after="0" w:line="360" w:lineRule="auto"/>
        <w:jc w:val="both"/>
        <w:rPr>
          <w:rFonts w:ascii="Book Antiqua" w:eastAsia="Times New Roman" w:hAnsi="Book Antiqua" w:cs="Book Antiqua"/>
          <w:sz w:val="20"/>
          <w:szCs w:val="20"/>
          <w:lang w:val="en-US"/>
        </w:rPr>
      </w:pP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Book Antiqua"/>
          <w:b/>
          <w:i/>
          <w:sz w:val="20"/>
          <w:szCs w:val="20"/>
          <w:lang w:val="en-US"/>
        </w:rPr>
        <w:lastRenderedPageBreak/>
        <w:t>Research results</w:t>
      </w: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eastAsia="Times New Roman" w:hAnsi="Book Antiqua" w:cs="Book Antiqua"/>
          <w:sz w:val="20"/>
          <w:szCs w:val="20"/>
          <w:lang w:val="en-US"/>
        </w:rPr>
        <w:t xml:space="preserve">In this cohort of patients, overall survival was inversely proportional </w:t>
      </w:r>
      <w:r w:rsidR="00FE6295" w:rsidRPr="00E51A80">
        <w:rPr>
          <w:rFonts w:ascii="Book Antiqua" w:eastAsia="Times New Roman" w:hAnsi="Book Antiqua" w:cs="Book Antiqua"/>
          <w:sz w:val="20"/>
          <w:szCs w:val="20"/>
          <w:lang w:val="en-US"/>
        </w:rPr>
        <w:t xml:space="preserve">with </w:t>
      </w:r>
      <w:r w:rsidRPr="00E51A80">
        <w:rPr>
          <w:rFonts w:ascii="Book Antiqua" w:eastAsia="Times New Roman" w:hAnsi="Book Antiqua" w:cs="Book Antiqua"/>
          <w:sz w:val="20"/>
          <w:szCs w:val="20"/>
          <w:lang w:val="en-US"/>
        </w:rPr>
        <w:t>respect to toxicity in previous treatments (</w:t>
      </w:r>
      <w:r w:rsidRPr="00E51A80">
        <w:rPr>
          <w:rFonts w:ascii="Book Antiqua" w:eastAsia="Times New Roman" w:hAnsi="Book Antiqua" w:cs="Book Antiqua"/>
          <w:i/>
          <w:sz w:val="20"/>
          <w:szCs w:val="20"/>
          <w:lang w:val="en-US"/>
        </w:rPr>
        <w:t>P</w:t>
      </w:r>
      <w:r w:rsidRPr="00E51A80">
        <w:rPr>
          <w:rFonts w:ascii="Book Antiqua" w:eastAsia="Times New Roman" w:hAnsi="Book Antiqua" w:cs="Book Antiqua"/>
          <w:sz w:val="20"/>
          <w:szCs w:val="20"/>
          <w:lang w:val="en-US"/>
        </w:rPr>
        <w:t xml:space="preserve"> &lt; 0.05) </w:t>
      </w:r>
      <w:r w:rsidR="00FE6295" w:rsidRPr="00E51A80">
        <w:rPr>
          <w:rFonts w:ascii="Book Antiqua" w:eastAsia="Times New Roman" w:hAnsi="Book Antiqua" w:cs="Book Antiqua"/>
          <w:sz w:val="20"/>
          <w:szCs w:val="20"/>
          <w:lang w:val="en-US"/>
        </w:rPr>
        <w:t xml:space="preserve">and </w:t>
      </w:r>
      <w:r w:rsidRPr="00E51A80">
        <w:rPr>
          <w:rFonts w:ascii="Book Antiqua" w:eastAsia="Times New Roman" w:hAnsi="Book Antiqua" w:cs="Book Antiqua"/>
          <w:sz w:val="20"/>
          <w:szCs w:val="20"/>
          <w:lang w:val="en-US"/>
        </w:rPr>
        <w:t xml:space="preserve">was directly proportional to matching lesion findings between </w:t>
      </w:r>
      <w:proofErr w:type="spellStart"/>
      <w:r w:rsidR="003A7D70" w:rsidRPr="00E51A80">
        <w:rPr>
          <w:rFonts w:ascii="Book Antiqua" w:eastAsia="Times New Roman" w:hAnsi="Book Antiqua" w:cs="Book Antiqua"/>
          <w:sz w:val="20"/>
          <w:szCs w:val="20"/>
          <w:lang w:val="en-US"/>
        </w:rPr>
        <w:t>Octreoscan</w:t>
      </w:r>
      <w:proofErr w:type="spellEnd"/>
      <w:r w:rsidRPr="00E51A80">
        <w:rPr>
          <w:rFonts w:ascii="Book Antiqua" w:eastAsia="Times New Roman" w:hAnsi="Book Antiqua" w:cs="Book Antiqua"/>
          <w:sz w:val="20"/>
          <w:szCs w:val="20"/>
          <w:lang w:val="en-US"/>
        </w:rPr>
        <w:t xml:space="preserve"> and computed tomography (CT) pre-PRRT (</w:t>
      </w:r>
      <w:r w:rsidRPr="00E51A80">
        <w:rPr>
          <w:rFonts w:ascii="Book Antiqua" w:eastAsia="Times New Roman" w:hAnsi="Book Antiqua" w:cs="Book Antiqua"/>
          <w:i/>
          <w:sz w:val="20"/>
          <w:szCs w:val="20"/>
          <w:lang w:val="en-US"/>
        </w:rPr>
        <w:t>P</w:t>
      </w:r>
      <w:r w:rsidRPr="00E51A80">
        <w:rPr>
          <w:rFonts w:ascii="Book Antiqua" w:eastAsia="Times New Roman" w:hAnsi="Book Antiqua" w:cs="Book Antiqua"/>
          <w:sz w:val="20"/>
          <w:szCs w:val="20"/>
          <w:lang w:val="en-US"/>
        </w:rPr>
        <w:t xml:space="preserve"> &lt; 0.01), surgery of the primary tumor or its metastasis, tumor grade and the presence of bone lesions. Also, we found that pseudo-progression is a common finding observed in the first stages of the treatment that should be taken into consideration by clinicians in daily practice. We consider that the matching lesions in CT and </w:t>
      </w:r>
      <w:proofErr w:type="spellStart"/>
      <w:r w:rsidRPr="00E51A80">
        <w:rPr>
          <w:rFonts w:ascii="Book Antiqua" w:eastAsia="Times New Roman" w:hAnsi="Book Antiqua" w:cs="Book Antiqua"/>
          <w:sz w:val="20"/>
          <w:szCs w:val="20"/>
          <w:lang w:val="en-US"/>
        </w:rPr>
        <w:t>Octreoscan</w:t>
      </w:r>
      <w:proofErr w:type="spellEnd"/>
      <w:r w:rsidRPr="00E51A80">
        <w:rPr>
          <w:rFonts w:ascii="Book Antiqua" w:eastAsia="Times New Roman" w:hAnsi="Book Antiqua" w:cs="Book Antiqua"/>
          <w:sz w:val="20"/>
          <w:szCs w:val="20"/>
          <w:vertAlign w:val="superscript"/>
          <w:lang w:val="en-US"/>
        </w:rPr>
        <w:t>®</w:t>
      </w:r>
      <w:r w:rsidRPr="00E51A80">
        <w:rPr>
          <w:rFonts w:ascii="Book Antiqua" w:eastAsia="Times New Roman" w:hAnsi="Book Antiqua" w:cs="Book Antiqua"/>
          <w:sz w:val="20"/>
          <w:szCs w:val="20"/>
          <w:lang w:val="en-US"/>
        </w:rPr>
        <w:t xml:space="preserve"> before PRRT treatment could be a prognostic factor and should be studied with a greater cohort of patients. If </w:t>
      </w:r>
      <w:r w:rsidR="00FE6295" w:rsidRPr="00E51A80">
        <w:rPr>
          <w:rFonts w:ascii="Book Antiqua" w:eastAsia="Times New Roman" w:hAnsi="Book Antiqua" w:cs="Book Antiqua"/>
          <w:sz w:val="20"/>
          <w:szCs w:val="20"/>
          <w:lang w:val="en-US"/>
        </w:rPr>
        <w:t>corroborated</w:t>
      </w:r>
      <w:r w:rsidRPr="00E51A80">
        <w:rPr>
          <w:rFonts w:ascii="Book Antiqua" w:eastAsia="Times New Roman" w:hAnsi="Book Antiqua" w:cs="Book Antiqua"/>
          <w:sz w:val="20"/>
          <w:szCs w:val="20"/>
          <w:lang w:val="en-US"/>
        </w:rPr>
        <w:t>, this finding could be considered i</w:t>
      </w:r>
      <w:r w:rsidR="00FE6295" w:rsidRPr="00E51A80">
        <w:rPr>
          <w:rFonts w:ascii="Book Antiqua" w:eastAsia="Times New Roman" w:hAnsi="Book Antiqua" w:cs="Book Antiqua"/>
          <w:sz w:val="20"/>
          <w:szCs w:val="20"/>
          <w:lang w:val="en-US"/>
        </w:rPr>
        <w:t>n</w:t>
      </w:r>
      <w:r w:rsidRPr="00E51A80">
        <w:rPr>
          <w:rFonts w:ascii="Book Antiqua" w:eastAsia="Times New Roman" w:hAnsi="Book Antiqua" w:cs="Book Antiqua"/>
          <w:sz w:val="20"/>
          <w:szCs w:val="20"/>
          <w:lang w:val="en-US"/>
        </w:rPr>
        <w:t xml:space="preserve"> treatment decision</w:t>
      </w:r>
      <w:r w:rsidR="00FE6295" w:rsidRPr="00E51A80">
        <w:rPr>
          <w:rFonts w:ascii="Book Antiqua" w:eastAsia="Times New Roman" w:hAnsi="Book Antiqua" w:cs="Book Antiqua"/>
          <w:sz w:val="20"/>
          <w:szCs w:val="20"/>
          <w:lang w:val="en-US"/>
        </w:rPr>
        <w:t>s</w:t>
      </w:r>
      <w:r w:rsidRPr="00E51A80">
        <w:rPr>
          <w:rFonts w:ascii="Book Antiqua" w:eastAsia="Times New Roman" w:hAnsi="Book Antiqua" w:cs="Book Antiqua"/>
          <w:sz w:val="20"/>
          <w:szCs w:val="20"/>
          <w:lang w:val="en-US"/>
        </w:rPr>
        <w:t xml:space="preserve"> and may result in major patient surveillance.</w:t>
      </w:r>
    </w:p>
    <w:p w:rsidR="002B7963" w:rsidRPr="00E51A80" w:rsidRDefault="002B7963" w:rsidP="007E3E0D">
      <w:pPr>
        <w:adjustRightInd w:val="0"/>
        <w:snapToGrid w:val="0"/>
        <w:spacing w:after="0" w:line="360" w:lineRule="auto"/>
        <w:jc w:val="both"/>
        <w:rPr>
          <w:rFonts w:ascii="Book Antiqua" w:hAnsi="Book Antiqua" w:cs="Segoe UI"/>
          <w:sz w:val="20"/>
          <w:szCs w:val="20"/>
          <w:shd w:val="clear" w:color="auto" w:fill="FFFFFF"/>
          <w:lang w:val="en-US"/>
        </w:rPr>
      </w:pP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Book Antiqua"/>
          <w:b/>
          <w:i/>
          <w:sz w:val="20"/>
          <w:szCs w:val="20"/>
          <w:lang w:val="en-US"/>
        </w:rPr>
        <w:t>Research conclusions</w:t>
      </w:r>
    </w:p>
    <w:p w:rsidR="0071031F"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eastAsia="Times New Roman" w:hAnsi="Book Antiqua" w:cs="Book Antiqua"/>
          <w:sz w:val="20"/>
          <w:szCs w:val="20"/>
          <w:lang w:val="en-US"/>
        </w:rPr>
        <w:t xml:space="preserve">Overall survival was inversely proportional </w:t>
      </w:r>
      <w:r w:rsidR="00FE6295" w:rsidRPr="00E51A80">
        <w:rPr>
          <w:rFonts w:ascii="Book Antiqua" w:eastAsia="Times New Roman" w:hAnsi="Book Antiqua" w:cs="Book Antiqua"/>
          <w:sz w:val="20"/>
          <w:szCs w:val="20"/>
          <w:lang w:val="en-US"/>
        </w:rPr>
        <w:t xml:space="preserve">with </w:t>
      </w:r>
      <w:r w:rsidRPr="00E51A80">
        <w:rPr>
          <w:rFonts w:ascii="Book Antiqua" w:eastAsia="Times New Roman" w:hAnsi="Book Antiqua" w:cs="Book Antiqua"/>
          <w:sz w:val="20"/>
          <w:szCs w:val="20"/>
          <w:lang w:val="en-US"/>
        </w:rPr>
        <w:t>respect to toxicity in previous treatments (</w:t>
      </w:r>
      <w:r w:rsidRPr="00E51A80">
        <w:rPr>
          <w:rFonts w:ascii="Book Antiqua" w:eastAsia="Times New Roman" w:hAnsi="Book Antiqua" w:cs="Book Antiqua"/>
          <w:i/>
          <w:sz w:val="20"/>
          <w:szCs w:val="20"/>
          <w:lang w:val="en-US"/>
        </w:rPr>
        <w:t>P</w:t>
      </w:r>
      <w:r w:rsidRPr="00E51A80">
        <w:rPr>
          <w:rFonts w:ascii="Book Antiqua" w:eastAsia="Times New Roman" w:hAnsi="Book Antiqua" w:cs="Book Antiqua"/>
          <w:sz w:val="20"/>
          <w:szCs w:val="20"/>
          <w:lang w:val="en-US"/>
        </w:rPr>
        <w:t xml:space="preserve"> &lt; 0.05)</w:t>
      </w:r>
      <w:r w:rsidR="00FE6295" w:rsidRPr="00E51A80">
        <w:rPr>
          <w:rFonts w:ascii="Book Antiqua" w:eastAsia="Times New Roman" w:hAnsi="Book Antiqua" w:cs="Book Antiqua"/>
          <w:sz w:val="20"/>
          <w:szCs w:val="20"/>
          <w:lang w:val="en-US"/>
        </w:rPr>
        <w:t xml:space="preserve"> and </w:t>
      </w:r>
      <w:r w:rsidRPr="00E51A80">
        <w:rPr>
          <w:rFonts w:ascii="Book Antiqua" w:eastAsia="Times New Roman" w:hAnsi="Book Antiqua" w:cs="Book Antiqua"/>
          <w:sz w:val="20"/>
          <w:szCs w:val="20"/>
          <w:lang w:val="en-US"/>
        </w:rPr>
        <w:t xml:space="preserve">was directly proportional to matching lesion findings between </w:t>
      </w:r>
      <w:proofErr w:type="spellStart"/>
      <w:r w:rsidR="003A7D70" w:rsidRPr="00E51A80">
        <w:rPr>
          <w:rFonts w:ascii="Book Antiqua" w:eastAsia="Times New Roman" w:hAnsi="Book Antiqua" w:cs="Book Antiqua"/>
          <w:sz w:val="20"/>
          <w:szCs w:val="20"/>
          <w:lang w:val="en-US"/>
        </w:rPr>
        <w:t>Octreoscan</w:t>
      </w:r>
      <w:proofErr w:type="spellEnd"/>
      <w:r w:rsidRPr="00E51A80">
        <w:rPr>
          <w:rFonts w:ascii="Book Antiqua" w:eastAsia="Times New Roman" w:hAnsi="Book Antiqua" w:cs="Book Antiqua"/>
          <w:sz w:val="20"/>
          <w:szCs w:val="20"/>
          <w:lang w:val="en-US"/>
        </w:rPr>
        <w:t xml:space="preserve"> and CT pre-PRRT. Matching lesion findings between </w:t>
      </w:r>
      <w:proofErr w:type="spellStart"/>
      <w:r w:rsidR="003A7D70" w:rsidRPr="00E51A80">
        <w:rPr>
          <w:rFonts w:ascii="Book Antiqua" w:eastAsia="Times New Roman" w:hAnsi="Book Antiqua" w:cs="Book Antiqua"/>
          <w:sz w:val="20"/>
          <w:szCs w:val="20"/>
          <w:lang w:val="en-US"/>
        </w:rPr>
        <w:t>Octreoscan</w:t>
      </w:r>
      <w:proofErr w:type="spellEnd"/>
      <w:r w:rsidRPr="00E51A80">
        <w:rPr>
          <w:rFonts w:ascii="Book Antiqua" w:eastAsia="Times New Roman" w:hAnsi="Book Antiqua" w:cs="Book Antiqua"/>
          <w:sz w:val="20"/>
          <w:szCs w:val="20"/>
          <w:lang w:val="en-US"/>
        </w:rPr>
        <w:t xml:space="preserve"> and CT pre-PRRT should be taken into consideration when treating these patients.</w:t>
      </w:r>
    </w:p>
    <w:p w:rsidR="002B7963" w:rsidRPr="00E51A80" w:rsidRDefault="002B7963" w:rsidP="007E3E0D">
      <w:pPr>
        <w:adjustRightInd w:val="0"/>
        <w:snapToGrid w:val="0"/>
        <w:spacing w:after="0" w:line="360" w:lineRule="auto"/>
        <w:jc w:val="both"/>
        <w:rPr>
          <w:rFonts w:ascii="Book Antiqua" w:eastAsia="Times New Roman" w:hAnsi="Book Antiqua" w:cs="Segoe UI"/>
          <w:sz w:val="20"/>
          <w:szCs w:val="20"/>
          <w:shd w:val="clear" w:color="auto" w:fill="FFFFFF"/>
          <w:lang w:val="en-US"/>
        </w:rPr>
      </w:pPr>
    </w:p>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Segoe UI"/>
          <w:b/>
          <w:i/>
          <w:sz w:val="20"/>
          <w:szCs w:val="20"/>
          <w:lang w:val="en-US"/>
        </w:rPr>
        <w:t>Research perspectives</w:t>
      </w:r>
    </w:p>
    <w:bookmarkEnd w:id="67"/>
    <w:bookmarkEnd w:id="68"/>
    <w:p w:rsidR="002B7963" w:rsidRPr="00E51A80" w:rsidRDefault="002B7963"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cs="Segoe UI"/>
          <w:sz w:val="20"/>
          <w:szCs w:val="20"/>
          <w:shd w:val="clear" w:color="auto" w:fill="FFFFFF"/>
          <w:lang w:val="en-US"/>
        </w:rPr>
        <w:t xml:space="preserve">This study reveals that prognostic factors should be taken into consideration </w:t>
      </w:r>
      <w:r w:rsidR="0071031F" w:rsidRPr="00E51A80">
        <w:rPr>
          <w:rFonts w:ascii="Book Antiqua" w:hAnsi="Book Antiqua" w:cs="Segoe UI"/>
          <w:sz w:val="20"/>
          <w:szCs w:val="20"/>
          <w:shd w:val="clear" w:color="auto" w:fill="FFFFFF"/>
          <w:lang w:val="en-US"/>
        </w:rPr>
        <w:t>because</w:t>
      </w:r>
      <w:r w:rsidRPr="00E51A80">
        <w:rPr>
          <w:rFonts w:ascii="Book Antiqua" w:hAnsi="Book Antiqua" w:cs="Segoe UI"/>
          <w:sz w:val="20"/>
          <w:szCs w:val="20"/>
          <w:shd w:val="clear" w:color="auto" w:fill="FFFFFF"/>
          <w:lang w:val="en-US"/>
        </w:rPr>
        <w:t xml:space="preserve"> they modify the overall survival. Therefore, future research should focus on finding new prognostic factors that could allow specialized patient surveillance. </w:t>
      </w:r>
      <w:r w:rsidRPr="00E51A80">
        <w:rPr>
          <w:rFonts w:ascii="Book Antiqua" w:hAnsi="Book Antiqua"/>
          <w:sz w:val="20"/>
          <w:szCs w:val="20"/>
          <w:lang w:val="en-US"/>
        </w:rPr>
        <w:t xml:space="preserve">In future studies, a larger number of patients should be included to extract more conclusive results that would allow </w:t>
      </w:r>
      <w:r w:rsidR="0071031F" w:rsidRPr="00E51A80">
        <w:rPr>
          <w:rFonts w:ascii="Book Antiqua" w:hAnsi="Book Antiqua"/>
          <w:sz w:val="20"/>
          <w:szCs w:val="20"/>
          <w:lang w:val="en-US"/>
        </w:rPr>
        <w:t>the identification of</w:t>
      </w:r>
      <w:r w:rsidRPr="00E51A80">
        <w:rPr>
          <w:rFonts w:ascii="Book Antiqua" w:hAnsi="Book Antiqua"/>
          <w:sz w:val="20"/>
          <w:szCs w:val="20"/>
          <w:lang w:val="en-US"/>
        </w:rPr>
        <w:t xml:space="preserve"> new prognostic factors.</w:t>
      </w:r>
    </w:p>
    <w:p w:rsidR="002B7963" w:rsidRPr="00E51A80" w:rsidRDefault="002B7963" w:rsidP="007E3E0D">
      <w:pPr>
        <w:adjustRightInd w:val="0"/>
        <w:snapToGrid w:val="0"/>
        <w:spacing w:after="0" w:line="360" w:lineRule="auto"/>
        <w:jc w:val="both"/>
        <w:rPr>
          <w:rFonts w:ascii="Book Antiqua" w:hAnsi="Book Antiqua" w:cs="Book Antiqua"/>
          <w:b/>
          <w:sz w:val="20"/>
          <w:szCs w:val="20"/>
          <w:lang w:val="en-US"/>
        </w:rPr>
      </w:pPr>
    </w:p>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rsidR="002B7963" w:rsidRPr="00E51A80" w:rsidRDefault="002B7963" w:rsidP="007E3E0D">
      <w:pPr>
        <w:adjustRightInd w:val="0"/>
        <w:snapToGrid w:val="0"/>
        <w:spacing w:after="0" w:line="360" w:lineRule="auto"/>
        <w:jc w:val="both"/>
        <w:rPr>
          <w:rFonts w:ascii="Book Antiqua" w:hAnsi="Book Antiqua" w:cs="Calibri"/>
          <w:b/>
          <w:bCs/>
          <w:sz w:val="20"/>
          <w:szCs w:val="20"/>
          <w:lang w:val="en-US"/>
        </w:rPr>
      </w:pPr>
      <w:r w:rsidRPr="00E51A80">
        <w:rPr>
          <w:rFonts w:ascii="Book Antiqua" w:hAnsi="Book Antiqua" w:cs="Calibri"/>
          <w:b/>
          <w:bCs/>
          <w:sz w:val="20"/>
          <w:szCs w:val="20"/>
          <w:lang w:val="en-US"/>
        </w:rPr>
        <w:t>REFERENCES</w:t>
      </w:r>
    </w:p>
    <w:p w:rsidR="002405DE" w:rsidRPr="00E51A80" w:rsidRDefault="002405DE"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t xml:space="preserve">1 </w:t>
      </w:r>
      <w:bookmarkStart w:id="86" w:name="OLE_LINK20"/>
      <w:bookmarkStart w:id="87" w:name="OLE_LINK19"/>
      <w:proofErr w:type="spellStart"/>
      <w:r w:rsidR="004179A4" w:rsidRPr="00E51A80">
        <w:rPr>
          <w:rFonts w:ascii="Book Antiqua" w:hAnsi="Book Antiqua"/>
          <w:b/>
          <w:sz w:val="20"/>
          <w:szCs w:val="20"/>
          <w:lang w:val="en-US"/>
        </w:rPr>
        <w:t>Fernández-Rañada</w:t>
      </w:r>
      <w:proofErr w:type="spellEnd"/>
      <w:r w:rsidR="004179A4" w:rsidRPr="00E51A80">
        <w:rPr>
          <w:rFonts w:ascii="Book Antiqua" w:hAnsi="Book Antiqua"/>
          <w:b/>
          <w:sz w:val="20"/>
          <w:szCs w:val="20"/>
          <w:lang w:val="en-US"/>
        </w:rPr>
        <w:t xml:space="preserve"> Shaw I,</w:t>
      </w:r>
      <w:r w:rsidR="004179A4" w:rsidRPr="00E51A80">
        <w:rPr>
          <w:rFonts w:ascii="Book Antiqua" w:hAnsi="Book Antiqua"/>
          <w:sz w:val="20"/>
          <w:szCs w:val="20"/>
          <w:lang w:val="en-US"/>
        </w:rPr>
        <w:t xml:space="preserve"> </w:t>
      </w:r>
      <w:proofErr w:type="spellStart"/>
      <w:r w:rsidR="004179A4" w:rsidRPr="00E51A80">
        <w:rPr>
          <w:rFonts w:ascii="Book Antiqua" w:hAnsi="Book Antiqua"/>
          <w:sz w:val="20"/>
          <w:szCs w:val="20"/>
          <w:lang w:val="en-US"/>
        </w:rPr>
        <w:t>Arévalo</w:t>
      </w:r>
      <w:proofErr w:type="spellEnd"/>
      <w:r w:rsidR="004179A4" w:rsidRPr="00E51A80">
        <w:rPr>
          <w:rFonts w:ascii="Book Antiqua" w:hAnsi="Book Antiqua"/>
          <w:sz w:val="20"/>
          <w:szCs w:val="20"/>
          <w:lang w:val="en-US"/>
        </w:rPr>
        <w:t xml:space="preserve"> MG, Martel IJ, </w:t>
      </w:r>
      <w:proofErr w:type="spellStart"/>
      <w:r w:rsidR="004179A4" w:rsidRPr="00E51A80">
        <w:rPr>
          <w:rFonts w:ascii="Book Antiqua" w:hAnsi="Book Antiqua"/>
          <w:sz w:val="20"/>
          <w:szCs w:val="20"/>
          <w:lang w:val="en-US"/>
        </w:rPr>
        <w:t>Giménez</w:t>
      </w:r>
      <w:proofErr w:type="spellEnd"/>
      <w:r w:rsidR="004179A4" w:rsidRPr="00E51A80">
        <w:rPr>
          <w:rFonts w:ascii="Book Antiqua" w:hAnsi="Book Antiqua"/>
          <w:sz w:val="20"/>
          <w:szCs w:val="20"/>
          <w:lang w:val="en-US"/>
        </w:rPr>
        <w:t xml:space="preserve"> DM, </w:t>
      </w:r>
      <w:proofErr w:type="spellStart"/>
      <w:r w:rsidR="004179A4" w:rsidRPr="00E51A80">
        <w:rPr>
          <w:rFonts w:ascii="Book Antiqua" w:hAnsi="Book Antiqua"/>
          <w:sz w:val="20"/>
          <w:szCs w:val="20"/>
          <w:lang w:val="en-US"/>
        </w:rPr>
        <w:t>Valadés</w:t>
      </w:r>
      <w:proofErr w:type="spellEnd"/>
      <w:r w:rsidR="004179A4" w:rsidRPr="00E51A80">
        <w:rPr>
          <w:rFonts w:ascii="Book Antiqua" w:hAnsi="Book Antiqua"/>
          <w:sz w:val="20"/>
          <w:szCs w:val="20"/>
          <w:lang w:val="en-US"/>
        </w:rPr>
        <w:t xml:space="preserve"> JIM, </w:t>
      </w:r>
      <w:proofErr w:type="spellStart"/>
      <w:r w:rsidR="004179A4" w:rsidRPr="00E51A80">
        <w:rPr>
          <w:rFonts w:ascii="Book Antiqua" w:hAnsi="Book Antiqua"/>
          <w:sz w:val="20"/>
          <w:szCs w:val="20"/>
          <w:lang w:val="en-US"/>
        </w:rPr>
        <w:t>Martínez</w:t>
      </w:r>
      <w:proofErr w:type="spellEnd"/>
      <w:r w:rsidR="004179A4" w:rsidRPr="00E51A80">
        <w:rPr>
          <w:rFonts w:ascii="Book Antiqua" w:hAnsi="Book Antiqua"/>
          <w:sz w:val="20"/>
          <w:szCs w:val="20"/>
          <w:lang w:val="en-US"/>
        </w:rPr>
        <w:t xml:space="preserve"> JM, </w:t>
      </w:r>
      <w:proofErr w:type="spellStart"/>
      <w:r w:rsidR="004179A4" w:rsidRPr="00E51A80">
        <w:rPr>
          <w:rFonts w:ascii="Book Antiqua" w:hAnsi="Book Antiqua"/>
          <w:sz w:val="20"/>
          <w:szCs w:val="20"/>
          <w:lang w:val="en-US"/>
        </w:rPr>
        <w:t>Gárate</w:t>
      </w:r>
      <w:proofErr w:type="spellEnd"/>
      <w:r w:rsidR="004179A4" w:rsidRPr="00E51A80">
        <w:rPr>
          <w:rFonts w:ascii="Book Antiqua" w:hAnsi="Book Antiqua"/>
          <w:sz w:val="20"/>
          <w:szCs w:val="20"/>
          <w:lang w:val="en-US"/>
        </w:rPr>
        <w:t xml:space="preserve"> CO, Salas NR, Sánchez JS. </w:t>
      </w:r>
      <w:proofErr w:type="spellStart"/>
      <w:proofErr w:type="gramStart"/>
      <w:r w:rsidRPr="00E51A80">
        <w:rPr>
          <w:rFonts w:ascii="Book Antiqua" w:hAnsi="Book Antiqua"/>
          <w:sz w:val="20"/>
          <w:szCs w:val="20"/>
          <w:lang w:val="en-US"/>
        </w:rPr>
        <w:t>Guía</w:t>
      </w:r>
      <w:proofErr w:type="spellEnd"/>
      <w:r w:rsidRPr="00E51A80">
        <w:rPr>
          <w:rFonts w:ascii="Book Antiqua" w:hAnsi="Book Antiqua"/>
          <w:sz w:val="20"/>
          <w:szCs w:val="20"/>
          <w:lang w:val="en-US"/>
        </w:rPr>
        <w:t xml:space="preserve"> </w:t>
      </w:r>
      <w:proofErr w:type="spellStart"/>
      <w:r w:rsidRPr="00E51A80">
        <w:rPr>
          <w:rFonts w:ascii="Book Antiqua" w:hAnsi="Book Antiqua"/>
          <w:sz w:val="20"/>
          <w:szCs w:val="20"/>
          <w:lang w:val="en-US"/>
        </w:rPr>
        <w:t>Clínica</w:t>
      </w:r>
      <w:proofErr w:type="spellEnd"/>
      <w:r w:rsidRPr="00E51A80">
        <w:rPr>
          <w:rFonts w:ascii="Book Antiqua" w:hAnsi="Book Antiqua"/>
          <w:sz w:val="20"/>
          <w:szCs w:val="20"/>
          <w:lang w:val="en-US"/>
        </w:rPr>
        <w:t xml:space="preserve"> de </w:t>
      </w:r>
      <w:proofErr w:type="spellStart"/>
      <w:r w:rsidRPr="00E51A80">
        <w:rPr>
          <w:rFonts w:ascii="Book Antiqua" w:hAnsi="Book Antiqua"/>
          <w:sz w:val="20"/>
          <w:szCs w:val="20"/>
          <w:lang w:val="en-US"/>
        </w:rPr>
        <w:t>diagnóstico</w:t>
      </w:r>
      <w:proofErr w:type="spellEnd"/>
      <w:r w:rsidRPr="00E51A80">
        <w:rPr>
          <w:rFonts w:ascii="Book Antiqua" w:hAnsi="Book Antiqua"/>
          <w:sz w:val="20"/>
          <w:szCs w:val="20"/>
          <w:lang w:val="en-US"/>
        </w:rPr>
        <w:t xml:space="preserve"> y </w:t>
      </w:r>
      <w:proofErr w:type="spellStart"/>
      <w:r w:rsidRPr="00E51A80">
        <w:rPr>
          <w:rFonts w:ascii="Book Antiqua" w:hAnsi="Book Antiqua"/>
          <w:sz w:val="20"/>
          <w:szCs w:val="20"/>
          <w:lang w:val="en-US"/>
        </w:rPr>
        <w:t>tratamiento</w:t>
      </w:r>
      <w:proofErr w:type="spellEnd"/>
      <w:r w:rsidRPr="00E51A80">
        <w:rPr>
          <w:rFonts w:ascii="Book Antiqua" w:hAnsi="Book Antiqua"/>
          <w:sz w:val="20"/>
          <w:szCs w:val="20"/>
          <w:lang w:val="en-US"/>
        </w:rPr>
        <w:t xml:space="preserve"> de </w:t>
      </w:r>
      <w:proofErr w:type="spellStart"/>
      <w:r w:rsidRPr="00E51A80">
        <w:rPr>
          <w:rFonts w:ascii="Book Antiqua" w:hAnsi="Book Antiqua"/>
          <w:sz w:val="20"/>
          <w:szCs w:val="20"/>
          <w:lang w:val="en-US"/>
        </w:rPr>
        <w:t>Tumores</w:t>
      </w:r>
      <w:proofErr w:type="spellEnd"/>
      <w:r w:rsidRPr="00E51A80">
        <w:rPr>
          <w:rFonts w:ascii="Book Antiqua" w:hAnsi="Book Antiqua"/>
          <w:sz w:val="20"/>
          <w:szCs w:val="20"/>
          <w:lang w:val="en-US"/>
        </w:rPr>
        <w:t xml:space="preserve"> </w:t>
      </w:r>
      <w:proofErr w:type="spellStart"/>
      <w:r w:rsidRPr="00E51A80">
        <w:rPr>
          <w:rFonts w:ascii="Book Antiqua" w:hAnsi="Book Antiqua"/>
          <w:sz w:val="20"/>
          <w:szCs w:val="20"/>
          <w:lang w:val="en-US"/>
        </w:rPr>
        <w:t>Neuroendocrinos</w:t>
      </w:r>
      <w:bookmarkEnd w:id="86"/>
      <w:proofErr w:type="spellEnd"/>
      <w:r w:rsidRPr="00E51A80">
        <w:rPr>
          <w:rFonts w:ascii="Book Antiqua" w:hAnsi="Book Antiqua"/>
          <w:sz w:val="20"/>
          <w:szCs w:val="20"/>
          <w:lang w:val="en-US"/>
        </w:rPr>
        <w:t>.</w:t>
      </w:r>
      <w:proofErr w:type="gramEnd"/>
      <w:r w:rsidRPr="00E51A80">
        <w:rPr>
          <w:rFonts w:ascii="Book Antiqua" w:hAnsi="Book Antiqua"/>
          <w:b/>
          <w:sz w:val="20"/>
          <w:szCs w:val="20"/>
          <w:lang w:val="en-US"/>
        </w:rPr>
        <w:t xml:space="preserve"> </w:t>
      </w:r>
      <w:proofErr w:type="spellStart"/>
      <w:r w:rsidR="004179A4" w:rsidRPr="00E51A80">
        <w:rPr>
          <w:rFonts w:ascii="Book Antiqua" w:hAnsi="Book Antiqua"/>
          <w:sz w:val="20"/>
          <w:szCs w:val="20"/>
          <w:lang w:val="en-US"/>
        </w:rPr>
        <w:t>OncoSur</w:t>
      </w:r>
      <w:proofErr w:type="spellEnd"/>
      <w:r w:rsidR="004179A4" w:rsidRPr="00E51A80">
        <w:rPr>
          <w:rFonts w:ascii="Book Antiqua" w:hAnsi="Book Antiqua"/>
          <w:sz w:val="20"/>
          <w:szCs w:val="20"/>
          <w:lang w:val="en-US"/>
        </w:rPr>
        <w:t xml:space="preserve">: </w:t>
      </w:r>
      <w:proofErr w:type="spellStart"/>
      <w:r w:rsidR="004179A4" w:rsidRPr="00E51A80">
        <w:rPr>
          <w:rFonts w:ascii="Book Antiqua" w:hAnsi="Book Antiqua"/>
          <w:sz w:val="20"/>
          <w:szCs w:val="20"/>
          <w:lang w:val="en-US"/>
        </w:rPr>
        <w:t>Grupo</w:t>
      </w:r>
      <w:proofErr w:type="spellEnd"/>
      <w:r w:rsidR="004179A4" w:rsidRPr="00E51A80">
        <w:rPr>
          <w:rFonts w:ascii="Book Antiqua" w:hAnsi="Book Antiqua"/>
          <w:sz w:val="20"/>
          <w:szCs w:val="20"/>
          <w:lang w:val="en-US"/>
        </w:rPr>
        <w:t xml:space="preserve"> de </w:t>
      </w:r>
      <w:proofErr w:type="spellStart"/>
      <w:r w:rsidR="004179A4" w:rsidRPr="00E51A80">
        <w:rPr>
          <w:rFonts w:ascii="Book Antiqua" w:hAnsi="Book Antiqua"/>
          <w:sz w:val="20"/>
          <w:szCs w:val="20"/>
          <w:lang w:val="en-US"/>
        </w:rPr>
        <w:t>trabajo</w:t>
      </w:r>
      <w:proofErr w:type="spellEnd"/>
      <w:r w:rsidR="004179A4" w:rsidRPr="00E51A80">
        <w:rPr>
          <w:rFonts w:ascii="Book Antiqua" w:hAnsi="Book Antiqua"/>
          <w:sz w:val="20"/>
          <w:szCs w:val="20"/>
          <w:lang w:val="en-US"/>
        </w:rPr>
        <w:t xml:space="preserve"> </w:t>
      </w:r>
      <w:proofErr w:type="spellStart"/>
      <w:r w:rsidR="004179A4" w:rsidRPr="00E51A80">
        <w:rPr>
          <w:rFonts w:ascii="Book Antiqua" w:hAnsi="Book Antiqua"/>
          <w:sz w:val="20"/>
          <w:szCs w:val="20"/>
          <w:lang w:val="en-US"/>
        </w:rPr>
        <w:t>oncológico</w:t>
      </w:r>
      <w:proofErr w:type="spellEnd"/>
      <w:r w:rsidR="004179A4" w:rsidRPr="00E51A80">
        <w:rPr>
          <w:rFonts w:ascii="Book Antiqua" w:hAnsi="Book Antiqua"/>
          <w:sz w:val="20"/>
          <w:szCs w:val="20"/>
          <w:lang w:val="en-US"/>
        </w:rPr>
        <w:t xml:space="preserve"> de </w:t>
      </w:r>
      <w:proofErr w:type="spellStart"/>
      <w:r w:rsidR="004179A4" w:rsidRPr="00E51A80">
        <w:rPr>
          <w:rFonts w:ascii="Book Antiqua" w:hAnsi="Book Antiqua"/>
          <w:sz w:val="20"/>
          <w:szCs w:val="20"/>
          <w:lang w:val="en-US"/>
        </w:rPr>
        <w:t>centros</w:t>
      </w:r>
      <w:proofErr w:type="spellEnd"/>
      <w:r w:rsidR="004179A4" w:rsidRPr="00E51A80">
        <w:rPr>
          <w:rFonts w:ascii="Book Antiqua" w:hAnsi="Book Antiqua"/>
          <w:sz w:val="20"/>
          <w:szCs w:val="20"/>
          <w:lang w:val="en-US"/>
        </w:rPr>
        <w:t xml:space="preserve"> </w:t>
      </w:r>
      <w:proofErr w:type="spellStart"/>
      <w:r w:rsidR="004179A4" w:rsidRPr="00E51A80">
        <w:rPr>
          <w:rFonts w:ascii="Book Antiqua" w:hAnsi="Book Antiqua"/>
          <w:sz w:val="20"/>
          <w:szCs w:val="20"/>
          <w:lang w:val="en-US"/>
        </w:rPr>
        <w:t>hospitalarios</w:t>
      </w:r>
      <w:proofErr w:type="spellEnd"/>
      <w:r w:rsidR="004179A4" w:rsidRPr="00E51A80">
        <w:rPr>
          <w:rFonts w:ascii="Book Antiqua" w:hAnsi="Book Antiqua"/>
          <w:sz w:val="20"/>
          <w:szCs w:val="20"/>
          <w:lang w:val="en-US"/>
        </w:rPr>
        <w:t xml:space="preserve"> </w:t>
      </w:r>
      <w:proofErr w:type="gramStart"/>
      <w:r w:rsidR="004179A4" w:rsidRPr="00E51A80">
        <w:rPr>
          <w:rFonts w:ascii="Book Antiqua" w:hAnsi="Book Antiqua"/>
          <w:sz w:val="20"/>
          <w:szCs w:val="20"/>
          <w:lang w:val="en-US"/>
        </w:rPr>
        <w:t>del</w:t>
      </w:r>
      <w:proofErr w:type="gramEnd"/>
      <w:r w:rsidR="004179A4" w:rsidRPr="00E51A80">
        <w:rPr>
          <w:rFonts w:ascii="Book Antiqua" w:hAnsi="Book Antiqua"/>
          <w:sz w:val="20"/>
          <w:szCs w:val="20"/>
          <w:lang w:val="en-US"/>
        </w:rPr>
        <w:t xml:space="preserve"> </w:t>
      </w:r>
      <w:proofErr w:type="spellStart"/>
      <w:r w:rsidR="004179A4" w:rsidRPr="00E51A80">
        <w:rPr>
          <w:rFonts w:ascii="Book Antiqua" w:hAnsi="Book Antiqua"/>
          <w:sz w:val="20"/>
          <w:szCs w:val="20"/>
          <w:lang w:val="en-US"/>
        </w:rPr>
        <w:t>sur</w:t>
      </w:r>
      <w:proofErr w:type="spellEnd"/>
      <w:r w:rsidR="004179A4" w:rsidRPr="00E51A80">
        <w:rPr>
          <w:rFonts w:ascii="Book Antiqua" w:hAnsi="Book Antiqua"/>
          <w:sz w:val="20"/>
          <w:szCs w:val="20"/>
          <w:lang w:val="en-US"/>
        </w:rPr>
        <w:t xml:space="preserve"> de Madrid </w:t>
      </w:r>
      <w:r w:rsidR="00677C3F" w:rsidRPr="00E51A80">
        <w:rPr>
          <w:rFonts w:ascii="Book Antiqua" w:hAnsi="Book Antiqua"/>
          <w:sz w:val="20"/>
          <w:szCs w:val="20"/>
          <w:lang w:val="en-US"/>
        </w:rPr>
        <w:t>2011</w:t>
      </w:r>
      <w:r w:rsidR="004179A4" w:rsidRPr="00E51A80">
        <w:rPr>
          <w:rFonts w:ascii="Book Antiqua" w:hAnsi="Book Antiqua"/>
          <w:sz w:val="20"/>
          <w:szCs w:val="20"/>
          <w:lang w:val="en-US"/>
        </w:rPr>
        <w:t>.</w:t>
      </w:r>
      <w:r w:rsidR="00677C3F" w:rsidRPr="00E51A80">
        <w:rPr>
          <w:rFonts w:ascii="Book Antiqua" w:hAnsi="Book Antiqua"/>
          <w:bCs/>
          <w:color w:val="000000"/>
          <w:sz w:val="20"/>
          <w:szCs w:val="20"/>
          <w:lang w:val="en-US"/>
        </w:rPr>
        <w:t xml:space="preserve"> </w:t>
      </w:r>
      <w:bookmarkStart w:id="88" w:name="OLE_LINK31"/>
      <w:r w:rsidR="00677C3F" w:rsidRPr="00E51A80">
        <w:rPr>
          <w:rFonts w:ascii="Book Antiqua" w:hAnsi="Book Antiqua"/>
          <w:bCs/>
          <w:color w:val="000000"/>
          <w:sz w:val="20"/>
          <w:szCs w:val="20"/>
          <w:lang w:val="en-US"/>
        </w:rPr>
        <w:t>Available from:</w:t>
      </w:r>
      <w:bookmarkEnd w:id="88"/>
      <w:r w:rsidR="00677C3F" w:rsidRPr="00E51A80">
        <w:rPr>
          <w:rFonts w:ascii="Book Antiqua" w:hAnsi="Book Antiqua"/>
          <w:bCs/>
          <w:color w:val="000000"/>
          <w:sz w:val="20"/>
          <w:szCs w:val="20"/>
          <w:lang w:val="en-US"/>
        </w:rPr>
        <w:t xml:space="preserve"> https://cn.bing.com/search?q=Gu%C3%ADa+Cl%C3%ADnica+de+diagn%C3%B3stico+y+tratamiento+de+Tumores+Neuroendocrinos+2011&amp;qs=n&amp;form=QBRE&amp;sp=-1&amp;pq=&amp;sc=8-0&amp;sk=&amp;cvid=DAC32997F9B64DFDBB72937861673A69</w:t>
      </w:r>
    </w:p>
    <w:bookmarkEnd w:id="87"/>
    <w:p w:rsidR="00DA60B5" w:rsidRPr="00E51A80" w:rsidRDefault="00DA60B5"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t xml:space="preserve">2 </w:t>
      </w:r>
      <w:r w:rsidRPr="00E51A80">
        <w:rPr>
          <w:rFonts w:ascii="Book Antiqua" w:hAnsi="Book Antiqua"/>
          <w:b/>
          <w:sz w:val="20"/>
          <w:szCs w:val="20"/>
          <w:lang w:val="en-US"/>
        </w:rPr>
        <w:t>Yao JC</w:t>
      </w:r>
      <w:r w:rsidRPr="00E51A80">
        <w:rPr>
          <w:rFonts w:ascii="Book Antiqua" w:hAnsi="Book Antiqua"/>
          <w:sz w:val="20"/>
          <w:szCs w:val="20"/>
          <w:lang w:val="en-US"/>
        </w:rPr>
        <w:t xml:space="preserve">, Hassan M, </w:t>
      </w:r>
      <w:proofErr w:type="spellStart"/>
      <w:r w:rsidRPr="00E51A80">
        <w:rPr>
          <w:rFonts w:ascii="Book Antiqua" w:hAnsi="Book Antiqua"/>
          <w:sz w:val="20"/>
          <w:szCs w:val="20"/>
          <w:lang w:val="en-US"/>
        </w:rPr>
        <w:t>Phan</w:t>
      </w:r>
      <w:proofErr w:type="spellEnd"/>
      <w:r w:rsidRPr="00E51A80">
        <w:rPr>
          <w:rFonts w:ascii="Book Antiqua" w:hAnsi="Book Antiqua"/>
          <w:sz w:val="20"/>
          <w:szCs w:val="20"/>
          <w:lang w:val="en-US"/>
        </w:rPr>
        <w:t xml:space="preserve"> A, </w:t>
      </w:r>
      <w:proofErr w:type="spellStart"/>
      <w:r w:rsidRPr="00E51A80">
        <w:rPr>
          <w:rFonts w:ascii="Book Antiqua" w:hAnsi="Book Antiqua"/>
          <w:sz w:val="20"/>
          <w:szCs w:val="20"/>
          <w:lang w:val="en-US"/>
        </w:rPr>
        <w:t>Dagohoy</w:t>
      </w:r>
      <w:proofErr w:type="spellEnd"/>
      <w:r w:rsidRPr="00E51A80">
        <w:rPr>
          <w:rFonts w:ascii="Book Antiqua" w:hAnsi="Book Antiqua"/>
          <w:sz w:val="20"/>
          <w:szCs w:val="20"/>
          <w:lang w:val="en-US"/>
        </w:rPr>
        <w:t xml:space="preserve"> C, Leary C, Mares JE, </w:t>
      </w:r>
      <w:proofErr w:type="spellStart"/>
      <w:r w:rsidRPr="00E51A80">
        <w:rPr>
          <w:rFonts w:ascii="Book Antiqua" w:hAnsi="Book Antiqua"/>
          <w:sz w:val="20"/>
          <w:szCs w:val="20"/>
          <w:lang w:val="en-US"/>
        </w:rPr>
        <w:t>Abdalla</w:t>
      </w:r>
      <w:proofErr w:type="spellEnd"/>
      <w:r w:rsidRPr="00E51A80">
        <w:rPr>
          <w:rFonts w:ascii="Book Antiqua" w:hAnsi="Book Antiqua"/>
          <w:sz w:val="20"/>
          <w:szCs w:val="20"/>
          <w:lang w:val="en-US"/>
        </w:rPr>
        <w:t xml:space="preserve"> EK, Fleming JB, </w:t>
      </w:r>
      <w:proofErr w:type="spellStart"/>
      <w:r w:rsidRPr="00E51A80">
        <w:rPr>
          <w:rFonts w:ascii="Book Antiqua" w:hAnsi="Book Antiqua"/>
          <w:sz w:val="20"/>
          <w:szCs w:val="20"/>
          <w:lang w:val="en-US"/>
        </w:rPr>
        <w:t>Vauthey</w:t>
      </w:r>
      <w:proofErr w:type="spellEnd"/>
      <w:r w:rsidRPr="00E51A80">
        <w:rPr>
          <w:rFonts w:ascii="Book Antiqua" w:hAnsi="Book Antiqua"/>
          <w:sz w:val="20"/>
          <w:szCs w:val="20"/>
          <w:lang w:val="en-US"/>
        </w:rPr>
        <w:t xml:space="preserve"> JN, Rashid A, Evans DB. One hundred years after "carcinoid": epidemiology of and prognostic factors for neuroendocrine tumors in 35,825 cases in the United States. </w:t>
      </w:r>
      <w:r w:rsidRPr="00E51A80">
        <w:rPr>
          <w:rFonts w:ascii="Book Antiqua" w:hAnsi="Book Antiqua"/>
          <w:i/>
          <w:sz w:val="20"/>
          <w:szCs w:val="20"/>
          <w:lang w:val="en-US"/>
        </w:rPr>
        <w:t xml:space="preserve">J </w:t>
      </w:r>
      <w:proofErr w:type="spellStart"/>
      <w:r w:rsidRPr="00E51A80">
        <w:rPr>
          <w:rFonts w:ascii="Book Antiqua" w:hAnsi="Book Antiqua"/>
          <w:i/>
          <w:sz w:val="20"/>
          <w:szCs w:val="20"/>
          <w:lang w:val="en-US"/>
        </w:rPr>
        <w:t>Clin</w:t>
      </w:r>
      <w:proofErr w:type="spellEnd"/>
      <w:r w:rsidRPr="00E51A80">
        <w:rPr>
          <w:rFonts w:ascii="Book Antiqua" w:hAnsi="Book Antiqua"/>
          <w:i/>
          <w:sz w:val="20"/>
          <w:szCs w:val="20"/>
          <w:lang w:val="en-US"/>
        </w:rPr>
        <w:t xml:space="preserve"> </w:t>
      </w:r>
      <w:proofErr w:type="spellStart"/>
      <w:r w:rsidRPr="00E51A80">
        <w:rPr>
          <w:rFonts w:ascii="Book Antiqua" w:hAnsi="Book Antiqua"/>
          <w:i/>
          <w:sz w:val="20"/>
          <w:szCs w:val="20"/>
          <w:lang w:val="en-US"/>
        </w:rPr>
        <w:t>Oncol</w:t>
      </w:r>
      <w:proofErr w:type="spellEnd"/>
      <w:r w:rsidRPr="00E51A80">
        <w:rPr>
          <w:rFonts w:ascii="Book Antiqua" w:hAnsi="Book Antiqua"/>
          <w:sz w:val="20"/>
          <w:szCs w:val="20"/>
          <w:lang w:val="en-US"/>
        </w:rPr>
        <w:t xml:space="preserve"> 2008; </w:t>
      </w:r>
      <w:r w:rsidRPr="00E51A80">
        <w:rPr>
          <w:rFonts w:ascii="Book Antiqua" w:hAnsi="Book Antiqua"/>
          <w:b/>
          <w:sz w:val="20"/>
          <w:szCs w:val="20"/>
          <w:lang w:val="en-US"/>
        </w:rPr>
        <w:t>26</w:t>
      </w:r>
      <w:r w:rsidRPr="00E51A80">
        <w:rPr>
          <w:rFonts w:ascii="Book Antiqua" w:hAnsi="Book Antiqua"/>
          <w:sz w:val="20"/>
          <w:szCs w:val="20"/>
          <w:lang w:val="en-US"/>
        </w:rPr>
        <w:t>: 3063-3072 [PMID: 18565894 DOI: 10.1200/JCO.2007.15.4377]</w:t>
      </w:r>
    </w:p>
    <w:p w:rsidR="002405DE" w:rsidRPr="00E51A80" w:rsidRDefault="00DA60B5"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lastRenderedPageBreak/>
        <w:t>3</w:t>
      </w:r>
      <w:r w:rsidR="002405DE" w:rsidRPr="00E51A80">
        <w:rPr>
          <w:rFonts w:ascii="Book Antiqua" w:hAnsi="Book Antiqua"/>
          <w:sz w:val="20"/>
          <w:szCs w:val="20"/>
          <w:lang w:val="en-US"/>
        </w:rPr>
        <w:t xml:space="preserve"> </w:t>
      </w:r>
      <w:r w:rsidR="002405DE" w:rsidRPr="00E51A80">
        <w:rPr>
          <w:rFonts w:ascii="Book Antiqua" w:hAnsi="Book Antiqua"/>
          <w:b/>
          <w:sz w:val="20"/>
          <w:szCs w:val="20"/>
          <w:lang w:val="en-US"/>
        </w:rPr>
        <w:t>Garcia-</w:t>
      </w:r>
      <w:proofErr w:type="spellStart"/>
      <w:r w:rsidR="002405DE" w:rsidRPr="00E51A80">
        <w:rPr>
          <w:rFonts w:ascii="Book Antiqua" w:hAnsi="Book Antiqua"/>
          <w:b/>
          <w:sz w:val="20"/>
          <w:szCs w:val="20"/>
          <w:lang w:val="en-US"/>
        </w:rPr>
        <w:t>Carbonero</w:t>
      </w:r>
      <w:proofErr w:type="spellEnd"/>
      <w:r w:rsidR="002405DE" w:rsidRPr="00E51A80">
        <w:rPr>
          <w:rFonts w:ascii="Book Antiqua" w:hAnsi="Book Antiqua"/>
          <w:b/>
          <w:sz w:val="20"/>
          <w:szCs w:val="20"/>
          <w:lang w:val="en-US"/>
        </w:rPr>
        <w:t xml:space="preserve"> R</w:t>
      </w:r>
      <w:r w:rsidR="002405DE" w:rsidRPr="00E51A80">
        <w:rPr>
          <w:rFonts w:ascii="Book Antiqua" w:hAnsi="Book Antiqua"/>
          <w:sz w:val="20"/>
          <w:szCs w:val="20"/>
          <w:lang w:val="en-US"/>
        </w:rPr>
        <w:t xml:space="preserve">, </w:t>
      </w:r>
      <w:proofErr w:type="spellStart"/>
      <w:r w:rsidR="002405DE" w:rsidRPr="00E51A80">
        <w:rPr>
          <w:rFonts w:ascii="Book Antiqua" w:hAnsi="Book Antiqua"/>
          <w:sz w:val="20"/>
          <w:szCs w:val="20"/>
          <w:lang w:val="en-US"/>
        </w:rPr>
        <w:t>Capdevila</w:t>
      </w:r>
      <w:proofErr w:type="spellEnd"/>
      <w:r w:rsidR="002405DE" w:rsidRPr="00E51A80">
        <w:rPr>
          <w:rFonts w:ascii="Book Antiqua" w:hAnsi="Book Antiqua"/>
          <w:sz w:val="20"/>
          <w:szCs w:val="20"/>
          <w:lang w:val="en-US"/>
        </w:rPr>
        <w:t xml:space="preserve"> J, </w:t>
      </w:r>
      <w:proofErr w:type="spellStart"/>
      <w:r w:rsidR="002405DE" w:rsidRPr="00E51A80">
        <w:rPr>
          <w:rFonts w:ascii="Book Antiqua" w:hAnsi="Book Antiqua"/>
          <w:sz w:val="20"/>
          <w:szCs w:val="20"/>
          <w:lang w:val="en-US"/>
        </w:rPr>
        <w:t>Crespo-Herrero</w:t>
      </w:r>
      <w:proofErr w:type="spellEnd"/>
      <w:r w:rsidR="002405DE" w:rsidRPr="00E51A80">
        <w:rPr>
          <w:rFonts w:ascii="Book Antiqua" w:hAnsi="Book Antiqua"/>
          <w:sz w:val="20"/>
          <w:szCs w:val="20"/>
          <w:lang w:val="en-US"/>
        </w:rPr>
        <w:t xml:space="preserve"> G, </w:t>
      </w:r>
      <w:proofErr w:type="spellStart"/>
      <w:r w:rsidR="002405DE" w:rsidRPr="00E51A80">
        <w:rPr>
          <w:rFonts w:ascii="Book Antiqua" w:hAnsi="Book Antiqua"/>
          <w:sz w:val="20"/>
          <w:szCs w:val="20"/>
          <w:lang w:val="en-US"/>
        </w:rPr>
        <w:t>Díaz</w:t>
      </w:r>
      <w:proofErr w:type="spellEnd"/>
      <w:r w:rsidR="002405DE" w:rsidRPr="00E51A80">
        <w:rPr>
          <w:rFonts w:ascii="Book Antiqua" w:hAnsi="Book Antiqua"/>
          <w:sz w:val="20"/>
          <w:szCs w:val="20"/>
          <w:lang w:val="en-US"/>
        </w:rPr>
        <w:t xml:space="preserve">-Pérez JA, </w:t>
      </w:r>
      <w:proofErr w:type="spellStart"/>
      <w:r w:rsidR="002405DE" w:rsidRPr="00E51A80">
        <w:rPr>
          <w:rFonts w:ascii="Book Antiqua" w:hAnsi="Book Antiqua"/>
          <w:sz w:val="20"/>
          <w:szCs w:val="20"/>
          <w:lang w:val="en-US"/>
        </w:rPr>
        <w:t>Martínez</w:t>
      </w:r>
      <w:proofErr w:type="spellEnd"/>
      <w:r w:rsidR="002405DE" w:rsidRPr="00E51A80">
        <w:rPr>
          <w:rFonts w:ascii="Book Antiqua" w:hAnsi="Book Antiqua"/>
          <w:sz w:val="20"/>
          <w:szCs w:val="20"/>
          <w:lang w:val="en-US"/>
        </w:rPr>
        <w:t xml:space="preserve"> Del Prado MP, Alonso </w:t>
      </w:r>
      <w:proofErr w:type="spellStart"/>
      <w:r w:rsidR="002405DE" w:rsidRPr="00E51A80">
        <w:rPr>
          <w:rFonts w:ascii="Book Antiqua" w:hAnsi="Book Antiqua"/>
          <w:sz w:val="20"/>
          <w:szCs w:val="20"/>
          <w:lang w:val="en-US"/>
        </w:rPr>
        <w:t>Orduña</w:t>
      </w:r>
      <w:proofErr w:type="spellEnd"/>
      <w:r w:rsidR="002405DE" w:rsidRPr="00E51A80">
        <w:rPr>
          <w:rFonts w:ascii="Book Antiqua" w:hAnsi="Book Antiqua"/>
          <w:sz w:val="20"/>
          <w:szCs w:val="20"/>
          <w:lang w:val="en-US"/>
        </w:rPr>
        <w:t xml:space="preserve"> V, </w:t>
      </w:r>
      <w:proofErr w:type="spellStart"/>
      <w:r w:rsidR="002405DE" w:rsidRPr="00E51A80">
        <w:rPr>
          <w:rFonts w:ascii="Book Antiqua" w:hAnsi="Book Antiqua"/>
          <w:sz w:val="20"/>
          <w:szCs w:val="20"/>
          <w:lang w:val="en-US"/>
        </w:rPr>
        <w:t>Sevilla-García</w:t>
      </w:r>
      <w:proofErr w:type="spellEnd"/>
      <w:r w:rsidR="002405DE" w:rsidRPr="00E51A80">
        <w:rPr>
          <w:rFonts w:ascii="Book Antiqua" w:hAnsi="Book Antiqua"/>
          <w:sz w:val="20"/>
          <w:szCs w:val="20"/>
          <w:lang w:val="en-US"/>
        </w:rPr>
        <w:t xml:space="preserve"> I, </w:t>
      </w:r>
      <w:proofErr w:type="spellStart"/>
      <w:r w:rsidR="002405DE" w:rsidRPr="00E51A80">
        <w:rPr>
          <w:rFonts w:ascii="Book Antiqua" w:hAnsi="Book Antiqua"/>
          <w:sz w:val="20"/>
          <w:szCs w:val="20"/>
          <w:lang w:val="en-US"/>
        </w:rPr>
        <w:t>Villabona-Artero</w:t>
      </w:r>
      <w:proofErr w:type="spellEnd"/>
      <w:r w:rsidR="002405DE" w:rsidRPr="00E51A80">
        <w:rPr>
          <w:rFonts w:ascii="Book Antiqua" w:hAnsi="Book Antiqua"/>
          <w:sz w:val="20"/>
          <w:szCs w:val="20"/>
          <w:lang w:val="en-US"/>
        </w:rPr>
        <w:t xml:space="preserve"> C, </w:t>
      </w:r>
      <w:proofErr w:type="spellStart"/>
      <w:r w:rsidR="002405DE" w:rsidRPr="00E51A80">
        <w:rPr>
          <w:rFonts w:ascii="Book Antiqua" w:hAnsi="Book Antiqua"/>
          <w:sz w:val="20"/>
          <w:szCs w:val="20"/>
          <w:lang w:val="en-US"/>
        </w:rPr>
        <w:t>Beguiristain</w:t>
      </w:r>
      <w:proofErr w:type="spellEnd"/>
      <w:r w:rsidR="002405DE" w:rsidRPr="00E51A80">
        <w:rPr>
          <w:rFonts w:ascii="Book Antiqua" w:hAnsi="Book Antiqua"/>
          <w:sz w:val="20"/>
          <w:szCs w:val="20"/>
          <w:lang w:val="en-US"/>
        </w:rPr>
        <w:t xml:space="preserve">-Gómez A, Llanos-Muñoz M, </w:t>
      </w:r>
      <w:proofErr w:type="spellStart"/>
      <w:r w:rsidR="002405DE" w:rsidRPr="00E51A80">
        <w:rPr>
          <w:rFonts w:ascii="Book Antiqua" w:hAnsi="Book Antiqua"/>
          <w:sz w:val="20"/>
          <w:szCs w:val="20"/>
          <w:lang w:val="en-US"/>
        </w:rPr>
        <w:t>Marazuela</w:t>
      </w:r>
      <w:proofErr w:type="spellEnd"/>
      <w:r w:rsidR="002405DE" w:rsidRPr="00E51A80">
        <w:rPr>
          <w:rFonts w:ascii="Book Antiqua" w:hAnsi="Book Antiqua"/>
          <w:sz w:val="20"/>
          <w:szCs w:val="20"/>
          <w:lang w:val="en-US"/>
        </w:rPr>
        <w:t xml:space="preserve"> M, Alvarez-</w:t>
      </w:r>
      <w:proofErr w:type="spellStart"/>
      <w:r w:rsidR="002405DE" w:rsidRPr="00E51A80">
        <w:rPr>
          <w:rFonts w:ascii="Book Antiqua" w:hAnsi="Book Antiqua"/>
          <w:sz w:val="20"/>
          <w:szCs w:val="20"/>
          <w:lang w:val="en-US"/>
        </w:rPr>
        <w:t>Escola</w:t>
      </w:r>
      <w:proofErr w:type="spellEnd"/>
      <w:r w:rsidR="002405DE" w:rsidRPr="00E51A80">
        <w:rPr>
          <w:rFonts w:ascii="Book Antiqua" w:hAnsi="Book Antiqua"/>
          <w:sz w:val="20"/>
          <w:szCs w:val="20"/>
          <w:lang w:val="en-US"/>
        </w:rPr>
        <w:t xml:space="preserve"> C, </w:t>
      </w:r>
      <w:proofErr w:type="spellStart"/>
      <w:r w:rsidR="002405DE" w:rsidRPr="00E51A80">
        <w:rPr>
          <w:rFonts w:ascii="Book Antiqua" w:hAnsi="Book Antiqua"/>
          <w:sz w:val="20"/>
          <w:szCs w:val="20"/>
          <w:lang w:val="en-US"/>
        </w:rPr>
        <w:t>Castellano</w:t>
      </w:r>
      <w:proofErr w:type="spellEnd"/>
      <w:r w:rsidR="002405DE" w:rsidRPr="00E51A80">
        <w:rPr>
          <w:rFonts w:ascii="Book Antiqua" w:hAnsi="Book Antiqua"/>
          <w:sz w:val="20"/>
          <w:szCs w:val="20"/>
          <w:lang w:val="en-US"/>
        </w:rPr>
        <w:t xml:space="preserve"> D, </w:t>
      </w:r>
      <w:proofErr w:type="spellStart"/>
      <w:r w:rsidR="002405DE" w:rsidRPr="00E51A80">
        <w:rPr>
          <w:rFonts w:ascii="Book Antiqua" w:hAnsi="Book Antiqua"/>
          <w:sz w:val="20"/>
          <w:szCs w:val="20"/>
          <w:lang w:val="en-US"/>
        </w:rPr>
        <w:t>Vilar</w:t>
      </w:r>
      <w:proofErr w:type="spellEnd"/>
      <w:r w:rsidR="002405DE" w:rsidRPr="00E51A80">
        <w:rPr>
          <w:rFonts w:ascii="Book Antiqua" w:hAnsi="Book Antiqua"/>
          <w:sz w:val="20"/>
          <w:szCs w:val="20"/>
          <w:lang w:val="en-US"/>
        </w:rPr>
        <w:t xml:space="preserve"> E, Jiménez-Fonseca P, </w:t>
      </w:r>
      <w:proofErr w:type="spellStart"/>
      <w:r w:rsidR="002405DE" w:rsidRPr="00E51A80">
        <w:rPr>
          <w:rFonts w:ascii="Book Antiqua" w:hAnsi="Book Antiqua"/>
          <w:sz w:val="20"/>
          <w:szCs w:val="20"/>
          <w:lang w:val="en-US"/>
        </w:rPr>
        <w:t>Teulé</w:t>
      </w:r>
      <w:proofErr w:type="spellEnd"/>
      <w:r w:rsidR="002405DE" w:rsidRPr="00E51A80">
        <w:rPr>
          <w:rFonts w:ascii="Book Antiqua" w:hAnsi="Book Antiqua"/>
          <w:sz w:val="20"/>
          <w:szCs w:val="20"/>
          <w:lang w:val="en-US"/>
        </w:rPr>
        <w:t xml:space="preserve"> A, </w:t>
      </w:r>
      <w:proofErr w:type="spellStart"/>
      <w:r w:rsidR="002405DE" w:rsidRPr="00E51A80">
        <w:rPr>
          <w:rFonts w:ascii="Book Antiqua" w:hAnsi="Book Antiqua"/>
          <w:sz w:val="20"/>
          <w:szCs w:val="20"/>
          <w:lang w:val="en-US"/>
        </w:rPr>
        <w:t>Sastre</w:t>
      </w:r>
      <w:proofErr w:type="spellEnd"/>
      <w:r w:rsidR="002405DE" w:rsidRPr="00E51A80">
        <w:rPr>
          <w:rFonts w:ascii="Book Antiqua" w:hAnsi="Book Antiqua"/>
          <w:sz w:val="20"/>
          <w:szCs w:val="20"/>
          <w:lang w:val="en-US"/>
        </w:rPr>
        <w:t xml:space="preserve">-Valera J, </w:t>
      </w:r>
      <w:proofErr w:type="spellStart"/>
      <w:r w:rsidR="002405DE" w:rsidRPr="00E51A80">
        <w:rPr>
          <w:rFonts w:ascii="Book Antiqua" w:hAnsi="Book Antiqua"/>
          <w:sz w:val="20"/>
          <w:szCs w:val="20"/>
          <w:lang w:val="en-US"/>
        </w:rPr>
        <w:t>Benavent-Viñuelas</w:t>
      </w:r>
      <w:proofErr w:type="spellEnd"/>
      <w:r w:rsidR="002405DE" w:rsidRPr="00E51A80">
        <w:rPr>
          <w:rFonts w:ascii="Book Antiqua" w:hAnsi="Book Antiqua"/>
          <w:sz w:val="20"/>
          <w:szCs w:val="20"/>
          <w:lang w:val="en-US"/>
        </w:rPr>
        <w:t xml:space="preserve"> M, </w:t>
      </w:r>
      <w:proofErr w:type="spellStart"/>
      <w:r w:rsidR="002405DE" w:rsidRPr="00E51A80">
        <w:rPr>
          <w:rFonts w:ascii="Book Antiqua" w:hAnsi="Book Antiqua"/>
          <w:sz w:val="20"/>
          <w:szCs w:val="20"/>
          <w:lang w:val="en-US"/>
        </w:rPr>
        <w:t>Monleon</w:t>
      </w:r>
      <w:proofErr w:type="spellEnd"/>
      <w:r w:rsidR="002405DE" w:rsidRPr="00E51A80">
        <w:rPr>
          <w:rFonts w:ascii="Book Antiqua" w:hAnsi="Book Antiqua"/>
          <w:sz w:val="20"/>
          <w:szCs w:val="20"/>
          <w:lang w:val="en-US"/>
        </w:rPr>
        <w:t xml:space="preserve"> A, Salazar R. Incidence, patterns of care and prognostic factors for outcome of </w:t>
      </w:r>
      <w:proofErr w:type="spellStart"/>
      <w:r w:rsidR="002405DE" w:rsidRPr="00E51A80">
        <w:rPr>
          <w:rFonts w:ascii="Book Antiqua" w:hAnsi="Book Antiqua"/>
          <w:sz w:val="20"/>
          <w:szCs w:val="20"/>
          <w:lang w:val="en-US"/>
        </w:rPr>
        <w:t>gastroenteropancreatic</w:t>
      </w:r>
      <w:proofErr w:type="spellEnd"/>
      <w:r w:rsidR="002405DE" w:rsidRPr="00E51A80">
        <w:rPr>
          <w:rFonts w:ascii="Book Antiqua" w:hAnsi="Book Antiqua"/>
          <w:sz w:val="20"/>
          <w:szCs w:val="20"/>
          <w:lang w:val="en-US"/>
        </w:rPr>
        <w:t xml:space="preserve"> neuroendocrine tumors (GEP-NETs): results from the National Cancer Registry of Spain (RGETNE). </w:t>
      </w:r>
      <w:r w:rsidR="002405DE" w:rsidRPr="00E51A80">
        <w:rPr>
          <w:rFonts w:ascii="Book Antiqua" w:hAnsi="Book Antiqua"/>
          <w:i/>
          <w:sz w:val="20"/>
          <w:szCs w:val="20"/>
          <w:lang w:val="en-US"/>
        </w:rPr>
        <w:t xml:space="preserve">Ann </w:t>
      </w:r>
      <w:proofErr w:type="spellStart"/>
      <w:r w:rsidR="002405DE" w:rsidRPr="00E51A80">
        <w:rPr>
          <w:rFonts w:ascii="Book Antiqua" w:hAnsi="Book Antiqua"/>
          <w:i/>
          <w:sz w:val="20"/>
          <w:szCs w:val="20"/>
          <w:lang w:val="en-US"/>
        </w:rPr>
        <w:t>Oncol</w:t>
      </w:r>
      <w:proofErr w:type="spellEnd"/>
      <w:r w:rsidR="002405DE" w:rsidRPr="00E51A80">
        <w:rPr>
          <w:rFonts w:ascii="Book Antiqua" w:hAnsi="Book Antiqua"/>
          <w:sz w:val="20"/>
          <w:szCs w:val="20"/>
          <w:lang w:val="en-US"/>
        </w:rPr>
        <w:t xml:space="preserve"> 2010; </w:t>
      </w:r>
      <w:r w:rsidR="002405DE" w:rsidRPr="00E51A80">
        <w:rPr>
          <w:rFonts w:ascii="Book Antiqua" w:hAnsi="Book Antiqua"/>
          <w:b/>
          <w:sz w:val="20"/>
          <w:szCs w:val="20"/>
          <w:lang w:val="en-US"/>
        </w:rPr>
        <w:t>21</w:t>
      </w:r>
      <w:r w:rsidR="002405DE" w:rsidRPr="00E51A80">
        <w:rPr>
          <w:rFonts w:ascii="Book Antiqua" w:hAnsi="Book Antiqua"/>
          <w:sz w:val="20"/>
          <w:szCs w:val="20"/>
          <w:lang w:val="en-US"/>
        </w:rPr>
        <w:t>: 1794-1803 [PMID: 20139156 DOI: 10.1093/</w:t>
      </w:r>
      <w:proofErr w:type="spellStart"/>
      <w:r w:rsidR="002405DE" w:rsidRPr="00E51A80">
        <w:rPr>
          <w:rFonts w:ascii="Book Antiqua" w:hAnsi="Book Antiqua"/>
          <w:sz w:val="20"/>
          <w:szCs w:val="20"/>
          <w:lang w:val="en-US"/>
        </w:rPr>
        <w:t>annonc</w:t>
      </w:r>
      <w:proofErr w:type="spellEnd"/>
      <w:r w:rsidR="002405DE" w:rsidRPr="00E51A80">
        <w:rPr>
          <w:rFonts w:ascii="Book Antiqua" w:hAnsi="Book Antiqua"/>
          <w:sz w:val="20"/>
          <w:szCs w:val="20"/>
          <w:lang w:val="en-US"/>
        </w:rPr>
        <w:t>/mdq022]</w:t>
      </w:r>
    </w:p>
    <w:p w:rsidR="002405DE" w:rsidRPr="00E51A80" w:rsidRDefault="002405DE"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t xml:space="preserve">4 </w:t>
      </w:r>
      <w:proofErr w:type="spellStart"/>
      <w:r w:rsidRPr="00E51A80">
        <w:rPr>
          <w:rFonts w:ascii="Book Antiqua" w:hAnsi="Book Antiqua"/>
          <w:b/>
          <w:sz w:val="20"/>
          <w:szCs w:val="20"/>
          <w:lang w:val="en-US"/>
        </w:rPr>
        <w:t>Johnbeck</w:t>
      </w:r>
      <w:proofErr w:type="spellEnd"/>
      <w:r w:rsidRPr="00E51A80">
        <w:rPr>
          <w:rFonts w:ascii="Book Antiqua" w:hAnsi="Book Antiqua"/>
          <w:b/>
          <w:sz w:val="20"/>
          <w:szCs w:val="20"/>
          <w:lang w:val="en-US"/>
        </w:rPr>
        <w:t xml:space="preserve"> CB</w:t>
      </w:r>
      <w:r w:rsidRPr="00E51A80">
        <w:rPr>
          <w:rFonts w:ascii="Book Antiqua" w:hAnsi="Book Antiqua"/>
          <w:sz w:val="20"/>
          <w:szCs w:val="20"/>
          <w:lang w:val="en-US"/>
        </w:rPr>
        <w:t xml:space="preserve">, </w:t>
      </w:r>
      <w:proofErr w:type="spellStart"/>
      <w:r w:rsidRPr="00E51A80">
        <w:rPr>
          <w:rFonts w:ascii="Book Antiqua" w:hAnsi="Book Antiqua"/>
          <w:sz w:val="20"/>
          <w:szCs w:val="20"/>
          <w:lang w:val="en-US"/>
        </w:rPr>
        <w:t>Knigge</w:t>
      </w:r>
      <w:proofErr w:type="spellEnd"/>
      <w:r w:rsidRPr="00E51A80">
        <w:rPr>
          <w:rFonts w:ascii="Book Antiqua" w:hAnsi="Book Antiqua"/>
          <w:sz w:val="20"/>
          <w:szCs w:val="20"/>
          <w:lang w:val="en-US"/>
        </w:rPr>
        <w:t xml:space="preserve"> U, </w:t>
      </w:r>
      <w:proofErr w:type="spellStart"/>
      <w:r w:rsidRPr="00E51A80">
        <w:rPr>
          <w:rFonts w:ascii="Book Antiqua" w:hAnsi="Book Antiqua"/>
          <w:sz w:val="20"/>
          <w:szCs w:val="20"/>
          <w:lang w:val="en-US"/>
        </w:rPr>
        <w:t>Kjær</w:t>
      </w:r>
      <w:proofErr w:type="spellEnd"/>
      <w:r w:rsidRPr="00E51A80">
        <w:rPr>
          <w:rFonts w:ascii="Book Antiqua" w:hAnsi="Book Antiqua"/>
          <w:sz w:val="20"/>
          <w:szCs w:val="20"/>
          <w:lang w:val="en-US"/>
        </w:rPr>
        <w:t xml:space="preserve"> A. PET tracers for </w:t>
      </w:r>
      <w:proofErr w:type="spellStart"/>
      <w:r w:rsidRPr="00E51A80">
        <w:rPr>
          <w:rFonts w:ascii="Book Antiqua" w:hAnsi="Book Antiqua"/>
          <w:sz w:val="20"/>
          <w:szCs w:val="20"/>
          <w:lang w:val="en-US"/>
        </w:rPr>
        <w:t>somatostatin</w:t>
      </w:r>
      <w:proofErr w:type="spellEnd"/>
      <w:r w:rsidRPr="00E51A80">
        <w:rPr>
          <w:rFonts w:ascii="Book Antiqua" w:hAnsi="Book Antiqua"/>
          <w:sz w:val="20"/>
          <w:szCs w:val="20"/>
          <w:lang w:val="en-US"/>
        </w:rPr>
        <w:t xml:space="preserve"> receptor imaging of neuroendocrine tumors: current status and review of the literature. </w:t>
      </w:r>
      <w:r w:rsidRPr="00E51A80">
        <w:rPr>
          <w:rFonts w:ascii="Book Antiqua" w:hAnsi="Book Antiqua"/>
          <w:i/>
          <w:sz w:val="20"/>
          <w:szCs w:val="20"/>
          <w:lang w:val="en-US"/>
        </w:rPr>
        <w:t xml:space="preserve">Future </w:t>
      </w:r>
      <w:proofErr w:type="spellStart"/>
      <w:r w:rsidRPr="00E51A80">
        <w:rPr>
          <w:rFonts w:ascii="Book Antiqua" w:hAnsi="Book Antiqua"/>
          <w:i/>
          <w:sz w:val="20"/>
          <w:szCs w:val="20"/>
          <w:lang w:val="en-US"/>
        </w:rPr>
        <w:t>Oncol</w:t>
      </w:r>
      <w:proofErr w:type="spellEnd"/>
      <w:r w:rsidRPr="00E51A80">
        <w:rPr>
          <w:rFonts w:ascii="Book Antiqua" w:hAnsi="Book Antiqua"/>
          <w:sz w:val="20"/>
          <w:szCs w:val="20"/>
          <w:lang w:val="en-US"/>
        </w:rPr>
        <w:t xml:space="preserve"> 2014; </w:t>
      </w:r>
      <w:r w:rsidRPr="00E51A80">
        <w:rPr>
          <w:rFonts w:ascii="Book Antiqua" w:hAnsi="Book Antiqua"/>
          <w:b/>
          <w:sz w:val="20"/>
          <w:szCs w:val="20"/>
          <w:lang w:val="en-US"/>
        </w:rPr>
        <w:t>10</w:t>
      </w:r>
      <w:r w:rsidRPr="00E51A80">
        <w:rPr>
          <w:rFonts w:ascii="Book Antiqua" w:hAnsi="Book Antiqua"/>
          <w:sz w:val="20"/>
          <w:szCs w:val="20"/>
          <w:lang w:val="en-US"/>
        </w:rPr>
        <w:t>: 2259-2277 [PMID: 25471038 DOI: 10.2217/fon.14.139]</w:t>
      </w:r>
    </w:p>
    <w:p w:rsidR="002405DE" w:rsidRPr="00E51A80" w:rsidRDefault="002405DE"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t xml:space="preserve">5 </w:t>
      </w:r>
      <w:r w:rsidRPr="00E51A80">
        <w:rPr>
          <w:rFonts w:ascii="Book Antiqua" w:hAnsi="Book Antiqua"/>
          <w:b/>
          <w:sz w:val="20"/>
          <w:szCs w:val="20"/>
          <w:lang w:val="en-US"/>
        </w:rPr>
        <w:t>Maxwell JE</w:t>
      </w:r>
      <w:r w:rsidRPr="00E51A80">
        <w:rPr>
          <w:rFonts w:ascii="Book Antiqua" w:hAnsi="Book Antiqua"/>
          <w:sz w:val="20"/>
          <w:szCs w:val="20"/>
          <w:lang w:val="en-US"/>
        </w:rPr>
        <w:t xml:space="preserve">, Howe JR. Imaging in neuroendocrine tumors: an update for the clinician. </w:t>
      </w:r>
      <w:proofErr w:type="spellStart"/>
      <w:r w:rsidRPr="00E51A80">
        <w:rPr>
          <w:rFonts w:ascii="Book Antiqua" w:hAnsi="Book Antiqua"/>
          <w:i/>
          <w:sz w:val="20"/>
          <w:szCs w:val="20"/>
          <w:lang w:val="en-US"/>
        </w:rPr>
        <w:t>Int</w:t>
      </w:r>
      <w:proofErr w:type="spellEnd"/>
      <w:r w:rsidRPr="00E51A80">
        <w:rPr>
          <w:rFonts w:ascii="Book Antiqua" w:hAnsi="Book Antiqua"/>
          <w:i/>
          <w:sz w:val="20"/>
          <w:szCs w:val="20"/>
          <w:lang w:val="en-US"/>
        </w:rPr>
        <w:t xml:space="preserve"> J </w:t>
      </w:r>
      <w:proofErr w:type="spellStart"/>
      <w:r w:rsidRPr="00E51A80">
        <w:rPr>
          <w:rFonts w:ascii="Book Antiqua" w:hAnsi="Book Antiqua"/>
          <w:i/>
          <w:sz w:val="20"/>
          <w:szCs w:val="20"/>
          <w:lang w:val="en-US"/>
        </w:rPr>
        <w:t>Endocr</w:t>
      </w:r>
      <w:proofErr w:type="spellEnd"/>
      <w:r w:rsidRPr="00E51A80">
        <w:rPr>
          <w:rFonts w:ascii="Book Antiqua" w:hAnsi="Book Antiqua"/>
          <w:i/>
          <w:sz w:val="20"/>
          <w:szCs w:val="20"/>
          <w:lang w:val="en-US"/>
        </w:rPr>
        <w:t xml:space="preserve"> </w:t>
      </w:r>
      <w:proofErr w:type="spellStart"/>
      <w:r w:rsidRPr="00E51A80">
        <w:rPr>
          <w:rFonts w:ascii="Book Antiqua" w:hAnsi="Book Antiqua"/>
          <w:i/>
          <w:sz w:val="20"/>
          <w:szCs w:val="20"/>
          <w:lang w:val="en-US"/>
        </w:rPr>
        <w:t>Oncol</w:t>
      </w:r>
      <w:proofErr w:type="spellEnd"/>
      <w:r w:rsidRPr="00E51A80">
        <w:rPr>
          <w:rFonts w:ascii="Book Antiqua" w:hAnsi="Book Antiqua"/>
          <w:sz w:val="20"/>
          <w:szCs w:val="20"/>
          <w:lang w:val="en-US"/>
        </w:rPr>
        <w:t xml:space="preserve"> 2015; </w:t>
      </w:r>
      <w:r w:rsidRPr="00E51A80">
        <w:rPr>
          <w:rFonts w:ascii="Book Antiqua" w:hAnsi="Book Antiqua"/>
          <w:b/>
          <w:sz w:val="20"/>
          <w:szCs w:val="20"/>
          <w:lang w:val="en-US"/>
        </w:rPr>
        <w:t>2</w:t>
      </w:r>
      <w:r w:rsidRPr="00E51A80">
        <w:rPr>
          <w:rFonts w:ascii="Book Antiqua" w:hAnsi="Book Antiqua"/>
          <w:sz w:val="20"/>
          <w:szCs w:val="20"/>
          <w:lang w:val="en-US"/>
        </w:rPr>
        <w:t>: 159-168 [PMID: 26257863 DOI: 10.2217/ije.14.40]</w:t>
      </w:r>
    </w:p>
    <w:p w:rsidR="002405DE" w:rsidRPr="00E51A80" w:rsidRDefault="002405DE"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t xml:space="preserve">6 </w:t>
      </w:r>
      <w:proofErr w:type="spellStart"/>
      <w:r w:rsidRPr="00E51A80">
        <w:rPr>
          <w:rFonts w:ascii="Book Antiqua" w:hAnsi="Book Antiqua"/>
          <w:b/>
          <w:sz w:val="20"/>
          <w:szCs w:val="20"/>
          <w:lang w:val="en-US"/>
        </w:rPr>
        <w:t>Kendi</w:t>
      </w:r>
      <w:proofErr w:type="spellEnd"/>
      <w:r w:rsidRPr="00E51A80">
        <w:rPr>
          <w:rFonts w:ascii="Book Antiqua" w:hAnsi="Book Antiqua"/>
          <w:b/>
          <w:sz w:val="20"/>
          <w:szCs w:val="20"/>
          <w:lang w:val="en-US"/>
        </w:rPr>
        <w:t xml:space="preserve"> AT</w:t>
      </w:r>
      <w:r w:rsidRPr="00E51A80">
        <w:rPr>
          <w:rFonts w:ascii="Book Antiqua" w:hAnsi="Book Antiqua"/>
          <w:sz w:val="20"/>
          <w:szCs w:val="20"/>
          <w:lang w:val="en-US"/>
        </w:rPr>
        <w:t xml:space="preserve">, </w:t>
      </w:r>
      <w:proofErr w:type="spellStart"/>
      <w:r w:rsidRPr="00E51A80">
        <w:rPr>
          <w:rFonts w:ascii="Book Antiqua" w:hAnsi="Book Antiqua"/>
          <w:sz w:val="20"/>
          <w:szCs w:val="20"/>
          <w:lang w:val="en-US"/>
        </w:rPr>
        <w:t>Halfdanarson</w:t>
      </w:r>
      <w:proofErr w:type="spellEnd"/>
      <w:r w:rsidRPr="00E51A80">
        <w:rPr>
          <w:rFonts w:ascii="Book Antiqua" w:hAnsi="Book Antiqua"/>
          <w:sz w:val="20"/>
          <w:szCs w:val="20"/>
          <w:lang w:val="en-US"/>
        </w:rPr>
        <w:t xml:space="preserve"> TR, Packard A, </w:t>
      </w:r>
      <w:proofErr w:type="spellStart"/>
      <w:r w:rsidRPr="00E51A80">
        <w:rPr>
          <w:rFonts w:ascii="Book Antiqua" w:hAnsi="Book Antiqua"/>
          <w:sz w:val="20"/>
          <w:szCs w:val="20"/>
          <w:lang w:val="en-US"/>
        </w:rPr>
        <w:t>Dundar</w:t>
      </w:r>
      <w:proofErr w:type="spellEnd"/>
      <w:r w:rsidRPr="00E51A80">
        <w:rPr>
          <w:rFonts w:ascii="Book Antiqua" w:hAnsi="Book Antiqua"/>
          <w:sz w:val="20"/>
          <w:szCs w:val="20"/>
          <w:lang w:val="en-US"/>
        </w:rPr>
        <w:t xml:space="preserve"> A, </w:t>
      </w:r>
      <w:proofErr w:type="spellStart"/>
      <w:r w:rsidRPr="00E51A80">
        <w:rPr>
          <w:rFonts w:ascii="Book Antiqua" w:hAnsi="Book Antiqua"/>
          <w:sz w:val="20"/>
          <w:szCs w:val="20"/>
          <w:lang w:val="en-US"/>
        </w:rPr>
        <w:t>Subramaniam</w:t>
      </w:r>
      <w:proofErr w:type="spellEnd"/>
      <w:r w:rsidRPr="00E51A80">
        <w:rPr>
          <w:rFonts w:ascii="Book Antiqua" w:hAnsi="Book Antiqua"/>
          <w:sz w:val="20"/>
          <w:szCs w:val="20"/>
          <w:lang w:val="en-US"/>
        </w:rPr>
        <w:t xml:space="preserve"> RM. Therapy With </w:t>
      </w:r>
      <w:r w:rsidRPr="00E51A80">
        <w:rPr>
          <w:rFonts w:ascii="Book Antiqua" w:hAnsi="Book Antiqua"/>
          <w:sz w:val="20"/>
          <w:szCs w:val="20"/>
          <w:vertAlign w:val="superscript"/>
          <w:lang w:val="en-US"/>
        </w:rPr>
        <w:t>177</w:t>
      </w:r>
      <w:r w:rsidRPr="00E51A80">
        <w:rPr>
          <w:rFonts w:ascii="Book Antiqua" w:hAnsi="Book Antiqua"/>
          <w:sz w:val="20"/>
          <w:szCs w:val="20"/>
          <w:lang w:val="en-US"/>
        </w:rPr>
        <w:t xml:space="preserve">Lu-DOTATATE: Clinical Implementation and Impact on Care of Patients With Neuroendocrine Tumors. </w:t>
      </w:r>
      <w:r w:rsidRPr="00E51A80">
        <w:rPr>
          <w:rFonts w:ascii="Book Antiqua" w:hAnsi="Book Antiqua"/>
          <w:i/>
          <w:sz w:val="20"/>
          <w:szCs w:val="20"/>
          <w:lang w:val="en-US"/>
        </w:rPr>
        <w:t xml:space="preserve">AJR Am J </w:t>
      </w:r>
      <w:proofErr w:type="spellStart"/>
      <w:r w:rsidRPr="00E51A80">
        <w:rPr>
          <w:rFonts w:ascii="Book Antiqua" w:hAnsi="Book Antiqua"/>
          <w:i/>
          <w:sz w:val="20"/>
          <w:szCs w:val="20"/>
          <w:lang w:val="en-US"/>
        </w:rPr>
        <w:t>Roentgenol</w:t>
      </w:r>
      <w:proofErr w:type="spellEnd"/>
      <w:r w:rsidRPr="00E51A80">
        <w:rPr>
          <w:rFonts w:ascii="Book Antiqua" w:hAnsi="Book Antiqua"/>
          <w:sz w:val="20"/>
          <w:szCs w:val="20"/>
          <w:lang w:val="en-US"/>
        </w:rPr>
        <w:t xml:space="preserve"> 2019; </w:t>
      </w:r>
      <w:r w:rsidRPr="00E51A80">
        <w:rPr>
          <w:rFonts w:ascii="Book Antiqua" w:hAnsi="Book Antiqua"/>
          <w:b/>
          <w:sz w:val="20"/>
          <w:szCs w:val="20"/>
          <w:lang w:val="en-US"/>
        </w:rPr>
        <w:t>213</w:t>
      </w:r>
      <w:r w:rsidRPr="00E51A80">
        <w:rPr>
          <w:rFonts w:ascii="Book Antiqua" w:hAnsi="Book Antiqua"/>
          <w:sz w:val="20"/>
          <w:szCs w:val="20"/>
          <w:lang w:val="en-US"/>
        </w:rPr>
        <w:t>: 309-317 [PMID: 31039017 DOI: 10.2214/AJR.19.21123]</w:t>
      </w:r>
    </w:p>
    <w:p w:rsidR="002405DE" w:rsidRPr="00E51A80" w:rsidRDefault="002405DE" w:rsidP="007E3E0D">
      <w:pPr>
        <w:adjustRightInd w:val="0"/>
        <w:snapToGrid w:val="0"/>
        <w:spacing w:after="0" w:line="360" w:lineRule="auto"/>
        <w:jc w:val="both"/>
        <w:rPr>
          <w:rFonts w:ascii="Book Antiqua" w:hAnsi="Book Antiqua"/>
          <w:sz w:val="20"/>
          <w:szCs w:val="20"/>
          <w:lang w:val="en-US"/>
        </w:rPr>
      </w:pPr>
      <w:proofErr w:type="gramStart"/>
      <w:r w:rsidRPr="00E51A80">
        <w:rPr>
          <w:rFonts w:ascii="Book Antiqua" w:hAnsi="Book Antiqua"/>
          <w:sz w:val="20"/>
          <w:szCs w:val="20"/>
          <w:lang w:val="en-US"/>
        </w:rPr>
        <w:t xml:space="preserve">7 </w:t>
      </w:r>
      <w:proofErr w:type="spellStart"/>
      <w:r w:rsidRPr="00E51A80">
        <w:rPr>
          <w:rFonts w:ascii="Book Antiqua" w:hAnsi="Book Antiqua"/>
          <w:b/>
          <w:sz w:val="20"/>
          <w:szCs w:val="20"/>
          <w:lang w:val="en-US"/>
        </w:rPr>
        <w:t>Sanitarios</w:t>
      </w:r>
      <w:proofErr w:type="spellEnd"/>
      <w:r w:rsidRPr="00E51A80">
        <w:rPr>
          <w:rFonts w:ascii="Book Antiqua" w:hAnsi="Book Antiqua"/>
          <w:b/>
          <w:sz w:val="20"/>
          <w:szCs w:val="20"/>
          <w:lang w:val="en-US"/>
        </w:rPr>
        <w:t xml:space="preserve"> </w:t>
      </w:r>
      <w:proofErr w:type="spellStart"/>
      <w:r w:rsidRPr="00E51A80">
        <w:rPr>
          <w:rFonts w:ascii="Book Antiqua" w:hAnsi="Book Antiqua"/>
          <w:b/>
          <w:sz w:val="20"/>
          <w:szCs w:val="20"/>
          <w:lang w:val="en-US"/>
        </w:rPr>
        <w:t>agencia</w:t>
      </w:r>
      <w:proofErr w:type="spellEnd"/>
      <w:r w:rsidRPr="00E51A80">
        <w:rPr>
          <w:rFonts w:ascii="Book Antiqua" w:hAnsi="Book Antiqua"/>
          <w:b/>
          <w:sz w:val="20"/>
          <w:szCs w:val="20"/>
          <w:lang w:val="en-US"/>
        </w:rPr>
        <w:t xml:space="preserve"> </w:t>
      </w:r>
      <w:proofErr w:type="spellStart"/>
      <w:r w:rsidRPr="00E51A80">
        <w:rPr>
          <w:rFonts w:ascii="Book Antiqua" w:hAnsi="Book Antiqua"/>
          <w:b/>
          <w:sz w:val="20"/>
          <w:szCs w:val="20"/>
          <w:lang w:val="en-US"/>
        </w:rPr>
        <w:t>española</w:t>
      </w:r>
      <w:proofErr w:type="spellEnd"/>
      <w:r w:rsidRPr="00E51A80">
        <w:rPr>
          <w:rFonts w:ascii="Book Antiqua" w:hAnsi="Book Antiqua"/>
          <w:b/>
          <w:sz w:val="20"/>
          <w:szCs w:val="20"/>
          <w:lang w:val="en-US"/>
        </w:rPr>
        <w:t xml:space="preserve"> de </w:t>
      </w:r>
      <w:proofErr w:type="spellStart"/>
      <w:r w:rsidRPr="00E51A80">
        <w:rPr>
          <w:rFonts w:ascii="Book Antiqua" w:hAnsi="Book Antiqua"/>
          <w:b/>
          <w:sz w:val="20"/>
          <w:szCs w:val="20"/>
          <w:lang w:val="en-US"/>
        </w:rPr>
        <w:t>medicamentos</w:t>
      </w:r>
      <w:proofErr w:type="spellEnd"/>
      <w:r w:rsidRPr="00E51A80">
        <w:rPr>
          <w:rFonts w:ascii="Book Antiqua" w:hAnsi="Book Antiqua"/>
          <w:b/>
          <w:sz w:val="20"/>
          <w:szCs w:val="20"/>
          <w:lang w:val="en-US"/>
        </w:rPr>
        <w:t>.</w:t>
      </w:r>
      <w:bookmarkStart w:id="89" w:name="OLE_LINK25"/>
      <w:bookmarkStart w:id="90" w:name="OLE_LINK26"/>
      <w:proofErr w:type="gramEnd"/>
      <w:r w:rsidRPr="00E51A80">
        <w:rPr>
          <w:rFonts w:ascii="Book Antiqua" w:hAnsi="Book Antiqua"/>
          <w:sz w:val="20"/>
          <w:szCs w:val="20"/>
          <w:lang w:val="en-US"/>
        </w:rPr>
        <w:t xml:space="preserve"> </w:t>
      </w:r>
      <w:bookmarkStart w:id="91" w:name="OLE_LINK21"/>
      <w:bookmarkStart w:id="92" w:name="OLE_LINK22"/>
      <w:bookmarkStart w:id="93" w:name="OLE_LINK27"/>
      <w:bookmarkStart w:id="94" w:name="OLE_LINK28"/>
      <w:bookmarkStart w:id="95" w:name="OLE_LINK29"/>
      <w:proofErr w:type="spellStart"/>
      <w:proofErr w:type="gramStart"/>
      <w:r w:rsidRPr="00E51A80">
        <w:rPr>
          <w:rFonts w:ascii="Book Antiqua" w:hAnsi="Book Antiqua"/>
          <w:sz w:val="20"/>
          <w:szCs w:val="20"/>
          <w:lang w:val="en-US"/>
        </w:rPr>
        <w:t>Informe</w:t>
      </w:r>
      <w:proofErr w:type="spellEnd"/>
      <w:r w:rsidRPr="00E51A80">
        <w:rPr>
          <w:rFonts w:ascii="Book Antiqua" w:hAnsi="Book Antiqua"/>
          <w:sz w:val="20"/>
          <w:szCs w:val="20"/>
          <w:lang w:val="en-US"/>
        </w:rPr>
        <w:t xml:space="preserve"> de </w:t>
      </w:r>
      <w:proofErr w:type="spellStart"/>
      <w:r w:rsidRPr="00E51A80">
        <w:rPr>
          <w:rFonts w:ascii="Book Antiqua" w:hAnsi="Book Antiqua"/>
          <w:sz w:val="20"/>
          <w:szCs w:val="20"/>
          <w:lang w:val="en-US"/>
        </w:rPr>
        <w:t>Posicionamiento</w:t>
      </w:r>
      <w:proofErr w:type="spellEnd"/>
      <w:r w:rsidRPr="00E51A80">
        <w:rPr>
          <w:rFonts w:ascii="Book Antiqua" w:hAnsi="Book Antiqua"/>
          <w:sz w:val="20"/>
          <w:szCs w:val="20"/>
          <w:lang w:val="en-US"/>
        </w:rPr>
        <w:t xml:space="preserve"> </w:t>
      </w:r>
      <w:proofErr w:type="spellStart"/>
      <w:r w:rsidRPr="00E51A80">
        <w:rPr>
          <w:rFonts w:ascii="Book Antiqua" w:hAnsi="Book Antiqua"/>
          <w:sz w:val="20"/>
          <w:szCs w:val="20"/>
          <w:lang w:val="en-US"/>
        </w:rPr>
        <w:t>Terapéutico</w:t>
      </w:r>
      <w:proofErr w:type="spellEnd"/>
      <w:r w:rsidRPr="00E51A80">
        <w:rPr>
          <w:rFonts w:ascii="Book Antiqua" w:hAnsi="Book Antiqua"/>
          <w:sz w:val="20"/>
          <w:szCs w:val="20"/>
          <w:lang w:val="en-US"/>
        </w:rPr>
        <w:t xml:space="preserve"> de </w:t>
      </w:r>
      <w:proofErr w:type="spellStart"/>
      <w:r w:rsidRPr="00E51A80">
        <w:rPr>
          <w:rFonts w:ascii="Book Antiqua" w:hAnsi="Book Antiqua"/>
          <w:sz w:val="20"/>
          <w:szCs w:val="20"/>
          <w:lang w:val="en-US"/>
        </w:rPr>
        <w:t>lutecio</w:t>
      </w:r>
      <w:proofErr w:type="spellEnd"/>
      <w:r w:rsidRPr="00E51A80">
        <w:rPr>
          <w:rFonts w:ascii="Book Antiqua" w:hAnsi="Book Antiqua"/>
          <w:sz w:val="20"/>
          <w:szCs w:val="20"/>
          <w:lang w:val="en-US"/>
        </w:rPr>
        <w:t xml:space="preserve"> (177Lu) </w:t>
      </w:r>
      <w:proofErr w:type="spellStart"/>
      <w:r w:rsidRPr="00E51A80">
        <w:rPr>
          <w:rFonts w:ascii="Book Antiqua" w:hAnsi="Book Antiqua"/>
          <w:sz w:val="20"/>
          <w:szCs w:val="20"/>
          <w:lang w:val="en-US"/>
        </w:rPr>
        <w:t>oxodotreotida</w:t>
      </w:r>
      <w:proofErr w:type="spellEnd"/>
      <w:r w:rsidRPr="00E51A80">
        <w:rPr>
          <w:rFonts w:ascii="Book Antiqua" w:hAnsi="Book Antiqua"/>
          <w:sz w:val="20"/>
          <w:szCs w:val="20"/>
          <w:lang w:val="en-US"/>
        </w:rPr>
        <w:t xml:space="preserve"> (</w:t>
      </w:r>
      <w:proofErr w:type="spellStart"/>
      <w:r w:rsidRPr="00E51A80">
        <w:rPr>
          <w:rFonts w:ascii="Book Antiqua" w:hAnsi="Book Antiqua"/>
          <w:sz w:val="20"/>
          <w:szCs w:val="20"/>
          <w:lang w:val="en-US"/>
        </w:rPr>
        <w:t>Lutathera</w:t>
      </w:r>
      <w:proofErr w:type="spellEnd"/>
      <w:r w:rsidRPr="00E51A80">
        <w:rPr>
          <w:rFonts w:ascii="Book Antiqua" w:hAnsi="Book Antiqua"/>
          <w:sz w:val="20"/>
          <w:szCs w:val="20"/>
          <w:lang w:val="en-US"/>
        </w:rPr>
        <w:t xml:space="preserve">®) en el </w:t>
      </w:r>
      <w:proofErr w:type="spellStart"/>
      <w:r w:rsidRPr="00E51A80">
        <w:rPr>
          <w:rFonts w:ascii="Book Antiqua" w:hAnsi="Book Antiqua"/>
          <w:sz w:val="20"/>
          <w:szCs w:val="20"/>
          <w:lang w:val="en-US"/>
        </w:rPr>
        <w:t>tratamiento</w:t>
      </w:r>
      <w:proofErr w:type="spellEnd"/>
      <w:r w:rsidRPr="00E51A80">
        <w:rPr>
          <w:rFonts w:ascii="Book Antiqua" w:hAnsi="Book Antiqua"/>
          <w:sz w:val="20"/>
          <w:szCs w:val="20"/>
          <w:lang w:val="en-US"/>
        </w:rPr>
        <w:t xml:space="preserve"> de </w:t>
      </w:r>
      <w:proofErr w:type="spellStart"/>
      <w:r w:rsidRPr="00E51A80">
        <w:rPr>
          <w:rFonts w:ascii="Book Antiqua" w:hAnsi="Book Antiqua"/>
          <w:sz w:val="20"/>
          <w:szCs w:val="20"/>
          <w:lang w:val="en-US"/>
        </w:rPr>
        <w:t>tumores</w:t>
      </w:r>
      <w:proofErr w:type="spellEnd"/>
      <w:r w:rsidRPr="00E51A80">
        <w:rPr>
          <w:rFonts w:ascii="Book Antiqua" w:hAnsi="Book Antiqua"/>
          <w:sz w:val="20"/>
          <w:szCs w:val="20"/>
          <w:lang w:val="en-US"/>
        </w:rPr>
        <w:t xml:space="preserve"> </w:t>
      </w:r>
      <w:proofErr w:type="spellStart"/>
      <w:r w:rsidRPr="00E51A80">
        <w:rPr>
          <w:rFonts w:ascii="Book Antiqua" w:hAnsi="Book Antiqua"/>
          <w:sz w:val="20"/>
          <w:szCs w:val="20"/>
          <w:lang w:val="en-US"/>
        </w:rPr>
        <w:t>neuroendocrinos</w:t>
      </w:r>
      <w:proofErr w:type="spellEnd"/>
      <w:r w:rsidRPr="00E51A80">
        <w:rPr>
          <w:rFonts w:ascii="Book Antiqua" w:hAnsi="Book Antiqua"/>
          <w:sz w:val="20"/>
          <w:szCs w:val="20"/>
          <w:lang w:val="en-US"/>
        </w:rPr>
        <w:t xml:space="preserve"> </w:t>
      </w:r>
      <w:proofErr w:type="spellStart"/>
      <w:r w:rsidRPr="00E51A80">
        <w:rPr>
          <w:rFonts w:ascii="Book Antiqua" w:hAnsi="Book Antiqua"/>
          <w:sz w:val="20"/>
          <w:szCs w:val="20"/>
          <w:lang w:val="en-US"/>
        </w:rPr>
        <w:t>gastroenteropancreáticos</w:t>
      </w:r>
      <w:proofErr w:type="spellEnd"/>
      <w:r w:rsidRPr="00E51A80">
        <w:rPr>
          <w:rFonts w:ascii="Book Antiqua" w:hAnsi="Book Antiqua"/>
          <w:sz w:val="20"/>
          <w:szCs w:val="20"/>
          <w:lang w:val="en-US"/>
        </w:rPr>
        <w:t xml:space="preserve"> </w:t>
      </w:r>
      <w:proofErr w:type="spellStart"/>
      <w:r w:rsidRPr="00E51A80">
        <w:rPr>
          <w:rFonts w:ascii="Book Antiqua" w:hAnsi="Book Antiqua"/>
          <w:sz w:val="20"/>
          <w:szCs w:val="20"/>
          <w:lang w:val="en-US"/>
        </w:rPr>
        <w:t>bien</w:t>
      </w:r>
      <w:proofErr w:type="spellEnd"/>
      <w:r w:rsidRPr="00E51A80">
        <w:rPr>
          <w:rFonts w:ascii="Book Antiqua" w:hAnsi="Book Antiqua"/>
          <w:sz w:val="20"/>
          <w:szCs w:val="20"/>
          <w:lang w:val="en-US"/>
        </w:rPr>
        <w:t xml:space="preserve"> </w:t>
      </w:r>
      <w:proofErr w:type="spellStart"/>
      <w:r w:rsidRPr="00E51A80">
        <w:rPr>
          <w:rFonts w:ascii="Book Antiqua" w:hAnsi="Book Antiqua"/>
          <w:sz w:val="20"/>
          <w:szCs w:val="20"/>
          <w:lang w:val="en-US"/>
        </w:rPr>
        <w:t>diferenciados</w:t>
      </w:r>
      <w:proofErr w:type="spellEnd"/>
      <w:r w:rsidRPr="00E51A80">
        <w:rPr>
          <w:rFonts w:ascii="Book Antiqua" w:hAnsi="Book Antiqua"/>
          <w:sz w:val="20"/>
          <w:szCs w:val="20"/>
          <w:lang w:val="en-US"/>
        </w:rPr>
        <w:t>.</w:t>
      </w:r>
      <w:bookmarkEnd w:id="89"/>
      <w:bookmarkEnd w:id="90"/>
      <w:bookmarkEnd w:id="91"/>
      <w:bookmarkEnd w:id="92"/>
      <w:bookmarkEnd w:id="93"/>
      <w:bookmarkEnd w:id="94"/>
      <w:bookmarkEnd w:id="95"/>
      <w:proofErr w:type="gramEnd"/>
      <w:r w:rsidRPr="00E51A80">
        <w:rPr>
          <w:rFonts w:ascii="Book Antiqua" w:hAnsi="Book Antiqua"/>
          <w:b/>
          <w:sz w:val="20"/>
          <w:szCs w:val="20"/>
          <w:lang w:val="en-US"/>
        </w:rPr>
        <w:t xml:space="preserve"> </w:t>
      </w:r>
      <w:proofErr w:type="spellStart"/>
      <w:proofErr w:type="gramStart"/>
      <w:r w:rsidR="00DA60B5" w:rsidRPr="00E51A80">
        <w:rPr>
          <w:rFonts w:ascii="Book Antiqua" w:hAnsi="Book Antiqua"/>
          <w:sz w:val="20"/>
          <w:szCs w:val="20"/>
          <w:lang w:val="en-US"/>
        </w:rPr>
        <w:t>Informe</w:t>
      </w:r>
      <w:proofErr w:type="spellEnd"/>
      <w:r w:rsidR="00DA60B5" w:rsidRPr="00E51A80">
        <w:rPr>
          <w:rFonts w:ascii="Book Antiqua" w:hAnsi="Book Antiqua"/>
          <w:sz w:val="20"/>
          <w:szCs w:val="20"/>
          <w:lang w:val="en-US"/>
        </w:rPr>
        <w:t xml:space="preserve"> De </w:t>
      </w:r>
      <w:proofErr w:type="spellStart"/>
      <w:r w:rsidR="00DA60B5" w:rsidRPr="00E51A80">
        <w:rPr>
          <w:rFonts w:ascii="Book Antiqua" w:hAnsi="Book Antiqua"/>
          <w:sz w:val="20"/>
          <w:szCs w:val="20"/>
          <w:lang w:val="en-US"/>
        </w:rPr>
        <w:t>Posicionamiento</w:t>
      </w:r>
      <w:proofErr w:type="spellEnd"/>
      <w:r w:rsidR="00DA60B5" w:rsidRPr="00E51A80">
        <w:rPr>
          <w:rFonts w:ascii="Book Antiqua" w:hAnsi="Book Antiqua"/>
          <w:sz w:val="20"/>
          <w:szCs w:val="20"/>
          <w:lang w:val="en-US"/>
        </w:rPr>
        <w:t xml:space="preserve"> </w:t>
      </w:r>
      <w:proofErr w:type="spellStart"/>
      <w:r w:rsidR="00DA60B5" w:rsidRPr="00E51A80">
        <w:rPr>
          <w:rFonts w:ascii="Book Antiqua" w:hAnsi="Book Antiqua"/>
          <w:sz w:val="20"/>
          <w:szCs w:val="20"/>
          <w:lang w:val="en-US"/>
        </w:rPr>
        <w:t>Terapéutico</w:t>
      </w:r>
      <w:proofErr w:type="spellEnd"/>
      <w:r w:rsidR="00AF1039" w:rsidRPr="00E51A80">
        <w:rPr>
          <w:rFonts w:ascii="Book Antiqua" w:hAnsi="Book Antiqua"/>
          <w:sz w:val="20"/>
          <w:szCs w:val="20"/>
          <w:lang w:val="en-US"/>
        </w:rPr>
        <w:t>.</w:t>
      </w:r>
      <w:proofErr w:type="gramEnd"/>
      <w:r w:rsidR="00AF1039" w:rsidRPr="00E51A80">
        <w:rPr>
          <w:rFonts w:ascii="Book Antiqua" w:hAnsi="Book Antiqua"/>
          <w:sz w:val="20"/>
          <w:szCs w:val="20"/>
          <w:lang w:val="en-US"/>
        </w:rPr>
        <w:t xml:space="preserve"> Madrid: </w:t>
      </w:r>
      <w:proofErr w:type="spellStart"/>
      <w:r w:rsidR="00AF1039" w:rsidRPr="00E51A80">
        <w:rPr>
          <w:rFonts w:ascii="Book Antiqua" w:hAnsi="Book Antiqua"/>
          <w:sz w:val="20"/>
          <w:szCs w:val="20"/>
          <w:lang w:val="en-US"/>
        </w:rPr>
        <w:t>Ministerio</w:t>
      </w:r>
      <w:proofErr w:type="spellEnd"/>
      <w:r w:rsidR="00AF1039" w:rsidRPr="00E51A80">
        <w:rPr>
          <w:rFonts w:ascii="Book Antiqua" w:hAnsi="Book Antiqua"/>
          <w:sz w:val="20"/>
          <w:szCs w:val="20"/>
          <w:lang w:val="en-US"/>
        </w:rPr>
        <w:t xml:space="preserve"> de </w:t>
      </w:r>
      <w:proofErr w:type="spellStart"/>
      <w:r w:rsidR="00AF1039" w:rsidRPr="00E51A80">
        <w:rPr>
          <w:rFonts w:ascii="Book Antiqua" w:hAnsi="Book Antiqua"/>
          <w:sz w:val="20"/>
          <w:szCs w:val="20"/>
          <w:lang w:val="en-US"/>
        </w:rPr>
        <w:t>Sanidad</w:t>
      </w:r>
      <w:proofErr w:type="spellEnd"/>
      <w:r w:rsidR="00AF1039" w:rsidRPr="00E51A80">
        <w:rPr>
          <w:rFonts w:ascii="Book Antiqua" w:hAnsi="Book Antiqua"/>
          <w:b/>
          <w:sz w:val="20"/>
          <w:szCs w:val="20"/>
          <w:lang w:val="en-US"/>
        </w:rPr>
        <w:t xml:space="preserve"> </w:t>
      </w:r>
      <w:r w:rsidRPr="00E51A80">
        <w:rPr>
          <w:rFonts w:ascii="Book Antiqua" w:hAnsi="Book Antiqua"/>
          <w:sz w:val="20"/>
          <w:szCs w:val="20"/>
          <w:lang w:val="en-US"/>
        </w:rPr>
        <w:t>2019.</w:t>
      </w:r>
      <w:r w:rsidR="00AF1039" w:rsidRPr="00E51A80">
        <w:rPr>
          <w:rFonts w:ascii="Book Antiqua" w:hAnsi="Book Antiqua"/>
          <w:bCs/>
          <w:color w:val="000000"/>
          <w:sz w:val="20"/>
          <w:szCs w:val="20"/>
          <w:lang w:val="en-US"/>
        </w:rPr>
        <w:t xml:space="preserve"> </w:t>
      </w:r>
      <w:bookmarkStart w:id="96" w:name="OLE_LINK34"/>
      <w:bookmarkStart w:id="97" w:name="OLE_LINK35"/>
      <w:r w:rsidR="00AF1039" w:rsidRPr="00E51A80">
        <w:rPr>
          <w:rFonts w:ascii="Book Antiqua" w:hAnsi="Book Antiqua"/>
          <w:bCs/>
          <w:color w:val="000000"/>
          <w:sz w:val="20"/>
          <w:szCs w:val="20"/>
          <w:lang w:val="en-US"/>
        </w:rPr>
        <w:t>Available from:</w:t>
      </w:r>
      <w:bookmarkEnd w:id="96"/>
      <w:bookmarkEnd w:id="97"/>
      <w:r w:rsidR="00AF1039" w:rsidRPr="00E51A80">
        <w:rPr>
          <w:rFonts w:ascii="Book Antiqua" w:hAnsi="Book Antiqua"/>
          <w:bCs/>
          <w:color w:val="000000"/>
          <w:sz w:val="20"/>
          <w:szCs w:val="20"/>
          <w:lang w:val="en-US"/>
        </w:rPr>
        <w:t xml:space="preserve"> https://cn.bing.com/search?q=Informe+de+Posicionamiento+Terap%C3%A9utico+de+lutecio+%28177Lu%29+oxodotreotida+%28Lutathera%C2%AE%29+en+el+tratamiento+de+tumores+neuroendocrinos+gastroenteropancre%C3%A1ticos+bien+diferenciados.&amp;qs=n&amp;form=QBLHCN&amp;sp=-1&amp;pq=&amp;sc=8-0&amp;sk=&amp;cvid=78C09BCDE4C640F7B34FC5F3FD2A8138</w:t>
      </w:r>
    </w:p>
    <w:p w:rsidR="002405DE" w:rsidRPr="00E51A80" w:rsidRDefault="002405DE" w:rsidP="007E3E0D">
      <w:pPr>
        <w:adjustRightInd w:val="0"/>
        <w:snapToGrid w:val="0"/>
        <w:spacing w:after="0" w:line="360" w:lineRule="auto"/>
        <w:jc w:val="both"/>
        <w:rPr>
          <w:rFonts w:ascii="Book Antiqua" w:hAnsi="Book Antiqua"/>
          <w:sz w:val="20"/>
          <w:szCs w:val="20"/>
          <w:lang w:val="en-US"/>
        </w:rPr>
      </w:pPr>
      <w:proofErr w:type="gramStart"/>
      <w:r w:rsidRPr="00E51A80">
        <w:rPr>
          <w:rFonts w:ascii="Book Antiqua" w:hAnsi="Book Antiqua"/>
          <w:sz w:val="20"/>
          <w:szCs w:val="20"/>
          <w:lang w:val="en-US"/>
        </w:rPr>
        <w:t xml:space="preserve">8 </w:t>
      </w:r>
      <w:r w:rsidRPr="00E51A80">
        <w:rPr>
          <w:rFonts w:ascii="Book Antiqua" w:hAnsi="Book Antiqua"/>
          <w:b/>
          <w:sz w:val="20"/>
          <w:szCs w:val="20"/>
          <w:lang w:val="en-US"/>
        </w:rPr>
        <w:t>Ca</w:t>
      </w:r>
      <w:r w:rsidR="00902A68" w:rsidRPr="00E51A80">
        <w:rPr>
          <w:rFonts w:ascii="Book Antiqua" w:hAnsi="Book Antiqua"/>
          <w:b/>
          <w:sz w:val="20"/>
          <w:szCs w:val="20"/>
          <w:lang w:val="en-US"/>
        </w:rPr>
        <w:t>ncer Therapy Evaluation Program.</w:t>
      </w:r>
      <w:proofErr w:type="gramEnd"/>
      <w:r w:rsidR="00F63757" w:rsidRPr="00E51A80">
        <w:rPr>
          <w:rFonts w:ascii="Book Antiqua" w:hAnsi="Book Antiqua"/>
          <w:sz w:val="20"/>
          <w:szCs w:val="20"/>
          <w:lang w:val="en-US"/>
        </w:rPr>
        <w:t xml:space="preserve"> </w:t>
      </w:r>
      <w:proofErr w:type="gramStart"/>
      <w:r w:rsidRPr="00E51A80">
        <w:rPr>
          <w:rFonts w:ascii="Book Antiqua" w:hAnsi="Book Antiqua"/>
          <w:sz w:val="20"/>
          <w:szCs w:val="20"/>
          <w:lang w:val="en-US"/>
        </w:rPr>
        <w:t>Common Terminology Criteria for Adverse Even</w:t>
      </w:r>
      <w:r w:rsidR="00FB2BE9" w:rsidRPr="00E51A80">
        <w:rPr>
          <w:rFonts w:ascii="Book Antiqua" w:hAnsi="Book Antiqua"/>
          <w:sz w:val="20"/>
          <w:szCs w:val="20"/>
          <w:lang w:val="en-US"/>
        </w:rPr>
        <w:t>ts, Version 3.0</w:t>
      </w:r>
      <w:r w:rsidR="00902A68" w:rsidRPr="00E51A80">
        <w:rPr>
          <w:rFonts w:ascii="Book Antiqua" w:hAnsi="Book Antiqua"/>
          <w:sz w:val="20"/>
          <w:szCs w:val="20"/>
          <w:lang w:val="en-US"/>
        </w:rPr>
        <w:t>,</w:t>
      </w:r>
      <w:r w:rsidR="00FB2BE9" w:rsidRPr="00E51A80">
        <w:rPr>
          <w:rFonts w:ascii="Book Antiqua" w:hAnsi="Book Antiqua"/>
          <w:sz w:val="20"/>
          <w:szCs w:val="20"/>
          <w:lang w:val="en-US"/>
        </w:rPr>
        <w:t xml:space="preserve"> Department of Health and Human Services US </w:t>
      </w:r>
      <w:bookmarkStart w:id="98" w:name="OLE_LINK32"/>
      <w:bookmarkStart w:id="99" w:name="OLE_LINK33"/>
      <w:r w:rsidR="00FB2BE9" w:rsidRPr="00E51A80">
        <w:rPr>
          <w:rFonts w:ascii="Book Antiqua" w:hAnsi="Book Antiqua"/>
          <w:sz w:val="20"/>
          <w:szCs w:val="20"/>
          <w:lang w:val="en-US"/>
        </w:rPr>
        <w:t>2006.</w:t>
      </w:r>
      <w:proofErr w:type="gramEnd"/>
      <w:r w:rsidR="00FB2BE9" w:rsidRPr="00E51A80">
        <w:rPr>
          <w:rFonts w:ascii="Book Antiqua" w:hAnsi="Book Antiqua"/>
          <w:sz w:val="20"/>
          <w:szCs w:val="20"/>
          <w:lang w:val="en-US"/>
        </w:rPr>
        <w:t xml:space="preserve"> </w:t>
      </w:r>
      <w:r w:rsidR="00FB2BE9" w:rsidRPr="00E51A80">
        <w:rPr>
          <w:rFonts w:ascii="Book Antiqua" w:hAnsi="Book Antiqua"/>
          <w:bCs/>
          <w:color w:val="000000"/>
          <w:sz w:val="20"/>
          <w:szCs w:val="20"/>
          <w:lang w:val="en-US"/>
        </w:rPr>
        <w:t xml:space="preserve">Available from: </w:t>
      </w:r>
      <w:r w:rsidRPr="00E51A80">
        <w:rPr>
          <w:rFonts w:ascii="Book Antiqua" w:hAnsi="Book Antiqua"/>
          <w:sz w:val="20"/>
          <w:szCs w:val="20"/>
          <w:lang w:val="en-US"/>
        </w:rPr>
        <w:t>http://ctep.cancer.gov</w:t>
      </w:r>
      <w:bookmarkEnd w:id="98"/>
      <w:bookmarkEnd w:id="99"/>
    </w:p>
    <w:p w:rsidR="002405DE" w:rsidRPr="00E51A80" w:rsidRDefault="002405DE"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t xml:space="preserve">9 </w:t>
      </w:r>
      <w:r w:rsidRPr="00E51A80">
        <w:rPr>
          <w:rFonts w:ascii="Book Antiqua" w:hAnsi="Book Antiqua"/>
          <w:b/>
          <w:sz w:val="20"/>
          <w:szCs w:val="20"/>
          <w:lang w:val="en-US"/>
        </w:rPr>
        <w:t>Thomas KEH</w:t>
      </w:r>
      <w:r w:rsidRPr="00E51A80">
        <w:rPr>
          <w:rFonts w:ascii="Book Antiqua" w:hAnsi="Book Antiqua"/>
          <w:sz w:val="20"/>
          <w:szCs w:val="20"/>
          <w:lang w:val="en-US"/>
        </w:rPr>
        <w:t xml:space="preserve">, </w:t>
      </w:r>
      <w:proofErr w:type="spellStart"/>
      <w:r w:rsidRPr="00E51A80">
        <w:rPr>
          <w:rFonts w:ascii="Book Antiqua" w:hAnsi="Book Antiqua"/>
          <w:sz w:val="20"/>
          <w:szCs w:val="20"/>
          <w:lang w:val="en-US"/>
        </w:rPr>
        <w:t>Voros</w:t>
      </w:r>
      <w:proofErr w:type="spellEnd"/>
      <w:r w:rsidRPr="00E51A80">
        <w:rPr>
          <w:rFonts w:ascii="Book Antiqua" w:hAnsi="Book Antiqua"/>
          <w:sz w:val="20"/>
          <w:szCs w:val="20"/>
          <w:lang w:val="en-US"/>
        </w:rPr>
        <w:t xml:space="preserve"> BA, Boudreaux JP, </w:t>
      </w:r>
      <w:proofErr w:type="spellStart"/>
      <w:r w:rsidRPr="00E51A80">
        <w:rPr>
          <w:rFonts w:ascii="Book Antiqua" w:hAnsi="Book Antiqua"/>
          <w:sz w:val="20"/>
          <w:szCs w:val="20"/>
          <w:lang w:val="en-US"/>
        </w:rPr>
        <w:t>Thiagarajan</w:t>
      </w:r>
      <w:proofErr w:type="spellEnd"/>
      <w:r w:rsidRPr="00E51A80">
        <w:rPr>
          <w:rFonts w:ascii="Book Antiqua" w:hAnsi="Book Antiqua"/>
          <w:sz w:val="20"/>
          <w:szCs w:val="20"/>
          <w:lang w:val="en-US"/>
        </w:rPr>
        <w:t xml:space="preserve"> R, </w:t>
      </w:r>
      <w:proofErr w:type="spellStart"/>
      <w:r w:rsidRPr="00E51A80">
        <w:rPr>
          <w:rFonts w:ascii="Book Antiqua" w:hAnsi="Book Antiqua"/>
          <w:sz w:val="20"/>
          <w:szCs w:val="20"/>
          <w:lang w:val="en-US"/>
        </w:rPr>
        <w:t>Woltering</w:t>
      </w:r>
      <w:proofErr w:type="spellEnd"/>
      <w:r w:rsidRPr="00E51A80">
        <w:rPr>
          <w:rFonts w:ascii="Book Antiqua" w:hAnsi="Book Antiqua"/>
          <w:sz w:val="20"/>
          <w:szCs w:val="20"/>
          <w:lang w:val="en-US"/>
        </w:rPr>
        <w:t xml:space="preserve"> EA, Ramirez RA. </w:t>
      </w:r>
      <w:proofErr w:type="gramStart"/>
      <w:r w:rsidRPr="00E51A80">
        <w:rPr>
          <w:rFonts w:ascii="Book Antiqua" w:hAnsi="Book Antiqua"/>
          <w:sz w:val="20"/>
          <w:szCs w:val="20"/>
          <w:lang w:val="en-US"/>
        </w:rPr>
        <w:t xml:space="preserve">Current Treatment Options in </w:t>
      </w:r>
      <w:proofErr w:type="spellStart"/>
      <w:r w:rsidRPr="00E51A80">
        <w:rPr>
          <w:rFonts w:ascii="Book Antiqua" w:hAnsi="Book Antiqua"/>
          <w:sz w:val="20"/>
          <w:szCs w:val="20"/>
          <w:lang w:val="en-US"/>
        </w:rPr>
        <w:t>Gastroenteropancreatic</w:t>
      </w:r>
      <w:proofErr w:type="spellEnd"/>
      <w:r w:rsidRPr="00E51A80">
        <w:rPr>
          <w:rFonts w:ascii="Book Antiqua" w:hAnsi="Book Antiqua"/>
          <w:sz w:val="20"/>
          <w:szCs w:val="20"/>
          <w:lang w:val="en-US"/>
        </w:rPr>
        <w:t xml:space="preserve"> Neuroendocrine Carcinoma.</w:t>
      </w:r>
      <w:proofErr w:type="gramEnd"/>
      <w:r w:rsidRPr="00E51A80">
        <w:rPr>
          <w:rFonts w:ascii="Book Antiqua" w:hAnsi="Book Antiqua"/>
          <w:sz w:val="20"/>
          <w:szCs w:val="20"/>
          <w:lang w:val="en-US"/>
        </w:rPr>
        <w:t xml:space="preserve"> </w:t>
      </w:r>
      <w:r w:rsidRPr="00E51A80">
        <w:rPr>
          <w:rFonts w:ascii="Book Antiqua" w:hAnsi="Book Antiqua"/>
          <w:i/>
          <w:sz w:val="20"/>
          <w:szCs w:val="20"/>
          <w:lang w:val="en-US"/>
        </w:rPr>
        <w:t>Oncologist</w:t>
      </w:r>
      <w:r w:rsidRPr="00E51A80">
        <w:rPr>
          <w:rFonts w:ascii="Book Antiqua" w:hAnsi="Book Antiqua"/>
          <w:sz w:val="20"/>
          <w:szCs w:val="20"/>
          <w:lang w:val="en-US"/>
        </w:rPr>
        <w:t xml:space="preserve"> 2019; </w:t>
      </w:r>
      <w:r w:rsidRPr="00E51A80">
        <w:rPr>
          <w:rFonts w:ascii="Book Antiqua" w:hAnsi="Book Antiqua"/>
          <w:b/>
          <w:sz w:val="20"/>
          <w:szCs w:val="20"/>
          <w:lang w:val="en-US"/>
        </w:rPr>
        <w:t>24</w:t>
      </w:r>
      <w:r w:rsidRPr="00E51A80">
        <w:rPr>
          <w:rFonts w:ascii="Book Antiqua" w:hAnsi="Book Antiqua"/>
          <w:sz w:val="20"/>
          <w:szCs w:val="20"/>
          <w:lang w:val="en-US"/>
        </w:rPr>
        <w:t>: 1076-1088 [PMID: 30635447 DOI: 10.1634/theoncologist.2018-0604]</w:t>
      </w:r>
    </w:p>
    <w:p w:rsidR="002405DE" w:rsidRPr="00E51A80" w:rsidRDefault="002405DE"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t xml:space="preserve">10 </w:t>
      </w:r>
      <w:proofErr w:type="spellStart"/>
      <w:r w:rsidRPr="00E51A80">
        <w:rPr>
          <w:rFonts w:ascii="Book Antiqua" w:hAnsi="Book Antiqua"/>
          <w:b/>
          <w:sz w:val="20"/>
          <w:szCs w:val="20"/>
          <w:lang w:val="en-US"/>
        </w:rPr>
        <w:t>Ezziddin</w:t>
      </w:r>
      <w:proofErr w:type="spellEnd"/>
      <w:r w:rsidRPr="00E51A80">
        <w:rPr>
          <w:rFonts w:ascii="Book Antiqua" w:hAnsi="Book Antiqua"/>
          <w:b/>
          <w:sz w:val="20"/>
          <w:szCs w:val="20"/>
          <w:lang w:val="en-US"/>
        </w:rPr>
        <w:t xml:space="preserve"> S</w:t>
      </w:r>
      <w:r w:rsidRPr="00E51A80">
        <w:rPr>
          <w:rFonts w:ascii="Book Antiqua" w:hAnsi="Book Antiqua"/>
          <w:sz w:val="20"/>
          <w:szCs w:val="20"/>
          <w:lang w:val="en-US"/>
        </w:rPr>
        <w:t xml:space="preserve">, </w:t>
      </w:r>
      <w:proofErr w:type="spellStart"/>
      <w:r w:rsidRPr="00E51A80">
        <w:rPr>
          <w:rFonts w:ascii="Book Antiqua" w:hAnsi="Book Antiqua"/>
          <w:sz w:val="20"/>
          <w:szCs w:val="20"/>
          <w:lang w:val="en-US"/>
        </w:rPr>
        <w:t>Attassi</w:t>
      </w:r>
      <w:proofErr w:type="spellEnd"/>
      <w:r w:rsidRPr="00E51A80">
        <w:rPr>
          <w:rFonts w:ascii="Book Antiqua" w:hAnsi="Book Antiqua"/>
          <w:sz w:val="20"/>
          <w:szCs w:val="20"/>
          <w:lang w:val="en-US"/>
        </w:rPr>
        <w:t xml:space="preserve"> M, Yong-</w:t>
      </w:r>
      <w:proofErr w:type="spellStart"/>
      <w:r w:rsidRPr="00E51A80">
        <w:rPr>
          <w:rFonts w:ascii="Book Antiqua" w:hAnsi="Book Antiqua"/>
          <w:sz w:val="20"/>
          <w:szCs w:val="20"/>
          <w:lang w:val="en-US"/>
        </w:rPr>
        <w:t>Hing</w:t>
      </w:r>
      <w:proofErr w:type="spellEnd"/>
      <w:r w:rsidRPr="00E51A80">
        <w:rPr>
          <w:rFonts w:ascii="Book Antiqua" w:hAnsi="Book Antiqua"/>
          <w:sz w:val="20"/>
          <w:szCs w:val="20"/>
          <w:lang w:val="en-US"/>
        </w:rPr>
        <w:t xml:space="preserve"> CJ, </w:t>
      </w:r>
      <w:proofErr w:type="spellStart"/>
      <w:r w:rsidRPr="00E51A80">
        <w:rPr>
          <w:rFonts w:ascii="Book Antiqua" w:hAnsi="Book Antiqua"/>
          <w:sz w:val="20"/>
          <w:szCs w:val="20"/>
          <w:lang w:val="en-US"/>
        </w:rPr>
        <w:t>Ahmadzadehfar</w:t>
      </w:r>
      <w:proofErr w:type="spellEnd"/>
      <w:r w:rsidRPr="00E51A80">
        <w:rPr>
          <w:rFonts w:ascii="Book Antiqua" w:hAnsi="Book Antiqua"/>
          <w:sz w:val="20"/>
          <w:szCs w:val="20"/>
          <w:lang w:val="en-US"/>
        </w:rPr>
        <w:t xml:space="preserve"> H, </w:t>
      </w:r>
      <w:proofErr w:type="spellStart"/>
      <w:r w:rsidRPr="00E51A80">
        <w:rPr>
          <w:rFonts w:ascii="Book Antiqua" w:hAnsi="Book Antiqua"/>
          <w:sz w:val="20"/>
          <w:szCs w:val="20"/>
          <w:lang w:val="en-US"/>
        </w:rPr>
        <w:t>Willinek</w:t>
      </w:r>
      <w:proofErr w:type="spellEnd"/>
      <w:r w:rsidRPr="00E51A80">
        <w:rPr>
          <w:rFonts w:ascii="Book Antiqua" w:hAnsi="Book Antiqua"/>
          <w:sz w:val="20"/>
          <w:szCs w:val="20"/>
          <w:lang w:val="en-US"/>
        </w:rPr>
        <w:t xml:space="preserve"> W, </w:t>
      </w:r>
      <w:proofErr w:type="spellStart"/>
      <w:r w:rsidRPr="00E51A80">
        <w:rPr>
          <w:rFonts w:ascii="Book Antiqua" w:hAnsi="Book Antiqua"/>
          <w:sz w:val="20"/>
          <w:szCs w:val="20"/>
          <w:lang w:val="en-US"/>
        </w:rPr>
        <w:t>Grünwald</w:t>
      </w:r>
      <w:proofErr w:type="spellEnd"/>
      <w:r w:rsidRPr="00E51A80">
        <w:rPr>
          <w:rFonts w:ascii="Book Antiqua" w:hAnsi="Book Antiqua"/>
          <w:sz w:val="20"/>
          <w:szCs w:val="20"/>
          <w:lang w:val="en-US"/>
        </w:rPr>
        <w:t xml:space="preserve"> F, </w:t>
      </w:r>
      <w:proofErr w:type="spellStart"/>
      <w:r w:rsidRPr="00E51A80">
        <w:rPr>
          <w:rFonts w:ascii="Book Antiqua" w:hAnsi="Book Antiqua"/>
          <w:sz w:val="20"/>
          <w:szCs w:val="20"/>
          <w:lang w:val="en-US"/>
        </w:rPr>
        <w:t>Guhlke</w:t>
      </w:r>
      <w:proofErr w:type="spellEnd"/>
      <w:r w:rsidRPr="00E51A80">
        <w:rPr>
          <w:rFonts w:ascii="Book Antiqua" w:hAnsi="Book Antiqua"/>
          <w:sz w:val="20"/>
          <w:szCs w:val="20"/>
          <w:lang w:val="en-US"/>
        </w:rPr>
        <w:t xml:space="preserve"> S, </w:t>
      </w:r>
      <w:proofErr w:type="spellStart"/>
      <w:r w:rsidRPr="00E51A80">
        <w:rPr>
          <w:rFonts w:ascii="Book Antiqua" w:hAnsi="Book Antiqua"/>
          <w:sz w:val="20"/>
          <w:szCs w:val="20"/>
          <w:lang w:val="en-US"/>
        </w:rPr>
        <w:t>Biersack</w:t>
      </w:r>
      <w:proofErr w:type="spellEnd"/>
      <w:r w:rsidRPr="00E51A80">
        <w:rPr>
          <w:rFonts w:ascii="Book Antiqua" w:hAnsi="Book Antiqua"/>
          <w:sz w:val="20"/>
          <w:szCs w:val="20"/>
          <w:lang w:val="en-US"/>
        </w:rPr>
        <w:t xml:space="preserve"> HJ, </w:t>
      </w:r>
      <w:proofErr w:type="spellStart"/>
      <w:r w:rsidRPr="00E51A80">
        <w:rPr>
          <w:rFonts w:ascii="Book Antiqua" w:hAnsi="Book Antiqua"/>
          <w:sz w:val="20"/>
          <w:szCs w:val="20"/>
          <w:lang w:val="en-US"/>
        </w:rPr>
        <w:t>Sabet</w:t>
      </w:r>
      <w:proofErr w:type="spellEnd"/>
      <w:r w:rsidRPr="00E51A80">
        <w:rPr>
          <w:rFonts w:ascii="Book Antiqua" w:hAnsi="Book Antiqua"/>
          <w:sz w:val="20"/>
          <w:szCs w:val="20"/>
          <w:lang w:val="en-US"/>
        </w:rPr>
        <w:t xml:space="preserve"> A. Predictors of long-term outcome in patients with well-differentiated </w:t>
      </w:r>
      <w:proofErr w:type="spellStart"/>
      <w:r w:rsidRPr="00E51A80">
        <w:rPr>
          <w:rFonts w:ascii="Book Antiqua" w:hAnsi="Book Antiqua"/>
          <w:sz w:val="20"/>
          <w:szCs w:val="20"/>
          <w:lang w:val="en-US"/>
        </w:rPr>
        <w:t>gastroenteropancreatic</w:t>
      </w:r>
      <w:proofErr w:type="spellEnd"/>
      <w:r w:rsidRPr="00E51A80">
        <w:rPr>
          <w:rFonts w:ascii="Book Antiqua" w:hAnsi="Book Antiqua"/>
          <w:sz w:val="20"/>
          <w:szCs w:val="20"/>
          <w:lang w:val="en-US"/>
        </w:rPr>
        <w:t xml:space="preserve"> neuroendocrine tumors after peptide receptor radionuclide therapy with 177Lu-octreotate. </w:t>
      </w:r>
      <w:r w:rsidRPr="00E51A80">
        <w:rPr>
          <w:rFonts w:ascii="Book Antiqua" w:hAnsi="Book Antiqua"/>
          <w:i/>
          <w:sz w:val="20"/>
          <w:szCs w:val="20"/>
          <w:lang w:val="en-US"/>
        </w:rPr>
        <w:t xml:space="preserve">J </w:t>
      </w:r>
      <w:proofErr w:type="spellStart"/>
      <w:r w:rsidRPr="00E51A80">
        <w:rPr>
          <w:rFonts w:ascii="Book Antiqua" w:hAnsi="Book Antiqua"/>
          <w:i/>
          <w:sz w:val="20"/>
          <w:szCs w:val="20"/>
          <w:lang w:val="en-US"/>
        </w:rPr>
        <w:t>Nucl</w:t>
      </w:r>
      <w:proofErr w:type="spellEnd"/>
      <w:r w:rsidRPr="00E51A80">
        <w:rPr>
          <w:rFonts w:ascii="Book Antiqua" w:hAnsi="Book Antiqua"/>
          <w:i/>
          <w:sz w:val="20"/>
          <w:szCs w:val="20"/>
          <w:lang w:val="en-US"/>
        </w:rPr>
        <w:t xml:space="preserve"> Med</w:t>
      </w:r>
      <w:r w:rsidRPr="00E51A80">
        <w:rPr>
          <w:rFonts w:ascii="Book Antiqua" w:hAnsi="Book Antiqua"/>
          <w:sz w:val="20"/>
          <w:szCs w:val="20"/>
          <w:lang w:val="en-US"/>
        </w:rPr>
        <w:t xml:space="preserve"> 2014; </w:t>
      </w:r>
      <w:r w:rsidRPr="00E51A80">
        <w:rPr>
          <w:rFonts w:ascii="Book Antiqua" w:hAnsi="Book Antiqua"/>
          <w:b/>
          <w:sz w:val="20"/>
          <w:szCs w:val="20"/>
          <w:lang w:val="en-US"/>
        </w:rPr>
        <w:t>55</w:t>
      </w:r>
      <w:r w:rsidRPr="00E51A80">
        <w:rPr>
          <w:rFonts w:ascii="Book Antiqua" w:hAnsi="Book Antiqua"/>
          <w:sz w:val="20"/>
          <w:szCs w:val="20"/>
          <w:lang w:val="en-US"/>
        </w:rPr>
        <w:t>: 183-190 [PMID: 24434296 DOI: 10.2967/jnumed.113.125336]</w:t>
      </w:r>
    </w:p>
    <w:p w:rsidR="002405DE" w:rsidRPr="00E51A80" w:rsidRDefault="002405DE"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t xml:space="preserve">11 </w:t>
      </w:r>
      <w:proofErr w:type="spellStart"/>
      <w:r w:rsidRPr="00E51A80">
        <w:rPr>
          <w:rFonts w:ascii="Book Antiqua" w:hAnsi="Book Antiqua"/>
          <w:b/>
          <w:sz w:val="20"/>
          <w:szCs w:val="20"/>
          <w:lang w:val="en-US"/>
        </w:rPr>
        <w:t>Ezziddin</w:t>
      </w:r>
      <w:proofErr w:type="spellEnd"/>
      <w:r w:rsidRPr="00E51A80">
        <w:rPr>
          <w:rFonts w:ascii="Book Antiqua" w:hAnsi="Book Antiqua"/>
          <w:b/>
          <w:sz w:val="20"/>
          <w:szCs w:val="20"/>
          <w:lang w:val="en-US"/>
        </w:rPr>
        <w:t xml:space="preserve"> S</w:t>
      </w:r>
      <w:r w:rsidRPr="00E51A80">
        <w:rPr>
          <w:rFonts w:ascii="Book Antiqua" w:hAnsi="Book Antiqua"/>
          <w:sz w:val="20"/>
          <w:szCs w:val="20"/>
          <w:lang w:val="en-US"/>
        </w:rPr>
        <w:t xml:space="preserve">, </w:t>
      </w:r>
      <w:proofErr w:type="spellStart"/>
      <w:r w:rsidRPr="00E51A80">
        <w:rPr>
          <w:rFonts w:ascii="Book Antiqua" w:hAnsi="Book Antiqua"/>
          <w:sz w:val="20"/>
          <w:szCs w:val="20"/>
          <w:lang w:val="en-US"/>
        </w:rPr>
        <w:t>Sabet</w:t>
      </w:r>
      <w:proofErr w:type="spellEnd"/>
      <w:r w:rsidRPr="00E51A80">
        <w:rPr>
          <w:rFonts w:ascii="Book Antiqua" w:hAnsi="Book Antiqua"/>
          <w:sz w:val="20"/>
          <w:szCs w:val="20"/>
          <w:lang w:val="en-US"/>
        </w:rPr>
        <w:t xml:space="preserve"> A, Heinemann F, Yong-</w:t>
      </w:r>
      <w:proofErr w:type="spellStart"/>
      <w:r w:rsidRPr="00E51A80">
        <w:rPr>
          <w:rFonts w:ascii="Book Antiqua" w:hAnsi="Book Antiqua"/>
          <w:sz w:val="20"/>
          <w:szCs w:val="20"/>
          <w:lang w:val="en-US"/>
        </w:rPr>
        <w:t>Hing</w:t>
      </w:r>
      <w:proofErr w:type="spellEnd"/>
      <w:r w:rsidRPr="00E51A80">
        <w:rPr>
          <w:rFonts w:ascii="Book Antiqua" w:hAnsi="Book Antiqua"/>
          <w:sz w:val="20"/>
          <w:szCs w:val="20"/>
          <w:lang w:val="en-US"/>
        </w:rPr>
        <w:t xml:space="preserve"> CJ, </w:t>
      </w:r>
      <w:proofErr w:type="spellStart"/>
      <w:r w:rsidRPr="00E51A80">
        <w:rPr>
          <w:rFonts w:ascii="Book Antiqua" w:hAnsi="Book Antiqua"/>
          <w:sz w:val="20"/>
          <w:szCs w:val="20"/>
          <w:lang w:val="en-US"/>
        </w:rPr>
        <w:t>Ahmadzadehfar</w:t>
      </w:r>
      <w:proofErr w:type="spellEnd"/>
      <w:r w:rsidRPr="00E51A80">
        <w:rPr>
          <w:rFonts w:ascii="Book Antiqua" w:hAnsi="Book Antiqua"/>
          <w:sz w:val="20"/>
          <w:szCs w:val="20"/>
          <w:lang w:val="en-US"/>
        </w:rPr>
        <w:t xml:space="preserve"> H, </w:t>
      </w:r>
      <w:proofErr w:type="spellStart"/>
      <w:r w:rsidRPr="00E51A80">
        <w:rPr>
          <w:rFonts w:ascii="Book Antiqua" w:hAnsi="Book Antiqua"/>
          <w:sz w:val="20"/>
          <w:szCs w:val="20"/>
          <w:lang w:val="en-US"/>
        </w:rPr>
        <w:t>Guhlke</w:t>
      </w:r>
      <w:proofErr w:type="spellEnd"/>
      <w:r w:rsidRPr="00E51A80">
        <w:rPr>
          <w:rFonts w:ascii="Book Antiqua" w:hAnsi="Book Antiqua"/>
          <w:sz w:val="20"/>
          <w:szCs w:val="20"/>
          <w:lang w:val="en-US"/>
        </w:rPr>
        <w:t xml:space="preserve"> S, </w:t>
      </w:r>
      <w:proofErr w:type="spellStart"/>
      <w:r w:rsidRPr="00E51A80">
        <w:rPr>
          <w:rFonts w:ascii="Book Antiqua" w:hAnsi="Book Antiqua"/>
          <w:sz w:val="20"/>
          <w:szCs w:val="20"/>
          <w:lang w:val="en-US"/>
        </w:rPr>
        <w:t>Höller</w:t>
      </w:r>
      <w:proofErr w:type="spellEnd"/>
      <w:r w:rsidRPr="00E51A80">
        <w:rPr>
          <w:rFonts w:ascii="Book Antiqua" w:hAnsi="Book Antiqua"/>
          <w:sz w:val="20"/>
          <w:szCs w:val="20"/>
          <w:lang w:val="en-US"/>
        </w:rPr>
        <w:t xml:space="preserve"> T, </w:t>
      </w:r>
      <w:proofErr w:type="spellStart"/>
      <w:r w:rsidRPr="00E51A80">
        <w:rPr>
          <w:rFonts w:ascii="Book Antiqua" w:hAnsi="Book Antiqua"/>
          <w:sz w:val="20"/>
          <w:szCs w:val="20"/>
          <w:lang w:val="en-US"/>
        </w:rPr>
        <w:t>Willinek</w:t>
      </w:r>
      <w:proofErr w:type="spellEnd"/>
      <w:r w:rsidRPr="00E51A80">
        <w:rPr>
          <w:rFonts w:ascii="Book Antiqua" w:hAnsi="Book Antiqua"/>
          <w:sz w:val="20"/>
          <w:szCs w:val="20"/>
          <w:lang w:val="en-US"/>
        </w:rPr>
        <w:t xml:space="preserve"> W, Boy C, </w:t>
      </w:r>
      <w:proofErr w:type="spellStart"/>
      <w:r w:rsidRPr="00E51A80">
        <w:rPr>
          <w:rFonts w:ascii="Book Antiqua" w:hAnsi="Book Antiqua"/>
          <w:sz w:val="20"/>
          <w:szCs w:val="20"/>
          <w:lang w:val="en-US"/>
        </w:rPr>
        <w:t>Biersack</w:t>
      </w:r>
      <w:proofErr w:type="spellEnd"/>
      <w:r w:rsidRPr="00E51A80">
        <w:rPr>
          <w:rFonts w:ascii="Book Antiqua" w:hAnsi="Book Antiqua"/>
          <w:sz w:val="20"/>
          <w:szCs w:val="20"/>
          <w:lang w:val="en-US"/>
        </w:rPr>
        <w:t xml:space="preserve"> HJ. Response and long-term control of bone metastases after peptide receptor radionuclide therapy with (177</w:t>
      </w:r>
      <w:proofErr w:type="gramStart"/>
      <w:r w:rsidRPr="00E51A80">
        <w:rPr>
          <w:rFonts w:ascii="Book Antiqua" w:hAnsi="Book Antiqua"/>
          <w:sz w:val="20"/>
          <w:szCs w:val="20"/>
          <w:lang w:val="en-US"/>
        </w:rPr>
        <w:t>)Lu</w:t>
      </w:r>
      <w:proofErr w:type="gramEnd"/>
      <w:r w:rsidRPr="00E51A80">
        <w:rPr>
          <w:rFonts w:ascii="Book Antiqua" w:hAnsi="Book Antiqua"/>
          <w:sz w:val="20"/>
          <w:szCs w:val="20"/>
          <w:lang w:val="en-US"/>
        </w:rPr>
        <w:t>-</w:t>
      </w:r>
      <w:proofErr w:type="spellStart"/>
      <w:r w:rsidRPr="00E51A80">
        <w:rPr>
          <w:rFonts w:ascii="Book Antiqua" w:hAnsi="Book Antiqua"/>
          <w:sz w:val="20"/>
          <w:szCs w:val="20"/>
          <w:lang w:val="en-US"/>
        </w:rPr>
        <w:t>octreotate</w:t>
      </w:r>
      <w:proofErr w:type="spellEnd"/>
      <w:r w:rsidRPr="00E51A80">
        <w:rPr>
          <w:rFonts w:ascii="Book Antiqua" w:hAnsi="Book Antiqua"/>
          <w:sz w:val="20"/>
          <w:szCs w:val="20"/>
          <w:lang w:val="en-US"/>
        </w:rPr>
        <w:t xml:space="preserve">. </w:t>
      </w:r>
      <w:r w:rsidRPr="00E51A80">
        <w:rPr>
          <w:rFonts w:ascii="Book Antiqua" w:hAnsi="Book Antiqua"/>
          <w:i/>
          <w:sz w:val="20"/>
          <w:szCs w:val="20"/>
          <w:lang w:val="en-US"/>
        </w:rPr>
        <w:t xml:space="preserve">J </w:t>
      </w:r>
      <w:proofErr w:type="spellStart"/>
      <w:r w:rsidRPr="00E51A80">
        <w:rPr>
          <w:rFonts w:ascii="Book Antiqua" w:hAnsi="Book Antiqua"/>
          <w:i/>
          <w:sz w:val="20"/>
          <w:szCs w:val="20"/>
          <w:lang w:val="en-US"/>
        </w:rPr>
        <w:t>Nucl</w:t>
      </w:r>
      <w:proofErr w:type="spellEnd"/>
      <w:r w:rsidRPr="00E51A80">
        <w:rPr>
          <w:rFonts w:ascii="Book Antiqua" w:hAnsi="Book Antiqua"/>
          <w:i/>
          <w:sz w:val="20"/>
          <w:szCs w:val="20"/>
          <w:lang w:val="en-US"/>
        </w:rPr>
        <w:t xml:space="preserve"> Med</w:t>
      </w:r>
      <w:r w:rsidRPr="00E51A80">
        <w:rPr>
          <w:rFonts w:ascii="Book Antiqua" w:hAnsi="Book Antiqua"/>
          <w:sz w:val="20"/>
          <w:szCs w:val="20"/>
          <w:lang w:val="en-US"/>
        </w:rPr>
        <w:t xml:space="preserve"> 2011; </w:t>
      </w:r>
      <w:r w:rsidRPr="00E51A80">
        <w:rPr>
          <w:rFonts w:ascii="Book Antiqua" w:hAnsi="Book Antiqua"/>
          <w:b/>
          <w:sz w:val="20"/>
          <w:szCs w:val="20"/>
          <w:lang w:val="en-US"/>
        </w:rPr>
        <w:t>52</w:t>
      </w:r>
      <w:r w:rsidRPr="00E51A80">
        <w:rPr>
          <w:rFonts w:ascii="Book Antiqua" w:hAnsi="Book Antiqua"/>
          <w:sz w:val="20"/>
          <w:szCs w:val="20"/>
          <w:lang w:val="en-US"/>
        </w:rPr>
        <w:t>: 1197-1203 [PMID: 21764798 DOI: 10.2967/jnumed.111.090373]</w:t>
      </w:r>
    </w:p>
    <w:p w:rsidR="00700EBA" w:rsidRPr="00E51A80" w:rsidRDefault="00700EBA"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b/>
          <w:sz w:val="20"/>
          <w:szCs w:val="20"/>
          <w:lang w:val="en-US"/>
        </w:rPr>
        <w:lastRenderedPageBreak/>
        <w:t xml:space="preserve">12 </w:t>
      </w:r>
      <w:proofErr w:type="spellStart"/>
      <w:r w:rsidRPr="00E51A80">
        <w:rPr>
          <w:rFonts w:ascii="Book Antiqua" w:hAnsi="Book Antiqua"/>
          <w:b/>
          <w:sz w:val="20"/>
          <w:szCs w:val="20"/>
          <w:lang w:val="en-US"/>
        </w:rPr>
        <w:t>Strosberg</w:t>
      </w:r>
      <w:proofErr w:type="spellEnd"/>
      <w:r w:rsidRPr="00E51A80">
        <w:rPr>
          <w:rFonts w:ascii="Book Antiqua" w:hAnsi="Book Antiqua"/>
          <w:b/>
          <w:sz w:val="20"/>
          <w:szCs w:val="20"/>
          <w:lang w:val="en-US"/>
        </w:rPr>
        <w:t xml:space="preserve"> J, </w:t>
      </w:r>
      <w:r w:rsidRPr="00E51A80">
        <w:rPr>
          <w:rFonts w:ascii="Book Antiqua" w:hAnsi="Book Antiqua"/>
          <w:sz w:val="20"/>
          <w:szCs w:val="20"/>
          <w:lang w:val="en-US"/>
        </w:rPr>
        <w:t xml:space="preserve">Gardner N, </w:t>
      </w:r>
      <w:proofErr w:type="spellStart"/>
      <w:r w:rsidRPr="00E51A80">
        <w:rPr>
          <w:rFonts w:ascii="Book Antiqua" w:hAnsi="Book Antiqua"/>
          <w:sz w:val="20"/>
          <w:szCs w:val="20"/>
          <w:lang w:val="en-US"/>
        </w:rPr>
        <w:t>Kvols</w:t>
      </w:r>
      <w:proofErr w:type="spellEnd"/>
      <w:r w:rsidRPr="00E51A80">
        <w:rPr>
          <w:rFonts w:ascii="Book Antiqua" w:hAnsi="Book Antiqua"/>
          <w:sz w:val="20"/>
          <w:szCs w:val="20"/>
          <w:lang w:val="en-US"/>
        </w:rPr>
        <w:t xml:space="preserve">, L. Survival and prognostic factor analysis of 146 metastatic neuroendocrine tumors of the mid-gut. </w:t>
      </w:r>
      <w:r w:rsidRPr="00E51A80">
        <w:rPr>
          <w:rFonts w:ascii="Book Antiqua" w:hAnsi="Book Antiqua"/>
          <w:i/>
          <w:sz w:val="20"/>
          <w:szCs w:val="20"/>
          <w:lang w:val="en-US"/>
        </w:rPr>
        <w:t xml:space="preserve">Neuroendocrinology </w:t>
      </w:r>
      <w:r w:rsidRPr="00E51A80">
        <w:rPr>
          <w:rFonts w:ascii="Book Antiqua" w:hAnsi="Book Antiqua"/>
          <w:sz w:val="20"/>
          <w:szCs w:val="20"/>
          <w:lang w:val="en-US"/>
        </w:rPr>
        <w:t>2009; 89: 471–476 [PMID: 19174605 DOI: 10.1159/000197899]</w:t>
      </w:r>
    </w:p>
    <w:p w:rsidR="002405DE" w:rsidRPr="00E51A80" w:rsidRDefault="002405DE" w:rsidP="007E3E0D">
      <w:pPr>
        <w:adjustRightInd w:val="0"/>
        <w:snapToGrid w:val="0"/>
        <w:spacing w:after="0" w:line="360" w:lineRule="auto"/>
        <w:jc w:val="both"/>
        <w:rPr>
          <w:rFonts w:ascii="Book Antiqua" w:hAnsi="Book Antiqua"/>
          <w:sz w:val="20"/>
          <w:szCs w:val="20"/>
          <w:lang w:val="en-US"/>
        </w:rPr>
      </w:pPr>
      <w:proofErr w:type="gramStart"/>
      <w:r w:rsidRPr="00E51A80">
        <w:rPr>
          <w:rFonts w:ascii="Book Antiqua" w:hAnsi="Book Antiqua"/>
          <w:sz w:val="20"/>
          <w:szCs w:val="20"/>
          <w:lang w:val="en-US"/>
        </w:rPr>
        <w:t xml:space="preserve">13 </w:t>
      </w:r>
      <w:proofErr w:type="spellStart"/>
      <w:r w:rsidRPr="00E51A80">
        <w:rPr>
          <w:rFonts w:ascii="Book Antiqua" w:hAnsi="Book Antiqua"/>
          <w:b/>
          <w:sz w:val="20"/>
          <w:szCs w:val="20"/>
          <w:lang w:val="en-US"/>
        </w:rPr>
        <w:t>Brabander</w:t>
      </w:r>
      <w:proofErr w:type="spellEnd"/>
      <w:r w:rsidRPr="00E51A80">
        <w:rPr>
          <w:rFonts w:ascii="Book Antiqua" w:hAnsi="Book Antiqua"/>
          <w:b/>
          <w:sz w:val="20"/>
          <w:szCs w:val="20"/>
          <w:lang w:val="en-US"/>
        </w:rPr>
        <w:t xml:space="preserve"> T</w:t>
      </w:r>
      <w:r w:rsidRPr="00E51A80">
        <w:rPr>
          <w:rFonts w:ascii="Book Antiqua" w:hAnsi="Book Antiqua"/>
          <w:sz w:val="20"/>
          <w:szCs w:val="20"/>
          <w:lang w:val="en-US"/>
        </w:rPr>
        <w:t xml:space="preserve">, van der </w:t>
      </w:r>
      <w:proofErr w:type="spellStart"/>
      <w:r w:rsidRPr="00E51A80">
        <w:rPr>
          <w:rFonts w:ascii="Book Antiqua" w:hAnsi="Book Antiqua"/>
          <w:sz w:val="20"/>
          <w:szCs w:val="20"/>
          <w:lang w:val="en-US"/>
        </w:rPr>
        <w:t>Zwan</w:t>
      </w:r>
      <w:proofErr w:type="spellEnd"/>
      <w:r w:rsidRPr="00E51A80">
        <w:rPr>
          <w:rFonts w:ascii="Book Antiqua" w:hAnsi="Book Antiqua"/>
          <w:sz w:val="20"/>
          <w:szCs w:val="20"/>
          <w:lang w:val="en-US"/>
        </w:rPr>
        <w:t xml:space="preserve"> WA, </w:t>
      </w:r>
      <w:proofErr w:type="spellStart"/>
      <w:r w:rsidRPr="00E51A80">
        <w:rPr>
          <w:rFonts w:ascii="Book Antiqua" w:hAnsi="Book Antiqua"/>
          <w:sz w:val="20"/>
          <w:szCs w:val="20"/>
          <w:lang w:val="en-US"/>
        </w:rPr>
        <w:t>Teunissen</w:t>
      </w:r>
      <w:proofErr w:type="spellEnd"/>
      <w:r w:rsidRPr="00E51A80">
        <w:rPr>
          <w:rFonts w:ascii="Book Antiqua" w:hAnsi="Book Antiqua"/>
          <w:sz w:val="20"/>
          <w:szCs w:val="20"/>
          <w:lang w:val="en-US"/>
        </w:rPr>
        <w:t xml:space="preserve"> JJM, </w:t>
      </w:r>
      <w:proofErr w:type="spellStart"/>
      <w:r w:rsidRPr="00E51A80">
        <w:rPr>
          <w:rFonts w:ascii="Book Antiqua" w:hAnsi="Book Antiqua"/>
          <w:sz w:val="20"/>
          <w:szCs w:val="20"/>
          <w:lang w:val="en-US"/>
        </w:rPr>
        <w:t>Kam</w:t>
      </w:r>
      <w:proofErr w:type="spellEnd"/>
      <w:r w:rsidRPr="00E51A80">
        <w:rPr>
          <w:rFonts w:ascii="Book Antiqua" w:hAnsi="Book Antiqua"/>
          <w:sz w:val="20"/>
          <w:szCs w:val="20"/>
          <w:lang w:val="en-US"/>
        </w:rPr>
        <w:t xml:space="preserve"> BLR, de Herder WW, </w:t>
      </w:r>
      <w:proofErr w:type="spellStart"/>
      <w:r w:rsidRPr="00E51A80">
        <w:rPr>
          <w:rFonts w:ascii="Book Antiqua" w:hAnsi="Book Antiqua"/>
          <w:sz w:val="20"/>
          <w:szCs w:val="20"/>
          <w:lang w:val="en-US"/>
        </w:rPr>
        <w:t>Feelders</w:t>
      </w:r>
      <w:proofErr w:type="spellEnd"/>
      <w:r w:rsidRPr="00E51A80">
        <w:rPr>
          <w:rFonts w:ascii="Book Antiqua" w:hAnsi="Book Antiqua"/>
          <w:sz w:val="20"/>
          <w:szCs w:val="20"/>
          <w:lang w:val="en-US"/>
        </w:rPr>
        <w:t xml:space="preserve"> RA, </w:t>
      </w:r>
      <w:proofErr w:type="spellStart"/>
      <w:r w:rsidRPr="00E51A80">
        <w:rPr>
          <w:rFonts w:ascii="Book Antiqua" w:hAnsi="Book Antiqua"/>
          <w:sz w:val="20"/>
          <w:szCs w:val="20"/>
          <w:lang w:val="en-US"/>
        </w:rPr>
        <w:t>Krenning</w:t>
      </w:r>
      <w:proofErr w:type="spellEnd"/>
      <w:r w:rsidRPr="00E51A80">
        <w:rPr>
          <w:rFonts w:ascii="Book Antiqua" w:hAnsi="Book Antiqua"/>
          <w:sz w:val="20"/>
          <w:szCs w:val="20"/>
          <w:lang w:val="en-US"/>
        </w:rPr>
        <w:t xml:space="preserve"> EP, </w:t>
      </w:r>
      <w:proofErr w:type="spellStart"/>
      <w:r w:rsidRPr="00E51A80">
        <w:rPr>
          <w:rFonts w:ascii="Book Antiqua" w:hAnsi="Book Antiqua"/>
          <w:sz w:val="20"/>
          <w:szCs w:val="20"/>
          <w:lang w:val="en-US"/>
        </w:rPr>
        <w:t>Kwekkeboom</w:t>
      </w:r>
      <w:proofErr w:type="spellEnd"/>
      <w:r w:rsidRPr="00E51A80">
        <w:rPr>
          <w:rFonts w:ascii="Book Antiqua" w:hAnsi="Book Antiqua"/>
          <w:sz w:val="20"/>
          <w:szCs w:val="20"/>
          <w:lang w:val="en-US"/>
        </w:rPr>
        <w:t xml:space="preserve"> DJ.</w:t>
      </w:r>
      <w:proofErr w:type="gramEnd"/>
      <w:r w:rsidRPr="00E51A80">
        <w:rPr>
          <w:rFonts w:ascii="Book Antiqua" w:hAnsi="Book Antiqua"/>
          <w:sz w:val="20"/>
          <w:szCs w:val="20"/>
          <w:lang w:val="en-US"/>
        </w:rPr>
        <w:t xml:space="preserve"> Pitfalls in the response evaluation after peptide receptor radionuclide therapy with [</w:t>
      </w:r>
      <w:r w:rsidRPr="00E51A80">
        <w:rPr>
          <w:rFonts w:ascii="Book Antiqua" w:hAnsi="Book Antiqua"/>
          <w:sz w:val="20"/>
          <w:szCs w:val="20"/>
          <w:vertAlign w:val="superscript"/>
          <w:lang w:val="en-US"/>
        </w:rPr>
        <w:t>177</w:t>
      </w:r>
      <w:r w:rsidRPr="00E51A80">
        <w:rPr>
          <w:rFonts w:ascii="Book Antiqua" w:hAnsi="Book Antiqua"/>
          <w:sz w:val="20"/>
          <w:szCs w:val="20"/>
          <w:lang w:val="en-US"/>
        </w:rPr>
        <w:t>Lu-DOTA</w:t>
      </w:r>
      <w:r w:rsidRPr="00E51A80">
        <w:rPr>
          <w:rFonts w:ascii="Book Antiqua" w:hAnsi="Book Antiqua"/>
          <w:sz w:val="20"/>
          <w:szCs w:val="20"/>
          <w:vertAlign w:val="superscript"/>
          <w:lang w:val="en-US"/>
        </w:rPr>
        <w:t>0</w:t>
      </w:r>
      <w:proofErr w:type="gramStart"/>
      <w:r w:rsidRPr="00E51A80">
        <w:rPr>
          <w:rFonts w:ascii="Book Antiqua" w:hAnsi="Book Antiqua"/>
          <w:sz w:val="20"/>
          <w:szCs w:val="20"/>
          <w:lang w:val="en-US"/>
        </w:rPr>
        <w:t>,Tyr</w:t>
      </w:r>
      <w:r w:rsidRPr="00E51A80">
        <w:rPr>
          <w:rFonts w:ascii="Book Antiqua" w:hAnsi="Book Antiqua"/>
          <w:sz w:val="20"/>
          <w:szCs w:val="20"/>
          <w:vertAlign w:val="superscript"/>
          <w:lang w:val="en-US"/>
        </w:rPr>
        <w:t>3</w:t>
      </w:r>
      <w:proofErr w:type="gramEnd"/>
      <w:r w:rsidRPr="00E51A80">
        <w:rPr>
          <w:rFonts w:ascii="Book Antiqua" w:hAnsi="Book Antiqua"/>
          <w:sz w:val="20"/>
          <w:szCs w:val="20"/>
          <w:lang w:val="en-US"/>
        </w:rPr>
        <w:t>]</w:t>
      </w:r>
      <w:proofErr w:type="spellStart"/>
      <w:r w:rsidRPr="00E51A80">
        <w:rPr>
          <w:rFonts w:ascii="Book Antiqua" w:hAnsi="Book Antiqua"/>
          <w:sz w:val="20"/>
          <w:szCs w:val="20"/>
          <w:lang w:val="en-US"/>
        </w:rPr>
        <w:t>octreotate</w:t>
      </w:r>
      <w:proofErr w:type="spellEnd"/>
      <w:r w:rsidRPr="00E51A80">
        <w:rPr>
          <w:rFonts w:ascii="Book Antiqua" w:hAnsi="Book Antiqua"/>
          <w:sz w:val="20"/>
          <w:szCs w:val="20"/>
          <w:lang w:val="en-US"/>
        </w:rPr>
        <w:t xml:space="preserve">. </w:t>
      </w:r>
      <w:proofErr w:type="spellStart"/>
      <w:r w:rsidRPr="00E51A80">
        <w:rPr>
          <w:rFonts w:ascii="Book Antiqua" w:hAnsi="Book Antiqua"/>
          <w:i/>
          <w:sz w:val="20"/>
          <w:szCs w:val="20"/>
          <w:lang w:val="en-US"/>
        </w:rPr>
        <w:t>Endocr</w:t>
      </w:r>
      <w:proofErr w:type="spellEnd"/>
      <w:r w:rsidRPr="00E51A80">
        <w:rPr>
          <w:rFonts w:ascii="Book Antiqua" w:hAnsi="Book Antiqua"/>
          <w:i/>
          <w:sz w:val="20"/>
          <w:szCs w:val="20"/>
          <w:lang w:val="en-US"/>
        </w:rPr>
        <w:t xml:space="preserve"> </w:t>
      </w:r>
      <w:proofErr w:type="spellStart"/>
      <w:r w:rsidRPr="00E51A80">
        <w:rPr>
          <w:rFonts w:ascii="Book Antiqua" w:hAnsi="Book Antiqua"/>
          <w:i/>
          <w:sz w:val="20"/>
          <w:szCs w:val="20"/>
          <w:lang w:val="en-US"/>
        </w:rPr>
        <w:t>Relat</w:t>
      </w:r>
      <w:proofErr w:type="spellEnd"/>
      <w:r w:rsidRPr="00E51A80">
        <w:rPr>
          <w:rFonts w:ascii="Book Antiqua" w:hAnsi="Book Antiqua"/>
          <w:i/>
          <w:sz w:val="20"/>
          <w:szCs w:val="20"/>
          <w:lang w:val="en-US"/>
        </w:rPr>
        <w:t xml:space="preserve"> Cancer</w:t>
      </w:r>
      <w:r w:rsidRPr="00E51A80">
        <w:rPr>
          <w:rFonts w:ascii="Book Antiqua" w:hAnsi="Book Antiqua"/>
          <w:sz w:val="20"/>
          <w:szCs w:val="20"/>
          <w:lang w:val="en-US"/>
        </w:rPr>
        <w:t xml:space="preserve"> 2017; </w:t>
      </w:r>
      <w:r w:rsidRPr="00E51A80">
        <w:rPr>
          <w:rFonts w:ascii="Book Antiqua" w:hAnsi="Book Antiqua"/>
          <w:b/>
          <w:sz w:val="20"/>
          <w:szCs w:val="20"/>
          <w:lang w:val="en-US"/>
        </w:rPr>
        <w:t>24</w:t>
      </w:r>
      <w:r w:rsidRPr="00E51A80">
        <w:rPr>
          <w:rFonts w:ascii="Book Antiqua" w:hAnsi="Book Antiqua"/>
          <w:sz w:val="20"/>
          <w:szCs w:val="20"/>
          <w:lang w:val="en-US"/>
        </w:rPr>
        <w:t>: 243-251 [PMID: 28320783 DOI: 10.1530/ERC-16-0524]</w:t>
      </w:r>
    </w:p>
    <w:p w:rsidR="002405DE" w:rsidRPr="00E51A80" w:rsidRDefault="002405DE"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t xml:space="preserve">14 </w:t>
      </w:r>
      <w:proofErr w:type="spellStart"/>
      <w:r w:rsidRPr="00E51A80">
        <w:rPr>
          <w:rFonts w:ascii="Book Antiqua" w:hAnsi="Book Antiqua"/>
          <w:b/>
          <w:sz w:val="20"/>
          <w:szCs w:val="20"/>
          <w:lang w:val="en-US"/>
        </w:rPr>
        <w:t>Kaderli</w:t>
      </w:r>
      <w:proofErr w:type="spellEnd"/>
      <w:r w:rsidRPr="00E51A80">
        <w:rPr>
          <w:rFonts w:ascii="Book Antiqua" w:hAnsi="Book Antiqua"/>
          <w:b/>
          <w:sz w:val="20"/>
          <w:szCs w:val="20"/>
          <w:lang w:val="en-US"/>
        </w:rPr>
        <w:t xml:space="preserve"> RM</w:t>
      </w:r>
      <w:r w:rsidRPr="00E51A80">
        <w:rPr>
          <w:rFonts w:ascii="Book Antiqua" w:hAnsi="Book Antiqua"/>
          <w:sz w:val="20"/>
          <w:szCs w:val="20"/>
          <w:lang w:val="en-US"/>
        </w:rPr>
        <w:t xml:space="preserve">, </w:t>
      </w:r>
      <w:proofErr w:type="spellStart"/>
      <w:r w:rsidRPr="00E51A80">
        <w:rPr>
          <w:rFonts w:ascii="Book Antiqua" w:hAnsi="Book Antiqua"/>
          <w:sz w:val="20"/>
          <w:szCs w:val="20"/>
          <w:lang w:val="en-US"/>
        </w:rPr>
        <w:t>Spanjol</w:t>
      </w:r>
      <w:proofErr w:type="spellEnd"/>
      <w:r w:rsidRPr="00E51A80">
        <w:rPr>
          <w:rFonts w:ascii="Book Antiqua" w:hAnsi="Book Antiqua"/>
          <w:sz w:val="20"/>
          <w:szCs w:val="20"/>
          <w:lang w:val="en-US"/>
        </w:rPr>
        <w:t xml:space="preserve"> M, </w:t>
      </w:r>
      <w:proofErr w:type="spellStart"/>
      <w:r w:rsidRPr="00E51A80">
        <w:rPr>
          <w:rFonts w:ascii="Book Antiqua" w:hAnsi="Book Antiqua"/>
          <w:sz w:val="20"/>
          <w:szCs w:val="20"/>
          <w:lang w:val="en-US"/>
        </w:rPr>
        <w:t>Kollár</w:t>
      </w:r>
      <w:proofErr w:type="spellEnd"/>
      <w:r w:rsidRPr="00E51A80">
        <w:rPr>
          <w:rFonts w:ascii="Book Antiqua" w:hAnsi="Book Antiqua"/>
          <w:sz w:val="20"/>
          <w:szCs w:val="20"/>
          <w:lang w:val="en-US"/>
        </w:rPr>
        <w:t xml:space="preserve"> A, </w:t>
      </w:r>
      <w:proofErr w:type="spellStart"/>
      <w:r w:rsidRPr="00E51A80">
        <w:rPr>
          <w:rFonts w:ascii="Book Antiqua" w:hAnsi="Book Antiqua"/>
          <w:sz w:val="20"/>
          <w:szCs w:val="20"/>
          <w:lang w:val="en-US"/>
        </w:rPr>
        <w:t>Bütikofer</w:t>
      </w:r>
      <w:proofErr w:type="spellEnd"/>
      <w:r w:rsidRPr="00E51A80">
        <w:rPr>
          <w:rFonts w:ascii="Book Antiqua" w:hAnsi="Book Antiqua"/>
          <w:sz w:val="20"/>
          <w:szCs w:val="20"/>
          <w:lang w:val="en-US"/>
        </w:rPr>
        <w:t xml:space="preserve"> L, </w:t>
      </w:r>
      <w:proofErr w:type="spellStart"/>
      <w:r w:rsidRPr="00E51A80">
        <w:rPr>
          <w:rFonts w:ascii="Book Antiqua" w:hAnsi="Book Antiqua"/>
          <w:sz w:val="20"/>
          <w:szCs w:val="20"/>
          <w:lang w:val="en-US"/>
        </w:rPr>
        <w:t>Gloy</w:t>
      </w:r>
      <w:proofErr w:type="spellEnd"/>
      <w:r w:rsidRPr="00E51A80">
        <w:rPr>
          <w:rFonts w:ascii="Book Antiqua" w:hAnsi="Book Antiqua"/>
          <w:sz w:val="20"/>
          <w:szCs w:val="20"/>
          <w:lang w:val="en-US"/>
        </w:rPr>
        <w:t xml:space="preserve"> V, Dumont RA, Seiler CA, Christ ER, </w:t>
      </w:r>
      <w:proofErr w:type="spellStart"/>
      <w:r w:rsidRPr="00E51A80">
        <w:rPr>
          <w:rFonts w:ascii="Book Antiqua" w:hAnsi="Book Antiqua"/>
          <w:sz w:val="20"/>
          <w:szCs w:val="20"/>
          <w:lang w:val="en-US"/>
        </w:rPr>
        <w:t>Radojewski</w:t>
      </w:r>
      <w:proofErr w:type="spellEnd"/>
      <w:r w:rsidRPr="00E51A80">
        <w:rPr>
          <w:rFonts w:ascii="Book Antiqua" w:hAnsi="Book Antiqua"/>
          <w:sz w:val="20"/>
          <w:szCs w:val="20"/>
          <w:lang w:val="en-US"/>
        </w:rPr>
        <w:t xml:space="preserve"> P, </w:t>
      </w:r>
      <w:proofErr w:type="spellStart"/>
      <w:r w:rsidRPr="00E51A80">
        <w:rPr>
          <w:rFonts w:ascii="Book Antiqua" w:hAnsi="Book Antiqua"/>
          <w:sz w:val="20"/>
          <w:szCs w:val="20"/>
          <w:lang w:val="en-US"/>
        </w:rPr>
        <w:t>Briel</w:t>
      </w:r>
      <w:proofErr w:type="spellEnd"/>
      <w:r w:rsidRPr="00E51A80">
        <w:rPr>
          <w:rFonts w:ascii="Book Antiqua" w:hAnsi="Book Antiqua"/>
          <w:sz w:val="20"/>
          <w:szCs w:val="20"/>
          <w:lang w:val="en-US"/>
        </w:rPr>
        <w:t xml:space="preserve"> M, Walter MA. Therapeutic Options for Neuroendocrine Tumors: A Systematic Review and Network Meta-analysis. </w:t>
      </w:r>
      <w:r w:rsidRPr="00E51A80">
        <w:rPr>
          <w:rFonts w:ascii="Book Antiqua" w:hAnsi="Book Antiqua"/>
          <w:i/>
          <w:sz w:val="20"/>
          <w:szCs w:val="20"/>
          <w:lang w:val="en-US"/>
        </w:rPr>
        <w:t xml:space="preserve">JAMA </w:t>
      </w:r>
      <w:proofErr w:type="spellStart"/>
      <w:r w:rsidRPr="00E51A80">
        <w:rPr>
          <w:rFonts w:ascii="Book Antiqua" w:hAnsi="Book Antiqua"/>
          <w:i/>
          <w:sz w:val="20"/>
          <w:szCs w:val="20"/>
          <w:lang w:val="en-US"/>
        </w:rPr>
        <w:t>Oncol</w:t>
      </w:r>
      <w:proofErr w:type="spellEnd"/>
      <w:r w:rsidRPr="00E51A80">
        <w:rPr>
          <w:rFonts w:ascii="Book Antiqua" w:hAnsi="Book Antiqua"/>
          <w:sz w:val="20"/>
          <w:szCs w:val="20"/>
          <w:lang w:val="en-US"/>
        </w:rPr>
        <w:t xml:space="preserve"> 2019; </w:t>
      </w:r>
      <w:r w:rsidRPr="00E51A80">
        <w:rPr>
          <w:rFonts w:ascii="Book Antiqua" w:hAnsi="Book Antiqua"/>
          <w:b/>
          <w:sz w:val="20"/>
          <w:szCs w:val="20"/>
          <w:lang w:val="en-US"/>
        </w:rPr>
        <w:t>5</w:t>
      </w:r>
      <w:r w:rsidRPr="00E51A80">
        <w:rPr>
          <w:rFonts w:ascii="Book Antiqua" w:hAnsi="Book Antiqua"/>
          <w:sz w:val="20"/>
          <w:szCs w:val="20"/>
          <w:lang w:val="en-US"/>
        </w:rPr>
        <w:t>: 480-489 [PMID: 30763436 DOI: 10.1001/jamaoncol.2018.6720]</w:t>
      </w:r>
    </w:p>
    <w:p w:rsidR="002405DE" w:rsidRPr="00E51A80" w:rsidRDefault="002405DE"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t xml:space="preserve">15 </w:t>
      </w:r>
      <w:r w:rsidRPr="00E51A80">
        <w:rPr>
          <w:rFonts w:ascii="Book Antiqua" w:hAnsi="Book Antiqua"/>
          <w:b/>
          <w:sz w:val="20"/>
          <w:szCs w:val="20"/>
          <w:lang w:val="en-US"/>
        </w:rPr>
        <w:t xml:space="preserve">Dash </w:t>
      </w:r>
      <w:proofErr w:type="gramStart"/>
      <w:r w:rsidRPr="00E51A80">
        <w:rPr>
          <w:rFonts w:ascii="Book Antiqua" w:hAnsi="Book Antiqua"/>
          <w:b/>
          <w:sz w:val="20"/>
          <w:szCs w:val="20"/>
          <w:lang w:val="en-US"/>
        </w:rPr>
        <w:t>A</w:t>
      </w:r>
      <w:proofErr w:type="gramEnd"/>
      <w:r w:rsidRPr="00E51A80">
        <w:rPr>
          <w:rFonts w:ascii="Book Antiqua" w:hAnsi="Book Antiqua"/>
          <w:sz w:val="20"/>
          <w:szCs w:val="20"/>
          <w:lang w:val="en-US"/>
        </w:rPr>
        <w:t xml:space="preserve">, </w:t>
      </w:r>
      <w:proofErr w:type="spellStart"/>
      <w:r w:rsidRPr="00E51A80">
        <w:rPr>
          <w:rFonts w:ascii="Book Antiqua" w:hAnsi="Book Antiqua"/>
          <w:sz w:val="20"/>
          <w:szCs w:val="20"/>
          <w:lang w:val="en-US"/>
        </w:rPr>
        <w:t>Chakraborty</w:t>
      </w:r>
      <w:proofErr w:type="spellEnd"/>
      <w:r w:rsidRPr="00E51A80">
        <w:rPr>
          <w:rFonts w:ascii="Book Antiqua" w:hAnsi="Book Antiqua"/>
          <w:sz w:val="20"/>
          <w:szCs w:val="20"/>
          <w:lang w:val="en-US"/>
        </w:rPr>
        <w:t xml:space="preserve"> S, </w:t>
      </w:r>
      <w:proofErr w:type="spellStart"/>
      <w:r w:rsidRPr="00E51A80">
        <w:rPr>
          <w:rFonts w:ascii="Book Antiqua" w:hAnsi="Book Antiqua"/>
          <w:sz w:val="20"/>
          <w:szCs w:val="20"/>
          <w:lang w:val="en-US"/>
        </w:rPr>
        <w:t>Pillai</w:t>
      </w:r>
      <w:proofErr w:type="spellEnd"/>
      <w:r w:rsidRPr="00E51A80">
        <w:rPr>
          <w:rFonts w:ascii="Book Antiqua" w:hAnsi="Book Antiqua"/>
          <w:sz w:val="20"/>
          <w:szCs w:val="20"/>
          <w:lang w:val="en-US"/>
        </w:rPr>
        <w:t xml:space="preserve"> MR, Knapp FF Jr. Peptide receptor radionuclide therapy: an overview. </w:t>
      </w:r>
      <w:r w:rsidRPr="00E51A80">
        <w:rPr>
          <w:rFonts w:ascii="Book Antiqua" w:hAnsi="Book Antiqua"/>
          <w:i/>
          <w:sz w:val="20"/>
          <w:szCs w:val="20"/>
          <w:lang w:val="en-US"/>
        </w:rPr>
        <w:t xml:space="preserve">Cancer </w:t>
      </w:r>
      <w:proofErr w:type="spellStart"/>
      <w:r w:rsidRPr="00E51A80">
        <w:rPr>
          <w:rFonts w:ascii="Book Antiqua" w:hAnsi="Book Antiqua"/>
          <w:i/>
          <w:sz w:val="20"/>
          <w:szCs w:val="20"/>
          <w:lang w:val="en-US"/>
        </w:rPr>
        <w:t>Biother</w:t>
      </w:r>
      <w:proofErr w:type="spellEnd"/>
      <w:r w:rsidRPr="00E51A80">
        <w:rPr>
          <w:rFonts w:ascii="Book Antiqua" w:hAnsi="Book Antiqua"/>
          <w:i/>
          <w:sz w:val="20"/>
          <w:szCs w:val="20"/>
          <w:lang w:val="en-US"/>
        </w:rPr>
        <w:t xml:space="preserve"> </w:t>
      </w:r>
      <w:proofErr w:type="spellStart"/>
      <w:r w:rsidRPr="00E51A80">
        <w:rPr>
          <w:rFonts w:ascii="Book Antiqua" w:hAnsi="Book Antiqua"/>
          <w:i/>
          <w:sz w:val="20"/>
          <w:szCs w:val="20"/>
          <w:lang w:val="en-US"/>
        </w:rPr>
        <w:t>Radiopharm</w:t>
      </w:r>
      <w:proofErr w:type="spellEnd"/>
      <w:r w:rsidRPr="00E51A80">
        <w:rPr>
          <w:rFonts w:ascii="Book Antiqua" w:hAnsi="Book Antiqua"/>
          <w:sz w:val="20"/>
          <w:szCs w:val="20"/>
          <w:lang w:val="en-US"/>
        </w:rPr>
        <w:t xml:space="preserve"> 2015; </w:t>
      </w:r>
      <w:r w:rsidRPr="00E51A80">
        <w:rPr>
          <w:rFonts w:ascii="Book Antiqua" w:hAnsi="Book Antiqua"/>
          <w:b/>
          <w:sz w:val="20"/>
          <w:szCs w:val="20"/>
          <w:lang w:val="en-US"/>
        </w:rPr>
        <w:t>30</w:t>
      </w:r>
      <w:r w:rsidRPr="00E51A80">
        <w:rPr>
          <w:rFonts w:ascii="Book Antiqua" w:hAnsi="Book Antiqua"/>
          <w:sz w:val="20"/>
          <w:szCs w:val="20"/>
          <w:lang w:val="en-US"/>
        </w:rPr>
        <w:t>: 47-71 [PMID: 25710506 DOI: 10.1089/cbr.2014.1741]</w:t>
      </w:r>
    </w:p>
    <w:p w:rsidR="002405DE" w:rsidRPr="00E51A80" w:rsidRDefault="002405DE"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t xml:space="preserve">16 </w:t>
      </w:r>
      <w:proofErr w:type="spellStart"/>
      <w:r w:rsidRPr="00E51A80">
        <w:rPr>
          <w:rFonts w:ascii="Book Antiqua" w:hAnsi="Book Antiqua"/>
          <w:b/>
          <w:sz w:val="20"/>
          <w:szCs w:val="20"/>
          <w:lang w:val="en-US"/>
        </w:rPr>
        <w:t>Strosberg</w:t>
      </w:r>
      <w:proofErr w:type="spellEnd"/>
      <w:r w:rsidRPr="00E51A80">
        <w:rPr>
          <w:rFonts w:ascii="Book Antiqua" w:hAnsi="Book Antiqua"/>
          <w:b/>
          <w:sz w:val="20"/>
          <w:szCs w:val="20"/>
          <w:lang w:val="en-US"/>
        </w:rPr>
        <w:t xml:space="preserve"> J</w:t>
      </w:r>
      <w:r w:rsidRPr="00E51A80">
        <w:rPr>
          <w:rFonts w:ascii="Book Antiqua" w:hAnsi="Book Antiqua"/>
          <w:sz w:val="20"/>
          <w:szCs w:val="20"/>
          <w:lang w:val="en-US"/>
        </w:rPr>
        <w:t xml:space="preserve">, El-Haddad G, </w:t>
      </w:r>
      <w:proofErr w:type="spellStart"/>
      <w:r w:rsidRPr="00E51A80">
        <w:rPr>
          <w:rFonts w:ascii="Book Antiqua" w:hAnsi="Book Antiqua"/>
          <w:sz w:val="20"/>
          <w:szCs w:val="20"/>
          <w:lang w:val="en-US"/>
        </w:rPr>
        <w:t>Wolin</w:t>
      </w:r>
      <w:proofErr w:type="spellEnd"/>
      <w:r w:rsidRPr="00E51A80">
        <w:rPr>
          <w:rFonts w:ascii="Book Antiqua" w:hAnsi="Book Antiqua"/>
          <w:sz w:val="20"/>
          <w:szCs w:val="20"/>
          <w:lang w:val="en-US"/>
        </w:rPr>
        <w:t xml:space="preserve"> E, </w:t>
      </w:r>
      <w:proofErr w:type="spellStart"/>
      <w:r w:rsidRPr="00E51A80">
        <w:rPr>
          <w:rFonts w:ascii="Book Antiqua" w:hAnsi="Book Antiqua"/>
          <w:sz w:val="20"/>
          <w:szCs w:val="20"/>
          <w:lang w:val="en-US"/>
        </w:rPr>
        <w:t>Hendifar</w:t>
      </w:r>
      <w:proofErr w:type="spellEnd"/>
      <w:r w:rsidRPr="00E51A80">
        <w:rPr>
          <w:rFonts w:ascii="Book Antiqua" w:hAnsi="Book Antiqua"/>
          <w:sz w:val="20"/>
          <w:szCs w:val="20"/>
          <w:lang w:val="en-US"/>
        </w:rPr>
        <w:t xml:space="preserve"> A, Yao J, </w:t>
      </w:r>
      <w:proofErr w:type="spellStart"/>
      <w:r w:rsidRPr="00E51A80">
        <w:rPr>
          <w:rFonts w:ascii="Book Antiqua" w:hAnsi="Book Antiqua"/>
          <w:sz w:val="20"/>
          <w:szCs w:val="20"/>
          <w:lang w:val="en-US"/>
        </w:rPr>
        <w:t>Chasen</w:t>
      </w:r>
      <w:proofErr w:type="spellEnd"/>
      <w:r w:rsidRPr="00E51A80">
        <w:rPr>
          <w:rFonts w:ascii="Book Antiqua" w:hAnsi="Book Antiqua"/>
          <w:sz w:val="20"/>
          <w:szCs w:val="20"/>
          <w:lang w:val="en-US"/>
        </w:rPr>
        <w:t xml:space="preserve"> B, </w:t>
      </w:r>
      <w:proofErr w:type="spellStart"/>
      <w:r w:rsidRPr="00E51A80">
        <w:rPr>
          <w:rFonts w:ascii="Book Antiqua" w:hAnsi="Book Antiqua"/>
          <w:sz w:val="20"/>
          <w:szCs w:val="20"/>
          <w:lang w:val="en-US"/>
        </w:rPr>
        <w:t>Mittra</w:t>
      </w:r>
      <w:proofErr w:type="spellEnd"/>
      <w:r w:rsidRPr="00E51A80">
        <w:rPr>
          <w:rFonts w:ascii="Book Antiqua" w:hAnsi="Book Antiqua"/>
          <w:sz w:val="20"/>
          <w:szCs w:val="20"/>
          <w:lang w:val="en-US"/>
        </w:rPr>
        <w:t xml:space="preserve"> E, Kunz PL, </w:t>
      </w:r>
      <w:proofErr w:type="spellStart"/>
      <w:r w:rsidRPr="00E51A80">
        <w:rPr>
          <w:rFonts w:ascii="Book Antiqua" w:hAnsi="Book Antiqua"/>
          <w:sz w:val="20"/>
          <w:szCs w:val="20"/>
          <w:lang w:val="en-US"/>
        </w:rPr>
        <w:t>Kulke</w:t>
      </w:r>
      <w:proofErr w:type="spellEnd"/>
      <w:r w:rsidRPr="00E51A80">
        <w:rPr>
          <w:rFonts w:ascii="Book Antiqua" w:hAnsi="Book Antiqua"/>
          <w:sz w:val="20"/>
          <w:szCs w:val="20"/>
          <w:lang w:val="en-US"/>
        </w:rPr>
        <w:t xml:space="preserve"> MH, </w:t>
      </w:r>
      <w:proofErr w:type="spellStart"/>
      <w:r w:rsidRPr="00E51A80">
        <w:rPr>
          <w:rFonts w:ascii="Book Antiqua" w:hAnsi="Book Antiqua"/>
          <w:sz w:val="20"/>
          <w:szCs w:val="20"/>
          <w:lang w:val="en-US"/>
        </w:rPr>
        <w:t>Jacene</w:t>
      </w:r>
      <w:proofErr w:type="spellEnd"/>
      <w:r w:rsidRPr="00E51A80">
        <w:rPr>
          <w:rFonts w:ascii="Book Antiqua" w:hAnsi="Book Antiqua"/>
          <w:sz w:val="20"/>
          <w:szCs w:val="20"/>
          <w:lang w:val="en-US"/>
        </w:rPr>
        <w:t xml:space="preserve"> H, Bushnell D, </w:t>
      </w:r>
      <w:proofErr w:type="spellStart"/>
      <w:r w:rsidRPr="00E51A80">
        <w:rPr>
          <w:rFonts w:ascii="Book Antiqua" w:hAnsi="Book Antiqua"/>
          <w:sz w:val="20"/>
          <w:szCs w:val="20"/>
          <w:lang w:val="en-US"/>
        </w:rPr>
        <w:t>O'Dorisio</w:t>
      </w:r>
      <w:proofErr w:type="spellEnd"/>
      <w:r w:rsidRPr="00E51A80">
        <w:rPr>
          <w:rFonts w:ascii="Book Antiqua" w:hAnsi="Book Antiqua"/>
          <w:sz w:val="20"/>
          <w:szCs w:val="20"/>
          <w:lang w:val="en-US"/>
        </w:rPr>
        <w:t xml:space="preserve"> TM, Baum RP, </w:t>
      </w:r>
      <w:proofErr w:type="spellStart"/>
      <w:r w:rsidRPr="00E51A80">
        <w:rPr>
          <w:rFonts w:ascii="Book Antiqua" w:hAnsi="Book Antiqua"/>
          <w:sz w:val="20"/>
          <w:szCs w:val="20"/>
          <w:lang w:val="en-US"/>
        </w:rPr>
        <w:t>Kulkarni</w:t>
      </w:r>
      <w:proofErr w:type="spellEnd"/>
      <w:r w:rsidRPr="00E51A80">
        <w:rPr>
          <w:rFonts w:ascii="Book Antiqua" w:hAnsi="Book Antiqua"/>
          <w:sz w:val="20"/>
          <w:szCs w:val="20"/>
          <w:lang w:val="en-US"/>
        </w:rPr>
        <w:t xml:space="preserve"> HR, </w:t>
      </w:r>
      <w:proofErr w:type="spellStart"/>
      <w:r w:rsidRPr="00E51A80">
        <w:rPr>
          <w:rFonts w:ascii="Book Antiqua" w:hAnsi="Book Antiqua"/>
          <w:sz w:val="20"/>
          <w:szCs w:val="20"/>
          <w:lang w:val="en-US"/>
        </w:rPr>
        <w:t>Caplin</w:t>
      </w:r>
      <w:proofErr w:type="spellEnd"/>
      <w:r w:rsidRPr="00E51A80">
        <w:rPr>
          <w:rFonts w:ascii="Book Antiqua" w:hAnsi="Book Antiqua"/>
          <w:sz w:val="20"/>
          <w:szCs w:val="20"/>
          <w:lang w:val="en-US"/>
        </w:rPr>
        <w:t xml:space="preserve"> M, </w:t>
      </w:r>
      <w:proofErr w:type="spellStart"/>
      <w:r w:rsidRPr="00E51A80">
        <w:rPr>
          <w:rFonts w:ascii="Book Antiqua" w:hAnsi="Book Antiqua"/>
          <w:sz w:val="20"/>
          <w:szCs w:val="20"/>
          <w:lang w:val="en-US"/>
        </w:rPr>
        <w:t>Lebtahi</w:t>
      </w:r>
      <w:proofErr w:type="spellEnd"/>
      <w:r w:rsidRPr="00E51A80">
        <w:rPr>
          <w:rFonts w:ascii="Book Antiqua" w:hAnsi="Book Antiqua"/>
          <w:sz w:val="20"/>
          <w:szCs w:val="20"/>
          <w:lang w:val="en-US"/>
        </w:rPr>
        <w:t xml:space="preserve"> R, </w:t>
      </w:r>
      <w:proofErr w:type="spellStart"/>
      <w:r w:rsidRPr="00E51A80">
        <w:rPr>
          <w:rFonts w:ascii="Book Antiqua" w:hAnsi="Book Antiqua"/>
          <w:sz w:val="20"/>
          <w:szCs w:val="20"/>
          <w:lang w:val="en-US"/>
        </w:rPr>
        <w:t>Hobday</w:t>
      </w:r>
      <w:proofErr w:type="spellEnd"/>
      <w:r w:rsidRPr="00E51A80">
        <w:rPr>
          <w:rFonts w:ascii="Book Antiqua" w:hAnsi="Book Antiqua"/>
          <w:sz w:val="20"/>
          <w:szCs w:val="20"/>
          <w:lang w:val="en-US"/>
        </w:rPr>
        <w:t xml:space="preserve"> T, </w:t>
      </w:r>
      <w:proofErr w:type="spellStart"/>
      <w:r w:rsidRPr="00E51A80">
        <w:rPr>
          <w:rFonts w:ascii="Book Antiqua" w:hAnsi="Book Antiqua"/>
          <w:sz w:val="20"/>
          <w:szCs w:val="20"/>
          <w:lang w:val="en-US"/>
        </w:rPr>
        <w:t>Delpassand</w:t>
      </w:r>
      <w:proofErr w:type="spellEnd"/>
      <w:r w:rsidRPr="00E51A80">
        <w:rPr>
          <w:rFonts w:ascii="Book Antiqua" w:hAnsi="Book Antiqua"/>
          <w:sz w:val="20"/>
          <w:szCs w:val="20"/>
          <w:lang w:val="en-US"/>
        </w:rPr>
        <w:t xml:space="preserve"> E, Van </w:t>
      </w:r>
      <w:proofErr w:type="spellStart"/>
      <w:r w:rsidRPr="00E51A80">
        <w:rPr>
          <w:rFonts w:ascii="Book Antiqua" w:hAnsi="Book Antiqua"/>
          <w:sz w:val="20"/>
          <w:szCs w:val="20"/>
          <w:lang w:val="en-US"/>
        </w:rPr>
        <w:t>Cutsem</w:t>
      </w:r>
      <w:proofErr w:type="spellEnd"/>
      <w:r w:rsidRPr="00E51A80">
        <w:rPr>
          <w:rFonts w:ascii="Book Antiqua" w:hAnsi="Book Antiqua"/>
          <w:sz w:val="20"/>
          <w:szCs w:val="20"/>
          <w:lang w:val="en-US"/>
        </w:rPr>
        <w:t xml:space="preserve"> E, Benson A, </w:t>
      </w:r>
      <w:proofErr w:type="spellStart"/>
      <w:r w:rsidRPr="00E51A80">
        <w:rPr>
          <w:rFonts w:ascii="Book Antiqua" w:hAnsi="Book Antiqua"/>
          <w:sz w:val="20"/>
          <w:szCs w:val="20"/>
          <w:lang w:val="en-US"/>
        </w:rPr>
        <w:t>Srirajaskanthan</w:t>
      </w:r>
      <w:proofErr w:type="spellEnd"/>
      <w:r w:rsidRPr="00E51A80">
        <w:rPr>
          <w:rFonts w:ascii="Book Antiqua" w:hAnsi="Book Antiqua"/>
          <w:sz w:val="20"/>
          <w:szCs w:val="20"/>
          <w:lang w:val="en-US"/>
        </w:rPr>
        <w:t xml:space="preserve"> R, </w:t>
      </w:r>
      <w:proofErr w:type="spellStart"/>
      <w:r w:rsidRPr="00E51A80">
        <w:rPr>
          <w:rFonts w:ascii="Book Antiqua" w:hAnsi="Book Antiqua"/>
          <w:sz w:val="20"/>
          <w:szCs w:val="20"/>
          <w:lang w:val="en-US"/>
        </w:rPr>
        <w:t>Pavel</w:t>
      </w:r>
      <w:proofErr w:type="spellEnd"/>
      <w:r w:rsidRPr="00E51A80">
        <w:rPr>
          <w:rFonts w:ascii="Book Antiqua" w:hAnsi="Book Antiqua"/>
          <w:sz w:val="20"/>
          <w:szCs w:val="20"/>
          <w:lang w:val="en-US"/>
        </w:rPr>
        <w:t xml:space="preserve"> M, Mora J, Berlin J, Grande E, Reed N, </w:t>
      </w:r>
      <w:proofErr w:type="spellStart"/>
      <w:r w:rsidRPr="00E51A80">
        <w:rPr>
          <w:rFonts w:ascii="Book Antiqua" w:hAnsi="Book Antiqua"/>
          <w:sz w:val="20"/>
          <w:szCs w:val="20"/>
          <w:lang w:val="en-US"/>
        </w:rPr>
        <w:t>Seregni</w:t>
      </w:r>
      <w:proofErr w:type="spellEnd"/>
      <w:r w:rsidRPr="00E51A80">
        <w:rPr>
          <w:rFonts w:ascii="Book Antiqua" w:hAnsi="Book Antiqua"/>
          <w:sz w:val="20"/>
          <w:szCs w:val="20"/>
          <w:lang w:val="en-US"/>
        </w:rPr>
        <w:t xml:space="preserve"> E, </w:t>
      </w:r>
      <w:proofErr w:type="spellStart"/>
      <w:r w:rsidRPr="00E51A80">
        <w:rPr>
          <w:rFonts w:ascii="Book Antiqua" w:hAnsi="Book Antiqua"/>
          <w:sz w:val="20"/>
          <w:szCs w:val="20"/>
          <w:lang w:val="en-US"/>
        </w:rPr>
        <w:t>Öberg</w:t>
      </w:r>
      <w:proofErr w:type="spellEnd"/>
      <w:r w:rsidRPr="00E51A80">
        <w:rPr>
          <w:rFonts w:ascii="Book Antiqua" w:hAnsi="Book Antiqua"/>
          <w:sz w:val="20"/>
          <w:szCs w:val="20"/>
          <w:lang w:val="en-US"/>
        </w:rPr>
        <w:t xml:space="preserve"> K, </w:t>
      </w:r>
      <w:proofErr w:type="spellStart"/>
      <w:r w:rsidRPr="00E51A80">
        <w:rPr>
          <w:rFonts w:ascii="Book Antiqua" w:hAnsi="Book Antiqua"/>
          <w:sz w:val="20"/>
          <w:szCs w:val="20"/>
          <w:lang w:val="en-US"/>
        </w:rPr>
        <w:t>Lopera</w:t>
      </w:r>
      <w:proofErr w:type="spellEnd"/>
      <w:r w:rsidRPr="00E51A80">
        <w:rPr>
          <w:rFonts w:ascii="Book Antiqua" w:hAnsi="Book Antiqua"/>
          <w:sz w:val="20"/>
          <w:szCs w:val="20"/>
          <w:lang w:val="en-US"/>
        </w:rPr>
        <w:t xml:space="preserve"> Sierra M, Santoro P, </w:t>
      </w:r>
      <w:proofErr w:type="spellStart"/>
      <w:r w:rsidRPr="00E51A80">
        <w:rPr>
          <w:rFonts w:ascii="Book Antiqua" w:hAnsi="Book Antiqua"/>
          <w:sz w:val="20"/>
          <w:szCs w:val="20"/>
          <w:lang w:val="en-US"/>
        </w:rPr>
        <w:t>Thevenet</w:t>
      </w:r>
      <w:proofErr w:type="spellEnd"/>
      <w:r w:rsidRPr="00E51A80">
        <w:rPr>
          <w:rFonts w:ascii="Book Antiqua" w:hAnsi="Book Antiqua"/>
          <w:sz w:val="20"/>
          <w:szCs w:val="20"/>
          <w:lang w:val="en-US"/>
        </w:rPr>
        <w:t xml:space="preserve"> T, </w:t>
      </w:r>
      <w:proofErr w:type="spellStart"/>
      <w:r w:rsidRPr="00E51A80">
        <w:rPr>
          <w:rFonts w:ascii="Book Antiqua" w:hAnsi="Book Antiqua"/>
          <w:sz w:val="20"/>
          <w:szCs w:val="20"/>
          <w:lang w:val="en-US"/>
        </w:rPr>
        <w:t>Erion</w:t>
      </w:r>
      <w:proofErr w:type="spellEnd"/>
      <w:r w:rsidRPr="00E51A80">
        <w:rPr>
          <w:rFonts w:ascii="Book Antiqua" w:hAnsi="Book Antiqua"/>
          <w:sz w:val="20"/>
          <w:szCs w:val="20"/>
          <w:lang w:val="en-US"/>
        </w:rPr>
        <w:t xml:space="preserve"> JL, </w:t>
      </w:r>
      <w:proofErr w:type="spellStart"/>
      <w:r w:rsidRPr="00E51A80">
        <w:rPr>
          <w:rFonts w:ascii="Book Antiqua" w:hAnsi="Book Antiqua"/>
          <w:sz w:val="20"/>
          <w:szCs w:val="20"/>
          <w:lang w:val="en-US"/>
        </w:rPr>
        <w:t>Ruszniewski</w:t>
      </w:r>
      <w:proofErr w:type="spellEnd"/>
      <w:r w:rsidRPr="00E51A80">
        <w:rPr>
          <w:rFonts w:ascii="Book Antiqua" w:hAnsi="Book Antiqua"/>
          <w:sz w:val="20"/>
          <w:szCs w:val="20"/>
          <w:lang w:val="en-US"/>
        </w:rPr>
        <w:t xml:space="preserve"> P, </w:t>
      </w:r>
      <w:proofErr w:type="spellStart"/>
      <w:r w:rsidRPr="00E51A80">
        <w:rPr>
          <w:rFonts w:ascii="Book Antiqua" w:hAnsi="Book Antiqua"/>
          <w:sz w:val="20"/>
          <w:szCs w:val="20"/>
          <w:lang w:val="en-US"/>
        </w:rPr>
        <w:t>Kwekkeboom</w:t>
      </w:r>
      <w:proofErr w:type="spellEnd"/>
      <w:r w:rsidRPr="00E51A80">
        <w:rPr>
          <w:rFonts w:ascii="Book Antiqua" w:hAnsi="Book Antiqua"/>
          <w:sz w:val="20"/>
          <w:szCs w:val="20"/>
          <w:lang w:val="en-US"/>
        </w:rPr>
        <w:t xml:space="preserve"> D, </w:t>
      </w:r>
      <w:proofErr w:type="spellStart"/>
      <w:r w:rsidRPr="00E51A80">
        <w:rPr>
          <w:rFonts w:ascii="Book Antiqua" w:hAnsi="Book Antiqua"/>
          <w:sz w:val="20"/>
          <w:szCs w:val="20"/>
          <w:lang w:val="en-US"/>
        </w:rPr>
        <w:t>Krenning</w:t>
      </w:r>
      <w:proofErr w:type="spellEnd"/>
      <w:r w:rsidRPr="00E51A80">
        <w:rPr>
          <w:rFonts w:ascii="Book Antiqua" w:hAnsi="Book Antiqua"/>
          <w:sz w:val="20"/>
          <w:szCs w:val="20"/>
          <w:lang w:val="en-US"/>
        </w:rPr>
        <w:t xml:space="preserve"> E; NETTER-1 Trial Investigators. Phase 3 Trial of </w:t>
      </w:r>
      <w:r w:rsidRPr="00E51A80">
        <w:rPr>
          <w:rFonts w:ascii="Book Antiqua" w:hAnsi="Book Antiqua"/>
          <w:sz w:val="20"/>
          <w:szCs w:val="20"/>
          <w:vertAlign w:val="superscript"/>
          <w:lang w:val="en-US"/>
        </w:rPr>
        <w:t>177</w:t>
      </w:r>
      <w:r w:rsidRPr="00E51A80">
        <w:rPr>
          <w:rFonts w:ascii="Book Antiqua" w:hAnsi="Book Antiqua"/>
          <w:sz w:val="20"/>
          <w:szCs w:val="20"/>
          <w:lang w:val="en-US"/>
        </w:rPr>
        <w:t xml:space="preserve">Lu-Dotatate for </w:t>
      </w:r>
      <w:proofErr w:type="spellStart"/>
      <w:r w:rsidRPr="00E51A80">
        <w:rPr>
          <w:rFonts w:ascii="Book Antiqua" w:hAnsi="Book Antiqua"/>
          <w:sz w:val="20"/>
          <w:szCs w:val="20"/>
          <w:lang w:val="en-US"/>
        </w:rPr>
        <w:t>Midgut</w:t>
      </w:r>
      <w:proofErr w:type="spellEnd"/>
      <w:r w:rsidRPr="00E51A80">
        <w:rPr>
          <w:rFonts w:ascii="Book Antiqua" w:hAnsi="Book Antiqua"/>
          <w:sz w:val="20"/>
          <w:szCs w:val="20"/>
          <w:lang w:val="en-US"/>
        </w:rPr>
        <w:t xml:space="preserve"> Neuroendocrine Tumors. </w:t>
      </w:r>
      <w:r w:rsidRPr="00E51A80">
        <w:rPr>
          <w:rFonts w:ascii="Book Antiqua" w:hAnsi="Book Antiqua"/>
          <w:i/>
          <w:sz w:val="20"/>
          <w:szCs w:val="20"/>
          <w:lang w:val="en-US"/>
        </w:rPr>
        <w:t xml:space="preserve">N </w:t>
      </w:r>
      <w:proofErr w:type="spellStart"/>
      <w:r w:rsidRPr="00E51A80">
        <w:rPr>
          <w:rFonts w:ascii="Book Antiqua" w:hAnsi="Book Antiqua"/>
          <w:i/>
          <w:sz w:val="20"/>
          <w:szCs w:val="20"/>
          <w:lang w:val="en-US"/>
        </w:rPr>
        <w:t>Engl</w:t>
      </w:r>
      <w:proofErr w:type="spellEnd"/>
      <w:r w:rsidRPr="00E51A80">
        <w:rPr>
          <w:rFonts w:ascii="Book Antiqua" w:hAnsi="Book Antiqua"/>
          <w:i/>
          <w:sz w:val="20"/>
          <w:szCs w:val="20"/>
          <w:lang w:val="en-US"/>
        </w:rPr>
        <w:t xml:space="preserve"> J Med</w:t>
      </w:r>
      <w:r w:rsidRPr="00E51A80">
        <w:rPr>
          <w:rFonts w:ascii="Book Antiqua" w:hAnsi="Book Antiqua"/>
          <w:sz w:val="20"/>
          <w:szCs w:val="20"/>
          <w:lang w:val="en-US"/>
        </w:rPr>
        <w:t xml:space="preserve"> 2017; </w:t>
      </w:r>
      <w:r w:rsidRPr="00E51A80">
        <w:rPr>
          <w:rFonts w:ascii="Book Antiqua" w:hAnsi="Book Antiqua"/>
          <w:b/>
          <w:sz w:val="20"/>
          <w:szCs w:val="20"/>
          <w:lang w:val="en-US"/>
        </w:rPr>
        <w:t>376</w:t>
      </w:r>
      <w:r w:rsidRPr="00E51A80">
        <w:rPr>
          <w:rFonts w:ascii="Book Antiqua" w:hAnsi="Book Antiqua"/>
          <w:sz w:val="20"/>
          <w:szCs w:val="20"/>
          <w:lang w:val="en-US"/>
        </w:rPr>
        <w:t>: 125-135 [PMID: 28076709 DOI: 10.1056/NEJMoa1607427]</w:t>
      </w:r>
    </w:p>
    <w:p w:rsidR="002405DE" w:rsidRPr="00E51A80" w:rsidRDefault="002405DE"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t xml:space="preserve">17 </w:t>
      </w:r>
      <w:proofErr w:type="spellStart"/>
      <w:r w:rsidRPr="00E51A80">
        <w:rPr>
          <w:rFonts w:ascii="Book Antiqua" w:hAnsi="Book Antiqua"/>
          <w:b/>
          <w:sz w:val="20"/>
          <w:szCs w:val="20"/>
          <w:lang w:val="en-US"/>
        </w:rPr>
        <w:t>Cella</w:t>
      </w:r>
      <w:proofErr w:type="spellEnd"/>
      <w:r w:rsidRPr="00E51A80">
        <w:rPr>
          <w:rFonts w:ascii="Book Antiqua" w:hAnsi="Book Antiqua"/>
          <w:b/>
          <w:sz w:val="20"/>
          <w:szCs w:val="20"/>
          <w:lang w:val="en-US"/>
        </w:rPr>
        <w:t xml:space="preserve"> D</w:t>
      </w:r>
      <w:r w:rsidRPr="00E51A80">
        <w:rPr>
          <w:rFonts w:ascii="Book Antiqua" w:hAnsi="Book Antiqua"/>
          <w:sz w:val="20"/>
          <w:szCs w:val="20"/>
          <w:lang w:val="en-US"/>
        </w:rPr>
        <w:t xml:space="preserve">, Beaumont JL, </w:t>
      </w:r>
      <w:proofErr w:type="spellStart"/>
      <w:r w:rsidRPr="00E51A80">
        <w:rPr>
          <w:rFonts w:ascii="Book Antiqua" w:hAnsi="Book Antiqua"/>
          <w:sz w:val="20"/>
          <w:szCs w:val="20"/>
          <w:lang w:val="en-US"/>
        </w:rPr>
        <w:t>Hudgens</w:t>
      </w:r>
      <w:proofErr w:type="spellEnd"/>
      <w:r w:rsidRPr="00E51A80">
        <w:rPr>
          <w:rFonts w:ascii="Book Antiqua" w:hAnsi="Book Antiqua"/>
          <w:sz w:val="20"/>
          <w:szCs w:val="20"/>
          <w:lang w:val="en-US"/>
        </w:rPr>
        <w:t xml:space="preserve"> S, </w:t>
      </w:r>
      <w:proofErr w:type="spellStart"/>
      <w:r w:rsidRPr="00E51A80">
        <w:rPr>
          <w:rFonts w:ascii="Book Antiqua" w:hAnsi="Book Antiqua"/>
          <w:sz w:val="20"/>
          <w:szCs w:val="20"/>
          <w:lang w:val="en-US"/>
        </w:rPr>
        <w:t>Marteau</w:t>
      </w:r>
      <w:proofErr w:type="spellEnd"/>
      <w:r w:rsidRPr="00E51A80">
        <w:rPr>
          <w:rFonts w:ascii="Book Antiqua" w:hAnsi="Book Antiqua"/>
          <w:sz w:val="20"/>
          <w:szCs w:val="20"/>
          <w:lang w:val="en-US"/>
        </w:rPr>
        <w:t xml:space="preserve"> F, </w:t>
      </w:r>
      <w:proofErr w:type="spellStart"/>
      <w:r w:rsidRPr="00E51A80">
        <w:rPr>
          <w:rFonts w:ascii="Book Antiqua" w:hAnsi="Book Antiqua"/>
          <w:sz w:val="20"/>
          <w:szCs w:val="20"/>
          <w:lang w:val="en-US"/>
        </w:rPr>
        <w:t>Feuilly</w:t>
      </w:r>
      <w:proofErr w:type="spellEnd"/>
      <w:r w:rsidRPr="00E51A80">
        <w:rPr>
          <w:rFonts w:ascii="Book Antiqua" w:hAnsi="Book Antiqua"/>
          <w:sz w:val="20"/>
          <w:szCs w:val="20"/>
          <w:lang w:val="en-US"/>
        </w:rPr>
        <w:t xml:space="preserve"> M, </w:t>
      </w:r>
      <w:proofErr w:type="spellStart"/>
      <w:r w:rsidRPr="00E51A80">
        <w:rPr>
          <w:rFonts w:ascii="Book Antiqua" w:hAnsi="Book Antiqua"/>
          <w:sz w:val="20"/>
          <w:szCs w:val="20"/>
          <w:lang w:val="en-US"/>
        </w:rPr>
        <w:t>Houchard</w:t>
      </w:r>
      <w:proofErr w:type="spellEnd"/>
      <w:r w:rsidRPr="00E51A80">
        <w:rPr>
          <w:rFonts w:ascii="Book Antiqua" w:hAnsi="Book Antiqua"/>
          <w:sz w:val="20"/>
          <w:szCs w:val="20"/>
          <w:lang w:val="en-US"/>
        </w:rPr>
        <w:t xml:space="preserve"> A, </w:t>
      </w:r>
      <w:proofErr w:type="spellStart"/>
      <w:r w:rsidRPr="00E51A80">
        <w:rPr>
          <w:rFonts w:ascii="Book Antiqua" w:hAnsi="Book Antiqua"/>
          <w:sz w:val="20"/>
          <w:szCs w:val="20"/>
          <w:lang w:val="en-US"/>
        </w:rPr>
        <w:t>Lapuerta</w:t>
      </w:r>
      <w:proofErr w:type="spellEnd"/>
      <w:r w:rsidRPr="00E51A80">
        <w:rPr>
          <w:rFonts w:ascii="Book Antiqua" w:hAnsi="Book Antiqua"/>
          <w:sz w:val="20"/>
          <w:szCs w:val="20"/>
          <w:lang w:val="en-US"/>
        </w:rPr>
        <w:t xml:space="preserve"> P, </w:t>
      </w:r>
      <w:proofErr w:type="spellStart"/>
      <w:r w:rsidRPr="00E51A80">
        <w:rPr>
          <w:rFonts w:ascii="Book Antiqua" w:hAnsi="Book Antiqua"/>
          <w:sz w:val="20"/>
          <w:szCs w:val="20"/>
          <w:lang w:val="en-US"/>
        </w:rPr>
        <w:t>Ramage</w:t>
      </w:r>
      <w:proofErr w:type="spellEnd"/>
      <w:r w:rsidRPr="00E51A80">
        <w:rPr>
          <w:rFonts w:ascii="Book Antiqua" w:hAnsi="Book Antiqua"/>
          <w:sz w:val="20"/>
          <w:szCs w:val="20"/>
          <w:lang w:val="en-US"/>
        </w:rPr>
        <w:t xml:space="preserve"> J, </w:t>
      </w:r>
      <w:proofErr w:type="spellStart"/>
      <w:r w:rsidRPr="00E51A80">
        <w:rPr>
          <w:rFonts w:ascii="Book Antiqua" w:hAnsi="Book Antiqua"/>
          <w:sz w:val="20"/>
          <w:szCs w:val="20"/>
          <w:lang w:val="en-US"/>
        </w:rPr>
        <w:t>Pavel</w:t>
      </w:r>
      <w:proofErr w:type="spellEnd"/>
      <w:r w:rsidRPr="00E51A80">
        <w:rPr>
          <w:rFonts w:ascii="Book Antiqua" w:hAnsi="Book Antiqua"/>
          <w:sz w:val="20"/>
          <w:szCs w:val="20"/>
          <w:lang w:val="en-US"/>
        </w:rPr>
        <w:t xml:space="preserve"> M, </w:t>
      </w:r>
      <w:proofErr w:type="spellStart"/>
      <w:r w:rsidRPr="00E51A80">
        <w:rPr>
          <w:rFonts w:ascii="Book Antiqua" w:hAnsi="Book Antiqua"/>
          <w:sz w:val="20"/>
          <w:szCs w:val="20"/>
          <w:lang w:val="en-US"/>
        </w:rPr>
        <w:t>Hörsch</w:t>
      </w:r>
      <w:proofErr w:type="spellEnd"/>
      <w:r w:rsidRPr="00E51A80">
        <w:rPr>
          <w:rFonts w:ascii="Book Antiqua" w:hAnsi="Book Antiqua"/>
          <w:sz w:val="20"/>
          <w:szCs w:val="20"/>
          <w:lang w:val="en-US"/>
        </w:rPr>
        <w:t xml:space="preserve"> D, </w:t>
      </w:r>
      <w:proofErr w:type="spellStart"/>
      <w:r w:rsidRPr="00E51A80">
        <w:rPr>
          <w:rFonts w:ascii="Book Antiqua" w:hAnsi="Book Antiqua"/>
          <w:sz w:val="20"/>
          <w:szCs w:val="20"/>
          <w:lang w:val="en-US"/>
        </w:rPr>
        <w:t>Kulke</w:t>
      </w:r>
      <w:proofErr w:type="spellEnd"/>
      <w:r w:rsidRPr="00E51A80">
        <w:rPr>
          <w:rFonts w:ascii="Book Antiqua" w:hAnsi="Book Antiqua"/>
          <w:sz w:val="20"/>
          <w:szCs w:val="20"/>
          <w:lang w:val="en-US"/>
        </w:rPr>
        <w:t xml:space="preserve"> MH. Relationship </w:t>
      </w:r>
      <w:proofErr w:type="gramStart"/>
      <w:r w:rsidRPr="00E51A80">
        <w:rPr>
          <w:rFonts w:ascii="Book Antiqua" w:hAnsi="Book Antiqua"/>
          <w:sz w:val="20"/>
          <w:szCs w:val="20"/>
          <w:lang w:val="en-US"/>
        </w:rPr>
        <w:t>Between</w:t>
      </w:r>
      <w:proofErr w:type="gramEnd"/>
      <w:r w:rsidRPr="00E51A80">
        <w:rPr>
          <w:rFonts w:ascii="Book Antiqua" w:hAnsi="Book Antiqua"/>
          <w:sz w:val="20"/>
          <w:szCs w:val="20"/>
          <w:lang w:val="en-US"/>
        </w:rPr>
        <w:t xml:space="preserve"> Symptoms and Health-related Quality-of-life Benefits in Patients With Carcinoid Syndrome: Post Hoc Analyses From TELESTAR. </w:t>
      </w:r>
      <w:proofErr w:type="spellStart"/>
      <w:r w:rsidRPr="00E51A80">
        <w:rPr>
          <w:rFonts w:ascii="Book Antiqua" w:hAnsi="Book Antiqua"/>
          <w:i/>
          <w:sz w:val="20"/>
          <w:szCs w:val="20"/>
          <w:lang w:val="en-US"/>
        </w:rPr>
        <w:t>Clin</w:t>
      </w:r>
      <w:proofErr w:type="spellEnd"/>
      <w:r w:rsidRPr="00E51A80">
        <w:rPr>
          <w:rFonts w:ascii="Book Antiqua" w:hAnsi="Book Antiqua"/>
          <w:i/>
          <w:sz w:val="20"/>
          <w:szCs w:val="20"/>
          <w:lang w:val="en-US"/>
        </w:rPr>
        <w:t xml:space="preserve"> </w:t>
      </w:r>
      <w:proofErr w:type="spellStart"/>
      <w:r w:rsidRPr="00E51A80">
        <w:rPr>
          <w:rFonts w:ascii="Book Antiqua" w:hAnsi="Book Antiqua"/>
          <w:i/>
          <w:sz w:val="20"/>
          <w:szCs w:val="20"/>
          <w:lang w:val="en-US"/>
        </w:rPr>
        <w:t>Ther</w:t>
      </w:r>
      <w:proofErr w:type="spellEnd"/>
      <w:r w:rsidRPr="00E51A80">
        <w:rPr>
          <w:rFonts w:ascii="Book Antiqua" w:hAnsi="Book Antiqua"/>
          <w:sz w:val="20"/>
          <w:szCs w:val="20"/>
          <w:lang w:val="en-US"/>
        </w:rPr>
        <w:t xml:space="preserve"> 2018; </w:t>
      </w:r>
      <w:r w:rsidRPr="00E51A80">
        <w:rPr>
          <w:rFonts w:ascii="Book Antiqua" w:hAnsi="Book Antiqua"/>
          <w:b/>
          <w:sz w:val="20"/>
          <w:szCs w:val="20"/>
          <w:lang w:val="en-US"/>
        </w:rPr>
        <w:t>40</w:t>
      </w:r>
      <w:r w:rsidRPr="00E51A80">
        <w:rPr>
          <w:rFonts w:ascii="Book Antiqua" w:hAnsi="Book Antiqua"/>
          <w:sz w:val="20"/>
          <w:szCs w:val="20"/>
          <w:lang w:val="en-US"/>
        </w:rPr>
        <w:t>: 2006-2020.e2 [PMID: 30477789 DOI: 10.1016/j.clinthera.2018.10.008]</w:t>
      </w:r>
    </w:p>
    <w:p w:rsidR="002405DE" w:rsidRPr="00E51A80" w:rsidRDefault="002405DE"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t xml:space="preserve">18 </w:t>
      </w:r>
      <w:r w:rsidRPr="00E51A80">
        <w:rPr>
          <w:rFonts w:ascii="Book Antiqua" w:hAnsi="Book Antiqua"/>
          <w:b/>
          <w:sz w:val="20"/>
          <w:szCs w:val="20"/>
          <w:lang w:val="en-US"/>
        </w:rPr>
        <w:t>Martini C</w:t>
      </w:r>
      <w:r w:rsidRPr="00E51A80">
        <w:rPr>
          <w:rFonts w:ascii="Book Antiqua" w:hAnsi="Book Antiqua"/>
          <w:sz w:val="20"/>
          <w:szCs w:val="20"/>
          <w:lang w:val="en-US"/>
        </w:rPr>
        <w:t xml:space="preserve">, </w:t>
      </w:r>
      <w:proofErr w:type="spellStart"/>
      <w:r w:rsidRPr="00E51A80">
        <w:rPr>
          <w:rFonts w:ascii="Book Antiqua" w:hAnsi="Book Antiqua"/>
          <w:sz w:val="20"/>
          <w:szCs w:val="20"/>
          <w:lang w:val="en-US"/>
        </w:rPr>
        <w:t>Buxbaum</w:t>
      </w:r>
      <w:proofErr w:type="spellEnd"/>
      <w:r w:rsidRPr="00E51A80">
        <w:rPr>
          <w:rFonts w:ascii="Book Antiqua" w:hAnsi="Book Antiqua"/>
          <w:sz w:val="20"/>
          <w:szCs w:val="20"/>
          <w:lang w:val="en-US"/>
        </w:rPr>
        <w:t xml:space="preserve"> S, Rodrigues M, </w:t>
      </w:r>
      <w:proofErr w:type="spellStart"/>
      <w:r w:rsidRPr="00E51A80">
        <w:rPr>
          <w:rFonts w:ascii="Book Antiqua" w:hAnsi="Book Antiqua"/>
          <w:sz w:val="20"/>
          <w:szCs w:val="20"/>
          <w:lang w:val="en-US"/>
        </w:rPr>
        <w:t>Nilica</w:t>
      </w:r>
      <w:proofErr w:type="spellEnd"/>
      <w:r w:rsidRPr="00E51A80">
        <w:rPr>
          <w:rFonts w:ascii="Book Antiqua" w:hAnsi="Book Antiqua"/>
          <w:sz w:val="20"/>
          <w:szCs w:val="20"/>
          <w:lang w:val="en-US"/>
        </w:rPr>
        <w:t xml:space="preserve"> B, </w:t>
      </w:r>
      <w:proofErr w:type="spellStart"/>
      <w:r w:rsidRPr="00E51A80">
        <w:rPr>
          <w:rFonts w:ascii="Book Antiqua" w:hAnsi="Book Antiqua"/>
          <w:sz w:val="20"/>
          <w:szCs w:val="20"/>
          <w:lang w:val="en-US"/>
        </w:rPr>
        <w:t>Scarpa</w:t>
      </w:r>
      <w:proofErr w:type="spellEnd"/>
      <w:r w:rsidRPr="00E51A80">
        <w:rPr>
          <w:rFonts w:ascii="Book Antiqua" w:hAnsi="Book Antiqua"/>
          <w:sz w:val="20"/>
          <w:szCs w:val="20"/>
          <w:lang w:val="en-US"/>
        </w:rPr>
        <w:t xml:space="preserve"> L, </w:t>
      </w:r>
      <w:proofErr w:type="spellStart"/>
      <w:r w:rsidRPr="00E51A80">
        <w:rPr>
          <w:rFonts w:ascii="Book Antiqua" w:hAnsi="Book Antiqua"/>
          <w:sz w:val="20"/>
          <w:szCs w:val="20"/>
          <w:lang w:val="en-US"/>
        </w:rPr>
        <w:t>Holzner</w:t>
      </w:r>
      <w:proofErr w:type="spellEnd"/>
      <w:r w:rsidRPr="00E51A80">
        <w:rPr>
          <w:rFonts w:ascii="Book Antiqua" w:hAnsi="Book Antiqua"/>
          <w:sz w:val="20"/>
          <w:szCs w:val="20"/>
          <w:lang w:val="en-US"/>
        </w:rPr>
        <w:t xml:space="preserve"> B, </w:t>
      </w:r>
      <w:proofErr w:type="spellStart"/>
      <w:r w:rsidRPr="00E51A80">
        <w:rPr>
          <w:rFonts w:ascii="Book Antiqua" w:hAnsi="Book Antiqua"/>
          <w:sz w:val="20"/>
          <w:szCs w:val="20"/>
          <w:lang w:val="en-US"/>
        </w:rPr>
        <w:t>Virgolini</w:t>
      </w:r>
      <w:proofErr w:type="spellEnd"/>
      <w:r w:rsidRPr="00E51A80">
        <w:rPr>
          <w:rFonts w:ascii="Book Antiqua" w:hAnsi="Book Antiqua"/>
          <w:sz w:val="20"/>
          <w:szCs w:val="20"/>
          <w:lang w:val="en-US"/>
        </w:rPr>
        <w:t xml:space="preserve"> I, </w:t>
      </w:r>
      <w:proofErr w:type="spellStart"/>
      <w:r w:rsidRPr="00E51A80">
        <w:rPr>
          <w:rFonts w:ascii="Book Antiqua" w:hAnsi="Book Antiqua"/>
          <w:sz w:val="20"/>
          <w:szCs w:val="20"/>
          <w:lang w:val="en-US"/>
        </w:rPr>
        <w:t>Gamper</w:t>
      </w:r>
      <w:proofErr w:type="spellEnd"/>
      <w:r w:rsidRPr="00E51A80">
        <w:rPr>
          <w:rFonts w:ascii="Book Antiqua" w:hAnsi="Book Antiqua"/>
          <w:sz w:val="20"/>
          <w:szCs w:val="20"/>
          <w:lang w:val="en-US"/>
        </w:rPr>
        <w:t xml:space="preserve"> EM. Quality of Life in Patients with Metastatic </w:t>
      </w:r>
      <w:proofErr w:type="spellStart"/>
      <w:r w:rsidRPr="00E51A80">
        <w:rPr>
          <w:rFonts w:ascii="Book Antiqua" w:hAnsi="Book Antiqua"/>
          <w:sz w:val="20"/>
          <w:szCs w:val="20"/>
          <w:lang w:val="en-US"/>
        </w:rPr>
        <w:t>Gastroenteropancreatic</w:t>
      </w:r>
      <w:proofErr w:type="spellEnd"/>
      <w:r w:rsidRPr="00E51A80">
        <w:rPr>
          <w:rFonts w:ascii="Book Antiqua" w:hAnsi="Book Antiqua"/>
          <w:sz w:val="20"/>
          <w:szCs w:val="20"/>
          <w:lang w:val="en-US"/>
        </w:rPr>
        <w:t xml:space="preserve"> Neuroendocrine Tumors Receiving Peptide Receptor Radionuclide Therapy: Information from a Monitoring Program in Clinical Routine. </w:t>
      </w:r>
      <w:r w:rsidRPr="00E51A80">
        <w:rPr>
          <w:rFonts w:ascii="Book Antiqua" w:hAnsi="Book Antiqua"/>
          <w:i/>
          <w:sz w:val="20"/>
          <w:szCs w:val="20"/>
          <w:lang w:val="en-US"/>
        </w:rPr>
        <w:t xml:space="preserve">J </w:t>
      </w:r>
      <w:proofErr w:type="spellStart"/>
      <w:r w:rsidRPr="00E51A80">
        <w:rPr>
          <w:rFonts w:ascii="Book Antiqua" w:hAnsi="Book Antiqua"/>
          <w:i/>
          <w:sz w:val="20"/>
          <w:szCs w:val="20"/>
          <w:lang w:val="en-US"/>
        </w:rPr>
        <w:t>Nucl</w:t>
      </w:r>
      <w:proofErr w:type="spellEnd"/>
      <w:r w:rsidRPr="00E51A80">
        <w:rPr>
          <w:rFonts w:ascii="Book Antiqua" w:hAnsi="Book Antiqua"/>
          <w:i/>
          <w:sz w:val="20"/>
          <w:szCs w:val="20"/>
          <w:lang w:val="en-US"/>
        </w:rPr>
        <w:t xml:space="preserve"> Med</w:t>
      </w:r>
      <w:r w:rsidRPr="00E51A80">
        <w:rPr>
          <w:rFonts w:ascii="Book Antiqua" w:hAnsi="Book Antiqua"/>
          <w:sz w:val="20"/>
          <w:szCs w:val="20"/>
          <w:lang w:val="en-US"/>
        </w:rPr>
        <w:t xml:space="preserve"> 2018; </w:t>
      </w:r>
      <w:r w:rsidRPr="00E51A80">
        <w:rPr>
          <w:rFonts w:ascii="Book Antiqua" w:hAnsi="Book Antiqua"/>
          <w:b/>
          <w:sz w:val="20"/>
          <w:szCs w:val="20"/>
          <w:lang w:val="en-US"/>
        </w:rPr>
        <w:t>59</w:t>
      </w:r>
      <w:r w:rsidRPr="00E51A80">
        <w:rPr>
          <w:rFonts w:ascii="Book Antiqua" w:hAnsi="Book Antiqua"/>
          <w:sz w:val="20"/>
          <w:szCs w:val="20"/>
          <w:lang w:val="en-US"/>
        </w:rPr>
        <w:t>: 1566-1573 [PMID: 30042164 DOI: 10.2967/jnumed.117.204834]</w:t>
      </w:r>
    </w:p>
    <w:p w:rsidR="002405DE" w:rsidRPr="00E51A80" w:rsidRDefault="002405DE"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t xml:space="preserve">19 </w:t>
      </w:r>
      <w:proofErr w:type="spellStart"/>
      <w:r w:rsidRPr="00E51A80">
        <w:rPr>
          <w:rFonts w:ascii="Book Antiqua" w:hAnsi="Book Antiqua"/>
          <w:b/>
          <w:sz w:val="20"/>
          <w:szCs w:val="20"/>
          <w:lang w:val="en-US"/>
        </w:rPr>
        <w:t>Maqsood</w:t>
      </w:r>
      <w:proofErr w:type="spellEnd"/>
      <w:r w:rsidRPr="00E51A80">
        <w:rPr>
          <w:rFonts w:ascii="Book Antiqua" w:hAnsi="Book Antiqua"/>
          <w:b/>
          <w:sz w:val="20"/>
          <w:szCs w:val="20"/>
          <w:lang w:val="en-US"/>
        </w:rPr>
        <w:t xml:space="preserve"> MH</w:t>
      </w:r>
      <w:r w:rsidRPr="00E51A80">
        <w:rPr>
          <w:rFonts w:ascii="Book Antiqua" w:hAnsi="Book Antiqua"/>
          <w:sz w:val="20"/>
          <w:szCs w:val="20"/>
          <w:lang w:val="en-US"/>
        </w:rPr>
        <w:t xml:space="preserve">, </w:t>
      </w:r>
      <w:proofErr w:type="spellStart"/>
      <w:r w:rsidRPr="00E51A80">
        <w:rPr>
          <w:rFonts w:ascii="Book Antiqua" w:hAnsi="Book Antiqua"/>
          <w:sz w:val="20"/>
          <w:szCs w:val="20"/>
          <w:lang w:val="en-US"/>
        </w:rPr>
        <w:t>Tameez</w:t>
      </w:r>
      <w:proofErr w:type="spellEnd"/>
      <w:r w:rsidRPr="00E51A80">
        <w:rPr>
          <w:rFonts w:ascii="Book Antiqua" w:hAnsi="Book Antiqua"/>
          <w:sz w:val="20"/>
          <w:szCs w:val="20"/>
          <w:lang w:val="en-US"/>
        </w:rPr>
        <w:t xml:space="preserve"> </w:t>
      </w:r>
      <w:proofErr w:type="spellStart"/>
      <w:r w:rsidRPr="00E51A80">
        <w:rPr>
          <w:rFonts w:ascii="Book Antiqua" w:hAnsi="Book Antiqua"/>
          <w:sz w:val="20"/>
          <w:szCs w:val="20"/>
          <w:lang w:val="en-US"/>
        </w:rPr>
        <w:t>Ud</w:t>
      </w:r>
      <w:proofErr w:type="spellEnd"/>
      <w:r w:rsidRPr="00E51A80">
        <w:rPr>
          <w:rFonts w:ascii="Book Antiqua" w:hAnsi="Book Antiqua"/>
          <w:sz w:val="20"/>
          <w:szCs w:val="20"/>
          <w:lang w:val="en-US"/>
        </w:rPr>
        <w:t xml:space="preserve"> Din A, Khan AH. Neuroendocrine Tumor Therapy with Lutetium-177: A Literature Review. </w:t>
      </w:r>
      <w:proofErr w:type="spellStart"/>
      <w:r w:rsidRPr="00E51A80">
        <w:rPr>
          <w:rFonts w:ascii="Book Antiqua" w:hAnsi="Book Antiqua"/>
          <w:i/>
          <w:sz w:val="20"/>
          <w:szCs w:val="20"/>
          <w:lang w:val="en-US"/>
        </w:rPr>
        <w:t>Cureus</w:t>
      </w:r>
      <w:proofErr w:type="spellEnd"/>
      <w:r w:rsidRPr="00E51A80">
        <w:rPr>
          <w:rFonts w:ascii="Book Antiqua" w:hAnsi="Book Antiqua"/>
          <w:sz w:val="20"/>
          <w:szCs w:val="20"/>
          <w:lang w:val="en-US"/>
        </w:rPr>
        <w:t xml:space="preserve"> 2019; </w:t>
      </w:r>
      <w:r w:rsidRPr="00E51A80">
        <w:rPr>
          <w:rFonts w:ascii="Book Antiqua" w:hAnsi="Book Antiqua"/>
          <w:b/>
          <w:sz w:val="20"/>
          <w:szCs w:val="20"/>
          <w:lang w:val="en-US"/>
        </w:rPr>
        <w:t>11</w:t>
      </w:r>
      <w:r w:rsidRPr="00E51A80">
        <w:rPr>
          <w:rFonts w:ascii="Book Antiqua" w:hAnsi="Book Antiqua"/>
          <w:sz w:val="20"/>
          <w:szCs w:val="20"/>
          <w:lang w:val="en-US"/>
        </w:rPr>
        <w:t>: e3986 [PMID: 30972265 DOI: 10.7759/cureus.3986]</w:t>
      </w:r>
    </w:p>
    <w:p w:rsidR="002405DE" w:rsidRPr="00E51A80" w:rsidRDefault="002405DE"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t xml:space="preserve">20 </w:t>
      </w:r>
      <w:proofErr w:type="spellStart"/>
      <w:r w:rsidRPr="00E51A80">
        <w:rPr>
          <w:rFonts w:ascii="Book Antiqua" w:hAnsi="Book Antiqua"/>
          <w:b/>
          <w:sz w:val="20"/>
          <w:szCs w:val="20"/>
          <w:lang w:val="en-US"/>
        </w:rPr>
        <w:t>Bodei</w:t>
      </w:r>
      <w:proofErr w:type="spellEnd"/>
      <w:r w:rsidRPr="00E51A80">
        <w:rPr>
          <w:rFonts w:ascii="Book Antiqua" w:hAnsi="Book Antiqua"/>
          <w:b/>
          <w:sz w:val="20"/>
          <w:szCs w:val="20"/>
          <w:lang w:val="en-US"/>
        </w:rPr>
        <w:t xml:space="preserve"> L</w:t>
      </w:r>
      <w:r w:rsidRPr="00E51A80">
        <w:rPr>
          <w:rFonts w:ascii="Book Antiqua" w:hAnsi="Book Antiqua"/>
          <w:sz w:val="20"/>
          <w:szCs w:val="20"/>
          <w:lang w:val="en-US"/>
        </w:rPr>
        <w:t xml:space="preserve">, Mueller-Brand J, Baum RP, </w:t>
      </w:r>
      <w:proofErr w:type="spellStart"/>
      <w:r w:rsidRPr="00E51A80">
        <w:rPr>
          <w:rFonts w:ascii="Book Antiqua" w:hAnsi="Book Antiqua"/>
          <w:sz w:val="20"/>
          <w:szCs w:val="20"/>
          <w:lang w:val="en-US"/>
        </w:rPr>
        <w:t>Pavel</w:t>
      </w:r>
      <w:proofErr w:type="spellEnd"/>
      <w:r w:rsidRPr="00E51A80">
        <w:rPr>
          <w:rFonts w:ascii="Book Antiqua" w:hAnsi="Book Antiqua"/>
          <w:sz w:val="20"/>
          <w:szCs w:val="20"/>
          <w:lang w:val="en-US"/>
        </w:rPr>
        <w:t xml:space="preserve"> ME, </w:t>
      </w:r>
      <w:proofErr w:type="spellStart"/>
      <w:r w:rsidRPr="00E51A80">
        <w:rPr>
          <w:rFonts w:ascii="Book Antiqua" w:hAnsi="Book Antiqua"/>
          <w:sz w:val="20"/>
          <w:szCs w:val="20"/>
          <w:lang w:val="en-US"/>
        </w:rPr>
        <w:t>Hörsch</w:t>
      </w:r>
      <w:proofErr w:type="spellEnd"/>
      <w:r w:rsidRPr="00E51A80">
        <w:rPr>
          <w:rFonts w:ascii="Book Antiqua" w:hAnsi="Book Antiqua"/>
          <w:sz w:val="20"/>
          <w:szCs w:val="20"/>
          <w:lang w:val="en-US"/>
        </w:rPr>
        <w:t xml:space="preserve"> D, </w:t>
      </w:r>
      <w:proofErr w:type="spellStart"/>
      <w:r w:rsidRPr="00E51A80">
        <w:rPr>
          <w:rFonts w:ascii="Book Antiqua" w:hAnsi="Book Antiqua"/>
          <w:sz w:val="20"/>
          <w:szCs w:val="20"/>
          <w:lang w:val="en-US"/>
        </w:rPr>
        <w:t>O'Dorisio</w:t>
      </w:r>
      <w:proofErr w:type="spellEnd"/>
      <w:r w:rsidRPr="00E51A80">
        <w:rPr>
          <w:rFonts w:ascii="Book Antiqua" w:hAnsi="Book Antiqua"/>
          <w:sz w:val="20"/>
          <w:szCs w:val="20"/>
          <w:lang w:val="en-US"/>
        </w:rPr>
        <w:t xml:space="preserve"> MS, </w:t>
      </w:r>
      <w:proofErr w:type="spellStart"/>
      <w:r w:rsidRPr="00E51A80">
        <w:rPr>
          <w:rFonts w:ascii="Book Antiqua" w:hAnsi="Book Antiqua"/>
          <w:sz w:val="20"/>
          <w:szCs w:val="20"/>
          <w:lang w:val="en-US"/>
        </w:rPr>
        <w:t>O'Dorisio</w:t>
      </w:r>
      <w:proofErr w:type="spellEnd"/>
      <w:r w:rsidRPr="00E51A80">
        <w:rPr>
          <w:rFonts w:ascii="Book Antiqua" w:hAnsi="Book Antiqua"/>
          <w:sz w:val="20"/>
          <w:szCs w:val="20"/>
          <w:lang w:val="en-US"/>
        </w:rPr>
        <w:t xml:space="preserve"> TM, Howe JR, </w:t>
      </w:r>
      <w:proofErr w:type="spellStart"/>
      <w:r w:rsidRPr="00E51A80">
        <w:rPr>
          <w:rFonts w:ascii="Book Antiqua" w:hAnsi="Book Antiqua"/>
          <w:sz w:val="20"/>
          <w:szCs w:val="20"/>
          <w:lang w:val="en-US"/>
        </w:rPr>
        <w:t>Cremonesi</w:t>
      </w:r>
      <w:proofErr w:type="spellEnd"/>
      <w:r w:rsidRPr="00E51A80">
        <w:rPr>
          <w:rFonts w:ascii="Book Antiqua" w:hAnsi="Book Antiqua"/>
          <w:sz w:val="20"/>
          <w:szCs w:val="20"/>
          <w:lang w:val="en-US"/>
        </w:rPr>
        <w:t xml:space="preserve"> M, </w:t>
      </w:r>
      <w:proofErr w:type="spellStart"/>
      <w:r w:rsidRPr="00E51A80">
        <w:rPr>
          <w:rFonts w:ascii="Book Antiqua" w:hAnsi="Book Antiqua"/>
          <w:sz w:val="20"/>
          <w:szCs w:val="20"/>
          <w:lang w:val="en-US"/>
        </w:rPr>
        <w:t>Kwekkeboom</w:t>
      </w:r>
      <w:proofErr w:type="spellEnd"/>
      <w:r w:rsidRPr="00E51A80">
        <w:rPr>
          <w:rFonts w:ascii="Book Antiqua" w:hAnsi="Book Antiqua"/>
          <w:sz w:val="20"/>
          <w:szCs w:val="20"/>
          <w:lang w:val="en-US"/>
        </w:rPr>
        <w:t xml:space="preserve"> DJ, </w:t>
      </w:r>
      <w:proofErr w:type="spellStart"/>
      <w:r w:rsidRPr="00E51A80">
        <w:rPr>
          <w:rFonts w:ascii="Book Antiqua" w:hAnsi="Book Antiqua"/>
          <w:sz w:val="20"/>
          <w:szCs w:val="20"/>
          <w:lang w:val="en-US"/>
        </w:rPr>
        <w:t>Zaknun</w:t>
      </w:r>
      <w:proofErr w:type="spellEnd"/>
      <w:r w:rsidRPr="00E51A80">
        <w:rPr>
          <w:rFonts w:ascii="Book Antiqua" w:hAnsi="Book Antiqua"/>
          <w:sz w:val="20"/>
          <w:szCs w:val="20"/>
          <w:lang w:val="en-US"/>
        </w:rPr>
        <w:t xml:space="preserve"> JJ. </w:t>
      </w:r>
      <w:proofErr w:type="gramStart"/>
      <w:r w:rsidRPr="00E51A80">
        <w:rPr>
          <w:rFonts w:ascii="Book Antiqua" w:hAnsi="Book Antiqua"/>
          <w:sz w:val="20"/>
          <w:szCs w:val="20"/>
          <w:lang w:val="en-US"/>
        </w:rPr>
        <w:t xml:space="preserve">The joint IAEA, EANM, and SNMMI practical guidance on peptide receptor radionuclide therapy (PRRNT) in neuroendocrine </w:t>
      </w:r>
      <w:proofErr w:type="spellStart"/>
      <w:r w:rsidRPr="00E51A80">
        <w:rPr>
          <w:rFonts w:ascii="Book Antiqua" w:hAnsi="Book Antiqua"/>
          <w:sz w:val="20"/>
          <w:szCs w:val="20"/>
          <w:lang w:val="en-US"/>
        </w:rPr>
        <w:t>tumours</w:t>
      </w:r>
      <w:proofErr w:type="spellEnd"/>
      <w:r w:rsidRPr="00E51A80">
        <w:rPr>
          <w:rFonts w:ascii="Book Antiqua" w:hAnsi="Book Antiqua"/>
          <w:sz w:val="20"/>
          <w:szCs w:val="20"/>
          <w:lang w:val="en-US"/>
        </w:rPr>
        <w:t>.</w:t>
      </w:r>
      <w:proofErr w:type="gramEnd"/>
      <w:r w:rsidRPr="00E51A80">
        <w:rPr>
          <w:rFonts w:ascii="Book Antiqua" w:hAnsi="Book Antiqua"/>
          <w:sz w:val="20"/>
          <w:szCs w:val="20"/>
          <w:lang w:val="en-US"/>
        </w:rPr>
        <w:t xml:space="preserve"> </w:t>
      </w:r>
      <w:proofErr w:type="spellStart"/>
      <w:r w:rsidRPr="00E51A80">
        <w:rPr>
          <w:rFonts w:ascii="Book Antiqua" w:hAnsi="Book Antiqua"/>
          <w:i/>
          <w:sz w:val="20"/>
          <w:szCs w:val="20"/>
          <w:lang w:val="en-US"/>
        </w:rPr>
        <w:t>Eur</w:t>
      </w:r>
      <w:proofErr w:type="spellEnd"/>
      <w:r w:rsidRPr="00E51A80">
        <w:rPr>
          <w:rFonts w:ascii="Book Antiqua" w:hAnsi="Book Antiqua"/>
          <w:i/>
          <w:sz w:val="20"/>
          <w:szCs w:val="20"/>
          <w:lang w:val="en-US"/>
        </w:rPr>
        <w:t xml:space="preserve"> J </w:t>
      </w:r>
      <w:proofErr w:type="spellStart"/>
      <w:r w:rsidRPr="00E51A80">
        <w:rPr>
          <w:rFonts w:ascii="Book Antiqua" w:hAnsi="Book Antiqua"/>
          <w:i/>
          <w:sz w:val="20"/>
          <w:szCs w:val="20"/>
          <w:lang w:val="en-US"/>
        </w:rPr>
        <w:t>Nucl</w:t>
      </w:r>
      <w:proofErr w:type="spellEnd"/>
      <w:r w:rsidRPr="00E51A80">
        <w:rPr>
          <w:rFonts w:ascii="Book Antiqua" w:hAnsi="Book Antiqua"/>
          <w:i/>
          <w:sz w:val="20"/>
          <w:szCs w:val="20"/>
          <w:lang w:val="en-US"/>
        </w:rPr>
        <w:t xml:space="preserve"> Med </w:t>
      </w:r>
      <w:proofErr w:type="spellStart"/>
      <w:r w:rsidRPr="00E51A80">
        <w:rPr>
          <w:rFonts w:ascii="Book Antiqua" w:hAnsi="Book Antiqua"/>
          <w:i/>
          <w:sz w:val="20"/>
          <w:szCs w:val="20"/>
          <w:lang w:val="en-US"/>
        </w:rPr>
        <w:t>Mol</w:t>
      </w:r>
      <w:proofErr w:type="spellEnd"/>
      <w:r w:rsidRPr="00E51A80">
        <w:rPr>
          <w:rFonts w:ascii="Book Antiqua" w:hAnsi="Book Antiqua"/>
          <w:i/>
          <w:sz w:val="20"/>
          <w:szCs w:val="20"/>
          <w:lang w:val="en-US"/>
        </w:rPr>
        <w:t xml:space="preserve"> Imaging</w:t>
      </w:r>
      <w:r w:rsidRPr="00E51A80">
        <w:rPr>
          <w:rFonts w:ascii="Book Antiqua" w:hAnsi="Book Antiqua"/>
          <w:sz w:val="20"/>
          <w:szCs w:val="20"/>
          <w:lang w:val="en-US"/>
        </w:rPr>
        <w:t xml:space="preserve"> 2013; </w:t>
      </w:r>
      <w:r w:rsidRPr="00E51A80">
        <w:rPr>
          <w:rFonts w:ascii="Book Antiqua" w:hAnsi="Book Antiqua"/>
          <w:b/>
          <w:sz w:val="20"/>
          <w:szCs w:val="20"/>
          <w:lang w:val="en-US"/>
        </w:rPr>
        <w:t>40</w:t>
      </w:r>
      <w:r w:rsidRPr="00E51A80">
        <w:rPr>
          <w:rFonts w:ascii="Book Antiqua" w:hAnsi="Book Antiqua"/>
          <w:sz w:val="20"/>
          <w:szCs w:val="20"/>
          <w:lang w:val="en-US"/>
        </w:rPr>
        <w:t>: 800-816 [PMID: 23389427 DOI: 10.1007/s00259-012-2330-6]</w:t>
      </w:r>
    </w:p>
    <w:p w:rsidR="002405DE" w:rsidRPr="00E51A80" w:rsidRDefault="002405DE"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t xml:space="preserve">21 </w:t>
      </w:r>
      <w:proofErr w:type="spellStart"/>
      <w:r w:rsidRPr="00E51A80">
        <w:rPr>
          <w:rFonts w:ascii="Book Antiqua" w:hAnsi="Book Antiqua"/>
          <w:b/>
          <w:sz w:val="20"/>
          <w:szCs w:val="20"/>
          <w:lang w:val="en-US"/>
        </w:rPr>
        <w:t>Kwekkeboom</w:t>
      </w:r>
      <w:proofErr w:type="spellEnd"/>
      <w:r w:rsidRPr="00E51A80">
        <w:rPr>
          <w:rFonts w:ascii="Book Antiqua" w:hAnsi="Book Antiqua"/>
          <w:b/>
          <w:sz w:val="20"/>
          <w:szCs w:val="20"/>
          <w:lang w:val="en-US"/>
        </w:rPr>
        <w:t xml:space="preserve"> DJ</w:t>
      </w:r>
      <w:r w:rsidRPr="00E51A80">
        <w:rPr>
          <w:rFonts w:ascii="Book Antiqua" w:hAnsi="Book Antiqua"/>
          <w:sz w:val="20"/>
          <w:szCs w:val="20"/>
          <w:lang w:val="en-US"/>
        </w:rPr>
        <w:t xml:space="preserve">, de Herder WW, </w:t>
      </w:r>
      <w:proofErr w:type="spellStart"/>
      <w:r w:rsidRPr="00E51A80">
        <w:rPr>
          <w:rFonts w:ascii="Book Antiqua" w:hAnsi="Book Antiqua"/>
          <w:sz w:val="20"/>
          <w:szCs w:val="20"/>
          <w:lang w:val="en-US"/>
        </w:rPr>
        <w:t>Kam</w:t>
      </w:r>
      <w:proofErr w:type="spellEnd"/>
      <w:r w:rsidRPr="00E51A80">
        <w:rPr>
          <w:rFonts w:ascii="Book Antiqua" w:hAnsi="Book Antiqua"/>
          <w:sz w:val="20"/>
          <w:szCs w:val="20"/>
          <w:lang w:val="en-US"/>
        </w:rPr>
        <w:t xml:space="preserve"> BL, van </w:t>
      </w:r>
      <w:proofErr w:type="spellStart"/>
      <w:r w:rsidRPr="00E51A80">
        <w:rPr>
          <w:rFonts w:ascii="Book Antiqua" w:hAnsi="Book Antiqua"/>
          <w:sz w:val="20"/>
          <w:szCs w:val="20"/>
          <w:lang w:val="en-US"/>
        </w:rPr>
        <w:t>Eijck</w:t>
      </w:r>
      <w:proofErr w:type="spellEnd"/>
      <w:r w:rsidRPr="00E51A80">
        <w:rPr>
          <w:rFonts w:ascii="Book Antiqua" w:hAnsi="Book Antiqua"/>
          <w:sz w:val="20"/>
          <w:szCs w:val="20"/>
          <w:lang w:val="en-US"/>
        </w:rPr>
        <w:t xml:space="preserve"> CH, van Essen M, </w:t>
      </w:r>
      <w:proofErr w:type="spellStart"/>
      <w:r w:rsidRPr="00E51A80">
        <w:rPr>
          <w:rFonts w:ascii="Book Antiqua" w:hAnsi="Book Antiqua"/>
          <w:sz w:val="20"/>
          <w:szCs w:val="20"/>
          <w:lang w:val="en-US"/>
        </w:rPr>
        <w:t>Kooij</w:t>
      </w:r>
      <w:proofErr w:type="spellEnd"/>
      <w:r w:rsidRPr="00E51A80">
        <w:rPr>
          <w:rFonts w:ascii="Book Antiqua" w:hAnsi="Book Antiqua"/>
          <w:sz w:val="20"/>
          <w:szCs w:val="20"/>
          <w:lang w:val="en-US"/>
        </w:rPr>
        <w:t xml:space="preserve"> PP, </w:t>
      </w:r>
      <w:proofErr w:type="spellStart"/>
      <w:r w:rsidRPr="00E51A80">
        <w:rPr>
          <w:rFonts w:ascii="Book Antiqua" w:hAnsi="Book Antiqua"/>
          <w:sz w:val="20"/>
          <w:szCs w:val="20"/>
          <w:lang w:val="en-US"/>
        </w:rPr>
        <w:t>Feelders</w:t>
      </w:r>
      <w:proofErr w:type="spellEnd"/>
      <w:r w:rsidRPr="00E51A80">
        <w:rPr>
          <w:rFonts w:ascii="Book Antiqua" w:hAnsi="Book Antiqua"/>
          <w:sz w:val="20"/>
          <w:szCs w:val="20"/>
          <w:lang w:val="en-US"/>
        </w:rPr>
        <w:t xml:space="preserve"> RA, van </w:t>
      </w:r>
      <w:proofErr w:type="spellStart"/>
      <w:r w:rsidRPr="00E51A80">
        <w:rPr>
          <w:rFonts w:ascii="Book Antiqua" w:hAnsi="Book Antiqua"/>
          <w:sz w:val="20"/>
          <w:szCs w:val="20"/>
          <w:lang w:val="en-US"/>
        </w:rPr>
        <w:t>Aken</w:t>
      </w:r>
      <w:proofErr w:type="spellEnd"/>
      <w:r w:rsidRPr="00E51A80">
        <w:rPr>
          <w:rFonts w:ascii="Book Antiqua" w:hAnsi="Book Antiqua"/>
          <w:sz w:val="20"/>
          <w:szCs w:val="20"/>
          <w:lang w:val="en-US"/>
        </w:rPr>
        <w:t xml:space="preserve"> MO, </w:t>
      </w:r>
      <w:proofErr w:type="spellStart"/>
      <w:r w:rsidRPr="00E51A80">
        <w:rPr>
          <w:rFonts w:ascii="Book Antiqua" w:hAnsi="Book Antiqua"/>
          <w:sz w:val="20"/>
          <w:szCs w:val="20"/>
          <w:lang w:val="en-US"/>
        </w:rPr>
        <w:t>Krenning</w:t>
      </w:r>
      <w:proofErr w:type="spellEnd"/>
      <w:r w:rsidRPr="00E51A80">
        <w:rPr>
          <w:rFonts w:ascii="Book Antiqua" w:hAnsi="Book Antiqua"/>
          <w:sz w:val="20"/>
          <w:szCs w:val="20"/>
          <w:lang w:val="en-US"/>
        </w:rPr>
        <w:t xml:space="preserve"> EP. Treatment with the radiolabeled </w:t>
      </w:r>
      <w:proofErr w:type="spellStart"/>
      <w:r w:rsidRPr="00E51A80">
        <w:rPr>
          <w:rFonts w:ascii="Book Antiqua" w:hAnsi="Book Antiqua"/>
          <w:sz w:val="20"/>
          <w:szCs w:val="20"/>
          <w:lang w:val="en-US"/>
        </w:rPr>
        <w:t>somatostatin</w:t>
      </w:r>
      <w:proofErr w:type="spellEnd"/>
      <w:r w:rsidRPr="00E51A80">
        <w:rPr>
          <w:rFonts w:ascii="Book Antiqua" w:hAnsi="Book Antiqua"/>
          <w:sz w:val="20"/>
          <w:szCs w:val="20"/>
          <w:lang w:val="en-US"/>
        </w:rPr>
        <w:t xml:space="preserve"> analog [177 Lu-DOTA </w:t>
      </w:r>
      <w:r w:rsidRPr="00E51A80">
        <w:rPr>
          <w:rFonts w:ascii="Book Antiqua" w:hAnsi="Book Antiqua"/>
          <w:sz w:val="20"/>
          <w:szCs w:val="20"/>
          <w:lang w:val="en-US"/>
        </w:rPr>
        <w:lastRenderedPageBreak/>
        <w:t>0</w:t>
      </w:r>
      <w:proofErr w:type="gramStart"/>
      <w:r w:rsidRPr="00E51A80">
        <w:rPr>
          <w:rFonts w:ascii="Book Antiqua" w:hAnsi="Book Antiqua"/>
          <w:sz w:val="20"/>
          <w:szCs w:val="20"/>
          <w:lang w:val="en-US"/>
        </w:rPr>
        <w:t>,Tyr3</w:t>
      </w:r>
      <w:proofErr w:type="gramEnd"/>
      <w:r w:rsidRPr="00E51A80">
        <w:rPr>
          <w:rFonts w:ascii="Book Antiqua" w:hAnsi="Book Antiqua"/>
          <w:sz w:val="20"/>
          <w:szCs w:val="20"/>
          <w:lang w:val="en-US"/>
        </w:rPr>
        <w:t>]</w:t>
      </w:r>
      <w:proofErr w:type="spellStart"/>
      <w:r w:rsidRPr="00E51A80">
        <w:rPr>
          <w:rFonts w:ascii="Book Antiqua" w:hAnsi="Book Antiqua"/>
          <w:sz w:val="20"/>
          <w:szCs w:val="20"/>
          <w:lang w:val="en-US"/>
        </w:rPr>
        <w:t>octreotate</w:t>
      </w:r>
      <w:proofErr w:type="spellEnd"/>
      <w:r w:rsidRPr="00E51A80">
        <w:rPr>
          <w:rFonts w:ascii="Book Antiqua" w:hAnsi="Book Antiqua"/>
          <w:sz w:val="20"/>
          <w:szCs w:val="20"/>
          <w:lang w:val="en-US"/>
        </w:rPr>
        <w:t xml:space="preserve">: toxicity, efficacy, and survival. </w:t>
      </w:r>
      <w:r w:rsidRPr="00E51A80">
        <w:rPr>
          <w:rFonts w:ascii="Book Antiqua" w:hAnsi="Book Antiqua"/>
          <w:i/>
          <w:sz w:val="20"/>
          <w:szCs w:val="20"/>
          <w:lang w:val="en-US"/>
        </w:rPr>
        <w:t xml:space="preserve">J </w:t>
      </w:r>
      <w:proofErr w:type="spellStart"/>
      <w:r w:rsidRPr="00E51A80">
        <w:rPr>
          <w:rFonts w:ascii="Book Antiqua" w:hAnsi="Book Antiqua"/>
          <w:i/>
          <w:sz w:val="20"/>
          <w:szCs w:val="20"/>
          <w:lang w:val="en-US"/>
        </w:rPr>
        <w:t>Clin</w:t>
      </w:r>
      <w:proofErr w:type="spellEnd"/>
      <w:r w:rsidRPr="00E51A80">
        <w:rPr>
          <w:rFonts w:ascii="Book Antiqua" w:hAnsi="Book Antiqua"/>
          <w:i/>
          <w:sz w:val="20"/>
          <w:szCs w:val="20"/>
          <w:lang w:val="en-US"/>
        </w:rPr>
        <w:t xml:space="preserve"> </w:t>
      </w:r>
      <w:proofErr w:type="spellStart"/>
      <w:r w:rsidRPr="00E51A80">
        <w:rPr>
          <w:rFonts w:ascii="Book Antiqua" w:hAnsi="Book Antiqua"/>
          <w:i/>
          <w:sz w:val="20"/>
          <w:szCs w:val="20"/>
          <w:lang w:val="en-US"/>
        </w:rPr>
        <w:t>Oncol</w:t>
      </w:r>
      <w:proofErr w:type="spellEnd"/>
      <w:r w:rsidRPr="00E51A80">
        <w:rPr>
          <w:rFonts w:ascii="Book Antiqua" w:hAnsi="Book Antiqua"/>
          <w:sz w:val="20"/>
          <w:szCs w:val="20"/>
          <w:lang w:val="en-US"/>
        </w:rPr>
        <w:t xml:space="preserve"> 2008; </w:t>
      </w:r>
      <w:r w:rsidRPr="00E51A80">
        <w:rPr>
          <w:rFonts w:ascii="Book Antiqua" w:hAnsi="Book Antiqua"/>
          <w:b/>
          <w:sz w:val="20"/>
          <w:szCs w:val="20"/>
          <w:lang w:val="en-US"/>
        </w:rPr>
        <w:t>26</w:t>
      </w:r>
      <w:r w:rsidRPr="00E51A80">
        <w:rPr>
          <w:rFonts w:ascii="Book Antiqua" w:hAnsi="Book Antiqua"/>
          <w:sz w:val="20"/>
          <w:szCs w:val="20"/>
          <w:lang w:val="en-US"/>
        </w:rPr>
        <w:t>: 2124-2130 [PMID: 18445841 DOI: 10.1200/JCO.2007.15.2553]</w:t>
      </w:r>
    </w:p>
    <w:p w:rsidR="002405DE" w:rsidRPr="00E51A80" w:rsidRDefault="002405DE"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t xml:space="preserve">22 </w:t>
      </w:r>
      <w:r w:rsidRPr="00E51A80">
        <w:rPr>
          <w:rFonts w:ascii="Book Antiqua" w:hAnsi="Book Antiqua"/>
          <w:b/>
          <w:sz w:val="20"/>
          <w:szCs w:val="20"/>
          <w:lang w:val="en-US"/>
        </w:rPr>
        <w:t>de Keizer B</w:t>
      </w:r>
      <w:r w:rsidRPr="00E51A80">
        <w:rPr>
          <w:rFonts w:ascii="Book Antiqua" w:hAnsi="Book Antiqua"/>
          <w:sz w:val="20"/>
          <w:szCs w:val="20"/>
          <w:lang w:val="en-US"/>
        </w:rPr>
        <w:t xml:space="preserve">, van </w:t>
      </w:r>
      <w:proofErr w:type="spellStart"/>
      <w:r w:rsidRPr="00E51A80">
        <w:rPr>
          <w:rFonts w:ascii="Book Antiqua" w:hAnsi="Book Antiqua"/>
          <w:sz w:val="20"/>
          <w:szCs w:val="20"/>
          <w:lang w:val="en-US"/>
        </w:rPr>
        <w:t>Aken</w:t>
      </w:r>
      <w:proofErr w:type="spellEnd"/>
      <w:r w:rsidRPr="00E51A80">
        <w:rPr>
          <w:rFonts w:ascii="Book Antiqua" w:hAnsi="Book Antiqua"/>
          <w:sz w:val="20"/>
          <w:szCs w:val="20"/>
          <w:lang w:val="en-US"/>
        </w:rPr>
        <w:t xml:space="preserve"> MO, </w:t>
      </w:r>
      <w:proofErr w:type="spellStart"/>
      <w:r w:rsidRPr="00E51A80">
        <w:rPr>
          <w:rFonts w:ascii="Book Antiqua" w:hAnsi="Book Antiqua"/>
          <w:sz w:val="20"/>
          <w:szCs w:val="20"/>
          <w:lang w:val="en-US"/>
        </w:rPr>
        <w:t>Feelders</w:t>
      </w:r>
      <w:proofErr w:type="spellEnd"/>
      <w:r w:rsidRPr="00E51A80">
        <w:rPr>
          <w:rFonts w:ascii="Book Antiqua" w:hAnsi="Book Antiqua"/>
          <w:sz w:val="20"/>
          <w:szCs w:val="20"/>
          <w:lang w:val="en-US"/>
        </w:rPr>
        <w:t xml:space="preserve"> RA, de Herder WW, </w:t>
      </w:r>
      <w:proofErr w:type="spellStart"/>
      <w:r w:rsidRPr="00E51A80">
        <w:rPr>
          <w:rFonts w:ascii="Book Antiqua" w:hAnsi="Book Antiqua"/>
          <w:sz w:val="20"/>
          <w:szCs w:val="20"/>
          <w:lang w:val="en-US"/>
        </w:rPr>
        <w:t>Kam</w:t>
      </w:r>
      <w:proofErr w:type="spellEnd"/>
      <w:r w:rsidRPr="00E51A80">
        <w:rPr>
          <w:rFonts w:ascii="Book Antiqua" w:hAnsi="Book Antiqua"/>
          <w:sz w:val="20"/>
          <w:szCs w:val="20"/>
          <w:lang w:val="en-US"/>
        </w:rPr>
        <w:t xml:space="preserve"> BL, van Essen M, </w:t>
      </w:r>
      <w:proofErr w:type="spellStart"/>
      <w:r w:rsidRPr="00E51A80">
        <w:rPr>
          <w:rFonts w:ascii="Book Antiqua" w:hAnsi="Book Antiqua"/>
          <w:sz w:val="20"/>
          <w:szCs w:val="20"/>
          <w:lang w:val="en-US"/>
        </w:rPr>
        <w:t>Krenning</w:t>
      </w:r>
      <w:proofErr w:type="spellEnd"/>
      <w:r w:rsidRPr="00E51A80">
        <w:rPr>
          <w:rFonts w:ascii="Book Antiqua" w:hAnsi="Book Antiqua"/>
          <w:sz w:val="20"/>
          <w:szCs w:val="20"/>
          <w:lang w:val="en-US"/>
        </w:rPr>
        <w:t xml:space="preserve"> EP, </w:t>
      </w:r>
      <w:proofErr w:type="spellStart"/>
      <w:r w:rsidRPr="00E51A80">
        <w:rPr>
          <w:rFonts w:ascii="Book Antiqua" w:hAnsi="Book Antiqua"/>
          <w:sz w:val="20"/>
          <w:szCs w:val="20"/>
          <w:lang w:val="en-US"/>
        </w:rPr>
        <w:t>Kwekkeboom</w:t>
      </w:r>
      <w:proofErr w:type="spellEnd"/>
      <w:r w:rsidRPr="00E51A80">
        <w:rPr>
          <w:rFonts w:ascii="Book Antiqua" w:hAnsi="Book Antiqua"/>
          <w:sz w:val="20"/>
          <w:szCs w:val="20"/>
          <w:lang w:val="en-US"/>
        </w:rPr>
        <w:t xml:space="preserve"> DJ. Hormonal crises following receptor radionuclide therapy with the radiolabeled </w:t>
      </w:r>
      <w:proofErr w:type="spellStart"/>
      <w:r w:rsidRPr="00E51A80">
        <w:rPr>
          <w:rFonts w:ascii="Book Antiqua" w:hAnsi="Book Antiqua"/>
          <w:sz w:val="20"/>
          <w:szCs w:val="20"/>
          <w:lang w:val="en-US"/>
        </w:rPr>
        <w:t>somatostatin</w:t>
      </w:r>
      <w:proofErr w:type="spellEnd"/>
      <w:r w:rsidRPr="00E51A80">
        <w:rPr>
          <w:rFonts w:ascii="Book Antiqua" w:hAnsi="Book Antiqua"/>
          <w:sz w:val="20"/>
          <w:szCs w:val="20"/>
          <w:lang w:val="en-US"/>
        </w:rPr>
        <w:t xml:space="preserve"> analogue [177Lu-DOTA0</w:t>
      </w:r>
      <w:proofErr w:type="gramStart"/>
      <w:r w:rsidRPr="00E51A80">
        <w:rPr>
          <w:rFonts w:ascii="Book Antiqua" w:hAnsi="Book Antiqua"/>
          <w:sz w:val="20"/>
          <w:szCs w:val="20"/>
          <w:lang w:val="en-US"/>
        </w:rPr>
        <w:t>,Tyr3</w:t>
      </w:r>
      <w:proofErr w:type="gramEnd"/>
      <w:r w:rsidRPr="00E51A80">
        <w:rPr>
          <w:rFonts w:ascii="Book Antiqua" w:hAnsi="Book Antiqua"/>
          <w:sz w:val="20"/>
          <w:szCs w:val="20"/>
          <w:lang w:val="en-US"/>
        </w:rPr>
        <w:t>]</w:t>
      </w:r>
      <w:proofErr w:type="spellStart"/>
      <w:r w:rsidRPr="00E51A80">
        <w:rPr>
          <w:rFonts w:ascii="Book Antiqua" w:hAnsi="Book Antiqua"/>
          <w:sz w:val="20"/>
          <w:szCs w:val="20"/>
          <w:lang w:val="en-US"/>
        </w:rPr>
        <w:t>octreotate</w:t>
      </w:r>
      <w:proofErr w:type="spellEnd"/>
      <w:r w:rsidRPr="00E51A80">
        <w:rPr>
          <w:rFonts w:ascii="Book Antiqua" w:hAnsi="Book Antiqua"/>
          <w:sz w:val="20"/>
          <w:szCs w:val="20"/>
          <w:lang w:val="en-US"/>
        </w:rPr>
        <w:t xml:space="preserve">. </w:t>
      </w:r>
      <w:proofErr w:type="spellStart"/>
      <w:r w:rsidRPr="00E51A80">
        <w:rPr>
          <w:rFonts w:ascii="Book Antiqua" w:hAnsi="Book Antiqua"/>
          <w:i/>
          <w:sz w:val="20"/>
          <w:szCs w:val="20"/>
          <w:lang w:val="en-US"/>
        </w:rPr>
        <w:t>Eur</w:t>
      </w:r>
      <w:proofErr w:type="spellEnd"/>
      <w:r w:rsidRPr="00E51A80">
        <w:rPr>
          <w:rFonts w:ascii="Book Antiqua" w:hAnsi="Book Antiqua"/>
          <w:i/>
          <w:sz w:val="20"/>
          <w:szCs w:val="20"/>
          <w:lang w:val="en-US"/>
        </w:rPr>
        <w:t xml:space="preserve"> J </w:t>
      </w:r>
      <w:proofErr w:type="spellStart"/>
      <w:r w:rsidRPr="00E51A80">
        <w:rPr>
          <w:rFonts w:ascii="Book Antiqua" w:hAnsi="Book Antiqua"/>
          <w:i/>
          <w:sz w:val="20"/>
          <w:szCs w:val="20"/>
          <w:lang w:val="en-US"/>
        </w:rPr>
        <w:t>Nucl</w:t>
      </w:r>
      <w:proofErr w:type="spellEnd"/>
      <w:r w:rsidRPr="00E51A80">
        <w:rPr>
          <w:rFonts w:ascii="Book Antiqua" w:hAnsi="Book Antiqua"/>
          <w:i/>
          <w:sz w:val="20"/>
          <w:szCs w:val="20"/>
          <w:lang w:val="en-US"/>
        </w:rPr>
        <w:t xml:space="preserve"> Med </w:t>
      </w:r>
      <w:proofErr w:type="spellStart"/>
      <w:r w:rsidRPr="00E51A80">
        <w:rPr>
          <w:rFonts w:ascii="Book Antiqua" w:hAnsi="Book Antiqua"/>
          <w:i/>
          <w:sz w:val="20"/>
          <w:szCs w:val="20"/>
          <w:lang w:val="en-US"/>
        </w:rPr>
        <w:t>Mol</w:t>
      </w:r>
      <w:proofErr w:type="spellEnd"/>
      <w:r w:rsidRPr="00E51A80">
        <w:rPr>
          <w:rFonts w:ascii="Book Antiqua" w:hAnsi="Book Antiqua"/>
          <w:i/>
          <w:sz w:val="20"/>
          <w:szCs w:val="20"/>
          <w:lang w:val="en-US"/>
        </w:rPr>
        <w:t xml:space="preserve"> Imaging</w:t>
      </w:r>
      <w:r w:rsidRPr="00E51A80">
        <w:rPr>
          <w:rFonts w:ascii="Book Antiqua" w:hAnsi="Book Antiqua"/>
          <w:sz w:val="20"/>
          <w:szCs w:val="20"/>
          <w:lang w:val="en-US"/>
        </w:rPr>
        <w:t xml:space="preserve"> 2008; </w:t>
      </w:r>
      <w:r w:rsidRPr="00E51A80">
        <w:rPr>
          <w:rFonts w:ascii="Book Antiqua" w:hAnsi="Book Antiqua"/>
          <w:b/>
          <w:sz w:val="20"/>
          <w:szCs w:val="20"/>
          <w:lang w:val="en-US"/>
        </w:rPr>
        <w:t>35</w:t>
      </w:r>
      <w:r w:rsidRPr="00E51A80">
        <w:rPr>
          <w:rFonts w:ascii="Book Antiqua" w:hAnsi="Book Antiqua"/>
          <w:sz w:val="20"/>
          <w:szCs w:val="20"/>
          <w:lang w:val="en-US"/>
        </w:rPr>
        <w:t>: 749-755 [PMID: 18210106 DOI: 10.1007/s00259-007-0691-z]</w:t>
      </w:r>
    </w:p>
    <w:p w:rsidR="002405DE" w:rsidRPr="00E51A80" w:rsidRDefault="002405DE"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t xml:space="preserve">23 </w:t>
      </w:r>
      <w:r w:rsidRPr="00E51A80">
        <w:rPr>
          <w:rFonts w:ascii="Book Antiqua" w:hAnsi="Book Antiqua"/>
          <w:b/>
          <w:sz w:val="20"/>
          <w:szCs w:val="20"/>
          <w:lang w:val="en-US"/>
        </w:rPr>
        <w:t>Hicks RJ</w:t>
      </w:r>
      <w:r w:rsidRPr="00E51A80">
        <w:rPr>
          <w:rFonts w:ascii="Book Antiqua" w:hAnsi="Book Antiqua"/>
          <w:sz w:val="20"/>
          <w:szCs w:val="20"/>
          <w:lang w:val="en-US"/>
        </w:rPr>
        <w:t xml:space="preserve">, </w:t>
      </w:r>
      <w:proofErr w:type="spellStart"/>
      <w:r w:rsidRPr="00E51A80">
        <w:rPr>
          <w:rFonts w:ascii="Book Antiqua" w:hAnsi="Book Antiqua"/>
          <w:sz w:val="20"/>
          <w:szCs w:val="20"/>
          <w:lang w:val="en-US"/>
        </w:rPr>
        <w:t>Kwekkeboom</w:t>
      </w:r>
      <w:proofErr w:type="spellEnd"/>
      <w:r w:rsidRPr="00E51A80">
        <w:rPr>
          <w:rFonts w:ascii="Book Antiqua" w:hAnsi="Book Antiqua"/>
          <w:sz w:val="20"/>
          <w:szCs w:val="20"/>
          <w:lang w:val="en-US"/>
        </w:rPr>
        <w:t xml:space="preserve"> DJ, </w:t>
      </w:r>
      <w:proofErr w:type="spellStart"/>
      <w:r w:rsidRPr="00E51A80">
        <w:rPr>
          <w:rFonts w:ascii="Book Antiqua" w:hAnsi="Book Antiqua"/>
          <w:sz w:val="20"/>
          <w:szCs w:val="20"/>
          <w:lang w:val="en-US"/>
        </w:rPr>
        <w:t>Krenning</w:t>
      </w:r>
      <w:proofErr w:type="spellEnd"/>
      <w:r w:rsidRPr="00E51A80">
        <w:rPr>
          <w:rFonts w:ascii="Book Antiqua" w:hAnsi="Book Antiqua"/>
          <w:sz w:val="20"/>
          <w:szCs w:val="20"/>
          <w:lang w:val="en-US"/>
        </w:rPr>
        <w:t xml:space="preserve"> E, </w:t>
      </w:r>
      <w:proofErr w:type="spellStart"/>
      <w:r w:rsidRPr="00E51A80">
        <w:rPr>
          <w:rFonts w:ascii="Book Antiqua" w:hAnsi="Book Antiqua"/>
          <w:sz w:val="20"/>
          <w:szCs w:val="20"/>
          <w:lang w:val="en-US"/>
        </w:rPr>
        <w:t>Bodei</w:t>
      </w:r>
      <w:proofErr w:type="spellEnd"/>
      <w:r w:rsidRPr="00E51A80">
        <w:rPr>
          <w:rFonts w:ascii="Book Antiqua" w:hAnsi="Book Antiqua"/>
          <w:sz w:val="20"/>
          <w:szCs w:val="20"/>
          <w:lang w:val="en-US"/>
        </w:rPr>
        <w:t xml:space="preserve"> L, </w:t>
      </w:r>
      <w:proofErr w:type="spellStart"/>
      <w:r w:rsidRPr="00E51A80">
        <w:rPr>
          <w:rFonts w:ascii="Book Antiqua" w:hAnsi="Book Antiqua"/>
          <w:sz w:val="20"/>
          <w:szCs w:val="20"/>
          <w:lang w:val="en-US"/>
        </w:rPr>
        <w:t>Grozinsky-Glasberg</w:t>
      </w:r>
      <w:proofErr w:type="spellEnd"/>
      <w:r w:rsidRPr="00E51A80">
        <w:rPr>
          <w:rFonts w:ascii="Book Antiqua" w:hAnsi="Book Antiqua"/>
          <w:sz w:val="20"/>
          <w:szCs w:val="20"/>
          <w:lang w:val="en-US"/>
        </w:rPr>
        <w:t xml:space="preserve"> S, Arnold R, </w:t>
      </w:r>
      <w:proofErr w:type="spellStart"/>
      <w:r w:rsidRPr="00E51A80">
        <w:rPr>
          <w:rFonts w:ascii="Book Antiqua" w:hAnsi="Book Antiqua"/>
          <w:sz w:val="20"/>
          <w:szCs w:val="20"/>
          <w:lang w:val="en-US"/>
        </w:rPr>
        <w:t>Borbath</w:t>
      </w:r>
      <w:proofErr w:type="spellEnd"/>
      <w:r w:rsidRPr="00E51A80">
        <w:rPr>
          <w:rFonts w:ascii="Book Antiqua" w:hAnsi="Book Antiqua"/>
          <w:sz w:val="20"/>
          <w:szCs w:val="20"/>
          <w:lang w:val="en-US"/>
        </w:rPr>
        <w:t xml:space="preserve"> I, </w:t>
      </w:r>
      <w:proofErr w:type="spellStart"/>
      <w:r w:rsidRPr="00E51A80">
        <w:rPr>
          <w:rFonts w:ascii="Book Antiqua" w:hAnsi="Book Antiqua"/>
          <w:sz w:val="20"/>
          <w:szCs w:val="20"/>
          <w:lang w:val="en-US"/>
        </w:rPr>
        <w:t>Cwikla</w:t>
      </w:r>
      <w:proofErr w:type="spellEnd"/>
      <w:r w:rsidRPr="00E51A80">
        <w:rPr>
          <w:rFonts w:ascii="Book Antiqua" w:hAnsi="Book Antiqua"/>
          <w:sz w:val="20"/>
          <w:szCs w:val="20"/>
          <w:lang w:val="en-US"/>
        </w:rPr>
        <w:t xml:space="preserve"> J, </w:t>
      </w:r>
      <w:proofErr w:type="spellStart"/>
      <w:r w:rsidRPr="00E51A80">
        <w:rPr>
          <w:rFonts w:ascii="Book Antiqua" w:hAnsi="Book Antiqua"/>
          <w:sz w:val="20"/>
          <w:szCs w:val="20"/>
          <w:lang w:val="en-US"/>
        </w:rPr>
        <w:t>Toumpanakis</w:t>
      </w:r>
      <w:proofErr w:type="spellEnd"/>
      <w:r w:rsidRPr="00E51A80">
        <w:rPr>
          <w:rFonts w:ascii="Book Antiqua" w:hAnsi="Book Antiqua"/>
          <w:sz w:val="20"/>
          <w:szCs w:val="20"/>
          <w:lang w:val="en-US"/>
        </w:rPr>
        <w:t xml:space="preserve"> C, </w:t>
      </w:r>
      <w:proofErr w:type="spellStart"/>
      <w:r w:rsidRPr="00E51A80">
        <w:rPr>
          <w:rFonts w:ascii="Book Antiqua" w:hAnsi="Book Antiqua"/>
          <w:sz w:val="20"/>
          <w:szCs w:val="20"/>
          <w:lang w:val="en-US"/>
        </w:rPr>
        <w:t>Kaltsas</w:t>
      </w:r>
      <w:proofErr w:type="spellEnd"/>
      <w:r w:rsidRPr="00E51A80">
        <w:rPr>
          <w:rFonts w:ascii="Book Antiqua" w:hAnsi="Book Antiqua"/>
          <w:sz w:val="20"/>
          <w:szCs w:val="20"/>
          <w:lang w:val="en-US"/>
        </w:rPr>
        <w:t xml:space="preserve"> G, Davies P, </w:t>
      </w:r>
      <w:proofErr w:type="spellStart"/>
      <w:r w:rsidRPr="00E51A80">
        <w:rPr>
          <w:rFonts w:ascii="Book Antiqua" w:hAnsi="Book Antiqua"/>
          <w:sz w:val="20"/>
          <w:szCs w:val="20"/>
          <w:lang w:val="en-US"/>
        </w:rPr>
        <w:t>Hörsch</w:t>
      </w:r>
      <w:proofErr w:type="spellEnd"/>
      <w:r w:rsidRPr="00E51A80">
        <w:rPr>
          <w:rFonts w:ascii="Book Antiqua" w:hAnsi="Book Antiqua"/>
          <w:sz w:val="20"/>
          <w:szCs w:val="20"/>
          <w:lang w:val="en-US"/>
        </w:rPr>
        <w:t xml:space="preserve"> D, </w:t>
      </w:r>
      <w:proofErr w:type="spellStart"/>
      <w:r w:rsidRPr="00E51A80">
        <w:rPr>
          <w:rFonts w:ascii="Book Antiqua" w:hAnsi="Book Antiqua"/>
          <w:sz w:val="20"/>
          <w:szCs w:val="20"/>
          <w:lang w:val="en-US"/>
        </w:rPr>
        <w:t>Tiensuu</w:t>
      </w:r>
      <w:proofErr w:type="spellEnd"/>
      <w:r w:rsidRPr="00E51A80">
        <w:rPr>
          <w:rFonts w:ascii="Book Antiqua" w:hAnsi="Book Antiqua"/>
          <w:sz w:val="20"/>
          <w:szCs w:val="20"/>
          <w:lang w:val="en-US"/>
        </w:rPr>
        <w:t xml:space="preserve"> </w:t>
      </w:r>
      <w:proofErr w:type="spellStart"/>
      <w:r w:rsidRPr="00E51A80">
        <w:rPr>
          <w:rFonts w:ascii="Book Antiqua" w:hAnsi="Book Antiqua"/>
          <w:sz w:val="20"/>
          <w:szCs w:val="20"/>
          <w:lang w:val="en-US"/>
        </w:rPr>
        <w:t>Janson</w:t>
      </w:r>
      <w:proofErr w:type="spellEnd"/>
      <w:r w:rsidRPr="00E51A80">
        <w:rPr>
          <w:rFonts w:ascii="Book Antiqua" w:hAnsi="Book Antiqua"/>
          <w:sz w:val="20"/>
          <w:szCs w:val="20"/>
          <w:lang w:val="en-US"/>
        </w:rPr>
        <w:t xml:space="preserve"> E, </w:t>
      </w:r>
      <w:proofErr w:type="spellStart"/>
      <w:r w:rsidRPr="00E51A80">
        <w:rPr>
          <w:rFonts w:ascii="Book Antiqua" w:hAnsi="Book Antiqua"/>
          <w:sz w:val="20"/>
          <w:szCs w:val="20"/>
          <w:lang w:val="en-US"/>
        </w:rPr>
        <w:t>Ramage</w:t>
      </w:r>
      <w:proofErr w:type="spellEnd"/>
      <w:r w:rsidRPr="00E51A80">
        <w:rPr>
          <w:rFonts w:ascii="Book Antiqua" w:hAnsi="Book Antiqua"/>
          <w:sz w:val="20"/>
          <w:szCs w:val="20"/>
          <w:lang w:val="en-US"/>
        </w:rPr>
        <w:t xml:space="preserve"> J; Antibes Consensus Conference participants. ENETS Consensus Guidelines for the Standards of Care in Neuroendocrine </w:t>
      </w:r>
      <w:proofErr w:type="spellStart"/>
      <w:r w:rsidRPr="00E51A80">
        <w:rPr>
          <w:rFonts w:ascii="Book Antiqua" w:hAnsi="Book Antiqua"/>
          <w:sz w:val="20"/>
          <w:szCs w:val="20"/>
          <w:lang w:val="en-US"/>
        </w:rPr>
        <w:t>Neoplasia</w:t>
      </w:r>
      <w:proofErr w:type="spellEnd"/>
      <w:r w:rsidRPr="00E51A80">
        <w:rPr>
          <w:rFonts w:ascii="Book Antiqua" w:hAnsi="Book Antiqua"/>
          <w:sz w:val="20"/>
          <w:szCs w:val="20"/>
          <w:lang w:val="en-US"/>
        </w:rPr>
        <w:t xml:space="preserve">: Peptide Receptor Radionuclide Therapy with Radiolabeled </w:t>
      </w:r>
      <w:proofErr w:type="spellStart"/>
      <w:r w:rsidRPr="00E51A80">
        <w:rPr>
          <w:rFonts w:ascii="Book Antiqua" w:hAnsi="Book Antiqua"/>
          <w:sz w:val="20"/>
          <w:szCs w:val="20"/>
          <w:lang w:val="en-US"/>
        </w:rPr>
        <w:t>Somatostatin</w:t>
      </w:r>
      <w:proofErr w:type="spellEnd"/>
      <w:r w:rsidRPr="00E51A80">
        <w:rPr>
          <w:rFonts w:ascii="Book Antiqua" w:hAnsi="Book Antiqua"/>
          <w:sz w:val="20"/>
          <w:szCs w:val="20"/>
          <w:lang w:val="en-US"/>
        </w:rPr>
        <w:t xml:space="preserve"> Analogues. </w:t>
      </w:r>
      <w:r w:rsidRPr="00E51A80">
        <w:rPr>
          <w:rFonts w:ascii="Book Antiqua" w:hAnsi="Book Antiqua"/>
          <w:i/>
          <w:sz w:val="20"/>
          <w:szCs w:val="20"/>
          <w:lang w:val="en-US"/>
        </w:rPr>
        <w:t>Neuroendocrinology</w:t>
      </w:r>
      <w:r w:rsidRPr="00E51A80">
        <w:rPr>
          <w:rFonts w:ascii="Book Antiqua" w:hAnsi="Book Antiqua"/>
          <w:sz w:val="20"/>
          <w:szCs w:val="20"/>
          <w:lang w:val="en-US"/>
        </w:rPr>
        <w:t xml:space="preserve"> 2017; </w:t>
      </w:r>
      <w:r w:rsidRPr="00E51A80">
        <w:rPr>
          <w:rFonts w:ascii="Book Antiqua" w:hAnsi="Book Antiqua"/>
          <w:b/>
          <w:sz w:val="20"/>
          <w:szCs w:val="20"/>
          <w:lang w:val="en-US"/>
        </w:rPr>
        <w:t>105</w:t>
      </w:r>
      <w:r w:rsidRPr="00E51A80">
        <w:rPr>
          <w:rFonts w:ascii="Book Antiqua" w:hAnsi="Book Antiqua"/>
          <w:sz w:val="20"/>
          <w:szCs w:val="20"/>
          <w:lang w:val="en-US"/>
        </w:rPr>
        <w:t>: 295-309 [PMID: 28402980 DOI: 10.1159/000475526]</w:t>
      </w:r>
    </w:p>
    <w:p w:rsidR="002405DE" w:rsidRPr="00E51A80" w:rsidRDefault="002405DE" w:rsidP="007E3E0D">
      <w:pPr>
        <w:adjustRightInd w:val="0"/>
        <w:snapToGrid w:val="0"/>
        <w:spacing w:after="0" w:line="360" w:lineRule="auto"/>
        <w:jc w:val="both"/>
        <w:rPr>
          <w:rFonts w:ascii="Book Antiqua" w:hAnsi="Book Antiqua"/>
          <w:sz w:val="20"/>
          <w:szCs w:val="20"/>
          <w:lang w:val="en-US"/>
        </w:rPr>
      </w:pPr>
      <w:r w:rsidRPr="00E51A80">
        <w:rPr>
          <w:rFonts w:ascii="Book Antiqua" w:hAnsi="Book Antiqua"/>
          <w:sz w:val="20"/>
          <w:szCs w:val="20"/>
          <w:lang w:val="en-US"/>
        </w:rPr>
        <w:t xml:space="preserve">24 </w:t>
      </w:r>
      <w:proofErr w:type="spellStart"/>
      <w:r w:rsidRPr="00E51A80">
        <w:rPr>
          <w:rFonts w:ascii="Book Antiqua" w:hAnsi="Book Antiqua"/>
          <w:b/>
          <w:sz w:val="20"/>
          <w:szCs w:val="20"/>
          <w:lang w:val="en-US"/>
        </w:rPr>
        <w:t>Hörsch</w:t>
      </w:r>
      <w:proofErr w:type="spellEnd"/>
      <w:r w:rsidRPr="00E51A80">
        <w:rPr>
          <w:rFonts w:ascii="Book Antiqua" w:hAnsi="Book Antiqua"/>
          <w:b/>
          <w:sz w:val="20"/>
          <w:szCs w:val="20"/>
          <w:lang w:val="en-US"/>
        </w:rPr>
        <w:t xml:space="preserve"> D</w:t>
      </w:r>
      <w:r w:rsidRPr="00E51A80">
        <w:rPr>
          <w:rFonts w:ascii="Book Antiqua" w:hAnsi="Book Antiqua"/>
          <w:sz w:val="20"/>
          <w:szCs w:val="20"/>
          <w:lang w:val="en-US"/>
        </w:rPr>
        <w:t xml:space="preserve">, </w:t>
      </w:r>
      <w:proofErr w:type="spellStart"/>
      <w:r w:rsidRPr="00E51A80">
        <w:rPr>
          <w:rFonts w:ascii="Book Antiqua" w:hAnsi="Book Antiqua"/>
          <w:sz w:val="20"/>
          <w:szCs w:val="20"/>
          <w:lang w:val="en-US"/>
        </w:rPr>
        <w:t>Ezziddin</w:t>
      </w:r>
      <w:proofErr w:type="spellEnd"/>
      <w:r w:rsidRPr="00E51A80">
        <w:rPr>
          <w:rFonts w:ascii="Book Antiqua" w:hAnsi="Book Antiqua"/>
          <w:sz w:val="20"/>
          <w:szCs w:val="20"/>
          <w:lang w:val="en-US"/>
        </w:rPr>
        <w:t xml:space="preserve"> S, </w:t>
      </w:r>
      <w:proofErr w:type="spellStart"/>
      <w:r w:rsidRPr="00E51A80">
        <w:rPr>
          <w:rFonts w:ascii="Book Antiqua" w:hAnsi="Book Antiqua"/>
          <w:sz w:val="20"/>
          <w:szCs w:val="20"/>
          <w:lang w:val="en-US"/>
        </w:rPr>
        <w:t>Haug</w:t>
      </w:r>
      <w:proofErr w:type="spellEnd"/>
      <w:r w:rsidRPr="00E51A80">
        <w:rPr>
          <w:rFonts w:ascii="Book Antiqua" w:hAnsi="Book Antiqua"/>
          <w:sz w:val="20"/>
          <w:szCs w:val="20"/>
          <w:lang w:val="en-US"/>
        </w:rPr>
        <w:t xml:space="preserve"> A, </w:t>
      </w:r>
      <w:proofErr w:type="spellStart"/>
      <w:r w:rsidRPr="00E51A80">
        <w:rPr>
          <w:rFonts w:ascii="Book Antiqua" w:hAnsi="Book Antiqua"/>
          <w:sz w:val="20"/>
          <w:szCs w:val="20"/>
          <w:lang w:val="en-US"/>
        </w:rPr>
        <w:t>Gratz</w:t>
      </w:r>
      <w:proofErr w:type="spellEnd"/>
      <w:r w:rsidRPr="00E51A80">
        <w:rPr>
          <w:rFonts w:ascii="Book Antiqua" w:hAnsi="Book Antiqua"/>
          <w:sz w:val="20"/>
          <w:szCs w:val="20"/>
          <w:lang w:val="en-US"/>
        </w:rPr>
        <w:t xml:space="preserve"> KF, </w:t>
      </w:r>
      <w:proofErr w:type="spellStart"/>
      <w:r w:rsidRPr="00E51A80">
        <w:rPr>
          <w:rFonts w:ascii="Book Antiqua" w:hAnsi="Book Antiqua"/>
          <w:sz w:val="20"/>
          <w:szCs w:val="20"/>
          <w:lang w:val="en-US"/>
        </w:rPr>
        <w:t>Dunkelmann</w:t>
      </w:r>
      <w:proofErr w:type="spellEnd"/>
      <w:r w:rsidRPr="00E51A80">
        <w:rPr>
          <w:rFonts w:ascii="Book Antiqua" w:hAnsi="Book Antiqua"/>
          <w:sz w:val="20"/>
          <w:szCs w:val="20"/>
          <w:lang w:val="en-US"/>
        </w:rPr>
        <w:t xml:space="preserve"> S, </w:t>
      </w:r>
      <w:proofErr w:type="spellStart"/>
      <w:r w:rsidRPr="00E51A80">
        <w:rPr>
          <w:rFonts w:ascii="Book Antiqua" w:hAnsi="Book Antiqua"/>
          <w:sz w:val="20"/>
          <w:szCs w:val="20"/>
          <w:lang w:val="en-US"/>
        </w:rPr>
        <w:t>Miederer</w:t>
      </w:r>
      <w:proofErr w:type="spellEnd"/>
      <w:r w:rsidRPr="00E51A80">
        <w:rPr>
          <w:rFonts w:ascii="Book Antiqua" w:hAnsi="Book Antiqua"/>
          <w:sz w:val="20"/>
          <w:szCs w:val="20"/>
          <w:lang w:val="en-US"/>
        </w:rPr>
        <w:t xml:space="preserve"> M, </w:t>
      </w:r>
      <w:proofErr w:type="spellStart"/>
      <w:r w:rsidRPr="00E51A80">
        <w:rPr>
          <w:rFonts w:ascii="Book Antiqua" w:hAnsi="Book Antiqua"/>
          <w:sz w:val="20"/>
          <w:szCs w:val="20"/>
          <w:lang w:val="en-US"/>
        </w:rPr>
        <w:t>Schreckenberger</w:t>
      </w:r>
      <w:proofErr w:type="spellEnd"/>
      <w:r w:rsidRPr="00E51A80">
        <w:rPr>
          <w:rFonts w:ascii="Book Antiqua" w:hAnsi="Book Antiqua"/>
          <w:sz w:val="20"/>
          <w:szCs w:val="20"/>
          <w:lang w:val="en-US"/>
        </w:rPr>
        <w:t xml:space="preserve"> M, Krause BJ, </w:t>
      </w:r>
      <w:proofErr w:type="spellStart"/>
      <w:r w:rsidRPr="00E51A80">
        <w:rPr>
          <w:rFonts w:ascii="Book Antiqua" w:hAnsi="Book Antiqua"/>
          <w:sz w:val="20"/>
          <w:szCs w:val="20"/>
          <w:lang w:val="en-US"/>
        </w:rPr>
        <w:t>Bengel</w:t>
      </w:r>
      <w:proofErr w:type="spellEnd"/>
      <w:r w:rsidRPr="00E51A80">
        <w:rPr>
          <w:rFonts w:ascii="Book Antiqua" w:hAnsi="Book Antiqua"/>
          <w:sz w:val="20"/>
          <w:szCs w:val="20"/>
          <w:lang w:val="en-US"/>
        </w:rPr>
        <w:t xml:space="preserve"> FM, </w:t>
      </w:r>
      <w:proofErr w:type="spellStart"/>
      <w:r w:rsidRPr="00E51A80">
        <w:rPr>
          <w:rFonts w:ascii="Book Antiqua" w:hAnsi="Book Antiqua"/>
          <w:sz w:val="20"/>
          <w:szCs w:val="20"/>
          <w:lang w:val="en-US"/>
        </w:rPr>
        <w:t>Bartenstein</w:t>
      </w:r>
      <w:proofErr w:type="spellEnd"/>
      <w:r w:rsidRPr="00E51A80">
        <w:rPr>
          <w:rFonts w:ascii="Book Antiqua" w:hAnsi="Book Antiqua"/>
          <w:sz w:val="20"/>
          <w:szCs w:val="20"/>
          <w:lang w:val="en-US"/>
        </w:rPr>
        <w:t xml:space="preserve"> P, </w:t>
      </w:r>
      <w:proofErr w:type="spellStart"/>
      <w:r w:rsidRPr="00E51A80">
        <w:rPr>
          <w:rFonts w:ascii="Book Antiqua" w:hAnsi="Book Antiqua"/>
          <w:sz w:val="20"/>
          <w:szCs w:val="20"/>
          <w:lang w:val="en-US"/>
        </w:rPr>
        <w:t>Biersack</w:t>
      </w:r>
      <w:proofErr w:type="spellEnd"/>
      <w:r w:rsidRPr="00E51A80">
        <w:rPr>
          <w:rFonts w:ascii="Book Antiqua" w:hAnsi="Book Antiqua"/>
          <w:sz w:val="20"/>
          <w:szCs w:val="20"/>
          <w:lang w:val="en-US"/>
        </w:rPr>
        <w:t xml:space="preserve"> HJ, </w:t>
      </w:r>
      <w:proofErr w:type="spellStart"/>
      <w:r w:rsidRPr="00E51A80">
        <w:rPr>
          <w:rFonts w:ascii="Book Antiqua" w:hAnsi="Book Antiqua"/>
          <w:sz w:val="20"/>
          <w:szCs w:val="20"/>
          <w:lang w:val="en-US"/>
        </w:rPr>
        <w:t>Pöpperl</w:t>
      </w:r>
      <w:proofErr w:type="spellEnd"/>
      <w:r w:rsidRPr="00E51A80">
        <w:rPr>
          <w:rFonts w:ascii="Book Antiqua" w:hAnsi="Book Antiqua"/>
          <w:sz w:val="20"/>
          <w:szCs w:val="20"/>
          <w:lang w:val="en-US"/>
        </w:rPr>
        <w:t xml:space="preserve"> G, Baum RP. Effectiveness and side-effects of peptide receptor radionuclide therapy for neuroendocrine neoplasms in Germany: A multi-institutional registry study with prospective follow-up. </w:t>
      </w:r>
      <w:proofErr w:type="spellStart"/>
      <w:r w:rsidRPr="00E51A80">
        <w:rPr>
          <w:rFonts w:ascii="Book Antiqua" w:hAnsi="Book Antiqua"/>
          <w:i/>
          <w:sz w:val="20"/>
          <w:szCs w:val="20"/>
          <w:lang w:val="en-US"/>
        </w:rPr>
        <w:t>Eur</w:t>
      </w:r>
      <w:proofErr w:type="spellEnd"/>
      <w:r w:rsidRPr="00E51A80">
        <w:rPr>
          <w:rFonts w:ascii="Book Antiqua" w:hAnsi="Book Antiqua"/>
          <w:i/>
          <w:sz w:val="20"/>
          <w:szCs w:val="20"/>
          <w:lang w:val="en-US"/>
        </w:rPr>
        <w:t xml:space="preserve"> J Cancer</w:t>
      </w:r>
      <w:r w:rsidRPr="00E51A80">
        <w:rPr>
          <w:rFonts w:ascii="Book Antiqua" w:hAnsi="Book Antiqua"/>
          <w:sz w:val="20"/>
          <w:szCs w:val="20"/>
          <w:lang w:val="en-US"/>
        </w:rPr>
        <w:t xml:space="preserve"> 2016; </w:t>
      </w:r>
      <w:r w:rsidRPr="00E51A80">
        <w:rPr>
          <w:rFonts w:ascii="Book Antiqua" w:hAnsi="Book Antiqua"/>
          <w:b/>
          <w:sz w:val="20"/>
          <w:szCs w:val="20"/>
          <w:lang w:val="en-US"/>
        </w:rPr>
        <w:t>58</w:t>
      </w:r>
      <w:r w:rsidRPr="00E51A80">
        <w:rPr>
          <w:rFonts w:ascii="Book Antiqua" w:hAnsi="Book Antiqua"/>
          <w:sz w:val="20"/>
          <w:szCs w:val="20"/>
          <w:lang w:val="en-US"/>
        </w:rPr>
        <w:t>: 41-51 [PMID: 26943056 D</w:t>
      </w:r>
      <w:r w:rsidR="00700EBA" w:rsidRPr="00E51A80">
        <w:rPr>
          <w:rFonts w:ascii="Book Antiqua" w:hAnsi="Book Antiqua"/>
          <w:sz w:val="20"/>
          <w:szCs w:val="20"/>
          <w:lang w:val="en-US"/>
        </w:rPr>
        <w:t>OI: 10.1016/j.ejca.2016.01.009]</w:t>
      </w:r>
    </w:p>
    <w:p w:rsidR="004179A4" w:rsidRPr="00E51A80" w:rsidRDefault="002405DE" w:rsidP="007E3E0D">
      <w:pPr>
        <w:adjustRightInd w:val="0"/>
        <w:snapToGrid w:val="0"/>
        <w:spacing w:after="0" w:line="360" w:lineRule="auto"/>
        <w:jc w:val="both"/>
        <w:rPr>
          <w:rFonts w:ascii="Book Antiqua" w:hAnsi="Book Antiqua"/>
          <w:b/>
          <w:sz w:val="20"/>
          <w:szCs w:val="20"/>
          <w:lang w:val="en-US"/>
        </w:rPr>
      </w:pPr>
      <w:r w:rsidRPr="00E51A80">
        <w:rPr>
          <w:rFonts w:ascii="Book Antiqua" w:hAnsi="Book Antiqua" w:cs="Calibri"/>
          <w:b/>
          <w:sz w:val="20"/>
          <w:szCs w:val="20"/>
          <w:lang w:val="en-US"/>
        </w:rPr>
        <w:br w:type="page"/>
      </w:r>
      <w:r w:rsidR="004179A4" w:rsidRPr="00E51A80">
        <w:rPr>
          <w:rFonts w:ascii="Book Antiqua" w:hAnsi="Book Antiqua"/>
          <w:b/>
          <w:sz w:val="20"/>
          <w:szCs w:val="20"/>
          <w:lang w:val="en-US"/>
        </w:rPr>
        <w:lastRenderedPageBreak/>
        <w:t>Footnotes</w:t>
      </w:r>
    </w:p>
    <w:p w:rsidR="004179A4" w:rsidRPr="00E51A80" w:rsidRDefault="004179A4" w:rsidP="007E3E0D">
      <w:pPr>
        <w:adjustRightInd w:val="0"/>
        <w:snapToGrid w:val="0"/>
        <w:spacing w:after="0" w:line="360" w:lineRule="auto"/>
        <w:jc w:val="both"/>
        <w:rPr>
          <w:rFonts w:ascii="Book Antiqua" w:hAnsi="Book Antiqua"/>
          <w:b/>
          <w:color w:val="000000"/>
          <w:sz w:val="20"/>
          <w:szCs w:val="20"/>
          <w:lang w:val="en-US"/>
        </w:rPr>
      </w:pPr>
      <w:r w:rsidRPr="00E51A80">
        <w:rPr>
          <w:rFonts w:ascii="Book Antiqua" w:hAnsi="Book Antiqua"/>
          <w:b/>
          <w:color w:val="000000"/>
          <w:sz w:val="20"/>
          <w:szCs w:val="20"/>
          <w:lang w:val="en-US"/>
        </w:rPr>
        <w:t>Institutional review board statement</w:t>
      </w:r>
      <w:r w:rsidRPr="00E51A80">
        <w:rPr>
          <w:rFonts w:ascii="Book Antiqua" w:hAnsi="Book Antiqua"/>
          <w:b/>
          <w:bCs/>
          <w:iCs/>
          <w:color w:val="000000"/>
          <w:sz w:val="20"/>
          <w:szCs w:val="20"/>
          <w:lang w:val="en-US"/>
        </w:rPr>
        <w:t xml:space="preserve">: </w:t>
      </w:r>
      <w:r w:rsidRPr="00E51A80">
        <w:rPr>
          <w:rFonts w:ascii="Book Antiqua" w:hAnsi="Book Antiqua" w:cs="TimesNewRomanPS-BoldItalicMT"/>
          <w:bCs/>
          <w:iCs/>
          <w:color w:val="000000"/>
          <w:sz w:val="20"/>
          <w:szCs w:val="20"/>
          <w:lang w:val="en-US"/>
        </w:rPr>
        <w:t>The study was reviewed and approved by the</w:t>
      </w:r>
      <w:r w:rsidR="00902A68" w:rsidRPr="00E51A80">
        <w:rPr>
          <w:rFonts w:ascii="Book Antiqua" w:hAnsi="Book Antiqua"/>
          <w:sz w:val="20"/>
          <w:szCs w:val="20"/>
          <w:lang w:val="en-US"/>
        </w:rPr>
        <w:t xml:space="preserve"> </w:t>
      </w:r>
      <w:r w:rsidR="00902A68" w:rsidRPr="00E51A80">
        <w:rPr>
          <w:rFonts w:ascii="Book Antiqua" w:hAnsi="Book Antiqua" w:cs="TimesNewRomanPS-BoldItalicMT"/>
          <w:bCs/>
          <w:iCs/>
          <w:color w:val="000000"/>
          <w:sz w:val="20"/>
          <w:szCs w:val="20"/>
          <w:lang w:val="en-US"/>
        </w:rPr>
        <w:t>ethics committee</w:t>
      </w:r>
      <w:r w:rsidRPr="00E51A80">
        <w:rPr>
          <w:rFonts w:ascii="Book Antiqua" w:hAnsi="Book Antiqua" w:cs="TimesNewRomanPS-BoldItalicMT"/>
          <w:bCs/>
          <w:iCs/>
          <w:color w:val="000000"/>
          <w:sz w:val="20"/>
          <w:szCs w:val="20"/>
          <w:lang w:val="en-US"/>
        </w:rPr>
        <w:t>.</w:t>
      </w:r>
    </w:p>
    <w:p w:rsidR="004179A4" w:rsidRPr="00E51A80" w:rsidRDefault="004179A4" w:rsidP="007E3E0D">
      <w:pPr>
        <w:autoSpaceDE w:val="0"/>
        <w:autoSpaceDN w:val="0"/>
        <w:adjustRightInd w:val="0"/>
        <w:snapToGrid w:val="0"/>
        <w:spacing w:after="0" w:line="360" w:lineRule="auto"/>
        <w:jc w:val="both"/>
        <w:rPr>
          <w:rFonts w:ascii="Book Antiqua" w:hAnsi="Book Antiqua" w:cs="TimesNewRomanPS-BoldItalicMT"/>
          <w:bCs/>
          <w:iCs/>
          <w:color w:val="000000"/>
          <w:sz w:val="20"/>
          <w:szCs w:val="20"/>
          <w:lang w:val="en-US"/>
        </w:rPr>
      </w:pPr>
    </w:p>
    <w:p w:rsidR="004179A4" w:rsidRPr="00E51A80" w:rsidRDefault="004179A4" w:rsidP="007E3E0D">
      <w:pPr>
        <w:adjustRightInd w:val="0"/>
        <w:snapToGrid w:val="0"/>
        <w:spacing w:after="0" w:line="360" w:lineRule="auto"/>
        <w:jc w:val="both"/>
        <w:rPr>
          <w:rFonts w:ascii="Book Antiqua" w:hAnsi="Book Antiqua"/>
          <w:b/>
          <w:color w:val="000000"/>
          <w:sz w:val="20"/>
          <w:szCs w:val="20"/>
          <w:lang w:val="en-US"/>
        </w:rPr>
      </w:pPr>
      <w:r w:rsidRPr="00E51A80">
        <w:rPr>
          <w:rFonts w:ascii="Book Antiqua" w:hAnsi="Book Antiqua"/>
          <w:b/>
          <w:color w:val="000000"/>
          <w:sz w:val="20"/>
          <w:szCs w:val="20"/>
          <w:lang w:val="en-US"/>
        </w:rPr>
        <w:t>Informed consent statement</w:t>
      </w:r>
      <w:r w:rsidRPr="00E51A80">
        <w:rPr>
          <w:rFonts w:ascii="Book Antiqua" w:hAnsi="Book Antiqua"/>
          <w:b/>
          <w:bCs/>
          <w:iCs/>
          <w:color w:val="000000"/>
          <w:sz w:val="20"/>
          <w:szCs w:val="20"/>
          <w:lang w:val="en-US"/>
        </w:rPr>
        <w:t xml:space="preserve">: </w:t>
      </w:r>
      <w:r w:rsidRPr="00E51A80">
        <w:rPr>
          <w:rFonts w:ascii="Book Antiqua" w:hAnsi="Book Antiqua"/>
          <w:bCs/>
          <w:iCs/>
          <w:color w:val="000000"/>
          <w:sz w:val="20"/>
          <w:szCs w:val="20"/>
          <w:lang w:val="en-US"/>
        </w:rPr>
        <w:t>All study participants, or their legal guardian, provided informed written consent prior to study enrollment.</w:t>
      </w:r>
    </w:p>
    <w:p w:rsidR="004179A4" w:rsidRPr="00E51A80" w:rsidRDefault="004179A4" w:rsidP="007E3E0D">
      <w:pPr>
        <w:autoSpaceDE w:val="0"/>
        <w:autoSpaceDN w:val="0"/>
        <w:adjustRightInd w:val="0"/>
        <w:snapToGrid w:val="0"/>
        <w:spacing w:after="0" w:line="360" w:lineRule="auto"/>
        <w:jc w:val="both"/>
        <w:rPr>
          <w:rFonts w:ascii="Book Antiqua" w:hAnsi="Book Antiqua"/>
          <w:bCs/>
          <w:iCs/>
          <w:color w:val="000000"/>
          <w:sz w:val="20"/>
          <w:szCs w:val="20"/>
          <w:lang w:val="en-US"/>
        </w:rPr>
      </w:pPr>
    </w:p>
    <w:p w:rsidR="004179A4" w:rsidRPr="00E51A80" w:rsidRDefault="004179A4" w:rsidP="007E3E0D">
      <w:pPr>
        <w:autoSpaceDE w:val="0"/>
        <w:autoSpaceDN w:val="0"/>
        <w:adjustRightInd w:val="0"/>
        <w:snapToGrid w:val="0"/>
        <w:spacing w:after="0" w:line="360" w:lineRule="auto"/>
        <w:jc w:val="both"/>
        <w:rPr>
          <w:rFonts w:ascii="Book Antiqua" w:hAnsi="Book Antiqua" w:cs="TimesNewRomanPS-BoldItalicMT"/>
          <w:bCs/>
          <w:iCs/>
          <w:color w:val="000000"/>
          <w:sz w:val="20"/>
          <w:szCs w:val="20"/>
          <w:lang w:val="en-US"/>
        </w:rPr>
      </w:pPr>
      <w:r w:rsidRPr="00E51A80">
        <w:rPr>
          <w:rFonts w:ascii="Book Antiqua" w:hAnsi="Book Antiqua"/>
          <w:b/>
          <w:color w:val="000000"/>
          <w:sz w:val="20"/>
          <w:szCs w:val="20"/>
          <w:lang w:val="en-US"/>
        </w:rPr>
        <w:t>Conflict-of-interest statement</w:t>
      </w:r>
      <w:r w:rsidRPr="00E51A80">
        <w:rPr>
          <w:rFonts w:ascii="Book Antiqua" w:hAnsi="Book Antiqua" w:cs="TimesNewRomanPS-BoldItalicMT"/>
          <w:b/>
          <w:bCs/>
          <w:iCs/>
          <w:color w:val="000000"/>
          <w:sz w:val="20"/>
          <w:szCs w:val="20"/>
          <w:lang w:val="en-US"/>
        </w:rPr>
        <w:t xml:space="preserve">: </w:t>
      </w:r>
      <w:r w:rsidRPr="00E51A80">
        <w:rPr>
          <w:rFonts w:ascii="Book Antiqua" w:hAnsi="Book Antiqua" w:cs="TimesNewRomanPS-BoldItalicMT"/>
          <w:bCs/>
          <w:iCs/>
          <w:color w:val="000000"/>
          <w:sz w:val="20"/>
          <w:szCs w:val="20"/>
          <w:lang w:val="en-US"/>
        </w:rPr>
        <w:t>There are no conflicts of interest to report.</w:t>
      </w:r>
    </w:p>
    <w:p w:rsidR="004179A4" w:rsidRPr="00E51A80" w:rsidRDefault="004179A4" w:rsidP="007E3E0D">
      <w:pPr>
        <w:autoSpaceDE w:val="0"/>
        <w:autoSpaceDN w:val="0"/>
        <w:adjustRightInd w:val="0"/>
        <w:snapToGrid w:val="0"/>
        <w:spacing w:after="0" w:line="360" w:lineRule="auto"/>
        <w:jc w:val="both"/>
        <w:rPr>
          <w:rFonts w:ascii="Book Antiqua" w:hAnsi="Book Antiqua" w:cs="TimesNewRomanPS-BoldItalicMT"/>
          <w:b/>
          <w:bCs/>
          <w:iCs/>
          <w:color w:val="000000"/>
          <w:sz w:val="20"/>
          <w:szCs w:val="20"/>
          <w:lang w:val="en-US"/>
        </w:rPr>
      </w:pPr>
    </w:p>
    <w:p w:rsidR="004179A4" w:rsidRPr="00E51A80" w:rsidRDefault="004179A4" w:rsidP="007E3E0D">
      <w:pPr>
        <w:autoSpaceDE w:val="0"/>
        <w:autoSpaceDN w:val="0"/>
        <w:adjustRightInd w:val="0"/>
        <w:snapToGrid w:val="0"/>
        <w:spacing w:after="0" w:line="360" w:lineRule="auto"/>
        <w:jc w:val="both"/>
        <w:rPr>
          <w:rFonts w:ascii="Book Antiqua" w:hAnsi="Book Antiqua"/>
          <w:color w:val="000000"/>
          <w:sz w:val="20"/>
          <w:szCs w:val="20"/>
          <w:lang w:val="en-US"/>
        </w:rPr>
      </w:pPr>
      <w:r w:rsidRPr="00E51A80">
        <w:rPr>
          <w:rFonts w:ascii="Book Antiqua" w:hAnsi="Book Antiqua"/>
          <w:b/>
          <w:color w:val="000000"/>
          <w:sz w:val="20"/>
          <w:szCs w:val="20"/>
          <w:lang w:val="en-US"/>
        </w:rPr>
        <w:t>Data sharing statement</w:t>
      </w:r>
      <w:r w:rsidRPr="00E51A80">
        <w:rPr>
          <w:rFonts w:ascii="Book Antiqua" w:hAnsi="Book Antiqua" w:cs="TimesNewRomanPS-BoldItalicMT"/>
          <w:b/>
          <w:bCs/>
          <w:iCs/>
          <w:color w:val="000000"/>
          <w:sz w:val="20"/>
          <w:szCs w:val="20"/>
          <w:lang w:val="en-US"/>
        </w:rPr>
        <w:t>:</w:t>
      </w:r>
      <w:r w:rsidRPr="00E51A80">
        <w:rPr>
          <w:rFonts w:ascii="Book Antiqua" w:eastAsia="Times New Roman" w:hAnsi="Book Antiqua"/>
          <w:color w:val="000000"/>
          <w:sz w:val="20"/>
          <w:szCs w:val="20"/>
          <w:lang w:val="en-US"/>
        </w:rPr>
        <w:t xml:space="preserve"> </w:t>
      </w:r>
      <w:r w:rsidRPr="00E51A80">
        <w:rPr>
          <w:rFonts w:ascii="Book Antiqua" w:hAnsi="Book Antiqua"/>
          <w:bCs/>
          <w:iCs/>
          <w:color w:val="000000"/>
          <w:sz w:val="20"/>
          <w:szCs w:val="20"/>
          <w:lang w:val="en-US"/>
        </w:rPr>
        <w:t>No additional data are available.</w:t>
      </w:r>
    </w:p>
    <w:p w:rsidR="004179A4" w:rsidRPr="00E51A80" w:rsidRDefault="004179A4" w:rsidP="007E3E0D">
      <w:pPr>
        <w:adjustRightInd w:val="0"/>
        <w:snapToGrid w:val="0"/>
        <w:spacing w:after="0" w:line="360" w:lineRule="auto"/>
        <w:jc w:val="both"/>
        <w:rPr>
          <w:rFonts w:ascii="Book Antiqua" w:hAnsi="Book Antiqua"/>
          <w:color w:val="000000"/>
          <w:sz w:val="20"/>
          <w:szCs w:val="20"/>
          <w:lang w:val="en-US"/>
        </w:rPr>
      </w:pPr>
    </w:p>
    <w:p w:rsidR="004179A4" w:rsidRPr="00E51A80" w:rsidRDefault="004179A4" w:rsidP="007E3E0D">
      <w:pPr>
        <w:adjustRightInd w:val="0"/>
        <w:snapToGrid w:val="0"/>
        <w:spacing w:after="0" w:line="360" w:lineRule="auto"/>
        <w:jc w:val="both"/>
        <w:rPr>
          <w:rFonts w:ascii="Book Antiqua" w:hAnsi="Book Antiqua"/>
          <w:color w:val="000000"/>
          <w:sz w:val="20"/>
          <w:szCs w:val="20"/>
          <w:lang w:val="en-US"/>
        </w:rPr>
      </w:pPr>
      <w:bookmarkStart w:id="100" w:name="OLE_LINK36"/>
      <w:bookmarkStart w:id="101" w:name="OLE_LINK507"/>
      <w:bookmarkStart w:id="102" w:name="OLE_LINK506"/>
      <w:bookmarkStart w:id="103" w:name="OLE_LINK496"/>
      <w:bookmarkStart w:id="104" w:name="OLE_LINK479"/>
      <w:r w:rsidRPr="00E51A80">
        <w:rPr>
          <w:rFonts w:ascii="Book Antiqua" w:hAnsi="Book Antiqua"/>
          <w:b/>
          <w:color w:val="000000"/>
          <w:sz w:val="20"/>
          <w:szCs w:val="20"/>
          <w:lang w:val="en-US"/>
        </w:rPr>
        <w:t>STROBE statement:</w:t>
      </w:r>
      <w:r w:rsidR="00902A68" w:rsidRPr="00E51A80">
        <w:rPr>
          <w:rFonts w:ascii="Book Antiqua" w:hAnsi="Book Antiqua"/>
          <w:b/>
          <w:color w:val="000000"/>
          <w:sz w:val="20"/>
          <w:szCs w:val="20"/>
          <w:lang w:val="en-US"/>
        </w:rPr>
        <w:t xml:space="preserve"> </w:t>
      </w:r>
      <w:r w:rsidR="00902A68" w:rsidRPr="00E51A80">
        <w:rPr>
          <w:rFonts w:ascii="Book Antiqua" w:hAnsi="Book Antiqua"/>
          <w:color w:val="000000"/>
          <w:sz w:val="20"/>
          <w:szCs w:val="20"/>
          <w:lang w:val="en-US"/>
        </w:rPr>
        <w:t>The authors have read the STROBE Statement-checklist of items, and the manuscript was prepared and revised according to the STROBE Statement-checklist of items.</w:t>
      </w:r>
    </w:p>
    <w:bookmarkEnd w:id="100"/>
    <w:p w:rsidR="004179A4" w:rsidRPr="00E51A80" w:rsidRDefault="004179A4" w:rsidP="007E3E0D">
      <w:pPr>
        <w:adjustRightInd w:val="0"/>
        <w:snapToGrid w:val="0"/>
        <w:spacing w:after="0" w:line="360" w:lineRule="auto"/>
        <w:jc w:val="both"/>
        <w:rPr>
          <w:rFonts w:ascii="Book Antiqua" w:hAnsi="Book Antiqua"/>
          <w:b/>
          <w:color w:val="000000"/>
          <w:sz w:val="20"/>
          <w:szCs w:val="20"/>
          <w:lang w:val="en-US"/>
        </w:rPr>
      </w:pPr>
    </w:p>
    <w:bookmarkEnd w:id="101"/>
    <w:bookmarkEnd w:id="102"/>
    <w:bookmarkEnd w:id="103"/>
    <w:bookmarkEnd w:id="104"/>
    <w:p w:rsidR="004179A4" w:rsidRPr="00E51A80" w:rsidRDefault="004179A4" w:rsidP="007E3E0D">
      <w:pPr>
        <w:adjustRightInd w:val="0"/>
        <w:snapToGrid w:val="0"/>
        <w:spacing w:after="0" w:line="360" w:lineRule="auto"/>
        <w:jc w:val="both"/>
        <w:rPr>
          <w:rFonts w:ascii="Book Antiqua" w:hAnsi="Book Antiqua"/>
          <w:color w:val="000000"/>
          <w:sz w:val="20"/>
          <w:szCs w:val="20"/>
          <w:lang w:val="en-US"/>
        </w:rPr>
      </w:pPr>
      <w:r w:rsidRPr="00E51A80">
        <w:rPr>
          <w:rFonts w:ascii="Book Antiqua" w:hAnsi="Book Antiqua"/>
          <w:b/>
          <w:color w:val="000000"/>
          <w:sz w:val="20"/>
          <w:szCs w:val="20"/>
          <w:lang w:val="en-US"/>
        </w:rPr>
        <w:t>Open-Access:</w:t>
      </w:r>
      <w:r w:rsidRPr="00E51A80">
        <w:rPr>
          <w:rFonts w:ascii="Book Antiqua" w:hAnsi="Book Antiqua"/>
          <w:color w:val="000000"/>
          <w:sz w:val="20"/>
          <w:szCs w:val="20"/>
          <w:lang w:val="en-US"/>
        </w:rPr>
        <w:t xml:space="preserve"> This article is an open-access </w:t>
      </w:r>
      <w:r w:rsidRPr="00E51A80">
        <w:rPr>
          <w:rFonts w:ascii="Book Antiqua" w:hAnsi="Book Antiqua"/>
          <w:sz w:val="20"/>
          <w:szCs w:val="20"/>
          <w:lang w:val="en-US"/>
        </w:rPr>
        <w:t xml:space="preserve">article that was selected </w:t>
      </w:r>
      <w:r w:rsidRPr="00E51A80">
        <w:rPr>
          <w:rFonts w:ascii="Book Antiqua" w:hAnsi="Book Antiqua"/>
          <w:color w:val="000000"/>
          <w:sz w:val="20"/>
          <w:szCs w:val="20"/>
          <w:lang w:val="en-US"/>
        </w:rPr>
        <w:t xml:space="preserve">by an in-house editor and fully peer-reviewed by external reviewers. It is distributed in accordance with the Creative Commons Attribution </w:t>
      </w:r>
      <w:proofErr w:type="spellStart"/>
      <w:r w:rsidRPr="00E51A80">
        <w:rPr>
          <w:rFonts w:ascii="Book Antiqua" w:hAnsi="Book Antiqua"/>
          <w:color w:val="000000"/>
          <w:sz w:val="20"/>
          <w:szCs w:val="20"/>
          <w:lang w:val="en-US"/>
        </w:rPr>
        <w:t>NonCommercial</w:t>
      </w:r>
      <w:proofErr w:type="spellEnd"/>
      <w:r w:rsidRPr="00E51A80">
        <w:rPr>
          <w:rFonts w:ascii="Book Antiqua" w:hAnsi="Book Antiqua"/>
          <w:color w:val="000000"/>
          <w:sz w:val="20"/>
          <w:szCs w:val="20"/>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179A4" w:rsidRPr="00E51A80" w:rsidRDefault="004179A4" w:rsidP="007E3E0D">
      <w:pPr>
        <w:adjustRightInd w:val="0"/>
        <w:snapToGrid w:val="0"/>
        <w:spacing w:after="0" w:line="360" w:lineRule="auto"/>
        <w:jc w:val="both"/>
        <w:rPr>
          <w:rFonts w:ascii="Book Antiqua" w:hAnsi="Book Antiqua"/>
          <w:color w:val="000000"/>
          <w:sz w:val="20"/>
          <w:szCs w:val="20"/>
          <w:lang w:val="en-US"/>
        </w:rPr>
      </w:pPr>
    </w:p>
    <w:p w:rsidR="004179A4" w:rsidRPr="00E51A80" w:rsidRDefault="004179A4" w:rsidP="007E3E0D">
      <w:pPr>
        <w:adjustRightInd w:val="0"/>
        <w:snapToGrid w:val="0"/>
        <w:spacing w:after="0" w:line="360" w:lineRule="auto"/>
        <w:jc w:val="both"/>
        <w:rPr>
          <w:rFonts w:ascii="Book Antiqua" w:hAnsi="Book Antiqua"/>
          <w:bCs/>
          <w:color w:val="000000"/>
          <w:sz w:val="20"/>
          <w:szCs w:val="20"/>
          <w:lang w:val="en-US"/>
        </w:rPr>
      </w:pPr>
      <w:r w:rsidRPr="00E51A80">
        <w:rPr>
          <w:rFonts w:ascii="Book Antiqua" w:hAnsi="Book Antiqua"/>
          <w:b/>
          <w:bCs/>
          <w:color w:val="000000"/>
          <w:sz w:val="20"/>
          <w:szCs w:val="20"/>
          <w:lang w:val="en-US" w:eastAsia="pl-PL"/>
        </w:rPr>
        <w:t>Manuscript</w:t>
      </w:r>
      <w:r w:rsidR="007E4FE8" w:rsidRPr="00E51A80">
        <w:rPr>
          <w:rFonts w:ascii="Book Antiqua" w:hAnsi="Book Antiqua"/>
          <w:b/>
          <w:bCs/>
          <w:color w:val="000000"/>
          <w:sz w:val="20"/>
          <w:szCs w:val="20"/>
          <w:lang w:val="en-US" w:eastAsia="pl-PL"/>
        </w:rPr>
        <w:t xml:space="preserve"> </w:t>
      </w:r>
      <w:r w:rsidRPr="00E51A80">
        <w:rPr>
          <w:rFonts w:ascii="Book Antiqua" w:hAnsi="Book Antiqua"/>
          <w:b/>
          <w:bCs/>
          <w:color w:val="000000"/>
          <w:sz w:val="20"/>
          <w:szCs w:val="20"/>
          <w:lang w:val="en-US" w:eastAsia="pl-PL"/>
        </w:rPr>
        <w:t>source:</w:t>
      </w:r>
      <w:r w:rsidRPr="00E51A80">
        <w:rPr>
          <w:rFonts w:ascii="Book Antiqua" w:hAnsi="Book Antiqua"/>
          <w:b/>
          <w:bCs/>
          <w:color w:val="000000"/>
          <w:sz w:val="20"/>
          <w:szCs w:val="20"/>
          <w:lang w:val="en-US"/>
        </w:rPr>
        <w:t xml:space="preserve"> </w:t>
      </w:r>
      <w:r w:rsidRPr="00E51A80">
        <w:rPr>
          <w:rFonts w:ascii="Book Antiqua" w:hAnsi="Book Antiqua"/>
          <w:bCs/>
          <w:color w:val="000000"/>
          <w:sz w:val="20"/>
          <w:szCs w:val="20"/>
          <w:lang w:val="en-US" w:eastAsia="pl-PL"/>
        </w:rPr>
        <w:t>Unsolicited</w:t>
      </w:r>
      <w:r w:rsidR="007E4FE8" w:rsidRPr="00E51A80">
        <w:rPr>
          <w:rFonts w:ascii="Book Antiqua" w:hAnsi="Book Antiqua"/>
          <w:bCs/>
          <w:color w:val="000000"/>
          <w:sz w:val="20"/>
          <w:szCs w:val="20"/>
          <w:lang w:val="en-US" w:eastAsia="pl-PL"/>
        </w:rPr>
        <w:t xml:space="preserve"> </w:t>
      </w:r>
      <w:r w:rsidRPr="00E51A80">
        <w:rPr>
          <w:rFonts w:ascii="Book Antiqua" w:hAnsi="Book Antiqua"/>
          <w:bCs/>
          <w:color w:val="000000"/>
          <w:sz w:val="20"/>
          <w:szCs w:val="20"/>
          <w:lang w:val="en-US" w:eastAsia="pl-PL"/>
        </w:rPr>
        <w:t>manuscript</w:t>
      </w:r>
    </w:p>
    <w:p w:rsidR="004179A4" w:rsidRPr="00E51A80" w:rsidRDefault="004179A4" w:rsidP="007E3E0D">
      <w:pPr>
        <w:adjustRightInd w:val="0"/>
        <w:snapToGrid w:val="0"/>
        <w:spacing w:after="0" w:line="360" w:lineRule="auto"/>
        <w:jc w:val="both"/>
        <w:rPr>
          <w:rFonts w:ascii="Book Antiqua" w:hAnsi="Book Antiqua"/>
          <w:color w:val="000000"/>
          <w:sz w:val="20"/>
          <w:szCs w:val="20"/>
          <w:lang w:val="en-US"/>
        </w:rPr>
      </w:pPr>
    </w:p>
    <w:p w:rsidR="004179A4" w:rsidRPr="00E51A80" w:rsidRDefault="004179A4" w:rsidP="007E3E0D">
      <w:pPr>
        <w:adjustRightInd w:val="0"/>
        <w:snapToGrid w:val="0"/>
        <w:spacing w:after="0" w:line="360" w:lineRule="auto"/>
        <w:jc w:val="both"/>
        <w:rPr>
          <w:rFonts w:ascii="Book Antiqua" w:hAnsi="Book Antiqua"/>
          <w:b/>
          <w:sz w:val="20"/>
          <w:szCs w:val="20"/>
          <w:lang w:val="en-US"/>
        </w:rPr>
      </w:pPr>
      <w:r w:rsidRPr="00E51A80">
        <w:rPr>
          <w:rFonts w:ascii="Book Antiqua" w:hAnsi="Book Antiqua"/>
          <w:b/>
          <w:sz w:val="20"/>
          <w:szCs w:val="20"/>
          <w:lang w:val="en-US"/>
        </w:rPr>
        <w:t xml:space="preserve">Peer-review started: </w:t>
      </w:r>
      <w:r w:rsidR="00902A68" w:rsidRPr="00E51A80">
        <w:rPr>
          <w:rFonts w:ascii="Book Antiqua" w:hAnsi="Book Antiqua"/>
          <w:sz w:val="20"/>
          <w:szCs w:val="20"/>
          <w:lang w:val="en-US"/>
        </w:rPr>
        <w:t>December</w:t>
      </w:r>
      <w:r w:rsidRPr="00E51A80">
        <w:rPr>
          <w:rFonts w:ascii="Book Antiqua" w:hAnsi="Book Antiqua"/>
          <w:sz w:val="20"/>
          <w:szCs w:val="20"/>
          <w:lang w:val="en-US"/>
        </w:rPr>
        <w:t xml:space="preserve"> </w:t>
      </w:r>
      <w:r w:rsidR="00902A68" w:rsidRPr="00E51A80">
        <w:rPr>
          <w:rFonts w:ascii="Book Antiqua" w:hAnsi="Book Antiqua"/>
          <w:sz w:val="20"/>
          <w:szCs w:val="20"/>
          <w:lang w:val="en-US"/>
        </w:rPr>
        <w:t>8</w:t>
      </w:r>
      <w:r w:rsidRPr="00E51A80">
        <w:rPr>
          <w:rFonts w:ascii="Book Antiqua" w:hAnsi="Book Antiqua"/>
          <w:sz w:val="20"/>
          <w:szCs w:val="20"/>
          <w:lang w:val="en-US"/>
        </w:rPr>
        <w:t>, 201</w:t>
      </w:r>
      <w:r w:rsidR="00902A68" w:rsidRPr="00E51A80">
        <w:rPr>
          <w:rFonts w:ascii="Book Antiqua" w:hAnsi="Book Antiqua"/>
          <w:sz w:val="20"/>
          <w:szCs w:val="20"/>
          <w:lang w:val="en-US"/>
        </w:rPr>
        <w:t>9</w:t>
      </w:r>
    </w:p>
    <w:p w:rsidR="004179A4" w:rsidRPr="00E51A80" w:rsidRDefault="004179A4" w:rsidP="007E3E0D">
      <w:pPr>
        <w:adjustRightInd w:val="0"/>
        <w:snapToGrid w:val="0"/>
        <w:spacing w:after="0" w:line="360" w:lineRule="auto"/>
        <w:jc w:val="both"/>
        <w:rPr>
          <w:rFonts w:ascii="Book Antiqua" w:hAnsi="Book Antiqua"/>
          <w:b/>
          <w:sz w:val="20"/>
          <w:szCs w:val="20"/>
          <w:lang w:val="en-US"/>
        </w:rPr>
      </w:pPr>
      <w:r w:rsidRPr="00E51A80">
        <w:rPr>
          <w:rFonts w:ascii="Book Antiqua" w:hAnsi="Book Antiqua"/>
          <w:b/>
          <w:sz w:val="20"/>
          <w:szCs w:val="20"/>
          <w:lang w:val="en-US"/>
        </w:rPr>
        <w:t xml:space="preserve">First decision: </w:t>
      </w:r>
      <w:r w:rsidR="00902A68" w:rsidRPr="00E51A80">
        <w:rPr>
          <w:rFonts w:ascii="Book Antiqua" w:hAnsi="Book Antiqua"/>
          <w:sz w:val="20"/>
          <w:szCs w:val="20"/>
          <w:lang w:val="en-US"/>
        </w:rPr>
        <w:t>January 9, 2020</w:t>
      </w:r>
    </w:p>
    <w:p w:rsidR="004179A4" w:rsidRPr="00E51A80" w:rsidRDefault="004179A4" w:rsidP="007E3E0D">
      <w:pPr>
        <w:adjustRightInd w:val="0"/>
        <w:snapToGrid w:val="0"/>
        <w:spacing w:after="0" w:line="360" w:lineRule="auto"/>
        <w:jc w:val="both"/>
        <w:rPr>
          <w:rFonts w:ascii="Book Antiqua" w:hAnsi="Book Antiqua"/>
          <w:b/>
          <w:sz w:val="20"/>
          <w:szCs w:val="20"/>
          <w:lang w:val="en-US"/>
        </w:rPr>
      </w:pPr>
      <w:r w:rsidRPr="00E51A80">
        <w:rPr>
          <w:rFonts w:ascii="Book Antiqua" w:hAnsi="Book Antiqua"/>
          <w:b/>
          <w:sz w:val="20"/>
          <w:szCs w:val="20"/>
          <w:lang w:val="en-US"/>
        </w:rPr>
        <w:t>Article in press:</w:t>
      </w:r>
      <w:r w:rsidR="00E51A80">
        <w:rPr>
          <w:rFonts w:ascii="Book Antiqua" w:hAnsi="Book Antiqua" w:hint="eastAsia"/>
          <w:b/>
          <w:sz w:val="20"/>
          <w:szCs w:val="20"/>
          <w:lang w:val="en-US"/>
        </w:rPr>
        <w:t xml:space="preserve"> </w:t>
      </w:r>
      <w:r w:rsidR="00E51A80" w:rsidRPr="00E51A80">
        <w:rPr>
          <w:rFonts w:ascii="Book Antiqua" w:hAnsi="Book Antiqua"/>
          <w:sz w:val="20"/>
          <w:szCs w:val="20"/>
          <w:lang w:val="en-US"/>
        </w:rPr>
        <w:t>March 19, 2020</w:t>
      </w:r>
    </w:p>
    <w:p w:rsidR="004179A4" w:rsidRPr="00E51A80" w:rsidRDefault="004179A4" w:rsidP="007E3E0D">
      <w:pPr>
        <w:adjustRightInd w:val="0"/>
        <w:snapToGrid w:val="0"/>
        <w:spacing w:after="0" w:line="360" w:lineRule="auto"/>
        <w:jc w:val="both"/>
        <w:rPr>
          <w:rFonts w:ascii="Book Antiqua" w:hAnsi="Book Antiqua"/>
          <w:b/>
          <w:sz w:val="20"/>
          <w:szCs w:val="20"/>
          <w:lang w:val="en-US"/>
        </w:rPr>
      </w:pPr>
    </w:p>
    <w:p w:rsidR="004179A4" w:rsidRPr="00E51A80" w:rsidRDefault="004179A4" w:rsidP="007E3E0D">
      <w:pPr>
        <w:adjustRightInd w:val="0"/>
        <w:snapToGrid w:val="0"/>
        <w:spacing w:after="0" w:line="360" w:lineRule="auto"/>
        <w:jc w:val="both"/>
        <w:rPr>
          <w:rFonts w:ascii="Book Antiqua" w:eastAsia="微软雅黑" w:hAnsi="Book Antiqua" w:cs="宋体"/>
          <w:sz w:val="20"/>
          <w:szCs w:val="20"/>
          <w:lang w:val="en-US"/>
        </w:rPr>
      </w:pPr>
      <w:r w:rsidRPr="00E51A80">
        <w:rPr>
          <w:rFonts w:ascii="Book Antiqua" w:hAnsi="Book Antiqua" w:cs="宋体"/>
          <w:b/>
          <w:sz w:val="20"/>
          <w:szCs w:val="20"/>
          <w:lang w:val="en-US"/>
        </w:rPr>
        <w:t>Specialty</w:t>
      </w:r>
      <w:r w:rsidR="007E4FE8" w:rsidRPr="00E51A80">
        <w:rPr>
          <w:rFonts w:ascii="Book Antiqua" w:hAnsi="Book Antiqua" w:cs="宋体"/>
          <w:b/>
          <w:sz w:val="20"/>
          <w:szCs w:val="20"/>
          <w:lang w:val="en-US"/>
        </w:rPr>
        <w:t xml:space="preserve"> </w:t>
      </w:r>
      <w:r w:rsidRPr="00E51A80">
        <w:rPr>
          <w:rFonts w:ascii="Book Antiqua" w:hAnsi="Book Antiqua" w:cs="宋体"/>
          <w:b/>
          <w:sz w:val="20"/>
          <w:szCs w:val="20"/>
          <w:lang w:val="en-US"/>
        </w:rPr>
        <w:t xml:space="preserve">type: </w:t>
      </w:r>
      <w:r w:rsidRPr="00E51A80">
        <w:rPr>
          <w:rFonts w:ascii="Book Antiqua" w:eastAsia="微软雅黑" w:hAnsi="Book Antiqua" w:cs="宋体"/>
          <w:sz w:val="20"/>
          <w:szCs w:val="20"/>
          <w:lang w:val="en-US"/>
        </w:rPr>
        <w:t xml:space="preserve">Gastroenterology and </w:t>
      </w:r>
      <w:proofErr w:type="spellStart"/>
      <w:r w:rsidRPr="00E51A80">
        <w:rPr>
          <w:rFonts w:ascii="Book Antiqua" w:eastAsia="微软雅黑" w:hAnsi="Book Antiqua" w:cs="宋体"/>
          <w:sz w:val="20"/>
          <w:szCs w:val="20"/>
          <w:lang w:val="en-US"/>
        </w:rPr>
        <w:t>hepatology</w:t>
      </w:r>
      <w:proofErr w:type="spellEnd"/>
    </w:p>
    <w:p w:rsidR="004179A4" w:rsidRPr="00E51A80" w:rsidRDefault="004179A4" w:rsidP="007E3E0D">
      <w:pPr>
        <w:adjustRightInd w:val="0"/>
        <w:snapToGrid w:val="0"/>
        <w:spacing w:after="0" w:line="360" w:lineRule="auto"/>
        <w:jc w:val="both"/>
        <w:rPr>
          <w:rFonts w:ascii="Book Antiqua" w:hAnsi="Book Antiqua" w:cs="宋体"/>
          <w:sz w:val="20"/>
          <w:szCs w:val="20"/>
          <w:lang w:val="en-US"/>
        </w:rPr>
      </w:pPr>
      <w:r w:rsidRPr="00E51A80">
        <w:rPr>
          <w:rFonts w:ascii="Book Antiqua" w:hAnsi="Book Antiqua" w:cs="宋体"/>
          <w:b/>
          <w:sz w:val="20"/>
          <w:szCs w:val="20"/>
          <w:lang w:val="en-US"/>
        </w:rPr>
        <w:t>Country</w:t>
      </w:r>
      <w:r w:rsidR="007E4FE8" w:rsidRPr="00E51A80">
        <w:rPr>
          <w:rFonts w:ascii="Book Antiqua" w:hAnsi="Book Antiqua" w:cs="宋体"/>
          <w:b/>
          <w:sz w:val="20"/>
          <w:szCs w:val="20"/>
          <w:lang w:val="en-US"/>
        </w:rPr>
        <w:t xml:space="preserve"> </w:t>
      </w:r>
      <w:r w:rsidRPr="00E51A80">
        <w:rPr>
          <w:rFonts w:ascii="Book Antiqua" w:hAnsi="Book Antiqua" w:cs="宋体"/>
          <w:b/>
          <w:sz w:val="20"/>
          <w:szCs w:val="20"/>
          <w:lang w:val="en-US"/>
        </w:rPr>
        <w:t>of</w:t>
      </w:r>
      <w:r w:rsidR="007E4FE8" w:rsidRPr="00E51A80">
        <w:rPr>
          <w:rFonts w:ascii="Book Antiqua" w:hAnsi="Book Antiqua" w:cs="宋体"/>
          <w:b/>
          <w:sz w:val="20"/>
          <w:szCs w:val="20"/>
          <w:lang w:val="en-US"/>
        </w:rPr>
        <w:t xml:space="preserve"> </w:t>
      </w:r>
      <w:r w:rsidRPr="00E51A80">
        <w:rPr>
          <w:rFonts w:ascii="Book Antiqua" w:hAnsi="Book Antiqua" w:cs="宋体"/>
          <w:b/>
          <w:sz w:val="20"/>
          <w:szCs w:val="20"/>
          <w:lang w:val="en-US"/>
        </w:rPr>
        <w:t xml:space="preserve">origin: </w:t>
      </w:r>
      <w:r w:rsidR="00902A68" w:rsidRPr="00E51A80">
        <w:rPr>
          <w:rFonts w:ascii="Book Antiqua" w:hAnsi="Book Antiqua" w:cs="宋体"/>
          <w:sz w:val="20"/>
          <w:szCs w:val="20"/>
          <w:lang w:val="en-US"/>
        </w:rPr>
        <w:t>Spain</w:t>
      </w:r>
    </w:p>
    <w:p w:rsidR="004179A4" w:rsidRPr="00E51A80" w:rsidRDefault="004179A4" w:rsidP="007E3E0D">
      <w:pPr>
        <w:adjustRightInd w:val="0"/>
        <w:snapToGrid w:val="0"/>
        <w:spacing w:after="0" w:line="360" w:lineRule="auto"/>
        <w:jc w:val="both"/>
        <w:rPr>
          <w:rFonts w:ascii="Book Antiqua" w:hAnsi="Book Antiqua" w:cs="宋体"/>
          <w:b/>
          <w:sz w:val="20"/>
          <w:szCs w:val="20"/>
          <w:lang w:val="en-US"/>
        </w:rPr>
      </w:pPr>
      <w:r w:rsidRPr="00E51A80">
        <w:rPr>
          <w:rFonts w:ascii="Book Antiqua" w:hAnsi="Book Antiqua" w:cs="宋体"/>
          <w:b/>
          <w:sz w:val="20"/>
          <w:szCs w:val="20"/>
          <w:lang w:val="en-US"/>
        </w:rPr>
        <w:t>Peer-review</w:t>
      </w:r>
      <w:r w:rsidR="007E4FE8" w:rsidRPr="00E51A80">
        <w:rPr>
          <w:rFonts w:ascii="Book Antiqua" w:hAnsi="Book Antiqua" w:cs="宋体"/>
          <w:b/>
          <w:sz w:val="20"/>
          <w:szCs w:val="20"/>
          <w:lang w:val="en-US"/>
        </w:rPr>
        <w:t xml:space="preserve"> </w:t>
      </w:r>
      <w:r w:rsidRPr="00E51A80">
        <w:rPr>
          <w:rFonts w:ascii="Book Antiqua" w:hAnsi="Book Antiqua" w:cs="宋体"/>
          <w:b/>
          <w:sz w:val="20"/>
          <w:szCs w:val="20"/>
          <w:lang w:val="en-US"/>
        </w:rPr>
        <w:t>report</w:t>
      </w:r>
      <w:r w:rsidR="007E4FE8" w:rsidRPr="00E51A80">
        <w:rPr>
          <w:rFonts w:ascii="Book Antiqua" w:hAnsi="Book Antiqua" w:cs="宋体"/>
          <w:b/>
          <w:sz w:val="20"/>
          <w:szCs w:val="20"/>
          <w:lang w:val="en-US"/>
        </w:rPr>
        <w:t xml:space="preserve"> </w:t>
      </w:r>
      <w:r w:rsidRPr="00E51A80">
        <w:rPr>
          <w:rFonts w:ascii="Book Antiqua" w:hAnsi="Book Antiqua" w:cs="宋体"/>
          <w:b/>
          <w:sz w:val="20"/>
          <w:szCs w:val="20"/>
          <w:lang w:val="en-US"/>
        </w:rPr>
        <w:t>classification</w:t>
      </w:r>
    </w:p>
    <w:p w:rsidR="004179A4" w:rsidRPr="00E51A80" w:rsidRDefault="004179A4" w:rsidP="007E3E0D">
      <w:pPr>
        <w:adjustRightInd w:val="0"/>
        <w:snapToGrid w:val="0"/>
        <w:spacing w:after="0" w:line="360" w:lineRule="auto"/>
        <w:jc w:val="both"/>
        <w:rPr>
          <w:rFonts w:ascii="Book Antiqua" w:hAnsi="Book Antiqua" w:cs="宋体"/>
          <w:sz w:val="20"/>
          <w:szCs w:val="20"/>
          <w:lang w:val="en-US"/>
        </w:rPr>
      </w:pPr>
      <w:r w:rsidRPr="00E51A80">
        <w:rPr>
          <w:rFonts w:ascii="Book Antiqua" w:hAnsi="Book Antiqua" w:cs="宋体"/>
          <w:sz w:val="20"/>
          <w:szCs w:val="20"/>
          <w:lang w:val="en-US"/>
        </w:rPr>
        <w:t>Grade</w:t>
      </w:r>
      <w:r w:rsidR="007E4FE8" w:rsidRPr="00E51A80">
        <w:rPr>
          <w:rFonts w:ascii="Book Antiqua" w:hAnsi="Book Antiqua" w:cs="宋体"/>
          <w:sz w:val="20"/>
          <w:szCs w:val="20"/>
          <w:lang w:val="en-US"/>
        </w:rPr>
        <w:t xml:space="preserve"> </w:t>
      </w:r>
      <w:proofErr w:type="gramStart"/>
      <w:r w:rsidRPr="00E51A80">
        <w:rPr>
          <w:rFonts w:ascii="Book Antiqua" w:hAnsi="Book Antiqua" w:cs="宋体"/>
          <w:sz w:val="20"/>
          <w:szCs w:val="20"/>
          <w:lang w:val="en-US"/>
        </w:rPr>
        <w:t>A</w:t>
      </w:r>
      <w:proofErr w:type="gramEnd"/>
      <w:r w:rsidR="007E4FE8" w:rsidRPr="00E51A80">
        <w:rPr>
          <w:rFonts w:ascii="Book Antiqua" w:hAnsi="Book Antiqua" w:cs="宋体"/>
          <w:sz w:val="20"/>
          <w:szCs w:val="20"/>
          <w:lang w:val="en-US"/>
        </w:rPr>
        <w:t xml:space="preserve"> </w:t>
      </w:r>
      <w:r w:rsidRPr="00E51A80">
        <w:rPr>
          <w:rFonts w:ascii="Book Antiqua" w:hAnsi="Book Antiqua" w:cs="宋体"/>
          <w:sz w:val="20"/>
          <w:szCs w:val="20"/>
          <w:lang w:val="en-US"/>
        </w:rPr>
        <w:t>(Excellent): 0</w:t>
      </w:r>
    </w:p>
    <w:p w:rsidR="004179A4" w:rsidRPr="00E51A80" w:rsidRDefault="004179A4" w:rsidP="007E3E0D">
      <w:pPr>
        <w:adjustRightInd w:val="0"/>
        <w:snapToGrid w:val="0"/>
        <w:spacing w:after="0" w:line="360" w:lineRule="auto"/>
        <w:jc w:val="both"/>
        <w:rPr>
          <w:rFonts w:ascii="Book Antiqua" w:hAnsi="Book Antiqua" w:cs="宋体"/>
          <w:sz w:val="20"/>
          <w:szCs w:val="20"/>
          <w:lang w:val="en-US"/>
        </w:rPr>
      </w:pPr>
      <w:r w:rsidRPr="00E51A80">
        <w:rPr>
          <w:rFonts w:ascii="Book Antiqua" w:hAnsi="Book Antiqua" w:cs="宋体"/>
          <w:sz w:val="20"/>
          <w:szCs w:val="20"/>
          <w:lang w:val="en-US"/>
        </w:rPr>
        <w:t>Grade</w:t>
      </w:r>
      <w:r w:rsidR="007E4FE8" w:rsidRPr="00E51A80">
        <w:rPr>
          <w:rFonts w:ascii="Book Antiqua" w:hAnsi="Book Antiqua" w:cs="宋体"/>
          <w:sz w:val="20"/>
          <w:szCs w:val="20"/>
          <w:lang w:val="en-US"/>
        </w:rPr>
        <w:t xml:space="preserve"> </w:t>
      </w:r>
      <w:r w:rsidRPr="00E51A80">
        <w:rPr>
          <w:rFonts w:ascii="Book Antiqua" w:hAnsi="Book Antiqua" w:cs="宋体"/>
          <w:sz w:val="20"/>
          <w:szCs w:val="20"/>
          <w:lang w:val="en-US"/>
        </w:rPr>
        <w:t>B</w:t>
      </w:r>
      <w:r w:rsidR="007E4FE8" w:rsidRPr="00E51A80">
        <w:rPr>
          <w:rFonts w:ascii="Book Antiqua" w:hAnsi="Book Antiqua" w:cs="宋体"/>
          <w:sz w:val="20"/>
          <w:szCs w:val="20"/>
          <w:lang w:val="en-US"/>
        </w:rPr>
        <w:t xml:space="preserve"> </w:t>
      </w:r>
      <w:r w:rsidRPr="00E51A80">
        <w:rPr>
          <w:rFonts w:ascii="Book Antiqua" w:hAnsi="Book Antiqua" w:cs="宋体"/>
          <w:sz w:val="20"/>
          <w:szCs w:val="20"/>
          <w:lang w:val="en-US"/>
        </w:rPr>
        <w:t>(Very</w:t>
      </w:r>
      <w:r w:rsidR="007E4FE8" w:rsidRPr="00E51A80">
        <w:rPr>
          <w:rFonts w:ascii="Book Antiqua" w:hAnsi="Book Antiqua" w:cs="宋体"/>
          <w:sz w:val="20"/>
          <w:szCs w:val="20"/>
          <w:lang w:val="en-US"/>
        </w:rPr>
        <w:t xml:space="preserve"> </w:t>
      </w:r>
      <w:r w:rsidRPr="00E51A80">
        <w:rPr>
          <w:rFonts w:ascii="Book Antiqua" w:hAnsi="Book Antiqua" w:cs="宋体"/>
          <w:sz w:val="20"/>
          <w:szCs w:val="20"/>
          <w:lang w:val="en-US"/>
        </w:rPr>
        <w:t xml:space="preserve">good): </w:t>
      </w:r>
      <w:r w:rsidR="00902A68" w:rsidRPr="00E51A80">
        <w:rPr>
          <w:rFonts w:ascii="Book Antiqua" w:hAnsi="Book Antiqua" w:cs="宋体"/>
          <w:sz w:val="20"/>
          <w:szCs w:val="20"/>
          <w:lang w:val="en-US"/>
        </w:rPr>
        <w:t>B</w:t>
      </w:r>
    </w:p>
    <w:p w:rsidR="004179A4" w:rsidRPr="00E51A80" w:rsidRDefault="004179A4" w:rsidP="007E3E0D">
      <w:pPr>
        <w:adjustRightInd w:val="0"/>
        <w:snapToGrid w:val="0"/>
        <w:spacing w:after="0" w:line="360" w:lineRule="auto"/>
        <w:jc w:val="both"/>
        <w:rPr>
          <w:rFonts w:ascii="Book Antiqua" w:hAnsi="Book Antiqua" w:cs="宋体"/>
          <w:sz w:val="20"/>
          <w:szCs w:val="20"/>
          <w:lang w:val="en-US"/>
        </w:rPr>
      </w:pPr>
      <w:r w:rsidRPr="00E51A80">
        <w:rPr>
          <w:rFonts w:ascii="Book Antiqua" w:hAnsi="Book Antiqua" w:cs="宋体"/>
          <w:sz w:val="20"/>
          <w:szCs w:val="20"/>
          <w:lang w:val="en-US"/>
        </w:rPr>
        <w:t>Grade</w:t>
      </w:r>
      <w:r w:rsidR="007E4FE8" w:rsidRPr="00E51A80">
        <w:rPr>
          <w:rFonts w:ascii="Book Antiqua" w:hAnsi="Book Antiqua" w:cs="宋体"/>
          <w:sz w:val="20"/>
          <w:szCs w:val="20"/>
          <w:lang w:val="en-US"/>
        </w:rPr>
        <w:t xml:space="preserve"> </w:t>
      </w:r>
      <w:r w:rsidRPr="00E51A80">
        <w:rPr>
          <w:rFonts w:ascii="Book Antiqua" w:hAnsi="Book Antiqua" w:cs="宋体"/>
          <w:sz w:val="20"/>
          <w:szCs w:val="20"/>
          <w:lang w:val="en-US"/>
        </w:rPr>
        <w:t>C</w:t>
      </w:r>
      <w:r w:rsidR="007E4FE8" w:rsidRPr="00E51A80">
        <w:rPr>
          <w:rFonts w:ascii="Book Antiqua" w:hAnsi="Book Antiqua" w:cs="宋体"/>
          <w:sz w:val="20"/>
          <w:szCs w:val="20"/>
          <w:lang w:val="en-US"/>
        </w:rPr>
        <w:t xml:space="preserve"> </w:t>
      </w:r>
      <w:r w:rsidRPr="00E51A80">
        <w:rPr>
          <w:rFonts w:ascii="Book Antiqua" w:hAnsi="Book Antiqua" w:cs="宋体"/>
          <w:sz w:val="20"/>
          <w:szCs w:val="20"/>
          <w:lang w:val="en-US"/>
        </w:rPr>
        <w:t>(Good): C</w:t>
      </w:r>
      <w:r w:rsidR="00902A68" w:rsidRPr="00E51A80">
        <w:rPr>
          <w:rFonts w:ascii="Book Antiqua" w:hAnsi="Book Antiqua" w:cs="宋体"/>
          <w:sz w:val="20"/>
          <w:szCs w:val="20"/>
          <w:lang w:val="en-US"/>
        </w:rPr>
        <w:t>, C</w:t>
      </w:r>
    </w:p>
    <w:p w:rsidR="004179A4" w:rsidRPr="00E51A80" w:rsidRDefault="004179A4" w:rsidP="007E3E0D">
      <w:pPr>
        <w:adjustRightInd w:val="0"/>
        <w:snapToGrid w:val="0"/>
        <w:spacing w:after="0" w:line="360" w:lineRule="auto"/>
        <w:jc w:val="both"/>
        <w:rPr>
          <w:rFonts w:ascii="Book Antiqua" w:hAnsi="Book Antiqua" w:cs="宋体"/>
          <w:sz w:val="20"/>
          <w:szCs w:val="20"/>
          <w:lang w:val="en-US"/>
        </w:rPr>
      </w:pPr>
      <w:r w:rsidRPr="00E51A80">
        <w:rPr>
          <w:rFonts w:ascii="Book Antiqua" w:hAnsi="Book Antiqua" w:cs="宋体"/>
          <w:sz w:val="20"/>
          <w:szCs w:val="20"/>
          <w:lang w:val="en-US"/>
        </w:rPr>
        <w:t>Grade</w:t>
      </w:r>
      <w:r w:rsidR="007E4FE8" w:rsidRPr="00E51A80">
        <w:rPr>
          <w:rFonts w:ascii="Book Antiqua" w:hAnsi="Book Antiqua" w:cs="宋体"/>
          <w:sz w:val="20"/>
          <w:szCs w:val="20"/>
          <w:lang w:val="en-US"/>
        </w:rPr>
        <w:t xml:space="preserve"> </w:t>
      </w:r>
      <w:r w:rsidRPr="00E51A80">
        <w:rPr>
          <w:rFonts w:ascii="Book Antiqua" w:hAnsi="Book Antiqua" w:cs="宋体"/>
          <w:sz w:val="20"/>
          <w:szCs w:val="20"/>
          <w:lang w:val="en-US"/>
        </w:rPr>
        <w:t>D</w:t>
      </w:r>
      <w:r w:rsidR="007E4FE8" w:rsidRPr="00E51A80">
        <w:rPr>
          <w:rFonts w:ascii="Book Antiqua" w:hAnsi="Book Antiqua" w:cs="宋体"/>
          <w:sz w:val="20"/>
          <w:szCs w:val="20"/>
          <w:lang w:val="en-US"/>
        </w:rPr>
        <w:t xml:space="preserve"> </w:t>
      </w:r>
      <w:r w:rsidRPr="00E51A80">
        <w:rPr>
          <w:rFonts w:ascii="Book Antiqua" w:hAnsi="Book Antiqua" w:cs="宋体"/>
          <w:sz w:val="20"/>
          <w:szCs w:val="20"/>
          <w:lang w:val="en-US"/>
        </w:rPr>
        <w:t>(Fair): 0</w:t>
      </w:r>
    </w:p>
    <w:p w:rsidR="004179A4" w:rsidRPr="00E51A80" w:rsidRDefault="004179A4" w:rsidP="007E3E0D">
      <w:pPr>
        <w:adjustRightInd w:val="0"/>
        <w:snapToGrid w:val="0"/>
        <w:spacing w:after="0" w:line="360" w:lineRule="auto"/>
        <w:jc w:val="both"/>
        <w:rPr>
          <w:rFonts w:ascii="Book Antiqua" w:eastAsia="DengXian" w:hAnsi="Book Antiqua"/>
          <w:sz w:val="20"/>
          <w:szCs w:val="20"/>
          <w:lang w:val="en-US"/>
        </w:rPr>
      </w:pPr>
      <w:r w:rsidRPr="00E51A80">
        <w:rPr>
          <w:rFonts w:ascii="Book Antiqua" w:hAnsi="Book Antiqua" w:cs="宋体"/>
          <w:sz w:val="20"/>
          <w:szCs w:val="20"/>
          <w:lang w:val="en-US"/>
        </w:rPr>
        <w:t>Grade</w:t>
      </w:r>
      <w:r w:rsidR="007E4FE8" w:rsidRPr="00E51A80">
        <w:rPr>
          <w:rFonts w:ascii="Book Antiqua" w:hAnsi="Book Antiqua" w:cs="宋体"/>
          <w:sz w:val="20"/>
          <w:szCs w:val="20"/>
          <w:lang w:val="en-US"/>
        </w:rPr>
        <w:t xml:space="preserve"> </w:t>
      </w:r>
      <w:r w:rsidRPr="00E51A80">
        <w:rPr>
          <w:rFonts w:ascii="Book Antiqua" w:hAnsi="Book Antiqua" w:cs="宋体"/>
          <w:sz w:val="20"/>
          <w:szCs w:val="20"/>
          <w:lang w:val="en-US"/>
        </w:rPr>
        <w:t>E</w:t>
      </w:r>
      <w:r w:rsidR="007E4FE8" w:rsidRPr="00E51A80">
        <w:rPr>
          <w:rFonts w:ascii="Book Antiqua" w:hAnsi="Book Antiqua" w:cs="宋体"/>
          <w:sz w:val="20"/>
          <w:szCs w:val="20"/>
          <w:lang w:val="en-US"/>
        </w:rPr>
        <w:t xml:space="preserve"> </w:t>
      </w:r>
      <w:r w:rsidRPr="00E51A80">
        <w:rPr>
          <w:rFonts w:ascii="Book Antiqua" w:hAnsi="Book Antiqua" w:cs="宋体"/>
          <w:sz w:val="20"/>
          <w:szCs w:val="20"/>
          <w:lang w:val="en-US"/>
        </w:rPr>
        <w:t>(Poor): 0</w:t>
      </w:r>
    </w:p>
    <w:p w:rsidR="004179A4" w:rsidRPr="00E51A80" w:rsidRDefault="004179A4" w:rsidP="007E3E0D">
      <w:pPr>
        <w:adjustRightInd w:val="0"/>
        <w:snapToGrid w:val="0"/>
        <w:spacing w:after="0" w:line="360" w:lineRule="auto"/>
        <w:jc w:val="both"/>
        <w:rPr>
          <w:rFonts w:ascii="Book Antiqua" w:hAnsi="Book Antiqua"/>
          <w:b/>
          <w:bCs/>
          <w:color w:val="000000"/>
          <w:sz w:val="20"/>
          <w:szCs w:val="20"/>
          <w:lang w:val="en-US"/>
        </w:rPr>
      </w:pPr>
    </w:p>
    <w:p w:rsidR="004179A4" w:rsidRPr="00E51A80" w:rsidRDefault="004179A4" w:rsidP="007E3E0D">
      <w:pPr>
        <w:adjustRightInd w:val="0"/>
        <w:snapToGrid w:val="0"/>
        <w:spacing w:after="0" w:line="360" w:lineRule="auto"/>
        <w:jc w:val="both"/>
        <w:rPr>
          <w:rFonts w:ascii="Book Antiqua" w:hAnsi="Book Antiqua"/>
          <w:b/>
          <w:bCs/>
          <w:color w:val="000000"/>
          <w:sz w:val="20"/>
          <w:szCs w:val="20"/>
          <w:lang w:val="en-US"/>
        </w:rPr>
      </w:pPr>
      <w:r w:rsidRPr="00E51A80">
        <w:rPr>
          <w:rFonts w:ascii="Book Antiqua" w:hAnsi="Book Antiqua"/>
          <w:b/>
          <w:bCs/>
          <w:color w:val="000000"/>
          <w:sz w:val="20"/>
          <w:szCs w:val="20"/>
          <w:lang w:val="en-US"/>
        </w:rPr>
        <w:t>P-Reviewer:</w:t>
      </w:r>
      <w:r w:rsidR="00902A68" w:rsidRPr="00E51A80">
        <w:rPr>
          <w:rFonts w:ascii="Book Antiqua" w:hAnsi="Book Antiqua"/>
          <w:sz w:val="20"/>
          <w:szCs w:val="20"/>
          <w:lang w:val="en-US"/>
        </w:rPr>
        <w:t xml:space="preserve"> </w:t>
      </w:r>
      <w:proofErr w:type="spellStart"/>
      <w:proofErr w:type="gramStart"/>
      <w:r w:rsidR="00902A68" w:rsidRPr="00E51A80">
        <w:rPr>
          <w:rFonts w:ascii="Book Antiqua" w:hAnsi="Book Antiqua"/>
          <w:bCs/>
          <w:color w:val="000000"/>
          <w:sz w:val="20"/>
          <w:szCs w:val="20"/>
          <w:lang w:val="en-US"/>
        </w:rPr>
        <w:t>Gao</w:t>
      </w:r>
      <w:proofErr w:type="spellEnd"/>
      <w:proofErr w:type="gramEnd"/>
      <w:r w:rsidR="00902A68" w:rsidRPr="00E51A80">
        <w:rPr>
          <w:rFonts w:ascii="Book Antiqua" w:hAnsi="Book Antiqua"/>
          <w:bCs/>
          <w:color w:val="000000"/>
          <w:sz w:val="20"/>
          <w:szCs w:val="20"/>
          <w:lang w:val="en-US"/>
        </w:rPr>
        <w:t xml:space="preserve"> BL,</w:t>
      </w:r>
      <w:r w:rsidRPr="00E51A80">
        <w:rPr>
          <w:rFonts w:ascii="Book Antiqua" w:hAnsi="Book Antiqua"/>
          <w:b/>
          <w:bCs/>
          <w:color w:val="000000"/>
          <w:sz w:val="20"/>
          <w:szCs w:val="20"/>
          <w:lang w:val="en-US"/>
        </w:rPr>
        <w:t xml:space="preserve"> </w:t>
      </w:r>
      <w:proofErr w:type="spellStart"/>
      <w:r w:rsidR="00902A68" w:rsidRPr="00E51A80">
        <w:rPr>
          <w:rFonts w:ascii="Book Antiqua" w:hAnsi="Book Antiqua"/>
          <w:bCs/>
          <w:color w:val="000000"/>
          <w:sz w:val="20"/>
          <w:szCs w:val="20"/>
          <w:lang w:val="en-US"/>
        </w:rPr>
        <w:t>Khuroo</w:t>
      </w:r>
      <w:proofErr w:type="spellEnd"/>
      <w:r w:rsidR="00902A68" w:rsidRPr="00E51A80">
        <w:rPr>
          <w:rFonts w:ascii="Book Antiqua" w:hAnsi="Book Antiqua"/>
          <w:bCs/>
          <w:color w:val="000000"/>
          <w:sz w:val="20"/>
          <w:szCs w:val="20"/>
          <w:lang w:val="en-US"/>
        </w:rPr>
        <w:t xml:space="preserve"> MS, Yang ZH</w:t>
      </w:r>
      <w:r w:rsidR="00902A68" w:rsidRPr="00E51A80">
        <w:rPr>
          <w:rFonts w:ascii="Book Antiqua" w:hAnsi="Book Antiqua"/>
          <w:b/>
          <w:bCs/>
          <w:color w:val="000000"/>
          <w:sz w:val="20"/>
          <w:szCs w:val="20"/>
          <w:lang w:val="en-US"/>
        </w:rPr>
        <w:t xml:space="preserve"> </w:t>
      </w:r>
      <w:r w:rsidRPr="00E51A80">
        <w:rPr>
          <w:rFonts w:ascii="Book Antiqua" w:hAnsi="Book Antiqua"/>
          <w:b/>
          <w:bCs/>
          <w:color w:val="000000"/>
          <w:sz w:val="20"/>
          <w:szCs w:val="20"/>
          <w:lang w:val="en-US"/>
        </w:rPr>
        <w:t>S-Editor:</w:t>
      </w:r>
      <w:r w:rsidRPr="00E51A80">
        <w:rPr>
          <w:rFonts w:ascii="Book Antiqua" w:hAnsi="Book Antiqua"/>
          <w:color w:val="000000"/>
          <w:sz w:val="20"/>
          <w:szCs w:val="20"/>
          <w:lang w:val="en-US"/>
        </w:rPr>
        <w:t xml:space="preserve"> </w:t>
      </w:r>
      <w:r w:rsidR="00902A68" w:rsidRPr="00E51A80">
        <w:rPr>
          <w:rFonts w:ascii="Book Antiqua" w:hAnsi="Book Antiqua"/>
          <w:color w:val="000000"/>
          <w:sz w:val="20"/>
          <w:szCs w:val="20"/>
          <w:lang w:val="en-US"/>
        </w:rPr>
        <w:t>Zhang L</w:t>
      </w:r>
      <w:r w:rsidRPr="00E51A80">
        <w:rPr>
          <w:rFonts w:ascii="Book Antiqua" w:hAnsi="Book Antiqua"/>
          <w:color w:val="000000"/>
          <w:sz w:val="20"/>
          <w:szCs w:val="20"/>
          <w:lang w:val="en-US"/>
        </w:rPr>
        <w:t xml:space="preserve"> </w:t>
      </w:r>
      <w:r w:rsidRPr="00E51A80">
        <w:rPr>
          <w:rFonts w:ascii="Book Antiqua" w:hAnsi="Book Antiqua"/>
          <w:b/>
          <w:bCs/>
          <w:color w:val="000000"/>
          <w:sz w:val="20"/>
          <w:szCs w:val="20"/>
          <w:lang w:val="en-US"/>
        </w:rPr>
        <w:t>L-Editor:</w:t>
      </w:r>
      <w:r w:rsidR="003101B8" w:rsidRPr="00E51A80">
        <w:rPr>
          <w:rFonts w:ascii="Book Antiqua" w:hAnsi="Book Antiqua"/>
          <w:b/>
          <w:bCs/>
          <w:color w:val="000000"/>
          <w:sz w:val="20"/>
          <w:szCs w:val="20"/>
          <w:lang w:val="en-US"/>
        </w:rPr>
        <w:t xml:space="preserve"> </w:t>
      </w:r>
      <w:proofErr w:type="spellStart"/>
      <w:r w:rsidR="003101B8" w:rsidRPr="00E51A80">
        <w:rPr>
          <w:rFonts w:ascii="Book Antiqua" w:hAnsi="Book Antiqua"/>
          <w:bCs/>
          <w:color w:val="000000"/>
          <w:sz w:val="20"/>
          <w:szCs w:val="20"/>
          <w:lang w:val="en-US"/>
        </w:rPr>
        <w:t>Filipodia</w:t>
      </w:r>
      <w:proofErr w:type="spellEnd"/>
      <w:r w:rsidRPr="00E51A80">
        <w:rPr>
          <w:rFonts w:ascii="Book Antiqua" w:hAnsi="Book Antiqua"/>
          <w:color w:val="000000"/>
          <w:sz w:val="20"/>
          <w:szCs w:val="20"/>
          <w:lang w:val="en-US"/>
        </w:rPr>
        <w:t xml:space="preserve"> </w:t>
      </w:r>
      <w:r w:rsidRPr="00E51A80">
        <w:rPr>
          <w:rFonts w:ascii="Book Antiqua" w:hAnsi="Book Antiqua"/>
          <w:b/>
          <w:bCs/>
          <w:color w:val="000000"/>
          <w:sz w:val="20"/>
          <w:szCs w:val="20"/>
          <w:lang w:val="en-US"/>
        </w:rPr>
        <w:t>E-Editor:</w:t>
      </w:r>
      <w:r w:rsidR="00E51A80">
        <w:rPr>
          <w:rFonts w:ascii="Book Antiqua" w:hAnsi="Book Antiqua" w:hint="eastAsia"/>
          <w:b/>
          <w:bCs/>
          <w:color w:val="000000"/>
          <w:sz w:val="20"/>
          <w:szCs w:val="20"/>
          <w:lang w:val="en-US"/>
        </w:rPr>
        <w:t xml:space="preserve"> </w:t>
      </w:r>
      <w:r w:rsidR="00E51A80" w:rsidRPr="00E51A80">
        <w:rPr>
          <w:rFonts w:ascii="Book Antiqua" w:hAnsi="Book Antiqua"/>
          <w:bCs/>
          <w:color w:val="000000"/>
          <w:sz w:val="20"/>
          <w:szCs w:val="20"/>
          <w:lang w:val="en-US"/>
        </w:rPr>
        <w:t>Zhang YL</w:t>
      </w:r>
    </w:p>
    <w:p w:rsidR="00857388" w:rsidRPr="00E51A80" w:rsidRDefault="004179A4" w:rsidP="00FB4267">
      <w:pPr>
        <w:adjustRightInd w:val="0"/>
        <w:snapToGrid w:val="0"/>
        <w:spacing w:after="0" w:line="360" w:lineRule="auto"/>
        <w:jc w:val="both"/>
        <w:rPr>
          <w:rFonts w:ascii="Book Antiqua" w:hAnsi="Book Antiqua" w:cs="Book Antiqua"/>
          <w:b/>
          <w:bCs/>
          <w:sz w:val="20"/>
          <w:szCs w:val="20"/>
          <w:lang w:val="en-US"/>
        </w:rPr>
      </w:pPr>
      <w:r w:rsidRPr="00E51A80">
        <w:rPr>
          <w:rFonts w:ascii="Book Antiqua" w:hAnsi="Book Antiqua" w:cs="Calibri"/>
          <w:b/>
          <w:sz w:val="20"/>
          <w:szCs w:val="20"/>
          <w:lang w:val="en-US"/>
        </w:rPr>
        <w:br w:type="page"/>
      </w:r>
      <w:r w:rsidR="00857388" w:rsidRPr="00E51A80">
        <w:rPr>
          <w:rFonts w:ascii="Book Antiqua" w:hAnsi="Book Antiqua"/>
          <w:b/>
          <w:bCs/>
          <w:sz w:val="20"/>
          <w:szCs w:val="20"/>
          <w:lang w:val="en-US"/>
        </w:rPr>
        <w:lastRenderedPageBreak/>
        <w:t>Figure Legends</w:t>
      </w:r>
    </w:p>
    <w:p w:rsidR="00857388" w:rsidRPr="00E51A80" w:rsidRDefault="00857388" w:rsidP="007E3E0D">
      <w:pPr>
        <w:adjustRightInd w:val="0"/>
        <w:snapToGrid w:val="0"/>
        <w:spacing w:after="0" w:line="360" w:lineRule="auto"/>
        <w:jc w:val="both"/>
        <w:rPr>
          <w:rFonts w:ascii="Book Antiqua" w:hAnsi="Book Antiqua" w:cs="Book Antiqua"/>
          <w:b/>
          <w:bCs/>
          <w:sz w:val="20"/>
          <w:szCs w:val="20"/>
          <w:lang w:val="en-US"/>
        </w:rPr>
      </w:pPr>
    </w:p>
    <w:p w:rsidR="00857388" w:rsidRPr="00E51A80" w:rsidRDefault="000936A1" w:rsidP="007E3E0D">
      <w:pPr>
        <w:adjustRightInd w:val="0"/>
        <w:snapToGrid w:val="0"/>
        <w:spacing w:after="0" w:line="360" w:lineRule="auto"/>
        <w:jc w:val="both"/>
        <w:rPr>
          <w:rFonts w:ascii="Book Antiqua" w:hAnsi="Book Antiqua" w:cs="Book Antiqua"/>
          <w:b/>
          <w:bCs/>
          <w:sz w:val="20"/>
          <w:szCs w:val="20"/>
          <w:lang w:val="en-US"/>
        </w:rPr>
      </w:pPr>
      <w:r w:rsidRPr="00B42CB2">
        <w:rPr>
          <w:rFonts w:ascii="Book Antiqua" w:hAnsi="Book Antiqua"/>
          <w:noProof/>
          <w:sz w:val="20"/>
          <w:szCs w:val="20"/>
          <w:lang w:val="en-US"/>
        </w:rPr>
        <w:drawing>
          <wp:inline distT="0" distB="0" distL="0" distR="0" wp14:anchorId="3ABFF3C4" wp14:editId="70F768E3">
            <wp:extent cx="2867025" cy="2867025"/>
            <wp:effectExtent l="0" t="0" r="9525" b="0"/>
            <wp:docPr id="1" name="图片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social media pos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bookmarkStart w:id="105" w:name="_GoBack"/>
      <w:bookmarkEnd w:id="105"/>
    </w:p>
    <w:p w:rsidR="00857388" w:rsidRPr="00E51A80" w:rsidRDefault="00857388" w:rsidP="007E3E0D">
      <w:pPr>
        <w:adjustRightInd w:val="0"/>
        <w:snapToGrid w:val="0"/>
        <w:spacing w:after="0" w:line="360" w:lineRule="auto"/>
        <w:jc w:val="both"/>
        <w:rPr>
          <w:rFonts w:ascii="Book Antiqua" w:hAnsi="Book Antiqua" w:cs="Book Antiqua"/>
          <w:b/>
          <w:bCs/>
          <w:sz w:val="20"/>
          <w:szCs w:val="20"/>
          <w:lang w:val="en-US"/>
        </w:rPr>
      </w:pPr>
    </w:p>
    <w:p w:rsidR="002B7963" w:rsidRPr="00E51A80" w:rsidRDefault="002B7963" w:rsidP="007E3E0D">
      <w:pPr>
        <w:adjustRightInd w:val="0"/>
        <w:snapToGrid w:val="0"/>
        <w:spacing w:after="0" w:line="360" w:lineRule="auto"/>
        <w:jc w:val="both"/>
        <w:rPr>
          <w:rFonts w:ascii="Book Antiqua" w:hAnsi="Book Antiqua"/>
          <w:bCs/>
          <w:sz w:val="20"/>
          <w:szCs w:val="20"/>
          <w:lang w:val="en-US"/>
        </w:rPr>
      </w:pPr>
      <w:r w:rsidRPr="00E51A80">
        <w:rPr>
          <w:rFonts w:ascii="Book Antiqua" w:hAnsi="Book Antiqua" w:cs="Book Antiqua"/>
          <w:b/>
          <w:bCs/>
          <w:sz w:val="20"/>
          <w:szCs w:val="20"/>
          <w:lang w:val="en-US"/>
        </w:rPr>
        <w:t xml:space="preserve">Figure 1 </w:t>
      </w:r>
      <w:r w:rsidRPr="00E51A80">
        <w:rPr>
          <w:rFonts w:ascii="Book Antiqua" w:hAnsi="Book Antiqua" w:cs="Book Antiqua"/>
          <w:b/>
          <w:sz w:val="20"/>
          <w:szCs w:val="20"/>
          <w:lang w:val="en-US"/>
        </w:rPr>
        <w:t>Graphical representation of overall survival in patients diagnosed with neuroendocrine tumors treated with peptide receptor radionuclide therapy</w:t>
      </w:r>
      <w:r w:rsidR="007E4FE8" w:rsidRPr="00E51A80">
        <w:rPr>
          <w:rFonts w:ascii="Book Antiqua" w:hAnsi="Book Antiqua" w:cs="Book Antiqua"/>
          <w:b/>
          <w:sz w:val="20"/>
          <w:szCs w:val="20"/>
          <w:lang w:val="en-US"/>
        </w:rPr>
        <w:t xml:space="preserve">. </w:t>
      </w:r>
      <w:r w:rsidR="007E4FE8" w:rsidRPr="00E51A80">
        <w:rPr>
          <w:rFonts w:ascii="Book Antiqua" w:hAnsi="Book Antiqua" w:cs="Book Antiqua"/>
          <w:bCs/>
          <w:sz w:val="20"/>
          <w:szCs w:val="20"/>
          <w:lang w:val="en-US"/>
        </w:rPr>
        <w:t xml:space="preserve">A median survival </w:t>
      </w:r>
      <w:r w:rsidRPr="00E51A80">
        <w:rPr>
          <w:rFonts w:ascii="Book Antiqua" w:hAnsi="Book Antiqua" w:cs="Book Antiqua"/>
          <w:bCs/>
          <w:sz w:val="20"/>
          <w:szCs w:val="20"/>
          <w:lang w:val="en-US"/>
        </w:rPr>
        <w:t xml:space="preserve">of 12.5 </w:t>
      </w:r>
      <w:proofErr w:type="spellStart"/>
      <w:proofErr w:type="gramStart"/>
      <w:r w:rsidRPr="00E51A80">
        <w:rPr>
          <w:rFonts w:ascii="Book Antiqua" w:hAnsi="Book Antiqua" w:cs="Book Antiqua"/>
          <w:bCs/>
          <w:sz w:val="20"/>
          <w:szCs w:val="20"/>
          <w:lang w:val="en-US"/>
        </w:rPr>
        <w:t>mo</w:t>
      </w:r>
      <w:proofErr w:type="spellEnd"/>
      <w:proofErr w:type="gramEnd"/>
      <w:r w:rsidRPr="00E51A80">
        <w:rPr>
          <w:rFonts w:ascii="Book Antiqua" w:hAnsi="Book Antiqua" w:cs="Book Antiqua"/>
          <w:bCs/>
          <w:sz w:val="20"/>
          <w:szCs w:val="20"/>
          <w:lang w:val="en-US"/>
        </w:rPr>
        <w:t xml:space="preserve"> </w:t>
      </w:r>
      <w:r w:rsidR="007E4FE8" w:rsidRPr="00E51A80">
        <w:rPr>
          <w:rFonts w:ascii="Book Antiqua" w:hAnsi="Book Antiqua" w:cs="Book Antiqua"/>
          <w:bCs/>
          <w:sz w:val="20"/>
          <w:szCs w:val="20"/>
          <w:lang w:val="en-US"/>
        </w:rPr>
        <w:t xml:space="preserve">is shown </w:t>
      </w:r>
      <w:r w:rsidRPr="00E51A80">
        <w:rPr>
          <w:rFonts w:ascii="Book Antiqua" w:hAnsi="Book Antiqua" w:cs="Book Antiqua"/>
          <w:bCs/>
          <w:sz w:val="20"/>
          <w:szCs w:val="20"/>
          <w:lang w:val="en-US"/>
        </w:rPr>
        <w:t xml:space="preserve">(95% </w:t>
      </w:r>
      <w:r w:rsidR="00DF0DD3" w:rsidRPr="00E51A80">
        <w:rPr>
          <w:rFonts w:ascii="Book Antiqua" w:hAnsi="Book Antiqua" w:cs="Book Antiqua"/>
          <w:bCs/>
          <w:sz w:val="20"/>
          <w:szCs w:val="20"/>
          <w:lang w:val="en-US"/>
        </w:rPr>
        <w:t>confidence interval</w:t>
      </w:r>
      <w:r w:rsidRPr="00E51A80">
        <w:rPr>
          <w:rFonts w:ascii="Book Antiqua" w:hAnsi="Book Antiqua" w:cs="Book Antiqua"/>
          <w:bCs/>
          <w:sz w:val="20"/>
          <w:szCs w:val="20"/>
          <w:lang w:val="en-US"/>
        </w:rPr>
        <w:t>: 9.8–15.2).</w:t>
      </w:r>
    </w:p>
    <w:p w:rsidR="002B7963" w:rsidRPr="00E51A80" w:rsidRDefault="00C025F0" w:rsidP="007E3E0D">
      <w:pPr>
        <w:adjustRightInd w:val="0"/>
        <w:snapToGrid w:val="0"/>
        <w:spacing w:after="0" w:line="360" w:lineRule="auto"/>
        <w:jc w:val="both"/>
        <w:rPr>
          <w:rFonts w:ascii="Book Antiqua" w:hAnsi="Book Antiqua" w:cs="Book Antiqua"/>
          <w:b/>
          <w:sz w:val="20"/>
          <w:szCs w:val="20"/>
          <w:lang w:val="en-US"/>
        </w:rPr>
      </w:pPr>
      <w:r w:rsidRPr="00E51A80">
        <w:rPr>
          <w:rFonts w:ascii="Book Antiqua" w:hAnsi="Book Antiqua" w:cs="Book Antiqua"/>
          <w:b/>
          <w:sz w:val="20"/>
          <w:szCs w:val="20"/>
          <w:lang w:val="en-US"/>
        </w:rPr>
        <w:br w:type="page"/>
      </w:r>
      <w:r w:rsidR="000936A1">
        <w:rPr>
          <w:rFonts w:ascii="Book Antiqua" w:hAnsi="Book Antiqua" w:cs="Book Antiqua"/>
          <w:b/>
          <w:noProof/>
          <w:sz w:val="20"/>
          <w:szCs w:val="20"/>
          <w:lang w:val="en-US"/>
        </w:rPr>
        <w:lastRenderedPageBreak/>
        <w:drawing>
          <wp:inline distT="0" distB="0" distL="0" distR="0" wp14:anchorId="5E7FBFA1" wp14:editId="65E7645E">
            <wp:extent cx="3667125" cy="2867025"/>
            <wp:effectExtent l="0" t="0" r="0" b="0"/>
            <wp:docPr id="2" name="图片 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7125" cy="2867025"/>
                    </a:xfrm>
                    <a:prstGeom prst="rect">
                      <a:avLst/>
                    </a:prstGeom>
                    <a:noFill/>
                    <a:ln>
                      <a:noFill/>
                    </a:ln>
                  </pic:spPr>
                </pic:pic>
              </a:graphicData>
            </a:graphic>
          </wp:inline>
        </w:drawing>
      </w:r>
    </w:p>
    <w:p w:rsidR="002B7963" w:rsidRPr="00E51A80" w:rsidRDefault="002B7963" w:rsidP="007E3E0D">
      <w:pPr>
        <w:adjustRightInd w:val="0"/>
        <w:snapToGrid w:val="0"/>
        <w:spacing w:after="0" w:line="360" w:lineRule="auto"/>
        <w:jc w:val="both"/>
        <w:rPr>
          <w:rFonts w:ascii="Book Antiqua" w:hAnsi="Book Antiqua"/>
          <w:bCs/>
          <w:sz w:val="20"/>
          <w:szCs w:val="20"/>
          <w:lang w:val="en-US"/>
        </w:rPr>
      </w:pPr>
      <w:r w:rsidRPr="00E51A80">
        <w:rPr>
          <w:rFonts w:ascii="Book Antiqua" w:hAnsi="Book Antiqua" w:cs="Book Antiqua"/>
          <w:b/>
          <w:bCs/>
          <w:sz w:val="20"/>
          <w:szCs w:val="20"/>
          <w:lang w:val="en-US"/>
        </w:rPr>
        <w:t xml:space="preserve">Figure 2 </w:t>
      </w:r>
      <w:r w:rsidRPr="00E51A80">
        <w:rPr>
          <w:rFonts w:ascii="Book Antiqua" w:hAnsi="Book Antiqua" w:cs="Book Antiqua"/>
          <w:b/>
          <w:sz w:val="20"/>
          <w:szCs w:val="20"/>
          <w:lang w:val="en-US"/>
        </w:rPr>
        <w:t>Representation of cumulative survival in the population studied according to the histological tumor grade</w:t>
      </w:r>
      <w:r w:rsidR="007E4FE8" w:rsidRPr="00E51A80">
        <w:rPr>
          <w:rFonts w:ascii="Book Antiqua" w:hAnsi="Book Antiqua" w:cs="Book Antiqua"/>
          <w:b/>
          <w:sz w:val="20"/>
          <w:szCs w:val="20"/>
          <w:lang w:val="en-US"/>
        </w:rPr>
        <w:t>.</w:t>
      </w:r>
      <w:r w:rsidRPr="00E51A80">
        <w:rPr>
          <w:rFonts w:ascii="Book Antiqua" w:hAnsi="Book Antiqua" w:cs="Book Antiqua"/>
          <w:b/>
          <w:sz w:val="20"/>
          <w:szCs w:val="20"/>
          <w:lang w:val="en-US"/>
        </w:rPr>
        <w:t xml:space="preserve"> </w:t>
      </w:r>
      <w:r w:rsidR="007E4FE8" w:rsidRPr="00E51A80">
        <w:rPr>
          <w:rFonts w:ascii="Book Antiqua" w:hAnsi="Book Antiqua" w:cs="Book Antiqua"/>
          <w:bCs/>
          <w:sz w:val="20"/>
          <w:szCs w:val="20"/>
          <w:lang w:val="en-US"/>
        </w:rPr>
        <w:t>G</w:t>
      </w:r>
      <w:r w:rsidRPr="00E51A80">
        <w:rPr>
          <w:rFonts w:ascii="Book Antiqua" w:hAnsi="Book Antiqua" w:cs="Book Antiqua"/>
          <w:bCs/>
          <w:sz w:val="20"/>
          <w:szCs w:val="20"/>
          <w:lang w:val="en-US"/>
        </w:rPr>
        <w:t xml:space="preserve">rade 1 (blue), grade 2 (green) and grade 3 (gray) demonstrating that overall survival is inversely proportional to tumor grade. </w:t>
      </w:r>
    </w:p>
    <w:p w:rsidR="00DF0DD3" w:rsidRPr="00E51A80" w:rsidRDefault="00C025F0" w:rsidP="007E3E0D">
      <w:pPr>
        <w:tabs>
          <w:tab w:val="left" w:pos="6296"/>
        </w:tabs>
        <w:adjustRightInd w:val="0"/>
        <w:snapToGrid w:val="0"/>
        <w:spacing w:after="0" w:line="360" w:lineRule="auto"/>
        <w:jc w:val="both"/>
        <w:rPr>
          <w:rFonts w:ascii="Book Antiqua" w:hAnsi="Book Antiqua" w:cs="Book Antiqua"/>
          <w:b/>
          <w:bCs/>
          <w:sz w:val="20"/>
          <w:szCs w:val="20"/>
          <w:lang w:val="en-US"/>
        </w:rPr>
      </w:pPr>
      <w:r w:rsidRPr="00E51A80">
        <w:rPr>
          <w:rFonts w:ascii="Book Antiqua" w:hAnsi="Book Antiqua" w:cs="Book Antiqua"/>
          <w:b/>
          <w:bCs/>
          <w:sz w:val="20"/>
          <w:szCs w:val="20"/>
          <w:lang w:val="en-US"/>
        </w:rPr>
        <w:br w:type="page"/>
      </w:r>
      <w:r w:rsidR="000936A1">
        <w:rPr>
          <w:rFonts w:ascii="Book Antiqua" w:hAnsi="Book Antiqua" w:cs="Book Antiqua"/>
          <w:b/>
          <w:bCs/>
          <w:noProof/>
          <w:sz w:val="20"/>
          <w:szCs w:val="20"/>
          <w:lang w:val="en-US"/>
        </w:rPr>
        <w:lastRenderedPageBreak/>
        <w:drawing>
          <wp:inline distT="0" distB="0" distL="0" distR="0" wp14:anchorId="79026507" wp14:editId="6BEAB98C">
            <wp:extent cx="5372100" cy="2619375"/>
            <wp:effectExtent l="0" t="0" r="0" b="0"/>
            <wp:docPr id="3" name="图片 3"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2100" cy="2619375"/>
                    </a:xfrm>
                    <a:prstGeom prst="rect">
                      <a:avLst/>
                    </a:prstGeom>
                    <a:noFill/>
                    <a:ln>
                      <a:noFill/>
                    </a:ln>
                  </pic:spPr>
                </pic:pic>
              </a:graphicData>
            </a:graphic>
          </wp:inline>
        </w:drawing>
      </w:r>
    </w:p>
    <w:p w:rsidR="002B7963" w:rsidRPr="00E51A80" w:rsidRDefault="002B7963" w:rsidP="007E3E0D">
      <w:pPr>
        <w:tabs>
          <w:tab w:val="left" w:pos="6296"/>
        </w:tabs>
        <w:adjustRightInd w:val="0"/>
        <w:snapToGrid w:val="0"/>
        <w:spacing w:after="0" w:line="360" w:lineRule="auto"/>
        <w:jc w:val="both"/>
        <w:rPr>
          <w:rFonts w:ascii="Book Antiqua" w:hAnsi="Book Antiqua"/>
          <w:sz w:val="20"/>
          <w:szCs w:val="20"/>
          <w:lang w:val="en-US"/>
        </w:rPr>
      </w:pPr>
      <w:r w:rsidRPr="00E51A80">
        <w:rPr>
          <w:rFonts w:ascii="Book Antiqua" w:hAnsi="Book Antiqua" w:cs="Book Antiqua"/>
          <w:b/>
          <w:bCs/>
          <w:sz w:val="20"/>
          <w:szCs w:val="20"/>
          <w:lang w:val="en-US"/>
        </w:rPr>
        <w:t>Figure 3</w:t>
      </w:r>
      <w:r w:rsidRPr="00E51A80">
        <w:rPr>
          <w:rFonts w:ascii="Book Antiqua" w:hAnsi="Book Antiqua" w:cs="Book Antiqua"/>
          <w:b/>
          <w:sz w:val="20"/>
          <w:szCs w:val="20"/>
          <w:lang w:val="en-US"/>
        </w:rPr>
        <w:t xml:space="preserve"> Representation of cumulative survival in patients tre</w:t>
      </w:r>
      <w:r w:rsidR="00C025F0" w:rsidRPr="00E51A80">
        <w:rPr>
          <w:rFonts w:ascii="Book Antiqua" w:hAnsi="Book Antiqua" w:cs="Book Antiqua"/>
          <w:b/>
          <w:sz w:val="20"/>
          <w:szCs w:val="20"/>
          <w:lang w:val="en-US"/>
        </w:rPr>
        <w:t xml:space="preserve">ated with primary tumor surgery and metastases </w:t>
      </w:r>
      <w:r w:rsidRPr="00E51A80">
        <w:rPr>
          <w:rFonts w:ascii="Book Antiqua" w:hAnsi="Book Antiqua" w:cs="Book Antiqua"/>
          <w:b/>
          <w:sz w:val="20"/>
          <w:szCs w:val="20"/>
          <w:lang w:val="en-US"/>
        </w:rPr>
        <w:t xml:space="preserve">with </w:t>
      </w:r>
      <w:r w:rsidR="00C025F0" w:rsidRPr="00E51A80">
        <w:rPr>
          <w:rFonts w:ascii="Book Antiqua" w:hAnsi="Book Antiqua" w:cs="Calibri"/>
          <w:b/>
          <w:bCs/>
          <w:sz w:val="20"/>
          <w:szCs w:val="20"/>
          <w:lang w:val="en-US"/>
        </w:rPr>
        <w:t>peptide receptor radionuclide therapy</w:t>
      </w:r>
      <w:r w:rsidRPr="00E51A80">
        <w:rPr>
          <w:rFonts w:ascii="Book Antiqua" w:hAnsi="Book Antiqua" w:cs="Book Antiqua"/>
          <w:b/>
          <w:sz w:val="20"/>
          <w:szCs w:val="20"/>
          <w:lang w:val="en-US"/>
        </w:rPr>
        <w:t xml:space="preserve"> (green) and patients treated only with </w:t>
      </w:r>
      <w:r w:rsidR="00C025F0" w:rsidRPr="00E51A80">
        <w:rPr>
          <w:rFonts w:ascii="Book Antiqua" w:hAnsi="Book Antiqua" w:cs="Calibri"/>
          <w:b/>
          <w:bCs/>
          <w:sz w:val="20"/>
          <w:szCs w:val="20"/>
          <w:lang w:val="en-US"/>
        </w:rPr>
        <w:t>peptide receptor radionuclide therapy</w:t>
      </w:r>
      <w:r w:rsidRPr="00E51A80">
        <w:rPr>
          <w:rFonts w:ascii="Book Antiqua" w:hAnsi="Book Antiqua" w:cs="Book Antiqua"/>
          <w:b/>
          <w:sz w:val="20"/>
          <w:szCs w:val="20"/>
          <w:lang w:val="en-US"/>
        </w:rPr>
        <w:t xml:space="preserve"> (blue). </w:t>
      </w:r>
      <w:r w:rsidR="00C025F0" w:rsidRPr="00E51A80">
        <w:rPr>
          <w:rFonts w:ascii="Book Antiqua" w:hAnsi="Book Antiqua" w:cs="Book Antiqua"/>
          <w:sz w:val="20"/>
          <w:szCs w:val="20"/>
          <w:lang w:val="en-US"/>
        </w:rPr>
        <w:t>A:</w:t>
      </w:r>
      <w:r w:rsidR="00C025F0" w:rsidRPr="00E51A80">
        <w:rPr>
          <w:rFonts w:ascii="Book Antiqua" w:hAnsi="Book Antiqua" w:cs="Book Antiqua"/>
          <w:b/>
          <w:sz w:val="20"/>
          <w:szCs w:val="20"/>
          <w:lang w:val="en-US"/>
        </w:rPr>
        <w:t xml:space="preserve"> </w:t>
      </w:r>
      <w:r w:rsidR="00D35F96" w:rsidRPr="00E51A80">
        <w:rPr>
          <w:rFonts w:ascii="Book Antiqua" w:hAnsi="Book Antiqua" w:cs="Book Antiqua"/>
          <w:sz w:val="20"/>
          <w:szCs w:val="20"/>
          <w:lang w:val="en-US"/>
        </w:rPr>
        <w:t xml:space="preserve">For </w:t>
      </w:r>
      <w:r w:rsidR="00C025F0" w:rsidRPr="00E51A80">
        <w:rPr>
          <w:rFonts w:ascii="Book Antiqua" w:hAnsi="Book Antiqua" w:cs="Book Antiqua"/>
          <w:sz w:val="20"/>
          <w:szCs w:val="20"/>
          <w:lang w:val="en-US"/>
        </w:rPr>
        <w:t>patients treated with primary tumor surgery</w:t>
      </w:r>
      <w:r w:rsidR="00D35F96" w:rsidRPr="00E51A80">
        <w:rPr>
          <w:rFonts w:ascii="Book Antiqua" w:hAnsi="Book Antiqua" w:cs="Book Antiqua"/>
          <w:sz w:val="20"/>
          <w:szCs w:val="20"/>
          <w:lang w:val="en-US"/>
        </w:rPr>
        <w:t>,</w:t>
      </w:r>
      <w:r w:rsidR="00C025F0" w:rsidRPr="00E51A80">
        <w:rPr>
          <w:rFonts w:ascii="Book Antiqua" w:hAnsi="Book Antiqua" w:cs="Book Antiqua"/>
          <w:b/>
          <w:sz w:val="20"/>
          <w:szCs w:val="20"/>
          <w:lang w:val="en-US"/>
        </w:rPr>
        <w:t xml:space="preserve"> </w:t>
      </w:r>
      <w:r w:rsidR="00C025F0" w:rsidRPr="00E51A80">
        <w:rPr>
          <w:rFonts w:ascii="Book Antiqua" w:hAnsi="Book Antiqua" w:cs="Book Antiqua"/>
          <w:sz w:val="20"/>
          <w:szCs w:val="20"/>
          <w:lang w:val="en-US"/>
        </w:rPr>
        <w:t xml:space="preserve">the </w:t>
      </w:r>
      <w:r w:rsidRPr="00E51A80">
        <w:rPr>
          <w:rFonts w:ascii="Book Antiqua" w:hAnsi="Book Antiqua" w:cs="Book Antiqua"/>
          <w:sz w:val="20"/>
          <w:szCs w:val="20"/>
          <w:lang w:val="en-US"/>
        </w:rPr>
        <w:t xml:space="preserve">probability of long-term survival is higher </w:t>
      </w:r>
      <w:r w:rsidR="00D35F96" w:rsidRPr="00E51A80">
        <w:rPr>
          <w:rFonts w:ascii="Book Antiqua" w:hAnsi="Book Antiqua" w:cs="Book Antiqua"/>
          <w:sz w:val="20"/>
          <w:szCs w:val="20"/>
          <w:lang w:val="en-US"/>
        </w:rPr>
        <w:t>when treated with peptide receptor radionuclide therapy</w:t>
      </w:r>
      <w:r w:rsidRPr="00E51A80">
        <w:rPr>
          <w:rFonts w:ascii="Book Antiqua" w:hAnsi="Book Antiqua" w:cs="Book Antiqua"/>
          <w:sz w:val="20"/>
          <w:szCs w:val="20"/>
          <w:lang w:val="en-US"/>
        </w:rPr>
        <w:t>, showing the existence of a directly proportional relationship between s</w:t>
      </w:r>
      <w:r w:rsidR="00C025F0" w:rsidRPr="00E51A80">
        <w:rPr>
          <w:rFonts w:ascii="Book Antiqua" w:hAnsi="Book Antiqua" w:cs="Book Antiqua"/>
          <w:sz w:val="20"/>
          <w:szCs w:val="20"/>
          <w:lang w:val="en-US"/>
        </w:rPr>
        <w:t>urvival and surgical treatment; B: The patients treated with metastases.</w:t>
      </w:r>
    </w:p>
    <w:p w:rsidR="00DF0DD3" w:rsidRPr="00E51A80" w:rsidRDefault="00C025F0" w:rsidP="007E3E0D">
      <w:pPr>
        <w:tabs>
          <w:tab w:val="left" w:pos="6296"/>
        </w:tabs>
        <w:adjustRightInd w:val="0"/>
        <w:snapToGrid w:val="0"/>
        <w:spacing w:after="0" w:line="360" w:lineRule="auto"/>
        <w:jc w:val="both"/>
        <w:rPr>
          <w:rFonts w:ascii="Book Antiqua" w:hAnsi="Book Antiqua" w:cs="Book Antiqua"/>
          <w:b/>
          <w:bCs/>
          <w:sz w:val="20"/>
          <w:szCs w:val="20"/>
          <w:lang w:val="en-US"/>
        </w:rPr>
      </w:pPr>
      <w:r w:rsidRPr="00E51A80">
        <w:rPr>
          <w:rFonts w:ascii="Book Antiqua" w:hAnsi="Book Antiqua" w:cs="Book Antiqua"/>
          <w:b/>
          <w:bCs/>
          <w:sz w:val="20"/>
          <w:szCs w:val="20"/>
          <w:lang w:val="en-US"/>
        </w:rPr>
        <w:br w:type="page"/>
      </w:r>
      <w:r w:rsidR="000936A1">
        <w:rPr>
          <w:rFonts w:ascii="Book Antiqua" w:hAnsi="Book Antiqua" w:cs="Book Antiqua"/>
          <w:b/>
          <w:bCs/>
          <w:noProof/>
          <w:sz w:val="20"/>
          <w:szCs w:val="20"/>
          <w:lang w:val="en-US"/>
        </w:rPr>
        <w:lastRenderedPageBreak/>
        <w:drawing>
          <wp:inline distT="0" distB="0" distL="0" distR="0" wp14:anchorId="26DD2161" wp14:editId="0C5640E9">
            <wp:extent cx="3609975" cy="3114675"/>
            <wp:effectExtent l="0" t="0" r="0" b="0"/>
            <wp:docPr id="4" name="图片 4"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9975" cy="3114675"/>
                    </a:xfrm>
                    <a:prstGeom prst="rect">
                      <a:avLst/>
                    </a:prstGeom>
                    <a:noFill/>
                    <a:ln>
                      <a:noFill/>
                    </a:ln>
                  </pic:spPr>
                </pic:pic>
              </a:graphicData>
            </a:graphic>
          </wp:inline>
        </w:drawing>
      </w:r>
    </w:p>
    <w:p w:rsidR="002B7963" w:rsidRPr="00E51A80" w:rsidRDefault="002B7963" w:rsidP="007E3E0D">
      <w:pPr>
        <w:tabs>
          <w:tab w:val="left" w:pos="6296"/>
        </w:tabs>
        <w:adjustRightInd w:val="0"/>
        <w:snapToGrid w:val="0"/>
        <w:spacing w:after="0" w:line="360" w:lineRule="auto"/>
        <w:jc w:val="both"/>
        <w:rPr>
          <w:rFonts w:ascii="Book Antiqua" w:hAnsi="Book Antiqua" w:cs="Book Antiqua"/>
          <w:sz w:val="20"/>
          <w:szCs w:val="20"/>
          <w:lang w:val="en-US"/>
        </w:rPr>
      </w:pPr>
      <w:r w:rsidRPr="00E51A80">
        <w:rPr>
          <w:rFonts w:ascii="Book Antiqua" w:hAnsi="Book Antiqua" w:cs="Book Antiqua"/>
          <w:b/>
          <w:bCs/>
          <w:sz w:val="20"/>
          <w:szCs w:val="20"/>
          <w:lang w:val="en-US"/>
        </w:rPr>
        <w:t>Figure 4</w:t>
      </w:r>
      <w:r w:rsidRPr="00E51A80">
        <w:rPr>
          <w:rFonts w:ascii="Book Antiqua" w:hAnsi="Book Antiqua" w:cs="Book Antiqua"/>
          <w:sz w:val="20"/>
          <w:szCs w:val="20"/>
          <w:lang w:val="en-US"/>
        </w:rPr>
        <w:t xml:space="preserve"> </w:t>
      </w:r>
      <w:r w:rsidRPr="00E51A80">
        <w:rPr>
          <w:rFonts w:ascii="Book Antiqua" w:hAnsi="Book Antiqua" w:cs="Book Antiqua"/>
          <w:b/>
          <w:sz w:val="20"/>
          <w:szCs w:val="20"/>
          <w:lang w:val="en-US"/>
        </w:rPr>
        <w:t xml:space="preserve">Representation of cumulative survival in patients with (green) and without (blue) bone metastasis. </w:t>
      </w:r>
      <w:r w:rsidRPr="00E51A80">
        <w:rPr>
          <w:rFonts w:ascii="Book Antiqua" w:hAnsi="Book Antiqua" w:cs="Book Antiqua"/>
          <w:sz w:val="20"/>
          <w:szCs w:val="20"/>
          <w:lang w:val="en-US"/>
        </w:rPr>
        <w:t xml:space="preserve">The probability of long-term survival is higher in the second group. </w:t>
      </w:r>
      <w:bookmarkEnd w:id="1"/>
    </w:p>
    <w:p w:rsidR="00857388" w:rsidRPr="00E51A80" w:rsidRDefault="00857388" w:rsidP="007E3E0D">
      <w:pPr>
        <w:tabs>
          <w:tab w:val="left" w:pos="6296"/>
        </w:tabs>
        <w:adjustRightInd w:val="0"/>
        <w:snapToGrid w:val="0"/>
        <w:spacing w:after="0" w:line="360" w:lineRule="auto"/>
        <w:jc w:val="both"/>
        <w:rPr>
          <w:rFonts w:ascii="Book Antiqua" w:hAnsi="Book Antiqua" w:cs="Book Antiqua"/>
          <w:sz w:val="20"/>
          <w:szCs w:val="20"/>
          <w:lang w:val="en-US"/>
        </w:rPr>
      </w:pPr>
    </w:p>
    <w:p w:rsidR="00857388" w:rsidRPr="00E51A80" w:rsidRDefault="00857388" w:rsidP="007E3E0D">
      <w:pPr>
        <w:tabs>
          <w:tab w:val="left" w:pos="6296"/>
        </w:tabs>
        <w:adjustRightInd w:val="0"/>
        <w:snapToGrid w:val="0"/>
        <w:spacing w:after="0" w:line="360" w:lineRule="auto"/>
        <w:jc w:val="both"/>
        <w:rPr>
          <w:rFonts w:ascii="Book Antiqua" w:hAnsi="Book Antiqua" w:cs="Book Antiqua"/>
          <w:sz w:val="20"/>
          <w:szCs w:val="20"/>
          <w:lang w:val="en-US"/>
        </w:rPr>
      </w:pPr>
    </w:p>
    <w:p w:rsidR="00857388" w:rsidRPr="00E51A80" w:rsidRDefault="00857388" w:rsidP="00857388">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b/>
          <w:sz w:val="20"/>
          <w:szCs w:val="20"/>
          <w:lang w:val="en-US"/>
        </w:rPr>
        <w:br w:type="page"/>
      </w:r>
      <w:r w:rsidRPr="00E51A80">
        <w:rPr>
          <w:rFonts w:ascii="Book Antiqua" w:hAnsi="Book Antiqua" w:cs="Calibri"/>
          <w:b/>
          <w:sz w:val="20"/>
          <w:szCs w:val="20"/>
          <w:lang w:val="en-US"/>
        </w:rPr>
        <w:lastRenderedPageBreak/>
        <w:t>Table 1</w:t>
      </w:r>
      <w:r w:rsidRPr="00E51A80">
        <w:rPr>
          <w:rFonts w:ascii="Book Antiqua" w:hAnsi="Book Antiqua" w:cs="Calibri"/>
          <w:bCs/>
          <w:sz w:val="20"/>
          <w:szCs w:val="20"/>
          <w:lang w:val="en-US"/>
        </w:rPr>
        <w:t xml:space="preserve"> </w:t>
      </w:r>
      <w:r w:rsidRPr="00E51A80">
        <w:rPr>
          <w:rFonts w:ascii="Book Antiqua" w:hAnsi="Book Antiqua" w:cs="Calibri"/>
          <w:b/>
          <w:sz w:val="20"/>
          <w:szCs w:val="20"/>
          <w:lang w:val="en-US"/>
        </w:rPr>
        <w:t xml:space="preserve">Demographic and baseline clinical characteristics of patients with neuroendocrine tumors, </w:t>
      </w:r>
      <w:r w:rsidRPr="00E51A80">
        <w:rPr>
          <w:rFonts w:ascii="Book Antiqua" w:hAnsi="Book Antiqua" w:cs="Calibri"/>
          <w:b/>
          <w:i/>
          <w:sz w:val="20"/>
          <w:szCs w:val="20"/>
          <w:lang w:val="en-US"/>
        </w:rPr>
        <w:t>n</w:t>
      </w:r>
      <w:r w:rsidRPr="00E51A80">
        <w:rPr>
          <w:rFonts w:ascii="Book Antiqua" w:hAnsi="Book Antiqua" w:cs="Calibri"/>
          <w:b/>
          <w:sz w:val="20"/>
          <w:szCs w:val="20"/>
          <w:lang w:val="en-US"/>
        </w:rPr>
        <w:t xml:space="preserve"> = 36 </w:t>
      </w:r>
    </w:p>
    <w:tbl>
      <w:tblPr>
        <w:tblW w:w="0" w:type="auto"/>
        <w:tblInd w:w="-5" w:type="dxa"/>
        <w:tblBorders>
          <w:top w:val="single" w:sz="4" w:space="0" w:color="auto"/>
          <w:bottom w:val="single" w:sz="4" w:space="0" w:color="auto"/>
        </w:tblBorders>
        <w:tblLayout w:type="fixed"/>
        <w:tblLook w:val="0000" w:firstRow="0" w:lastRow="0" w:firstColumn="0" w:lastColumn="0" w:noHBand="0" w:noVBand="0"/>
      </w:tblPr>
      <w:tblGrid>
        <w:gridCol w:w="4649"/>
        <w:gridCol w:w="3402"/>
      </w:tblGrid>
      <w:tr w:rsidR="00857388" w:rsidRPr="00E51A80" w:rsidTr="00CC032C">
        <w:trPr>
          <w:trHeight w:val="227"/>
        </w:trPr>
        <w:tc>
          <w:tcPr>
            <w:tcW w:w="4649" w:type="dxa"/>
            <w:tcBorders>
              <w:top w:val="single" w:sz="4" w:space="0" w:color="auto"/>
              <w:bottom w:val="single" w:sz="4" w:space="0" w:color="auto"/>
            </w:tcBorders>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b/>
                <w:sz w:val="20"/>
                <w:szCs w:val="20"/>
                <w:lang w:val="en-US"/>
              </w:rPr>
              <w:t>Characteristics</w:t>
            </w:r>
          </w:p>
        </w:tc>
        <w:tc>
          <w:tcPr>
            <w:tcW w:w="3402" w:type="dxa"/>
            <w:tcBorders>
              <w:top w:val="single" w:sz="4" w:space="0" w:color="auto"/>
              <w:bottom w:val="single" w:sz="4" w:space="0" w:color="auto"/>
            </w:tcBorders>
            <w:shd w:val="clear" w:color="auto" w:fill="auto"/>
          </w:tcPr>
          <w:p w:rsidR="00857388" w:rsidRPr="00E51A80" w:rsidRDefault="00857388" w:rsidP="00CC032C">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b/>
                <w:bCs/>
                <w:sz w:val="20"/>
                <w:szCs w:val="20"/>
                <w:lang w:val="en-US"/>
              </w:rPr>
              <w:t>Number of patients</w:t>
            </w:r>
          </w:p>
        </w:tc>
      </w:tr>
      <w:tr w:rsidR="00857388" w:rsidRPr="00E51A80" w:rsidTr="00CC032C">
        <w:trPr>
          <w:trHeight w:val="408"/>
        </w:trPr>
        <w:tc>
          <w:tcPr>
            <w:tcW w:w="4649" w:type="dxa"/>
            <w:tcBorders>
              <w:top w:val="single" w:sz="4" w:space="0" w:color="auto"/>
            </w:tcBorders>
            <w:shd w:val="clear" w:color="auto" w:fill="auto"/>
          </w:tcPr>
          <w:p w:rsidR="00857388" w:rsidRPr="00E51A80" w:rsidRDefault="00857388" w:rsidP="00CC032C">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bCs/>
                <w:sz w:val="20"/>
                <w:szCs w:val="20"/>
                <w:lang w:val="en-US"/>
              </w:rPr>
              <w:t>Sex</w:t>
            </w:r>
          </w:p>
        </w:tc>
        <w:tc>
          <w:tcPr>
            <w:tcW w:w="3402" w:type="dxa"/>
            <w:tcBorders>
              <w:top w:val="single" w:sz="4" w:space="0" w:color="auto"/>
            </w:tcBorders>
            <w:shd w:val="clear" w:color="auto" w:fill="auto"/>
          </w:tcPr>
          <w:p w:rsidR="00857388" w:rsidRPr="00E51A80" w:rsidRDefault="00857388" w:rsidP="00CC032C">
            <w:pPr>
              <w:adjustRightInd w:val="0"/>
              <w:snapToGrid w:val="0"/>
              <w:spacing w:after="0" w:line="360" w:lineRule="auto"/>
              <w:jc w:val="both"/>
              <w:rPr>
                <w:rFonts w:ascii="Book Antiqua" w:hAnsi="Book Antiqua"/>
                <w:sz w:val="20"/>
                <w:szCs w:val="20"/>
                <w:lang w:val="en-US"/>
              </w:rPr>
            </w:pPr>
          </w:p>
        </w:tc>
      </w:tr>
      <w:tr w:rsidR="00857388" w:rsidRPr="00E51A80" w:rsidTr="00CC032C">
        <w:trPr>
          <w:trHeight w:val="420"/>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bCs/>
                <w:sz w:val="20"/>
                <w:szCs w:val="20"/>
                <w:lang w:val="en-US"/>
              </w:rPr>
            </w:pPr>
            <w:r w:rsidRPr="00E51A80">
              <w:rPr>
                <w:rFonts w:ascii="Book Antiqua" w:hAnsi="Book Antiqua" w:cs="Calibri"/>
                <w:sz w:val="20"/>
                <w:szCs w:val="20"/>
                <w:lang w:val="en-US"/>
              </w:rPr>
              <w:t>Male</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sz w:val="20"/>
                <w:szCs w:val="20"/>
                <w:lang w:val="en-US"/>
              </w:rPr>
              <w:t>20 (55.6%)</w:t>
            </w:r>
          </w:p>
        </w:tc>
      </w:tr>
      <w:tr w:rsidR="00857388" w:rsidRPr="00E51A80" w:rsidTr="00CC032C">
        <w:trPr>
          <w:trHeight w:val="492"/>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sz w:val="20"/>
                <w:szCs w:val="20"/>
                <w:lang w:val="en-US"/>
              </w:rPr>
            </w:pPr>
            <w:r w:rsidRPr="00E51A80">
              <w:rPr>
                <w:rFonts w:ascii="Book Antiqua" w:hAnsi="Book Antiqua" w:cs="Calibri"/>
                <w:sz w:val="20"/>
                <w:szCs w:val="20"/>
                <w:lang w:val="en-US"/>
              </w:rPr>
              <w:t>Female</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sz w:val="20"/>
                <w:szCs w:val="20"/>
                <w:lang w:val="en-US"/>
              </w:rPr>
              <w:t>16 (44.4%)</w:t>
            </w:r>
          </w:p>
        </w:tc>
      </w:tr>
      <w:tr w:rsidR="00857388" w:rsidRPr="00E51A80" w:rsidTr="00CC032C">
        <w:trPr>
          <w:trHeight w:val="348"/>
        </w:trPr>
        <w:tc>
          <w:tcPr>
            <w:tcW w:w="4649" w:type="dxa"/>
            <w:shd w:val="clear" w:color="auto" w:fill="auto"/>
          </w:tcPr>
          <w:p w:rsidR="00857388" w:rsidRPr="00E51A80" w:rsidRDefault="00857388" w:rsidP="00CC032C">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bCs/>
                <w:sz w:val="20"/>
                <w:szCs w:val="20"/>
                <w:lang w:val="en-US"/>
              </w:rPr>
              <w:t>Comorbidities</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sz w:val="20"/>
                <w:szCs w:val="20"/>
                <w:lang w:val="en-US"/>
              </w:rPr>
            </w:pPr>
          </w:p>
        </w:tc>
      </w:tr>
      <w:tr w:rsidR="00857388" w:rsidRPr="00E51A80" w:rsidTr="00CC032C">
        <w:trPr>
          <w:trHeight w:val="384"/>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bCs/>
                <w:sz w:val="20"/>
                <w:szCs w:val="20"/>
                <w:lang w:val="en-US"/>
              </w:rPr>
            </w:pPr>
            <w:r w:rsidRPr="00E51A80">
              <w:rPr>
                <w:rFonts w:ascii="Book Antiqua" w:hAnsi="Book Antiqua" w:cs="Calibri"/>
                <w:sz w:val="20"/>
                <w:szCs w:val="20"/>
                <w:lang w:val="en-US"/>
              </w:rPr>
              <w:t>Hypertension</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sz w:val="20"/>
                <w:szCs w:val="20"/>
                <w:lang w:val="en-US"/>
              </w:rPr>
              <w:t>15 (41.7%)</w:t>
            </w:r>
          </w:p>
        </w:tc>
      </w:tr>
      <w:tr w:rsidR="00857388" w:rsidRPr="00E51A80" w:rsidTr="00CC032C">
        <w:trPr>
          <w:trHeight w:val="360"/>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sz w:val="20"/>
                <w:szCs w:val="20"/>
                <w:lang w:val="en-US"/>
              </w:rPr>
            </w:pPr>
            <w:r w:rsidRPr="00E51A80">
              <w:rPr>
                <w:rFonts w:ascii="Book Antiqua" w:hAnsi="Book Antiqua" w:cs="Calibri"/>
                <w:sz w:val="20"/>
                <w:szCs w:val="20"/>
                <w:lang w:val="en-US"/>
              </w:rPr>
              <w:t>DM</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sz w:val="20"/>
                <w:szCs w:val="20"/>
                <w:lang w:val="en-US"/>
              </w:rPr>
              <w:t>7 (19.4%)</w:t>
            </w:r>
          </w:p>
        </w:tc>
      </w:tr>
      <w:tr w:rsidR="00857388" w:rsidRPr="00E51A80" w:rsidTr="00CC032C">
        <w:trPr>
          <w:trHeight w:val="420"/>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sz w:val="20"/>
                <w:szCs w:val="20"/>
                <w:lang w:val="en-US"/>
              </w:rPr>
            </w:pPr>
            <w:r w:rsidRPr="00E51A80">
              <w:rPr>
                <w:rFonts w:ascii="Book Antiqua" w:hAnsi="Book Antiqua" w:cs="Calibri"/>
                <w:sz w:val="20"/>
                <w:szCs w:val="20"/>
                <w:lang w:val="en-US"/>
              </w:rPr>
              <w:t>Smoking habits</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sz w:val="20"/>
                <w:szCs w:val="20"/>
                <w:lang w:val="en-US"/>
              </w:rPr>
              <w:t>9 (25.0%)</w:t>
            </w:r>
          </w:p>
        </w:tc>
      </w:tr>
      <w:tr w:rsidR="00857388" w:rsidRPr="00E51A80" w:rsidTr="00CC032C">
        <w:trPr>
          <w:trHeight w:val="484"/>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sz w:val="20"/>
                <w:szCs w:val="20"/>
                <w:lang w:val="en-US"/>
              </w:rPr>
            </w:pPr>
            <w:r w:rsidRPr="00E51A80">
              <w:rPr>
                <w:rFonts w:ascii="Book Antiqua" w:hAnsi="Book Antiqua" w:cs="Calibri"/>
                <w:sz w:val="20"/>
                <w:szCs w:val="20"/>
                <w:lang w:val="en-US"/>
              </w:rPr>
              <w:t>Cancer history</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sz w:val="20"/>
                <w:szCs w:val="20"/>
                <w:lang w:val="en-US"/>
              </w:rPr>
              <w:t>5 (13.9%)</w:t>
            </w:r>
          </w:p>
        </w:tc>
      </w:tr>
      <w:tr w:rsidR="00857388" w:rsidRPr="00E51A80" w:rsidTr="00CC032C">
        <w:trPr>
          <w:trHeight w:val="401"/>
        </w:trPr>
        <w:tc>
          <w:tcPr>
            <w:tcW w:w="4649" w:type="dxa"/>
            <w:shd w:val="clear" w:color="auto" w:fill="auto"/>
          </w:tcPr>
          <w:p w:rsidR="00857388" w:rsidRPr="00E51A80" w:rsidRDefault="00857388" w:rsidP="00CC032C">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bCs/>
                <w:sz w:val="20"/>
                <w:szCs w:val="20"/>
                <w:lang w:val="en-US"/>
              </w:rPr>
              <w:t>Symptoms prior to diagnosis</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sz w:val="20"/>
                <w:szCs w:val="20"/>
                <w:lang w:val="en-US"/>
              </w:rPr>
            </w:pPr>
          </w:p>
        </w:tc>
      </w:tr>
      <w:tr w:rsidR="00857388" w:rsidRPr="00E51A80" w:rsidTr="00CC032C">
        <w:trPr>
          <w:trHeight w:val="384"/>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bCs/>
                <w:sz w:val="20"/>
                <w:szCs w:val="20"/>
                <w:lang w:val="en-US"/>
              </w:rPr>
            </w:pPr>
            <w:r w:rsidRPr="00E51A80">
              <w:rPr>
                <w:rFonts w:ascii="Book Antiqua" w:hAnsi="Book Antiqua" w:cs="Calibri"/>
                <w:sz w:val="20"/>
                <w:szCs w:val="20"/>
                <w:lang w:val="en-US"/>
              </w:rPr>
              <w:t>Abdominal pain</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bCs/>
                <w:sz w:val="20"/>
                <w:szCs w:val="20"/>
                <w:lang w:val="en-US"/>
              </w:rPr>
              <w:t>12 (33.3%)</w:t>
            </w:r>
          </w:p>
        </w:tc>
      </w:tr>
      <w:tr w:rsidR="00857388" w:rsidRPr="00E51A80" w:rsidTr="00CC032C">
        <w:trPr>
          <w:trHeight w:val="396"/>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sz w:val="20"/>
                <w:szCs w:val="20"/>
                <w:lang w:val="en-US"/>
              </w:rPr>
            </w:pPr>
            <w:r w:rsidRPr="00E51A80">
              <w:rPr>
                <w:rFonts w:ascii="Book Antiqua" w:hAnsi="Book Antiqua" w:cs="Calibri"/>
                <w:sz w:val="20"/>
                <w:szCs w:val="20"/>
                <w:lang w:val="en-US"/>
              </w:rPr>
              <w:t>Gastrointestinal and carcinoid symptoms</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bCs/>
                <w:sz w:val="20"/>
                <w:szCs w:val="20"/>
                <w:lang w:val="en-US"/>
              </w:rPr>
            </w:pPr>
            <w:r w:rsidRPr="00E51A80">
              <w:rPr>
                <w:rFonts w:ascii="Book Antiqua" w:hAnsi="Book Antiqua" w:cs="Calibri"/>
                <w:bCs/>
                <w:sz w:val="20"/>
                <w:szCs w:val="20"/>
                <w:lang w:val="en-US"/>
              </w:rPr>
              <w:t>6 (16.7%)</w:t>
            </w:r>
          </w:p>
        </w:tc>
      </w:tr>
      <w:tr w:rsidR="00857388" w:rsidRPr="00E51A80" w:rsidTr="00CC032C">
        <w:trPr>
          <w:trHeight w:val="432"/>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sz w:val="20"/>
                <w:szCs w:val="20"/>
                <w:lang w:val="en-US"/>
              </w:rPr>
            </w:pPr>
            <w:r w:rsidRPr="00E51A80">
              <w:rPr>
                <w:rFonts w:ascii="Book Antiqua" w:hAnsi="Book Antiqua" w:cs="Calibri"/>
                <w:sz w:val="20"/>
                <w:szCs w:val="20"/>
                <w:lang w:val="en-US"/>
              </w:rPr>
              <w:t>Weight loss</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bCs/>
                <w:sz w:val="20"/>
                <w:szCs w:val="20"/>
                <w:lang w:val="en-US"/>
              </w:rPr>
            </w:pPr>
            <w:r w:rsidRPr="00E51A80">
              <w:rPr>
                <w:rFonts w:ascii="Book Antiqua" w:hAnsi="Book Antiqua" w:cs="Calibri"/>
                <w:bCs/>
                <w:sz w:val="20"/>
                <w:szCs w:val="20"/>
                <w:lang w:val="en-US"/>
              </w:rPr>
              <w:t>5 (12.5%)</w:t>
            </w:r>
          </w:p>
        </w:tc>
      </w:tr>
      <w:tr w:rsidR="00857388" w:rsidRPr="00E51A80" w:rsidTr="00CC032C">
        <w:trPr>
          <w:trHeight w:val="576"/>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sz w:val="20"/>
                <w:szCs w:val="20"/>
                <w:lang w:val="en-US"/>
              </w:rPr>
            </w:pPr>
            <w:r w:rsidRPr="00E51A80">
              <w:rPr>
                <w:rFonts w:ascii="Book Antiqua" w:hAnsi="Book Antiqua" w:cs="Calibri"/>
                <w:sz w:val="20"/>
                <w:szCs w:val="20"/>
                <w:lang w:val="en-US"/>
              </w:rPr>
              <w:t>Asymptomatic</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bCs/>
                <w:sz w:val="20"/>
                <w:szCs w:val="20"/>
                <w:lang w:val="en-US"/>
              </w:rPr>
            </w:pPr>
            <w:r w:rsidRPr="00E51A80">
              <w:rPr>
                <w:rFonts w:ascii="Book Antiqua" w:hAnsi="Book Antiqua" w:cs="Calibri"/>
                <w:bCs/>
                <w:sz w:val="20"/>
                <w:szCs w:val="20"/>
                <w:lang w:val="en-US"/>
              </w:rPr>
              <w:t>4 (11.1%)</w:t>
            </w:r>
          </w:p>
        </w:tc>
      </w:tr>
      <w:tr w:rsidR="00857388" w:rsidRPr="00E51A80" w:rsidTr="00CC032C">
        <w:trPr>
          <w:trHeight w:val="416"/>
        </w:trPr>
        <w:tc>
          <w:tcPr>
            <w:tcW w:w="4649" w:type="dxa"/>
            <w:shd w:val="clear" w:color="auto" w:fill="auto"/>
          </w:tcPr>
          <w:p w:rsidR="00857388" w:rsidRPr="00E51A80" w:rsidRDefault="00857388" w:rsidP="00CC032C">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bCs/>
                <w:sz w:val="20"/>
                <w:szCs w:val="20"/>
                <w:lang w:val="en-US"/>
              </w:rPr>
              <w:t>Primary tumor site</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sz w:val="20"/>
                <w:szCs w:val="20"/>
                <w:lang w:val="en-US"/>
              </w:rPr>
            </w:pPr>
          </w:p>
        </w:tc>
      </w:tr>
      <w:tr w:rsidR="00857388" w:rsidRPr="00E51A80" w:rsidTr="00CC032C">
        <w:trPr>
          <w:trHeight w:val="432"/>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bCs/>
                <w:sz w:val="20"/>
                <w:szCs w:val="20"/>
                <w:lang w:val="en-US"/>
              </w:rPr>
            </w:pPr>
            <w:r w:rsidRPr="00E51A80">
              <w:rPr>
                <w:rFonts w:ascii="Book Antiqua" w:hAnsi="Book Antiqua" w:cs="Calibri"/>
                <w:sz w:val="20"/>
                <w:szCs w:val="20"/>
                <w:lang w:val="en-US"/>
              </w:rPr>
              <w:t>Gastrointestinal tract</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bCs/>
                <w:sz w:val="20"/>
                <w:szCs w:val="20"/>
                <w:lang w:val="en-US"/>
              </w:rPr>
              <w:t>19 (52.8%)</w:t>
            </w:r>
          </w:p>
        </w:tc>
      </w:tr>
      <w:tr w:rsidR="00857388" w:rsidRPr="00E51A80" w:rsidTr="00CC032C">
        <w:trPr>
          <w:trHeight w:val="408"/>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sz w:val="20"/>
                <w:szCs w:val="20"/>
                <w:lang w:val="en-US"/>
              </w:rPr>
            </w:pPr>
            <w:r w:rsidRPr="00E51A80">
              <w:rPr>
                <w:rFonts w:ascii="Book Antiqua" w:hAnsi="Book Antiqua" w:cs="Calibri"/>
                <w:sz w:val="20"/>
                <w:szCs w:val="20"/>
                <w:lang w:val="en-US"/>
              </w:rPr>
              <w:t>Pancreas</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bCs/>
                <w:sz w:val="20"/>
                <w:szCs w:val="20"/>
                <w:lang w:val="en-US"/>
              </w:rPr>
            </w:pPr>
            <w:r w:rsidRPr="00E51A80">
              <w:rPr>
                <w:rFonts w:ascii="Book Antiqua" w:hAnsi="Book Antiqua" w:cs="Calibri"/>
                <w:bCs/>
                <w:sz w:val="20"/>
                <w:szCs w:val="20"/>
                <w:lang w:val="en-US"/>
              </w:rPr>
              <w:t>10 (27.8%)</w:t>
            </w:r>
          </w:p>
        </w:tc>
      </w:tr>
      <w:tr w:rsidR="00857388" w:rsidRPr="00E51A80" w:rsidTr="00CC032C">
        <w:trPr>
          <w:trHeight w:val="384"/>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sz w:val="20"/>
                <w:szCs w:val="20"/>
                <w:lang w:val="en-US"/>
              </w:rPr>
            </w:pPr>
            <w:proofErr w:type="spellStart"/>
            <w:r w:rsidRPr="00E51A80">
              <w:rPr>
                <w:rFonts w:ascii="Book Antiqua" w:hAnsi="Book Antiqua" w:cs="Calibri"/>
                <w:sz w:val="20"/>
                <w:szCs w:val="20"/>
                <w:lang w:val="en-US"/>
              </w:rPr>
              <w:t>Nongastropancreatic</w:t>
            </w:r>
            <w:proofErr w:type="spellEnd"/>
            <w:r w:rsidRPr="00E51A80">
              <w:rPr>
                <w:rFonts w:ascii="Book Antiqua" w:hAnsi="Book Antiqua" w:cs="Calibri"/>
                <w:sz w:val="20"/>
                <w:szCs w:val="20"/>
                <w:lang w:val="en-US"/>
              </w:rPr>
              <w:t xml:space="preserve"> NET</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bCs/>
                <w:sz w:val="20"/>
                <w:szCs w:val="20"/>
                <w:lang w:val="en-US"/>
              </w:rPr>
            </w:pPr>
            <w:r w:rsidRPr="00E51A80">
              <w:rPr>
                <w:rFonts w:ascii="Book Antiqua" w:hAnsi="Book Antiqua" w:cs="Calibri"/>
                <w:bCs/>
                <w:sz w:val="20"/>
                <w:szCs w:val="20"/>
                <w:lang w:val="en-US"/>
              </w:rPr>
              <w:t>4 (11.1%)</w:t>
            </w:r>
          </w:p>
        </w:tc>
      </w:tr>
      <w:tr w:rsidR="00857388" w:rsidRPr="00E51A80" w:rsidTr="00CC032C">
        <w:trPr>
          <w:trHeight w:val="420"/>
        </w:trPr>
        <w:tc>
          <w:tcPr>
            <w:tcW w:w="4649" w:type="dxa"/>
            <w:shd w:val="clear" w:color="auto" w:fill="auto"/>
          </w:tcPr>
          <w:p w:rsidR="00857388" w:rsidRPr="00E51A80" w:rsidRDefault="00857388" w:rsidP="00FE7289">
            <w:pPr>
              <w:pStyle w:val="Prrafodelista1"/>
              <w:adjustRightInd w:val="0"/>
              <w:snapToGrid w:val="0"/>
              <w:spacing w:after="0" w:line="360" w:lineRule="auto"/>
              <w:ind w:left="288"/>
              <w:contextualSpacing w:val="0"/>
              <w:jc w:val="both"/>
              <w:rPr>
                <w:rFonts w:ascii="Book Antiqua" w:hAnsi="Book Antiqua" w:cs="Calibri"/>
                <w:sz w:val="20"/>
                <w:szCs w:val="20"/>
                <w:lang w:val="en-US"/>
              </w:rPr>
            </w:pPr>
            <w:proofErr w:type="spellStart"/>
            <w:r w:rsidRPr="00E51A80">
              <w:rPr>
                <w:rFonts w:ascii="Book Antiqua" w:hAnsi="Book Antiqua" w:cs="Calibri"/>
                <w:sz w:val="20"/>
                <w:szCs w:val="20"/>
                <w:lang w:val="en-US"/>
              </w:rPr>
              <w:t>Endobronchial</w:t>
            </w:r>
            <w:proofErr w:type="spellEnd"/>
            <w:r w:rsidRPr="00E51A80">
              <w:rPr>
                <w:rFonts w:ascii="Book Antiqua" w:hAnsi="Book Antiqua" w:cs="Calibri"/>
                <w:sz w:val="20"/>
                <w:szCs w:val="20"/>
                <w:lang w:val="en-US"/>
              </w:rPr>
              <w:t xml:space="preserve"> NETs</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bCs/>
                <w:sz w:val="20"/>
                <w:szCs w:val="20"/>
                <w:lang w:val="en-US"/>
              </w:rPr>
            </w:pPr>
            <w:r w:rsidRPr="00E51A80">
              <w:rPr>
                <w:rFonts w:ascii="Book Antiqua" w:hAnsi="Book Antiqua" w:cs="Calibri"/>
                <w:bCs/>
                <w:sz w:val="20"/>
                <w:szCs w:val="20"/>
                <w:lang w:val="en-US"/>
              </w:rPr>
              <w:t>2</w:t>
            </w:r>
          </w:p>
        </w:tc>
      </w:tr>
      <w:tr w:rsidR="00857388" w:rsidRPr="00E51A80" w:rsidTr="00CC032C">
        <w:trPr>
          <w:trHeight w:val="401"/>
        </w:trPr>
        <w:tc>
          <w:tcPr>
            <w:tcW w:w="4649" w:type="dxa"/>
            <w:shd w:val="clear" w:color="auto" w:fill="auto"/>
          </w:tcPr>
          <w:p w:rsidR="00857388" w:rsidRPr="00E51A80" w:rsidRDefault="00857388" w:rsidP="00FE7289">
            <w:pPr>
              <w:pStyle w:val="Prrafodelista1"/>
              <w:adjustRightInd w:val="0"/>
              <w:snapToGrid w:val="0"/>
              <w:spacing w:after="0" w:line="360" w:lineRule="auto"/>
              <w:ind w:left="288"/>
              <w:contextualSpacing w:val="0"/>
              <w:jc w:val="both"/>
              <w:rPr>
                <w:rFonts w:ascii="Book Antiqua" w:hAnsi="Book Antiqua" w:cs="Calibri"/>
                <w:sz w:val="20"/>
                <w:szCs w:val="20"/>
                <w:lang w:val="en-US"/>
              </w:rPr>
            </w:pPr>
            <w:proofErr w:type="spellStart"/>
            <w:r w:rsidRPr="00E51A80">
              <w:rPr>
                <w:rFonts w:ascii="Book Antiqua" w:hAnsi="Book Antiqua" w:cs="Calibri"/>
                <w:sz w:val="20"/>
                <w:szCs w:val="20"/>
                <w:lang w:val="en-US"/>
              </w:rPr>
              <w:t>Thymic</w:t>
            </w:r>
            <w:proofErr w:type="spellEnd"/>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bCs/>
                <w:sz w:val="20"/>
                <w:szCs w:val="20"/>
                <w:lang w:val="en-US"/>
              </w:rPr>
            </w:pPr>
            <w:r w:rsidRPr="00E51A80">
              <w:rPr>
                <w:rFonts w:ascii="Book Antiqua" w:hAnsi="Book Antiqua" w:cs="Calibri"/>
                <w:bCs/>
                <w:sz w:val="20"/>
                <w:szCs w:val="20"/>
                <w:lang w:val="en-US"/>
              </w:rPr>
              <w:t>1</w:t>
            </w:r>
          </w:p>
        </w:tc>
      </w:tr>
      <w:tr w:rsidR="00857388" w:rsidRPr="00E51A80" w:rsidTr="00CC032C">
        <w:trPr>
          <w:trHeight w:val="409"/>
        </w:trPr>
        <w:tc>
          <w:tcPr>
            <w:tcW w:w="4649" w:type="dxa"/>
            <w:shd w:val="clear" w:color="auto" w:fill="auto"/>
          </w:tcPr>
          <w:p w:rsidR="00857388" w:rsidRPr="00E51A80" w:rsidRDefault="00857388" w:rsidP="00CC032C">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bCs/>
                <w:sz w:val="20"/>
                <w:szCs w:val="20"/>
                <w:lang w:val="en-US"/>
              </w:rPr>
              <w:t xml:space="preserve">Histologic grade </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sz w:val="20"/>
                <w:szCs w:val="20"/>
                <w:lang w:val="en-US"/>
              </w:rPr>
            </w:pPr>
          </w:p>
        </w:tc>
      </w:tr>
      <w:tr w:rsidR="00857388" w:rsidRPr="00E51A80" w:rsidTr="00CC032C">
        <w:trPr>
          <w:trHeight w:val="396"/>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bCs/>
                <w:sz w:val="20"/>
                <w:szCs w:val="20"/>
                <w:lang w:val="en-US"/>
              </w:rPr>
            </w:pPr>
            <w:r w:rsidRPr="00E51A80">
              <w:rPr>
                <w:rFonts w:ascii="Book Antiqua" w:hAnsi="Book Antiqua" w:cs="Calibri"/>
                <w:sz w:val="20"/>
                <w:szCs w:val="20"/>
                <w:lang w:val="en-US"/>
              </w:rPr>
              <w:t>Grade 1</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sz w:val="20"/>
                <w:szCs w:val="20"/>
                <w:lang w:val="en-US"/>
              </w:rPr>
              <w:t>15 (41.7%)</w:t>
            </w:r>
          </w:p>
        </w:tc>
      </w:tr>
      <w:tr w:rsidR="00857388" w:rsidRPr="00E51A80" w:rsidTr="00CC032C">
        <w:trPr>
          <w:trHeight w:val="420"/>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sz w:val="20"/>
                <w:szCs w:val="20"/>
                <w:lang w:val="en-US"/>
              </w:rPr>
            </w:pPr>
            <w:r w:rsidRPr="00E51A80">
              <w:rPr>
                <w:rFonts w:ascii="Book Antiqua" w:hAnsi="Book Antiqua" w:cs="Calibri"/>
                <w:sz w:val="20"/>
                <w:szCs w:val="20"/>
                <w:lang w:val="en-US"/>
              </w:rPr>
              <w:t>Grade 2</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sz w:val="20"/>
                <w:szCs w:val="20"/>
                <w:lang w:val="en-US"/>
              </w:rPr>
              <w:t>18 (50.0%)</w:t>
            </w:r>
          </w:p>
        </w:tc>
      </w:tr>
      <w:tr w:rsidR="00857388" w:rsidRPr="00E51A80" w:rsidTr="00CC032C">
        <w:trPr>
          <w:trHeight w:val="427"/>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sz w:val="20"/>
                <w:szCs w:val="20"/>
                <w:lang w:val="en-US"/>
              </w:rPr>
            </w:pPr>
            <w:r w:rsidRPr="00E51A80">
              <w:rPr>
                <w:rFonts w:ascii="Book Antiqua" w:hAnsi="Book Antiqua" w:cs="Calibri"/>
                <w:sz w:val="20"/>
                <w:szCs w:val="20"/>
                <w:lang w:val="en-US"/>
              </w:rPr>
              <w:t>Grade 3 (2 NEC + 1 TNE)</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sz w:val="20"/>
                <w:szCs w:val="20"/>
                <w:lang w:val="en-US"/>
              </w:rPr>
              <w:t>3 (8.3%)</w:t>
            </w:r>
          </w:p>
        </w:tc>
      </w:tr>
      <w:tr w:rsidR="00857388" w:rsidRPr="00E51A80" w:rsidTr="00CC032C">
        <w:trPr>
          <w:trHeight w:val="360"/>
        </w:trPr>
        <w:tc>
          <w:tcPr>
            <w:tcW w:w="4649" w:type="dxa"/>
            <w:shd w:val="clear" w:color="auto" w:fill="auto"/>
          </w:tcPr>
          <w:p w:rsidR="00857388" w:rsidRPr="00E51A80" w:rsidRDefault="00857388" w:rsidP="00CC032C">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bCs/>
                <w:sz w:val="20"/>
                <w:szCs w:val="20"/>
                <w:lang w:val="en-US"/>
              </w:rPr>
              <w:t>Site of metastasis</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sz w:val="20"/>
                <w:szCs w:val="20"/>
                <w:lang w:val="en-US"/>
              </w:rPr>
            </w:pPr>
          </w:p>
        </w:tc>
      </w:tr>
      <w:tr w:rsidR="00857388" w:rsidRPr="00E51A80" w:rsidTr="00CC032C">
        <w:trPr>
          <w:trHeight w:val="432"/>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sz w:val="20"/>
                <w:szCs w:val="20"/>
                <w:lang w:val="en-US"/>
              </w:rPr>
            </w:pPr>
            <w:r w:rsidRPr="00E51A80">
              <w:rPr>
                <w:rFonts w:ascii="Book Antiqua" w:hAnsi="Book Antiqua" w:cs="Calibri"/>
                <w:sz w:val="20"/>
                <w:szCs w:val="20"/>
                <w:lang w:val="en-US"/>
              </w:rPr>
              <w:t>Liver</w:t>
            </w:r>
          </w:p>
          <w:p w:rsidR="00857388" w:rsidRPr="00E51A80" w:rsidRDefault="00857388" w:rsidP="00FE7289">
            <w:pPr>
              <w:adjustRightInd w:val="0"/>
              <w:snapToGrid w:val="0"/>
              <w:spacing w:after="0" w:line="360" w:lineRule="auto"/>
              <w:ind w:left="288"/>
              <w:jc w:val="both"/>
              <w:rPr>
                <w:rFonts w:ascii="Book Antiqua" w:hAnsi="Book Antiqua" w:cs="Calibri"/>
                <w:bCs/>
                <w:sz w:val="20"/>
                <w:szCs w:val="20"/>
                <w:lang w:val="en-US"/>
              </w:rPr>
            </w:pPr>
            <w:r w:rsidRPr="00E51A80">
              <w:rPr>
                <w:rFonts w:ascii="Book Antiqua" w:hAnsi="Book Antiqua" w:cs="Calibri"/>
                <w:sz w:val="20"/>
                <w:szCs w:val="20"/>
                <w:lang w:val="en-US"/>
              </w:rPr>
              <w:t>Lymph nodes</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sz w:val="20"/>
                <w:szCs w:val="20"/>
                <w:lang w:val="en-US"/>
              </w:rPr>
              <w:t>33 (91.7%)</w:t>
            </w:r>
          </w:p>
          <w:p w:rsidR="00857388" w:rsidRPr="00E51A80" w:rsidRDefault="00857388" w:rsidP="00CC032C">
            <w:pPr>
              <w:adjustRightInd w:val="0"/>
              <w:snapToGrid w:val="0"/>
              <w:spacing w:after="0" w:line="360" w:lineRule="auto"/>
              <w:jc w:val="both"/>
              <w:rPr>
                <w:rFonts w:ascii="Book Antiqua" w:hAnsi="Book Antiqua" w:cs="Calibri"/>
                <w:bCs/>
                <w:sz w:val="20"/>
                <w:szCs w:val="20"/>
                <w:lang w:val="en-US"/>
              </w:rPr>
            </w:pPr>
            <w:r w:rsidRPr="00E51A80">
              <w:rPr>
                <w:rFonts w:ascii="Book Antiqua" w:hAnsi="Book Antiqua" w:cs="Calibri"/>
                <w:sz w:val="20"/>
                <w:szCs w:val="20"/>
                <w:lang w:val="en-US"/>
              </w:rPr>
              <w:t>18 (50.0%)</w:t>
            </w:r>
          </w:p>
        </w:tc>
      </w:tr>
      <w:tr w:rsidR="00857388" w:rsidRPr="00E51A80" w:rsidTr="00CC032C">
        <w:trPr>
          <w:trHeight w:val="372"/>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sz w:val="20"/>
                <w:szCs w:val="20"/>
                <w:lang w:val="en-US"/>
              </w:rPr>
            </w:pPr>
            <w:r w:rsidRPr="00E51A80">
              <w:rPr>
                <w:rFonts w:ascii="Book Antiqua" w:hAnsi="Book Antiqua" w:cs="Calibri"/>
                <w:sz w:val="20"/>
                <w:szCs w:val="20"/>
                <w:lang w:val="en-US"/>
              </w:rPr>
              <w:t>Bone</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sz w:val="20"/>
                <w:szCs w:val="20"/>
                <w:lang w:val="en-US"/>
              </w:rPr>
              <w:t>10 (27.8%)</w:t>
            </w:r>
          </w:p>
        </w:tc>
      </w:tr>
      <w:tr w:rsidR="00857388" w:rsidRPr="00E51A80" w:rsidTr="00CC032C">
        <w:trPr>
          <w:trHeight w:val="396"/>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sz w:val="20"/>
                <w:szCs w:val="20"/>
                <w:lang w:val="en-US"/>
              </w:rPr>
            </w:pPr>
            <w:r w:rsidRPr="00E51A80">
              <w:rPr>
                <w:rFonts w:ascii="Book Antiqua" w:hAnsi="Book Antiqua" w:cs="Calibri"/>
                <w:sz w:val="20"/>
                <w:szCs w:val="20"/>
                <w:lang w:val="en-US"/>
              </w:rPr>
              <w:t>Peritoneum</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sz w:val="20"/>
                <w:szCs w:val="20"/>
                <w:lang w:val="en-US"/>
              </w:rPr>
              <w:t>9 (25.0%)</w:t>
            </w:r>
          </w:p>
        </w:tc>
      </w:tr>
      <w:tr w:rsidR="00857388" w:rsidRPr="00E51A80" w:rsidTr="00CC032C">
        <w:trPr>
          <w:trHeight w:val="472"/>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sz w:val="20"/>
                <w:szCs w:val="20"/>
                <w:lang w:val="en-US"/>
              </w:rPr>
            </w:pPr>
            <w:r w:rsidRPr="00E51A80">
              <w:rPr>
                <w:rFonts w:ascii="Book Antiqua" w:hAnsi="Book Antiqua" w:cs="Calibri"/>
                <w:sz w:val="20"/>
                <w:szCs w:val="20"/>
                <w:lang w:val="en-US"/>
              </w:rPr>
              <w:t>Lungs</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sz w:val="20"/>
                <w:szCs w:val="20"/>
                <w:lang w:val="en-US"/>
              </w:rPr>
              <w:t>4 (11.1%)</w:t>
            </w:r>
          </w:p>
        </w:tc>
      </w:tr>
      <w:tr w:rsidR="00857388" w:rsidRPr="00E51A80" w:rsidTr="00CC032C">
        <w:trPr>
          <w:trHeight w:val="384"/>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sz w:val="20"/>
                <w:szCs w:val="20"/>
                <w:lang w:val="en-US"/>
              </w:rPr>
            </w:pPr>
            <w:r w:rsidRPr="00E51A80">
              <w:rPr>
                <w:rFonts w:ascii="Book Antiqua" w:hAnsi="Book Antiqua" w:cs="Calibri"/>
                <w:bCs/>
                <w:sz w:val="20"/>
                <w:szCs w:val="20"/>
                <w:lang w:val="en-US"/>
              </w:rPr>
              <w:t>Primary tumor resection</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sz w:val="20"/>
                <w:szCs w:val="20"/>
                <w:lang w:val="en-US"/>
              </w:rPr>
              <w:t>20 (55.6%)</w:t>
            </w:r>
          </w:p>
        </w:tc>
      </w:tr>
      <w:tr w:rsidR="00857388" w:rsidRPr="00E51A80" w:rsidTr="00CC032C">
        <w:trPr>
          <w:trHeight w:val="504"/>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bCs/>
                <w:sz w:val="20"/>
                <w:szCs w:val="20"/>
                <w:lang w:val="en-US"/>
              </w:rPr>
            </w:pPr>
            <w:r w:rsidRPr="00E51A80">
              <w:rPr>
                <w:rFonts w:ascii="Book Antiqua" w:hAnsi="Book Antiqua" w:cs="Calibri"/>
                <w:bCs/>
                <w:sz w:val="20"/>
                <w:szCs w:val="20"/>
                <w:lang w:val="en-US"/>
              </w:rPr>
              <w:lastRenderedPageBreak/>
              <w:t>Metastasis resection</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sz w:val="20"/>
                <w:szCs w:val="20"/>
                <w:lang w:val="en-US"/>
              </w:rPr>
              <w:t>7 (19.4%)</w:t>
            </w:r>
          </w:p>
        </w:tc>
      </w:tr>
      <w:tr w:rsidR="00857388" w:rsidRPr="00E51A80" w:rsidTr="00CC032C">
        <w:trPr>
          <w:trHeight w:val="402"/>
        </w:trPr>
        <w:tc>
          <w:tcPr>
            <w:tcW w:w="4649" w:type="dxa"/>
            <w:shd w:val="clear" w:color="auto" w:fill="auto"/>
          </w:tcPr>
          <w:p w:rsidR="00857388" w:rsidRPr="00E51A80" w:rsidRDefault="00857388" w:rsidP="00CC032C">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bCs/>
                <w:sz w:val="20"/>
                <w:szCs w:val="20"/>
                <w:lang w:val="en-US"/>
              </w:rPr>
              <w:t>Primary treatment before PRRT</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sz w:val="20"/>
                <w:szCs w:val="20"/>
                <w:lang w:val="en-US"/>
              </w:rPr>
            </w:pPr>
          </w:p>
        </w:tc>
      </w:tr>
      <w:tr w:rsidR="00857388" w:rsidRPr="00E51A80" w:rsidTr="00CC032C">
        <w:trPr>
          <w:trHeight w:val="396"/>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bCs/>
                <w:sz w:val="20"/>
                <w:szCs w:val="20"/>
                <w:lang w:val="en-US"/>
              </w:rPr>
            </w:pPr>
            <w:r w:rsidRPr="00E51A80">
              <w:rPr>
                <w:rFonts w:ascii="Book Antiqua" w:hAnsi="Book Antiqua" w:cs="Calibri"/>
                <w:sz w:val="20"/>
                <w:szCs w:val="20"/>
                <w:lang w:val="en-US"/>
              </w:rPr>
              <w:t>SSA</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sz w:val="20"/>
                <w:szCs w:val="20"/>
                <w:lang w:val="en-US"/>
              </w:rPr>
              <w:t>36 (100%)</w:t>
            </w:r>
          </w:p>
        </w:tc>
      </w:tr>
      <w:tr w:rsidR="00857388" w:rsidRPr="00E51A80" w:rsidTr="00CC032C">
        <w:trPr>
          <w:trHeight w:val="432"/>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sz w:val="20"/>
                <w:szCs w:val="20"/>
                <w:lang w:val="en-US"/>
              </w:rPr>
            </w:pPr>
            <w:proofErr w:type="spellStart"/>
            <w:r w:rsidRPr="00E51A80">
              <w:rPr>
                <w:rFonts w:ascii="Book Antiqua" w:hAnsi="Book Antiqua" w:cs="Calibri"/>
                <w:sz w:val="20"/>
                <w:szCs w:val="20"/>
                <w:lang w:val="en-US"/>
              </w:rPr>
              <w:t>Everolimus</w:t>
            </w:r>
            <w:proofErr w:type="spellEnd"/>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sz w:val="20"/>
                <w:szCs w:val="20"/>
                <w:lang w:val="en-US"/>
              </w:rPr>
              <w:t>24 (66.7%)</w:t>
            </w:r>
          </w:p>
        </w:tc>
      </w:tr>
      <w:tr w:rsidR="00857388" w:rsidRPr="00E51A80" w:rsidTr="00CC032C">
        <w:trPr>
          <w:trHeight w:val="432"/>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sz w:val="20"/>
                <w:szCs w:val="20"/>
                <w:lang w:val="en-US"/>
              </w:rPr>
            </w:pPr>
            <w:proofErr w:type="spellStart"/>
            <w:r w:rsidRPr="00E51A80">
              <w:rPr>
                <w:rFonts w:ascii="Book Antiqua" w:hAnsi="Book Antiqua" w:cs="Calibri"/>
                <w:sz w:val="20"/>
                <w:szCs w:val="20"/>
                <w:lang w:val="en-US"/>
              </w:rPr>
              <w:t>Sunitinib</w:t>
            </w:r>
            <w:proofErr w:type="spellEnd"/>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sz w:val="20"/>
                <w:szCs w:val="20"/>
                <w:lang w:val="en-US"/>
              </w:rPr>
              <w:t>10 (27.8%)</w:t>
            </w:r>
          </w:p>
        </w:tc>
      </w:tr>
      <w:tr w:rsidR="00857388" w:rsidRPr="00E51A80" w:rsidTr="00CC032C">
        <w:trPr>
          <w:trHeight w:val="396"/>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sz w:val="20"/>
                <w:szCs w:val="20"/>
                <w:lang w:val="en-US"/>
              </w:rPr>
            </w:pPr>
            <w:r w:rsidRPr="00E51A80">
              <w:rPr>
                <w:rFonts w:ascii="Book Antiqua" w:hAnsi="Book Antiqua" w:cs="Calibri"/>
                <w:sz w:val="20"/>
                <w:szCs w:val="20"/>
                <w:lang w:val="en-US"/>
              </w:rPr>
              <w:t>Interferon</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sz w:val="20"/>
                <w:szCs w:val="20"/>
                <w:lang w:val="en-US"/>
              </w:rPr>
              <w:t>10 (27.8%)</w:t>
            </w:r>
          </w:p>
        </w:tc>
      </w:tr>
      <w:tr w:rsidR="00857388" w:rsidRPr="00E51A80" w:rsidTr="00CC032C">
        <w:trPr>
          <w:trHeight w:val="408"/>
        </w:trPr>
        <w:tc>
          <w:tcPr>
            <w:tcW w:w="4649" w:type="dxa"/>
            <w:shd w:val="clear" w:color="auto" w:fill="auto"/>
          </w:tcPr>
          <w:p w:rsidR="00857388" w:rsidRPr="00E51A80" w:rsidRDefault="00857388" w:rsidP="00FE7289">
            <w:pPr>
              <w:adjustRightInd w:val="0"/>
              <w:snapToGrid w:val="0"/>
              <w:spacing w:after="0" w:line="360" w:lineRule="auto"/>
              <w:ind w:left="288"/>
              <w:jc w:val="both"/>
              <w:rPr>
                <w:rFonts w:ascii="Book Antiqua" w:hAnsi="Book Antiqua" w:cs="Calibri"/>
                <w:sz w:val="20"/>
                <w:szCs w:val="20"/>
                <w:lang w:val="en-US"/>
              </w:rPr>
            </w:pPr>
            <w:r w:rsidRPr="00E51A80">
              <w:rPr>
                <w:rFonts w:ascii="Book Antiqua" w:hAnsi="Book Antiqua" w:cs="Calibri"/>
                <w:sz w:val="20"/>
                <w:szCs w:val="20"/>
                <w:lang w:val="en-US"/>
              </w:rPr>
              <w:t>Chemotherapy</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sz w:val="20"/>
                <w:szCs w:val="20"/>
                <w:lang w:val="en-US"/>
              </w:rPr>
              <w:t>6 (16.7%)</w:t>
            </w:r>
          </w:p>
        </w:tc>
      </w:tr>
      <w:tr w:rsidR="00857388" w:rsidRPr="00E51A80" w:rsidTr="00CC032C">
        <w:trPr>
          <w:trHeight w:val="408"/>
        </w:trPr>
        <w:tc>
          <w:tcPr>
            <w:tcW w:w="4649"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sz w:val="20"/>
                <w:szCs w:val="20"/>
                <w:lang w:val="en-US"/>
              </w:rPr>
              <w:t>Liver directed therapy</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p>
        </w:tc>
      </w:tr>
      <w:tr w:rsidR="00857388" w:rsidRPr="00E51A80" w:rsidTr="00CC032C">
        <w:trPr>
          <w:trHeight w:val="396"/>
        </w:trPr>
        <w:tc>
          <w:tcPr>
            <w:tcW w:w="4649" w:type="dxa"/>
            <w:shd w:val="clear" w:color="auto" w:fill="auto"/>
          </w:tcPr>
          <w:p w:rsidR="00857388" w:rsidRPr="00E51A80" w:rsidRDefault="00857388" w:rsidP="00FE7289">
            <w:pPr>
              <w:pStyle w:val="Prrafodelista1"/>
              <w:adjustRightInd w:val="0"/>
              <w:snapToGrid w:val="0"/>
              <w:spacing w:after="0" w:line="360" w:lineRule="auto"/>
              <w:ind w:left="288"/>
              <w:contextualSpacing w:val="0"/>
              <w:jc w:val="both"/>
              <w:rPr>
                <w:rFonts w:ascii="Book Antiqua" w:hAnsi="Book Antiqua" w:cs="Calibri"/>
                <w:sz w:val="20"/>
                <w:szCs w:val="20"/>
                <w:lang w:val="en-US"/>
              </w:rPr>
            </w:pPr>
            <w:r w:rsidRPr="00E51A80">
              <w:rPr>
                <w:rFonts w:ascii="Book Antiqua" w:hAnsi="Book Antiqua" w:cs="Calibri"/>
                <w:sz w:val="20"/>
                <w:szCs w:val="20"/>
                <w:lang w:val="en-US"/>
              </w:rPr>
              <w:t>Chemoembolization</w:t>
            </w:r>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sz w:val="20"/>
                <w:szCs w:val="20"/>
                <w:lang w:val="en-US"/>
              </w:rPr>
              <w:t>3</w:t>
            </w:r>
          </w:p>
        </w:tc>
      </w:tr>
      <w:tr w:rsidR="00857388" w:rsidRPr="00E51A80" w:rsidTr="00CC032C">
        <w:trPr>
          <w:trHeight w:val="459"/>
        </w:trPr>
        <w:tc>
          <w:tcPr>
            <w:tcW w:w="4649" w:type="dxa"/>
            <w:shd w:val="clear" w:color="auto" w:fill="auto"/>
          </w:tcPr>
          <w:p w:rsidR="00857388" w:rsidRPr="00E51A80" w:rsidRDefault="00857388" w:rsidP="00FE7289">
            <w:pPr>
              <w:pStyle w:val="Prrafodelista1"/>
              <w:adjustRightInd w:val="0"/>
              <w:snapToGrid w:val="0"/>
              <w:spacing w:after="0" w:line="360" w:lineRule="auto"/>
              <w:ind w:left="288"/>
              <w:contextualSpacing w:val="0"/>
              <w:jc w:val="both"/>
              <w:rPr>
                <w:rFonts w:ascii="Book Antiqua" w:hAnsi="Book Antiqua" w:cs="Calibri"/>
                <w:sz w:val="20"/>
                <w:szCs w:val="20"/>
                <w:lang w:val="en-US"/>
              </w:rPr>
            </w:pPr>
            <w:proofErr w:type="spellStart"/>
            <w:r w:rsidRPr="00E51A80">
              <w:rPr>
                <w:rFonts w:ascii="Book Antiqua" w:hAnsi="Book Antiqua" w:cs="Calibri"/>
                <w:sz w:val="20"/>
                <w:szCs w:val="20"/>
                <w:lang w:val="en-US"/>
              </w:rPr>
              <w:t>Radioembolization</w:t>
            </w:r>
            <w:proofErr w:type="spellEnd"/>
          </w:p>
        </w:tc>
        <w:tc>
          <w:tcPr>
            <w:tcW w:w="3402" w:type="dxa"/>
            <w:shd w:val="clear" w:color="auto" w:fill="auto"/>
          </w:tcPr>
          <w:p w:rsidR="00857388" w:rsidRPr="00E51A80" w:rsidRDefault="00857388" w:rsidP="00CC032C">
            <w:pPr>
              <w:adjustRightInd w:val="0"/>
              <w:snapToGrid w:val="0"/>
              <w:spacing w:after="0" w:line="360" w:lineRule="auto"/>
              <w:jc w:val="both"/>
              <w:rPr>
                <w:rFonts w:ascii="Book Antiqua" w:hAnsi="Book Antiqua" w:cs="Calibri"/>
                <w:sz w:val="20"/>
                <w:szCs w:val="20"/>
                <w:lang w:val="en-US"/>
              </w:rPr>
            </w:pPr>
            <w:r w:rsidRPr="00E51A80">
              <w:rPr>
                <w:rFonts w:ascii="Book Antiqua" w:hAnsi="Book Antiqua" w:cs="Calibri"/>
                <w:sz w:val="20"/>
                <w:szCs w:val="20"/>
                <w:lang w:val="en-US"/>
              </w:rPr>
              <w:t>1</w:t>
            </w:r>
          </w:p>
        </w:tc>
      </w:tr>
    </w:tbl>
    <w:p w:rsidR="00857388" w:rsidRPr="007E3E0D" w:rsidRDefault="00857388" w:rsidP="00857388">
      <w:pPr>
        <w:adjustRightInd w:val="0"/>
        <w:snapToGrid w:val="0"/>
        <w:spacing w:after="0" w:line="360" w:lineRule="auto"/>
        <w:jc w:val="both"/>
        <w:rPr>
          <w:rFonts w:ascii="Book Antiqua" w:hAnsi="Book Antiqua"/>
          <w:sz w:val="20"/>
          <w:szCs w:val="20"/>
          <w:lang w:val="en-US"/>
        </w:rPr>
      </w:pPr>
      <w:r w:rsidRPr="00E51A80">
        <w:rPr>
          <w:rFonts w:ascii="Book Antiqua" w:hAnsi="Book Antiqua" w:cs="Calibri"/>
          <w:bCs/>
          <w:sz w:val="20"/>
          <w:szCs w:val="20"/>
          <w:lang w:val="en-US"/>
        </w:rPr>
        <w:t xml:space="preserve">NEC: Neuroendocrine carcinoma; NET: Neuroendocrine tumors; PRRT: Peptide receptor radionuclide therapy; SSA: </w:t>
      </w:r>
      <w:proofErr w:type="spellStart"/>
      <w:r w:rsidRPr="00E51A80">
        <w:rPr>
          <w:rFonts w:ascii="Book Antiqua" w:hAnsi="Book Antiqua" w:cs="Calibri"/>
          <w:bCs/>
          <w:sz w:val="20"/>
          <w:szCs w:val="20"/>
          <w:lang w:val="en-US"/>
        </w:rPr>
        <w:t>Somatostatin</w:t>
      </w:r>
      <w:proofErr w:type="spellEnd"/>
      <w:r w:rsidRPr="00E51A80">
        <w:rPr>
          <w:rFonts w:ascii="Book Antiqua" w:hAnsi="Book Antiqua" w:cs="Calibri"/>
          <w:bCs/>
          <w:sz w:val="20"/>
          <w:szCs w:val="20"/>
          <w:lang w:val="en-US"/>
        </w:rPr>
        <w:t xml:space="preserve"> analogues.</w:t>
      </w:r>
      <w:r w:rsidRPr="007E3E0D">
        <w:rPr>
          <w:rFonts w:ascii="Book Antiqua" w:hAnsi="Book Antiqua" w:cs="Calibri"/>
          <w:bCs/>
          <w:sz w:val="20"/>
          <w:szCs w:val="20"/>
          <w:lang w:val="en-US"/>
        </w:rPr>
        <w:t xml:space="preserve"> </w:t>
      </w:r>
    </w:p>
    <w:p w:rsidR="00857388" w:rsidRPr="007E3E0D" w:rsidRDefault="00857388" w:rsidP="00857388">
      <w:pPr>
        <w:tabs>
          <w:tab w:val="left" w:pos="6296"/>
        </w:tabs>
        <w:adjustRightInd w:val="0"/>
        <w:snapToGrid w:val="0"/>
        <w:spacing w:after="0" w:line="360" w:lineRule="auto"/>
        <w:jc w:val="both"/>
        <w:rPr>
          <w:rFonts w:ascii="Book Antiqua" w:hAnsi="Book Antiqua"/>
          <w:sz w:val="20"/>
          <w:szCs w:val="20"/>
          <w:lang w:val="en-US"/>
        </w:rPr>
      </w:pPr>
      <w:r>
        <w:rPr>
          <w:rFonts w:ascii="Book Antiqua" w:hAnsi="Book Antiqua"/>
          <w:sz w:val="20"/>
          <w:szCs w:val="20"/>
          <w:lang w:val="en-US"/>
        </w:rPr>
        <w:br w:type="page"/>
      </w:r>
    </w:p>
    <w:sectPr w:rsidR="00857388" w:rsidRPr="007E3E0D" w:rsidSect="00010D5D">
      <w:footerReference w:type="even"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A2" w:rsidRDefault="00651AA2" w:rsidP="00700EBA">
      <w:pPr>
        <w:spacing w:after="0" w:line="240" w:lineRule="auto"/>
      </w:pPr>
      <w:r>
        <w:separator/>
      </w:r>
    </w:p>
  </w:endnote>
  <w:endnote w:type="continuationSeparator" w:id="0">
    <w:p w:rsidR="00651AA2" w:rsidRDefault="00651AA2" w:rsidP="0070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panose1 w:val="02010609000101010101"/>
    <w:charset w:val="00"/>
    <w:family w:val="swiss"/>
    <w:pitch w:val="default"/>
  </w:font>
  <w:font w:name="微软雅黑">
    <w:altName w:val="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GpnrbjAdvTT3713a231+22">
    <w:altName w:val="Times New Roman"/>
    <w:charset w:val="00"/>
    <w:family w:val="roman"/>
    <w:pitch w:val="default"/>
  </w:font>
  <w:font w:name="Times-Roman">
    <w:altName w:val="Courier New"/>
    <w:charset w:val="00"/>
    <w:family w:val="auto"/>
    <w:pitch w:val="variable"/>
    <w:sig w:usb0="00000001" w:usb1="5000205A" w:usb2="00000000" w:usb3="00000000" w:csb0="0000019F" w:csb1="00000000"/>
  </w:font>
  <w:font w:name="TimesNewRomanPS-BoldItalicMT">
    <w:charset w:val="00"/>
    <w:family w:val="auto"/>
    <w:pitch w:val="variable"/>
    <w:sig w:usb0="E0000AFF" w:usb1="00007843" w:usb2="00000001" w:usb3="00000000" w:csb0="000001B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51" w:rsidRDefault="007A2351" w:rsidP="007A2351">
    <w:pPr>
      <w:pStyle w:val="ae"/>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p w:rsidR="007A2351" w:rsidRDefault="007A235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51" w:rsidRPr="00FE7289" w:rsidRDefault="007A2351" w:rsidP="007A2351">
    <w:pPr>
      <w:pStyle w:val="ae"/>
      <w:framePr w:wrap="none" w:vAnchor="text" w:hAnchor="margin" w:xAlign="center" w:y="1"/>
      <w:rPr>
        <w:rStyle w:val="af"/>
        <w:rFonts w:ascii="Book Antiqua" w:hAnsi="Book Antiqua"/>
        <w:sz w:val="20"/>
        <w:szCs w:val="20"/>
      </w:rPr>
    </w:pPr>
    <w:r w:rsidRPr="00FE7289">
      <w:rPr>
        <w:rStyle w:val="af"/>
        <w:rFonts w:ascii="Book Antiqua" w:hAnsi="Book Antiqua"/>
        <w:sz w:val="20"/>
        <w:szCs w:val="20"/>
      </w:rPr>
      <w:fldChar w:fldCharType="begin"/>
    </w:r>
    <w:r w:rsidRPr="00FE7289">
      <w:rPr>
        <w:rStyle w:val="af"/>
        <w:rFonts w:ascii="Book Antiqua" w:hAnsi="Book Antiqua"/>
        <w:sz w:val="20"/>
        <w:szCs w:val="20"/>
      </w:rPr>
      <w:instrText xml:space="preserve"> PAGE </w:instrText>
    </w:r>
    <w:r w:rsidRPr="00FE7289">
      <w:rPr>
        <w:rStyle w:val="af"/>
        <w:rFonts w:ascii="Book Antiqua" w:hAnsi="Book Antiqua"/>
        <w:sz w:val="20"/>
        <w:szCs w:val="20"/>
      </w:rPr>
      <w:fldChar w:fldCharType="separate"/>
    </w:r>
    <w:r w:rsidR="00B42CB2">
      <w:rPr>
        <w:rStyle w:val="af"/>
        <w:rFonts w:ascii="Book Antiqua" w:hAnsi="Book Antiqua"/>
        <w:noProof/>
        <w:sz w:val="20"/>
        <w:szCs w:val="20"/>
      </w:rPr>
      <w:t>25</w:t>
    </w:r>
    <w:r w:rsidRPr="00FE7289">
      <w:rPr>
        <w:rStyle w:val="af"/>
        <w:rFonts w:ascii="Book Antiqua" w:hAnsi="Book Antiqua"/>
        <w:sz w:val="20"/>
        <w:szCs w:val="20"/>
      </w:rPr>
      <w:fldChar w:fldCharType="end"/>
    </w:r>
  </w:p>
  <w:p w:rsidR="007A2351" w:rsidRDefault="007A235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A2" w:rsidRDefault="00651AA2" w:rsidP="00700EBA">
      <w:pPr>
        <w:spacing w:after="0" w:line="240" w:lineRule="auto"/>
      </w:pPr>
      <w:r>
        <w:separator/>
      </w:r>
    </w:p>
  </w:footnote>
  <w:footnote w:type="continuationSeparator" w:id="0">
    <w:p w:rsidR="00651AA2" w:rsidRDefault="00651AA2" w:rsidP="00700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76D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5"/>
    <w:lvl w:ilvl="0">
      <w:start w:val="3"/>
      <w:numFmt w:val="bullet"/>
      <w:lvlText w:val=""/>
      <w:lvlJc w:val="left"/>
      <w:pPr>
        <w:tabs>
          <w:tab w:val="num" w:pos="0"/>
        </w:tabs>
        <w:ind w:left="1080" w:hanging="360"/>
      </w:pPr>
      <w:rPr>
        <w:rFonts w:ascii="Symbol" w:hAnsi="Symbol" w:cs="Symbol" w:hint="default"/>
        <w:b/>
        <w:sz w:val="2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98"/>
    <w:rsid w:val="00003026"/>
    <w:rsid w:val="00010D5D"/>
    <w:rsid w:val="00043A46"/>
    <w:rsid w:val="000936A1"/>
    <w:rsid w:val="000F0D8F"/>
    <w:rsid w:val="00144FD2"/>
    <w:rsid w:val="00145027"/>
    <w:rsid w:val="001E2BA5"/>
    <w:rsid w:val="001F68D3"/>
    <w:rsid w:val="0021300D"/>
    <w:rsid w:val="002405DE"/>
    <w:rsid w:val="00250066"/>
    <w:rsid w:val="002B0FE5"/>
    <w:rsid w:val="002B3764"/>
    <w:rsid w:val="002B7963"/>
    <w:rsid w:val="002E3065"/>
    <w:rsid w:val="002F5793"/>
    <w:rsid w:val="003101B8"/>
    <w:rsid w:val="00372245"/>
    <w:rsid w:val="00391185"/>
    <w:rsid w:val="003A7D70"/>
    <w:rsid w:val="003D3D0D"/>
    <w:rsid w:val="003E2350"/>
    <w:rsid w:val="00401DA1"/>
    <w:rsid w:val="004047D5"/>
    <w:rsid w:val="00413764"/>
    <w:rsid w:val="004179A4"/>
    <w:rsid w:val="004F5F48"/>
    <w:rsid w:val="005044E1"/>
    <w:rsid w:val="005344E8"/>
    <w:rsid w:val="0060598A"/>
    <w:rsid w:val="006063E4"/>
    <w:rsid w:val="00614B02"/>
    <w:rsid w:val="00651AA2"/>
    <w:rsid w:val="00677C3F"/>
    <w:rsid w:val="0070094C"/>
    <w:rsid w:val="00700EBA"/>
    <w:rsid w:val="0071031F"/>
    <w:rsid w:val="00737224"/>
    <w:rsid w:val="007860C3"/>
    <w:rsid w:val="00786117"/>
    <w:rsid w:val="00793262"/>
    <w:rsid w:val="007A2351"/>
    <w:rsid w:val="007A31B3"/>
    <w:rsid w:val="007A4E98"/>
    <w:rsid w:val="007E292A"/>
    <w:rsid w:val="007E3E0D"/>
    <w:rsid w:val="007E4FE8"/>
    <w:rsid w:val="007F3B62"/>
    <w:rsid w:val="007F7976"/>
    <w:rsid w:val="00806D05"/>
    <w:rsid w:val="00821828"/>
    <w:rsid w:val="0082593D"/>
    <w:rsid w:val="0082690D"/>
    <w:rsid w:val="00857388"/>
    <w:rsid w:val="00861AA2"/>
    <w:rsid w:val="008D3CC4"/>
    <w:rsid w:val="008F3B1B"/>
    <w:rsid w:val="00902A68"/>
    <w:rsid w:val="00955C84"/>
    <w:rsid w:val="0097595C"/>
    <w:rsid w:val="00977194"/>
    <w:rsid w:val="009C28FB"/>
    <w:rsid w:val="00A33E84"/>
    <w:rsid w:val="00A44544"/>
    <w:rsid w:val="00A7747D"/>
    <w:rsid w:val="00A82252"/>
    <w:rsid w:val="00AF1039"/>
    <w:rsid w:val="00B06E89"/>
    <w:rsid w:val="00B17682"/>
    <w:rsid w:val="00B42CB2"/>
    <w:rsid w:val="00B7222D"/>
    <w:rsid w:val="00B916D1"/>
    <w:rsid w:val="00BB35AE"/>
    <w:rsid w:val="00C025F0"/>
    <w:rsid w:val="00C13144"/>
    <w:rsid w:val="00C406FE"/>
    <w:rsid w:val="00C47144"/>
    <w:rsid w:val="00C529ED"/>
    <w:rsid w:val="00C664D5"/>
    <w:rsid w:val="00C71CAF"/>
    <w:rsid w:val="00C77234"/>
    <w:rsid w:val="00C854F3"/>
    <w:rsid w:val="00CB4326"/>
    <w:rsid w:val="00CC032C"/>
    <w:rsid w:val="00CD3219"/>
    <w:rsid w:val="00D2120A"/>
    <w:rsid w:val="00D30BD1"/>
    <w:rsid w:val="00D31002"/>
    <w:rsid w:val="00D35F96"/>
    <w:rsid w:val="00D400DE"/>
    <w:rsid w:val="00DA1773"/>
    <w:rsid w:val="00DA60B5"/>
    <w:rsid w:val="00DB1B11"/>
    <w:rsid w:val="00DB4F25"/>
    <w:rsid w:val="00DC5FA1"/>
    <w:rsid w:val="00DF0DD3"/>
    <w:rsid w:val="00DF5452"/>
    <w:rsid w:val="00E307B7"/>
    <w:rsid w:val="00E3652B"/>
    <w:rsid w:val="00E51A80"/>
    <w:rsid w:val="00E82446"/>
    <w:rsid w:val="00EA3273"/>
    <w:rsid w:val="00EA5FBD"/>
    <w:rsid w:val="00EB65F5"/>
    <w:rsid w:val="00EC0E67"/>
    <w:rsid w:val="00EF35E1"/>
    <w:rsid w:val="00F04BF1"/>
    <w:rsid w:val="00F33024"/>
    <w:rsid w:val="00F63757"/>
    <w:rsid w:val="00F81B77"/>
    <w:rsid w:val="00FB2BE9"/>
    <w:rsid w:val="00FB4267"/>
    <w:rsid w:val="00FB4D71"/>
    <w:rsid w:val="00FC410F"/>
    <w:rsid w:val="00FD1729"/>
    <w:rsid w:val="00FE08F0"/>
    <w:rsid w:val="00FE2817"/>
    <w:rsid w:val="00FE556E"/>
    <w:rsid w:val="00FE6295"/>
    <w:rsid w:val="00FE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rFonts w:ascii="Calibri" w:hAnsi="Calibri"/>
      <w:sz w:val="22"/>
      <w:szCs w:val="22"/>
      <w:lang w:val="es-ES"/>
    </w:rPr>
  </w:style>
  <w:style w:type="paragraph" w:styleId="1">
    <w:name w:val="heading 1"/>
    <w:basedOn w:val="a"/>
    <w:next w:val="a"/>
    <w:qFormat/>
    <w:pPr>
      <w:keepNext/>
      <w:keepLines/>
      <w:tabs>
        <w:tab w:val="num" w:pos="0"/>
      </w:tab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ascii="Symbol" w:hAnsi="Symbol" w:cs="Symbol" w:hint="default"/>
      <w:b/>
      <w:sz w:val="2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sz w:val="20"/>
    </w:rPr>
  </w:style>
  <w:style w:type="character" w:customStyle="1" w:styleId="WW8Num14z1">
    <w:name w:val="WW8Num14z1"/>
    <w:rPr>
      <w:rFonts w:ascii="Courier New" w:hAnsi="Courier New" w:cs="Courier New" w:hint="default"/>
      <w:sz w:val="20"/>
    </w:rPr>
  </w:style>
  <w:style w:type="character" w:customStyle="1" w:styleId="WW8Num14z2">
    <w:name w:val="WW8Num14z2"/>
    <w:rPr>
      <w:rFonts w:ascii="Wingdings" w:hAnsi="Wingdings" w:cs="Wingdings" w:hint="default"/>
      <w:sz w:val="20"/>
    </w:rPr>
  </w:style>
  <w:style w:type="character" w:customStyle="1" w:styleId="WW8Num15z0">
    <w:name w:val="WW8Num15z0"/>
    <w:rPr>
      <w:rFonts w:ascii="Symbol" w:hAnsi="Symbol" w:cs="Symbol" w:hint="default"/>
      <w:sz w:val="20"/>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18z0">
    <w:name w:val="WW8Num18z0"/>
    <w:rPr>
      <w:rFonts w:ascii="Symbol" w:hAnsi="Symbol" w:cs="Symbol" w:hint="default"/>
      <w:sz w:val="20"/>
    </w:rPr>
  </w:style>
  <w:style w:type="character" w:customStyle="1" w:styleId="WW8Num18z1">
    <w:name w:val="WW8Num18z1"/>
    <w:rPr>
      <w:rFonts w:ascii="Courier New" w:hAnsi="Courier New" w:cs="Courier New" w:hint="default"/>
      <w:sz w:val="20"/>
    </w:rPr>
  </w:style>
  <w:style w:type="character" w:customStyle="1" w:styleId="WW8Num18z2">
    <w:name w:val="WW8Num18z2"/>
    <w:rPr>
      <w:rFonts w:ascii="Wingdings" w:hAnsi="Wingdings" w:cs="Wingdings" w:hint="default"/>
      <w:sz w:val="20"/>
    </w:rPr>
  </w:style>
  <w:style w:type="character" w:customStyle="1" w:styleId="WW8Num19z0">
    <w:name w:val="WW8Num19z0"/>
    <w:rPr>
      <w:rFonts w:ascii="Symbol" w:hAnsi="Symbol" w:cs="Symbol" w:hint="default"/>
      <w:sz w:val="20"/>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sz w:val="20"/>
    </w:rPr>
  </w:style>
  <w:style w:type="character" w:customStyle="1" w:styleId="WW8Num24z1">
    <w:name w:val="WW8Num24z1"/>
    <w:rPr>
      <w:rFonts w:ascii="Courier New" w:hAnsi="Courier New" w:cs="Courier New" w:hint="default"/>
      <w:sz w:val="20"/>
    </w:rPr>
  </w:style>
  <w:style w:type="character" w:customStyle="1" w:styleId="WW8Num24z2">
    <w:name w:val="WW8Num24z2"/>
    <w:rPr>
      <w:rFonts w:ascii="Wingdings" w:hAnsi="Wingdings" w:cs="Wingdings" w:hint="default"/>
      <w:sz w:val="20"/>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Symbol" w:hAnsi="Symbol" w:cs="Symbol" w:hint="default"/>
      <w:sz w:val="20"/>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rPr>
      <w:rFonts w:ascii="Symbol" w:hAnsi="Symbol" w:cs="Symbol" w:hint="default"/>
      <w:sz w:val="20"/>
    </w:rPr>
  </w:style>
  <w:style w:type="character" w:customStyle="1" w:styleId="WW8Num27z1">
    <w:name w:val="WW8Num27z1"/>
    <w:rPr>
      <w:rFonts w:ascii="Courier New" w:hAnsi="Courier New" w:cs="Courier New" w:hint="default"/>
      <w:sz w:val="20"/>
    </w:rPr>
  </w:style>
  <w:style w:type="character" w:customStyle="1" w:styleId="WW8Num27z2">
    <w:name w:val="WW8Num27z2"/>
    <w:rPr>
      <w:rFonts w:ascii="Wingdings" w:hAnsi="Wingdings" w:cs="Wingdings" w:hint="default"/>
      <w:sz w:val="20"/>
    </w:rPr>
  </w:style>
  <w:style w:type="character" w:customStyle="1" w:styleId="WW8Num28z0">
    <w:name w:val="WW8Num28z0"/>
    <w:rPr>
      <w:rFonts w:ascii="Symbol" w:hAnsi="Symbol" w:cs="Symbol" w:hint="default"/>
      <w:sz w:val="20"/>
    </w:rPr>
  </w:style>
  <w:style w:type="character" w:customStyle="1" w:styleId="WW8Num28z1">
    <w:name w:val="WW8Num28z1"/>
    <w:rPr>
      <w:rFonts w:ascii="Courier New" w:hAnsi="Courier New" w:cs="Courier New" w:hint="default"/>
      <w:sz w:val="20"/>
    </w:rPr>
  </w:style>
  <w:style w:type="character" w:customStyle="1" w:styleId="WW8Num28z2">
    <w:name w:val="WW8Num28z2"/>
    <w:rPr>
      <w:rFonts w:ascii="Wingdings" w:hAnsi="Wingdings" w:cs="Wingdings" w:hint="default"/>
      <w:sz w:val="20"/>
    </w:rPr>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0">
    <w:name w:val="WW8Num30z0"/>
    <w:rPr>
      <w:rFonts w:ascii="Symbol" w:hAnsi="Symbol" w:cs="Symbol" w:hint="default"/>
      <w:sz w:val="20"/>
    </w:rPr>
  </w:style>
  <w:style w:type="character" w:customStyle="1" w:styleId="WW8Num30z1">
    <w:name w:val="WW8Num30z1"/>
    <w:rPr>
      <w:rFonts w:ascii="Courier New" w:hAnsi="Courier New" w:cs="Courier New" w:hint="default"/>
      <w:sz w:val="20"/>
    </w:rPr>
  </w:style>
  <w:style w:type="character" w:customStyle="1" w:styleId="WW8Num30z2">
    <w:name w:val="WW8Num30z2"/>
    <w:rPr>
      <w:rFonts w:ascii="Wingdings" w:hAnsi="Wingdings" w:cs="Wingdings" w:hint="default"/>
      <w:sz w:val="20"/>
    </w:rPr>
  </w:style>
  <w:style w:type="character" w:customStyle="1" w:styleId="WW8Num31z0">
    <w:name w:val="WW8Num31z0"/>
    <w:rPr>
      <w:rFonts w:ascii="Symbol" w:hAnsi="Symbol" w:cs="Symbol" w:hint="default"/>
      <w:sz w:val="20"/>
    </w:rPr>
  </w:style>
  <w:style w:type="character" w:customStyle="1" w:styleId="WW8Num31z1">
    <w:name w:val="WW8Num31z1"/>
    <w:rPr>
      <w:rFonts w:ascii="Courier New" w:hAnsi="Courier New" w:cs="Courier New" w:hint="default"/>
      <w:sz w:val="20"/>
    </w:rPr>
  </w:style>
  <w:style w:type="character" w:customStyle="1" w:styleId="WW8Num31z2">
    <w:name w:val="WW8Num31z2"/>
    <w:rPr>
      <w:rFonts w:ascii="Wingdings" w:hAnsi="Wingdings" w:cs="Wingdings" w:hint="default"/>
      <w:sz w:val="20"/>
    </w:rPr>
  </w:style>
  <w:style w:type="character" w:customStyle="1" w:styleId="WW8Num32z0">
    <w:name w:val="WW8Num32z0"/>
    <w:rPr>
      <w:rFonts w:ascii="Symbol" w:hAnsi="Symbol" w:cs="Symbol" w:hint="default"/>
      <w:sz w:val="20"/>
    </w:rPr>
  </w:style>
  <w:style w:type="character" w:customStyle="1" w:styleId="WW8Num32z1">
    <w:name w:val="WW8Num32z1"/>
    <w:rPr>
      <w:rFonts w:ascii="Courier New" w:hAnsi="Courier New" w:cs="Courier New" w:hint="default"/>
      <w:sz w:val="20"/>
    </w:rPr>
  </w:style>
  <w:style w:type="character" w:customStyle="1" w:styleId="WW8Num32z2">
    <w:name w:val="WW8Num32z2"/>
    <w:rPr>
      <w:rFonts w:ascii="Wingdings" w:hAnsi="Wingdings" w:cs="Wingdings" w:hint="default"/>
      <w:sz w:val="20"/>
    </w:rPr>
  </w:style>
  <w:style w:type="character" w:customStyle="1" w:styleId="WW8Num33z0">
    <w:name w:val="WW8Num33z0"/>
    <w:rPr>
      <w:rFonts w:ascii="Symbol" w:hAnsi="Symbol" w:cs="Symbol" w:hint="default"/>
      <w:sz w:val="20"/>
    </w:rPr>
  </w:style>
  <w:style w:type="character" w:customStyle="1" w:styleId="WW8Num33z1">
    <w:name w:val="WW8Num33z1"/>
    <w:rPr>
      <w:rFonts w:ascii="Courier New" w:hAnsi="Courier New" w:cs="Courier New" w:hint="default"/>
      <w:sz w:val="20"/>
    </w:rPr>
  </w:style>
  <w:style w:type="character" w:customStyle="1" w:styleId="WW8Num33z2">
    <w:name w:val="WW8Num33z2"/>
    <w:rPr>
      <w:rFonts w:ascii="Wingdings" w:hAnsi="Wingdings" w:cs="Wingdings" w:hint="default"/>
      <w:sz w:val="20"/>
    </w:rPr>
  </w:style>
  <w:style w:type="character" w:customStyle="1" w:styleId="WW8Num34z0">
    <w:name w:val="WW8Num34z0"/>
    <w:rPr>
      <w:rFonts w:ascii="Symbol" w:hAnsi="Symbol" w:cs="Symbol" w:hint="default"/>
      <w:sz w:val="20"/>
    </w:rPr>
  </w:style>
  <w:style w:type="character" w:customStyle="1" w:styleId="WW8Num34z1">
    <w:name w:val="WW8Num34z1"/>
    <w:rPr>
      <w:rFonts w:ascii="Courier New" w:hAnsi="Courier New" w:cs="Courier New" w:hint="default"/>
      <w:sz w:val="20"/>
    </w:rPr>
  </w:style>
  <w:style w:type="character" w:customStyle="1" w:styleId="WW8Num34z2">
    <w:name w:val="WW8Num34z2"/>
    <w:rPr>
      <w:rFonts w:ascii="Wingdings" w:hAnsi="Wingdings" w:cs="Wingdings" w:hint="default"/>
      <w:sz w:val="20"/>
    </w:rPr>
  </w:style>
  <w:style w:type="character" w:customStyle="1" w:styleId="WW8Num35z0">
    <w:name w:val="WW8Num35z0"/>
    <w:rPr>
      <w:rFonts w:ascii="Symbol" w:hAnsi="Symbol" w:cs="Symbol" w:hint="default"/>
      <w:sz w:val="20"/>
    </w:rPr>
  </w:style>
  <w:style w:type="character" w:customStyle="1" w:styleId="WW8Num35z1">
    <w:name w:val="WW8Num35z1"/>
    <w:rPr>
      <w:rFonts w:ascii="Courier New" w:hAnsi="Courier New" w:cs="Courier New" w:hint="default"/>
      <w:sz w:val="20"/>
    </w:rPr>
  </w:style>
  <w:style w:type="character" w:customStyle="1" w:styleId="WW8Num35z2">
    <w:name w:val="WW8Num35z2"/>
    <w:rPr>
      <w:rFonts w:ascii="Wingdings" w:hAnsi="Wingdings" w:cs="Wingdings" w:hint="default"/>
      <w:sz w:val="20"/>
    </w:rPr>
  </w:style>
  <w:style w:type="character" w:customStyle="1" w:styleId="WW8Num36z0">
    <w:name w:val="WW8Num36z0"/>
    <w:rPr>
      <w:rFonts w:ascii="Symbol" w:hAnsi="Symbol" w:cs="Symbol" w:hint="default"/>
      <w:sz w:val="20"/>
    </w:rPr>
  </w:style>
  <w:style w:type="character" w:customStyle="1" w:styleId="WW8Num36z1">
    <w:name w:val="WW8Num36z1"/>
    <w:rPr>
      <w:rFonts w:ascii="Courier New" w:hAnsi="Courier New" w:cs="Courier New" w:hint="default"/>
      <w:sz w:val="20"/>
    </w:rPr>
  </w:style>
  <w:style w:type="character" w:customStyle="1" w:styleId="WW8Num36z2">
    <w:name w:val="WW8Num36z2"/>
    <w:rPr>
      <w:rFonts w:ascii="Wingdings" w:hAnsi="Wingdings" w:cs="Wingdings" w:hint="default"/>
      <w:sz w:val="20"/>
    </w:rPr>
  </w:style>
  <w:style w:type="character" w:customStyle="1" w:styleId="WW8Num37z0">
    <w:name w:val="WW8Num37z0"/>
    <w:rPr>
      <w:rFonts w:ascii="Symbol" w:hAnsi="Symbol" w:cs="Symbol" w:hint="default"/>
      <w:sz w:val="20"/>
    </w:rPr>
  </w:style>
  <w:style w:type="character" w:customStyle="1" w:styleId="WW8Num37z1">
    <w:name w:val="WW8Num37z1"/>
    <w:rPr>
      <w:rFonts w:ascii="Courier New" w:hAnsi="Courier New" w:cs="Courier New" w:hint="default"/>
      <w:sz w:val="20"/>
    </w:rPr>
  </w:style>
  <w:style w:type="character" w:customStyle="1" w:styleId="WW8Num37z2">
    <w:name w:val="WW8Num37z2"/>
    <w:rPr>
      <w:rFonts w:ascii="Wingdings" w:hAnsi="Wingdings" w:cs="Wingdings" w:hint="default"/>
      <w:sz w:val="20"/>
    </w:rPr>
  </w:style>
  <w:style w:type="character" w:customStyle="1" w:styleId="WW8Num38z0">
    <w:name w:val="WW8Num38z0"/>
    <w:rPr>
      <w:rFonts w:ascii="Symbol" w:hAnsi="Symbol" w:cs="Symbol" w:hint="default"/>
      <w:sz w:val="20"/>
    </w:rPr>
  </w:style>
  <w:style w:type="character" w:customStyle="1" w:styleId="WW8Num38z1">
    <w:name w:val="WW8Num38z1"/>
    <w:rPr>
      <w:rFonts w:ascii="Courier New" w:hAnsi="Courier New" w:cs="Courier New" w:hint="default"/>
      <w:sz w:val="20"/>
    </w:rPr>
  </w:style>
  <w:style w:type="character" w:customStyle="1" w:styleId="WW8Num38z2">
    <w:name w:val="WW8Num38z2"/>
    <w:rPr>
      <w:rFonts w:ascii="Wingdings" w:hAnsi="Wingdings" w:cs="Wingdings" w:hint="default"/>
      <w:sz w:val="20"/>
    </w:rPr>
  </w:style>
  <w:style w:type="character" w:customStyle="1" w:styleId="WW8Num39z0">
    <w:name w:val="WW8Num39z0"/>
    <w:rPr>
      <w:rFonts w:ascii="Symbol" w:hAnsi="Symbol" w:cs="Symbol" w:hint="default"/>
      <w:sz w:val="20"/>
    </w:rPr>
  </w:style>
  <w:style w:type="character" w:customStyle="1" w:styleId="WW8Num39z1">
    <w:name w:val="WW8Num39z1"/>
    <w:rPr>
      <w:rFonts w:ascii="Courier New" w:hAnsi="Courier New" w:cs="Courier New" w:hint="default"/>
      <w:sz w:val="20"/>
    </w:rPr>
  </w:style>
  <w:style w:type="character" w:customStyle="1" w:styleId="WW8Num39z2">
    <w:name w:val="WW8Num39z2"/>
    <w:rPr>
      <w:rFonts w:ascii="Wingdings" w:hAnsi="Wingdings" w:cs="Wingdings" w:hint="default"/>
      <w:sz w:val="20"/>
    </w:rPr>
  </w:style>
  <w:style w:type="character" w:customStyle="1" w:styleId="WW8Num40z0">
    <w:name w:val="WW8Num40z0"/>
    <w:rPr>
      <w:rFonts w:ascii="Symbol" w:hAnsi="Symbol" w:cs="Symbol" w:hint="default"/>
      <w:sz w:val="20"/>
    </w:rPr>
  </w:style>
  <w:style w:type="character" w:customStyle="1" w:styleId="WW8Num40z1">
    <w:name w:val="WW8Num40z1"/>
    <w:rPr>
      <w:rFonts w:ascii="Courier New" w:hAnsi="Courier New" w:cs="Courier New" w:hint="default"/>
      <w:sz w:val="20"/>
    </w:rPr>
  </w:style>
  <w:style w:type="character" w:customStyle="1" w:styleId="WW8Num40z2">
    <w:name w:val="WW8Num40z2"/>
    <w:rPr>
      <w:rFonts w:ascii="Wingdings" w:hAnsi="Wingdings" w:cs="Wingdings" w:hint="default"/>
      <w:sz w:val="20"/>
    </w:rPr>
  </w:style>
  <w:style w:type="character" w:customStyle="1" w:styleId="WW8Num41z0">
    <w:name w:val="WW8Num41z0"/>
    <w:rPr>
      <w:rFonts w:ascii="Symbol" w:hAnsi="Symbol" w:cs="Symbol" w:hint="default"/>
      <w:sz w:val="20"/>
    </w:rPr>
  </w:style>
  <w:style w:type="character" w:customStyle="1" w:styleId="WW8Num41z1">
    <w:name w:val="WW8Num41z1"/>
    <w:rPr>
      <w:rFonts w:ascii="Courier New" w:hAnsi="Courier New" w:cs="Courier New" w:hint="default"/>
      <w:sz w:val="20"/>
    </w:rPr>
  </w:style>
  <w:style w:type="character" w:customStyle="1" w:styleId="WW8Num41z2">
    <w:name w:val="WW8Num41z2"/>
    <w:rPr>
      <w:rFonts w:ascii="Wingdings" w:hAnsi="Wingdings" w:cs="Wingdings" w:hint="default"/>
      <w:sz w:val="20"/>
    </w:rPr>
  </w:style>
  <w:style w:type="character" w:customStyle="1" w:styleId="WW8Num42z0">
    <w:name w:val="WW8Num42z0"/>
    <w:rPr>
      <w:rFonts w:ascii="Symbol" w:hAnsi="Symbol" w:cs="Symbol" w:hint="default"/>
      <w:sz w:val="20"/>
    </w:rPr>
  </w:style>
  <w:style w:type="character" w:customStyle="1" w:styleId="WW8Num42z1">
    <w:name w:val="WW8Num42z1"/>
    <w:rPr>
      <w:rFonts w:ascii="Courier New" w:hAnsi="Courier New" w:cs="Courier New" w:hint="default"/>
      <w:sz w:val="20"/>
    </w:rPr>
  </w:style>
  <w:style w:type="character" w:customStyle="1" w:styleId="WW8Num42z2">
    <w:name w:val="WW8Num42z2"/>
    <w:rPr>
      <w:rFonts w:ascii="Wingdings" w:hAnsi="Wingdings" w:cs="Wingdings" w:hint="default"/>
      <w:sz w:val="20"/>
    </w:rPr>
  </w:style>
  <w:style w:type="character" w:customStyle="1" w:styleId="WW8Num43z0">
    <w:name w:val="WW8Num43z0"/>
    <w:rPr>
      <w:rFonts w:ascii="Symbol" w:hAnsi="Symbol" w:cs="Symbol" w:hint="default"/>
      <w:sz w:val="20"/>
    </w:rPr>
  </w:style>
  <w:style w:type="character" w:customStyle="1" w:styleId="WW8Num43z1">
    <w:name w:val="WW8Num43z1"/>
    <w:rPr>
      <w:rFonts w:ascii="Courier New" w:hAnsi="Courier New" w:cs="Courier New" w:hint="default"/>
      <w:sz w:val="20"/>
    </w:rPr>
  </w:style>
  <w:style w:type="character" w:customStyle="1" w:styleId="WW8Num43z2">
    <w:name w:val="WW8Num43z2"/>
    <w:rPr>
      <w:rFonts w:ascii="Wingdings" w:hAnsi="Wingdings" w:cs="Wingdings" w:hint="default"/>
      <w:sz w:val="20"/>
    </w:rPr>
  </w:style>
  <w:style w:type="character" w:customStyle="1" w:styleId="Fuentedeprrafopredeter1">
    <w:name w:val="Fuente de párrafo predeter.1"/>
  </w:style>
  <w:style w:type="character" w:customStyle="1" w:styleId="TextodegloboCar">
    <w:name w:val="Texto de globo Car"/>
    <w:rPr>
      <w:rFonts w:ascii="Segoe UI" w:eastAsia="宋体" w:hAnsi="Segoe UI" w:cs="Segoe UI"/>
      <w:sz w:val="18"/>
      <w:szCs w:val="18"/>
    </w:rPr>
  </w:style>
  <w:style w:type="character" w:customStyle="1" w:styleId="Ttulo1Car">
    <w:name w:val="Título 1 Car"/>
    <w:rPr>
      <w:rFonts w:ascii="Calibri Light" w:eastAsia="Times New Roman" w:hAnsi="Calibri Light" w:cs="Times New Roman"/>
      <w:color w:val="2F5496"/>
      <w:sz w:val="32"/>
      <w:szCs w:val="32"/>
    </w:rPr>
  </w:style>
  <w:style w:type="character" w:styleId="a3">
    <w:name w:val="Emphasis"/>
    <w:qFormat/>
    <w:rPr>
      <w:i/>
      <w:iCs/>
    </w:rPr>
  </w:style>
  <w:style w:type="character" w:customStyle="1" w:styleId="Refdecomentario1">
    <w:name w:val="Ref. de comentario1"/>
    <w:rPr>
      <w:sz w:val="16"/>
      <w:szCs w:val="16"/>
    </w:rPr>
  </w:style>
  <w:style w:type="character" w:customStyle="1" w:styleId="TextocomentarioCar">
    <w:name w:val="Texto comentario Car"/>
    <w:rPr>
      <w:sz w:val="20"/>
      <w:szCs w:val="20"/>
    </w:rPr>
  </w:style>
  <w:style w:type="character" w:customStyle="1" w:styleId="TextocomentarioCar1">
    <w:name w:val="Texto comentario Car1"/>
    <w:rPr>
      <w:rFonts w:eastAsia="宋体"/>
      <w:sz w:val="20"/>
      <w:szCs w:val="20"/>
    </w:rPr>
  </w:style>
  <w:style w:type="character" w:customStyle="1" w:styleId="AsuntodelcomentarioCar">
    <w:name w:val="Asunto del comentario Car"/>
    <w:rPr>
      <w:b/>
      <w:bCs/>
      <w:sz w:val="20"/>
      <w:szCs w:val="20"/>
    </w:rPr>
  </w:style>
  <w:style w:type="character" w:customStyle="1" w:styleId="AsuntodelcomentarioCar1">
    <w:name w:val="Asunto del comentario Car1"/>
    <w:rPr>
      <w:rFonts w:eastAsia="宋体"/>
      <w:b/>
      <w:bCs/>
      <w:sz w:val="20"/>
      <w:szCs w:val="20"/>
    </w:rPr>
  </w:style>
  <w:style w:type="character" w:customStyle="1" w:styleId="HTMLconformatoprevioCar">
    <w:name w:val="HTML con formato previo Car"/>
    <w:rPr>
      <w:rFonts w:ascii="Courier New" w:eastAsia="Times New Roman" w:hAnsi="Courier New" w:cs="Courier New"/>
      <w:sz w:val="20"/>
      <w:szCs w:val="20"/>
    </w:rPr>
  </w:style>
  <w:style w:type="character" w:customStyle="1" w:styleId="HTMLconformatoprevioCar1">
    <w:name w:val="HTML con formato previo Car1"/>
    <w:rPr>
      <w:rFonts w:ascii="Consolas" w:eastAsia="宋体" w:hAnsi="Consolas" w:cs="Consolas"/>
      <w:sz w:val="20"/>
      <w:szCs w:val="20"/>
    </w:rPr>
  </w:style>
  <w:style w:type="character" w:styleId="a4">
    <w:name w:val="Hyperlink"/>
    <w:rPr>
      <w:color w:val="0000FF"/>
      <w:u w:val="single"/>
    </w:r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Calibri" w:cs="Calibri"/>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eastAsia="Calibri" w:cs="Calibri"/>
      <w:b w:val="0"/>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eastAsia="Calibri"/>
      <w:b w:val="0"/>
      <w:sz w:val="20"/>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ascii="Helvetica" w:hAnsi="Helvetica" w:cs="Helvetica"/>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rFonts w:cs="Calibri"/>
      <w:b w:val="0"/>
      <w:sz w:val="20"/>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b/>
      <w:sz w:val="20"/>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sz w:val="20"/>
    </w:rPr>
  </w:style>
  <w:style w:type="character" w:customStyle="1" w:styleId="ListLabel45">
    <w:name w:val="ListLabel 45"/>
    <w:rPr>
      <w:rFonts w:cs="Symbol"/>
      <w:sz w:val="20"/>
    </w:rPr>
  </w:style>
  <w:style w:type="character" w:customStyle="1" w:styleId="ListLabel46">
    <w:name w:val="ListLabel 46"/>
    <w:rPr>
      <w:rFonts w:cs="Symbol"/>
      <w:sz w:val="20"/>
    </w:rPr>
  </w:style>
  <w:style w:type="character" w:customStyle="1" w:styleId="ListLabel47">
    <w:name w:val="ListLabel 47"/>
    <w:rPr>
      <w:rFonts w:cs="Symbol"/>
      <w:sz w:val="20"/>
    </w:rPr>
  </w:style>
  <w:style w:type="character" w:customStyle="1" w:styleId="ListLabel48">
    <w:name w:val="ListLabel 48"/>
    <w:rPr>
      <w:rFonts w:cs="Symbol"/>
      <w:sz w:val="20"/>
    </w:rPr>
  </w:style>
  <w:style w:type="character" w:customStyle="1" w:styleId="ListLabel49">
    <w:name w:val="ListLabel 49"/>
    <w:rPr>
      <w:rFonts w:cs="Symbol"/>
      <w:sz w:val="20"/>
    </w:rPr>
  </w:style>
  <w:style w:type="character" w:customStyle="1" w:styleId="ListLabel50">
    <w:name w:val="ListLabel 50"/>
    <w:rPr>
      <w:rFonts w:cs="Symbol"/>
      <w:sz w:val="20"/>
    </w:rPr>
  </w:style>
  <w:style w:type="character" w:customStyle="1" w:styleId="ListLabel51">
    <w:name w:val="ListLabel 51"/>
    <w:rPr>
      <w:rFonts w:cs="Symbol"/>
      <w:sz w:val="20"/>
    </w:rPr>
  </w:style>
  <w:style w:type="character" w:customStyle="1" w:styleId="ListLabel52">
    <w:name w:val="ListLabel 52"/>
    <w:rPr>
      <w:rFonts w:cs="Symbol"/>
      <w:sz w:val="20"/>
    </w:rPr>
  </w:style>
  <w:style w:type="character" w:customStyle="1" w:styleId="ListLabel53">
    <w:name w:val="ListLabel 53"/>
    <w:rPr>
      <w:rFonts w:eastAsia="Calibri" w:cs="Calibri"/>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TtuloCar">
    <w:name w:val="Título Car"/>
    <w:rPr>
      <w:rFonts w:ascii="Liberation Sans" w:eastAsia="微软雅黑" w:hAnsi="Liberation Sans" w:cs="Mangal"/>
      <w:sz w:val="28"/>
      <w:szCs w:val="28"/>
    </w:rPr>
  </w:style>
  <w:style w:type="character" w:customStyle="1" w:styleId="TextoindependienteCar">
    <w:name w:val="Texto independiente Car"/>
    <w:rPr>
      <w:rFonts w:eastAsia="宋体"/>
    </w:rPr>
  </w:style>
  <w:style w:type="character" w:styleId="a5">
    <w:name w:val="Strong"/>
    <w:qFormat/>
    <w:rPr>
      <w:b/>
      <w:bCs/>
    </w:rPr>
  </w:style>
  <w:style w:type="character" w:customStyle="1" w:styleId="Hipervnculo1">
    <w:name w:val="Hipervínculo1"/>
    <w:rPr>
      <w:color w:val="0563C1"/>
      <w:u w:val="single"/>
    </w:rPr>
  </w:style>
  <w:style w:type="character" w:customStyle="1" w:styleId="id-label">
    <w:name w:val="id-label"/>
  </w:style>
  <w:style w:type="character" w:customStyle="1" w:styleId="authors-list-item">
    <w:name w:val="authors-list-item"/>
  </w:style>
  <w:style w:type="character" w:customStyle="1" w:styleId="comma">
    <w:name w:val="comma"/>
  </w:style>
  <w:style w:type="character" w:customStyle="1" w:styleId="author-sup-separator">
    <w:name w:val="author-sup-separator"/>
  </w:style>
  <w:style w:type="character" w:customStyle="1" w:styleId="identifier">
    <w:name w:val="identifier"/>
  </w:style>
  <w:style w:type="character" w:customStyle="1" w:styleId="volume-issue-pages">
    <w:name w:val="volume-issue-pages"/>
  </w:style>
  <w:style w:type="character" w:customStyle="1" w:styleId="publication-date">
    <w:name w:val="publication-date"/>
  </w:style>
  <w:style w:type="paragraph" w:customStyle="1" w:styleId="Ttulo1">
    <w:name w:val="Título1"/>
    <w:basedOn w:val="a"/>
    <w:next w:val="a6"/>
    <w:pPr>
      <w:keepNext/>
      <w:spacing w:before="240" w:after="120"/>
    </w:pPr>
    <w:rPr>
      <w:rFonts w:ascii="Liberation Sans" w:eastAsia="微软雅黑"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ndice">
    <w:name w:val="Índice"/>
    <w:basedOn w:val="a"/>
    <w:pPr>
      <w:suppressLineNumbers/>
    </w:pPr>
    <w:rPr>
      <w:rFonts w:cs="Mangal"/>
    </w:rPr>
  </w:style>
  <w:style w:type="paragraph" w:customStyle="1" w:styleId="10">
    <w:name w:val="正文1"/>
    <w:pPr>
      <w:suppressAutoHyphens/>
      <w:spacing w:line="276" w:lineRule="auto"/>
    </w:pPr>
    <w:rPr>
      <w:rFonts w:ascii="Arial" w:hAnsi="Arial" w:cs="Arial"/>
      <w:color w:val="000000"/>
      <w:sz w:val="22"/>
      <w:lang w:val="pl-PL"/>
    </w:rPr>
  </w:style>
  <w:style w:type="paragraph" w:customStyle="1" w:styleId="Textodeglobo1">
    <w:name w:val="Texto de globo1"/>
    <w:basedOn w:val="a"/>
    <w:pPr>
      <w:spacing w:after="0" w:line="240" w:lineRule="auto"/>
    </w:pPr>
    <w:rPr>
      <w:rFonts w:ascii="Segoe UI" w:hAnsi="Segoe UI" w:cs="Segoe UI"/>
      <w:sz w:val="18"/>
      <w:szCs w:val="18"/>
    </w:rPr>
  </w:style>
  <w:style w:type="paragraph" w:customStyle="1" w:styleId="Textocomentario1">
    <w:name w:val="Texto comentario1"/>
    <w:basedOn w:val="a"/>
    <w:pPr>
      <w:spacing w:line="240" w:lineRule="auto"/>
    </w:pPr>
    <w:rPr>
      <w:rFonts w:eastAsia="Calibri"/>
      <w:sz w:val="20"/>
      <w:szCs w:val="20"/>
    </w:rPr>
  </w:style>
  <w:style w:type="paragraph" w:customStyle="1" w:styleId="Asuntodelcomentario1">
    <w:name w:val="Asunto del comentario1"/>
    <w:basedOn w:val="Textocomentario1"/>
    <w:rPr>
      <w:b/>
      <w:bCs/>
    </w:rPr>
  </w:style>
  <w:style w:type="paragraph" w:customStyle="1" w:styleId="HTMLconformatoprevio1">
    <w:name w:val="HTML con formato previo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Descripcin1">
    <w:name w:val="Descripción1"/>
    <w:basedOn w:val="a"/>
    <w:pPr>
      <w:suppressLineNumbers/>
      <w:spacing w:before="120" w:after="120"/>
    </w:pPr>
    <w:rPr>
      <w:rFonts w:cs="Mangal"/>
      <w:i/>
      <w:iCs/>
      <w:sz w:val="24"/>
      <w:szCs w:val="24"/>
    </w:rPr>
  </w:style>
  <w:style w:type="paragraph" w:customStyle="1" w:styleId="Prrafodelista1">
    <w:name w:val="Párrafo de lista1"/>
    <w:basedOn w:val="a"/>
    <w:pPr>
      <w:ind w:left="720"/>
      <w:contextualSpacing/>
    </w:pPr>
  </w:style>
  <w:style w:type="paragraph" w:customStyle="1" w:styleId="Bibliografa1">
    <w:name w:val="Bibliografía1"/>
    <w:basedOn w:val="a"/>
    <w:next w:val="a"/>
  </w:style>
  <w:style w:type="paragraph" w:customStyle="1" w:styleId="minusjama">
    <w:name w:val="minus_jama"/>
    <w:basedOn w:val="a"/>
    <w:pPr>
      <w:spacing w:before="280" w:after="280" w:line="240" w:lineRule="auto"/>
    </w:pPr>
    <w:rPr>
      <w:rFonts w:ascii="Times New Roman" w:eastAsia="Times New Roman" w:hAnsi="Times New Roman"/>
      <w:sz w:val="24"/>
      <w:szCs w:val="24"/>
    </w:rPr>
  </w:style>
  <w:style w:type="paragraph" w:customStyle="1" w:styleId="NormalWeb1">
    <w:name w:val="Normal (Web)1"/>
    <w:basedOn w:val="a"/>
    <w:pPr>
      <w:spacing w:before="280" w:after="280" w:line="240" w:lineRule="auto"/>
    </w:pPr>
    <w:rPr>
      <w:rFonts w:ascii="Times New Roman" w:eastAsia="Times New Roman" w:hAnsi="Times New Roman"/>
      <w:sz w:val="24"/>
      <w:szCs w:val="24"/>
    </w:rPr>
  </w:style>
  <w:style w:type="paragraph" w:customStyle="1" w:styleId="Contenidodelatabla">
    <w:name w:val="Contenido de la tabla"/>
    <w:basedOn w:val="a"/>
    <w:pPr>
      <w:suppressLineNumbers/>
    </w:pPr>
  </w:style>
  <w:style w:type="paragraph" w:customStyle="1" w:styleId="Ttulodelatabla">
    <w:name w:val="Título de la tabla"/>
    <w:basedOn w:val="Contenidodelatabla"/>
    <w:pPr>
      <w:jc w:val="center"/>
    </w:pPr>
    <w:rPr>
      <w:b/>
      <w:bCs/>
    </w:rPr>
  </w:style>
  <w:style w:type="character" w:styleId="a9">
    <w:name w:val="annotation reference"/>
    <w:uiPriority w:val="99"/>
    <w:semiHidden/>
    <w:unhideWhenUsed/>
    <w:rsid w:val="00D31002"/>
    <w:rPr>
      <w:sz w:val="21"/>
      <w:szCs w:val="21"/>
    </w:rPr>
  </w:style>
  <w:style w:type="paragraph" w:styleId="aa">
    <w:name w:val="annotation text"/>
    <w:basedOn w:val="a"/>
    <w:link w:val="Char"/>
    <w:uiPriority w:val="99"/>
    <w:semiHidden/>
    <w:unhideWhenUsed/>
    <w:rsid w:val="00D31002"/>
  </w:style>
  <w:style w:type="character" w:customStyle="1" w:styleId="Char">
    <w:name w:val="批注文字 Char"/>
    <w:link w:val="aa"/>
    <w:uiPriority w:val="99"/>
    <w:semiHidden/>
    <w:rsid w:val="00D31002"/>
    <w:rPr>
      <w:rFonts w:ascii="Calibri" w:eastAsia="宋体" w:hAnsi="Calibri"/>
      <w:sz w:val="22"/>
      <w:szCs w:val="22"/>
      <w:lang w:val="es-ES"/>
    </w:rPr>
  </w:style>
  <w:style w:type="paragraph" w:styleId="ab">
    <w:name w:val="annotation subject"/>
    <w:basedOn w:val="aa"/>
    <w:next w:val="aa"/>
    <w:link w:val="Char0"/>
    <w:uiPriority w:val="99"/>
    <w:semiHidden/>
    <w:unhideWhenUsed/>
    <w:rsid w:val="00D31002"/>
    <w:rPr>
      <w:b/>
      <w:bCs/>
    </w:rPr>
  </w:style>
  <w:style w:type="character" w:customStyle="1" w:styleId="Char0">
    <w:name w:val="批注主题 Char"/>
    <w:link w:val="ab"/>
    <w:uiPriority w:val="99"/>
    <w:semiHidden/>
    <w:rsid w:val="00D31002"/>
    <w:rPr>
      <w:rFonts w:ascii="Calibri" w:eastAsia="宋体" w:hAnsi="Calibri"/>
      <w:b/>
      <w:bCs/>
      <w:sz w:val="22"/>
      <w:szCs w:val="22"/>
      <w:lang w:val="es-ES"/>
    </w:rPr>
  </w:style>
  <w:style w:type="paragraph" w:styleId="ac">
    <w:name w:val="Balloon Text"/>
    <w:basedOn w:val="a"/>
    <w:link w:val="Char1"/>
    <w:uiPriority w:val="99"/>
    <w:semiHidden/>
    <w:unhideWhenUsed/>
    <w:rsid w:val="00D31002"/>
    <w:pPr>
      <w:spacing w:after="0" w:line="240" w:lineRule="auto"/>
    </w:pPr>
    <w:rPr>
      <w:sz w:val="18"/>
      <w:szCs w:val="18"/>
    </w:rPr>
  </w:style>
  <w:style w:type="character" w:customStyle="1" w:styleId="Char1">
    <w:name w:val="批注框文本 Char"/>
    <w:link w:val="ac"/>
    <w:uiPriority w:val="99"/>
    <w:semiHidden/>
    <w:rsid w:val="00D31002"/>
    <w:rPr>
      <w:rFonts w:ascii="Calibri" w:eastAsia="宋体" w:hAnsi="Calibri"/>
      <w:sz w:val="18"/>
      <w:szCs w:val="18"/>
      <w:lang w:val="es-ES"/>
    </w:rPr>
  </w:style>
  <w:style w:type="paragraph" w:styleId="ad">
    <w:name w:val="header"/>
    <w:basedOn w:val="a"/>
    <w:link w:val="Char2"/>
    <w:uiPriority w:val="99"/>
    <w:unhideWhenUsed/>
    <w:rsid w:val="00700EB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link w:val="ad"/>
    <w:uiPriority w:val="99"/>
    <w:rsid w:val="00700EBA"/>
    <w:rPr>
      <w:rFonts w:ascii="Calibri" w:hAnsi="Calibri"/>
      <w:sz w:val="18"/>
      <w:szCs w:val="18"/>
      <w:lang w:val="es-ES"/>
    </w:rPr>
  </w:style>
  <w:style w:type="paragraph" w:styleId="ae">
    <w:name w:val="footer"/>
    <w:basedOn w:val="a"/>
    <w:link w:val="Char3"/>
    <w:uiPriority w:val="99"/>
    <w:unhideWhenUsed/>
    <w:rsid w:val="00700EBA"/>
    <w:pPr>
      <w:tabs>
        <w:tab w:val="center" w:pos="4153"/>
        <w:tab w:val="right" w:pos="8306"/>
      </w:tabs>
      <w:snapToGrid w:val="0"/>
      <w:spacing w:line="240" w:lineRule="auto"/>
    </w:pPr>
    <w:rPr>
      <w:sz w:val="18"/>
      <w:szCs w:val="18"/>
    </w:rPr>
  </w:style>
  <w:style w:type="character" w:customStyle="1" w:styleId="Char3">
    <w:name w:val="页脚 Char"/>
    <w:link w:val="ae"/>
    <w:uiPriority w:val="99"/>
    <w:rsid w:val="00700EBA"/>
    <w:rPr>
      <w:rFonts w:ascii="Calibri" w:hAnsi="Calibri"/>
      <w:sz w:val="18"/>
      <w:szCs w:val="18"/>
      <w:lang w:val="es-ES"/>
    </w:rPr>
  </w:style>
  <w:style w:type="character" w:styleId="af">
    <w:name w:val="page number"/>
    <w:uiPriority w:val="99"/>
    <w:semiHidden/>
    <w:unhideWhenUsed/>
    <w:rsid w:val="00010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rFonts w:ascii="Calibri" w:hAnsi="Calibri"/>
      <w:sz w:val="22"/>
      <w:szCs w:val="22"/>
      <w:lang w:val="es-ES"/>
    </w:rPr>
  </w:style>
  <w:style w:type="paragraph" w:styleId="1">
    <w:name w:val="heading 1"/>
    <w:basedOn w:val="a"/>
    <w:next w:val="a"/>
    <w:qFormat/>
    <w:pPr>
      <w:keepNext/>
      <w:keepLines/>
      <w:tabs>
        <w:tab w:val="num" w:pos="0"/>
      </w:tab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ascii="Symbol" w:hAnsi="Symbol" w:cs="Symbol" w:hint="default"/>
      <w:b/>
      <w:sz w:val="2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Symbol" w:hAnsi="Symbol" w:cs="Symbol" w:hint="default"/>
      <w:sz w:val="20"/>
    </w:rPr>
  </w:style>
  <w:style w:type="character" w:customStyle="1" w:styleId="WW8Num14z1">
    <w:name w:val="WW8Num14z1"/>
    <w:rPr>
      <w:rFonts w:ascii="Courier New" w:hAnsi="Courier New" w:cs="Courier New" w:hint="default"/>
      <w:sz w:val="20"/>
    </w:rPr>
  </w:style>
  <w:style w:type="character" w:customStyle="1" w:styleId="WW8Num14z2">
    <w:name w:val="WW8Num14z2"/>
    <w:rPr>
      <w:rFonts w:ascii="Wingdings" w:hAnsi="Wingdings" w:cs="Wingdings" w:hint="default"/>
      <w:sz w:val="20"/>
    </w:rPr>
  </w:style>
  <w:style w:type="character" w:customStyle="1" w:styleId="WW8Num15z0">
    <w:name w:val="WW8Num15z0"/>
    <w:rPr>
      <w:rFonts w:ascii="Symbol" w:hAnsi="Symbol" w:cs="Symbol" w:hint="default"/>
      <w:sz w:val="20"/>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8Num18z0">
    <w:name w:val="WW8Num18z0"/>
    <w:rPr>
      <w:rFonts w:ascii="Symbol" w:hAnsi="Symbol" w:cs="Symbol" w:hint="default"/>
      <w:sz w:val="20"/>
    </w:rPr>
  </w:style>
  <w:style w:type="character" w:customStyle="1" w:styleId="WW8Num18z1">
    <w:name w:val="WW8Num18z1"/>
    <w:rPr>
      <w:rFonts w:ascii="Courier New" w:hAnsi="Courier New" w:cs="Courier New" w:hint="default"/>
      <w:sz w:val="20"/>
    </w:rPr>
  </w:style>
  <w:style w:type="character" w:customStyle="1" w:styleId="WW8Num18z2">
    <w:name w:val="WW8Num18z2"/>
    <w:rPr>
      <w:rFonts w:ascii="Wingdings" w:hAnsi="Wingdings" w:cs="Wingdings" w:hint="default"/>
      <w:sz w:val="20"/>
    </w:rPr>
  </w:style>
  <w:style w:type="character" w:customStyle="1" w:styleId="WW8Num19z0">
    <w:name w:val="WW8Num19z0"/>
    <w:rPr>
      <w:rFonts w:ascii="Symbol" w:hAnsi="Symbol" w:cs="Symbol" w:hint="default"/>
      <w:sz w:val="20"/>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rPr>
      <w:rFonts w:ascii="Symbol" w:hAnsi="Symbol" w:cs="Symbol"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sz w:val="20"/>
    </w:rPr>
  </w:style>
  <w:style w:type="character" w:customStyle="1" w:styleId="WW8Num24z1">
    <w:name w:val="WW8Num24z1"/>
    <w:rPr>
      <w:rFonts w:ascii="Courier New" w:hAnsi="Courier New" w:cs="Courier New" w:hint="default"/>
      <w:sz w:val="20"/>
    </w:rPr>
  </w:style>
  <w:style w:type="character" w:customStyle="1" w:styleId="WW8Num24z2">
    <w:name w:val="WW8Num24z2"/>
    <w:rPr>
      <w:rFonts w:ascii="Wingdings" w:hAnsi="Wingdings" w:cs="Wingdings" w:hint="default"/>
      <w:sz w:val="20"/>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Symbol" w:hAnsi="Symbol" w:cs="Symbol" w:hint="default"/>
      <w:sz w:val="20"/>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rPr>
      <w:rFonts w:ascii="Symbol" w:hAnsi="Symbol" w:cs="Symbol" w:hint="default"/>
      <w:sz w:val="20"/>
    </w:rPr>
  </w:style>
  <w:style w:type="character" w:customStyle="1" w:styleId="WW8Num27z1">
    <w:name w:val="WW8Num27z1"/>
    <w:rPr>
      <w:rFonts w:ascii="Courier New" w:hAnsi="Courier New" w:cs="Courier New" w:hint="default"/>
      <w:sz w:val="20"/>
    </w:rPr>
  </w:style>
  <w:style w:type="character" w:customStyle="1" w:styleId="WW8Num27z2">
    <w:name w:val="WW8Num27z2"/>
    <w:rPr>
      <w:rFonts w:ascii="Wingdings" w:hAnsi="Wingdings" w:cs="Wingdings" w:hint="default"/>
      <w:sz w:val="20"/>
    </w:rPr>
  </w:style>
  <w:style w:type="character" w:customStyle="1" w:styleId="WW8Num28z0">
    <w:name w:val="WW8Num28z0"/>
    <w:rPr>
      <w:rFonts w:ascii="Symbol" w:hAnsi="Symbol" w:cs="Symbol" w:hint="default"/>
      <w:sz w:val="20"/>
    </w:rPr>
  </w:style>
  <w:style w:type="character" w:customStyle="1" w:styleId="WW8Num28z1">
    <w:name w:val="WW8Num28z1"/>
    <w:rPr>
      <w:rFonts w:ascii="Courier New" w:hAnsi="Courier New" w:cs="Courier New" w:hint="default"/>
      <w:sz w:val="20"/>
    </w:rPr>
  </w:style>
  <w:style w:type="character" w:customStyle="1" w:styleId="WW8Num28z2">
    <w:name w:val="WW8Num28z2"/>
    <w:rPr>
      <w:rFonts w:ascii="Wingdings" w:hAnsi="Wingdings" w:cs="Wingdings" w:hint="default"/>
      <w:sz w:val="20"/>
    </w:rPr>
  </w:style>
  <w:style w:type="character" w:customStyle="1" w:styleId="WW8Num29z0">
    <w:name w:val="WW8Num29z0"/>
    <w:rPr>
      <w:rFonts w:ascii="Symbol" w:hAnsi="Symbol" w:cs="Symbol" w:hint="default"/>
      <w:sz w:val="20"/>
    </w:rPr>
  </w:style>
  <w:style w:type="character" w:customStyle="1" w:styleId="WW8Num29z1">
    <w:name w:val="WW8Num29z1"/>
    <w:rPr>
      <w:rFonts w:ascii="Courier New" w:hAnsi="Courier New" w:cs="Courier New" w:hint="default"/>
      <w:sz w:val="20"/>
    </w:rPr>
  </w:style>
  <w:style w:type="character" w:customStyle="1" w:styleId="WW8Num29z2">
    <w:name w:val="WW8Num29z2"/>
    <w:rPr>
      <w:rFonts w:ascii="Wingdings" w:hAnsi="Wingdings" w:cs="Wingdings" w:hint="default"/>
      <w:sz w:val="20"/>
    </w:rPr>
  </w:style>
  <w:style w:type="character" w:customStyle="1" w:styleId="WW8Num30z0">
    <w:name w:val="WW8Num30z0"/>
    <w:rPr>
      <w:rFonts w:ascii="Symbol" w:hAnsi="Symbol" w:cs="Symbol" w:hint="default"/>
      <w:sz w:val="20"/>
    </w:rPr>
  </w:style>
  <w:style w:type="character" w:customStyle="1" w:styleId="WW8Num30z1">
    <w:name w:val="WW8Num30z1"/>
    <w:rPr>
      <w:rFonts w:ascii="Courier New" w:hAnsi="Courier New" w:cs="Courier New" w:hint="default"/>
      <w:sz w:val="20"/>
    </w:rPr>
  </w:style>
  <w:style w:type="character" w:customStyle="1" w:styleId="WW8Num30z2">
    <w:name w:val="WW8Num30z2"/>
    <w:rPr>
      <w:rFonts w:ascii="Wingdings" w:hAnsi="Wingdings" w:cs="Wingdings" w:hint="default"/>
      <w:sz w:val="20"/>
    </w:rPr>
  </w:style>
  <w:style w:type="character" w:customStyle="1" w:styleId="WW8Num31z0">
    <w:name w:val="WW8Num31z0"/>
    <w:rPr>
      <w:rFonts w:ascii="Symbol" w:hAnsi="Symbol" w:cs="Symbol" w:hint="default"/>
      <w:sz w:val="20"/>
    </w:rPr>
  </w:style>
  <w:style w:type="character" w:customStyle="1" w:styleId="WW8Num31z1">
    <w:name w:val="WW8Num31z1"/>
    <w:rPr>
      <w:rFonts w:ascii="Courier New" w:hAnsi="Courier New" w:cs="Courier New" w:hint="default"/>
      <w:sz w:val="20"/>
    </w:rPr>
  </w:style>
  <w:style w:type="character" w:customStyle="1" w:styleId="WW8Num31z2">
    <w:name w:val="WW8Num31z2"/>
    <w:rPr>
      <w:rFonts w:ascii="Wingdings" w:hAnsi="Wingdings" w:cs="Wingdings" w:hint="default"/>
      <w:sz w:val="20"/>
    </w:rPr>
  </w:style>
  <w:style w:type="character" w:customStyle="1" w:styleId="WW8Num32z0">
    <w:name w:val="WW8Num32z0"/>
    <w:rPr>
      <w:rFonts w:ascii="Symbol" w:hAnsi="Symbol" w:cs="Symbol" w:hint="default"/>
      <w:sz w:val="20"/>
    </w:rPr>
  </w:style>
  <w:style w:type="character" w:customStyle="1" w:styleId="WW8Num32z1">
    <w:name w:val="WW8Num32z1"/>
    <w:rPr>
      <w:rFonts w:ascii="Courier New" w:hAnsi="Courier New" w:cs="Courier New" w:hint="default"/>
      <w:sz w:val="20"/>
    </w:rPr>
  </w:style>
  <w:style w:type="character" w:customStyle="1" w:styleId="WW8Num32z2">
    <w:name w:val="WW8Num32z2"/>
    <w:rPr>
      <w:rFonts w:ascii="Wingdings" w:hAnsi="Wingdings" w:cs="Wingdings" w:hint="default"/>
      <w:sz w:val="20"/>
    </w:rPr>
  </w:style>
  <w:style w:type="character" w:customStyle="1" w:styleId="WW8Num33z0">
    <w:name w:val="WW8Num33z0"/>
    <w:rPr>
      <w:rFonts w:ascii="Symbol" w:hAnsi="Symbol" w:cs="Symbol" w:hint="default"/>
      <w:sz w:val="20"/>
    </w:rPr>
  </w:style>
  <w:style w:type="character" w:customStyle="1" w:styleId="WW8Num33z1">
    <w:name w:val="WW8Num33z1"/>
    <w:rPr>
      <w:rFonts w:ascii="Courier New" w:hAnsi="Courier New" w:cs="Courier New" w:hint="default"/>
      <w:sz w:val="20"/>
    </w:rPr>
  </w:style>
  <w:style w:type="character" w:customStyle="1" w:styleId="WW8Num33z2">
    <w:name w:val="WW8Num33z2"/>
    <w:rPr>
      <w:rFonts w:ascii="Wingdings" w:hAnsi="Wingdings" w:cs="Wingdings" w:hint="default"/>
      <w:sz w:val="20"/>
    </w:rPr>
  </w:style>
  <w:style w:type="character" w:customStyle="1" w:styleId="WW8Num34z0">
    <w:name w:val="WW8Num34z0"/>
    <w:rPr>
      <w:rFonts w:ascii="Symbol" w:hAnsi="Symbol" w:cs="Symbol" w:hint="default"/>
      <w:sz w:val="20"/>
    </w:rPr>
  </w:style>
  <w:style w:type="character" w:customStyle="1" w:styleId="WW8Num34z1">
    <w:name w:val="WW8Num34z1"/>
    <w:rPr>
      <w:rFonts w:ascii="Courier New" w:hAnsi="Courier New" w:cs="Courier New" w:hint="default"/>
      <w:sz w:val="20"/>
    </w:rPr>
  </w:style>
  <w:style w:type="character" w:customStyle="1" w:styleId="WW8Num34z2">
    <w:name w:val="WW8Num34z2"/>
    <w:rPr>
      <w:rFonts w:ascii="Wingdings" w:hAnsi="Wingdings" w:cs="Wingdings" w:hint="default"/>
      <w:sz w:val="20"/>
    </w:rPr>
  </w:style>
  <w:style w:type="character" w:customStyle="1" w:styleId="WW8Num35z0">
    <w:name w:val="WW8Num35z0"/>
    <w:rPr>
      <w:rFonts w:ascii="Symbol" w:hAnsi="Symbol" w:cs="Symbol" w:hint="default"/>
      <w:sz w:val="20"/>
    </w:rPr>
  </w:style>
  <w:style w:type="character" w:customStyle="1" w:styleId="WW8Num35z1">
    <w:name w:val="WW8Num35z1"/>
    <w:rPr>
      <w:rFonts w:ascii="Courier New" w:hAnsi="Courier New" w:cs="Courier New" w:hint="default"/>
      <w:sz w:val="20"/>
    </w:rPr>
  </w:style>
  <w:style w:type="character" w:customStyle="1" w:styleId="WW8Num35z2">
    <w:name w:val="WW8Num35z2"/>
    <w:rPr>
      <w:rFonts w:ascii="Wingdings" w:hAnsi="Wingdings" w:cs="Wingdings" w:hint="default"/>
      <w:sz w:val="20"/>
    </w:rPr>
  </w:style>
  <w:style w:type="character" w:customStyle="1" w:styleId="WW8Num36z0">
    <w:name w:val="WW8Num36z0"/>
    <w:rPr>
      <w:rFonts w:ascii="Symbol" w:hAnsi="Symbol" w:cs="Symbol" w:hint="default"/>
      <w:sz w:val="20"/>
    </w:rPr>
  </w:style>
  <w:style w:type="character" w:customStyle="1" w:styleId="WW8Num36z1">
    <w:name w:val="WW8Num36z1"/>
    <w:rPr>
      <w:rFonts w:ascii="Courier New" w:hAnsi="Courier New" w:cs="Courier New" w:hint="default"/>
      <w:sz w:val="20"/>
    </w:rPr>
  </w:style>
  <w:style w:type="character" w:customStyle="1" w:styleId="WW8Num36z2">
    <w:name w:val="WW8Num36z2"/>
    <w:rPr>
      <w:rFonts w:ascii="Wingdings" w:hAnsi="Wingdings" w:cs="Wingdings" w:hint="default"/>
      <w:sz w:val="20"/>
    </w:rPr>
  </w:style>
  <w:style w:type="character" w:customStyle="1" w:styleId="WW8Num37z0">
    <w:name w:val="WW8Num37z0"/>
    <w:rPr>
      <w:rFonts w:ascii="Symbol" w:hAnsi="Symbol" w:cs="Symbol" w:hint="default"/>
      <w:sz w:val="20"/>
    </w:rPr>
  </w:style>
  <w:style w:type="character" w:customStyle="1" w:styleId="WW8Num37z1">
    <w:name w:val="WW8Num37z1"/>
    <w:rPr>
      <w:rFonts w:ascii="Courier New" w:hAnsi="Courier New" w:cs="Courier New" w:hint="default"/>
      <w:sz w:val="20"/>
    </w:rPr>
  </w:style>
  <w:style w:type="character" w:customStyle="1" w:styleId="WW8Num37z2">
    <w:name w:val="WW8Num37z2"/>
    <w:rPr>
      <w:rFonts w:ascii="Wingdings" w:hAnsi="Wingdings" w:cs="Wingdings" w:hint="default"/>
      <w:sz w:val="20"/>
    </w:rPr>
  </w:style>
  <w:style w:type="character" w:customStyle="1" w:styleId="WW8Num38z0">
    <w:name w:val="WW8Num38z0"/>
    <w:rPr>
      <w:rFonts w:ascii="Symbol" w:hAnsi="Symbol" w:cs="Symbol" w:hint="default"/>
      <w:sz w:val="20"/>
    </w:rPr>
  </w:style>
  <w:style w:type="character" w:customStyle="1" w:styleId="WW8Num38z1">
    <w:name w:val="WW8Num38z1"/>
    <w:rPr>
      <w:rFonts w:ascii="Courier New" w:hAnsi="Courier New" w:cs="Courier New" w:hint="default"/>
      <w:sz w:val="20"/>
    </w:rPr>
  </w:style>
  <w:style w:type="character" w:customStyle="1" w:styleId="WW8Num38z2">
    <w:name w:val="WW8Num38z2"/>
    <w:rPr>
      <w:rFonts w:ascii="Wingdings" w:hAnsi="Wingdings" w:cs="Wingdings" w:hint="default"/>
      <w:sz w:val="20"/>
    </w:rPr>
  </w:style>
  <w:style w:type="character" w:customStyle="1" w:styleId="WW8Num39z0">
    <w:name w:val="WW8Num39z0"/>
    <w:rPr>
      <w:rFonts w:ascii="Symbol" w:hAnsi="Symbol" w:cs="Symbol" w:hint="default"/>
      <w:sz w:val="20"/>
    </w:rPr>
  </w:style>
  <w:style w:type="character" w:customStyle="1" w:styleId="WW8Num39z1">
    <w:name w:val="WW8Num39z1"/>
    <w:rPr>
      <w:rFonts w:ascii="Courier New" w:hAnsi="Courier New" w:cs="Courier New" w:hint="default"/>
      <w:sz w:val="20"/>
    </w:rPr>
  </w:style>
  <w:style w:type="character" w:customStyle="1" w:styleId="WW8Num39z2">
    <w:name w:val="WW8Num39z2"/>
    <w:rPr>
      <w:rFonts w:ascii="Wingdings" w:hAnsi="Wingdings" w:cs="Wingdings" w:hint="default"/>
      <w:sz w:val="20"/>
    </w:rPr>
  </w:style>
  <w:style w:type="character" w:customStyle="1" w:styleId="WW8Num40z0">
    <w:name w:val="WW8Num40z0"/>
    <w:rPr>
      <w:rFonts w:ascii="Symbol" w:hAnsi="Symbol" w:cs="Symbol" w:hint="default"/>
      <w:sz w:val="20"/>
    </w:rPr>
  </w:style>
  <w:style w:type="character" w:customStyle="1" w:styleId="WW8Num40z1">
    <w:name w:val="WW8Num40z1"/>
    <w:rPr>
      <w:rFonts w:ascii="Courier New" w:hAnsi="Courier New" w:cs="Courier New" w:hint="default"/>
      <w:sz w:val="20"/>
    </w:rPr>
  </w:style>
  <w:style w:type="character" w:customStyle="1" w:styleId="WW8Num40z2">
    <w:name w:val="WW8Num40z2"/>
    <w:rPr>
      <w:rFonts w:ascii="Wingdings" w:hAnsi="Wingdings" w:cs="Wingdings" w:hint="default"/>
      <w:sz w:val="20"/>
    </w:rPr>
  </w:style>
  <w:style w:type="character" w:customStyle="1" w:styleId="WW8Num41z0">
    <w:name w:val="WW8Num41z0"/>
    <w:rPr>
      <w:rFonts w:ascii="Symbol" w:hAnsi="Symbol" w:cs="Symbol" w:hint="default"/>
      <w:sz w:val="20"/>
    </w:rPr>
  </w:style>
  <w:style w:type="character" w:customStyle="1" w:styleId="WW8Num41z1">
    <w:name w:val="WW8Num41z1"/>
    <w:rPr>
      <w:rFonts w:ascii="Courier New" w:hAnsi="Courier New" w:cs="Courier New" w:hint="default"/>
      <w:sz w:val="20"/>
    </w:rPr>
  </w:style>
  <w:style w:type="character" w:customStyle="1" w:styleId="WW8Num41z2">
    <w:name w:val="WW8Num41z2"/>
    <w:rPr>
      <w:rFonts w:ascii="Wingdings" w:hAnsi="Wingdings" w:cs="Wingdings" w:hint="default"/>
      <w:sz w:val="20"/>
    </w:rPr>
  </w:style>
  <w:style w:type="character" w:customStyle="1" w:styleId="WW8Num42z0">
    <w:name w:val="WW8Num42z0"/>
    <w:rPr>
      <w:rFonts w:ascii="Symbol" w:hAnsi="Symbol" w:cs="Symbol" w:hint="default"/>
      <w:sz w:val="20"/>
    </w:rPr>
  </w:style>
  <w:style w:type="character" w:customStyle="1" w:styleId="WW8Num42z1">
    <w:name w:val="WW8Num42z1"/>
    <w:rPr>
      <w:rFonts w:ascii="Courier New" w:hAnsi="Courier New" w:cs="Courier New" w:hint="default"/>
      <w:sz w:val="20"/>
    </w:rPr>
  </w:style>
  <w:style w:type="character" w:customStyle="1" w:styleId="WW8Num42z2">
    <w:name w:val="WW8Num42z2"/>
    <w:rPr>
      <w:rFonts w:ascii="Wingdings" w:hAnsi="Wingdings" w:cs="Wingdings" w:hint="default"/>
      <w:sz w:val="20"/>
    </w:rPr>
  </w:style>
  <w:style w:type="character" w:customStyle="1" w:styleId="WW8Num43z0">
    <w:name w:val="WW8Num43z0"/>
    <w:rPr>
      <w:rFonts w:ascii="Symbol" w:hAnsi="Symbol" w:cs="Symbol" w:hint="default"/>
      <w:sz w:val="20"/>
    </w:rPr>
  </w:style>
  <w:style w:type="character" w:customStyle="1" w:styleId="WW8Num43z1">
    <w:name w:val="WW8Num43z1"/>
    <w:rPr>
      <w:rFonts w:ascii="Courier New" w:hAnsi="Courier New" w:cs="Courier New" w:hint="default"/>
      <w:sz w:val="20"/>
    </w:rPr>
  </w:style>
  <w:style w:type="character" w:customStyle="1" w:styleId="WW8Num43z2">
    <w:name w:val="WW8Num43z2"/>
    <w:rPr>
      <w:rFonts w:ascii="Wingdings" w:hAnsi="Wingdings" w:cs="Wingdings" w:hint="default"/>
      <w:sz w:val="20"/>
    </w:rPr>
  </w:style>
  <w:style w:type="character" w:customStyle="1" w:styleId="Fuentedeprrafopredeter1">
    <w:name w:val="Fuente de párrafo predeter.1"/>
  </w:style>
  <w:style w:type="character" w:customStyle="1" w:styleId="TextodegloboCar">
    <w:name w:val="Texto de globo Car"/>
    <w:rPr>
      <w:rFonts w:ascii="Segoe UI" w:eastAsia="宋体" w:hAnsi="Segoe UI" w:cs="Segoe UI"/>
      <w:sz w:val="18"/>
      <w:szCs w:val="18"/>
    </w:rPr>
  </w:style>
  <w:style w:type="character" w:customStyle="1" w:styleId="Ttulo1Car">
    <w:name w:val="Título 1 Car"/>
    <w:rPr>
      <w:rFonts w:ascii="Calibri Light" w:eastAsia="Times New Roman" w:hAnsi="Calibri Light" w:cs="Times New Roman"/>
      <w:color w:val="2F5496"/>
      <w:sz w:val="32"/>
      <w:szCs w:val="32"/>
    </w:rPr>
  </w:style>
  <w:style w:type="character" w:styleId="a3">
    <w:name w:val="Emphasis"/>
    <w:qFormat/>
    <w:rPr>
      <w:i/>
      <w:iCs/>
    </w:rPr>
  </w:style>
  <w:style w:type="character" w:customStyle="1" w:styleId="Refdecomentario1">
    <w:name w:val="Ref. de comentario1"/>
    <w:rPr>
      <w:sz w:val="16"/>
      <w:szCs w:val="16"/>
    </w:rPr>
  </w:style>
  <w:style w:type="character" w:customStyle="1" w:styleId="TextocomentarioCar">
    <w:name w:val="Texto comentario Car"/>
    <w:rPr>
      <w:sz w:val="20"/>
      <w:szCs w:val="20"/>
    </w:rPr>
  </w:style>
  <w:style w:type="character" w:customStyle="1" w:styleId="TextocomentarioCar1">
    <w:name w:val="Texto comentario Car1"/>
    <w:rPr>
      <w:rFonts w:eastAsia="宋体"/>
      <w:sz w:val="20"/>
      <w:szCs w:val="20"/>
    </w:rPr>
  </w:style>
  <w:style w:type="character" w:customStyle="1" w:styleId="AsuntodelcomentarioCar">
    <w:name w:val="Asunto del comentario Car"/>
    <w:rPr>
      <w:b/>
      <w:bCs/>
      <w:sz w:val="20"/>
      <w:szCs w:val="20"/>
    </w:rPr>
  </w:style>
  <w:style w:type="character" w:customStyle="1" w:styleId="AsuntodelcomentarioCar1">
    <w:name w:val="Asunto del comentario Car1"/>
    <w:rPr>
      <w:rFonts w:eastAsia="宋体"/>
      <w:b/>
      <w:bCs/>
      <w:sz w:val="20"/>
      <w:szCs w:val="20"/>
    </w:rPr>
  </w:style>
  <w:style w:type="character" w:customStyle="1" w:styleId="HTMLconformatoprevioCar">
    <w:name w:val="HTML con formato previo Car"/>
    <w:rPr>
      <w:rFonts w:ascii="Courier New" w:eastAsia="Times New Roman" w:hAnsi="Courier New" w:cs="Courier New"/>
      <w:sz w:val="20"/>
      <w:szCs w:val="20"/>
    </w:rPr>
  </w:style>
  <w:style w:type="character" w:customStyle="1" w:styleId="HTMLconformatoprevioCar1">
    <w:name w:val="HTML con formato previo Car1"/>
    <w:rPr>
      <w:rFonts w:ascii="Consolas" w:eastAsia="宋体" w:hAnsi="Consolas" w:cs="Consolas"/>
      <w:sz w:val="20"/>
      <w:szCs w:val="20"/>
    </w:rPr>
  </w:style>
  <w:style w:type="character" w:styleId="a4">
    <w:name w:val="Hyperlink"/>
    <w:rPr>
      <w:color w:val="0000FF"/>
      <w:u w:val="single"/>
    </w:rPr>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Calibri" w:cs="Calibri"/>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eastAsia="Calibri" w:cs="Calibri"/>
      <w:b w:val="0"/>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eastAsia="Calibri"/>
      <w:b w:val="0"/>
      <w:sz w:val="20"/>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ascii="Helvetica" w:hAnsi="Helvetica" w:cs="Helvetica"/>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rFonts w:cs="Calibri"/>
      <w:b w:val="0"/>
      <w:sz w:val="20"/>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cs="Symbol"/>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b/>
      <w:sz w:val="20"/>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sz w:val="20"/>
    </w:rPr>
  </w:style>
  <w:style w:type="character" w:customStyle="1" w:styleId="ListLabel45">
    <w:name w:val="ListLabel 45"/>
    <w:rPr>
      <w:rFonts w:cs="Symbol"/>
      <w:sz w:val="20"/>
    </w:rPr>
  </w:style>
  <w:style w:type="character" w:customStyle="1" w:styleId="ListLabel46">
    <w:name w:val="ListLabel 46"/>
    <w:rPr>
      <w:rFonts w:cs="Symbol"/>
      <w:sz w:val="20"/>
    </w:rPr>
  </w:style>
  <w:style w:type="character" w:customStyle="1" w:styleId="ListLabel47">
    <w:name w:val="ListLabel 47"/>
    <w:rPr>
      <w:rFonts w:cs="Symbol"/>
      <w:sz w:val="20"/>
    </w:rPr>
  </w:style>
  <w:style w:type="character" w:customStyle="1" w:styleId="ListLabel48">
    <w:name w:val="ListLabel 48"/>
    <w:rPr>
      <w:rFonts w:cs="Symbol"/>
      <w:sz w:val="20"/>
    </w:rPr>
  </w:style>
  <w:style w:type="character" w:customStyle="1" w:styleId="ListLabel49">
    <w:name w:val="ListLabel 49"/>
    <w:rPr>
      <w:rFonts w:cs="Symbol"/>
      <w:sz w:val="20"/>
    </w:rPr>
  </w:style>
  <w:style w:type="character" w:customStyle="1" w:styleId="ListLabel50">
    <w:name w:val="ListLabel 50"/>
    <w:rPr>
      <w:rFonts w:cs="Symbol"/>
      <w:sz w:val="20"/>
    </w:rPr>
  </w:style>
  <w:style w:type="character" w:customStyle="1" w:styleId="ListLabel51">
    <w:name w:val="ListLabel 51"/>
    <w:rPr>
      <w:rFonts w:cs="Symbol"/>
      <w:sz w:val="20"/>
    </w:rPr>
  </w:style>
  <w:style w:type="character" w:customStyle="1" w:styleId="ListLabel52">
    <w:name w:val="ListLabel 52"/>
    <w:rPr>
      <w:rFonts w:cs="Symbol"/>
      <w:sz w:val="20"/>
    </w:rPr>
  </w:style>
  <w:style w:type="character" w:customStyle="1" w:styleId="ListLabel53">
    <w:name w:val="ListLabel 53"/>
    <w:rPr>
      <w:rFonts w:eastAsia="Calibri" w:cs="Calibri"/>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TtuloCar">
    <w:name w:val="Título Car"/>
    <w:rPr>
      <w:rFonts w:ascii="Liberation Sans" w:eastAsia="微软雅黑" w:hAnsi="Liberation Sans" w:cs="Mangal"/>
      <w:sz w:val="28"/>
      <w:szCs w:val="28"/>
    </w:rPr>
  </w:style>
  <w:style w:type="character" w:customStyle="1" w:styleId="TextoindependienteCar">
    <w:name w:val="Texto independiente Car"/>
    <w:rPr>
      <w:rFonts w:eastAsia="宋体"/>
    </w:rPr>
  </w:style>
  <w:style w:type="character" w:styleId="a5">
    <w:name w:val="Strong"/>
    <w:qFormat/>
    <w:rPr>
      <w:b/>
      <w:bCs/>
    </w:rPr>
  </w:style>
  <w:style w:type="character" w:customStyle="1" w:styleId="Hipervnculo1">
    <w:name w:val="Hipervínculo1"/>
    <w:rPr>
      <w:color w:val="0563C1"/>
      <w:u w:val="single"/>
    </w:rPr>
  </w:style>
  <w:style w:type="character" w:customStyle="1" w:styleId="id-label">
    <w:name w:val="id-label"/>
  </w:style>
  <w:style w:type="character" w:customStyle="1" w:styleId="authors-list-item">
    <w:name w:val="authors-list-item"/>
  </w:style>
  <w:style w:type="character" w:customStyle="1" w:styleId="comma">
    <w:name w:val="comma"/>
  </w:style>
  <w:style w:type="character" w:customStyle="1" w:styleId="author-sup-separator">
    <w:name w:val="author-sup-separator"/>
  </w:style>
  <w:style w:type="character" w:customStyle="1" w:styleId="identifier">
    <w:name w:val="identifier"/>
  </w:style>
  <w:style w:type="character" w:customStyle="1" w:styleId="volume-issue-pages">
    <w:name w:val="volume-issue-pages"/>
  </w:style>
  <w:style w:type="character" w:customStyle="1" w:styleId="publication-date">
    <w:name w:val="publication-date"/>
  </w:style>
  <w:style w:type="paragraph" w:customStyle="1" w:styleId="Ttulo1">
    <w:name w:val="Título1"/>
    <w:basedOn w:val="a"/>
    <w:next w:val="a6"/>
    <w:pPr>
      <w:keepNext/>
      <w:spacing w:before="240" w:after="120"/>
    </w:pPr>
    <w:rPr>
      <w:rFonts w:ascii="Liberation Sans" w:eastAsia="微软雅黑"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ndice">
    <w:name w:val="Índice"/>
    <w:basedOn w:val="a"/>
    <w:pPr>
      <w:suppressLineNumbers/>
    </w:pPr>
    <w:rPr>
      <w:rFonts w:cs="Mangal"/>
    </w:rPr>
  </w:style>
  <w:style w:type="paragraph" w:customStyle="1" w:styleId="10">
    <w:name w:val="正文1"/>
    <w:pPr>
      <w:suppressAutoHyphens/>
      <w:spacing w:line="276" w:lineRule="auto"/>
    </w:pPr>
    <w:rPr>
      <w:rFonts w:ascii="Arial" w:hAnsi="Arial" w:cs="Arial"/>
      <w:color w:val="000000"/>
      <w:sz w:val="22"/>
      <w:lang w:val="pl-PL"/>
    </w:rPr>
  </w:style>
  <w:style w:type="paragraph" w:customStyle="1" w:styleId="Textodeglobo1">
    <w:name w:val="Texto de globo1"/>
    <w:basedOn w:val="a"/>
    <w:pPr>
      <w:spacing w:after="0" w:line="240" w:lineRule="auto"/>
    </w:pPr>
    <w:rPr>
      <w:rFonts w:ascii="Segoe UI" w:hAnsi="Segoe UI" w:cs="Segoe UI"/>
      <w:sz w:val="18"/>
      <w:szCs w:val="18"/>
    </w:rPr>
  </w:style>
  <w:style w:type="paragraph" w:customStyle="1" w:styleId="Textocomentario1">
    <w:name w:val="Texto comentario1"/>
    <w:basedOn w:val="a"/>
    <w:pPr>
      <w:spacing w:line="240" w:lineRule="auto"/>
    </w:pPr>
    <w:rPr>
      <w:rFonts w:eastAsia="Calibri"/>
      <w:sz w:val="20"/>
      <w:szCs w:val="20"/>
    </w:rPr>
  </w:style>
  <w:style w:type="paragraph" w:customStyle="1" w:styleId="Asuntodelcomentario1">
    <w:name w:val="Asunto del comentario1"/>
    <w:basedOn w:val="Textocomentario1"/>
    <w:rPr>
      <w:b/>
      <w:bCs/>
    </w:rPr>
  </w:style>
  <w:style w:type="paragraph" w:customStyle="1" w:styleId="HTMLconformatoprevio1">
    <w:name w:val="HTML con formato previo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Descripcin1">
    <w:name w:val="Descripción1"/>
    <w:basedOn w:val="a"/>
    <w:pPr>
      <w:suppressLineNumbers/>
      <w:spacing w:before="120" w:after="120"/>
    </w:pPr>
    <w:rPr>
      <w:rFonts w:cs="Mangal"/>
      <w:i/>
      <w:iCs/>
      <w:sz w:val="24"/>
      <w:szCs w:val="24"/>
    </w:rPr>
  </w:style>
  <w:style w:type="paragraph" w:customStyle="1" w:styleId="Prrafodelista1">
    <w:name w:val="Párrafo de lista1"/>
    <w:basedOn w:val="a"/>
    <w:pPr>
      <w:ind w:left="720"/>
      <w:contextualSpacing/>
    </w:pPr>
  </w:style>
  <w:style w:type="paragraph" w:customStyle="1" w:styleId="Bibliografa1">
    <w:name w:val="Bibliografía1"/>
    <w:basedOn w:val="a"/>
    <w:next w:val="a"/>
  </w:style>
  <w:style w:type="paragraph" w:customStyle="1" w:styleId="minusjama">
    <w:name w:val="minus_jama"/>
    <w:basedOn w:val="a"/>
    <w:pPr>
      <w:spacing w:before="280" w:after="280" w:line="240" w:lineRule="auto"/>
    </w:pPr>
    <w:rPr>
      <w:rFonts w:ascii="Times New Roman" w:eastAsia="Times New Roman" w:hAnsi="Times New Roman"/>
      <w:sz w:val="24"/>
      <w:szCs w:val="24"/>
    </w:rPr>
  </w:style>
  <w:style w:type="paragraph" w:customStyle="1" w:styleId="NormalWeb1">
    <w:name w:val="Normal (Web)1"/>
    <w:basedOn w:val="a"/>
    <w:pPr>
      <w:spacing w:before="280" w:after="280" w:line="240" w:lineRule="auto"/>
    </w:pPr>
    <w:rPr>
      <w:rFonts w:ascii="Times New Roman" w:eastAsia="Times New Roman" w:hAnsi="Times New Roman"/>
      <w:sz w:val="24"/>
      <w:szCs w:val="24"/>
    </w:rPr>
  </w:style>
  <w:style w:type="paragraph" w:customStyle="1" w:styleId="Contenidodelatabla">
    <w:name w:val="Contenido de la tabla"/>
    <w:basedOn w:val="a"/>
    <w:pPr>
      <w:suppressLineNumbers/>
    </w:pPr>
  </w:style>
  <w:style w:type="paragraph" w:customStyle="1" w:styleId="Ttulodelatabla">
    <w:name w:val="Título de la tabla"/>
    <w:basedOn w:val="Contenidodelatabla"/>
    <w:pPr>
      <w:jc w:val="center"/>
    </w:pPr>
    <w:rPr>
      <w:b/>
      <w:bCs/>
    </w:rPr>
  </w:style>
  <w:style w:type="character" w:styleId="a9">
    <w:name w:val="annotation reference"/>
    <w:uiPriority w:val="99"/>
    <w:semiHidden/>
    <w:unhideWhenUsed/>
    <w:rsid w:val="00D31002"/>
    <w:rPr>
      <w:sz w:val="21"/>
      <w:szCs w:val="21"/>
    </w:rPr>
  </w:style>
  <w:style w:type="paragraph" w:styleId="aa">
    <w:name w:val="annotation text"/>
    <w:basedOn w:val="a"/>
    <w:link w:val="Char"/>
    <w:uiPriority w:val="99"/>
    <w:semiHidden/>
    <w:unhideWhenUsed/>
    <w:rsid w:val="00D31002"/>
  </w:style>
  <w:style w:type="character" w:customStyle="1" w:styleId="Char">
    <w:name w:val="批注文字 Char"/>
    <w:link w:val="aa"/>
    <w:uiPriority w:val="99"/>
    <w:semiHidden/>
    <w:rsid w:val="00D31002"/>
    <w:rPr>
      <w:rFonts w:ascii="Calibri" w:eastAsia="宋体" w:hAnsi="Calibri"/>
      <w:sz w:val="22"/>
      <w:szCs w:val="22"/>
      <w:lang w:val="es-ES"/>
    </w:rPr>
  </w:style>
  <w:style w:type="paragraph" w:styleId="ab">
    <w:name w:val="annotation subject"/>
    <w:basedOn w:val="aa"/>
    <w:next w:val="aa"/>
    <w:link w:val="Char0"/>
    <w:uiPriority w:val="99"/>
    <w:semiHidden/>
    <w:unhideWhenUsed/>
    <w:rsid w:val="00D31002"/>
    <w:rPr>
      <w:b/>
      <w:bCs/>
    </w:rPr>
  </w:style>
  <w:style w:type="character" w:customStyle="1" w:styleId="Char0">
    <w:name w:val="批注主题 Char"/>
    <w:link w:val="ab"/>
    <w:uiPriority w:val="99"/>
    <w:semiHidden/>
    <w:rsid w:val="00D31002"/>
    <w:rPr>
      <w:rFonts w:ascii="Calibri" w:eastAsia="宋体" w:hAnsi="Calibri"/>
      <w:b/>
      <w:bCs/>
      <w:sz w:val="22"/>
      <w:szCs w:val="22"/>
      <w:lang w:val="es-ES"/>
    </w:rPr>
  </w:style>
  <w:style w:type="paragraph" w:styleId="ac">
    <w:name w:val="Balloon Text"/>
    <w:basedOn w:val="a"/>
    <w:link w:val="Char1"/>
    <w:uiPriority w:val="99"/>
    <w:semiHidden/>
    <w:unhideWhenUsed/>
    <w:rsid w:val="00D31002"/>
    <w:pPr>
      <w:spacing w:after="0" w:line="240" w:lineRule="auto"/>
    </w:pPr>
    <w:rPr>
      <w:sz w:val="18"/>
      <w:szCs w:val="18"/>
    </w:rPr>
  </w:style>
  <w:style w:type="character" w:customStyle="1" w:styleId="Char1">
    <w:name w:val="批注框文本 Char"/>
    <w:link w:val="ac"/>
    <w:uiPriority w:val="99"/>
    <w:semiHidden/>
    <w:rsid w:val="00D31002"/>
    <w:rPr>
      <w:rFonts w:ascii="Calibri" w:eastAsia="宋体" w:hAnsi="Calibri"/>
      <w:sz w:val="18"/>
      <w:szCs w:val="18"/>
      <w:lang w:val="es-ES"/>
    </w:rPr>
  </w:style>
  <w:style w:type="paragraph" w:styleId="ad">
    <w:name w:val="header"/>
    <w:basedOn w:val="a"/>
    <w:link w:val="Char2"/>
    <w:uiPriority w:val="99"/>
    <w:unhideWhenUsed/>
    <w:rsid w:val="00700EB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link w:val="ad"/>
    <w:uiPriority w:val="99"/>
    <w:rsid w:val="00700EBA"/>
    <w:rPr>
      <w:rFonts w:ascii="Calibri" w:hAnsi="Calibri"/>
      <w:sz w:val="18"/>
      <w:szCs w:val="18"/>
      <w:lang w:val="es-ES"/>
    </w:rPr>
  </w:style>
  <w:style w:type="paragraph" w:styleId="ae">
    <w:name w:val="footer"/>
    <w:basedOn w:val="a"/>
    <w:link w:val="Char3"/>
    <w:uiPriority w:val="99"/>
    <w:unhideWhenUsed/>
    <w:rsid w:val="00700EBA"/>
    <w:pPr>
      <w:tabs>
        <w:tab w:val="center" w:pos="4153"/>
        <w:tab w:val="right" w:pos="8306"/>
      </w:tabs>
      <w:snapToGrid w:val="0"/>
      <w:spacing w:line="240" w:lineRule="auto"/>
    </w:pPr>
    <w:rPr>
      <w:sz w:val="18"/>
      <w:szCs w:val="18"/>
    </w:rPr>
  </w:style>
  <w:style w:type="character" w:customStyle="1" w:styleId="Char3">
    <w:name w:val="页脚 Char"/>
    <w:link w:val="ae"/>
    <w:uiPriority w:val="99"/>
    <w:rsid w:val="00700EBA"/>
    <w:rPr>
      <w:rFonts w:ascii="Calibri" w:hAnsi="Calibri"/>
      <w:sz w:val="18"/>
      <w:szCs w:val="18"/>
      <w:lang w:val="es-ES"/>
    </w:rPr>
  </w:style>
  <w:style w:type="character" w:styleId="af">
    <w:name w:val="page number"/>
    <w:uiPriority w:val="99"/>
    <w:semiHidden/>
    <w:unhideWhenUsed/>
    <w:rsid w:val="00010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23833">
      <w:bodyDiv w:val="1"/>
      <w:marLeft w:val="0"/>
      <w:marRight w:val="0"/>
      <w:marTop w:val="0"/>
      <w:marBottom w:val="0"/>
      <w:divBdr>
        <w:top w:val="none" w:sz="0" w:space="0" w:color="auto"/>
        <w:left w:val="none" w:sz="0" w:space="0" w:color="auto"/>
        <w:bottom w:val="none" w:sz="0" w:space="0" w:color="auto"/>
        <w:right w:val="none" w:sz="0" w:space="0" w:color="auto"/>
      </w:divBdr>
    </w:div>
    <w:div w:id="15726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0DA25-179B-4E85-9D8B-5517F6E5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7131</Words>
  <Characters>40649</Characters>
  <Application>Microsoft Office Word</Application>
  <DocSecurity>0</DocSecurity>
  <Lines>338</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47685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1995-11-21T09:41:00Z</cp:lastPrinted>
  <dcterms:created xsi:type="dcterms:W3CDTF">2020-04-06T08:06:00Z</dcterms:created>
  <dcterms:modified xsi:type="dcterms:W3CDTF">2020-04-06T08:47:00Z</dcterms:modified>
</cp:coreProperties>
</file>