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3" w:rsidRPr="006F3B88" w:rsidRDefault="00C43C73" w:rsidP="006F3B88">
      <w:pPr>
        <w:snapToGrid w:val="0"/>
        <w:spacing w:line="360" w:lineRule="auto"/>
        <w:jc w:val="both"/>
        <w:outlineLvl w:val="0"/>
        <w:rPr>
          <w:rFonts w:ascii="Book Antiqua" w:eastAsia="Arial Unicode MS" w:hAnsi="Book Antiqua"/>
          <w:b/>
          <w:color w:val="000000" w:themeColor="text1"/>
          <w:u w:color="000000"/>
          <w:lang w:eastAsia="zh-CN"/>
        </w:rPr>
      </w:pPr>
      <w:r w:rsidRPr="006F3B88">
        <w:rPr>
          <w:rFonts w:ascii="Book Antiqua" w:eastAsia="Arial Unicode MS" w:hAnsi="Book Antiqua"/>
          <w:b/>
          <w:color w:val="000000" w:themeColor="text1"/>
          <w:u w:color="000000"/>
          <w:lang w:eastAsia="zh-CN"/>
        </w:rPr>
        <w:t xml:space="preserve">Name of Journal: </w:t>
      </w:r>
      <w:r w:rsidRPr="006F3B88">
        <w:rPr>
          <w:rFonts w:ascii="Book Antiqua" w:eastAsia="Arial Unicode MS" w:hAnsi="Book Antiqua"/>
          <w:i/>
          <w:color w:val="000000" w:themeColor="text1"/>
          <w:u w:color="000000"/>
          <w:lang w:eastAsia="zh-CN"/>
        </w:rPr>
        <w:t>World Journal of Gastroenterology</w:t>
      </w:r>
    </w:p>
    <w:p w:rsidR="00C43C73" w:rsidRPr="006F3B88" w:rsidRDefault="00C43C73" w:rsidP="006F3B88">
      <w:pPr>
        <w:snapToGrid w:val="0"/>
        <w:spacing w:line="360" w:lineRule="auto"/>
        <w:jc w:val="both"/>
        <w:outlineLvl w:val="0"/>
        <w:rPr>
          <w:rFonts w:ascii="Book Antiqua" w:eastAsia="Arial Unicode MS" w:hAnsi="Book Antiqua"/>
          <w:b/>
          <w:color w:val="000000" w:themeColor="text1"/>
          <w:u w:color="000000"/>
          <w:lang w:eastAsia="zh-CN"/>
        </w:rPr>
      </w:pPr>
      <w:r w:rsidRPr="006F3B88">
        <w:rPr>
          <w:rFonts w:ascii="Book Antiqua" w:eastAsia="Arial Unicode MS" w:hAnsi="Book Antiqua"/>
          <w:b/>
          <w:color w:val="000000" w:themeColor="text1"/>
          <w:u w:color="000000"/>
          <w:lang w:eastAsia="zh-CN"/>
        </w:rPr>
        <w:t xml:space="preserve">Manuscript NO: </w:t>
      </w:r>
      <w:r w:rsidRPr="006F3B88">
        <w:rPr>
          <w:rFonts w:ascii="Book Antiqua" w:eastAsia="Arial Unicode MS" w:hAnsi="Book Antiqua"/>
          <w:color w:val="000000" w:themeColor="text1"/>
          <w:u w:color="000000"/>
          <w:lang w:eastAsia="zh-CN"/>
        </w:rPr>
        <w:t>53164</w:t>
      </w:r>
    </w:p>
    <w:p w:rsidR="00C43C73" w:rsidRPr="006F3B88" w:rsidRDefault="00C43C73" w:rsidP="006F3B88">
      <w:pPr>
        <w:snapToGrid w:val="0"/>
        <w:spacing w:line="360" w:lineRule="auto"/>
        <w:jc w:val="both"/>
        <w:outlineLvl w:val="0"/>
        <w:rPr>
          <w:rFonts w:ascii="Book Antiqua" w:eastAsia="Arial Unicode MS" w:hAnsi="Book Antiqua"/>
          <w:b/>
          <w:i/>
          <w:color w:val="000000" w:themeColor="text1"/>
          <w:u w:color="000000"/>
          <w:lang w:eastAsia="zh-CN"/>
        </w:rPr>
      </w:pPr>
      <w:bookmarkStart w:id="0" w:name="OLE_LINK3"/>
      <w:bookmarkStart w:id="1" w:name="OLE_LINK4"/>
      <w:r w:rsidRPr="006F3B88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bookmarkEnd w:id="0"/>
      <w:bookmarkEnd w:id="1"/>
      <w:r w:rsidRPr="006F3B88">
        <w:rPr>
          <w:rFonts w:ascii="Book Antiqua" w:eastAsia="Arial Unicode MS" w:hAnsi="Book Antiqua"/>
          <w:b/>
          <w:color w:val="000000" w:themeColor="text1"/>
          <w:u w:color="000000"/>
          <w:lang w:eastAsia="zh-CN"/>
        </w:rPr>
        <w:t xml:space="preserve">: </w:t>
      </w:r>
      <w:r w:rsidRPr="006F3B88">
        <w:rPr>
          <w:rFonts w:ascii="Book Antiqua" w:hAnsi="Book Antiqua" w:cstheme="minorBidi"/>
          <w:color w:val="000000" w:themeColor="text1"/>
        </w:rPr>
        <w:t>ORIGINAL ARTICLE</w:t>
      </w:r>
    </w:p>
    <w:p w:rsidR="00C43C73" w:rsidRPr="006F3B88" w:rsidRDefault="00C43C73" w:rsidP="006F3B88">
      <w:pPr>
        <w:snapToGrid w:val="0"/>
        <w:spacing w:line="360" w:lineRule="auto"/>
        <w:jc w:val="both"/>
        <w:outlineLvl w:val="0"/>
        <w:rPr>
          <w:rFonts w:ascii="Book Antiqua" w:eastAsia="Arial Unicode MS" w:hAnsi="Book Antiqua"/>
          <w:b/>
          <w:color w:val="000000" w:themeColor="text1"/>
          <w:u w:color="000000"/>
          <w:lang w:eastAsia="zh-CN"/>
        </w:rPr>
      </w:pPr>
    </w:p>
    <w:p w:rsidR="00C43C73" w:rsidRPr="006F3B88" w:rsidRDefault="00C43C73" w:rsidP="006F3B88">
      <w:p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i/>
          <w:color w:val="000000" w:themeColor="text1"/>
          <w:u w:color="000000"/>
          <w:lang w:eastAsia="zh-CN"/>
        </w:rPr>
      </w:pPr>
      <w:r w:rsidRPr="006F3B88">
        <w:rPr>
          <w:rFonts w:ascii="Book Antiqua" w:eastAsia="Arial Unicode MS" w:hAnsi="Book Antiqua"/>
          <w:b/>
          <w:i/>
          <w:color w:val="000000" w:themeColor="text1"/>
          <w:u w:color="000000"/>
          <w:lang w:eastAsia="zh-CN"/>
        </w:rPr>
        <w:t>Prospective Study</w:t>
      </w:r>
    </w:p>
    <w:p w:rsidR="003370F8" w:rsidRPr="006F3B88" w:rsidRDefault="000F576E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t xml:space="preserve">Macrophage inhibitory cytokine-1/growth differentiation factor-15 in premalignant and </w:t>
      </w:r>
      <w:r w:rsidR="00B746E8" w:rsidRPr="006F3B88">
        <w:rPr>
          <w:rFonts w:ascii="Book Antiqua" w:hAnsi="Book Antiqua"/>
          <w:b/>
          <w:color w:val="000000" w:themeColor="text1"/>
        </w:rPr>
        <w:t>neoplastic tumours</w:t>
      </w:r>
      <w:r w:rsidRPr="006F3B88">
        <w:rPr>
          <w:rFonts w:ascii="Book Antiqua" w:hAnsi="Book Antiqua"/>
          <w:b/>
          <w:color w:val="000000" w:themeColor="text1"/>
        </w:rPr>
        <w:t xml:space="preserve"> in a high-risk pancreatic cancer cohort</w:t>
      </w:r>
    </w:p>
    <w:p w:rsidR="001634C4" w:rsidRPr="006F3B88" w:rsidRDefault="001634C4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C43C73" w:rsidRPr="006F3B88" w:rsidRDefault="008446C6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O’Neill </w:t>
      </w:r>
      <w:r w:rsidRPr="006F3B88">
        <w:rPr>
          <w:rFonts w:ascii="Book Antiqua" w:hAnsi="Book Antiqua"/>
          <w:bCs/>
          <w:color w:val="000000" w:themeColor="text1"/>
          <w:lang w:eastAsia="zh-CN"/>
        </w:rPr>
        <w:t xml:space="preserve">RS </w:t>
      </w:r>
      <w:r w:rsidRPr="006F3B88">
        <w:rPr>
          <w:rFonts w:ascii="Book Antiqua" w:hAnsi="Book Antiqua"/>
          <w:bCs/>
          <w:i/>
          <w:iCs/>
          <w:color w:val="000000" w:themeColor="text1"/>
          <w:lang w:eastAsia="zh-CN"/>
        </w:rPr>
        <w:t>et al</w:t>
      </w:r>
      <w:r w:rsidRPr="006F3B88">
        <w:rPr>
          <w:rFonts w:ascii="Book Antiqua" w:hAnsi="Book Antiqua"/>
          <w:bCs/>
          <w:color w:val="000000" w:themeColor="text1"/>
          <w:lang w:eastAsia="zh-CN"/>
        </w:rPr>
        <w:t xml:space="preserve">. </w:t>
      </w:r>
      <w:r w:rsidR="001141EB" w:rsidRPr="006F3B88">
        <w:rPr>
          <w:rFonts w:ascii="Book Antiqua" w:hAnsi="Book Antiqua"/>
          <w:bCs/>
          <w:color w:val="000000" w:themeColor="text1"/>
        </w:rPr>
        <w:t xml:space="preserve">MIC-1 in </w:t>
      </w:r>
      <w:r w:rsidR="00837593" w:rsidRPr="006F3B88">
        <w:rPr>
          <w:rFonts w:ascii="Book Antiqua" w:hAnsi="Book Antiqua"/>
          <w:bCs/>
          <w:color w:val="000000" w:themeColor="text1"/>
        </w:rPr>
        <w:t>PC</w:t>
      </w:r>
      <w:r w:rsidR="001141EB" w:rsidRPr="006F3B88">
        <w:rPr>
          <w:rFonts w:ascii="Book Antiqua" w:hAnsi="Book Antiqua"/>
          <w:bCs/>
          <w:color w:val="000000" w:themeColor="text1"/>
        </w:rPr>
        <w:t xml:space="preserve"> screening</w:t>
      </w:r>
    </w:p>
    <w:p w:rsidR="00C43C73" w:rsidRPr="006F3B88" w:rsidRDefault="00C43C73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1634C4" w:rsidRPr="006F3B88" w:rsidRDefault="001634C4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Robert Sean O’Neill, Sam Emmanuel</w:t>
      </w:r>
      <w:r w:rsidR="00837209" w:rsidRPr="006F3B88">
        <w:rPr>
          <w:rFonts w:ascii="Book Antiqua" w:hAnsi="Book Antiqua"/>
          <w:color w:val="000000" w:themeColor="text1"/>
        </w:rPr>
        <w:t xml:space="preserve">, </w:t>
      </w:r>
      <w:r w:rsidRPr="006F3B88">
        <w:rPr>
          <w:rFonts w:ascii="Book Antiqua" w:hAnsi="Book Antiqua"/>
          <w:color w:val="000000" w:themeColor="text1"/>
        </w:rPr>
        <w:t>David Williams</w:t>
      </w:r>
      <w:r w:rsidR="000D0480" w:rsidRPr="006F3B88">
        <w:rPr>
          <w:rFonts w:ascii="Book Antiqua" w:hAnsi="Book Antiqua"/>
          <w:color w:val="000000" w:themeColor="text1"/>
        </w:rPr>
        <w:t>,</w:t>
      </w:r>
      <w:r w:rsidRPr="006F3B8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color w:val="000000" w:themeColor="text1"/>
        </w:rPr>
        <w:t>Alina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color w:val="000000" w:themeColor="text1"/>
        </w:rPr>
        <w:t>Stoita</w:t>
      </w:r>
      <w:proofErr w:type="spellEnd"/>
      <w:r w:rsidR="00A574C4" w:rsidRPr="006F3B88">
        <w:rPr>
          <w:rFonts w:ascii="Book Antiqua" w:hAnsi="Book Antiqua"/>
          <w:color w:val="000000" w:themeColor="text1"/>
        </w:rPr>
        <w:t xml:space="preserve"> </w:t>
      </w:r>
    </w:p>
    <w:p w:rsidR="001634C4" w:rsidRPr="006F3B88" w:rsidRDefault="001634C4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vertAlign w:val="superscript"/>
        </w:rPr>
      </w:pPr>
    </w:p>
    <w:p w:rsidR="00A574C4" w:rsidRPr="006F3B88" w:rsidRDefault="003346ED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b/>
          <w:bCs/>
          <w:color w:val="000000" w:themeColor="text1"/>
        </w:rPr>
        <w:t xml:space="preserve">Robert Sean O’Neill, David Williams, </w:t>
      </w:r>
      <w:proofErr w:type="spellStart"/>
      <w:r w:rsidRPr="006F3B88">
        <w:rPr>
          <w:rFonts w:ascii="Book Antiqua" w:hAnsi="Book Antiqua"/>
          <w:b/>
          <w:bCs/>
          <w:color w:val="000000" w:themeColor="text1"/>
        </w:rPr>
        <w:t>Alina</w:t>
      </w:r>
      <w:proofErr w:type="spellEnd"/>
      <w:r w:rsidRPr="006F3B88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b/>
          <w:bCs/>
          <w:color w:val="000000" w:themeColor="text1"/>
        </w:rPr>
        <w:t>Stoita</w:t>
      </w:r>
      <w:proofErr w:type="spellEnd"/>
      <w:r w:rsidR="008446C6" w:rsidRPr="006F3B88">
        <w:rPr>
          <w:rFonts w:ascii="Book Antiqua" w:hAnsi="Book Antiqua"/>
          <w:b/>
          <w:bCs/>
          <w:color w:val="000000" w:themeColor="text1"/>
        </w:rPr>
        <w:t>,</w:t>
      </w:r>
      <w:r w:rsidRPr="006F3B88">
        <w:rPr>
          <w:rFonts w:ascii="Book Antiqua" w:hAnsi="Book Antiqua"/>
          <w:b/>
          <w:bCs/>
          <w:color w:val="000000" w:themeColor="text1"/>
        </w:rPr>
        <w:t xml:space="preserve"> </w:t>
      </w:r>
      <w:r w:rsidR="00A574C4" w:rsidRPr="006F3B88">
        <w:rPr>
          <w:rFonts w:ascii="Book Antiqua" w:hAnsi="Book Antiqua"/>
          <w:color w:val="000000" w:themeColor="text1"/>
        </w:rPr>
        <w:t>Department of Gastroenterology, St Vincent</w:t>
      </w:r>
      <w:r w:rsidR="00DB47EC" w:rsidRPr="006F3B88">
        <w:rPr>
          <w:rFonts w:ascii="Book Antiqua" w:hAnsi="Book Antiqua"/>
          <w:color w:val="000000" w:themeColor="text1"/>
        </w:rPr>
        <w:t>’</w:t>
      </w:r>
      <w:r w:rsidR="00A574C4" w:rsidRPr="006F3B88">
        <w:rPr>
          <w:rFonts w:ascii="Book Antiqua" w:hAnsi="Book Antiqua"/>
          <w:color w:val="000000" w:themeColor="text1"/>
        </w:rPr>
        <w:t>s Hospital, Sydney</w:t>
      </w:r>
      <w:r w:rsidR="001141EB" w:rsidRPr="006F3B88">
        <w:rPr>
          <w:rFonts w:ascii="Book Antiqua" w:hAnsi="Book Antiqua"/>
          <w:color w:val="000000" w:themeColor="text1"/>
        </w:rPr>
        <w:t xml:space="preserve"> 2010,</w:t>
      </w:r>
      <w:r w:rsidR="00A574C4" w:rsidRPr="006F3B88">
        <w:rPr>
          <w:rFonts w:ascii="Book Antiqua" w:hAnsi="Book Antiqua"/>
          <w:color w:val="000000" w:themeColor="text1"/>
        </w:rPr>
        <w:t xml:space="preserve"> Australia</w:t>
      </w:r>
    </w:p>
    <w:p w:rsidR="008446C6" w:rsidRPr="006F3B88" w:rsidRDefault="008446C6" w:rsidP="006F3B8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A574C4" w:rsidRPr="006F3B88" w:rsidRDefault="003346ED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/>
          <w:bCs/>
          <w:color w:val="000000" w:themeColor="text1"/>
        </w:rPr>
        <w:t xml:space="preserve">Sam Emmanuel, </w:t>
      </w:r>
      <w:proofErr w:type="spellStart"/>
      <w:r w:rsidRPr="006F3B88">
        <w:rPr>
          <w:rFonts w:ascii="Book Antiqua" w:hAnsi="Book Antiqua"/>
          <w:b/>
          <w:bCs/>
          <w:color w:val="000000" w:themeColor="text1"/>
        </w:rPr>
        <w:t>Alina</w:t>
      </w:r>
      <w:proofErr w:type="spellEnd"/>
      <w:r w:rsidRPr="006F3B88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b/>
          <w:bCs/>
          <w:color w:val="000000" w:themeColor="text1"/>
        </w:rPr>
        <w:t>Stoita</w:t>
      </w:r>
      <w:proofErr w:type="spellEnd"/>
      <w:r w:rsidR="008446C6" w:rsidRPr="006F3B88">
        <w:rPr>
          <w:rFonts w:ascii="Book Antiqua" w:hAnsi="Book Antiqua"/>
          <w:b/>
          <w:bCs/>
          <w:color w:val="000000" w:themeColor="text1"/>
        </w:rPr>
        <w:t>,</w:t>
      </w:r>
      <w:r w:rsidR="00A574C4" w:rsidRPr="006F3B88">
        <w:rPr>
          <w:rFonts w:ascii="Book Antiqua" w:hAnsi="Book Antiqua"/>
          <w:b/>
          <w:bCs/>
          <w:color w:val="000000" w:themeColor="text1"/>
        </w:rPr>
        <w:t xml:space="preserve"> </w:t>
      </w:r>
      <w:r w:rsidR="00A574C4" w:rsidRPr="006F3B88">
        <w:rPr>
          <w:rFonts w:ascii="Book Antiqua" w:hAnsi="Book Antiqua"/>
          <w:bCs/>
          <w:color w:val="000000" w:themeColor="text1"/>
        </w:rPr>
        <w:t>St Vincent</w:t>
      </w:r>
      <w:r w:rsidR="00DB47EC" w:rsidRPr="006F3B88">
        <w:rPr>
          <w:rFonts w:ascii="Book Antiqua" w:hAnsi="Book Antiqua"/>
          <w:bCs/>
          <w:color w:val="000000" w:themeColor="text1"/>
        </w:rPr>
        <w:t>’</w:t>
      </w:r>
      <w:r w:rsidR="00A574C4" w:rsidRPr="006F3B88">
        <w:rPr>
          <w:rFonts w:ascii="Book Antiqua" w:hAnsi="Book Antiqua"/>
          <w:bCs/>
          <w:color w:val="000000" w:themeColor="text1"/>
        </w:rPr>
        <w:t>s Clinical School,</w:t>
      </w:r>
      <w:r w:rsidR="00BC5336" w:rsidRPr="006F3B88">
        <w:rPr>
          <w:rFonts w:ascii="Book Antiqua" w:hAnsi="Book Antiqua"/>
          <w:bCs/>
          <w:color w:val="000000" w:themeColor="text1"/>
        </w:rPr>
        <w:t xml:space="preserve"> </w:t>
      </w:r>
      <w:r w:rsidR="00A574C4" w:rsidRPr="006F3B88">
        <w:rPr>
          <w:rFonts w:ascii="Book Antiqua" w:hAnsi="Book Antiqua"/>
          <w:bCs/>
          <w:color w:val="000000" w:themeColor="text1"/>
        </w:rPr>
        <w:t xml:space="preserve">Faculty of Medicine, University of New South Wales, Sydney </w:t>
      </w:r>
      <w:r w:rsidR="009D7060" w:rsidRPr="006F3B88">
        <w:rPr>
          <w:rFonts w:ascii="Book Antiqua" w:hAnsi="Book Antiqua"/>
          <w:bCs/>
          <w:color w:val="000000" w:themeColor="text1"/>
        </w:rPr>
        <w:t>2010,</w:t>
      </w:r>
      <w:r w:rsidR="008446C6" w:rsidRPr="006F3B88">
        <w:rPr>
          <w:rFonts w:ascii="Book Antiqua" w:hAnsi="Book Antiqua"/>
          <w:bCs/>
          <w:color w:val="000000" w:themeColor="text1"/>
        </w:rPr>
        <w:t xml:space="preserve"> </w:t>
      </w:r>
      <w:r w:rsidR="00A574C4" w:rsidRPr="006F3B88">
        <w:rPr>
          <w:rFonts w:ascii="Book Antiqua" w:hAnsi="Book Antiqua"/>
          <w:bCs/>
          <w:color w:val="000000" w:themeColor="text1"/>
        </w:rPr>
        <w:t>Australia</w:t>
      </w:r>
    </w:p>
    <w:p w:rsidR="00A574C4" w:rsidRPr="006F3B88" w:rsidRDefault="00A574C4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vertAlign w:val="superscript"/>
        </w:rPr>
      </w:pPr>
    </w:p>
    <w:p w:rsidR="001634C4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 w:cs="Arial"/>
          <w:b/>
          <w:color w:val="000000" w:themeColor="text1"/>
        </w:rPr>
        <w:t>Author contributions</w:t>
      </w:r>
      <w:r w:rsidRPr="006F3B88">
        <w:rPr>
          <w:rFonts w:ascii="Book Antiqua" w:hAnsi="Book Antiqua" w:cs="Arial"/>
          <w:b/>
          <w:color w:val="000000" w:themeColor="text1"/>
          <w:lang w:eastAsia="zh-CN"/>
        </w:rPr>
        <w:t>:</w:t>
      </w:r>
      <w:r w:rsidR="001634C4" w:rsidRPr="006F3B88">
        <w:rPr>
          <w:rFonts w:ascii="Book Antiqua" w:hAnsi="Book Antiqua"/>
          <w:b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color w:val="000000" w:themeColor="text1"/>
        </w:rPr>
        <w:t>O’Neil</w:t>
      </w:r>
      <w:r w:rsidR="006731EF" w:rsidRPr="006F3B88">
        <w:rPr>
          <w:rFonts w:ascii="Book Antiqua" w:hAnsi="Book Antiqua"/>
          <w:color w:val="000000" w:themeColor="text1"/>
        </w:rPr>
        <w:t>l</w:t>
      </w:r>
      <w:r w:rsidR="008446C6" w:rsidRPr="006F3B88">
        <w:rPr>
          <w:rFonts w:ascii="Book Antiqua" w:hAnsi="Book Antiqua"/>
          <w:color w:val="000000" w:themeColor="text1"/>
        </w:rPr>
        <w:t xml:space="preserve"> RS</w:t>
      </w:r>
      <w:r w:rsidR="000A1134" w:rsidRPr="006F3B88">
        <w:rPr>
          <w:rFonts w:ascii="Book Antiqua" w:hAnsi="Book Antiqua"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color w:val="000000" w:themeColor="text1"/>
        </w:rPr>
        <w:t>contributed to the writing of the manuscript</w:t>
      </w:r>
      <w:r w:rsidR="008446C6" w:rsidRPr="006F3B88">
        <w:rPr>
          <w:rFonts w:ascii="Book Antiqua" w:hAnsi="Book Antiqua"/>
          <w:color w:val="000000" w:themeColor="text1"/>
        </w:rPr>
        <w:t>;</w:t>
      </w:r>
      <w:r w:rsidR="000A1134" w:rsidRPr="006F3B88">
        <w:rPr>
          <w:rFonts w:ascii="Book Antiqua" w:hAnsi="Book Antiqua"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color w:val="000000" w:themeColor="text1"/>
        </w:rPr>
        <w:t>Emmanuel</w:t>
      </w:r>
      <w:r w:rsidR="008446C6" w:rsidRPr="006F3B88">
        <w:rPr>
          <w:rFonts w:ascii="Book Antiqua" w:hAnsi="Book Antiqua"/>
          <w:color w:val="000000" w:themeColor="text1"/>
        </w:rPr>
        <w:t xml:space="preserve"> S</w:t>
      </w:r>
      <w:r w:rsidR="001634C4" w:rsidRPr="006F3B88">
        <w:rPr>
          <w:rFonts w:ascii="Book Antiqua" w:hAnsi="Book Antiqua"/>
          <w:color w:val="000000" w:themeColor="text1"/>
        </w:rPr>
        <w:t xml:space="preserve"> provided the statistical analysis</w:t>
      </w:r>
      <w:r w:rsidR="008446C6" w:rsidRPr="006F3B88">
        <w:rPr>
          <w:rFonts w:ascii="Book Antiqua" w:hAnsi="Book Antiqua"/>
          <w:color w:val="000000" w:themeColor="text1"/>
        </w:rPr>
        <w:t>;</w:t>
      </w:r>
      <w:r w:rsidR="001634C4" w:rsidRPr="006F3B88">
        <w:rPr>
          <w:rFonts w:ascii="Book Antiqua" w:hAnsi="Book Antiqua"/>
          <w:color w:val="000000" w:themeColor="text1"/>
        </w:rPr>
        <w:t xml:space="preserve"> </w:t>
      </w:r>
      <w:proofErr w:type="spellStart"/>
      <w:r w:rsidR="001634C4" w:rsidRPr="006F3B88">
        <w:rPr>
          <w:rFonts w:ascii="Book Antiqua" w:hAnsi="Book Antiqua"/>
          <w:color w:val="000000" w:themeColor="text1"/>
        </w:rPr>
        <w:t>Stoita</w:t>
      </w:r>
      <w:proofErr w:type="spellEnd"/>
      <w:r w:rsidR="008446C6" w:rsidRPr="006F3B88">
        <w:rPr>
          <w:rFonts w:ascii="Book Antiqua" w:hAnsi="Book Antiqua"/>
          <w:color w:val="000000" w:themeColor="text1"/>
        </w:rPr>
        <w:t xml:space="preserve"> A</w:t>
      </w:r>
      <w:r w:rsidR="001634C4" w:rsidRPr="006F3B88">
        <w:rPr>
          <w:rFonts w:ascii="Book Antiqua" w:hAnsi="Book Antiqua"/>
          <w:color w:val="000000" w:themeColor="text1"/>
        </w:rPr>
        <w:t xml:space="preserve"> and Williams</w:t>
      </w:r>
      <w:r w:rsidR="008446C6" w:rsidRPr="006F3B88">
        <w:rPr>
          <w:rFonts w:ascii="Book Antiqua" w:hAnsi="Book Antiqua"/>
          <w:color w:val="000000" w:themeColor="text1"/>
        </w:rPr>
        <w:t xml:space="preserve"> D</w:t>
      </w:r>
      <w:r w:rsidR="001634C4" w:rsidRPr="006F3B88">
        <w:rPr>
          <w:rFonts w:ascii="Book Antiqua" w:hAnsi="Book Antiqua"/>
          <w:color w:val="000000" w:themeColor="text1"/>
        </w:rPr>
        <w:t xml:space="preserve"> as senior authors designed </w:t>
      </w:r>
      <w:r w:rsidR="000A1134" w:rsidRPr="006F3B88">
        <w:rPr>
          <w:rFonts w:ascii="Book Antiqua" w:hAnsi="Book Antiqua"/>
          <w:color w:val="000000" w:themeColor="text1"/>
        </w:rPr>
        <w:t xml:space="preserve">the </w:t>
      </w:r>
      <w:r w:rsidR="001634C4" w:rsidRPr="006F3B88">
        <w:rPr>
          <w:rFonts w:ascii="Book Antiqua" w:hAnsi="Book Antiqua"/>
          <w:color w:val="000000" w:themeColor="text1"/>
        </w:rPr>
        <w:t>prospective study</w:t>
      </w:r>
      <w:r w:rsidR="000A1134" w:rsidRPr="006F3B88">
        <w:rPr>
          <w:rFonts w:ascii="Book Antiqua" w:hAnsi="Book Antiqua"/>
          <w:color w:val="000000" w:themeColor="text1"/>
        </w:rPr>
        <w:t xml:space="preserve">, performed screening </w:t>
      </w:r>
      <w:r w:rsidR="001634C4" w:rsidRPr="006F3B88">
        <w:rPr>
          <w:rFonts w:ascii="Book Antiqua" w:hAnsi="Book Antiqua"/>
          <w:color w:val="000000" w:themeColor="text1"/>
        </w:rPr>
        <w:t xml:space="preserve">and </w:t>
      </w:r>
      <w:r w:rsidR="00047666" w:rsidRPr="006F3B88">
        <w:rPr>
          <w:rFonts w:ascii="Book Antiqua" w:hAnsi="Book Antiqua"/>
          <w:color w:val="000000" w:themeColor="text1"/>
        </w:rPr>
        <w:t>revised</w:t>
      </w:r>
      <w:r w:rsidR="001634C4" w:rsidRPr="006F3B88">
        <w:rPr>
          <w:rFonts w:ascii="Book Antiqua" w:hAnsi="Book Antiqua"/>
          <w:color w:val="000000" w:themeColor="text1"/>
        </w:rPr>
        <w:t xml:space="preserve"> the manuscript. </w:t>
      </w:r>
    </w:p>
    <w:p w:rsidR="00C43C73" w:rsidRPr="006F3B88" w:rsidRDefault="00C43C7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21EB3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t>Corresponding author:</w:t>
      </w:r>
      <w:r w:rsidRPr="006F3B88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proofErr w:type="spellStart"/>
      <w:r w:rsidR="001634C4" w:rsidRPr="006F3B88">
        <w:rPr>
          <w:rFonts w:ascii="Book Antiqua" w:hAnsi="Book Antiqua"/>
          <w:b/>
          <w:bCs/>
          <w:color w:val="000000" w:themeColor="text1"/>
        </w:rPr>
        <w:t>Alina</w:t>
      </w:r>
      <w:proofErr w:type="spellEnd"/>
      <w:r w:rsidR="001634C4" w:rsidRPr="006F3B88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="001634C4" w:rsidRPr="006F3B88">
        <w:rPr>
          <w:rFonts w:ascii="Book Antiqua" w:hAnsi="Book Antiqua"/>
          <w:b/>
          <w:bCs/>
          <w:color w:val="000000" w:themeColor="text1"/>
        </w:rPr>
        <w:t>Stoita</w:t>
      </w:r>
      <w:proofErr w:type="spellEnd"/>
      <w:r w:rsidR="001634C4" w:rsidRPr="006F3B88">
        <w:rPr>
          <w:rFonts w:ascii="Book Antiqua" w:hAnsi="Book Antiqua"/>
          <w:b/>
          <w:bCs/>
          <w:color w:val="000000" w:themeColor="text1"/>
        </w:rPr>
        <w:t xml:space="preserve">, </w:t>
      </w:r>
      <w:r w:rsidR="0082080E" w:rsidRPr="006F3B88">
        <w:rPr>
          <w:rFonts w:ascii="Book Antiqua" w:hAnsi="Book Antiqua"/>
          <w:b/>
          <w:bCs/>
          <w:color w:val="000000" w:themeColor="text1"/>
        </w:rPr>
        <w:t>FRACP, MBBS, Assistant Lecturer, Doctor,</w:t>
      </w:r>
      <w:r w:rsidR="001634C4" w:rsidRPr="006F3B88">
        <w:rPr>
          <w:rFonts w:ascii="Book Antiqua" w:hAnsi="Book Antiqua"/>
          <w:b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color w:val="000000" w:themeColor="text1"/>
        </w:rPr>
        <w:t xml:space="preserve">Department of Gastroenterology, St Vincent’s Hospital Sydney, </w:t>
      </w:r>
      <w:r w:rsidR="0082080E" w:rsidRPr="006F3B88">
        <w:rPr>
          <w:rFonts w:ascii="Book Antiqua" w:hAnsi="Book Antiqua"/>
          <w:color w:val="000000" w:themeColor="text1"/>
        </w:rPr>
        <w:t xml:space="preserve">390 Victoria Street, </w:t>
      </w:r>
      <w:r w:rsidRPr="006F3B88">
        <w:rPr>
          <w:rFonts w:ascii="Book Antiqua" w:hAnsi="Book Antiqua"/>
          <w:color w:val="000000" w:themeColor="text1"/>
        </w:rPr>
        <w:t xml:space="preserve">Sydney 2010, </w:t>
      </w:r>
      <w:r w:rsidR="001634C4" w:rsidRPr="006F3B88">
        <w:rPr>
          <w:rFonts w:ascii="Book Antiqua" w:hAnsi="Book Antiqua"/>
          <w:color w:val="000000" w:themeColor="text1"/>
        </w:rPr>
        <w:t>Australia</w:t>
      </w:r>
      <w:r w:rsidR="00837593" w:rsidRPr="006F3B88"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1634C4" w:rsidRPr="006F3B88">
        <w:rPr>
          <w:rFonts w:ascii="Book Antiqua" w:hAnsi="Book Antiqua"/>
          <w:color w:val="000000" w:themeColor="text1"/>
        </w:rPr>
        <w:t xml:space="preserve"> </w:t>
      </w:r>
      <w:r w:rsidR="00A21EB3" w:rsidRPr="00870207">
        <w:rPr>
          <w:rFonts w:ascii="Book Antiqua" w:hAnsi="Book Antiqua"/>
          <w:color w:val="000000" w:themeColor="text1"/>
        </w:rPr>
        <w:t>alina.stoita@svha.org.au</w:t>
      </w:r>
      <w:r w:rsidR="00A21EB3" w:rsidRPr="006F3B88">
        <w:rPr>
          <w:rFonts w:ascii="Book Antiqua" w:hAnsi="Book Antiqua"/>
          <w:color w:val="000000" w:themeColor="text1"/>
        </w:rPr>
        <w:t xml:space="preserve"> </w:t>
      </w:r>
    </w:p>
    <w:p w:rsidR="00837593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F3B88">
        <w:rPr>
          <w:rFonts w:ascii="Book Antiqua" w:hAnsi="Book Antiqua"/>
          <w:b/>
          <w:color w:val="000000" w:themeColor="text1"/>
        </w:rPr>
        <w:t>Received: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color w:val="000000" w:themeColor="text1"/>
          <w:lang w:eastAsia="zh-CN"/>
        </w:rPr>
        <w:t>December 24, 2019</w:t>
      </w: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F3B88">
        <w:rPr>
          <w:rFonts w:ascii="Book Antiqua" w:hAnsi="Book Antiqua"/>
          <w:b/>
          <w:color w:val="000000" w:themeColor="text1"/>
        </w:rPr>
        <w:t xml:space="preserve">Revised: </w:t>
      </w:r>
      <w:r w:rsidRPr="006F3B88">
        <w:rPr>
          <w:rFonts w:ascii="Book Antiqua" w:hAnsi="Book Antiqua"/>
          <w:color w:val="000000" w:themeColor="text1"/>
          <w:lang w:eastAsia="zh-CN"/>
        </w:rPr>
        <w:t>March 12, 2020</w:t>
      </w:r>
    </w:p>
    <w:p w:rsidR="00E83B79" w:rsidRPr="006F3B88" w:rsidRDefault="00E83B79" w:rsidP="006F3B8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t xml:space="preserve">Accepted: </w:t>
      </w:r>
      <w:r w:rsidR="007F257D" w:rsidRPr="007F257D">
        <w:rPr>
          <w:rFonts w:ascii="Book Antiqua" w:hAnsi="Book Antiqua"/>
          <w:bCs/>
          <w:color w:val="000000" w:themeColor="text1"/>
        </w:rPr>
        <w:t>March 27, 2020</w:t>
      </w:r>
    </w:p>
    <w:p w:rsidR="00E83B79" w:rsidRPr="00121709" w:rsidRDefault="00E83B79" w:rsidP="006F3B8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  <w:r w:rsidRPr="006F3B88">
        <w:rPr>
          <w:rFonts w:ascii="Book Antiqua" w:hAnsi="Book Antiqua"/>
          <w:b/>
          <w:color w:val="000000" w:themeColor="text1"/>
        </w:rPr>
        <w:t xml:space="preserve">Published online: </w:t>
      </w:r>
      <w:r w:rsidR="00121709" w:rsidRPr="00121709">
        <w:rPr>
          <w:rFonts w:ascii="Book Antiqua" w:eastAsiaTheme="minorEastAsia" w:hAnsi="Book Antiqua" w:hint="eastAsia"/>
          <w:color w:val="000000" w:themeColor="text1"/>
          <w:lang w:eastAsia="zh-CN"/>
        </w:rPr>
        <w:t>April 14, 2020</w:t>
      </w:r>
    </w:p>
    <w:p w:rsidR="00837593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1634C4" w:rsidRPr="006F3B88" w:rsidRDefault="001634C4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t>Abstract</w:t>
      </w:r>
      <w:r w:rsidR="00AF0726" w:rsidRPr="006F3B88">
        <w:rPr>
          <w:rFonts w:ascii="Book Antiqua" w:hAnsi="Book Antiqua"/>
          <w:b/>
          <w:color w:val="000000" w:themeColor="text1"/>
        </w:rPr>
        <w:t xml:space="preserve"> </w:t>
      </w: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BACKGROUND </w:t>
      </w:r>
    </w:p>
    <w:p w:rsidR="001634C4" w:rsidRPr="006F3B88" w:rsidRDefault="001634C4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P</w:t>
      </w:r>
      <w:r w:rsidR="004E02AC" w:rsidRPr="006F3B88">
        <w:rPr>
          <w:rFonts w:ascii="Book Antiqua" w:hAnsi="Book Antiqua"/>
          <w:bCs/>
          <w:color w:val="000000" w:themeColor="text1"/>
        </w:rPr>
        <w:t xml:space="preserve">ancreatic cancer (PC) </w:t>
      </w:r>
      <w:r w:rsidRPr="006F3B88">
        <w:rPr>
          <w:rFonts w:ascii="Book Antiqua" w:hAnsi="Book Antiqua"/>
          <w:bCs/>
          <w:color w:val="000000" w:themeColor="text1"/>
        </w:rPr>
        <w:t xml:space="preserve">is a leading cause of cancer related mortality worldwide, </w:t>
      </w:r>
      <w:r w:rsidR="00837593" w:rsidRPr="006F3B88">
        <w:rPr>
          <w:rFonts w:ascii="Book Antiqua" w:hAnsi="Book Antiqua"/>
          <w:bCs/>
          <w:color w:val="000000" w:themeColor="text1"/>
        </w:rPr>
        <w:t>with poor</w:t>
      </w:r>
      <w:r w:rsidR="00AF0726" w:rsidRPr="006F3B88">
        <w:rPr>
          <w:rFonts w:ascii="Book Antiqua" w:hAnsi="Book Antiqua"/>
          <w:bCs/>
          <w:color w:val="000000" w:themeColor="text1"/>
        </w:rPr>
        <w:t xml:space="preserve"> survival due to late diagnosis</w:t>
      </w:r>
      <w:r w:rsidRPr="006F3B88">
        <w:rPr>
          <w:rFonts w:ascii="Book Antiqua" w:hAnsi="Book Antiqua"/>
          <w:bCs/>
          <w:color w:val="000000" w:themeColor="text1"/>
        </w:rPr>
        <w:t xml:space="preserve">. Currently, biomarkers </w:t>
      </w:r>
      <w:r w:rsidR="004E02AC" w:rsidRPr="006F3B88">
        <w:rPr>
          <w:rFonts w:ascii="Book Antiqua" w:hAnsi="Book Antiqua"/>
          <w:bCs/>
          <w:color w:val="000000" w:themeColor="text1"/>
        </w:rPr>
        <w:t>have</w:t>
      </w:r>
      <w:r w:rsidRPr="006F3B88">
        <w:rPr>
          <w:rFonts w:ascii="Book Antiqua" w:hAnsi="Book Antiqua"/>
          <w:bCs/>
          <w:color w:val="000000" w:themeColor="text1"/>
        </w:rPr>
        <w:t xml:space="preserve"> limited</w:t>
      </w:r>
      <w:r w:rsidR="004E02AC" w:rsidRPr="006F3B88">
        <w:rPr>
          <w:rFonts w:ascii="Book Antiqua" w:hAnsi="Book Antiqua"/>
          <w:bCs/>
          <w:color w:val="000000" w:themeColor="text1"/>
        </w:rPr>
        <w:t xml:space="preserve"> use </w:t>
      </w:r>
      <w:r w:rsidRPr="006F3B88">
        <w:rPr>
          <w:rFonts w:ascii="Book Antiqua" w:hAnsi="Book Antiqua"/>
          <w:bCs/>
          <w:color w:val="000000" w:themeColor="text1"/>
        </w:rPr>
        <w:t xml:space="preserve">in </w:t>
      </w:r>
      <w:r w:rsidR="00AF0726" w:rsidRPr="006F3B88">
        <w:rPr>
          <w:rFonts w:ascii="Book Antiqua" w:hAnsi="Book Antiqua"/>
          <w:bCs/>
          <w:color w:val="000000" w:themeColor="text1"/>
        </w:rPr>
        <w:t>early</w:t>
      </w:r>
      <w:r w:rsidRPr="006F3B88">
        <w:rPr>
          <w:rFonts w:ascii="Book Antiqua" w:hAnsi="Book Antiqua"/>
          <w:bCs/>
          <w:color w:val="000000" w:themeColor="text1"/>
        </w:rPr>
        <w:t xml:space="preserve"> diagnosis of PC</w:t>
      </w:r>
      <w:r w:rsidR="004E02AC" w:rsidRPr="006F3B88">
        <w:rPr>
          <w:rFonts w:ascii="Book Antiqua" w:hAnsi="Book Antiqua"/>
          <w:bCs/>
          <w:color w:val="000000" w:themeColor="text1"/>
        </w:rPr>
        <w:t xml:space="preserve">. Macrophage inhibitory cytokine-1 or </w:t>
      </w:r>
      <w:r w:rsidR="00837593" w:rsidRPr="006F3B88">
        <w:rPr>
          <w:rFonts w:ascii="Book Antiqua" w:hAnsi="Book Antiqua"/>
          <w:bCs/>
          <w:color w:val="000000" w:themeColor="text1"/>
        </w:rPr>
        <w:t>growth differentiation factor</w:t>
      </w:r>
      <w:r w:rsidR="004E02AC" w:rsidRPr="006F3B88">
        <w:rPr>
          <w:rFonts w:ascii="Book Antiqua" w:hAnsi="Book Antiqua"/>
          <w:bCs/>
          <w:color w:val="000000" w:themeColor="text1"/>
        </w:rPr>
        <w:t xml:space="preserve">-15 (MIC-1/GDF15) has been implicated as a potential serum biomarker </w:t>
      </w:r>
      <w:r w:rsidR="00822455" w:rsidRPr="006F3B88">
        <w:rPr>
          <w:rFonts w:ascii="Book Antiqua" w:hAnsi="Book Antiqua"/>
          <w:bCs/>
          <w:color w:val="000000" w:themeColor="text1"/>
        </w:rPr>
        <w:t xml:space="preserve">in </w:t>
      </w:r>
      <w:r w:rsidR="00837593" w:rsidRPr="006F3B88">
        <w:rPr>
          <w:rFonts w:ascii="Book Antiqua" w:hAnsi="Book Antiqua"/>
          <w:bCs/>
          <w:color w:val="000000" w:themeColor="text1"/>
        </w:rPr>
        <w:t>PC</w:t>
      </w:r>
      <w:r w:rsidR="00D44140" w:rsidRPr="006F3B88">
        <w:rPr>
          <w:rFonts w:ascii="Book Antiqua" w:hAnsi="Book Antiqua"/>
          <w:bCs/>
          <w:color w:val="000000" w:themeColor="text1"/>
        </w:rPr>
        <w:t xml:space="preserve"> and other malignancies</w:t>
      </w:r>
      <w:r w:rsidR="004E02AC" w:rsidRPr="006F3B88">
        <w:rPr>
          <w:rFonts w:ascii="Book Antiqua" w:hAnsi="Book Antiqua"/>
          <w:bCs/>
          <w:color w:val="000000" w:themeColor="text1"/>
        </w:rPr>
        <w:t>.</w:t>
      </w:r>
    </w:p>
    <w:p w:rsidR="00C43C73" w:rsidRPr="006F3B88" w:rsidRDefault="00C43C73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1634C4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AIM</w:t>
      </w:r>
    </w:p>
    <w:p w:rsidR="001634C4" w:rsidRPr="006F3B88" w:rsidRDefault="001634C4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proofErr w:type="gramStart"/>
      <w:r w:rsidRPr="006F3B88">
        <w:rPr>
          <w:rFonts w:ascii="Book Antiqua" w:hAnsi="Book Antiqua"/>
          <w:bCs/>
          <w:color w:val="000000" w:themeColor="text1"/>
        </w:rPr>
        <w:t>To determine the</w:t>
      </w:r>
      <w:r w:rsidR="00D46E03" w:rsidRPr="006F3B88">
        <w:rPr>
          <w:rFonts w:ascii="Book Antiqua" w:hAnsi="Book Antiqua"/>
          <w:bCs/>
          <w:color w:val="000000" w:themeColor="text1"/>
        </w:rPr>
        <w:t xml:space="preserve"> role </w:t>
      </w:r>
      <w:r w:rsidRPr="006F3B88">
        <w:rPr>
          <w:rFonts w:ascii="Book Antiqua" w:hAnsi="Book Antiqua"/>
          <w:bCs/>
          <w:color w:val="000000" w:themeColor="text1"/>
        </w:rPr>
        <w:t xml:space="preserve">of MIC-1/GDF15 </w:t>
      </w:r>
      <w:r w:rsidR="00D46E03" w:rsidRPr="006F3B88">
        <w:rPr>
          <w:rFonts w:ascii="Book Antiqua" w:hAnsi="Book Antiqua"/>
          <w:bCs/>
          <w:color w:val="000000" w:themeColor="text1"/>
        </w:rPr>
        <w:t>in detecting</w:t>
      </w:r>
      <w:r w:rsidR="00073D9B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pre-malignant </w:t>
      </w:r>
      <w:r w:rsidR="00073D9B" w:rsidRPr="006F3B88">
        <w:rPr>
          <w:rFonts w:ascii="Book Antiqua" w:hAnsi="Book Antiqua"/>
          <w:bCs/>
          <w:color w:val="000000" w:themeColor="text1"/>
        </w:rPr>
        <w:t xml:space="preserve">pancreatic lesions </w:t>
      </w:r>
      <w:r w:rsidRPr="006F3B88">
        <w:rPr>
          <w:rFonts w:ascii="Book Antiqua" w:hAnsi="Book Antiqua"/>
          <w:bCs/>
          <w:color w:val="000000" w:themeColor="text1"/>
        </w:rPr>
        <w:t xml:space="preserve">and </w:t>
      </w:r>
      <w:r w:rsidR="00AE2148" w:rsidRPr="006F3B88">
        <w:rPr>
          <w:rFonts w:ascii="Book Antiqua" w:hAnsi="Book Antiqua"/>
          <w:bCs/>
          <w:color w:val="000000" w:themeColor="text1"/>
        </w:rPr>
        <w:t xml:space="preserve">neoplastic tumours </w:t>
      </w:r>
      <w:r w:rsidRPr="006F3B88">
        <w:rPr>
          <w:rFonts w:ascii="Book Antiqua" w:hAnsi="Book Antiqua"/>
          <w:bCs/>
          <w:color w:val="000000" w:themeColor="text1"/>
        </w:rPr>
        <w:t>in a</w:t>
      </w:r>
      <w:r w:rsidR="00D46E03" w:rsidRPr="006F3B88">
        <w:rPr>
          <w:rFonts w:ascii="Book Antiqua" w:hAnsi="Book Antiqua"/>
          <w:bCs/>
          <w:color w:val="000000" w:themeColor="text1"/>
        </w:rPr>
        <w:t>n asymptomatic</w:t>
      </w:r>
      <w:r w:rsidRPr="006F3B88">
        <w:rPr>
          <w:rFonts w:ascii="Book Antiqua" w:hAnsi="Book Antiqua"/>
          <w:bCs/>
          <w:color w:val="000000" w:themeColor="text1"/>
        </w:rPr>
        <w:t xml:space="preserve"> high-risk cohort</w:t>
      </w:r>
      <w:r w:rsidR="007A418A" w:rsidRPr="006F3B88">
        <w:rPr>
          <w:rFonts w:ascii="Book Antiqua" w:hAnsi="Book Antiqua"/>
          <w:bCs/>
          <w:color w:val="000000" w:themeColor="text1"/>
        </w:rPr>
        <w:t xml:space="preserve"> part of </w:t>
      </w:r>
      <w:r w:rsidR="004E02AC" w:rsidRPr="006F3B88">
        <w:rPr>
          <w:rFonts w:ascii="Book Antiqua" w:hAnsi="Book Antiqua"/>
          <w:bCs/>
          <w:color w:val="000000" w:themeColor="text1"/>
        </w:rPr>
        <w:t>Australian Pancreatic Cancer Screening Program</w:t>
      </w:r>
      <w:r w:rsidRPr="006F3B88">
        <w:rPr>
          <w:rFonts w:ascii="Book Antiqua" w:hAnsi="Book Antiqua"/>
          <w:bCs/>
          <w:color w:val="000000" w:themeColor="text1"/>
        </w:rPr>
        <w:t>.</w:t>
      </w:r>
      <w:proofErr w:type="gramEnd"/>
    </w:p>
    <w:p w:rsidR="00C43C73" w:rsidRPr="006F3B88" w:rsidRDefault="00C43C73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1634C4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METHODS</w:t>
      </w:r>
    </w:p>
    <w:p w:rsidR="001634C4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A feasibility</w:t>
      </w:r>
      <w:r w:rsidR="00B41AE6" w:rsidRPr="006F3B88">
        <w:rPr>
          <w:rFonts w:ascii="Book Antiqua" w:hAnsi="Book Antiqua"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>prospective</w:t>
      </w:r>
      <w:r w:rsidR="00805F17" w:rsidRPr="006F3B88">
        <w:rPr>
          <w:rFonts w:ascii="Book Antiqua" w:hAnsi="Book Antiqua"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single centre cohort study was performed. </w:t>
      </w:r>
      <w:r w:rsidR="00B41AE6" w:rsidRPr="006F3B88">
        <w:rPr>
          <w:rFonts w:ascii="Book Antiqua" w:hAnsi="Book Antiqua"/>
          <w:bCs/>
          <w:color w:val="000000" w:themeColor="text1"/>
        </w:rPr>
        <w:t>Participants recruited for yearly surveillance with endoscopic ultrasound (EUS) had serial fasting blood samples collected before EUS for MIC</w:t>
      </w:r>
      <w:r w:rsidRPr="006F3B88">
        <w:rPr>
          <w:rFonts w:ascii="Book Antiqua" w:hAnsi="Book Antiqua"/>
          <w:bCs/>
          <w:color w:val="000000" w:themeColor="text1"/>
        </w:rPr>
        <w:t>-</w:t>
      </w:r>
      <w:r w:rsidR="00B41AE6" w:rsidRPr="006F3B88">
        <w:rPr>
          <w:rFonts w:ascii="Book Antiqua" w:hAnsi="Book Antiqua"/>
          <w:bCs/>
          <w:color w:val="000000" w:themeColor="text1"/>
        </w:rPr>
        <w:t xml:space="preserve">1/GDF15, </w:t>
      </w:r>
      <w:r w:rsidRPr="006F3B88">
        <w:rPr>
          <w:rFonts w:ascii="Book Antiqua" w:hAnsi="Book Antiqua"/>
          <w:color w:val="000000" w:themeColor="text1"/>
        </w:rPr>
        <w:t>C-reactive protein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B41AE6" w:rsidRPr="006F3B88">
        <w:rPr>
          <w:rFonts w:ascii="Book Antiqua" w:hAnsi="Book Antiqua"/>
          <w:bCs/>
          <w:color w:val="000000" w:themeColor="text1"/>
        </w:rPr>
        <w:t xml:space="preserve">and </w:t>
      </w:r>
      <w:r w:rsidRPr="006F3B88">
        <w:rPr>
          <w:rFonts w:ascii="Book Antiqua" w:hAnsi="Book Antiqua"/>
          <w:color w:val="000000" w:themeColor="text1"/>
        </w:rPr>
        <w:t>carbohydrate antigen 19-9</w:t>
      </w:r>
      <w:r w:rsidR="00B41AE6" w:rsidRPr="006F3B88">
        <w:rPr>
          <w:rFonts w:ascii="Book Antiqua" w:hAnsi="Book Antiqua"/>
          <w:bCs/>
          <w:color w:val="000000" w:themeColor="text1"/>
        </w:rPr>
        <w:t>. Patients were stratified into five groups based on EUS</w:t>
      </w:r>
      <w:r w:rsidR="00EE6D73" w:rsidRPr="006F3B88">
        <w:rPr>
          <w:rFonts w:ascii="Book Antiqua" w:hAnsi="Book Antiqua"/>
          <w:bCs/>
          <w:color w:val="000000" w:themeColor="text1"/>
        </w:rPr>
        <w:t xml:space="preserve"> findings</w:t>
      </w:r>
      <w:r w:rsidR="00B41AE6" w:rsidRPr="006F3B88">
        <w:rPr>
          <w:rFonts w:ascii="Book Antiqua" w:hAnsi="Book Antiqua"/>
          <w:bCs/>
          <w:color w:val="000000" w:themeColor="text1"/>
        </w:rPr>
        <w:t>: normal; pancreatic cyst</w:t>
      </w:r>
      <w:r w:rsidR="00DC04E5" w:rsidRPr="006F3B88">
        <w:rPr>
          <w:rFonts w:ascii="Book Antiqua" w:hAnsi="Book Antiqua"/>
          <w:bCs/>
          <w:color w:val="000000" w:themeColor="text1"/>
        </w:rPr>
        <w:t>s</w:t>
      </w:r>
      <w:r w:rsidR="00B41AE6" w:rsidRPr="006F3B88">
        <w:rPr>
          <w:rFonts w:ascii="Book Antiqua" w:hAnsi="Book Antiqua"/>
          <w:bCs/>
          <w:color w:val="000000" w:themeColor="text1"/>
        </w:rPr>
        <w:t xml:space="preserve">, branch-duct </w:t>
      </w:r>
      <w:proofErr w:type="spellStart"/>
      <w:r w:rsidR="00B41AE6" w:rsidRPr="006F3B88">
        <w:rPr>
          <w:rFonts w:ascii="Book Antiqua" w:hAnsi="Book Antiqua"/>
          <w:color w:val="000000" w:themeColor="text1"/>
        </w:rPr>
        <w:t>intraductal</w:t>
      </w:r>
      <w:proofErr w:type="spellEnd"/>
      <w:r w:rsidR="00B41AE6" w:rsidRPr="006F3B88">
        <w:rPr>
          <w:rFonts w:ascii="Book Antiqua" w:hAnsi="Book Antiqua"/>
          <w:color w:val="000000" w:themeColor="text1"/>
        </w:rPr>
        <w:t xml:space="preserve"> papillary mucinous neoplasm; diffuse </w:t>
      </w:r>
      <w:r w:rsidR="00DC04E5" w:rsidRPr="006F3B88">
        <w:rPr>
          <w:rFonts w:ascii="Book Antiqua" w:hAnsi="Book Antiqua"/>
          <w:color w:val="000000" w:themeColor="text1"/>
        </w:rPr>
        <w:t>non</w:t>
      </w:r>
      <w:r w:rsidR="00EE6D73" w:rsidRPr="006F3B88">
        <w:rPr>
          <w:rFonts w:ascii="Book Antiqua" w:hAnsi="Book Antiqua"/>
          <w:color w:val="000000" w:themeColor="text1"/>
        </w:rPr>
        <w:t>-</w:t>
      </w:r>
      <w:r w:rsidR="00DC04E5" w:rsidRPr="006F3B88">
        <w:rPr>
          <w:rFonts w:ascii="Book Antiqua" w:hAnsi="Book Antiqua"/>
          <w:color w:val="000000" w:themeColor="text1"/>
        </w:rPr>
        <w:t xml:space="preserve">specific </w:t>
      </w:r>
      <w:r w:rsidR="00B41AE6" w:rsidRPr="006F3B88">
        <w:rPr>
          <w:rFonts w:ascii="Book Antiqua" w:hAnsi="Book Antiqua"/>
          <w:color w:val="000000" w:themeColor="text1"/>
        </w:rPr>
        <w:t xml:space="preserve">abnormalities; and </w:t>
      </w:r>
      <w:r w:rsidR="00DC04E5" w:rsidRPr="006F3B88">
        <w:rPr>
          <w:rFonts w:ascii="Book Antiqua" w:hAnsi="Book Antiqua"/>
          <w:color w:val="000000" w:themeColor="text1"/>
        </w:rPr>
        <w:t>neoplastic tumours</w:t>
      </w:r>
      <w:r w:rsidR="00B41AE6" w:rsidRPr="006F3B88">
        <w:rPr>
          <w:rFonts w:ascii="Book Antiqua" w:hAnsi="Book Antiqua"/>
          <w:color w:val="000000" w:themeColor="text1"/>
        </w:rPr>
        <w:t>. MIC-1/GDF15 serum levels were quantified using ELISA.</w:t>
      </w:r>
      <w:r w:rsidR="000B415D" w:rsidRPr="006F3B88">
        <w:rPr>
          <w:rFonts w:ascii="Book Antiqua" w:hAnsi="Book Antiqua"/>
          <w:color w:val="000000" w:themeColor="text1"/>
        </w:rPr>
        <w:t xml:space="preserve"> Participants in whom EUS demonstrated abnormalities but not </w:t>
      </w:r>
      <w:r w:rsidR="00C13A33" w:rsidRPr="006F3B88">
        <w:rPr>
          <w:rFonts w:ascii="Book Antiqua" w:hAnsi="Book Antiqua"/>
          <w:color w:val="000000" w:themeColor="text1"/>
        </w:rPr>
        <w:t>malignancy</w:t>
      </w:r>
      <w:r w:rsidR="000B415D" w:rsidRPr="006F3B88">
        <w:rPr>
          <w:rFonts w:ascii="Book Antiqua" w:hAnsi="Book Antiqua"/>
          <w:color w:val="000000" w:themeColor="text1"/>
        </w:rPr>
        <w:t xml:space="preserve"> were </w:t>
      </w:r>
      <w:r w:rsidR="00EE6D73" w:rsidRPr="006F3B88">
        <w:rPr>
          <w:rFonts w:ascii="Book Antiqua" w:hAnsi="Book Antiqua"/>
          <w:color w:val="000000" w:themeColor="text1"/>
        </w:rPr>
        <w:t>closely followed</w:t>
      </w:r>
      <w:r w:rsidR="000B415D" w:rsidRPr="006F3B88">
        <w:rPr>
          <w:rFonts w:ascii="Book Antiqua" w:hAnsi="Book Antiqua"/>
          <w:color w:val="000000" w:themeColor="text1"/>
        </w:rPr>
        <w:t xml:space="preserve"> up with magnetic resonance imaging (MRI) or compute</w:t>
      </w:r>
      <w:r w:rsidR="00EE6D73" w:rsidRPr="006F3B88">
        <w:rPr>
          <w:rFonts w:ascii="Book Antiqua" w:hAnsi="Book Antiqua"/>
          <w:color w:val="000000" w:themeColor="text1"/>
        </w:rPr>
        <w:t>d</w:t>
      </w:r>
      <w:r w:rsidR="000B415D" w:rsidRPr="006F3B88">
        <w:rPr>
          <w:rFonts w:ascii="Book Antiqua" w:hAnsi="Book Antiqua"/>
          <w:color w:val="000000" w:themeColor="text1"/>
        </w:rPr>
        <w:t xml:space="preserve"> tomograph</w:t>
      </w:r>
      <w:r w:rsidR="00EE6D73" w:rsidRPr="006F3B88">
        <w:rPr>
          <w:rFonts w:ascii="Book Antiqua" w:hAnsi="Book Antiqua"/>
          <w:color w:val="000000" w:themeColor="text1"/>
        </w:rPr>
        <w:t>y</w:t>
      </w:r>
      <w:r w:rsidR="000B415D" w:rsidRPr="006F3B88">
        <w:rPr>
          <w:rFonts w:ascii="Book Antiqua" w:hAnsi="Book Antiqua"/>
          <w:color w:val="000000" w:themeColor="text1"/>
        </w:rPr>
        <w:t>.</w:t>
      </w:r>
    </w:p>
    <w:p w:rsidR="00C43C73" w:rsidRPr="006F3B88" w:rsidRDefault="00C43C73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1634C4" w:rsidRPr="006F3B88" w:rsidRDefault="00492ED6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RESULTS</w:t>
      </w:r>
    </w:p>
    <w:p w:rsidR="001634C4" w:rsidRPr="006F3B88" w:rsidRDefault="00492ED6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One hundred twenty </w:t>
      </w:r>
      <w:r w:rsidR="001634C4" w:rsidRPr="006F3B88">
        <w:rPr>
          <w:rFonts w:ascii="Book Antiqua" w:hAnsi="Book Antiqua"/>
          <w:bCs/>
          <w:color w:val="000000" w:themeColor="text1"/>
        </w:rPr>
        <w:t>participants were prospectively recruited from 2011-201</w:t>
      </w:r>
      <w:r w:rsidR="00782605" w:rsidRPr="006F3B88">
        <w:rPr>
          <w:rFonts w:ascii="Book Antiqua" w:hAnsi="Book Antiqua"/>
          <w:bCs/>
          <w:color w:val="000000" w:themeColor="text1"/>
        </w:rPr>
        <w:t>8</w:t>
      </w:r>
      <w:r w:rsidR="00D54BFA" w:rsidRPr="006F3B88">
        <w:rPr>
          <w:rFonts w:ascii="Book Antiqua" w:hAnsi="Book Antiqua"/>
          <w:bCs/>
          <w:color w:val="000000" w:themeColor="text1"/>
        </w:rPr>
        <w:t xml:space="preserve">. </w:t>
      </w:r>
      <w:r w:rsidRPr="006F3B88">
        <w:rPr>
          <w:rFonts w:ascii="Book Antiqua" w:hAnsi="Book Antiqua"/>
          <w:bCs/>
          <w:color w:val="000000" w:themeColor="text1"/>
        </w:rPr>
        <w:t xml:space="preserve">Forty-seven 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participants (39.2%) had an abnormal EUS </w:t>
      </w:r>
      <w:r w:rsidR="00D54BFA" w:rsidRPr="006F3B88">
        <w:rPr>
          <w:rFonts w:ascii="Book Antiqua" w:hAnsi="Book Antiqua"/>
          <w:bCs/>
          <w:color w:val="000000" w:themeColor="text1"/>
        </w:rPr>
        <w:t>and f</w:t>
      </w:r>
      <w:r w:rsidR="001634C4" w:rsidRPr="006F3B88">
        <w:rPr>
          <w:rFonts w:ascii="Book Antiqua" w:hAnsi="Book Antiqua"/>
          <w:bCs/>
          <w:color w:val="000000" w:themeColor="text1"/>
        </w:rPr>
        <w:t>ive participants (4</w:t>
      </w:r>
      <w:r w:rsidR="00782605" w:rsidRPr="006F3B88">
        <w:rPr>
          <w:rFonts w:ascii="Book Antiqua" w:hAnsi="Book Antiqua"/>
          <w:bCs/>
          <w:color w:val="000000" w:themeColor="text1"/>
        </w:rPr>
        <w:t>.2</w:t>
      </w:r>
      <w:r w:rsidR="001634C4" w:rsidRPr="006F3B88">
        <w:rPr>
          <w:rFonts w:ascii="Book Antiqua" w:hAnsi="Book Antiqua"/>
          <w:bCs/>
          <w:color w:val="000000" w:themeColor="text1"/>
        </w:rPr>
        <w:t>%) were diagnosed with</w:t>
      </w:r>
      <w:r w:rsidR="001166F6" w:rsidRPr="006F3B88">
        <w:rPr>
          <w:rFonts w:ascii="Book Antiqua" w:hAnsi="Book Antiqua"/>
          <w:bCs/>
          <w:color w:val="000000" w:themeColor="text1"/>
        </w:rPr>
        <w:t xml:space="preserve"> neoplastic tumours</w:t>
      </w:r>
      <w:r w:rsidR="00D54BFA" w:rsidRPr="006F3B88">
        <w:rPr>
          <w:rFonts w:ascii="Book Antiqua" w:hAnsi="Book Antiqua"/>
          <w:bCs/>
          <w:color w:val="000000" w:themeColor="text1"/>
        </w:rPr>
        <w:t xml:space="preserve">, three by EUS (two pancreatic and one liver) </w:t>
      </w:r>
      <w:r w:rsidR="00BD3AE6" w:rsidRPr="006F3B88">
        <w:rPr>
          <w:rFonts w:ascii="Book Antiqua" w:hAnsi="Book Antiqua"/>
          <w:bCs/>
          <w:color w:val="000000" w:themeColor="text1"/>
        </w:rPr>
        <w:t xml:space="preserve">and </w:t>
      </w:r>
      <w:r w:rsidR="00D54BFA" w:rsidRPr="006F3B88">
        <w:rPr>
          <w:rFonts w:ascii="Book Antiqua" w:hAnsi="Book Antiqua"/>
          <w:bCs/>
          <w:color w:val="000000" w:themeColor="text1"/>
        </w:rPr>
        <w:t xml:space="preserve">two </w:t>
      </w:r>
      <w:r w:rsidR="00BA73FF" w:rsidRPr="006F3B88">
        <w:rPr>
          <w:rFonts w:ascii="Book Antiqua" w:hAnsi="Book Antiqua"/>
          <w:bCs/>
          <w:color w:val="000000" w:themeColor="text1"/>
        </w:rPr>
        <w:t>by MRI/</w:t>
      </w:r>
      <w:r w:rsidRPr="006F3B88">
        <w:rPr>
          <w:rFonts w:ascii="Book Antiqua" w:hAnsi="Book Antiqua"/>
          <w:color w:val="000000" w:themeColor="text1"/>
        </w:rPr>
        <w:t>computed tomography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D54BFA" w:rsidRPr="006F3B88">
        <w:rPr>
          <w:rFonts w:ascii="Book Antiqua" w:hAnsi="Book Antiqua"/>
          <w:bCs/>
          <w:color w:val="000000" w:themeColor="text1"/>
        </w:rPr>
        <w:t>(breast</w:t>
      </w:r>
      <w:r w:rsidR="00C40C7B" w:rsidRPr="006F3B88">
        <w:rPr>
          <w:rFonts w:ascii="Book Antiqua" w:hAnsi="Book Antiqua"/>
          <w:bCs/>
          <w:color w:val="000000" w:themeColor="text1"/>
        </w:rPr>
        <w:t xml:space="preserve"> cancer</w:t>
      </w:r>
      <w:r w:rsidR="00D54BFA" w:rsidRPr="006F3B88">
        <w:rPr>
          <w:rFonts w:ascii="Book Antiqua" w:hAnsi="Book Antiqua"/>
          <w:bCs/>
          <w:color w:val="000000" w:themeColor="text1"/>
        </w:rPr>
        <w:t>,</w:t>
      </w:r>
      <w:r w:rsidR="00C40C7B" w:rsidRPr="006F3B88">
        <w:rPr>
          <w:rFonts w:ascii="Book Antiqua" w:hAnsi="Book Antiqua"/>
          <w:bCs/>
          <w:color w:val="000000" w:themeColor="text1"/>
        </w:rPr>
        <w:t xml:space="preserve"> </w:t>
      </w:r>
      <w:r w:rsidR="00D54BFA" w:rsidRPr="006F3B88">
        <w:rPr>
          <w:rFonts w:ascii="Book Antiqua" w:hAnsi="Book Antiqua"/>
          <w:bCs/>
          <w:color w:val="000000" w:themeColor="text1"/>
        </w:rPr>
        <w:t>bladder</w:t>
      </w:r>
      <w:r w:rsidR="00C40C7B" w:rsidRPr="006F3B88">
        <w:rPr>
          <w:rFonts w:ascii="Book Antiqua" w:hAnsi="Book Antiqua"/>
          <w:bCs/>
          <w:color w:val="000000" w:themeColor="text1"/>
        </w:rPr>
        <w:t xml:space="preserve"> cancer</w:t>
      </w:r>
      <w:r w:rsidR="00D54BFA" w:rsidRPr="006F3B88">
        <w:rPr>
          <w:rFonts w:ascii="Book Antiqua" w:hAnsi="Book Antiqua"/>
          <w:bCs/>
          <w:color w:val="000000" w:themeColor="text1"/>
        </w:rPr>
        <w:t>)</w:t>
      </w:r>
      <w:r w:rsidR="00EE6D73" w:rsidRPr="006F3B88">
        <w:rPr>
          <w:rFonts w:ascii="Book Antiqua" w:hAnsi="Book Antiqua"/>
          <w:bCs/>
          <w:color w:val="000000" w:themeColor="text1"/>
        </w:rPr>
        <w:t xml:space="preserve">, which were performed </w:t>
      </w:r>
      <w:r w:rsidR="00D54BFA" w:rsidRPr="006F3B88">
        <w:rPr>
          <w:rFonts w:ascii="Book Antiqua" w:hAnsi="Book Antiqua"/>
          <w:bCs/>
          <w:color w:val="000000" w:themeColor="text1"/>
        </w:rPr>
        <w:t>for follow up of abnormal EUS</w:t>
      </w:r>
      <w:r w:rsidR="001634C4" w:rsidRPr="006F3B88">
        <w:rPr>
          <w:rFonts w:ascii="Book Antiqua" w:hAnsi="Book Antiqua"/>
          <w:bCs/>
          <w:color w:val="000000" w:themeColor="text1"/>
        </w:rPr>
        <w:t>. Baseline serum MIC-1</w:t>
      </w:r>
      <w:r w:rsidR="00BA73FF" w:rsidRPr="006F3B88">
        <w:rPr>
          <w:rFonts w:ascii="Book Antiqua" w:hAnsi="Book Antiqua"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was a significant </w:t>
      </w:r>
      <w:r w:rsidR="001634C4" w:rsidRPr="006F3B88">
        <w:rPr>
          <w:rFonts w:ascii="Book Antiqua" w:hAnsi="Book Antiqua"/>
          <w:bCs/>
          <w:color w:val="000000" w:themeColor="text1"/>
        </w:rPr>
        <w:lastRenderedPageBreak/>
        <w:t xml:space="preserve">predictor of </w:t>
      </w:r>
      <w:r w:rsidR="00532957" w:rsidRPr="006F3B88">
        <w:rPr>
          <w:rFonts w:ascii="Book Antiqua" w:hAnsi="Book Antiqua"/>
          <w:bCs/>
          <w:color w:val="000000" w:themeColor="text1"/>
        </w:rPr>
        <w:t xml:space="preserve">neoplastic tumours 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on receiver operator characteristic curve analysis </w:t>
      </w:r>
      <w:r w:rsidR="00245ACC" w:rsidRPr="006F3B88">
        <w:rPr>
          <w:rFonts w:ascii="Book Antiqua" w:hAnsi="Book Antiqua"/>
          <w:bCs/>
          <w:color w:val="000000" w:themeColor="text1"/>
        </w:rPr>
        <w:t>[area under curve (</w:t>
      </w:r>
      <w:r w:rsidR="001634C4" w:rsidRPr="006F3B88">
        <w:rPr>
          <w:rFonts w:ascii="Book Antiqua" w:hAnsi="Book Antiqua"/>
          <w:bCs/>
          <w:color w:val="000000" w:themeColor="text1"/>
        </w:rPr>
        <w:t>AUC</w:t>
      </w:r>
      <w:r w:rsidR="00245ACC" w:rsidRPr="006F3B88">
        <w:rPr>
          <w:rFonts w:ascii="Book Antiqua" w:hAnsi="Book Antiqua"/>
          <w:bCs/>
          <w:color w:val="000000" w:themeColor="text1"/>
        </w:rPr>
        <w:t>)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>0.8</w:t>
      </w:r>
      <w:r w:rsidR="00630228" w:rsidRPr="006F3B88">
        <w:rPr>
          <w:rFonts w:ascii="Book Antiqua" w:hAnsi="Book Antiqua"/>
          <w:bCs/>
          <w:color w:val="000000" w:themeColor="text1"/>
        </w:rPr>
        <w:t>1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4, </w:t>
      </w:r>
      <w:r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="001634C4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>0.0</w:t>
      </w:r>
      <w:r w:rsidR="00630228" w:rsidRPr="006F3B88">
        <w:rPr>
          <w:rFonts w:ascii="Book Antiqua" w:hAnsi="Book Antiqua"/>
          <w:bCs/>
          <w:color w:val="000000" w:themeColor="text1"/>
        </w:rPr>
        <w:t>23</w:t>
      </w:r>
      <w:r w:rsidR="00245ACC" w:rsidRPr="006F3B88">
        <w:rPr>
          <w:rFonts w:ascii="Book Antiqua" w:hAnsi="Book Antiqua"/>
          <w:bCs/>
          <w:color w:val="000000" w:themeColor="text1"/>
        </w:rPr>
        <w:t>]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. Baseline serum MIC-1/GDF15 had moderate predictive capacity for </w:t>
      </w:r>
      <w:r w:rsidRPr="006F3B88">
        <w:rPr>
          <w:rFonts w:ascii="Book Antiqua" w:hAnsi="Book Antiqua"/>
          <w:bCs/>
          <w:color w:val="000000" w:themeColor="text1"/>
        </w:rPr>
        <w:t xml:space="preserve">branch-duct </w:t>
      </w:r>
      <w:proofErr w:type="spellStart"/>
      <w:r w:rsidRPr="006F3B88">
        <w:rPr>
          <w:rFonts w:ascii="Book Antiqua" w:hAnsi="Book Antiqua"/>
          <w:color w:val="000000" w:themeColor="text1"/>
        </w:rPr>
        <w:t>intraductal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papillary mucinous neoplasm</w:t>
      </w:r>
      <w:r w:rsidR="00FB3C6D" w:rsidRPr="006F3B88">
        <w:rPr>
          <w:rFonts w:ascii="Book Antiqua" w:hAnsi="Book Antiqua"/>
          <w:bCs/>
          <w:color w:val="000000" w:themeColor="text1"/>
        </w:rPr>
        <w:t xml:space="preserve"> (AUC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FB3C6D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FB3C6D" w:rsidRPr="006F3B88">
        <w:rPr>
          <w:rFonts w:ascii="Book Antiqua" w:hAnsi="Book Antiqua"/>
          <w:bCs/>
          <w:color w:val="000000" w:themeColor="text1"/>
        </w:rPr>
        <w:t>0.644)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 </w:t>
      </w:r>
      <w:r w:rsidR="00FB3C6D" w:rsidRPr="006F3B88">
        <w:rPr>
          <w:rFonts w:ascii="Book Antiqua" w:hAnsi="Book Antiqua"/>
          <w:bCs/>
          <w:color w:val="000000" w:themeColor="text1"/>
        </w:rPr>
        <w:t xml:space="preserve">and </w:t>
      </w:r>
      <w:r w:rsidR="000B415D" w:rsidRPr="006F3B88">
        <w:rPr>
          <w:rFonts w:ascii="Book Antiqua" w:hAnsi="Book Antiqua"/>
          <w:bCs/>
          <w:color w:val="000000" w:themeColor="text1"/>
        </w:rPr>
        <w:t>neoplastic tumours</w:t>
      </w:r>
      <w:r w:rsidR="00FB3C6D" w:rsidRPr="006F3B88">
        <w:rPr>
          <w:rFonts w:ascii="Book Antiqua" w:hAnsi="Book Antiqua"/>
          <w:bCs/>
          <w:color w:val="000000" w:themeColor="text1"/>
        </w:rPr>
        <w:t xml:space="preserve"> </w:t>
      </w:r>
      <w:r w:rsidR="00D54BFA" w:rsidRPr="006F3B88">
        <w:rPr>
          <w:rFonts w:ascii="Book Antiqua" w:hAnsi="Book Antiqua"/>
          <w:bCs/>
          <w:color w:val="000000" w:themeColor="text1"/>
        </w:rPr>
        <w:t xml:space="preserve">noted </w:t>
      </w:r>
      <w:r w:rsidR="001634C4" w:rsidRPr="006F3B88">
        <w:rPr>
          <w:rFonts w:ascii="Book Antiqua" w:hAnsi="Book Antiqua"/>
          <w:bCs/>
          <w:color w:val="000000" w:themeColor="text1"/>
        </w:rPr>
        <w:t>on EUS</w:t>
      </w:r>
      <w:r w:rsidR="00FB3C6D" w:rsidRPr="006F3B88">
        <w:rPr>
          <w:rFonts w:ascii="Book Antiqua" w:hAnsi="Book Antiqua"/>
          <w:bCs/>
          <w:color w:val="000000" w:themeColor="text1"/>
        </w:rPr>
        <w:t xml:space="preserve"> (AUC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FB3C6D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FB3C6D" w:rsidRPr="006F3B88">
        <w:rPr>
          <w:rFonts w:ascii="Book Antiqua" w:hAnsi="Book Antiqua"/>
          <w:bCs/>
          <w:color w:val="000000" w:themeColor="text1"/>
        </w:rPr>
        <w:t>0.793)</w:t>
      </w:r>
      <w:r w:rsidR="001634C4" w:rsidRPr="006F3B88">
        <w:rPr>
          <w:rFonts w:ascii="Book Antiqua" w:hAnsi="Book Antiqua"/>
          <w:bCs/>
          <w:color w:val="000000" w:themeColor="text1"/>
        </w:rPr>
        <w:t>, however this was not significant (</w:t>
      </w:r>
      <w:r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="001634C4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>0.188</w:t>
      </w:r>
      <w:r w:rsidR="00FB3C6D" w:rsidRPr="006F3B88">
        <w:rPr>
          <w:rFonts w:ascii="Book Antiqua" w:hAnsi="Book Antiqua"/>
          <w:bCs/>
          <w:color w:val="000000" w:themeColor="text1"/>
        </w:rPr>
        <w:t xml:space="preserve"> and 0.081 respectively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). </w:t>
      </w:r>
      <w:r w:rsidR="000A1C56" w:rsidRPr="006F3B88">
        <w:rPr>
          <w:rFonts w:ascii="Book Antiqua" w:hAnsi="Book Antiqua"/>
          <w:bCs/>
          <w:color w:val="000000" w:themeColor="text1"/>
        </w:rPr>
        <w:t>Serial s</w:t>
      </w:r>
      <w:r w:rsidR="001634C4" w:rsidRPr="006F3B88">
        <w:rPr>
          <w:rFonts w:ascii="Book Antiqua" w:hAnsi="Book Antiqua"/>
          <w:bCs/>
          <w:color w:val="000000" w:themeColor="text1"/>
        </w:rPr>
        <w:t>erum MIC-1/GDF15 did not demonstrate a significant percentage change between a normal and abnormal EUS (</w:t>
      </w:r>
      <w:r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="001634C4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>0.</w:t>
      </w:r>
      <w:r w:rsidR="00874F7A" w:rsidRPr="006F3B88">
        <w:rPr>
          <w:rFonts w:ascii="Book Antiqua" w:hAnsi="Book Antiqua"/>
          <w:bCs/>
          <w:color w:val="000000" w:themeColor="text1"/>
        </w:rPr>
        <w:t>213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). </w:t>
      </w:r>
      <w:r w:rsidR="00630228" w:rsidRPr="006F3B88">
        <w:rPr>
          <w:rFonts w:ascii="Book Antiqua" w:hAnsi="Book Antiqua"/>
          <w:bCs/>
          <w:color w:val="000000" w:themeColor="text1"/>
        </w:rPr>
        <w:t xml:space="preserve">Median baseline MIC-1/GDF15 was greater in those with </w:t>
      </w:r>
      <w:r w:rsidR="00D54BFA" w:rsidRPr="006F3B88">
        <w:rPr>
          <w:rFonts w:ascii="Book Antiqua" w:hAnsi="Book Antiqua"/>
          <w:bCs/>
          <w:color w:val="000000" w:themeColor="text1"/>
        </w:rPr>
        <w:t>neoplastic tumours</w:t>
      </w:r>
      <w:r w:rsidR="004C2F68"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>(Median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 xml:space="preserve">1039.6, </w:t>
      </w:r>
      <w:r w:rsidRPr="006F3B88">
        <w:rPr>
          <w:rFonts w:ascii="Book Antiqua" w:hAnsi="Book Antiqua"/>
          <w:color w:val="000000" w:themeColor="text1"/>
        </w:rPr>
        <w:t>interquartile range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>727.0-1977.7) compared to those diagnosed with a benign lesion (Median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 xml:space="preserve">570.1, </w:t>
      </w:r>
      <w:r w:rsidRPr="006F3B88">
        <w:rPr>
          <w:rFonts w:ascii="Book Antiqua" w:hAnsi="Book Antiqua"/>
          <w:color w:val="000000" w:themeColor="text1"/>
        </w:rPr>
        <w:t>interquartile range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>460.7-865.2) on EUS and MRI (</w:t>
      </w:r>
      <w:r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="00630228" w:rsidRPr="006F3B88">
        <w:rPr>
          <w:rFonts w:ascii="Book Antiqua" w:hAnsi="Book Antiqua"/>
          <w:bCs/>
          <w:color w:val="000000" w:themeColor="text1"/>
        </w:rPr>
        <w:t>=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630228" w:rsidRPr="006F3B88">
        <w:rPr>
          <w:rFonts w:ascii="Book Antiqua" w:hAnsi="Book Antiqua"/>
          <w:bCs/>
          <w:color w:val="000000" w:themeColor="text1"/>
        </w:rPr>
        <w:t>0.012).</w:t>
      </w:r>
      <w:r w:rsidR="00FB3C6D" w:rsidRPr="006F3B88">
        <w:rPr>
          <w:rFonts w:ascii="Book Antiqua" w:hAnsi="Book Antiqua"/>
          <w:bCs/>
          <w:color w:val="000000" w:themeColor="text1"/>
        </w:rPr>
        <w:t xml:space="preserve"> </w:t>
      </w:r>
    </w:p>
    <w:p w:rsidR="00C43C73" w:rsidRPr="006F3B88" w:rsidRDefault="00C43C73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1634C4" w:rsidRPr="006F3B88" w:rsidRDefault="00492ED6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CONCLUSION</w:t>
      </w:r>
    </w:p>
    <w:p w:rsidR="001634C4" w:rsidRPr="006F3B88" w:rsidRDefault="00D34FB4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In this pilot study 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MIC-1/GDF15 has predictive capacity for </w:t>
      </w:r>
      <w:r w:rsidR="00D54BFA" w:rsidRPr="006F3B88">
        <w:rPr>
          <w:rFonts w:ascii="Book Antiqua" w:hAnsi="Book Antiqua"/>
          <w:bCs/>
          <w:color w:val="000000" w:themeColor="text1"/>
        </w:rPr>
        <w:t>neoplastic tumours in asymptomatic individuals with a genetic predisposition for PC</w:t>
      </w:r>
      <w:r w:rsidR="00F455F0" w:rsidRPr="006F3B88">
        <w:rPr>
          <w:rFonts w:ascii="Book Antiqua" w:hAnsi="Book Antiqua"/>
          <w:bCs/>
          <w:color w:val="000000" w:themeColor="text1"/>
        </w:rPr>
        <w:t>. F</w:t>
      </w:r>
      <w:r w:rsidR="00D54BFA" w:rsidRPr="006F3B88">
        <w:rPr>
          <w:rFonts w:ascii="Book Antiqua" w:hAnsi="Book Antiqua"/>
          <w:bCs/>
          <w:color w:val="000000" w:themeColor="text1"/>
        </w:rPr>
        <w:t xml:space="preserve">urther imagining may be warranted in patients with </w:t>
      </w:r>
      <w:r w:rsidR="00822442" w:rsidRPr="006F3B88">
        <w:rPr>
          <w:rFonts w:ascii="Book Antiqua" w:hAnsi="Book Antiqua"/>
          <w:bCs/>
          <w:color w:val="000000" w:themeColor="text1"/>
        </w:rPr>
        <w:t>abnormal</w:t>
      </w:r>
      <w:r w:rsidR="00D54BFA" w:rsidRPr="006F3B88">
        <w:rPr>
          <w:rFonts w:ascii="Book Antiqua" w:hAnsi="Book Antiqua"/>
          <w:bCs/>
          <w:color w:val="000000" w:themeColor="text1"/>
        </w:rPr>
        <w:t xml:space="preserve"> EUS</w:t>
      </w:r>
      <w:r w:rsidR="001B4EC5" w:rsidRPr="006F3B88">
        <w:rPr>
          <w:rFonts w:ascii="Book Antiqua" w:hAnsi="Book Antiqua"/>
          <w:bCs/>
          <w:color w:val="000000" w:themeColor="text1"/>
        </w:rPr>
        <w:t xml:space="preserve"> and raised </w:t>
      </w:r>
      <w:r w:rsidR="00EE6D73" w:rsidRPr="006F3B88">
        <w:rPr>
          <w:rFonts w:ascii="Book Antiqua" w:hAnsi="Book Antiqua"/>
          <w:bCs/>
          <w:color w:val="000000" w:themeColor="text1"/>
        </w:rPr>
        <w:t xml:space="preserve">serum </w:t>
      </w:r>
      <w:r w:rsidR="001B4EC5" w:rsidRPr="006F3B88">
        <w:rPr>
          <w:rFonts w:ascii="Book Antiqua" w:hAnsi="Book Antiqua"/>
          <w:bCs/>
          <w:color w:val="000000" w:themeColor="text1"/>
        </w:rPr>
        <w:t>MIC-1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. Larger </w:t>
      </w:r>
      <w:proofErr w:type="spellStart"/>
      <w:r w:rsidR="00822442" w:rsidRPr="006F3B88">
        <w:rPr>
          <w:rFonts w:ascii="Book Antiqua" w:hAnsi="Book Antiqua"/>
          <w:bCs/>
          <w:color w:val="000000" w:themeColor="text1"/>
        </w:rPr>
        <w:t>multicentric</w:t>
      </w:r>
      <w:proofErr w:type="spellEnd"/>
      <w:r w:rsidR="00822442" w:rsidRPr="006F3B88">
        <w:rPr>
          <w:rFonts w:ascii="Book Antiqua" w:hAnsi="Book Antiqua"/>
          <w:bCs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prospective studies are required to further define the role of MIC-1/GDF15 as a serological biomarker in pre-malignant </w:t>
      </w:r>
      <w:r w:rsidR="00D54BFA" w:rsidRPr="006F3B88">
        <w:rPr>
          <w:rFonts w:ascii="Book Antiqua" w:hAnsi="Book Antiqua"/>
          <w:bCs/>
          <w:color w:val="000000" w:themeColor="text1"/>
        </w:rPr>
        <w:t xml:space="preserve">pancreatic lesions 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and </w:t>
      </w:r>
      <w:r w:rsidR="00D54BFA" w:rsidRPr="006F3B88">
        <w:rPr>
          <w:rFonts w:ascii="Book Antiqua" w:hAnsi="Book Antiqua"/>
          <w:bCs/>
          <w:color w:val="000000" w:themeColor="text1"/>
        </w:rPr>
        <w:t>neoplastic tumours.</w:t>
      </w:r>
    </w:p>
    <w:p w:rsidR="001634C4" w:rsidRPr="006F3B88" w:rsidRDefault="001634C4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DC23A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 w:cs="Arial"/>
          <w:b/>
          <w:color w:val="000000" w:themeColor="text1"/>
        </w:rPr>
        <w:t>Key</w:t>
      </w:r>
      <w:r w:rsidRPr="006F3B88">
        <w:rPr>
          <w:rFonts w:ascii="Book Antiqua" w:hAnsi="Book Antiqua" w:cs="Arial"/>
          <w:b/>
          <w:color w:val="000000" w:themeColor="text1"/>
          <w:lang w:eastAsia="zh-CN"/>
        </w:rPr>
        <w:t xml:space="preserve"> </w:t>
      </w:r>
      <w:r w:rsidRPr="006F3B88">
        <w:rPr>
          <w:rFonts w:ascii="Book Antiqua" w:hAnsi="Book Antiqua" w:cs="Arial"/>
          <w:b/>
          <w:color w:val="000000" w:themeColor="text1"/>
        </w:rPr>
        <w:t>words:</w:t>
      </w:r>
      <w:r w:rsidR="001634C4" w:rsidRPr="006F3B88">
        <w:rPr>
          <w:rFonts w:ascii="Book Antiqua" w:hAnsi="Book Antiqua"/>
          <w:b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Growth </w:t>
      </w:r>
      <w:r w:rsidR="00492ED6" w:rsidRPr="006F3B88">
        <w:rPr>
          <w:rFonts w:ascii="Book Antiqua" w:hAnsi="Book Antiqua"/>
          <w:bCs/>
          <w:color w:val="000000" w:themeColor="text1"/>
        </w:rPr>
        <w:t>differentiation factor</w:t>
      </w:r>
      <w:r w:rsidR="001634C4" w:rsidRPr="006F3B88">
        <w:rPr>
          <w:rFonts w:ascii="Book Antiqua" w:hAnsi="Book Antiqua"/>
          <w:bCs/>
          <w:color w:val="000000" w:themeColor="text1"/>
        </w:rPr>
        <w:t xml:space="preserve"> 15; Cytokines; Pancreatic neoplasms; Digestive system neoplasms; </w:t>
      </w:r>
      <w:proofErr w:type="gramStart"/>
      <w:r w:rsidR="001634C4" w:rsidRPr="006F3B88">
        <w:rPr>
          <w:rFonts w:ascii="Book Antiqua" w:hAnsi="Book Antiqua"/>
          <w:bCs/>
          <w:color w:val="000000" w:themeColor="text1"/>
        </w:rPr>
        <w:t>Pancreatic</w:t>
      </w:r>
      <w:proofErr w:type="gramEnd"/>
      <w:r w:rsidR="001634C4" w:rsidRPr="006F3B88">
        <w:rPr>
          <w:rFonts w:ascii="Book Antiqua" w:hAnsi="Book Antiqua"/>
          <w:bCs/>
          <w:color w:val="000000" w:themeColor="text1"/>
        </w:rPr>
        <w:t xml:space="preserve"> diseases; Biomarkers; Diagnostic screening programs</w:t>
      </w:r>
    </w:p>
    <w:p w:rsidR="00DC23A9" w:rsidRPr="006F3B88" w:rsidRDefault="00DC23A9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8B1BF0" w:rsidRDefault="00F42650" w:rsidP="006F3B88">
      <w:pPr>
        <w:snapToGrid w:val="0"/>
        <w:spacing w:line="360" w:lineRule="auto"/>
        <w:jc w:val="both"/>
        <w:rPr>
          <w:rFonts w:ascii="Book Antiqua" w:eastAsiaTheme="minorEastAsia" w:hAnsi="Book Antiqua" w:hint="eastAsia"/>
          <w:color w:val="000000" w:themeColor="text1"/>
          <w:lang w:eastAsia="zh-CN"/>
        </w:rPr>
      </w:pPr>
      <w:bookmarkStart w:id="2" w:name="OLE_LINK95"/>
      <w:bookmarkStart w:id="3" w:name="OLE_LINK53"/>
      <w:bookmarkStart w:id="4" w:name="OLE_LINK954"/>
      <w:bookmarkStart w:id="5" w:name="OLE_LINK47"/>
      <w:bookmarkStart w:id="6" w:name="OLE_LINK48"/>
      <w:bookmarkStart w:id="7" w:name="OLE_LINK289"/>
      <w:bookmarkStart w:id="8" w:name="OLE_LINK494"/>
      <w:bookmarkStart w:id="9" w:name="OLE_LINK428"/>
      <w:bookmarkStart w:id="10" w:name="OLE_LINK142"/>
      <w:bookmarkStart w:id="11" w:name="OLE_LINK143"/>
      <w:bookmarkStart w:id="12" w:name="OLE_LINK249"/>
      <w:bookmarkStart w:id="13" w:name="OLE_LINK256"/>
      <w:bookmarkStart w:id="14" w:name="OLE_LINK85"/>
      <w:r w:rsidRPr="006F3B88">
        <w:rPr>
          <w:rFonts w:ascii="Book Antiqua" w:hAnsi="Book Antiqua"/>
          <w:color w:val="000000" w:themeColor="text1"/>
        </w:rPr>
        <w:t>O’Neill</w:t>
      </w:r>
      <w:r w:rsidR="00492ED6" w:rsidRPr="006F3B88">
        <w:rPr>
          <w:rFonts w:ascii="Book Antiqua" w:hAnsi="Book Antiqua"/>
          <w:color w:val="000000" w:themeColor="text1"/>
        </w:rPr>
        <w:t xml:space="preserve"> RS</w:t>
      </w:r>
      <w:r w:rsidRPr="006F3B88">
        <w:rPr>
          <w:rFonts w:ascii="Book Antiqua" w:hAnsi="Book Antiqua"/>
          <w:color w:val="000000" w:themeColor="text1"/>
        </w:rPr>
        <w:t>, Emmanuel</w:t>
      </w:r>
      <w:r w:rsidR="00492ED6" w:rsidRPr="006F3B88">
        <w:rPr>
          <w:rFonts w:ascii="Book Antiqua" w:hAnsi="Book Antiqua"/>
          <w:color w:val="000000" w:themeColor="text1"/>
        </w:rPr>
        <w:t xml:space="preserve"> S</w:t>
      </w:r>
      <w:r w:rsidRPr="006F3B88">
        <w:rPr>
          <w:rFonts w:ascii="Book Antiqua" w:hAnsi="Book Antiqua"/>
          <w:color w:val="000000" w:themeColor="text1"/>
        </w:rPr>
        <w:t>, Williams</w:t>
      </w:r>
      <w:r w:rsidR="00492ED6" w:rsidRPr="006F3B88">
        <w:rPr>
          <w:rFonts w:ascii="Book Antiqua" w:hAnsi="Book Antiqua"/>
          <w:color w:val="000000" w:themeColor="text1"/>
        </w:rPr>
        <w:t xml:space="preserve"> D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Stoita</w:t>
      </w:r>
      <w:proofErr w:type="spellEnd"/>
      <w:r w:rsidR="00492ED6" w:rsidRPr="006F3B88">
        <w:rPr>
          <w:rFonts w:ascii="Book Antiqua" w:hAnsi="Book Antiqua"/>
          <w:color w:val="000000" w:themeColor="text1"/>
        </w:rPr>
        <w:t xml:space="preserve"> A.</w:t>
      </w:r>
      <w:r w:rsidRPr="006F3B88">
        <w:rPr>
          <w:rFonts w:ascii="Book Antiqua" w:hAnsi="Book Antiqua"/>
          <w:color w:val="000000" w:themeColor="text1"/>
        </w:rPr>
        <w:t xml:space="preserve"> Macrophage inhibitory cytokine-1/growth differentiation factor-15 in premalignant and neoplastic tumours in a high-risk pancreatic cancer cohort</w:t>
      </w:r>
      <w:r w:rsidR="00492ED6" w:rsidRPr="006F3B88">
        <w:rPr>
          <w:rFonts w:ascii="Book Antiqua" w:hAnsi="Book Antiqua"/>
          <w:i/>
          <w:color w:val="000000" w:themeColor="text1"/>
        </w:rPr>
        <w:t>.</w:t>
      </w:r>
      <w:r w:rsidRPr="006F3B88">
        <w:rPr>
          <w:rFonts w:ascii="Book Antiqua" w:hAnsi="Book Antiqua"/>
          <w:i/>
          <w:color w:val="000000" w:themeColor="text1"/>
        </w:rPr>
        <w:t xml:space="preserve"> World J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bookmarkStart w:id="15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7B3C8C">
        <w:rPr>
          <w:rFonts w:ascii="Book Antiqua" w:hAnsi="Book Antiqua"/>
          <w:color w:val="000000" w:themeColor="text1"/>
        </w:rPr>
        <w:t>2020; 26(1</w:t>
      </w:r>
      <w:r w:rsidR="007B3C8C">
        <w:rPr>
          <w:rFonts w:ascii="Book Antiqua" w:eastAsiaTheme="minorEastAsia" w:hAnsi="Book Antiqua" w:hint="eastAsia"/>
          <w:color w:val="000000" w:themeColor="text1"/>
          <w:lang w:eastAsia="zh-CN"/>
        </w:rPr>
        <w:t>4</w:t>
      </w:r>
      <w:r w:rsidR="008A3E8C" w:rsidRPr="008A3E8C">
        <w:rPr>
          <w:rFonts w:ascii="Book Antiqua" w:hAnsi="Book Antiqua"/>
          <w:color w:val="000000" w:themeColor="text1"/>
        </w:rPr>
        <w:t xml:space="preserve">): </w:t>
      </w:r>
      <w:r w:rsidR="008B1BF0">
        <w:rPr>
          <w:rFonts w:ascii="Book Antiqua" w:eastAsiaTheme="minorEastAsia" w:hAnsi="Book Antiqua" w:hint="eastAsia"/>
          <w:color w:val="000000" w:themeColor="text1"/>
          <w:lang w:eastAsia="zh-CN"/>
        </w:rPr>
        <w:t>1660</w:t>
      </w:r>
      <w:r w:rsidR="008A3E8C" w:rsidRPr="008A3E8C">
        <w:rPr>
          <w:rFonts w:ascii="Book Antiqua" w:hAnsi="Book Antiqua"/>
          <w:color w:val="000000" w:themeColor="text1"/>
        </w:rPr>
        <w:t>-</w:t>
      </w:r>
      <w:r w:rsidR="008B1BF0">
        <w:rPr>
          <w:rFonts w:ascii="Book Antiqua" w:eastAsiaTheme="minorEastAsia" w:hAnsi="Book Antiqua" w:hint="eastAsia"/>
          <w:color w:val="000000" w:themeColor="text1"/>
          <w:lang w:eastAsia="zh-CN"/>
        </w:rPr>
        <w:t>1673</w:t>
      </w:r>
      <w:r w:rsidR="008A3E8C" w:rsidRPr="008A3E8C">
        <w:rPr>
          <w:rFonts w:ascii="Book Antiqua" w:hAnsi="Book Antiqua"/>
          <w:color w:val="000000" w:themeColor="text1"/>
        </w:rPr>
        <w:t xml:space="preserve"> </w:t>
      </w:r>
      <w:bookmarkEnd w:id="15"/>
    </w:p>
    <w:p w:rsidR="008B1BF0" w:rsidRDefault="008A3E8C" w:rsidP="006F3B88">
      <w:pPr>
        <w:snapToGrid w:val="0"/>
        <w:spacing w:line="360" w:lineRule="auto"/>
        <w:jc w:val="both"/>
        <w:rPr>
          <w:rFonts w:ascii="Book Antiqua" w:eastAsiaTheme="minorEastAsia" w:hAnsi="Book Antiqua" w:hint="eastAsia"/>
          <w:color w:val="000000" w:themeColor="text1"/>
          <w:lang w:eastAsia="zh-CN"/>
        </w:rPr>
      </w:pPr>
      <w:r w:rsidRPr="008A3E8C">
        <w:rPr>
          <w:rFonts w:ascii="Book Antiqua" w:hAnsi="Book Antiqua"/>
          <w:color w:val="000000" w:themeColor="text1"/>
        </w:rPr>
        <w:t>URL: https://www.wj</w:t>
      </w:r>
      <w:r w:rsidR="008B1BF0">
        <w:rPr>
          <w:rFonts w:ascii="Book Antiqua" w:hAnsi="Book Antiqua"/>
          <w:color w:val="000000" w:themeColor="text1"/>
        </w:rPr>
        <w:t>gnet.com/</w:t>
      </w:r>
      <w:r w:rsidR="007B3C8C">
        <w:rPr>
          <w:rFonts w:ascii="Book Antiqua" w:hAnsi="Book Antiqua"/>
          <w:color w:val="000000" w:themeColor="text1"/>
        </w:rPr>
        <w:t>2219-2840/full/v26/i1</w:t>
      </w:r>
      <w:r w:rsidR="007B3C8C">
        <w:rPr>
          <w:rFonts w:ascii="Book Antiqua" w:eastAsiaTheme="minorEastAsia" w:hAnsi="Book Antiqua" w:hint="eastAsia"/>
          <w:color w:val="000000" w:themeColor="text1"/>
          <w:lang w:eastAsia="zh-CN"/>
        </w:rPr>
        <w:t>4</w:t>
      </w:r>
      <w:r w:rsidRPr="008A3E8C">
        <w:rPr>
          <w:rFonts w:ascii="Book Antiqua" w:hAnsi="Book Antiqua"/>
          <w:color w:val="000000" w:themeColor="text1"/>
        </w:rPr>
        <w:t>/</w:t>
      </w:r>
      <w:r w:rsidR="008B1BF0">
        <w:rPr>
          <w:rFonts w:ascii="Book Antiqua" w:eastAsiaTheme="minorEastAsia" w:hAnsi="Book Antiqua" w:hint="eastAsia"/>
          <w:color w:val="000000" w:themeColor="text1"/>
          <w:lang w:eastAsia="zh-CN"/>
        </w:rPr>
        <w:t>1660</w:t>
      </w:r>
      <w:r w:rsidRPr="008A3E8C">
        <w:rPr>
          <w:rFonts w:ascii="Book Antiqua" w:hAnsi="Book Antiqua"/>
          <w:color w:val="000000" w:themeColor="text1"/>
        </w:rPr>
        <w:t xml:space="preserve">.htm </w:t>
      </w:r>
    </w:p>
    <w:p w:rsidR="00BD643D" w:rsidRPr="008B1BF0" w:rsidRDefault="008A3E8C" w:rsidP="006F3B88">
      <w:pPr>
        <w:snapToGrid w:val="0"/>
        <w:spacing w:line="360" w:lineRule="auto"/>
        <w:jc w:val="both"/>
        <w:rPr>
          <w:rFonts w:ascii="Book Antiqua" w:eastAsiaTheme="minorEastAsia" w:hAnsi="Book Antiqua" w:hint="eastAsia"/>
          <w:color w:val="000000" w:themeColor="text1"/>
          <w:lang w:eastAsia="zh-CN"/>
        </w:rPr>
      </w:pPr>
      <w:r w:rsidRPr="008A3E8C">
        <w:rPr>
          <w:rFonts w:ascii="Book Antiqua" w:hAnsi="Book Antiqua"/>
          <w:color w:val="000000" w:themeColor="text1"/>
        </w:rPr>
        <w:t>DOI: https:/</w:t>
      </w:r>
      <w:r w:rsidR="007B3C8C">
        <w:rPr>
          <w:rFonts w:ascii="Book Antiqua" w:hAnsi="Book Antiqua"/>
          <w:color w:val="000000" w:themeColor="text1"/>
        </w:rPr>
        <w:t>/dx.doi.org/ 10.3748/wjg.v26.i1</w:t>
      </w:r>
      <w:r w:rsidR="007B3C8C">
        <w:rPr>
          <w:rFonts w:ascii="Book Antiqua" w:eastAsiaTheme="minorEastAsia" w:hAnsi="Book Antiqua" w:hint="eastAsia"/>
          <w:color w:val="000000" w:themeColor="text1"/>
          <w:lang w:eastAsia="zh-CN"/>
        </w:rPr>
        <w:t>4</w:t>
      </w:r>
      <w:r w:rsidRPr="008A3E8C">
        <w:rPr>
          <w:rFonts w:ascii="Book Antiqua" w:hAnsi="Book Antiqua"/>
          <w:color w:val="000000" w:themeColor="text1"/>
        </w:rPr>
        <w:t>.</w:t>
      </w:r>
      <w:r w:rsidR="008B1BF0">
        <w:rPr>
          <w:rFonts w:ascii="Book Antiqua" w:eastAsiaTheme="minorEastAsia" w:hAnsi="Book Antiqua" w:hint="eastAsia"/>
          <w:color w:val="000000" w:themeColor="text1"/>
          <w:lang w:eastAsia="zh-CN"/>
        </w:rPr>
        <w:t>1660</w:t>
      </w:r>
    </w:p>
    <w:p w:rsidR="008A3E8C" w:rsidRPr="008A3E8C" w:rsidRDefault="008A3E8C" w:rsidP="006F3B88">
      <w:pPr>
        <w:snapToGrid w:val="0"/>
        <w:spacing w:line="360" w:lineRule="auto"/>
        <w:jc w:val="both"/>
        <w:rPr>
          <w:rFonts w:ascii="Book Antiqua" w:eastAsiaTheme="minorEastAsia" w:hAnsi="Book Antiqua"/>
          <w:bCs/>
          <w:color w:val="000000" w:themeColor="text1"/>
          <w:lang w:eastAsia="zh-CN"/>
        </w:rPr>
      </w:pPr>
    </w:p>
    <w:p w:rsidR="001634C4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 w:cs="Arial"/>
          <w:b/>
          <w:color w:val="000000" w:themeColor="text1"/>
        </w:rPr>
        <w:t>Core tip</w:t>
      </w:r>
      <w:r w:rsidRPr="006F3B88">
        <w:rPr>
          <w:rFonts w:ascii="Book Antiqua" w:hAnsi="Book Antiqua" w:cs="Arial"/>
          <w:b/>
          <w:color w:val="000000" w:themeColor="text1"/>
          <w:lang w:eastAsia="zh-CN"/>
        </w:rPr>
        <w:t>:</w:t>
      </w:r>
      <w:r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I</w:t>
      </w:r>
      <w:r w:rsidR="0042676B" w:rsidRPr="006F3B88">
        <w:rPr>
          <w:rFonts w:ascii="Book Antiqua" w:hAnsi="Book Antiqua"/>
          <w:bCs/>
          <w:color w:val="000000" w:themeColor="text1"/>
        </w:rPr>
        <w:t>n this prospective cohort study in an asymptomatic population at high risk of developing pancreatic cancer</w:t>
      </w:r>
      <w:r w:rsidR="00CD0D26" w:rsidRPr="006F3B88">
        <w:rPr>
          <w:rFonts w:ascii="Book Antiqua" w:hAnsi="Book Antiqua"/>
          <w:bCs/>
          <w:color w:val="000000" w:themeColor="text1"/>
        </w:rPr>
        <w:t xml:space="preserve"> due to a genetic predisposi</w:t>
      </w:r>
      <w:r w:rsidR="001F1185" w:rsidRPr="006F3B88">
        <w:rPr>
          <w:rFonts w:ascii="Book Antiqua" w:hAnsi="Book Antiqua"/>
          <w:bCs/>
          <w:color w:val="000000" w:themeColor="text1"/>
        </w:rPr>
        <w:t>ti</w:t>
      </w:r>
      <w:r w:rsidR="00CD0D26" w:rsidRPr="006F3B88">
        <w:rPr>
          <w:rFonts w:ascii="Book Antiqua" w:hAnsi="Book Antiqua"/>
          <w:bCs/>
          <w:color w:val="000000" w:themeColor="text1"/>
        </w:rPr>
        <w:t>on</w:t>
      </w:r>
      <w:r w:rsidR="0042676B" w:rsidRPr="006F3B88">
        <w:rPr>
          <w:rFonts w:ascii="Book Antiqua" w:hAnsi="Book Antiqua"/>
          <w:bCs/>
          <w:color w:val="000000" w:themeColor="text1"/>
        </w:rPr>
        <w:t xml:space="preserve"> serum baseline </w:t>
      </w:r>
      <w:r w:rsidR="00492ED6" w:rsidRPr="006F3B88">
        <w:rPr>
          <w:rFonts w:ascii="Book Antiqua" w:hAnsi="Book Antiqua"/>
          <w:bCs/>
          <w:color w:val="000000" w:themeColor="text1"/>
        </w:rPr>
        <w:lastRenderedPageBreak/>
        <w:t>macrophage inhibitory cytokine-1 or growth differentiation factor-15</w:t>
      </w:r>
      <w:r w:rsidR="0042676B" w:rsidRPr="006F3B88">
        <w:rPr>
          <w:rFonts w:ascii="Book Antiqua" w:hAnsi="Book Antiqua"/>
          <w:bCs/>
          <w:color w:val="000000" w:themeColor="text1"/>
        </w:rPr>
        <w:t xml:space="preserve"> was shown to be a significant predictor of neoplastic tumours (both pancreatic and extra-pancreatic).</w:t>
      </w:r>
    </w:p>
    <w:p w:rsidR="001634C4" w:rsidRPr="006F3B88" w:rsidRDefault="001634C4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br w:type="page"/>
      </w: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6F3B88">
        <w:rPr>
          <w:rFonts w:ascii="Book Antiqua" w:hAnsi="Book Antiqua" w:cs="Arial"/>
          <w:b/>
          <w:color w:val="000000" w:themeColor="text1"/>
          <w:u w:val="single"/>
        </w:rPr>
        <w:lastRenderedPageBreak/>
        <w:t>INTRODUCTION</w:t>
      </w:r>
    </w:p>
    <w:p w:rsidR="008D04D1" w:rsidRPr="006F3B88" w:rsidRDefault="001634C4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Macrophage inhibitory cytokine-1 (MIC-1), also known as growth differentiation factor-15 (GDF-15) is a</w:t>
      </w:r>
      <w:r w:rsidR="00837209" w:rsidRPr="006F3B88">
        <w:rPr>
          <w:rFonts w:ascii="Book Antiqua" w:hAnsi="Book Antiqua"/>
          <w:color w:val="000000" w:themeColor="text1"/>
        </w:rPr>
        <w:t xml:space="preserve"> </w:t>
      </w:r>
      <w:r w:rsidR="00B54A90" w:rsidRPr="006F3B88">
        <w:rPr>
          <w:rFonts w:ascii="Book Antiqua" w:hAnsi="Book Antiqua"/>
          <w:color w:val="000000" w:themeColor="text1"/>
        </w:rPr>
        <w:t xml:space="preserve">distant </w:t>
      </w:r>
      <w:r w:rsidRPr="006F3B88">
        <w:rPr>
          <w:rFonts w:ascii="Book Antiqua" w:hAnsi="Book Antiqua"/>
          <w:color w:val="000000" w:themeColor="text1"/>
        </w:rPr>
        <w:t>member of the transforming growth factor</w:t>
      </w:r>
      <w:r w:rsidR="00EE6D73"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color w:val="000000" w:themeColor="text1"/>
        </w:rPr>
        <w:t xml:space="preserve">(TGF-b) </w:t>
      </w:r>
      <w:r w:rsidR="00837209" w:rsidRPr="006F3B88">
        <w:rPr>
          <w:rFonts w:ascii="Book Antiqua" w:hAnsi="Book Antiqua"/>
          <w:color w:val="000000" w:themeColor="text1"/>
        </w:rPr>
        <w:t>super</w:t>
      </w:r>
      <w:r w:rsidRPr="006F3B88">
        <w:rPr>
          <w:rFonts w:ascii="Book Antiqua" w:hAnsi="Book Antiqua"/>
          <w:color w:val="000000" w:themeColor="text1"/>
        </w:rPr>
        <w:t>family of cytokines, with its original role being identified as a gene expressed in the context of macrophage activation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[</w:t>
      </w:r>
      <w:r w:rsidRPr="006F3B88">
        <w:rPr>
          <w:rFonts w:ascii="Book Antiqua" w:hAnsi="Book Antiqua"/>
          <w:noProof/>
          <w:color w:val="000000" w:themeColor="text1"/>
          <w:vertAlign w:val="superscript"/>
        </w:rPr>
        <w:t>1</w:t>
      </w:r>
      <w:r w:rsidR="00492ED6" w:rsidRPr="006F3B88">
        <w:rPr>
          <w:rFonts w:ascii="Book Antiqua" w:hAnsi="Book Antiqua"/>
          <w:color w:val="000000" w:themeColor="text1"/>
          <w:vertAlign w:val="superscript"/>
        </w:rPr>
        <w:t>,</w:t>
      </w:r>
      <w:r w:rsidR="006731EF" w:rsidRPr="006F3B88">
        <w:rPr>
          <w:rFonts w:ascii="Book Antiqua" w:hAnsi="Book Antiqua"/>
          <w:color w:val="000000" w:themeColor="text1"/>
          <w:vertAlign w:val="superscript"/>
        </w:rPr>
        <w:t>2]</w:t>
      </w:r>
      <w:r w:rsidR="006731EF" w:rsidRPr="006F3B88">
        <w:rPr>
          <w:rFonts w:ascii="Book Antiqua" w:hAnsi="Book Antiqua"/>
          <w:color w:val="000000" w:themeColor="text1"/>
        </w:rPr>
        <w:t>.</w:t>
      </w:r>
      <w:r w:rsidR="00E33CBE" w:rsidRPr="006F3B88">
        <w:rPr>
          <w:rFonts w:ascii="Book Antiqua" w:hAnsi="Book Antiqua"/>
          <w:color w:val="000000" w:themeColor="text1"/>
        </w:rPr>
        <w:t xml:space="preserve"> </w:t>
      </w:r>
      <w:r w:rsidR="00956D53" w:rsidRPr="006F3B88">
        <w:rPr>
          <w:rFonts w:ascii="Book Antiqua" w:hAnsi="Book Antiqua"/>
          <w:color w:val="000000" w:themeColor="text1"/>
        </w:rPr>
        <w:t xml:space="preserve">MIC-1/GDF-15 is present in the serum </w:t>
      </w:r>
      <w:r w:rsidR="00492ED6" w:rsidRPr="006F3B88">
        <w:rPr>
          <w:rFonts w:ascii="Book Antiqua" w:hAnsi="Book Antiqua"/>
          <w:color w:val="000000" w:themeColor="text1"/>
        </w:rPr>
        <w:t>of all</w:t>
      </w:r>
      <w:r w:rsidR="00956D53" w:rsidRPr="006F3B88">
        <w:rPr>
          <w:rFonts w:ascii="Book Antiqua" w:hAnsi="Book Antiqua"/>
          <w:color w:val="000000" w:themeColor="text1"/>
        </w:rPr>
        <w:t xml:space="preserve"> individuals with a wide normal range 150-1150 </w:t>
      </w:r>
      <w:proofErr w:type="spellStart"/>
      <w:r w:rsidR="00956D53" w:rsidRPr="006F3B88">
        <w:rPr>
          <w:rFonts w:ascii="Book Antiqua" w:hAnsi="Book Antiqua"/>
          <w:color w:val="000000" w:themeColor="text1"/>
        </w:rPr>
        <w:t>pg</w:t>
      </w:r>
      <w:proofErr w:type="spellEnd"/>
      <w:r w:rsidR="00956D53" w:rsidRPr="006F3B88">
        <w:rPr>
          <w:rFonts w:ascii="Book Antiqua" w:hAnsi="Book Antiqua"/>
          <w:color w:val="000000" w:themeColor="text1"/>
        </w:rPr>
        <w:t>/</w:t>
      </w:r>
      <w:proofErr w:type="gramStart"/>
      <w:r w:rsidR="00956D53" w:rsidRPr="006F3B88">
        <w:rPr>
          <w:rFonts w:ascii="Book Antiqua" w:hAnsi="Book Antiqua"/>
          <w:color w:val="000000" w:themeColor="text1"/>
        </w:rPr>
        <w:t>m</w:t>
      </w:r>
      <w:r w:rsidR="00492ED6" w:rsidRPr="006F3B88">
        <w:rPr>
          <w:rFonts w:ascii="Book Antiqua" w:hAnsi="Book Antiqua"/>
          <w:color w:val="000000" w:themeColor="text1"/>
        </w:rPr>
        <w:t>L</w:t>
      </w:r>
      <w:r w:rsidR="00EC000D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C000D" w:rsidRPr="006F3B88">
        <w:rPr>
          <w:rFonts w:ascii="Book Antiqua" w:hAnsi="Book Antiqua"/>
          <w:color w:val="000000" w:themeColor="text1"/>
          <w:vertAlign w:val="superscript"/>
        </w:rPr>
        <w:t>3]</w:t>
      </w:r>
      <w:r w:rsidR="00956D53" w:rsidRPr="006F3B88">
        <w:rPr>
          <w:rFonts w:ascii="Book Antiqua" w:hAnsi="Book Antiqua"/>
          <w:color w:val="000000" w:themeColor="text1"/>
        </w:rPr>
        <w:t xml:space="preserve">. </w:t>
      </w:r>
      <w:r w:rsidRPr="006F3B88">
        <w:rPr>
          <w:rFonts w:ascii="Book Antiqua" w:hAnsi="Book Antiqua"/>
          <w:color w:val="000000" w:themeColor="text1"/>
        </w:rPr>
        <w:t xml:space="preserve">MIC-1/GDF15 has been implicated in </w:t>
      </w:r>
      <w:r w:rsidR="0018049A" w:rsidRPr="006F3B88">
        <w:rPr>
          <w:rFonts w:ascii="Book Antiqua" w:hAnsi="Book Antiqua"/>
          <w:color w:val="000000" w:themeColor="text1"/>
        </w:rPr>
        <w:t>regulation of inflammation</w:t>
      </w:r>
      <w:r w:rsidR="0080032F" w:rsidRPr="006F3B88">
        <w:rPr>
          <w:rFonts w:ascii="Book Antiqua" w:hAnsi="Book Antiqua"/>
          <w:color w:val="000000" w:themeColor="text1"/>
        </w:rPr>
        <w:t>,</w:t>
      </w:r>
      <w:r w:rsidR="0018049A" w:rsidRPr="006F3B88">
        <w:rPr>
          <w:rFonts w:ascii="Book Antiqua" w:hAnsi="Book Antiqua"/>
          <w:color w:val="000000" w:themeColor="text1"/>
        </w:rPr>
        <w:t xml:space="preserve"> metabolism and carcinogenesis</w:t>
      </w:r>
      <w:r w:rsidR="0009347E" w:rsidRPr="006F3B88">
        <w:rPr>
          <w:rFonts w:ascii="Book Antiqua" w:hAnsi="Book Antiqua"/>
          <w:color w:val="000000" w:themeColor="text1"/>
        </w:rPr>
        <w:t>, with previous literature demonstrating serum elevation</w:t>
      </w:r>
      <w:r w:rsidR="004843F2" w:rsidRPr="006F3B88">
        <w:rPr>
          <w:rFonts w:ascii="Book Antiqua" w:hAnsi="Book Antiqua"/>
          <w:color w:val="000000" w:themeColor="text1"/>
        </w:rPr>
        <w:t xml:space="preserve"> in acute inflammatory conditions, congestive heart failure, renal failure</w:t>
      </w:r>
      <w:r w:rsidR="00004068" w:rsidRPr="006F3B88">
        <w:rPr>
          <w:rFonts w:ascii="Book Antiqua" w:hAnsi="Book Antiqua"/>
          <w:color w:val="000000" w:themeColor="text1"/>
        </w:rPr>
        <w:t xml:space="preserve"> and </w:t>
      </w:r>
      <w:r w:rsidR="004843F2" w:rsidRPr="006F3B88">
        <w:rPr>
          <w:rFonts w:ascii="Book Antiqua" w:hAnsi="Book Antiqua"/>
          <w:color w:val="000000" w:themeColor="text1"/>
        </w:rPr>
        <w:t xml:space="preserve">anti-inflammatory </w:t>
      </w:r>
      <w:proofErr w:type="gramStart"/>
      <w:r w:rsidR="004843F2" w:rsidRPr="006F3B88">
        <w:rPr>
          <w:rFonts w:ascii="Book Antiqua" w:hAnsi="Book Antiqua"/>
          <w:color w:val="000000" w:themeColor="text1"/>
        </w:rPr>
        <w:t>use</w:t>
      </w:r>
      <w:r w:rsidR="00EC000D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C000D" w:rsidRPr="006F3B88">
        <w:rPr>
          <w:rFonts w:ascii="Book Antiqua" w:hAnsi="Book Antiqua"/>
          <w:color w:val="000000" w:themeColor="text1"/>
          <w:vertAlign w:val="superscript"/>
        </w:rPr>
        <w:t>4-7]</w:t>
      </w:r>
      <w:r w:rsidR="004843F2" w:rsidRPr="006F3B88">
        <w:rPr>
          <w:rFonts w:ascii="Book Antiqua" w:hAnsi="Book Antiqua"/>
          <w:color w:val="000000" w:themeColor="text1"/>
        </w:rPr>
        <w:t>. More recent s</w:t>
      </w:r>
      <w:r w:rsidR="0080032F" w:rsidRPr="006F3B88">
        <w:rPr>
          <w:rFonts w:ascii="Book Antiqua" w:hAnsi="Book Antiqua"/>
          <w:color w:val="000000" w:themeColor="text1"/>
        </w:rPr>
        <w:t xml:space="preserve">tudies have focused on its role in malignancy, being one of the few secreted proteins induced by p53 activation and its expression was </w:t>
      </w:r>
      <w:r w:rsidR="00753432" w:rsidRPr="006F3B88">
        <w:rPr>
          <w:rFonts w:ascii="Book Antiqua" w:hAnsi="Book Antiqua"/>
          <w:color w:val="000000" w:themeColor="text1"/>
        </w:rPr>
        <w:t xml:space="preserve">initially </w:t>
      </w:r>
      <w:r w:rsidR="0080032F" w:rsidRPr="006F3B88">
        <w:rPr>
          <w:rFonts w:ascii="Book Antiqua" w:hAnsi="Book Antiqua"/>
          <w:color w:val="000000" w:themeColor="text1"/>
        </w:rPr>
        <w:t xml:space="preserve">postulated to stimulate apoptosis in cancer </w:t>
      </w:r>
      <w:proofErr w:type="gramStart"/>
      <w:r w:rsidR="0080032F" w:rsidRPr="006F3B88">
        <w:rPr>
          <w:rFonts w:ascii="Book Antiqua" w:hAnsi="Book Antiqua"/>
          <w:color w:val="000000" w:themeColor="text1"/>
        </w:rPr>
        <w:t>cells</w:t>
      </w:r>
      <w:r w:rsidR="00EC000D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C000D" w:rsidRPr="006F3B88">
        <w:rPr>
          <w:rFonts w:ascii="Book Antiqua" w:hAnsi="Book Antiqua"/>
          <w:color w:val="000000" w:themeColor="text1"/>
          <w:vertAlign w:val="superscript"/>
        </w:rPr>
        <w:t>8-10</w:t>
      </w:r>
      <w:r w:rsidR="00064B9C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80032F" w:rsidRPr="006F3B88">
        <w:rPr>
          <w:rFonts w:ascii="Book Antiqua" w:hAnsi="Book Antiqua"/>
          <w:color w:val="000000" w:themeColor="text1"/>
        </w:rPr>
        <w:t>.</w:t>
      </w:r>
      <w:r w:rsidR="00004068" w:rsidRPr="006F3B88">
        <w:rPr>
          <w:rFonts w:ascii="Book Antiqua" w:hAnsi="Book Antiqua"/>
          <w:color w:val="000000" w:themeColor="text1"/>
        </w:rPr>
        <w:t xml:space="preserve"> More recently it was suggested that </w:t>
      </w:r>
      <w:r w:rsidR="009E720D" w:rsidRPr="006F3B88">
        <w:rPr>
          <w:rFonts w:ascii="Book Antiqua" w:hAnsi="Book Antiqua"/>
          <w:color w:val="000000" w:themeColor="text1"/>
        </w:rPr>
        <w:t xml:space="preserve">MIC-1/GDF15 </w:t>
      </w:r>
      <w:r w:rsidR="00004068" w:rsidRPr="006F3B88">
        <w:rPr>
          <w:rFonts w:ascii="Book Antiqua" w:hAnsi="Book Antiqua"/>
          <w:color w:val="000000" w:themeColor="text1"/>
        </w:rPr>
        <w:t xml:space="preserve">directly modulates the biology of tumour progression from initial </w:t>
      </w:r>
      <w:proofErr w:type="spellStart"/>
      <w:r w:rsidR="00004068" w:rsidRPr="006F3B88">
        <w:rPr>
          <w:rFonts w:ascii="Book Antiqua" w:hAnsi="Book Antiqua"/>
          <w:color w:val="000000" w:themeColor="text1"/>
        </w:rPr>
        <w:t>tumorigenesis</w:t>
      </w:r>
      <w:proofErr w:type="spellEnd"/>
      <w:r w:rsidR="00004068" w:rsidRPr="006F3B88">
        <w:rPr>
          <w:rFonts w:ascii="Book Antiqua" w:hAnsi="Book Antiqua"/>
          <w:color w:val="000000" w:themeColor="text1"/>
        </w:rPr>
        <w:t xml:space="preserve"> to </w:t>
      </w:r>
      <w:proofErr w:type="gramStart"/>
      <w:r w:rsidR="00004068" w:rsidRPr="006F3B88">
        <w:rPr>
          <w:rFonts w:ascii="Book Antiqua" w:hAnsi="Book Antiqua"/>
          <w:color w:val="000000" w:themeColor="text1"/>
        </w:rPr>
        <w:t>metastasis</w:t>
      </w:r>
      <w:r w:rsidR="0009347E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09347E" w:rsidRPr="006F3B88">
        <w:rPr>
          <w:rFonts w:ascii="Book Antiqua" w:hAnsi="Book Antiqua"/>
          <w:color w:val="000000" w:themeColor="text1"/>
          <w:vertAlign w:val="superscript"/>
        </w:rPr>
        <w:t>11]</w:t>
      </w:r>
      <w:r w:rsidR="00004068" w:rsidRPr="006F3B88">
        <w:rPr>
          <w:rFonts w:ascii="Book Antiqua" w:hAnsi="Book Antiqua"/>
          <w:color w:val="000000" w:themeColor="text1"/>
        </w:rPr>
        <w:t>.</w:t>
      </w:r>
      <w:r w:rsidR="00E33CBE" w:rsidRPr="006F3B88">
        <w:rPr>
          <w:rFonts w:ascii="Book Antiqua" w:hAnsi="Book Antiqua"/>
          <w:color w:val="000000" w:themeColor="text1"/>
        </w:rPr>
        <w:t xml:space="preserve"> </w:t>
      </w:r>
      <w:r w:rsidR="0080032F" w:rsidRPr="006F3B88">
        <w:rPr>
          <w:rFonts w:ascii="Book Antiqua" w:hAnsi="Book Antiqua"/>
          <w:color w:val="000000" w:themeColor="text1"/>
        </w:rPr>
        <w:t xml:space="preserve">In addition to this, MIC-1/GDF15 protein and mRNA was noted to be elevated both in cancer tissue specimens along with </w:t>
      </w:r>
      <w:r w:rsidR="00064B9C" w:rsidRPr="006F3B88">
        <w:rPr>
          <w:rFonts w:ascii="Book Antiqua" w:hAnsi="Book Antiqua"/>
          <w:color w:val="000000" w:themeColor="text1"/>
        </w:rPr>
        <w:t xml:space="preserve">peripheral </w:t>
      </w:r>
      <w:r w:rsidR="0080032F" w:rsidRPr="006F3B88">
        <w:rPr>
          <w:rFonts w:ascii="Book Antiqua" w:hAnsi="Book Antiqua"/>
          <w:color w:val="000000" w:themeColor="text1"/>
        </w:rPr>
        <w:t>serum samples.</w:t>
      </w:r>
      <w:r w:rsidR="00EE6D73" w:rsidRPr="006F3B88">
        <w:rPr>
          <w:rFonts w:ascii="Book Antiqua" w:hAnsi="Book Antiqua"/>
          <w:color w:val="000000" w:themeColor="text1"/>
        </w:rPr>
        <w:t xml:space="preserve"> </w:t>
      </w:r>
      <w:r w:rsidR="00045CA2" w:rsidRPr="006F3B88">
        <w:rPr>
          <w:rFonts w:ascii="Book Antiqua" w:hAnsi="Book Antiqua"/>
          <w:color w:val="000000" w:themeColor="text1"/>
        </w:rPr>
        <w:t xml:space="preserve">MIC-1 </w:t>
      </w:r>
      <w:r w:rsidR="0080032F" w:rsidRPr="006F3B88">
        <w:rPr>
          <w:rFonts w:ascii="Book Antiqua" w:hAnsi="Book Antiqua"/>
          <w:color w:val="000000" w:themeColor="text1"/>
        </w:rPr>
        <w:t xml:space="preserve">has been implicated in colorectal cancer, with serum levels being elevated in patients with </w:t>
      </w:r>
      <w:r w:rsidR="00E549C3" w:rsidRPr="006F3B88">
        <w:rPr>
          <w:rFonts w:ascii="Book Antiqua" w:hAnsi="Book Antiqua"/>
          <w:color w:val="000000" w:themeColor="text1"/>
        </w:rPr>
        <w:t xml:space="preserve">premalignant </w:t>
      </w:r>
      <w:r w:rsidR="0080032F" w:rsidRPr="006F3B88">
        <w:rPr>
          <w:rFonts w:ascii="Book Antiqua" w:hAnsi="Book Antiqua"/>
          <w:color w:val="000000" w:themeColor="text1"/>
        </w:rPr>
        <w:t>colonic polyps,</w:t>
      </w:r>
      <w:r w:rsidR="00045CA2" w:rsidRPr="006F3B88">
        <w:rPr>
          <w:rFonts w:ascii="Book Antiqua" w:hAnsi="Book Antiqua"/>
          <w:color w:val="000000" w:themeColor="text1"/>
        </w:rPr>
        <w:t xml:space="preserve"> </w:t>
      </w:r>
      <w:r w:rsidR="00EE6D73" w:rsidRPr="006F3B88">
        <w:rPr>
          <w:rFonts w:ascii="Book Antiqua" w:hAnsi="Book Antiqua"/>
          <w:color w:val="000000" w:themeColor="text1"/>
        </w:rPr>
        <w:t>and subsequently increasing</w:t>
      </w:r>
      <w:r w:rsidR="0080032F" w:rsidRPr="006F3B88">
        <w:rPr>
          <w:rFonts w:ascii="Book Antiqua" w:hAnsi="Book Antiqua"/>
          <w:color w:val="000000" w:themeColor="text1"/>
        </w:rPr>
        <w:t xml:space="preserve"> with disease </w:t>
      </w:r>
      <w:r w:rsidR="00045CA2" w:rsidRPr="006F3B88">
        <w:rPr>
          <w:rFonts w:ascii="Book Antiqua" w:hAnsi="Book Antiqua"/>
          <w:color w:val="000000" w:themeColor="text1"/>
        </w:rPr>
        <w:t>progression</w:t>
      </w:r>
      <w:r w:rsidR="0080032F" w:rsidRPr="006F3B88">
        <w:rPr>
          <w:rFonts w:ascii="Book Antiqua" w:hAnsi="Book Antiqua"/>
          <w:color w:val="000000" w:themeColor="text1"/>
        </w:rPr>
        <w:t xml:space="preserve">, including metastasis, </w:t>
      </w:r>
      <w:r w:rsidR="00EE6D73" w:rsidRPr="006F3B88">
        <w:rPr>
          <w:rFonts w:ascii="Book Antiqua" w:hAnsi="Book Antiqua"/>
          <w:color w:val="000000" w:themeColor="text1"/>
        </w:rPr>
        <w:t>along with</w:t>
      </w:r>
      <w:r w:rsidR="00045CA2" w:rsidRPr="006F3B88">
        <w:rPr>
          <w:rFonts w:ascii="Book Antiqua" w:hAnsi="Book Antiqua"/>
          <w:color w:val="000000" w:themeColor="text1"/>
        </w:rPr>
        <w:t xml:space="preserve"> predicting</w:t>
      </w:r>
      <w:r w:rsidR="0080032F" w:rsidRPr="006F3B88">
        <w:rPr>
          <w:rFonts w:ascii="Book Antiqua" w:hAnsi="Book Antiqua"/>
          <w:color w:val="000000" w:themeColor="text1"/>
        </w:rPr>
        <w:t xml:space="preserve"> disease </w:t>
      </w:r>
      <w:proofErr w:type="gramStart"/>
      <w:r w:rsidR="0080032F" w:rsidRPr="006F3B88">
        <w:rPr>
          <w:rFonts w:ascii="Book Antiqua" w:hAnsi="Book Antiqua"/>
          <w:color w:val="000000" w:themeColor="text1"/>
        </w:rPr>
        <w:t>outcom</w:t>
      </w:r>
      <w:r w:rsidR="00D54A44" w:rsidRPr="006F3B88">
        <w:rPr>
          <w:rFonts w:ascii="Book Antiqua" w:hAnsi="Book Antiqua"/>
          <w:color w:val="000000" w:themeColor="text1"/>
        </w:rPr>
        <w:t>e</w:t>
      </w:r>
      <w:r w:rsidR="00D54A44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C000D" w:rsidRPr="006F3B88">
        <w:rPr>
          <w:rFonts w:ascii="Book Antiqua" w:hAnsi="Book Antiqua"/>
          <w:color w:val="000000" w:themeColor="text1"/>
          <w:vertAlign w:val="superscript"/>
        </w:rPr>
        <w:t>1</w:t>
      </w:r>
      <w:r w:rsidR="009955D0" w:rsidRPr="006F3B88">
        <w:rPr>
          <w:rFonts w:ascii="Book Antiqua" w:hAnsi="Book Antiqua"/>
          <w:color w:val="000000" w:themeColor="text1"/>
          <w:vertAlign w:val="superscript"/>
        </w:rPr>
        <w:t>2</w:t>
      </w:r>
      <w:r w:rsidR="000742C7" w:rsidRPr="006F3B88">
        <w:rPr>
          <w:rFonts w:ascii="Book Antiqua" w:hAnsi="Book Antiqua"/>
          <w:color w:val="000000" w:themeColor="text1"/>
          <w:vertAlign w:val="superscript"/>
        </w:rPr>
        <w:t>-1</w:t>
      </w:r>
      <w:r w:rsidR="009955D0" w:rsidRPr="006F3B88">
        <w:rPr>
          <w:rFonts w:ascii="Book Antiqua" w:hAnsi="Book Antiqua"/>
          <w:color w:val="000000" w:themeColor="text1"/>
          <w:vertAlign w:val="superscript"/>
        </w:rPr>
        <w:t>5</w:t>
      </w:r>
      <w:r w:rsidR="000742C7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80032F" w:rsidRPr="006F3B88">
        <w:rPr>
          <w:rFonts w:ascii="Book Antiqua" w:hAnsi="Book Antiqua"/>
          <w:color w:val="000000" w:themeColor="text1"/>
        </w:rPr>
        <w:t xml:space="preserve">. </w:t>
      </w:r>
      <w:r w:rsidR="0009347E" w:rsidRPr="006F3B88">
        <w:rPr>
          <w:rFonts w:ascii="Book Antiqua" w:hAnsi="Book Antiqua"/>
          <w:color w:val="000000" w:themeColor="text1"/>
        </w:rPr>
        <w:t>In a</w:t>
      </w:r>
      <w:r w:rsidR="0087384D" w:rsidRPr="006F3B88">
        <w:rPr>
          <w:rFonts w:ascii="Book Antiqua" w:hAnsi="Book Antiqua"/>
          <w:color w:val="000000" w:themeColor="text1"/>
        </w:rPr>
        <w:t>dd</w:t>
      </w:r>
      <w:r w:rsidR="0009347E" w:rsidRPr="006F3B88">
        <w:rPr>
          <w:rFonts w:ascii="Book Antiqua" w:hAnsi="Book Antiqua"/>
          <w:color w:val="000000" w:themeColor="text1"/>
        </w:rPr>
        <w:t>ition to this, o</w:t>
      </w:r>
      <w:r w:rsidR="003A49C4" w:rsidRPr="006F3B88">
        <w:rPr>
          <w:rFonts w:ascii="Book Antiqua" w:hAnsi="Book Antiqua"/>
          <w:color w:val="000000" w:themeColor="text1"/>
        </w:rPr>
        <w:t xml:space="preserve">ther </w:t>
      </w:r>
      <w:r w:rsidR="00753432" w:rsidRPr="006F3B88">
        <w:rPr>
          <w:rFonts w:ascii="Book Antiqua" w:hAnsi="Book Antiqua"/>
          <w:color w:val="000000" w:themeColor="text1"/>
        </w:rPr>
        <w:t xml:space="preserve">studies </w:t>
      </w:r>
      <w:r w:rsidR="0009347E" w:rsidRPr="006F3B88">
        <w:rPr>
          <w:rFonts w:ascii="Book Antiqua" w:hAnsi="Book Antiqua"/>
          <w:color w:val="000000" w:themeColor="text1"/>
        </w:rPr>
        <w:t xml:space="preserve">have </w:t>
      </w:r>
      <w:r w:rsidR="00753432" w:rsidRPr="006F3B88">
        <w:rPr>
          <w:rFonts w:ascii="Book Antiqua" w:hAnsi="Book Antiqua"/>
          <w:color w:val="000000" w:themeColor="text1"/>
        </w:rPr>
        <w:t>identif</w:t>
      </w:r>
      <w:r w:rsidR="0009347E" w:rsidRPr="006F3B88">
        <w:rPr>
          <w:rFonts w:ascii="Book Antiqua" w:hAnsi="Book Antiqua"/>
          <w:color w:val="000000" w:themeColor="text1"/>
        </w:rPr>
        <w:t>ied</w:t>
      </w:r>
      <w:r w:rsidR="00753432" w:rsidRPr="006F3B88">
        <w:rPr>
          <w:rFonts w:ascii="Book Antiqua" w:hAnsi="Book Antiqua"/>
          <w:color w:val="000000" w:themeColor="text1"/>
        </w:rPr>
        <w:t xml:space="preserve"> a potential role</w:t>
      </w:r>
      <w:r w:rsidR="003A49C4" w:rsidRPr="006F3B88">
        <w:rPr>
          <w:rFonts w:ascii="Book Antiqua" w:hAnsi="Book Antiqua"/>
          <w:color w:val="000000" w:themeColor="text1"/>
        </w:rPr>
        <w:t xml:space="preserve"> of MIC-1/GDF15</w:t>
      </w:r>
      <w:r w:rsidR="00753432" w:rsidRPr="006F3B88">
        <w:rPr>
          <w:rFonts w:ascii="Book Antiqua" w:hAnsi="Book Antiqua"/>
          <w:color w:val="000000" w:themeColor="text1"/>
        </w:rPr>
        <w:t xml:space="preserve"> </w:t>
      </w:r>
      <w:r w:rsidR="0080032F" w:rsidRPr="006F3B88">
        <w:rPr>
          <w:rFonts w:ascii="Book Antiqua" w:hAnsi="Book Antiqua"/>
          <w:color w:val="000000" w:themeColor="text1"/>
        </w:rPr>
        <w:t xml:space="preserve">in </w:t>
      </w:r>
      <w:proofErr w:type="gramStart"/>
      <w:r w:rsidR="0080032F" w:rsidRPr="006F3B88">
        <w:rPr>
          <w:rFonts w:ascii="Book Antiqua" w:hAnsi="Book Antiqua"/>
          <w:color w:val="000000" w:themeColor="text1"/>
        </w:rPr>
        <w:t>prostate</w:t>
      </w:r>
      <w:r w:rsidR="000742C7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0742C7" w:rsidRPr="006F3B88">
        <w:rPr>
          <w:rFonts w:ascii="Book Antiqua" w:hAnsi="Book Antiqua"/>
          <w:color w:val="000000" w:themeColor="text1"/>
          <w:vertAlign w:val="superscript"/>
        </w:rPr>
        <w:t>1</w:t>
      </w:r>
      <w:r w:rsidR="009955D0" w:rsidRPr="006F3B88">
        <w:rPr>
          <w:rFonts w:ascii="Book Antiqua" w:hAnsi="Book Antiqua"/>
          <w:color w:val="000000" w:themeColor="text1"/>
          <w:vertAlign w:val="superscript"/>
        </w:rPr>
        <w:t>6</w:t>
      </w:r>
      <w:r w:rsidR="00492ED6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80032F" w:rsidRPr="006F3B88">
        <w:rPr>
          <w:rFonts w:ascii="Book Antiqua" w:hAnsi="Book Antiqua"/>
          <w:color w:val="000000" w:themeColor="text1"/>
        </w:rPr>
        <w:t>, breast</w:t>
      </w:r>
      <w:r w:rsidR="005A525A" w:rsidRPr="006F3B88">
        <w:rPr>
          <w:rFonts w:ascii="Book Antiqua" w:hAnsi="Book Antiqua"/>
          <w:color w:val="000000" w:themeColor="text1"/>
          <w:vertAlign w:val="superscript"/>
        </w:rPr>
        <w:t>[1</w:t>
      </w:r>
      <w:r w:rsidR="009955D0" w:rsidRPr="006F3B88">
        <w:rPr>
          <w:rFonts w:ascii="Book Antiqua" w:hAnsi="Book Antiqua"/>
          <w:color w:val="000000" w:themeColor="text1"/>
          <w:vertAlign w:val="superscript"/>
        </w:rPr>
        <w:t>7</w:t>
      </w:r>
      <w:r w:rsidR="005A525A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80032F" w:rsidRPr="006F3B88">
        <w:rPr>
          <w:rFonts w:ascii="Book Antiqua" w:hAnsi="Book Antiqua"/>
          <w:color w:val="000000" w:themeColor="text1"/>
        </w:rPr>
        <w:t>,</w:t>
      </w:r>
      <w:r w:rsidR="00E33CBE" w:rsidRPr="006F3B88">
        <w:rPr>
          <w:rFonts w:ascii="Book Antiqua" w:hAnsi="Book Antiqua"/>
          <w:color w:val="000000" w:themeColor="text1"/>
        </w:rPr>
        <w:t xml:space="preserve"> </w:t>
      </w:r>
      <w:r w:rsidR="003E586B" w:rsidRPr="006F3B88">
        <w:rPr>
          <w:rFonts w:ascii="Book Antiqua" w:hAnsi="Book Antiqua"/>
          <w:color w:val="000000" w:themeColor="text1"/>
        </w:rPr>
        <w:t>pancreatic</w:t>
      </w:r>
      <w:r w:rsidR="003E586B" w:rsidRPr="006F3B88">
        <w:rPr>
          <w:rFonts w:ascii="Book Antiqua" w:hAnsi="Book Antiqua"/>
          <w:color w:val="000000" w:themeColor="text1"/>
          <w:vertAlign w:val="superscript"/>
        </w:rPr>
        <w:t>[1</w:t>
      </w:r>
      <w:r w:rsidR="00307911" w:rsidRPr="006F3B88">
        <w:rPr>
          <w:rFonts w:ascii="Book Antiqua" w:hAnsi="Book Antiqua"/>
          <w:color w:val="000000" w:themeColor="text1"/>
          <w:vertAlign w:val="superscript"/>
        </w:rPr>
        <w:t>8</w:t>
      </w:r>
      <w:r w:rsidR="003E586B" w:rsidRPr="006F3B88">
        <w:rPr>
          <w:rFonts w:ascii="Book Antiqua" w:hAnsi="Book Antiqua"/>
          <w:color w:val="000000" w:themeColor="text1"/>
          <w:vertAlign w:val="superscript"/>
        </w:rPr>
        <w:t>-</w:t>
      </w:r>
      <w:r w:rsidR="00EC000D" w:rsidRPr="006F3B88">
        <w:rPr>
          <w:rFonts w:ascii="Book Antiqua" w:hAnsi="Book Antiqua"/>
          <w:color w:val="000000" w:themeColor="text1"/>
          <w:vertAlign w:val="superscript"/>
        </w:rPr>
        <w:t>2</w:t>
      </w:r>
      <w:r w:rsidR="00307911" w:rsidRPr="006F3B88">
        <w:rPr>
          <w:rFonts w:ascii="Book Antiqua" w:hAnsi="Book Antiqua"/>
          <w:color w:val="000000" w:themeColor="text1"/>
          <w:vertAlign w:val="superscript"/>
        </w:rPr>
        <w:t>0</w:t>
      </w:r>
      <w:r w:rsidR="003E586B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3E586B" w:rsidRPr="006F3B88">
        <w:rPr>
          <w:rFonts w:ascii="Book Antiqua" w:hAnsi="Book Antiqua"/>
          <w:color w:val="000000" w:themeColor="text1"/>
        </w:rPr>
        <w:t xml:space="preserve">, </w:t>
      </w:r>
      <w:r w:rsidR="0080032F" w:rsidRPr="006F3B88">
        <w:rPr>
          <w:rFonts w:ascii="Book Antiqua" w:hAnsi="Book Antiqua"/>
          <w:color w:val="000000" w:themeColor="text1"/>
        </w:rPr>
        <w:t>ovarian</w:t>
      </w:r>
      <w:r w:rsidR="003E586B" w:rsidRPr="006F3B88">
        <w:rPr>
          <w:rFonts w:ascii="Book Antiqua" w:hAnsi="Book Antiqua"/>
          <w:color w:val="000000" w:themeColor="text1"/>
          <w:vertAlign w:val="superscript"/>
        </w:rPr>
        <w:t>[</w:t>
      </w:r>
      <w:r w:rsidR="00EC000D" w:rsidRPr="006F3B88">
        <w:rPr>
          <w:rFonts w:ascii="Book Antiqua" w:hAnsi="Book Antiqua"/>
          <w:color w:val="000000" w:themeColor="text1"/>
          <w:vertAlign w:val="superscript"/>
        </w:rPr>
        <w:t>2</w:t>
      </w:r>
      <w:r w:rsidR="00307911" w:rsidRPr="006F3B88">
        <w:rPr>
          <w:rFonts w:ascii="Book Antiqua" w:hAnsi="Book Antiqua"/>
          <w:color w:val="000000" w:themeColor="text1"/>
          <w:vertAlign w:val="superscript"/>
        </w:rPr>
        <w:t>1</w:t>
      </w:r>
      <w:r w:rsidR="003E586B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8D10F0" w:rsidRPr="006F3B88">
        <w:rPr>
          <w:rFonts w:ascii="Book Antiqua" w:hAnsi="Book Antiqua"/>
          <w:color w:val="000000" w:themeColor="text1"/>
        </w:rPr>
        <w:t>, endometrial</w:t>
      </w:r>
      <w:r w:rsidR="008D10F0" w:rsidRPr="006F3B88">
        <w:rPr>
          <w:rFonts w:ascii="Book Antiqua" w:hAnsi="Book Antiqua"/>
          <w:color w:val="000000" w:themeColor="text1"/>
          <w:vertAlign w:val="superscript"/>
        </w:rPr>
        <w:t>[22]</w:t>
      </w:r>
      <w:r w:rsidR="008D10F0" w:rsidRPr="006F3B88">
        <w:rPr>
          <w:rFonts w:ascii="Book Antiqua" w:hAnsi="Book Antiqua"/>
          <w:color w:val="000000" w:themeColor="text1"/>
        </w:rPr>
        <w:t xml:space="preserve"> </w:t>
      </w:r>
      <w:r w:rsidR="003E586B" w:rsidRPr="006F3B88">
        <w:rPr>
          <w:rFonts w:ascii="Book Antiqua" w:hAnsi="Book Antiqua"/>
          <w:color w:val="000000" w:themeColor="text1"/>
        </w:rPr>
        <w:t xml:space="preserve">and </w:t>
      </w:r>
      <w:r w:rsidR="005A525A" w:rsidRPr="006F3B88">
        <w:rPr>
          <w:rFonts w:ascii="Book Antiqua" w:hAnsi="Book Antiqua"/>
          <w:color w:val="000000" w:themeColor="text1"/>
        </w:rPr>
        <w:t>lung</w:t>
      </w:r>
      <w:r w:rsidR="003E586B" w:rsidRPr="006F3B88">
        <w:rPr>
          <w:rFonts w:ascii="Book Antiqua" w:hAnsi="Book Antiqua"/>
          <w:color w:val="000000" w:themeColor="text1"/>
        </w:rPr>
        <w:t xml:space="preserve"> cancer</w:t>
      </w:r>
      <w:r w:rsidR="003E586B" w:rsidRPr="006F3B88">
        <w:rPr>
          <w:rFonts w:ascii="Book Antiqua" w:hAnsi="Book Antiqua"/>
          <w:color w:val="000000" w:themeColor="text1"/>
          <w:vertAlign w:val="superscript"/>
        </w:rPr>
        <w:t>[</w:t>
      </w:r>
      <w:r w:rsidR="00EC000D" w:rsidRPr="006F3B88">
        <w:rPr>
          <w:rFonts w:ascii="Book Antiqua" w:hAnsi="Book Antiqua"/>
          <w:color w:val="000000" w:themeColor="text1"/>
          <w:vertAlign w:val="superscript"/>
        </w:rPr>
        <w:t>2</w:t>
      </w:r>
      <w:r w:rsidR="00307911" w:rsidRPr="006F3B88">
        <w:rPr>
          <w:rFonts w:ascii="Book Antiqua" w:hAnsi="Book Antiqua"/>
          <w:color w:val="000000" w:themeColor="text1"/>
          <w:vertAlign w:val="superscript"/>
        </w:rPr>
        <w:t>3</w:t>
      </w:r>
      <w:r w:rsidR="003E586B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3E586B" w:rsidRPr="006F3B88">
        <w:rPr>
          <w:rFonts w:ascii="Book Antiqua" w:hAnsi="Book Antiqua"/>
          <w:color w:val="000000" w:themeColor="text1"/>
        </w:rPr>
        <w:t xml:space="preserve">. </w:t>
      </w:r>
      <w:r w:rsidR="00DA3E48" w:rsidRPr="006F3B88">
        <w:rPr>
          <w:rFonts w:ascii="Book Antiqua" w:hAnsi="Book Antiqua"/>
          <w:color w:val="000000" w:themeColor="text1"/>
        </w:rPr>
        <w:t xml:space="preserve">Although the role of MIC-1/GDF15 as a biomarker in malignancy has been explored, there is still ongoing discussion </w:t>
      </w:r>
      <w:r w:rsidR="00233CFF" w:rsidRPr="006F3B88">
        <w:rPr>
          <w:rFonts w:ascii="Book Antiqua" w:hAnsi="Book Antiqua"/>
          <w:color w:val="000000" w:themeColor="text1"/>
        </w:rPr>
        <w:t xml:space="preserve">regarding its </w:t>
      </w:r>
      <w:r w:rsidR="00254109" w:rsidRPr="006F3B88">
        <w:rPr>
          <w:rFonts w:ascii="Book Antiqua" w:hAnsi="Book Antiqua"/>
          <w:color w:val="000000" w:themeColor="text1"/>
        </w:rPr>
        <w:t xml:space="preserve">precise function </w:t>
      </w:r>
      <w:r w:rsidR="00DA3E48" w:rsidRPr="006F3B88">
        <w:rPr>
          <w:rFonts w:ascii="Book Antiqua" w:hAnsi="Book Antiqua"/>
          <w:color w:val="000000" w:themeColor="text1"/>
        </w:rPr>
        <w:t>in malignancy, with researchers hy</w:t>
      </w:r>
      <w:r w:rsidR="005A525A" w:rsidRPr="006F3B88">
        <w:rPr>
          <w:rFonts w:ascii="Book Antiqua" w:hAnsi="Book Antiqua"/>
          <w:color w:val="000000" w:themeColor="text1"/>
        </w:rPr>
        <w:t>pothesising that MIC-1/GDF15 enhances anti-tumour immunity in the early stages of malignancy, along with stimulating tumour cell spread</w:t>
      </w:r>
      <w:r w:rsidR="00753432" w:rsidRPr="006F3B88">
        <w:rPr>
          <w:rFonts w:ascii="Book Antiqua" w:hAnsi="Book Antiqua"/>
          <w:color w:val="000000" w:themeColor="text1"/>
        </w:rPr>
        <w:t xml:space="preserve"> through promoting tumo</w:t>
      </w:r>
      <w:r w:rsidR="002A0D83" w:rsidRPr="006F3B88">
        <w:rPr>
          <w:rFonts w:ascii="Book Antiqua" w:hAnsi="Book Antiqua"/>
          <w:color w:val="000000" w:themeColor="text1"/>
        </w:rPr>
        <w:t>u</w:t>
      </w:r>
      <w:r w:rsidR="00753432" w:rsidRPr="006F3B88">
        <w:rPr>
          <w:rFonts w:ascii="Book Antiqua" w:hAnsi="Book Antiqua"/>
          <w:color w:val="000000" w:themeColor="text1"/>
        </w:rPr>
        <w:t xml:space="preserve">r angiogenesis as demonstrated in oesophageal squamous cell </w:t>
      </w:r>
      <w:proofErr w:type="gramStart"/>
      <w:r w:rsidR="00753432" w:rsidRPr="006F3B88">
        <w:rPr>
          <w:rFonts w:ascii="Book Antiqua" w:hAnsi="Book Antiqua"/>
          <w:color w:val="000000" w:themeColor="text1"/>
        </w:rPr>
        <w:t>carcinoma</w:t>
      </w:r>
      <w:r w:rsidR="005A525A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753432" w:rsidRPr="006F3B88">
        <w:rPr>
          <w:rFonts w:ascii="Book Antiqua" w:hAnsi="Book Antiqua"/>
          <w:color w:val="000000" w:themeColor="text1"/>
          <w:vertAlign w:val="superscript"/>
        </w:rPr>
        <w:t>2</w:t>
      </w:r>
      <w:r w:rsidR="00307911" w:rsidRPr="006F3B88">
        <w:rPr>
          <w:rFonts w:ascii="Book Antiqua" w:hAnsi="Book Antiqua"/>
          <w:color w:val="000000" w:themeColor="text1"/>
          <w:vertAlign w:val="superscript"/>
        </w:rPr>
        <w:t>4</w:t>
      </w:r>
      <w:r w:rsidR="005A525A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5A525A" w:rsidRPr="006F3B88">
        <w:rPr>
          <w:rFonts w:ascii="Book Antiqua" w:hAnsi="Book Antiqua"/>
          <w:color w:val="000000" w:themeColor="text1"/>
        </w:rPr>
        <w:t>.</w:t>
      </w:r>
    </w:p>
    <w:p w:rsidR="001634C4" w:rsidRPr="006F3B88" w:rsidRDefault="001634C4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When analysing the role of MIC-1/GD</w:t>
      </w:r>
      <w:r w:rsidR="003E586B" w:rsidRPr="006F3B88">
        <w:rPr>
          <w:rFonts w:ascii="Book Antiqua" w:hAnsi="Book Antiqua"/>
          <w:color w:val="000000" w:themeColor="text1"/>
        </w:rPr>
        <w:t>F</w:t>
      </w:r>
      <w:r w:rsidRPr="006F3B88">
        <w:rPr>
          <w:rFonts w:ascii="Book Antiqua" w:hAnsi="Book Antiqua"/>
          <w:color w:val="000000" w:themeColor="text1"/>
        </w:rPr>
        <w:t xml:space="preserve">-15 in </w:t>
      </w:r>
      <w:r w:rsidR="001F6D69" w:rsidRPr="006F3B88">
        <w:rPr>
          <w:rFonts w:ascii="Book Antiqua" w:hAnsi="Book Antiqua"/>
          <w:color w:val="000000" w:themeColor="text1"/>
        </w:rPr>
        <w:t>pancreatic cancer (PC)</w:t>
      </w:r>
      <w:r w:rsidR="00E92D46" w:rsidRPr="006F3B88">
        <w:rPr>
          <w:rFonts w:ascii="Book Antiqua" w:hAnsi="Book Antiqua"/>
          <w:color w:val="000000" w:themeColor="text1"/>
        </w:rPr>
        <w:t xml:space="preserve">, </w:t>
      </w:r>
      <w:r w:rsidRPr="006F3B88">
        <w:rPr>
          <w:rFonts w:ascii="Book Antiqua" w:hAnsi="Book Antiqua"/>
          <w:color w:val="000000" w:themeColor="text1"/>
        </w:rPr>
        <w:t xml:space="preserve">at a molecular level it has been demonstrated to promote </w:t>
      </w:r>
      <w:r w:rsidR="001F6D69" w:rsidRPr="006F3B88">
        <w:rPr>
          <w:rFonts w:ascii="Book Antiqua" w:hAnsi="Book Antiqua"/>
          <w:color w:val="000000" w:themeColor="text1"/>
        </w:rPr>
        <w:t>pancreatic</w:t>
      </w:r>
      <w:r w:rsidRPr="006F3B88">
        <w:rPr>
          <w:rFonts w:ascii="Book Antiqua" w:hAnsi="Book Antiqua"/>
          <w:color w:val="000000" w:themeColor="text1"/>
        </w:rPr>
        <w:t xml:space="preserve"> cell invasion through its interaction with the transcription factor </w:t>
      </w:r>
      <w:proofErr w:type="gramStart"/>
      <w:r w:rsidRPr="006F3B88">
        <w:rPr>
          <w:rFonts w:ascii="Book Antiqua" w:hAnsi="Book Antiqua"/>
          <w:color w:val="000000" w:themeColor="text1"/>
        </w:rPr>
        <w:t>Twist1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[</w:t>
      </w:r>
      <w:proofErr w:type="gramEnd"/>
      <w:r w:rsidR="0099073C" w:rsidRPr="006F3B88">
        <w:rPr>
          <w:rFonts w:ascii="Book Antiqua" w:hAnsi="Book Antiqua"/>
          <w:noProof/>
          <w:color w:val="000000" w:themeColor="text1"/>
          <w:vertAlign w:val="superscript"/>
        </w:rPr>
        <w:t>2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5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Pr="006F3B88">
        <w:rPr>
          <w:rFonts w:ascii="Book Antiqua" w:hAnsi="Book Antiqua"/>
          <w:color w:val="000000" w:themeColor="text1"/>
        </w:rPr>
        <w:t>. In the clinical domain, MIC-1/GDF-15 has been demonstrated to be elevated in the serum of P</w:t>
      </w:r>
      <w:r w:rsidR="001F6D69" w:rsidRPr="006F3B88">
        <w:rPr>
          <w:rFonts w:ascii="Book Antiqua" w:hAnsi="Book Antiqua"/>
          <w:color w:val="000000" w:themeColor="text1"/>
        </w:rPr>
        <w:t xml:space="preserve">C </w:t>
      </w:r>
      <w:r w:rsidRPr="006F3B88">
        <w:rPr>
          <w:rFonts w:ascii="Book Antiqua" w:hAnsi="Book Antiqua"/>
          <w:color w:val="000000" w:themeColor="text1"/>
        </w:rPr>
        <w:t xml:space="preserve">patients compared to both healthy controls and those with benign pancreatic tumours, as </w:t>
      </w:r>
      <w:r w:rsidRPr="006F3B88">
        <w:rPr>
          <w:rFonts w:ascii="Book Antiqua" w:hAnsi="Book Antiqua"/>
          <w:color w:val="000000" w:themeColor="text1"/>
        </w:rPr>
        <w:lastRenderedPageBreak/>
        <w:t xml:space="preserve">well as being reported to be beneficial in the diagnosis of pancreatic </w:t>
      </w:r>
      <w:proofErr w:type="gramStart"/>
      <w:r w:rsidRPr="006F3B88">
        <w:rPr>
          <w:rFonts w:ascii="Book Antiqua" w:hAnsi="Book Antiqua"/>
          <w:color w:val="000000" w:themeColor="text1"/>
        </w:rPr>
        <w:t>adenocarcinoma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[</w:t>
      </w:r>
      <w:proofErr w:type="gramEnd"/>
      <w:r w:rsidR="00E92D46" w:rsidRPr="006F3B88">
        <w:rPr>
          <w:rFonts w:ascii="Book Antiqua" w:hAnsi="Book Antiqua"/>
          <w:noProof/>
          <w:color w:val="000000" w:themeColor="text1"/>
          <w:vertAlign w:val="superscript"/>
        </w:rPr>
        <w:t>1</w:t>
      </w:r>
      <w:r w:rsidR="00B30C5C" w:rsidRPr="006F3B88">
        <w:rPr>
          <w:rFonts w:ascii="Book Antiqua" w:hAnsi="Book Antiqua"/>
          <w:noProof/>
          <w:color w:val="000000" w:themeColor="text1"/>
          <w:vertAlign w:val="superscript"/>
        </w:rPr>
        <w:t>8</w:t>
      </w:r>
      <w:r w:rsidRPr="006F3B88">
        <w:rPr>
          <w:rFonts w:ascii="Book Antiqua" w:hAnsi="Book Antiqua"/>
          <w:noProof/>
          <w:color w:val="000000" w:themeColor="text1"/>
          <w:vertAlign w:val="superscript"/>
        </w:rPr>
        <w:t>,</w:t>
      </w:r>
      <w:r w:rsidR="0099073C" w:rsidRPr="006F3B88">
        <w:rPr>
          <w:rFonts w:ascii="Book Antiqua" w:hAnsi="Book Antiqua"/>
          <w:noProof/>
          <w:color w:val="000000" w:themeColor="text1"/>
          <w:vertAlign w:val="superscript"/>
        </w:rPr>
        <w:t>2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6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Pr="006F3B88">
        <w:rPr>
          <w:rFonts w:ascii="Book Antiqua" w:hAnsi="Book Antiqua"/>
          <w:color w:val="000000" w:themeColor="text1"/>
        </w:rPr>
        <w:t xml:space="preserve">. </w:t>
      </w:r>
      <w:r w:rsidR="00BA1709" w:rsidRPr="006F3B88">
        <w:rPr>
          <w:rFonts w:ascii="Book Antiqua" w:hAnsi="Book Antiqua"/>
          <w:color w:val="000000" w:themeColor="text1"/>
        </w:rPr>
        <w:t xml:space="preserve">While few </w:t>
      </w:r>
      <w:r w:rsidR="00712A97" w:rsidRPr="006F3B88">
        <w:rPr>
          <w:rFonts w:ascii="Book Antiqua" w:hAnsi="Book Antiqua"/>
          <w:color w:val="000000" w:themeColor="text1"/>
        </w:rPr>
        <w:t xml:space="preserve">individual </w:t>
      </w:r>
      <w:r w:rsidR="00536DB5" w:rsidRPr="006F3B88">
        <w:rPr>
          <w:rFonts w:ascii="Book Antiqua" w:hAnsi="Book Antiqua"/>
          <w:color w:val="000000" w:themeColor="text1"/>
        </w:rPr>
        <w:t>stud</w:t>
      </w:r>
      <w:r w:rsidR="00712A97" w:rsidRPr="006F3B88">
        <w:rPr>
          <w:rFonts w:ascii="Book Antiqua" w:hAnsi="Book Antiqua"/>
          <w:color w:val="000000" w:themeColor="text1"/>
        </w:rPr>
        <w:t>ie</w:t>
      </w:r>
      <w:r w:rsidR="00135319" w:rsidRPr="006F3B88">
        <w:rPr>
          <w:rFonts w:ascii="Book Antiqua" w:hAnsi="Book Antiqua"/>
          <w:color w:val="000000" w:themeColor="text1"/>
        </w:rPr>
        <w:t xml:space="preserve">s </w:t>
      </w:r>
      <w:r w:rsidR="00536DB5" w:rsidRPr="006F3B88">
        <w:rPr>
          <w:rFonts w:ascii="Book Antiqua" w:hAnsi="Book Antiqua"/>
          <w:color w:val="000000" w:themeColor="text1"/>
        </w:rPr>
        <w:t xml:space="preserve">show that </w:t>
      </w:r>
      <w:r w:rsidRPr="006F3B88">
        <w:rPr>
          <w:rFonts w:ascii="Book Antiqua" w:hAnsi="Book Antiqua"/>
          <w:color w:val="000000" w:themeColor="text1"/>
        </w:rPr>
        <w:t>MIC-1/GDF-15 is more sensitive than</w:t>
      </w:r>
      <w:r w:rsidR="00EE6D73" w:rsidRPr="006F3B88">
        <w:rPr>
          <w:rFonts w:ascii="Book Antiqua" w:hAnsi="Book Antiqua"/>
          <w:color w:val="000000" w:themeColor="text1"/>
        </w:rPr>
        <w:t xml:space="preserve"> carbohydrate antigen 19-9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="00EE6D73" w:rsidRPr="006F3B88">
        <w:rPr>
          <w:rFonts w:ascii="Book Antiqua" w:hAnsi="Book Antiqua"/>
          <w:color w:val="000000" w:themeColor="text1"/>
        </w:rPr>
        <w:t>(</w:t>
      </w:r>
      <w:r w:rsidRPr="006F3B88">
        <w:rPr>
          <w:rFonts w:ascii="Book Antiqua" w:hAnsi="Book Antiqua"/>
          <w:color w:val="000000" w:themeColor="text1"/>
        </w:rPr>
        <w:t>CA19-9</w:t>
      </w:r>
      <w:r w:rsidR="00EE6D73" w:rsidRPr="006F3B88">
        <w:rPr>
          <w:rFonts w:ascii="Book Antiqua" w:hAnsi="Book Antiqua"/>
          <w:color w:val="000000" w:themeColor="text1"/>
        </w:rPr>
        <w:t>)</w:t>
      </w:r>
      <w:r w:rsidRPr="006F3B88">
        <w:rPr>
          <w:rFonts w:ascii="Book Antiqua" w:hAnsi="Book Antiqua"/>
          <w:color w:val="000000" w:themeColor="text1"/>
        </w:rPr>
        <w:t xml:space="preserve"> in the diagnosis of P</w:t>
      </w:r>
      <w:r w:rsidR="00536DB5" w:rsidRPr="006F3B88">
        <w:rPr>
          <w:rFonts w:ascii="Book Antiqua" w:hAnsi="Book Antiqua"/>
          <w:color w:val="000000" w:themeColor="text1"/>
        </w:rPr>
        <w:t>C</w:t>
      </w:r>
      <w:r w:rsidRPr="006F3B88">
        <w:rPr>
          <w:rFonts w:ascii="Book Antiqua" w:hAnsi="Book Antiqua"/>
          <w:color w:val="000000" w:themeColor="text1"/>
        </w:rPr>
        <w:t xml:space="preserve">, </w:t>
      </w:r>
      <w:r w:rsidR="00712A97" w:rsidRPr="006F3B88">
        <w:rPr>
          <w:rFonts w:ascii="Book Antiqua" w:hAnsi="Book Antiqua"/>
          <w:color w:val="000000" w:themeColor="text1"/>
        </w:rPr>
        <w:t xml:space="preserve">a </w:t>
      </w:r>
      <w:r w:rsidR="00EC000D" w:rsidRPr="006F3B88">
        <w:rPr>
          <w:rFonts w:ascii="Book Antiqua" w:hAnsi="Book Antiqua"/>
          <w:color w:val="000000" w:themeColor="text1"/>
        </w:rPr>
        <w:t>meta</w:t>
      </w:r>
      <w:r w:rsidR="00645387" w:rsidRPr="006F3B88">
        <w:rPr>
          <w:rFonts w:ascii="Book Antiqua" w:hAnsi="Book Antiqua"/>
          <w:color w:val="000000" w:themeColor="text1"/>
        </w:rPr>
        <w:t>-analysis</w:t>
      </w:r>
      <w:r w:rsidR="00CB525A" w:rsidRPr="006F3B88">
        <w:rPr>
          <w:rFonts w:ascii="Book Antiqua" w:hAnsi="Book Antiqua"/>
          <w:color w:val="000000" w:themeColor="text1"/>
          <w:vertAlign w:val="superscript"/>
        </w:rPr>
        <w:t>[2</w:t>
      </w:r>
      <w:r w:rsidR="00307911" w:rsidRPr="006F3B88">
        <w:rPr>
          <w:rFonts w:ascii="Book Antiqua" w:hAnsi="Book Antiqua"/>
          <w:color w:val="000000" w:themeColor="text1"/>
          <w:vertAlign w:val="superscript"/>
        </w:rPr>
        <w:t>7</w:t>
      </w:r>
      <w:r w:rsidR="00CB525A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645387" w:rsidRPr="006F3B88">
        <w:rPr>
          <w:rFonts w:ascii="Book Antiqua" w:hAnsi="Book Antiqua"/>
          <w:color w:val="000000" w:themeColor="text1"/>
        </w:rPr>
        <w:t xml:space="preserve"> </w:t>
      </w:r>
      <w:r w:rsidR="002B0457" w:rsidRPr="006F3B88">
        <w:rPr>
          <w:rFonts w:ascii="Book Antiqua" w:hAnsi="Book Antiqua"/>
          <w:color w:val="000000" w:themeColor="text1"/>
        </w:rPr>
        <w:t xml:space="preserve">published in 2018 </w:t>
      </w:r>
      <w:r w:rsidR="00645387" w:rsidRPr="006F3B88">
        <w:rPr>
          <w:rFonts w:ascii="Book Antiqua" w:hAnsi="Book Antiqua"/>
          <w:color w:val="000000" w:themeColor="text1"/>
        </w:rPr>
        <w:t>shows that MIC</w:t>
      </w:r>
      <w:r w:rsidR="00712A97" w:rsidRPr="006F3B88">
        <w:rPr>
          <w:rFonts w:ascii="Book Antiqua" w:hAnsi="Book Antiqua"/>
          <w:color w:val="000000" w:themeColor="text1"/>
        </w:rPr>
        <w:t>-</w:t>
      </w:r>
      <w:r w:rsidR="00645387" w:rsidRPr="006F3B88">
        <w:rPr>
          <w:rFonts w:ascii="Book Antiqua" w:hAnsi="Book Antiqua"/>
          <w:color w:val="000000" w:themeColor="text1"/>
        </w:rPr>
        <w:t>1 has a comparable diagnostic accuracy to C</w:t>
      </w:r>
      <w:r w:rsidR="00FB03B9" w:rsidRPr="006F3B88">
        <w:rPr>
          <w:rFonts w:ascii="Book Antiqua" w:hAnsi="Book Antiqua"/>
          <w:color w:val="000000" w:themeColor="text1"/>
        </w:rPr>
        <w:t>A</w:t>
      </w:r>
      <w:r w:rsidR="00645387" w:rsidRPr="006F3B88">
        <w:rPr>
          <w:rFonts w:ascii="Book Antiqua" w:hAnsi="Book Antiqua"/>
          <w:color w:val="000000" w:themeColor="text1"/>
        </w:rPr>
        <w:t>19</w:t>
      </w:r>
      <w:r w:rsidR="00135319" w:rsidRPr="006F3B88">
        <w:rPr>
          <w:rFonts w:ascii="Book Antiqua" w:hAnsi="Book Antiqua"/>
          <w:color w:val="000000" w:themeColor="text1"/>
        </w:rPr>
        <w:t>-</w:t>
      </w:r>
      <w:r w:rsidR="00645387" w:rsidRPr="006F3B88">
        <w:rPr>
          <w:rFonts w:ascii="Book Antiqua" w:hAnsi="Book Antiqua"/>
          <w:color w:val="000000" w:themeColor="text1"/>
        </w:rPr>
        <w:t xml:space="preserve">9 in diagnosis of </w:t>
      </w:r>
      <w:r w:rsidR="00EE6D73" w:rsidRPr="006F3B88">
        <w:rPr>
          <w:rFonts w:ascii="Book Antiqua" w:hAnsi="Book Antiqua"/>
          <w:color w:val="000000" w:themeColor="text1"/>
        </w:rPr>
        <w:t>PC</w:t>
      </w:r>
      <w:r w:rsidR="00645387" w:rsidRPr="006F3B88">
        <w:rPr>
          <w:rFonts w:ascii="Book Antiqua" w:hAnsi="Book Antiqua"/>
          <w:color w:val="000000" w:themeColor="text1"/>
        </w:rPr>
        <w:t xml:space="preserve">. </w:t>
      </w:r>
      <w:r w:rsidR="00283055" w:rsidRPr="006F3B88">
        <w:rPr>
          <w:rFonts w:ascii="Book Antiqua" w:hAnsi="Book Antiqua"/>
          <w:color w:val="000000" w:themeColor="text1"/>
        </w:rPr>
        <w:t>Further preliminary studies ha</w:t>
      </w:r>
      <w:r w:rsidR="0087384D" w:rsidRPr="006F3B88">
        <w:rPr>
          <w:rFonts w:ascii="Book Antiqua" w:hAnsi="Book Antiqua"/>
          <w:color w:val="000000" w:themeColor="text1"/>
        </w:rPr>
        <w:t>ve</w:t>
      </w:r>
      <w:r w:rsidR="00283055" w:rsidRPr="006F3B88">
        <w:rPr>
          <w:rFonts w:ascii="Book Antiqua" w:hAnsi="Book Antiqua"/>
          <w:color w:val="000000" w:themeColor="text1"/>
        </w:rPr>
        <w:t xml:space="preserve"> demonstrated that MIC-1/GDF15 is superior to</w:t>
      </w:r>
      <w:r w:rsidR="002B0457" w:rsidRPr="006F3B88">
        <w:rPr>
          <w:rFonts w:ascii="Book Antiqua" w:hAnsi="Book Antiqua"/>
          <w:color w:val="000000" w:themeColor="text1"/>
        </w:rPr>
        <w:t xml:space="preserve"> CA19</w:t>
      </w:r>
      <w:r w:rsidR="00712A97" w:rsidRPr="006F3B88">
        <w:rPr>
          <w:rFonts w:ascii="Book Antiqua" w:hAnsi="Book Antiqua"/>
          <w:color w:val="000000" w:themeColor="text1"/>
        </w:rPr>
        <w:t>-</w:t>
      </w:r>
      <w:r w:rsidR="002B0457" w:rsidRPr="006F3B88">
        <w:rPr>
          <w:rFonts w:ascii="Book Antiqua" w:hAnsi="Book Antiqua"/>
          <w:color w:val="000000" w:themeColor="text1"/>
        </w:rPr>
        <w:t>9 in differentiating PC from chronic pancreatitis</w:t>
      </w:r>
      <w:r w:rsidR="00712A97" w:rsidRPr="006F3B88">
        <w:rPr>
          <w:rFonts w:ascii="Book Antiqua" w:hAnsi="Book Antiqua"/>
          <w:color w:val="000000" w:themeColor="text1"/>
          <w:vertAlign w:val="superscript"/>
        </w:rPr>
        <w:t xml:space="preserve"> </w:t>
      </w:r>
      <w:r w:rsidR="00BA1709" w:rsidRPr="006F3B88">
        <w:rPr>
          <w:rFonts w:ascii="Book Antiqua" w:hAnsi="Book Antiqua"/>
          <w:color w:val="000000" w:themeColor="text1"/>
        </w:rPr>
        <w:t xml:space="preserve">and when used in combination with CA19-9 </w:t>
      </w:r>
      <w:r w:rsidR="0087384D" w:rsidRPr="006F3B88">
        <w:rPr>
          <w:rFonts w:ascii="Book Antiqua" w:hAnsi="Book Antiqua"/>
          <w:color w:val="000000" w:themeColor="text1"/>
        </w:rPr>
        <w:t>it</w:t>
      </w:r>
      <w:r w:rsidR="00BA1709" w:rsidRPr="006F3B88">
        <w:rPr>
          <w:rFonts w:ascii="Book Antiqua" w:hAnsi="Book Antiqua"/>
          <w:color w:val="000000" w:themeColor="text1"/>
        </w:rPr>
        <w:t xml:space="preserve"> improves further the diagnostic accuracy of differentiating PC form chronic pancreatitis and healthy </w:t>
      </w:r>
      <w:proofErr w:type="gramStart"/>
      <w:r w:rsidR="00BA1709" w:rsidRPr="006F3B88">
        <w:rPr>
          <w:rFonts w:ascii="Book Antiqua" w:hAnsi="Book Antiqua"/>
          <w:color w:val="000000" w:themeColor="text1"/>
        </w:rPr>
        <w:t>controls</w:t>
      </w:r>
      <w:r w:rsidR="00BA1709" w:rsidRPr="006F3B88">
        <w:rPr>
          <w:rFonts w:ascii="Book Antiqua" w:hAnsi="Book Antiqua"/>
          <w:noProof/>
          <w:color w:val="000000" w:themeColor="text1"/>
          <w:vertAlign w:val="superscript"/>
        </w:rPr>
        <w:t>[</w:t>
      </w:r>
      <w:proofErr w:type="gramEnd"/>
      <w:r w:rsidR="00BA1709" w:rsidRPr="006F3B88">
        <w:rPr>
          <w:rFonts w:ascii="Book Antiqua" w:hAnsi="Book Antiqua"/>
          <w:noProof/>
          <w:color w:val="000000" w:themeColor="text1"/>
          <w:vertAlign w:val="superscript"/>
        </w:rPr>
        <w:t>2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7</w:t>
      </w:r>
      <w:r w:rsidR="00BA1709" w:rsidRPr="006F3B88">
        <w:rPr>
          <w:rFonts w:ascii="Book Antiqua" w:hAnsi="Book Antiqua"/>
          <w:noProof/>
          <w:color w:val="000000" w:themeColor="text1"/>
          <w:vertAlign w:val="superscript"/>
        </w:rPr>
        <w:t>-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29</w:t>
      </w:r>
      <w:r w:rsidR="00BA1709" w:rsidRPr="006F3B88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09347E" w:rsidRPr="006F3B88">
        <w:rPr>
          <w:rFonts w:ascii="Book Antiqua" w:hAnsi="Book Antiqua"/>
          <w:color w:val="000000" w:themeColor="text1"/>
        </w:rPr>
        <w:t xml:space="preserve">. </w:t>
      </w:r>
      <w:r w:rsidRPr="006F3B88">
        <w:rPr>
          <w:rFonts w:ascii="Book Antiqua" w:hAnsi="Book Antiqua"/>
          <w:color w:val="000000" w:themeColor="text1"/>
        </w:rPr>
        <w:t xml:space="preserve">A recent </w:t>
      </w:r>
      <w:r w:rsidR="00FB03B9" w:rsidRPr="006F3B88">
        <w:rPr>
          <w:rFonts w:ascii="Book Antiqua" w:hAnsi="Book Antiqua"/>
          <w:color w:val="000000" w:themeColor="text1"/>
        </w:rPr>
        <w:t>meta-analysis</w:t>
      </w:r>
      <w:r w:rsidRPr="006F3B88">
        <w:rPr>
          <w:rFonts w:ascii="Book Antiqua" w:hAnsi="Book Antiqua"/>
          <w:color w:val="000000" w:themeColor="text1"/>
        </w:rPr>
        <w:t xml:space="preserve"> published the diagnostic sensitivity and specificity for MIC-1/GDF15 in diagnosing PC as </w:t>
      </w:r>
      <w:r w:rsidR="0048519F" w:rsidRPr="006F3B88">
        <w:rPr>
          <w:rFonts w:ascii="Book Antiqua" w:hAnsi="Book Antiqua"/>
          <w:color w:val="000000" w:themeColor="text1"/>
        </w:rPr>
        <w:t>80</w:t>
      </w:r>
      <w:r w:rsidRPr="006F3B88">
        <w:rPr>
          <w:rFonts w:ascii="Book Antiqua" w:hAnsi="Book Antiqua"/>
          <w:color w:val="000000" w:themeColor="text1"/>
        </w:rPr>
        <w:t xml:space="preserve">% and </w:t>
      </w:r>
      <w:r w:rsidR="0048519F" w:rsidRPr="006F3B88">
        <w:rPr>
          <w:rFonts w:ascii="Book Antiqua" w:hAnsi="Book Antiqua"/>
          <w:color w:val="000000" w:themeColor="text1"/>
        </w:rPr>
        <w:t>85</w:t>
      </w:r>
      <w:r w:rsidRPr="006F3B88">
        <w:rPr>
          <w:rFonts w:ascii="Book Antiqua" w:hAnsi="Book Antiqua"/>
          <w:color w:val="000000" w:themeColor="text1"/>
        </w:rPr>
        <w:t xml:space="preserve">% respectively, with an </w:t>
      </w:r>
      <w:r w:rsidR="00245ACC" w:rsidRPr="006F3B88">
        <w:rPr>
          <w:rFonts w:ascii="Book Antiqua" w:hAnsi="Book Antiqua"/>
          <w:bCs/>
          <w:color w:val="000000" w:themeColor="text1"/>
        </w:rPr>
        <w:t>area under curve</w:t>
      </w:r>
      <w:r w:rsidR="00245ACC" w:rsidRPr="006F3B88">
        <w:rPr>
          <w:rFonts w:ascii="Book Antiqua" w:hAnsi="Book Antiqua"/>
          <w:color w:val="000000" w:themeColor="text1"/>
        </w:rPr>
        <w:t xml:space="preserve"> (</w:t>
      </w:r>
      <w:r w:rsidRPr="006F3B88">
        <w:rPr>
          <w:rFonts w:ascii="Book Antiqua" w:hAnsi="Book Antiqua"/>
          <w:color w:val="000000" w:themeColor="text1"/>
        </w:rPr>
        <w:t>AUC</w:t>
      </w:r>
      <w:r w:rsidR="00245ACC" w:rsidRPr="006F3B88">
        <w:rPr>
          <w:rFonts w:ascii="Book Antiqua" w:hAnsi="Book Antiqua"/>
          <w:color w:val="000000" w:themeColor="text1"/>
        </w:rPr>
        <w:t>)</w:t>
      </w:r>
      <w:r w:rsidRPr="006F3B88">
        <w:rPr>
          <w:rFonts w:ascii="Book Antiqua" w:hAnsi="Book Antiqua"/>
          <w:color w:val="000000" w:themeColor="text1"/>
        </w:rPr>
        <w:t xml:space="preserve"> of 0.</w:t>
      </w:r>
      <w:r w:rsidR="0048519F" w:rsidRPr="006F3B88">
        <w:rPr>
          <w:rFonts w:ascii="Book Antiqua" w:hAnsi="Book Antiqua"/>
          <w:color w:val="000000" w:themeColor="text1"/>
        </w:rPr>
        <w:t>894</w:t>
      </w:r>
      <w:r w:rsidR="0048519F" w:rsidRPr="006F3B88">
        <w:rPr>
          <w:rFonts w:ascii="Book Antiqua" w:hAnsi="Book Antiqua"/>
          <w:color w:val="000000" w:themeColor="text1"/>
          <w:vertAlign w:val="superscript"/>
        </w:rPr>
        <w:t>[2</w:t>
      </w:r>
      <w:r w:rsidR="00307911" w:rsidRPr="006F3B88">
        <w:rPr>
          <w:rFonts w:ascii="Book Antiqua" w:hAnsi="Book Antiqua"/>
          <w:color w:val="000000" w:themeColor="text1"/>
          <w:vertAlign w:val="superscript"/>
        </w:rPr>
        <w:t>7</w:t>
      </w:r>
      <w:r w:rsidR="0048519F" w:rsidRPr="006F3B88">
        <w:rPr>
          <w:rFonts w:ascii="Book Antiqua" w:hAnsi="Book Antiqua"/>
          <w:color w:val="000000" w:themeColor="text1"/>
          <w:vertAlign w:val="superscript"/>
        </w:rPr>
        <w:t>]</w:t>
      </w:r>
      <w:r w:rsidRPr="006F3B88">
        <w:rPr>
          <w:rFonts w:ascii="Book Antiqua" w:hAnsi="Book Antiqua"/>
          <w:color w:val="000000" w:themeColor="text1"/>
        </w:rPr>
        <w:t>. In addition to this, MIC-1/GDF15 was found to have a positive predictive value of 78.3%, and a negative predictive value of 78.6</w:t>
      </w:r>
      <w:proofErr w:type="gramStart"/>
      <w:r w:rsidRPr="006F3B88">
        <w:rPr>
          <w:rFonts w:ascii="Book Antiqua" w:hAnsi="Book Antiqua"/>
          <w:color w:val="000000" w:themeColor="text1"/>
        </w:rPr>
        <w:t>%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[</w:t>
      </w:r>
      <w:proofErr w:type="gramEnd"/>
      <w:r w:rsidR="00EC000D" w:rsidRPr="006F3B88">
        <w:rPr>
          <w:rFonts w:ascii="Book Antiqua" w:hAnsi="Book Antiqua"/>
          <w:noProof/>
          <w:color w:val="000000" w:themeColor="text1"/>
          <w:vertAlign w:val="superscript"/>
        </w:rPr>
        <w:t>3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0</w:t>
      </w:r>
      <w:r w:rsidR="00492ED6" w:rsidRPr="006F3B88">
        <w:rPr>
          <w:rFonts w:ascii="Book Antiqua" w:hAnsi="Book Antiqua"/>
          <w:noProof/>
          <w:color w:val="000000" w:themeColor="text1"/>
          <w:vertAlign w:val="superscript"/>
        </w:rPr>
        <w:t>,</w:t>
      </w:r>
      <w:r w:rsidR="00EC000D" w:rsidRPr="006F3B88">
        <w:rPr>
          <w:rFonts w:ascii="Book Antiqua" w:hAnsi="Book Antiqua"/>
          <w:noProof/>
          <w:color w:val="000000" w:themeColor="text1"/>
          <w:vertAlign w:val="superscript"/>
        </w:rPr>
        <w:t>3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1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BE456D" w:rsidRPr="006F3B88">
        <w:rPr>
          <w:rFonts w:ascii="Book Antiqua" w:hAnsi="Book Antiqua"/>
          <w:color w:val="000000" w:themeColor="text1"/>
        </w:rPr>
        <w:t>.</w:t>
      </w:r>
      <w:r w:rsidR="003E3702" w:rsidRPr="006F3B88">
        <w:rPr>
          <w:rFonts w:ascii="Book Antiqua" w:hAnsi="Book Antiqua"/>
          <w:color w:val="000000" w:themeColor="text1"/>
        </w:rPr>
        <w:t xml:space="preserve"> </w:t>
      </w:r>
    </w:p>
    <w:p w:rsidR="001634C4" w:rsidRPr="006F3B88" w:rsidRDefault="001634C4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In light of the current emerging evidence that advocates for MIC-1/GDF-15 as a potential serological marker of malignancy, the aim of this study was to determine the value of MIC-1/GDF-15 as a serological marker of </w:t>
      </w:r>
      <w:r w:rsidR="003E3702" w:rsidRPr="006F3B88">
        <w:rPr>
          <w:rFonts w:ascii="Book Antiqua" w:hAnsi="Book Antiqua"/>
          <w:color w:val="000000" w:themeColor="text1"/>
        </w:rPr>
        <w:t xml:space="preserve">pancreatic </w:t>
      </w:r>
      <w:r w:rsidRPr="006F3B88">
        <w:rPr>
          <w:rFonts w:ascii="Book Antiqua" w:hAnsi="Book Antiqua"/>
          <w:color w:val="000000" w:themeColor="text1"/>
        </w:rPr>
        <w:t xml:space="preserve">pre-malignant lesions </w:t>
      </w:r>
      <w:r w:rsidR="009973B9" w:rsidRPr="006F3B88">
        <w:rPr>
          <w:rFonts w:ascii="Book Antiqua" w:hAnsi="Book Antiqua"/>
          <w:color w:val="000000" w:themeColor="text1"/>
        </w:rPr>
        <w:t xml:space="preserve">and neoplastic tumours </w:t>
      </w:r>
      <w:r w:rsidRPr="006F3B88">
        <w:rPr>
          <w:rFonts w:ascii="Book Antiqua" w:hAnsi="Book Antiqua"/>
          <w:color w:val="000000" w:themeColor="text1"/>
        </w:rPr>
        <w:t>in an asymptomatic high-risk population being screened for pancreatic malignancy in an established PC screening program</w:t>
      </w:r>
      <w:r w:rsidR="008950BD" w:rsidRPr="006F3B88">
        <w:rPr>
          <w:rFonts w:ascii="Book Antiqua" w:hAnsi="Book Antiqua"/>
          <w:color w:val="000000" w:themeColor="text1"/>
        </w:rPr>
        <w:t>.</w:t>
      </w:r>
      <w:r w:rsidRPr="006F3B88">
        <w:rPr>
          <w:rFonts w:ascii="Book Antiqua" w:hAnsi="Book Antiqua"/>
          <w:color w:val="000000" w:themeColor="text1"/>
        </w:rPr>
        <w:t xml:space="preserve"> </w:t>
      </w:r>
    </w:p>
    <w:p w:rsidR="00A4006D" w:rsidRPr="006F3B88" w:rsidRDefault="00A4006D" w:rsidP="006F3B88">
      <w:pPr>
        <w:snapToGrid w:val="0"/>
        <w:spacing w:line="360" w:lineRule="auto"/>
        <w:ind w:firstLine="360"/>
        <w:jc w:val="both"/>
        <w:rPr>
          <w:rFonts w:ascii="Book Antiqua" w:hAnsi="Book Antiqua"/>
          <w:b/>
          <w:color w:val="000000" w:themeColor="text1"/>
        </w:rPr>
      </w:pP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6F3B88">
        <w:rPr>
          <w:rFonts w:ascii="Book Antiqua" w:hAnsi="Book Antiqua" w:cs="Arial"/>
          <w:b/>
          <w:color w:val="000000" w:themeColor="text1"/>
          <w:u w:val="single"/>
        </w:rPr>
        <w:t>MATERIALS AND METHODS</w:t>
      </w:r>
    </w:p>
    <w:p w:rsidR="00F4674F" w:rsidRPr="006F3B88" w:rsidRDefault="00F4674F" w:rsidP="006F3B88">
      <w:pPr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Eligible participants were enrolled in the Australian </w:t>
      </w:r>
      <w:r w:rsidR="003122BD" w:rsidRPr="006F3B88">
        <w:rPr>
          <w:rFonts w:ascii="Book Antiqua" w:hAnsi="Book Antiqua"/>
          <w:color w:val="000000" w:themeColor="text1"/>
        </w:rPr>
        <w:t>Pancreatic Cancer</w:t>
      </w:r>
      <w:r w:rsidRPr="006F3B88">
        <w:rPr>
          <w:rFonts w:ascii="Book Antiqua" w:hAnsi="Book Antiqua"/>
          <w:color w:val="000000" w:themeColor="text1"/>
        </w:rPr>
        <w:t xml:space="preserve"> Screening study for high-risk individuals performed at St Vincent’s Hospital in Sydney, Australia which had started in 2011. The study was approved by St Vincent’s Hospital Ethics Committee (HREC/10/SVH/33)</w:t>
      </w:r>
      <w:r w:rsidR="004B26DE" w:rsidRPr="006F3B88">
        <w:rPr>
          <w:rFonts w:ascii="Book Antiqua" w:hAnsi="Book Antiqua"/>
          <w:color w:val="000000" w:themeColor="text1"/>
        </w:rPr>
        <w:t xml:space="preserve"> and use</w:t>
      </w:r>
      <w:r w:rsidR="00527880" w:rsidRPr="006F3B88">
        <w:rPr>
          <w:rFonts w:ascii="Book Antiqua" w:hAnsi="Book Antiqua"/>
          <w:color w:val="000000" w:themeColor="text1"/>
        </w:rPr>
        <w:t>s</w:t>
      </w:r>
      <w:r w:rsidR="004B26DE" w:rsidRPr="006F3B88">
        <w:rPr>
          <w:rFonts w:ascii="Book Antiqua" w:hAnsi="Book Antiqua"/>
          <w:color w:val="000000" w:themeColor="text1"/>
        </w:rPr>
        <w:t xml:space="preserve"> annual </w:t>
      </w:r>
      <w:r w:rsidR="00EE6D73" w:rsidRPr="006F3B88">
        <w:rPr>
          <w:rFonts w:ascii="Book Antiqua" w:hAnsi="Book Antiqua"/>
          <w:color w:val="000000" w:themeColor="text1"/>
        </w:rPr>
        <w:t>endoscopic ultrasound (</w:t>
      </w:r>
      <w:r w:rsidR="004B26DE" w:rsidRPr="006F3B88">
        <w:rPr>
          <w:rFonts w:ascii="Book Antiqua" w:hAnsi="Book Antiqua"/>
          <w:color w:val="000000" w:themeColor="text1"/>
        </w:rPr>
        <w:t>EUS</w:t>
      </w:r>
      <w:r w:rsidR="00EE6D73" w:rsidRPr="006F3B88">
        <w:rPr>
          <w:rFonts w:ascii="Book Antiqua" w:hAnsi="Book Antiqua"/>
          <w:color w:val="000000" w:themeColor="text1"/>
        </w:rPr>
        <w:t>)</w:t>
      </w:r>
      <w:r w:rsidR="004B26DE" w:rsidRPr="006F3B88">
        <w:rPr>
          <w:rFonts w:ascii="Book Antiqua" w:hAnsi="Book Antiqua"/>
          <w:color w:val="000000" w:themeColor="text1"/>
        </w:rPr>
        <w:t xml:space="preserve"> as a screening modality</w:t>
      </w:r>
      <w:r w:rsidRPr="006F3B88">
        <w:rPr>
          <w:rFonts w:ascii="Book Antiqua" w:hAnsi="Book Antiqua"/>
          <w:color w:val="000000" w:themeColor="text1"/>
        </w:rPr>
        <w:t xml:space="preserve">. </w:t>
      </w:r>
      <w:r w:rsidR="0059191D" w:rsidRPr="006F3B88">
        <w:rPr>
          <w:rFonts w:ascii="Book Antiqua" w:hAnsi="Book Antiqua"/>
          <w:color w:val="000000" w:themeColor="text1"/>
        </w:rPr>
        <w:t>A</w:t>
      </w:r>
      <w:r w:rsidRPr="006F3B88">
        <w:rPr>
          <w:rFonts w:ascii="Book Antiqua" w:hAnsi="Book Antiqua"/>
          <w:color w:val="000000" w:themeColor="text1"/>
        </w:rPr>
        <w:t>symptomatic</w:t>
      </w:r>
      <w:r w:rsidR="0059191D" w:rsidRPr="006F3B88">
        <w:rPr>
          <w:rFonts w:ascii="Book Antiqua" w:hAnsi="Book Antiqua"/>
          <w:color w:val="000000" w:themeColor="text1"/>
        </w:rPr>
        <w:t xml:space="preserve"> </w:t>
      </w:r>
      <w:r w:rsidR="00043205" w:rsidRPr="006F3B88">
        <w:rPr>
          <w:rFonts w:ascii="Book Antiqua" w:hAnsi="Book Antiqua"/>
          <w:color w:val="000000" w:themeColor="text1"/>
        </w:rPr>
        <w:t>individuals</w:t>
      </w:r>
      <w:r w:rsidR="0059191D" w:rsidRPr="006F3B88">
        <w:rPr>
          <w:rFonts w:ascii="Book Antiqua" w:hAnsi="Book Antiqua"/>
          <w:color w:val="000000" w:themeColor="text1"/>
        </w:rPr>
        <w:t xml:space="preserve"> with</w:t>
      </w:r>
      <w:r w:rsidR="00050132" w:rsidRPr="006F3B88">
        <w:rPr>
          <w:rFonts w:ascii="Book Antiqua" w:hAnsi="Book Antiqua"/>
          <w:color w:val="000000" w:themeColor="text1"/>
        </w:rPr>
        <w:t xml:space="preserve"> a hereditary predisposition to </w:t>
      </w:r>
      <w:r w:rsidR="00EE6D73" w:rsidRPr="006F3B88">
        <w:rPr>
          <w:rFonts w:ascii="Book Antiqua" w:hAnsi="Book Antiqua"/>
          <w:color w:val="000000" w:themeColor="text1"/>
        </w:rPr>
        <w:t>PC</w:t>
      </w:r>
      <w:r w:rsidR="00233CFB" w:rsidRPr="006F3B88">
        <w:rPr>
          <w:rFonts w:ascii="Book Antiqua" w:hAnsi="Book Antiqua"/>
          <w:color w:val="000000" w:themeColor="text1"/>
        </w:rPr>
        <w:t xml:space="preserve"> were recruited between May 2011-May 2018 </w:t>
      </w:r>
      <w:r w:rsidRPr="006F3B88">
        <w:rPr>
          <w:rFonts w:ascii="Book Antiqua" w:hAnsi="Book Antiqua"/>
          <w:color w:val="000000" w:themeColor="text1"/>
        </w:rPr>
        <w:t>(</w:t>
      </w:r>
      <w:r w:rsidR="00C912EF" w:rsidRPr="006F3B88">
        <w:rPr>
          <w:rFonts w:ascii="Book Antiqua" w:hAnsi="Book Antiqua"/>
          <w:color w:val="000000" w:themeColor="text1"/>
        </w:rPr>
        <w:t xml:space="preserve">Inclusion criteria </w:t>
      </w:r>
      <w:r w:rsidR="00BD5173" w:rsidRPr="006F3B88">
        <w:rPr>
          <w:rFonts w:ascii="Book Antiqua" w:hAnsi="Book Antiqua"/>
          <w:color w:val="000000" w:themeColor="text1"/>
        </w:rPr>
        <w:t xml:space="preserve">Supplementary </w:t>
      </w:r>
      <w:r w:rsidR="00621080" w:rsidRPr="006F3B88">
        <w:rPr>
          <w:rFonts w:ascii="Book Antiqua" w:hAnsi="Book Antiqua"/>
          <w:color w:val="000000" w:themeColor="text1"/>
        </w:rPr>
        <w:t>file</w:t>
      </w:r>
      <w:r w:rsidR="00207D28" w:rsidRPr="006F3B88">
        <w:rPr>
          <w:rFonts w:ascii="Book Antiqua" w:hAnsi="Book Antiqua"/>
          <w:color w:val="000000" w:themeColor="text1"/>
        </w:rPr>
        <w:t xml:space="preserve"> 1</w:t>
      </w:r>
      <w:r w:rsidRPr="006F3B88">
        <w:rPr>
          <w:rFonts w:ascii="Book Antiqua" w:hAnsi="Book Antiqua"/>
          <w:color w:val="000000" w:themeColor="text1"/>
        </w:rPr>
        <w:t xml:space="preserve">). Participants were referred by Australian Family Cancer Clinics, the Australian Familial </w:t>
      </w:r>
      <w:r w:rsidR="00741934" w:rsidRPr="006F3B88">
        <w:rPr>
          <w:rFonts w:ascii="Book Antiqua" w:hAnsi="Book Antiqua"/>
          <w:color w:val="000000" w:themeColor="text1"/>
        </w:rPr>
        <w:t xml:space="preserve">Pancreatic Cancer </w:t>
      </w:r>
      <w:r w:rsidRPr="006F3B88">
        <w:rPr>
          <w:rFonts w:ascii="Book Antiqua" w:hAnsi="Book Antiqua"/>
          <w:color w:val="000000" w:themeColor="text1"/>
        </w:rPr>
        <w:t xml:space="preserve">Registry, medical practitioners or participants had self-referred. At enrolment participants completed a questionnaire detailing past medical history, smoking and alcohol intake, and basic parameters such as height and weight. Participants were excluded from the study if </w:t>
      </w:r>
      <w:r w:rsidRPr="006F3B88">
        <w:rPr>
          <w:rFonts w:ascii="Book Antiqua" w:hAnsi="Book Antiqua"/>
          <w:color w:val="000000" w:themeColor="text1"/>
        </w:rPr>
        <w:lastRenderedPageBreak/>
        <w:t xml:space="preserve">they had a concurrent diagnosis of active </w:t>
      </w:r>
      <w:r w:rsidR="00E83B79" w:rsidRPr="006F3B88">
        <w:rPr>
          <w:rFonts w:ascii="Book Antiqua" w:hAnsi="Book Antiqua"/>
          <w:color w:val="000000" w:themeColor="text1"/>
        </w:rPr>
        <w:t>malignancy or</w:t>
      </w:r>
      <w:r w:rsidRPr="006F3B88">
        <w:rPr>
          <w:rFonts w:ascii="Book Antiqua" w:hAnsi="Book Antiqua"/>
          <w:color w:val="000000" w:themeColor="text1"/>
        </w:rPr>
        <w:t xml:space="preserve"> were not medically suitable for </w:t>
      </w:r>
      <w:r w:rsidR="0009347E" w:rsidRPr="006F3B88">
        <w:rPr>
          <w:rFonts w:ascii="Book Antiqua" w:hAnsi="Book Antiqua"/>
          <w:color w:val="000000" w:themeColor="text1"/>
        </w:rPr>
        <w:t>EUS</w:t>
      </w:r>
      <w:r w:rsidR="00285555" w:rsidRPr="006F3B88">
        <w:rPr>
          <w:rFonts w:ascii="Book Antiqua" w:hAnsi="Book Antiqua"/>
          <w:color w:val="000000" w:themeColor="text1"/>
        </w:rPr>
        <w:t xml:space="preserve"> (renal failure, congestive heart failure</w:t>
      </w:r>
      <w:r w:rsidR="00B11EC7" w:rsidRPr="006F3B88">
        <w:rPr>
          <w:rFonts w:ascii="Book Antiqua" w:hAnsi="Book Antiqua"/>
          <w:color w:val="000000" w:themeColor="text1"/>
        </w:rPr>
        <w:t>,</w:t>
      </w:r>
      <w:r w:rsidR="0009347E" w:rsidRPr="006F3B88">
        <w:rPr>
          <w:rFonts w:ascii="Book Antiqua" w:hAnsi="Book Antiqua"/>
          <w:color w:val="000000" w:themeColor="text1"/>
        </w:rPr>
        <w:t xml:space="preserve"> </w:t>
      </w:r>
      <w:r w:rsidR="00741934" w:rsidRPr="006F3B88">
        <w:rPr>
          <w:rFonts w:ascii="Book Antiqua" w:hAnsi="Book Antiqua"/>
          <w:color w:val="000000" w:themeColor="text1"/>
        </w:rPr>
        <w:t>human immunodeficiency virus</w:t>
      </w:r>
      <w:r w:rsidR="00285555" w:rsidRPr="006F3B88">
        <w:rPr>
          <w:rFonts w:ascii="Book Antiqua" w:hAnsi="Book Antiqua"/>
          <w:color w:val="000000" w:themeColor="text1"/>
        </w:rPr>
        <w:t>) thus controlling for conditions that could have influenced MIC-1/GDF-15 level.</w:t>
      </w:r>
    </w:p>
    <w:p w:rsidR="00C5651E" w:rsidRPr="006F3B88" w:rsidRDefault="00F4674F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MIC-1/GDF15, CA19-9 and C</w:t>
      </w:r>
      <w:r w:rsidR="00741934" w:rsidRPr="006F3B88">
        <w:rPr>
          <w:rFonts w:ascii="Book Antiqua" w:hAnsi="Book Antiqua"/>
          <w:color w:val="000000" w:themeColor="text1"/>
        </w:rPr>
        <w:t>-</w:t>
      </w:r>
      <w:r w:rsidR="00285555" w:rsidRPr="006F3B88">
        <w:rPr>
          <w:rFonts w:ascii="Book Antiqua" w:hAnsi="Book Antiqua"/>
          <w:color w:val="000000" w:themeColor="text1"/>
        </w:rPr>
        <w:t>reactive protein (CRP)</w:t>
      </w:r>
      <w:r w:rsidRPr="006F3B88">
        <w:rPr>
          <w:rFonts w:ascii="Book Antiqua" w:hAnsi="Book Antiqua"/>
          <w:color w:val="000000" w:themeColor="text1"/>
        </w:rPr>
        <w:t xml:space="preserve"> levels </w:t>
      </w:r>
      <w:r w:rsidR="00AA4E42" w:rsidRPr="006F3B88">
        <w:rPr>
          <w:rFonts w:ascii="Book Antiqua" w:hAnsi="Book Antiqua"/>
          <w:color w:val="000000" w:themeColor="text1"/>
        </w:rPr>
        <w:t>were determined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="003122BD" w:rsidRPr="006F3B88">
        <w:rPr>
          <w:rFonts w:ascii="Book Antiqua" w:hAnsi="Book Antiqua"/>
          <w:color w:val="000000" w:themeColor="text1"/>
        </w:rPr>
        <w:t xml:space="preserve">on a fasting </w:t>
      </w:r>
      <w:r w:rsidRPr="006F3B88">
        <w:rPr>
          <w:rFonts w:ascii="Book Antiqua" w:hAnsi="Book Antiqua"/>
          <w:color w:val="000000" w:themeColor="text1"/>
        </w:rPr>
        <w:t xml:space="preserve">10 mL blood sample collected from </w:t>
      </w:r>
      <w:r w:rsidR="00285555" w:rsidRPr="006F3B88">
        <w:rPr>
          <w:rFonts w:ascii="Book Antiqua" w:hAnsi="Book Antiqua"/>
          <w:color w:val="000000" w:themeColor="text1"/>
        </w:rPr>
        <w:t xml:space="preserve">the </w:t>
      </w:r>
      <w:r w:rsidRPr="006F3B88">
        <w:rPr>
          <w:rFonts w:ascii="Book Antiqua" w:hAnsi="Book Antiqua"/>
          <w:color w:val="000000" w:themeColor="text1"/>
        </w:rPr>
        <w:t>participants</w:t>
      </w:r>
      <w:r w:rsidR="003122BD" w:rsidRPr="006F3B88">
        <w:rPr>
          <w:rFonts w:ascii="Book Antiqua" w:hAnsi="Book Antiqua"/>
          <w:color w:val="000000" w:themeColor="text1"/>
        </w:rPr>
        <w:t xml:space="preserve"> at the time of </w:t>
      </w:r>
      <w:r w:rsidRPr="006F3B88">
        <w:rPr>
          <w:rFonts w:ascii="Book Antiqua" w:hAnsi="Book Antiqua"/>
          <w:color w:val="000000" w:themeColor="text1"/>
        </w:rPr>
        <w:t>EUS.</w:t>
      </w:r>
      <w:r w:rsidR="00285555" w:rsidRPr="006F3B88">
        <w:rPr>
          <w:rFonts w:ascii="Book Antiqua" w:hAnsi="Book Antiqua"/>
          <w:color w:val="000000" w:themeColor="text1"/>
        </w:rPr>
        <w:t xml:space="preserve"> </w:t>
      </w:r>
      <w:proofErr w:type="gramStart"/>
      <w:r w:rsidR="00285555" w:rsidRPr="006F3B88">
        <w:rPr>
          <w:rFonts w:ascii="Book Antiqua" w:hAnsi="Book Antiqua"/>
          <w:color w:val="000000" w:themeColor="text1"/>
        </w:rPr>
        <w:t>CR</w:t>
      </w:r>
      <w:r w:rsidR="00AA4E42" w:rsidRPr="006F3B88">
        <w:rPr>
          <w:rFonts w:ascii="Book Antiqua" w:hAnsi="Book Antiqua"/>
          <w:color w:val="000000" w:themeColor="text1"/>
        </w:rPr>
        <w:t>P</w:t>
      </w:r>
      <w:r w:rsidR="00285555" w:rsidRPr="006F3B88">
        <w:rPr>
          <w:rFonts w:ascii="Book Antiqua" w:hAnsi="Book Antiqua"/>
          <w:color w:val="000000" w:themeColor="text1"/>
        </w:rPr>
        <w:t xml:space="preserve"> levels was</w:t>
      </w:r>
      <w:proofErr w:type="gramEnd"/>
      <w:r w:rsidR="00285555" w:rsidRPr="006F3B88">
        <w:rPr>
          <w:rFonts w:ascii="Book Antiqua" w:hAnsi="Book Antiqua"/>
          <w:color w:val="000000" w:themeColor="text1"/>
        </w:rPr>
        <w:t xml:space="preserve"> used to control for inflammatory conditions that could have in</w:t>
      </w:r>
      <w:r w:rsidR="00992ED4" w:rsidRPr="006F3B88">
        <w:rPr>
          <w:rFonts w:ascii="Book Antiqua" w:hAnsi="Book Antiqua"/>
          <w:color w:val="000000" w:themeColor="text1"/>
        </w:rPr>
        <w:t>creased</w:t>
      </w:r>
      <w:r w:rsidR="00285555" w:rsidRPr="006F3B88">
        <w:rPr>
          <w:rFonts w:ascii="Book Antiqua" w:hAnsi="Book Antiqua"/>
          <w:color w:val="000000" w:themeColor="text1"/>
        </w:rPr>
        <w:t xml:space="preserve"> MIC-1</w:t>
      </w:r>
      <w:r w:rsidR="00AA4E42" w:rsidRPr="006F3B88">
        <w:rPr>
          <w:rFonts w:ascii="Book Antiqua" w:hAnsi="Book Antiqua"/>
          <w:color w:val="000000" w:themeColor="text1"/>
        </w:rPr>
        <w:t>/GDF15</w:t>
      </w:r>
      <w:r w:rsidR="00285555" w:rsidRPr="006F3B88">
        <w:rPr>
          <w:rFonts w:ascii="Book Antiqua" w:hAnsi="Book Antiqua"/>
          <w:color w:val="000000" w:themeColor="text1"/>
        </w:rPr>
        <w:t xml:space="preserve"> level. </w:t>
      </w:r>
      <w:r w:rsidR="00C5651E" w:rsidRPr="006F3B88">
        <w:rPr>
          <w:rFonts w:ascii="Book Antiqua" w:hAnsi="Book Antiqua"/>
          <w:color w:val="000000" w:themeColor="text1"/>
        </w:rPr>
        <w:t xml:space="preserve">When </w:t>
      </w:r>
      <w:r w:rsidR="00A31D69" w:rsidRPr="006F3B88">
        <w:rPr>
          <w:rFonts w:ascii="Book Antiqua" w:hAnsi="Book Antiqua"/>
          <w:color w:val="000000" w:themeColor="text1"/>
        </w:rPr>
        <w:t>malignancy</w:t>
      </w:r>
      <w:r w:rsidR="00C5651E" w:rsidRPr="006F3B88">
        <w:rPr>
          <w:rFonts w:ascii="Book Antiqua" w:hAnsi="Book Antiqua"/>
          <w:color w:val="000000" w:themeColor="text1"/>
        </w:rPr>
        <w:t xml:space="preserve"> w</w:t>
      </w:r>
      <w:r w:rsidR="00677CEB" w:rsidRPr="006F3B88">
        <w:rPr>
          <w:rFonts w:ascii="Book Antiqua" w:hAnsi="Book Antiqua"/>
          <w:color w:val="000000" w:themeColor="text1"/>
        </w:rPr>
        <w:t>as</w:t>
      </w:r>
      <w:r w:rsidR="00C5651E" w:rsidRPr="006F3B88">
        <w:rPr>
          <w:rFonts w:ascii="Book Antiqua" w:hAnsi="Book Antiqua"/>
          <w:color w:val="000000" w:themeColor="text1"/>
        </w:rPr>
        <w:t xml:space="preserve"> detected</w:t>
      </w:r>
      <w:r w:rsidR="00EE6D73" w:rsidRPr="006F3B88">
        <w:rPr>
          <w:rFonts w:ascii="Book Antiqua" w:hAnsi="Book Antiqua"/>
          <w:color w:val="000000" w:themeColor="text1"/>
        </w:rPr>
        <w:t>,</w:t>
      </w:r>
      <w:r w:rsidR="00C5651E" w:rsidRPr="006F3B88">
        <w:rPr>
          <w:rFonts w:ascii="Book Antiqua" w:hAnsi="Book Antiqua"/>
          <w:color w:val="000000" w:themeColor="text1"/>
        </w:rPr>
        <w:t xml:space="preserve"> EUS fine need aspiration was performed. Participants in whom EUS demonstrated abnormalities but not malignancy were </w:t>
      </w:r>
      <w:r w:rsidR="00EE6D73" w:rsidRPr="006F3B88">
        <w:rPr>
          <w:rFonts w:ascii="Book Antiqua" w:hAnsi="Book Antiqua"/>
          <w:color w:val="000000" w:themeColor="text1"/>
        </w:rPr>
        <w:t>closely followed</w:t>
      </w:r>
      <w:r w:rsidR="00C5651E" w:rsidRPr="006F3B88">
        <w:rPr>
          <w:rFonts w:ascii="Book Antiqua" w:hAnsi="Book Antiqua"/>
          <w:color w:val="000000" w:themeColor="text1"/>
        </w:rPr>
        <w:t xml:space="preserve"> up with magnetic resonance imaging (MRI) or compute</w:t>
      </w:r>
      <w:r w:rsidR="00EE6D73" w:rsidRPr="006F3B88">
        <w:rPr>
          <w:rFonts w:ascii="Book Antiqua" w:hAnsi="Book Antiqua"/>
          <w:color w:val="000000" w:themeColor="text1"/>
        </w:rPr>
        <w:t>d</w:t>
      </w:r>
      <w:r w:rsidR="00C5651E" w:rsidRPr="006F3B88">
        <w:rPr>
          <w:rFonts w:ascii="Book Antiqua" w:hAnsi="Book Antiqua"/>
          <w:color w:val="000000" w:themeColor="text1"/>
        </w:rPr>
        <w:t xml:space="preserve"> tomograph</w:t>
      </w:r>
      <w:r w:rsidR="00EE6D73" w:rsidRPr="006F3B88">
        <w:rPr>
          <w:rFonts w:ascii="Book Antiqua" w:hAnsi="Book Antiqua"/>
          <w:color w:val="000000" w:themeColor="text1"/>
        </w:rPr>
        <w:t>y</w:t>
      </w:r>
      <w:r w:rsidR="007356C7" w:rsidRPr="006F3B88">
        <w:rPr>
          <w:rFonts w:ascii="Book Antiqua" w:hAnsi="Book Antiqua"/>
          <w:color w:val="000000" w:themeColor="text1"/>
        </w:rPr>
        <w:t xml:space="preserve"> </w:t>
      </w:r>
      <w:r w:rsidR="00EE6D73" w:rsidRPr="006F3B88">
        <w:rPr>
          <w:rFonts w:ascii="Book Antiqua" w:hAnsi="Book Antiqua"/>
          <w:color w:val="000000" w:themeColor="text1"/>
        </w:rPr>
        <w:t>(</w:t>
      </w:r>
      <w:r w:rsidR="007356C7" w:rsidRPr="006F3B88">
        <w:rPr>
          <w:rFonts w:ascii="Book Antiqua" w:hAnsi="Book Antiqua"/>
          <w:color w:val="000000" w:themeColor="text1"/>
        </w:rPr>
        <w:t>CT</w:t>
      </w:r>
      <w:r w:rsidR="00EE6D73" w:rsidRPr="006F3B88">
        <w:rPr>
          <w:rFonts w:ascii="Book Antiqua" w:hAnsi="Book Antiqua"/>
          <w:color w:val="000000" w:themeColor="text1"/>
        </w:rPr>
        <w:t>)</w:t>
      </w:r>
      <w:r w:rsidR="00C5651E" w:rsidRPr="006F3B88">
        <w:rPr>
          <w:rFonts w:ascii="Book Antiqua" w:hAnsi="Book Antiqua"/>
          <w:color w:val="000000" w:themeColor="text1"/>
        </w:rPr>
        <w:t xml:space="preserve"> (if claustrophobic) and repeat EUS</w:t>
      </w:r>
      <w:r w:rsidR="00737CB2" w:rsidRPr="006F3B88">
        <w:rPr>
          <w:rFonts w:ascii="Book Antiqua" w:hAnsi="Book Antiqua"/>
          <w:color w:val="000000" w:themeColor="text1"/>
        </w:rPr>
        <w:t xml:space="preserve"> in 3</w:t>
      </w:r>
      <w:r w:rsidR="00741934" w:rsidRPr="006F3B88">
        <w:rPr>
          <w:rFonts w:ascii="Book Antiqua" w:hAnsi="Book Antiqua"/>
          <w:color w:val="000000" w:themeColor="text1"/>
        </w:rPr>
        <w:t>-</w:t>
      </w:r>
      <w:r w:rsidR="00737CB2" w:rsidRPr="006F3B88">
        <w:rPr>
          <w:rFonts w:ascii="Book Antiqua" w:hAnsi="Book Antiqua"/>
          <w:color w:val="000000" w:themeColor="text1"/>
        </w:rPr>
        <w:t xml:space="preserve">6 </w:t>
      </w:r>
      <w:proofErr w:type="spellStart"/>
      <w:proofErr w:type="gramStart"/>
      <w:r w:rsidR="00737CB2" w:rsidRPr="006F3B88">
        <w:rPr>
          <w:rFonts w:ascii="Book Antiqua" w:hAnsi="Book Antiqua"/>
          <w:color w:val="000000" w:themeColor="text1"/>
        </w:rPr>
        <w:t>mo</w:t>
      </w:r>
      <w:proofErr w:type="spellEnd"/>
      <w:proofErr w:type="gramEnd"/>
      <w:r w:rsidR="00737CB2" w:rsidRPr="006F3B88">
        <w:rPr>
          <w:rFonts w:ascii="Book Antiqua" w:hAnsi="Book Antiqua"/>
          <w:color w:val="000000" w:themeColor="text1"/>
        </w:rPr>
        <w:t xml:space="preserve"> as per study protocol</w:t>
      </w:r>
      <w:r w:rsidR="00C5651E" w:rsidRPr="006F3B88">
        <w:rPr>
          <w:rFonts w:ascii="Book Antiqua" w:hAnsi="Book Antiqua"/>
          <w:color w:val="000000" w:themeColor="text1"/>
        </w:rPr>
        <w:t>.</w:t>
      </w:r>
      <w:r w:rsidR="004E3133" w:rsidRPr="006F3B88">
        <w:rPr>
          <w:rFonts w:ascii="Book Antiqua" w:hAnsi="Book Antiqua"/>
          <w:color w:val="000000" w:themeColor="text1"/>
        </w:rPr>
        <w:t xml:space="preserve"> MIC-1,</w:t>
      </w:r>
      <w:r w:rsidR="00E83B79" w:rsidRPr="006F3B88">
        <w:rPr>
          <w:rFonts w:ascii="Book Antiqua" w:hAnsi="Book Antiqua"/>
          <w:color w:val="000000" w:themeColor="text1"/>
        </w:rPr>
        <w:t xml:space="preserve"> </w:t>
      </w:r>
      <w:r w:rsidR="004E3133" w:rsidRPr="006F3B88">
        <w:rPr>
          <w:rFonts w:ascii="Book Antiqua" w:hAnsi="Book Antiqua"/>
          <w:color w:val="000000" w:themeColor="text1"/>
        </w:rPr>
        <w:t>CRP and C</w:t>
      </w:r>
      <w:r w:rsidR="001B3D16" w:rsidRPr="006F3B88">
        <w:rPr>
          <w:rFonts w:ascii="Book Antiqua" w:hAnsi="Book Antiqua"/>
          <w:color w:val="000000" w:themeColor="text1"/>
        </w:rPr>
        <w:t>A</w:t>
      </w:r>
      <w:r w:rsidR="004E3133" w:rsidRPr="006F3B88">
        <w:rPr>
          <w:rFonts w:ascii="Book Antiqua" w:hAnsi="Book Antiqua"/>
          <w:color w:val="000000" w:themeColor="text1"/>
        </w:rPr>
        <w:t>19-9 we</w:t>
      </w:r>
      <w:r w:rsidR="004F5640" w:rsidRPr="006F3B88">
        <w:rPr>
          <w:rFonts w:ascii="Book Antiqua" w:hAnsi="Book Antiqua"/>
          <w:color w:val="000000" w:themeColor="text1"/>
        </w:rPr>
        <w:t>re</w:t>
      </w:r>
      <w:r w:rsidR="004E3133" w:rsidRPr="006F3B88">
        <w:rPr>
          <w:rFonts w:ascii="Book Antiqua" w:hAnsi="Book Antiqua"/>
          <w:color w:val="000000" w:themeColor="text1"/>
        </w:rPr>
        <w:t xml:space="preserve"> repeated when </w:t>
      </w:r>
      <w:r w:rsidR="004F5640" w:rsidRPr="006F3B88">
        <w:rPr>
          <w:rFonts w:ascii="Book Antiqua" w:hAnsi="Book Antiqua"/>
          <w:color w:val="000000" w:themeColor="text1"/>
        </w:rPr>
        <w:t>a</w:t>
      </w:r>
      <w:r w:rsidR="004E3133" w:rsidRPr="006F3B88">
        <w:rPr>
          <w:rFonts w:ascii="Book Antiqua" w:hAnsi="Book Antiqua"/>
          <w:color w:val="000000" w:themeColor="text1"/>
        </w:rPr>
        <w:t xml:space="preserve"> follow up EUS become abnormal.</w:t>
      </w:r>
      <w:r w:rsidR="004B26DE" w:rsidRPr="006F3B88">
        <w:rPr>
          <w:rFonts w:ascii="Book Antiqua" w:hAnsi="Book Antiqua"/>
          <w:color w:val="000000" w:themeColor="text1"/>
        </w:rPr>
        <w:t xml:space="preserve"> </w:t>
      </w:r>
    </w:p>
    <w:p w:rsidR="00BC4FCC" w:rsidRPr="006F3B88" w:rsidRDefault="00F4674F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Statistical analyses were performed using IBM SPSS statistics for Windows (Version 25.0. Armonk, NY). The baseline characteristics of the study population were stratified according to EUS findings: normal EUS, </w:t>
      </w:r>
      <w:r w:rsidR="00EE6D73" w:rsidRPr="006F3B88">
        <w:rPr>
          <w:rFonts w:ascii="Book Antiqua" w:hAnsi="Book Antiqua"/>
          <w:color w:val="000000" w:themeColor="text1"/>
        </w:rPr>
        <w:t>p</w:t>
      </w:r>
      <w:r w:rsidRPr="006F3B88">
        <w:rPr>
          <w:rFonts w:ascii="Book Antiqua" w:hAnsi="Book Antiqua"/>
          <w:color w:val="000000" w:themeColor="text1"/>
        </w:rPr>
        <w:t xml:space="preserve">ancreatic cyst, branch-duct </w:t>
      </w:r>
      <w:proofErr w:type="spellStart"/>
      <w:r w:rsidRPr="006F3B88">
        <w:rPr>
          <w:rFonts w:ascii="Book Antiqua" w:hAnsi="Book Antiqua"/>
          <w:color w:val="000000" w:themeColor="text1"/>
        </w:rPr>
        <w:t>intraductal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papillary mucinous neoplasm (BD-IPMN)</w:t>
      </w:r>
      <w:r w:rsidR="00136429" w:rsidRPr="006F3B88">
        <w:rPr>
          <w:rFonts w:ascii="Book Antiqua" w:hAnsi="Book Antiqua"/>
          <w:color w:val="000000" w:themeColor="text1"/>
        </w:rPr>
        <w:t xml:space="preserve">, </w:t>
      </w:r>
      <w:r w:rsidR="00992ED4" w:rsidRPr="006F3B88">
        <w:rPr>
          <w:rFonts w:ascii="Book Antiqua" w:hAnsi="Book Antiqua"/>
          <w:color w:val="000000" w:themeColor="text1"/>
        </w:rPr>
        <w:t xml:space="preserve">diffuse </w:t>
      </w:r>
      <w:r w:rsidR="00136429" w:rsidRPr="006F3B88">
        <w:rPr>
          <w:rFonts w:ascii="Book Antiqua" w:hAnsi="Book Antiqua"/>
          <w:color w:val="000000" w:themeColor="text1"/>
        </w:rPr>
        <w:t>non</w:t>
      </w:r>
      <w:r w:rsidR="00AB42D9" w:rsidRPr="006F3B88">
        <w:rPr>
          <w:rFonts w:ascii="Book Antiqua" w:hAnsi="Book Antiqua"/>
          <w:color w:val="000000" w:themeColor="text1"/>
        </w:rPr>
        <w:t>-</w:t>
      </w:r>
      <w:r w:rsidR="00136429" w:rsidRPr="006F3B88">
        <w:rPr>
          <w:rFonts w:ascii="Book Antiqua" w:hAnsi="Book Antiqua"/>
          <w:color w:val="000000" w:themeColor="text1"/>
        </w:rPr>
        <w:t>specific abnormalities</w:t>
      </w:r>
      <w:r w:rsidR="00992ED4" w:rsidRPr="006F3B88">
        <w:rPr>
          <w:rFonts w:ascii="Book Antiqua" w:hAnsi="Book Antiqua"/>
          <w:color w:val="000000" w:themeColor="text1"/>
        </w:rPr>
        <w:t xml:space="preserve"> (</w:t>
      </w:r>
      <w:r w:rsidR="00992ED4" w:rsidRPr="006F3B88">
        <w:rPr>
          <w:rFonts w:ascii="Book Antiqua" w:hAnsi="Book Antiqua"/>
          <w:i/>
          <w:iCs/>
          <w:color w:val="000000" w:themeColor="text1"/>
        </w:rPr>
        <w:t>e</w:t>
      </w:r>
      <w:r w:rsidR="00741934" w:rsidRPr="006F3B88">
        <w:rPr>
          <w:rFonts w:ascii="Book Antiqua" w:hAnsi="Book Antiqua"/>
          <w:i/>
          <w:iCs/>
          <w:color w:val="000000" w:themeColor="text1"/>
        </w:rPr>
        <w:t>.</w:t>
      </w:r>
      <w:r w:rsidR="00992ED4" w:rsidRPr="006F3B88">
        <w:rPr>
          <w:rFonts w:ascii="Book Antiqua" w:hAnsi="Book Antiqua"/>
          <w:i/>
          <w:iCs/>
          <w:color w:val="000000" w:themeColor="text1"/>
        </w:rPr>
        <w:t>g</w:t>
      </w:r>
      <w:r w:rsidR="00741934" w:rsidRPr="006F3B88">
        <w:rPr>
          <w:rFonts w:ascii="Book Antiqua" w:hAnsi="Book Antiqua"/>
          <w:i/>
          <w:iCs/>
          <w:color w:val="000000" w:themeColor="text1"/>
        </w:rPr>
        <w:t>.</w:t>
      </w:r>
      <w:r w:rsidR="00741934" w:rsidRPr="006F3B88">
        <w:rPr>
          <w:rFonts w:ascii="Book Antiqua" w:hAnsi="Book Antiqua"/>
          <w:color w:val="000000" w:themeColor="text1"/>
        </w:rPr>
        <w:t>,</w:t>
      </w:r>
      <w:r w:rsidR="00CD43C3" w:rsidRPr="006F3B88">
        <w:rPr>
          <w:rFonts w:ascii="Book Antiqua" w:hAnsi="Book Antiqua"/>
          <w:color w:val="000000" w:themeColor="text1"/>
        </w:rPr>
        <w:t xml:space="preserve"> </w:t>
      </w:r>
      <w:proofErr w:type="spellStart"/>
      <w:r w:rsidR="00992ED4" w:rsidRPr="006F3B88">
        <w:rPr>
          <w:rFonts w:ascii="Book Antiqua" w:hAnsi="Book Antiqua"/>
          <w:color w:val="000000" w:themeColor="text1"/>
        </w:rPr>
        <w:t>hyperechoic</w:t>
      </w:r>
      <w:proofErr w:type="spellEnd"/>
      <w:r w:rsidR="00992ED4" w:rsidRPr="006F3B88">
        <w:rPr>
          <w:rFonts w:ascii="Book Antiqua" w:hAnsi="Book Antiqua"/>
          <w:color w:val="000000" w:themeColor="text1"/>
        </w:rPr>
        <w:t xml:space="preserve"> foci, strands, </w:t>
      </w:r>
      <w:proofErr w:type="spellStart"/>
      <w:r w:rsidR="00992ED4" w:rsidRPr="006F3B88">
        <w:rPr>
          <w:rFonts w:ascii="Book Antiqua" w:hAnsi="Book Antiqua"/>
          <w:color w:val="000000" w:themeColor="text1"/>
        </w:rPr>
        <w:t>lobularity</w:t>
      </w:r>
      <w:proofErr w:type="spellEnd"/>
      <w:r w:rsidR="00992ED4" w:rsidRPr="006F3B88">
        <w:rPr>
          <w:rFonts w:ascii="Book Antiqua" w:hAnsi="Book Antiqua"/>
          <w:color w:val="000000" w:themeColor="text1"/>
        </w:rPr>
        <w:t xml:space="preserve">) </w:t>
      </w:r>
      <w:r w:rsidR="00EE6D73" w:rsidRPr="006F3B88">
        <w:rPr>
          <w:rFonts w:ascii="Book Antiqua" w:hAnsi="Book Antiqua"/>
          <w:color w:val="000000" w:themeColor="text1"/>
        </w:rPr>
        <w:t>and solid</w:t>
      </w:r>
      <w:r w:rsidR="00AB42D9" w:rsidRPr="006F3B88">
        <w:rPr>
          <w:rFonts w:ascii="Book Antiqua" w:hAnsi="Book Antiqua"/>
          <w:color w:val="000000" w:themeColor="text1"/>
        </w:rPr>
        <w:t xml:space="preserve"> </w:t>
      </w:r>
      <w:r w:rsidR="00992ED4" w:rsidRPr="006F3B88">
        <w:rPr>
          <w:rFonts w:ascii="Book Antiqua" w:hAnsi="Book Antiqua"/>
          <w:color w:val="000000" w:themeColor="text1"/>
        </w:rPr>
        <w:t>neoplastic tumours</w:t>
      </w:r>
      <w:r w:rsidRPr="006F3B88">
        <w:rPr>
          <w:rFonts w:ascii="Book Antiqua" w:hAnsi="Book Antiqua"/>
          <w:color w:val="000000" w:themeColor="text1"/>
        </w:rPr>
        <w:t>.</w:t>
      </w:r>
      <w:r w:rsidR="000615EB" w:rsidRPr="006F3B88">
        <w:rPr>
          <w:rFonts w:ascii="Book Antiqua" w:hAnsi="Book Antiqua"/>
          <w:color w:val="000000" w:themeColor="text1"/>
        </w:rPr>
        <w:t xml:space="preserve"> </w:t>
      </w:r>
      <w:r w:rsidR="00BC4FCC" w:rsidRPr="006F3B88">
        <w:rPr>
          <w:rFonts w:ascii="Book Antiqua" w:hAnsi="Book Antiqua"/>
          <w:color w:val="000000" w:themeColor="text1"/>
        </w:rPr>
        <w:t xml:space="preserve">Further analysis was then performed on those diagnosed with </w:t>
      </w:r>
      <w:r w:rsidR="00AB42D9" w:rsidRPr="006F3B88">
        <w:rPr>
          <w:rFonts w:ascii="Book Antiqua" w:hAnsi="Book Antiqua"/>
          <w:color w:val="000000" w:themeColor="text1"/>
        </w:rPr>
        <w:t>neoplastic tumours</w:t>
      </w:r>
      <w:r w:rsidR="00BC4FCC" w:rsidRPr="006F3B88">
        <w:rPr>
          <w:rFonts w:ascii="Book Antiqua" w:hAnsi="Book Antiqua"/>
          <w:color w:val="000000" w:themeColor="text1"/>
        </w:rPr>
        <w:t xml:space="preserve"> on EUS and subsequent MRI</w:t>
      </w:r>
      <w:r w:rsidR="000D0AA4" w:rsidRPr="006F3B88">
        <w:rPr>
          <w:rFonts w:ascii="Book Antiqua" w:hAnsi="Book Antiqua"/>
          <w:color w:val="000000" w:themeColor="text1"/>
        </w:rPr>
        <w:t>/CT</w:t>
      </w:r>
      <w:r w:rsidR="00BC4FCC" w:rsidRPr="006F3B88">
        <w:rPr>
          <w:rFonts w:ascii="Book Antiqua" w:hAnsi="Book Antiqua"/>
          <w:color w:val="000000" w:themeColor="text1"/>
        </w:rPr>
        <w:t>.</w:t>
      </w:r>
    </w:p>
    <w:p w:rsidR="00AC2882" w:rsidRPr="006F3B88" w:rsidRDefault="00F4674F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Fisher’s exact test (2-tailed) was used to compare categorical characteristics between respective groups. Continuous baseline characteristics including age, body mass index (BMI), number of cigarettes smoked daily, weekly alcohol intake</w:t>
      </w:r>
      <w:r w:rsidR="00EE6D73" w:rsidRPr="006F3B88">
        <w:rPr>
          <w:rFonts w:ascii="Book Antiqua" w:hAnsi="Book Antiqua"/>
          <w:color w:val="000000" w:themeColor="text1"/>
        </w:rPr>
        <w:t xml:space="preserve"> and </w:t>
      </w:r>
      <w:r w:rsidRPr="006F3B88">
        <w:rPr>
          <w:rFonts w:ascii="Book Antiqua" w:hAnsi="Book Antiqua"/>
          <w:color w:val="000000" w:themeColor="text1"/>
        </w:rPr>
        <w:t xml:space="preserve">age of drinking initiation were evaluated for an association with MIC-1/GDF-15 serum levels using Spearman rank correlation. An ANOVA test was used to compare normally distributed continuous variables, whereas a </w:t>
      </w:r>
      <w:proofErr w:type="spellStart"/>
      <w:r w:rsidRPr="006F3B88">
        <w:rPr>
          <w:rFonts w:ascii="Book Antiqua" w:hAnsi="Book Antiqua"/>
          <w:color w:val="000000" w:themeColor="text1"/>
        </w:rPr>
        <w:t>Kruskal</w:t>
      </w:r>
      <w:proofErr w:type="spellEnd"/>
      <w:r w:rsidRPr="006F3B88">
        <w:rPr>
          <w:rFonts w:ascii="Book Antiqua" w:hAnsi="Book Antiqua"/>
          <w:color w:val="000000" w:themeColor="text1"/>
        </w:rPr>
        <w:t>-Wallis test was used to compare non-normally distributed continuous variables with two or more samples.</w:t>
      </w:r>
      <w:r w:rsidR="003E6622"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color w:val="000000" w:themeColor="text1"/>
        </w:rPr>
        <w:t>Mann-Whitney U test was used to compare non-normally distributed continuous variable</w:t>
      </w:r>
      <w:r w:rsidR="003E6622" w:rsidRPr="006F3B88">
        <w:rPr>
          <w:rFonts w:ascii="Book Antiqua" w:hAnsi="Book Antiqua"/>
          <w:color w:val="000000" w:themeColor="text1"/>
        </w:rPr>
        <w:t>s</w:t>
      </w:r>
      <w:r w:rsidRPr="006F3B88">
        <w:rPr>
          <w:rFonts w:ascii="Book Antiqua" w:hAnsi="Book Antiqua"/>
          <w:color w:val="000000" w:themeColor="text1"/>
        </w:rPr>
        <w:t>. A receiver operating characteristic curve (ROC) of MIC-1/GDF-15 was generated for its ability to determine the presence or absence of pancreatic cyst, BD-I</w:t>
      </w:r>
      <w:r w:rsidR="00EE6D73" w:rsidRPr="006F3B88">
        <w:rPr>
          <w:rFonts w:ascii="Book Antiqua" w:hAnsi="Book Antiqua"/>
          <w:color w:val="000000" w:themeColor="text1"/>
        </w:rPr>
        <w:t>P</w:t>
      </w:r>
      <w:r w:rsidRPr="006F3B88">
        <w:rPr>
          <w:rFonts w:ascii="Book Antiqua" w:hAnsi="Book Antiqua"/>
          <w:color w:val="000000" w:themeColor="text1"/>
        </w:rPr>
        <w:t>MN, d</w:t>
      </w:r>
      <w:r w:rsidR="00AB42D9" w:rsidRPr="006F3B88">
        <w:rPr>
          <w:rFonts w:ascii="Book Antiqua" w:hAnsi="Book Antiqua"/>
          <w:color w:val="000000" w:themeColor="text1"/>
        </w:rPr>
        <w:t>iffuse non</w:t>
      </w:r>
      <w:r w:rsidR="00AA4E42" w:rsidRPr="006F3B88">
        <w:rPr>
          <w:rFonts w:ascii="Book Antiqua" w:hAnsi="Book Antiqua"/>
          <w:color w:val="000000" w:themeColor="text1"/>
        </w:rPr>
        <w:t>-</w:t>
      </w:r>
      <w:r w:rsidR="00AB42D9" w:rsidRPr="006F3B88">
        <w:rPr>
          <w:rFonts w:ascii="Book Antiqua" w:hAnsi="Book Antiqua"/>
          <w:color w:val="000000" w:themeColor="text1"/>
        </w:rPr>
        <w:t>specific</w:t>
      </w:r>
      <w:r w:rsidRPr="006F3B88">
        <w:rPr>
          <w:rFonts w:ascii="Book Antiqua" w:hAnsi="Book Antiqua"/>
          <w:color w:val="000000" w:themeColor="text1"/>
        </w:rPr>
        <w:t xml:space="preserve"> abnormality or</w:t>
      </w:r>
      <w:r w:rsidR="00AB42D9" w:rsidRPr="006F3B88">
        <w:rPr>
          <w:rFonts w:ascii="Book Antiqua" w:hAnsi="Book Antiqua"/>
          <w:color w:val="000000" w:themeColor="text1"/>
        </w:rPr>
        <w:t xml:space="preserve"> neoplastic </w:t>
      </w:r>
      <w:r w:rsidR="00376192" w:rsidRPr="006F3B88">
        <w:rPr>
          <w:rFonts w:ascii="Book Antiqua" w:hAnsi="Book Antiqua"/>
          <w:color w:val="000000" w:themeColor="text1"/>
        </w:rPr>
        <w:t>tumours</w:t>
      </w:r>
      <w:r w:rsidRPr="006F3B88">
        <w:rPr>
          <w:rFonts w:ascii="Book Antiqua" w:hAnsi="Book Antiqua"/>
          <w:color w:val="000000" w:themeColor="text1"/>
        </w:rPr>
        <w:t xml:space="preserve"> on EUS using serum levels adjusted for variables shown to either be significantly </w:t>
      </w:r>
      <w:r w:rsidRPr="006F3B88">
        <w:rPr>
          <w:rFonts w:ascii="Book Antiqua" w:hAnsi="Book Antiqua"/>
          <w:color w:val="000000" w:themeColor="text1"/>
        </w:rPr>
        <w:lastRenderedPageBreak/>
        <w:t xml:space="preserve">related to MIC-1/GDF-15 concentrations in this study, or have shown to correlate with MIC-1/GDF15 in previous studies. This included: age, gender, BMI, history of colonic polyps, smoking status, alcohol use, metformin use, past history of cancer, </w:t>
      </w:r>
      <w:proofErr w:type="spellStart"/>
      <w:r w:rsidR="00741934" w:rsidRPr="006F3B88">
        <w:rPr>
          <w:rFonts w:ascii="Book Antiqua" w:hAnsi="Book Antiqua"/>
          <w:color w:val="000000" w:themeColor="text1"/>
        </w:rPr>
        <w:t>nonsteroidal</w:t>
      </w:r>
      <w:proofErr w:type="spellEnd"/>
      <w:r w:rsidR="00741934" w:rsidRPr="006F3B88">
        <w:rPr>
          <w:rFonts w:ascii="Book Antiqua" w:hAnsi="Book Antiqua"/>
          <w:color w:val="000000" w:themeColor="text1"/>
        </w:rPr>
        <w:t xml:space="preserve"> anti-inflammatory drug (NSAID), </w:t>
      </w:r>
      <w:r w:rsidRPr="006F3B88">
        <w:rPr>
          <w:rFonts w:ascii="Book Antiqua" w:hAnsi="Book Antiqua"/>
          <w:color w:val="000000" w:themeColor="text1"/>
        </w:rPr>
        <w:t xml:space="preserve">and aspirin use. All analyses performed were 2-sided and statistical significance was defined as </w:t>
      </w:r>
      <w:r w:rsidRPr="006F3B88">
        <w:rPr>
          <w:rFonts w:ascii="Book Antiqua" w:hAnsi="Book Antiqua"/>
          <w:i/>
          <w:color w:val="000000" w:themeColor="text1"/>
        </w:rPr>
        <w:t xml:space="preserve">P </w:t>
      </w:r>
      <w:r w:rsidRPr="006F3B88">
        <w:rPr>
          <w:rFonts w:ascii="Book Antiqua" w:hAnsi="Book Antiqua"/>
          <w:color w:val="000000" w:themeColor="text1"/>
        </w:rPr>
        <w:t>&lt; 0.05</w:t>
      </w:r>
      <w:r w:rsidR="00A4006D" w:rsidRPr="006F3B88">
        <w:rPr>
          <w:rFonts w:ascii="Book Antiqua" w:hAnsi="Book Antiqua"/>
          <w:color w:val="000000" w:themeColor="text1"/>
        </w:rPr>
        <w:t>.</w:t>
      </w:r>
    </w:p>
    <w:p w:rsidR="00741934" w:rsidRPr="006F3B88" w:rsidRDefault="00741934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u w:val="single"/>
        </w:rPr>
      </w:pPr>
      <w:r w:rsidRPr="006F3B88">
        <w:rPr>
          <w:rFonts w:ascii="Book Antiqua" w:hAnsi="Book Antiqua" w:cs="Arial"/>
          <w:b/>
          <w:color w:val="000000" w:themeColor="text1"/>
          <w:u w:val="single"/>
        </w:rPr>
        <w:t>RESULTS</w:t>
      </w:r>
    </w:p>
    <w:p w:rsidR="00231D01" w:rsidRPr="006F3B88" w:rsidRDefault="00F4674F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A total of 120 </w:t>
      </w:r>
      <w:r w:rsidR="000B7512" w:rsidRPr="006F3B88">
        <w:rPr>
          <w:rFonts w:ascii="Book Antiqua" w:hAnsi="Book Antiqua"/>
          <w:bCs/>
          <w:color w:val="000000" w:themeColor="text1"/>
        </w:rPr>
        <w:t xml:space="preserve">asymptomatic </w:t>
      </w:r>
      <w:r w:rsidR="00BF78FE" w:rsidRPr="006F3B88">
        <w:rPr>
          <w:rFonts w:ascii="Book Antiqua" w:hAnsi="Book Antiqua"/>
          <w:bCs/>
          <w:color w:val="000000" w:themeColor="text1"/>
        </w:rPr>
        <w:t xml:space="preserve">participants </w:t>
      </w:r>
      <w:r w:rsidR="00927E60" w:rsidRPr="006F3B88">
        <w:rPr>
          <w:rFonts w:ascii="Book Antiqua" w:hAnsi="Book Antiqua"/>
          <w:bCs/>
          <w:color w:val="000000" w:themeColor="text1"/>
        </w:rPr>
        <w:t>based on the EUS results</w:t>
      </w:r>
      <w:r w:rsidRPr="006F3B88">
        <w:rPr>
          <w:rFonts w:ascii="Book Antiqua" w:hAnsi="Book Antiqua"/>
          <w:bCs/>
          <w:color w:val="000000" w:themeColor="text1"/>
        </w:rPr>
        <w:t xml:space="preserve"> were stratified as follows; (1) Normal EUS (</w:t>
      </w:r>
      <w:r w:rsidRPr="006F3B88">
        <w:rPr>
          <w:rFonts w:ascii="Book Antiqua" w:hAnsi="Book Antiqua"/>
          <w:bCs/>
          <w:i/>
          <w:iCs/>
          <w:color w:val="000000" w:themeColor="text1"/>
        </w:rPr>
        <w:t>n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74, 61.2%) as the control group</w:t>
      </w:r>
      <w:r w:rsidR="00E33CBE" w:rsidRPr="006F3B88">
        <w:rPr>
          <w:rFonts w:ascii="Book Antiqua" w:eastAsia="宋体" w:hAnsi="Book Antiqua" w:cs="宋体"/>
          <w:bCs/>
          <w:color w:val="000000" w:themeColor="text1"/>
          <w:lang w:eastAsia="zh-CN"/>
        </w:rPr>
        <w:t>;</w:t>
      </w:r>
      <w:r w:rsidR="00EE6D73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(2) Pancreatic cyst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n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25, 20.8%)</w:t>
      </w:r>
      <w:r w:rsidR="00E33CBE" w:rsidRPr="006F3B88">
        <w:rPr>
          <w:rFonts w:ascii="Book Antiqua" w:hAnsi="Book Antiqua"/>
          <w:bCs/>
          <w:color w:val="000000" w:themeColor="text1"/>
        </w:rPr>
        <w:t>;</w:t>
      </w:r>
      <w:r w:rsidRPr="006F3B88">
        <w:rPr>
          <w:rFonts w:ascii="Book Antiqua" w:hAnsi="Book Antiqua"/>
          <w:bCs/>
          <w:color w:val="000000" w:themeColor="text1"/>
        </w:rPr>
        <w:t xml:space="preserve"> (3) BD-IPMN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n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9, 7.5%)</w:t>
      </w:r>
      <w:r w:rsidR="00E33CBE" w:rsidRPr="006F3B88">
        <w:rPr>
          <w:rFonts w:ascii="Book Antiqua" w:hAnsi="Book Antiqua"/>
          <w:bCs/>
          <w:color w:val="000000" w:themeColor="text1"/>
        </w:rPr>
        <w:t xml:space="preserve">; </w:t>
      </w:r>
      <w:r w:rsidRPr="006F3B88">
        <w:rPr>
          <w:rFonts w:ascii="Book Antiqua" w:hAnsi="Book Antiqua"/>
          <w:bCs/>
          <w:color w:val="000000" w:themeColor="text1"/>
        </w:rPr>
        <w:t>(4) D</w:t>
      </w:r>
      <w:r w:rsidR="00181267" w:rsidRPr="006F3B88">
        <w:rPr>
          <w:rFonts w:ascii="Book Antiqua" w:hAnsi="Book Antiqua"/>
          <w:bCs/>
          <w:color w:val="000000" w:themeColor="text1"/>
        </w:rPr>
        <w:t>iffuse</w:t>
      </w:r>
      <w:r w:rsidR="00D545EE" w:rsidRPr="006F3B88">
        <w:rPr>
          <w:rFonts w:ascii="Book Antiqua" w:hAnsi="Book Antiqua"/>
          <w:bCs/>
          <w:color w:val="000000" w:themeColor="text1"/>
        </w:rPr>
        <w:t xml:space="preserve"> </w:t>
      </w:r>
      <w:r w:rsidR="00BF78FE" w:rsidRPr="006F3B88">
        <w:rPr>
          <w:rFonts w:ascii="Book Antiqua" w:hAnsi="Book Antiqua"/>
          <w:bCs/>
          <w:color w:val="000000" w:themeColor="text1"/>
        </w:rPr>
        <w:t>non</w:t>
      </w:r>
      <w:r w:rsidR="00EE6D73" w:rsidRPr="006F3B88">
        <w:rPr>
          <w:rFonts w:ascii="Book Antiqua" w:hAnsi="Book Antiqua"/>
          <w:bCs/>
          <w:color w:val="000000" w:themeColor="text1"/>
        </w:rPr>
        <w:t>-</w:t>
      </w:r>
      <w:r w:rsidR="00BF78FE" w:rsidRPr="006F3B88">
        <w:rPr>
          <w:rFonts w:ascii="Book Antiqua" w:hAnsi="Book Antiqua"/>
          <w:bCs/>
          <w:color w:val="000000" w:themeColor="text1"/>
        </w:rPr>
        <w:t>specific</w:t>
      </w:r>
      <w:r w:rsidR="00181267" w:rsidRPr="006F3B88">
        <w:rPr>
          <w:rFonts w:ascii="Book Antiqua" w:hAnsi="Book Antiqua"/>
          <w:bCs/>
          <w:color w:val="000000" w:themeColor="text1"/>
        </w:rPr>
        <w:t xml:space="preserve"> </w:t>
      </w:r>
      <w:r w:rsidR="00363E85" w:rsidRPr="006F3B88">
        <w:rPr>
          <w:rFonts w:ascii="Book Antiqua" w:hAnsi="Book Antiqua"/>
          <w:bCs/>
          <w:color w:val="000000" w:themeColor="text1"/>
        </w:rPr>
        <w:t>abnormalities</w:t>
      </w:r>
      <w:r w:rsidRPr="006F3B88">
        <w:rPr>
          <w:rFonts w:ascii="Book Antiqua" w:hAnsi="Book Antiqua"/>
          <w:bCs/>
          <w:color w:val="000000" w:themeColor="text1"/>
        </w:rPr>
        <w:t xml:space="preserve">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n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9, 7.5%)</w:t>
      </w:r>
      <w:r w:rsidR="00E33CBE" w:rsidRPr="006F3B88">
        <w:rPr>
          <w:rFonts w:ascii="Book Antiqua" w:hAnsi="Book Antiqua"/>
          <w:bCs/>
          <w:color w:val="000000" w:themeColor="text1"/>
        </w:rPr>
        <w:t>;</w:t>
      </w:r>
      <w:r w:rsidRPr="006F3B88">
        <w:rPr>
          <w:rFonts w:ascii="Book Antiqua" w:hAnsi="Book Antiqua"/>
          <w:bCs/>
          <w:color w:val="000000" w:themeColor="text1"/>
        </w:rPr>
        <w:t xml:space="preserve"> and </w:t>
      </w:r>
      <w:r w:rsidR="00363E85" w:rsidRPr="006F3B88">
        <w:rPr>
          <w:rFonts w:ascii="Book Antiqua" w:hAnsi="Book Antiqua"/>
          <w:bCs/>
          <w:color w:val="000000" w:themeColor="text1"/>
        </w:rPr>
        <w:t>(5)</w:t>
      </w:r>
      <w:r w:rsidR="008E2688" w:rsidRPr="006F3B88">
        <w:rPr>
          <w:rFonts w:ascii="Book Antiqua" w:hAnsi="Book Antiqua"/>
          <w:bCs/>
          <w:color w:val="000000" w:themeColor="text1"/>
        </w:rPr>
        <w:t xml:space="preserve"> </w:t>
      </w:r>
      <w:r w:rsidR="00CD3319" w:rsidRPr="006F3B88">
        <w:rPr>
          <w:rFonts w:ascii="Book Antiqua" w:hAnsi="Book Antiqua"/>
          <w:bCs/>
          <w:color w:val="000000" w:themeColor="text1"/>
        </w:rPr>
        <w:t>Solid n</w:t>
      </w:r>
      <w:r w:rsidR="00BF78FE" w:rsidRPr="006F3B88">
        <w:rPr>
          <w:rFonts w:ascii="Book Antiqua" w:hAnsi="Book Antiqua"/>
          <w:bCs/>
          <w:color w:val="000000" w:themeColor="text1"/>
        </w:rPr>
        <w:t xml:space="preserve">eoplastic </w:t>
      </w:r>
      <w:r w:rsidR="00E33CAB" w:rsidRPr="006F3B88">
        <w:rPr>
          <w:rFonts w:ascii="Book Antiqua" w:hAnsi="Book Antiqua"/>
          <w:bCs/>
          <w:color w:val="000000" w:themeColor="text1"/>
        </w:rPr>
        <w:t xml:space="preserve">tumours </w:t>
      </w:r>
      <w:r w:rsidRPr="006F3B88">
        <w:rPr>
          <w:rFonts w:ascii="Book Antiqua" w:hAnsi="Book Antiqua"/>
          <w:bCs/>
          <w:color w:val="000000" w:themeColor="text1"/>
        </w:rPr>
        <w:t>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n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3,</w:t>
      </w:r>
      <w:r w:rsidR="008E2688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2.5%</w:t>
      </w:r>
      <w:r w:rsidR="003E6622" w:rsidRPr="006F3B88">
        <w:rPr>
          <w:rFonts w:ascii="Book Antiqua" w:hAnsi="Book Antiqua"/>
          <w:bCs/>
          <w:color w:val="000000" w:themeColor="text1"/>
        </w:rPr>
        <w:t xml:space="preserve"> which included</w:t>
      </w:r>
      <w:r w:rsidR="00E33CAB" w:rsidRPr="006F3B88">
        <w:rPr>
          <w:rFonts w:ascii="Book Antiqua" w:hAnsi="Book Antiqua"/>
          <w:bCs/>
          <w:color w:val="000000" w:themeColor="text1"/>
        </w:rPr>
        <w:t xml:space="preserve"> </w:t>
      </w:r>
      <w:r w:rsidR="00BF78FE" w:rsidRPr="006F3B88">
        <w:rPr>
          <w:rFonts w:ascii="Book Antiqua" w:hAnsi="Book Antiqua"/>
          <w:bCs/>
          <w:color w:val="000000" w:themeColor="text1"/>
        </w:rPr>
        <w:t xml:space="preserve">pancreatic adenocarcinoma, pancreatic neuroendocrine </w:t>
      </w:r>
      <w:r w:rsidR="00E33CAB" w:rsidRPr="006F3B88">
        <w:rPr>
          <w:rFonts w:ascii="Book Antiqua" w:hAnsi="Book Antiqua"/>
          <w:bCs/>
          <w:color w:val="000000" w:themeColor="text1"/>
        </w:rPr>
        <w:t>tumour</w:t>
      </w:r>
      <w:r w:rsidR="00DB235B" w:rsidRPr="006F3B88">
        <w:rPr>
          <w:rFonts w:ascii="Book Antiqua" w:hAnsi="Book Antiqua"/>
          <w:bCs/>
          <w:color w:val="000000" w:themeColor="text1"/>
        </w:rPr>
        <w:t xml:space="preserve"> and</w:t>
      </w:r>
      <w:r w:rsidR="00E33CBE" w:rsidRPr="006F3B88">
        <w:rPr>
          <w:rFonts w:ascii="Book Antiqua" w:hAnsi="Book Antiqua"/>
          <w:bCs/>
          <w:color w:val="000000" w:themeColor="text1"/>
        </w:rPr>
        <w:t xml:space="preserve"> </w:t>
      </w:r>
      <w:r w:rsidR="00BF78FE" w:rsidRPr="006F3B88">
        <w:rPr>
          <w:rFonts w:ascii="Book Antiqua" w:hAnsi="Book Antiqua"/>
          <w:bCs/>
          <w:color w:val="000000" w:themeColor="text1"/>
        </w:rPr>
        <w:t>l</w:t>
      </w:r>
      <w:r w:rsidR="00E33CAB" w:rsidRPr="006F3B88">
        <w:rPr>
          <w:rFonts w:ascii="Book Antiqua" w:hAnsi="Book Antiqua"/>
          <w:bCs/>
          <w:color w:val="000000" w:themeColor="text1"/>
        </w:rPr>
        <w:t>iver cancer</w:t>
      </w:r>
      <w:r w:rsidRPr="006F3B88">
        <w:rPr>
          <w:rFonts w:ascii="Book Antiqua" w:hAnsi="Book Antiqua"/>
          <w:bCs/>
          <w:color w:val="000000" w:themeColor="text1"/>
        </w:rPr>
        <w:t xml:space="preserve">), outlined in 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Table </w:t>
      </w:r>
      <w:r w:rsidRPr="006F3B88">
        <w:rPr>
          <w:rFonts w:ascii="Book Antiqua" w:hAnsi="Book Antiqua"/>
          <w:bCs/>
          <w:color w:val="000000" w:themeColor="text1"/>
        </w:rPr>
        <w:t xml:space="preserve">1. </w:t>
      </w:r>
      <w:r w:rsidR="00927E60" w:rsidRPr="006F3B88">
        <w:rPr>
          <w:rFonts w:ascii="Book Antiqua" w:hAnsi="Book Antiqua"/>
          <w:bCs/>
          <w:color w:val="000000" w:themeColor="text1"/>
        </w:rPr>
        <w:t xml:space="preserve">Two further </w:t>
      </w:r>
      <w:r w:rsidR="00BF78FE" w:rsidRPr="006F3B88">
        <w:rPr>
          <w:rFonts w:ascii="Book Antiqua" w:hAnsi="Book Antiqua"/>
          <w:bCs/>
          <w:color w:val="000000" w:themeColor="text1"/>
        </w:rPr>
        <w:t>neoplastic tumours:</w:t>
      </w:r>
      <w:r w:rsidR="00927E60" w:rsidRPr="006F3B88">
        <w:rPr>
          <w:rFonts w:ascii="Book Antiqua" w:hAnsi="Book Antiqua"/>
          <w:bCs/>
          <w:color w:val="000000" w:themeColor="text1"/>
        </w:rPr>
        <w:t xml:space="preserve"> </w:t>
      </w:r>
      <w:r w:rsidR="00DB235B" w:rsidRPr="006F3B88">
        <w:rPr>
          <w:rFonts w:ascii="Book Antiqua" w:hAnsi="Book Antiqua"/>
          <w:bCs/>
          <w:color w:val="000000" w:themeColor="text1"/>
        </w:rPr>
        <w:t>one</w:t>
      </w:r>
      <w:r w:rsidR="00927E60" w:rsidRPr="006F3B88">
        <w:rPr>
          <w:rFonts w:ascii="Book Antiqua" w:hAnsi="Book Antiqua"/>
          <w:bCs/>
          <w:color w:val="000000" w:themeColor="text1"/>
        </w:rPr>
        <w:t xml:space="preserve"> breast cancer and a bladder cancer were identified on further imaging</w:t>
      </w:r>
      <w:r w:rsidR="00E3508E" w:rsidRPr="006F3B88">
        <w:rPr>
          <w:rFonts w:ascii="Book Antiqua" w:hAnsi="Book Antiqua"/>
          <w:bCs/>
          <w:color w:val="000000" w:themeColor="text1"/>
        </w:rPr>
        <w:t xml:space="preserve"> </w:t>
      </w:r>
      <w:r w:rsidR="00927E60" w:rsidRPr="006F3B88">
        <w:rPr>
          <w:rFonts w:ascii="Book Antiqua" w:hAnsi="Book Antiqua"/>
          <w:bCs/>
          <w:color w:val="000000" w:themeColor="text1"/>
        </w:rPr>
        <w:t>(MRI pancreas and CT abdomen) performed for close monitoring of a diffusely abnormal pancreas.</w:t>
      </w:r>
    </w:p>
    <w:p w:rsidR="00741934" w:rsidRPr="006F3B88" w:rsidRDefault="00741934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2B5BAC" w:rsidRPr="006F3B88" w:rsidRDefault="00F4674F" w:rsidP="006F3B88">
      <w:pPr>
        <w:snapToGrid w:val="0"/>
        <w:spacing w:line="360" w:lineRule="auto"/>
        <w:jc w:val="both"/>
        <w:rPr>
          <w:rFonts w:ascii="Book Antiqua" w:hAnsi="Book Antiqua"/>
          <w:b/>
          <w:i/>
          <w:iCs/>
          <w:color w:val="000000" w:themeColor="text1"/>
        </w:rPr>
      </w:pPr>
      <w:r w:rsidRPr="006F3B88">
        <w:rPr>
          <w:rFonts w:ascii="Book Antiqua" w:hAnsi="Book Antiqua"/>
          <w:b/>
          <w:i/>
          <w:iCs/>
          <w:color w:val="000000" w:themeColor="text1"/>
        </w:rPr>
        <w:t>Study population characteristics</w:t>
      </w:r>
    </w:p>
    <w:p w:rsidR="002B5BAC" w:rsidRPr="006F3B88" w:rsidRDefault="00F4674F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Table 1 outlines the baseline characteristics of the 120 subjects.</w:t>
      </w:r>
      <w:r w:rsidR="003E6622" w:rsidRPr="006F3B88">
        <w:rPr>
          <w:rFonts w:ascii="Book Antiqua" w:hAnsi="Book Antiqua"/>
          <w:bCs/>
          <w:color w:val="000000" w:themeColor="text1"/>
        </w:rPr>
        <w:t xml:space="preserve"> The median age of participants diagnosed with BD-IPMN on EUS was higher compared to their counterparts, however this was not statistically significant</w:t>
      </w:r>
      <w:r w:rsidRPr="006F3B88">
        <w:rPr>
          <w:rFonts w:ascii="Book Antiqua" w:hAnsi="Book Antiqua"/>
          <w:bCs/>
          <w:color w:val="000000" w:themeColor="text1"/>
        </w:rPr>
        <w:t xml:space="preserve">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0.388). There was no significant difference in the number of FDR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Pr="006F3B88">
        <w:rPr>
          <w:rFonts w:ascii="Book Antiqua" w:hAnsi="Book Antiqua"/>
          <w:bCs/>
          <w:i/>
          <w:i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0.947) or SDR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0.432) between groups. </w:t>
      </w:r>
      <w:r w:rsidR="003E6622" w:rsidRPr="006F3B88">
        <w:rPr>
          <w:rFonts w:ascii="Book Antiqua" w:hAnsi="Book Antiqua"/>
          <w:bCs/>
          <w:color w:val="000000" w:themeColor="text1"/>
        </w:rPr>
        <w:t xml:space="preserve">The median age of those diagnosed with neoplastic tumours on EUS was higher compared to those with a normal EUS, however this was not statistically significant </w:t>
      </w:r>
      <w:r w:rsidRPr="006F3B88">
        <w:rPr>
          <w:rFonts w:ascii="Book Antiqua" w:hAnsi="Book Antiqua"/>
          <w:bCs/>
          <w:color w:val="000000" w:themeColor="text1"/>
        </w:rPr>
        <w:t>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0.519). Furthermore, those with </w:t>
      </w:r>
      <w:r w:rsidR="00285224" w:rsidRPr="006F3B88">
        <w:rPr>
          <w:rFonts w:ascii="Book Antiqua" w:hAnsi="Book Antiqua"/>
          <w:bCs/>
          <w:color w:val="000000" w:themeColor="text1"/>
        </w:rPr>
        <w:t>neoplastic tumours</w:t>
      </w:r>
      <w:r w:rsidRPr="006F3B88">
        <w:rPr>
          <w:rFonts w:ascii="Book Antiqua" w:hAnsi="Book Antiqua"/>
          <w:bCs/>
          <w:color w:val="000000" w:themeColor="text1"/>
        </w:rPr>
        <w:t xml:space="preserve"> identified on EUS had a higher median number of cigarettes smoked per week (Median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20) compared to the other groups, however this was not significant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0.929). Participants diagnosed with </w:t>
      </w:r>
      <w:proofErr w:type="spellStart"/>
      <w:r w:rsidR="00285224" w:rsidRPr="006F3B88">
        <w:rPr>
          <w:rFonts w:ascii="Book Antiqua" w:hAnsi="Book Antiqua"/>
          <w:bCs/>
          <w:color w:val="000000" w:themeColor="text1"/>
        </w:rPr>
        <w:t>neoplasi</w:t>
      </w:r>
      <w:r w:rsidR="001D257B" w:rsidRPr="006F3B88">
        <w:rPr>
          <w:rFonts w:ascii="Book Antiqua" w:hAnsi="Book Antiqua"/>
          <w:bCs/>
          <w:color w:val="000000" w:themeColor="text1"/>
        </w:rPr>
        <w:t>a</w:t>
      </w:r>
      <w:proofErr w:type="spellEnd"/>
      <w:r w:rsidRPr="006F3B88">
        <w:rPr>
          <w:rFonts w:ascii="Book Antiqua" w:hAnsi="Book Antiqua"/>
          <w:bCs/>
          <w:color w:val="000000" w:themeColor="text1"/>
        </w:rPr>
        <w:t xml:space="preserve"> on EUS had a higher serum MIC-1/GDF15 </w:t>
      </w:r>
      <w:r w:rsidR="00245ACC" w:rsidRPr="006F3B88">
        <w:rPr>
          <w:rFonts w:ascii="Book Antiqua" w:hAnsi="Book Antiqua"/>
          <w:bCs/>
          <w:color w:val="000000" w:themeColor="text1"/>
        </w:rPr>
        <w:t>[</w:t>
      </w:r>
      <w:r w:rsidRPr="006F3B88">
        <w:rPr>
          <w:rFonts w:ascii="Book Antiqua" w:hAnsi="Book Antiqua"/>
          <w:bCs/>
          <w:color w:val="000000" w:themeColor="text1"/>
        </w:rPr>
        <w:t xml:space="preserve">Median = 849.1, </w:t>
      </w:r>
      <w:r w:rsidR="00245ACC" w:rsidRPr="006F3B88">
        <w:rPr>
          <w:rFonts w:ascii="Book Antiqua" w:hAnsi="Book Antiqua"/>
          <w:color w:val="000000" w:themeColor="text1"/>
        </w:rPr>
        <w:t>interquartile range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(</w:t>
      </w:r>
      <w:r w:rsidRPr="006F3B88">
        <w:rPr>
          <w:rFonts w:ascii="Book Antiqua" w:hAnsi="Book Antiqua"/>
          <w:bCs/>
          <w:color w:val="000000" w:themeColor="text1"/>
        </w:rPr>
        <w:t>IQR</w:t>
      </w:r>
      <w:r w:rsidR="00245ACC" w:rsidRPr="006F3B88">
        <w:rPr>
          <w:rFonts w:ascii="Book Antiqua" w:hAnsi="Book Antiqua"/>
          <w:bCs/>
          <w:color w:val="000000" w:themeColor="text1"/>
        </w:rPr>
        <w:t>)</w:t>
      </w:r>
      <w:r w:rsidRPr="006F3B88">
        <w:rPr>
          <w:rFonts w:ascii="Book Antiqua" w:hAnsi="Book Antiqua"/>
          <w:bCs/>
          <w:color w:val="000000" w:themeColor="text1"/>
        </w:rPr>
        <w:t xml:space="preserve"> = </w:t>
      </w:r>
      <w:r w:rsidR="00D56586" w:rsidRPr="006F3B88">
        <w:rPr>
          <w:rFonts w:ascii="Book Antiqua" w:hAnsi="Book Antiqua"/>
          <w:color w:val="000000" w:themeColor="text1"/>
        </w:rPr>
        <w:t>604.9-849.1</w:t>
      </w:r>
      <w:r w:rsidR="00245ACC" w:rsidRPr="006F3B88">
        <w:rPr>
          <w:rFonts w:ascii="Book Antiqua" w:hAnsi="Book Antiqua"/>
          <w:color w:val="000000" w:themeColor="text1"/>
        </w:rPr>
        <w:t>]</w:t>
      </w:r>
      <w:r w:rsidRPr="006F3B88">
        <w:rPr>
          <w:rFonts w:ascii="Book Antiqua" w:hAnsi="Book Antiqua"/>
          <w:bCs/>
          <w:color w:val="000000" w:themeColor="text1"/>
        </w:rPr>
        <w:t xml:space="preserve"> compared to the other groups however this was not significant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0.1</w:t>
      </w:r>
      <w:r w:rsidR="00060649" w:rsidRPr="006F3B88">
        <w:rPr>
          <w:rFonts w:ascii="Book Antiqua" w:hAnsi="Book Antiqua"/>
          <w:bCs/>
          <w:color w:val="000000" w:themeColor="text1"/>
        </w:rPr>
        <w:t>78</w:t>
      </w:r>
      <w:r w:rsidRPr="006F3B88">
        <w:rPr>
          <w:rFonts w:ascii="Book Antiqua" w:hAnsi="Book Antiqua"/>
          <w:bCs/>
          <w:color w:val="000000" w:themeColor="text1"/>
        </w:rPr>
        <w:t>)</w:t>
      </w:r>
      <w:r w:rsidR="00952ED3" w:rsidRPr="006F3B88">
        <w:rPr>
          <w:rFonts w:ascii="Book Antiqua" w:hAnsi="Book Antiqua"/>
          <w:bCs/>
          <w:color w:val="000000" w:themeColor="text1"/>
        </w:rPr>
        <w:t xml:space="preserve"> but</w:t>
      </w:r>
      <w:r w:rsidRPr="006F3B88">
        <w:rPr>
          <w:rFonts w:ascii="Book Antiqua" w:hAnsi="Book Antiqua"/>
          <w:bCs/>
          <w:color w:val="000000" w:themeColor="text1"/>
        </w:rPr>
        <w:t xml:space="preserve"> approached significance when compared to participants with a normal EUS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0.061) (Figure 1). Percentage change between </w:t>
      </w:r>
      <w:r w:rsidR="001D257B" w:rsidRPr="006F3B88">
        <w:rPr>
          <w:rFonts w:ascii="Book Antiqua" w:hAnsi="Book Antiqua"/>
          <w:bCs/>
          <w:color w:val="000000" w:themeColor="text1"/>
        </w:rPr>
        <w:t xml:space="preserve">serial </w:t>
      </w:r>
      <w:r w:rsidRPr="006F3B88">
        <w:rPr>
          <w:rFonts w:ascii="Book Antiqua" w:hAnsi="Book Antiqua"/>
          <w:bCs/>
          <w:color w:val="000000" w:themeColor="text1"/>
        </w:rPr>
        <w:t xml:space="preserve">MIC-1/GDF15 was not significant in those participants who </w:t>
      </w:r>
      <w:r w:rsidRPr="006F3B88">
        <w:rPr>
          <w:rFonts w:ascii="Book Antiqua" w:hAnsi="Book Antiqua"/>
          <w:bCs/>
          <w:color w:val="000000" w:themeColor="text1"/>
        </w:rPr>
        <w:lastRenderedPageBreak/>
        <w:t>had a normal EUS and subsequent abnormal EUS (tumour, BD-IPMN, cyst, diffuse abnormality)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0.213). Median serum CA19-9 was greatest in patients with </w:t>
      </w:r>
      <w:proofErr w:type="gramStart"/>
      <w:r w:rsidRPr="006F3B88">
        <w:rPr>
          <w:rFonts w:ascii="Book Antiqua" w:hAnsi="Book Antiqua"/>
          <w:bCs/>
          <w:color w:val="000000" w:themeColor="text1"/>
        </w:rPr>
        <w:t>an</w:t>
      </w:r>
      <w:proofErr w:type="gramEnd"/>
      <w:r w:rsidRPr="006F3B88">
        <w:rPr>
          <w:rFonts w:ascii="Book Antiqua" w:hAnsi="Book Antiqua"/>
          <w:bCs/>
          <w:color w:val="000000" w:themeColor="text1"/>
        </w:rPr>
        <w:t xml:space="preserve"> EUS indicative of malignancy, this approached significance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0.058)</w:t>
      </w:r>
      <w:r w:rsidR="00060649" w:rsidRPr="006F3B88">
        <w:rPr>
          <w:rFonts w:ascii="Book Antiqua" w:hAnsi="Book Antiqua"/>
          <w:bCs/>
          <w:color w:val="000000" w:themeColor="text1"/>
        </w:rPr>
        <w:t xml:space="preserve"> when compared to the other groups included in the analysis</w:t>
      </w:r>
      <w:r w:rsidR="00EE6D73" w:rsidRPr="006F3B88">
        <w:rPr>
          <w:rFonts w:ascii="Book Antiqua" w:hAnsi="Book Antiqua"/>
          <w:bCs/>
          <w:color w:val="000000" w:themeColor="text1"/>
        </w:rPr>
        <w:t>.</w:t>
      </w:r>
    </w:p>
    <w:p w:rsidR="00741934" w:rsidRPr="006F3B88" w:rsidRDefault="00741934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F4674F" w:rsidRPr="006F3B88" w:rsidRDefault="00F4674F" w:rsidP="006F3B88">
      <w:pPr>
        <w:snapToGrid w:val="0"/>
        <w:spacing w:line="360" w:lineRule="auto"/>
        <w:jc w:val="both"/>
        <w:rPr>
          <w:rFonts w:ascii="Book Antiqua" w:hAnsi="Book Antiqua"/>
          <w:b/>
          <w:i/>
          <w:iCs/>
          <w:color w:val="000000" w:themeColor="text1"/>
        </w:rPr>
      </w:pPr>
      <w:r w:rsidRPr="006F3B88">
        <w:rPr>
          <w:rFonts w:ascii="Book Antiqua" w:hAnsi="Book Antiqua"/>
          <w:b/>
          <w:i/>
          <w:iCs/>
          <w:color w:val="000000" w:themeColor="text1"/>
        </w:rPr>
        <w:t>Correlation of MIC-1/GDF-15 with population variables</w:t>
      </w:r>
    </w:p>
    <w:p w:rsidR="00F4674F" w:rsidRPr="006F3B88" w:rsidRDefault="00F4674F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Baseline MIC-1/GDF-15 </w:t>
      </w:r>
      <w:r w:rsidR="00FC590F" w:rsidRPr="006F3B88">
        <w:rPr>
          <w:rFonts w:ascii="Book Antiqua" w:hAnsi="Book Antiqua"/>
          <w:bCs/>
          <w:color w:val="000000" w:themeColor="text1"/>
        </w:rPr>
        <w:t xml:space="preserve">was significantly </w:t>
      </w:r>
      <w:r w:rsidRPr="006F3B88">
        <w:rPr>
          <w:rFonts w:ascii="Book Antiqua" w:hAnsi="Book Antiqua"/>
          <w:bCs/>
          <w:color w:val="000000" w:themeColor="text1"/>
        </w:rPr>
        <w:t>correlated with advancing age for the entire cohort (correlation coefficient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</w:t>
      </w:r>
      <w:r w:rsidR="00874F7A" w:rsidRPr="006F3B88">
        <w:rPr>
          <w:rFonts w:ascii="Book Antiqua" w:hAnsi="Book Antiqua"/>
          <w:bCs/>
          <w:color w:val="000000" w:themeColor="text1"/>
        </w:rPr>
        <w:t>602</w:t>
      </w:r>
      <w:r w:rsidRPr="006F3B88">
        <w:rPr>
          <w:rFonts w:ascii="Book Antiqua" w:hAnsi="Book Antiqua"/>
          <w:bCs/>
          <w:color w:val="000000" w:themeColor="text1"/>
        </w:rPr>
        <w:t xml:space="preserve">, 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&lt;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0.01)</w:t>
      </w:r>
      <w:r w:rsidR="008E723A" w:rsidRPr="006F3B88">
        <w:rPr>
          <w:rFonts w:ascii="Book Antiqua" w:hAnsi="Book Antiqua"/>
          <w:bCs/>
          <w:color w:val="000000" w:themeColor="text1"/>
        </w:rPr>
        <w:t xml:space="preserve"> and </w:t>
      </w:r>
      <w:r w:rsidRPr="006F3B88">
        <w:rPr>
          <w:rFonts w:ascii="Book Antiqua" w:hAnsi="Book Antiqua"/>
          <w:bCs/>
          <w:color w:val="000000" w:themeColor="text1"/>
        </w:rPr>
        <w:t>age of youngest PC diagnosis (correlation coefficient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0.2</w:t>
      </w:r>
      <w:r w:rsidR="00874F7A" w:rsidRPr="006F3B88">
        <w:rPr>
          <w:rFonts w:ascii="Book Antiqua" w:hAnsi="Book Antiqua"/>
          <w:bCs/>
          <w:color w:val="000000" w:themeColor="text1"/>
        </w:rPr>
        <w:t>23</w:t>
      </w:r>
      <w:r w:rsidRPr="006F3B88">
        <w:rPr>
          <w:rFonts w:ascii="Book Antiqua" w:hAnsi="Book Antiqua"/>
          <w:bCs/>
          <w:color w:val="000000" w:themeColor="text1"/>
        </w:rPr>
        <w:t xml:space="preserve">, 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0.015). Increasing BMI did not correlate with increasing serum MIC-1/GDF15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="00874F7A" w:rsidRPr="006F3B88">
        <w:rPr>
          <w:rFonts w:ascii="Book Antiqua" w:hAnsi="Book Antiqua"/>
          <w:bCs/>
          <w:color w:val="000000" w:themeColor="text1"/>
        </w:rPr>
        <w:t>0.548</w:t>
      </w:r>
      <w:r w:rsidRPr="006F3B88">
        <w:rPr>
          <w:rFonts w:ascii="Book Antiqua" w:hAnsi="Book Antiqua"/>
          <w:bCs/>
          <w:color w:val="000000" w:themeColor="text1"/>
        </w:rPr>
        <w:t xml:space="preserve">). The number of cigarettes smoked per day, and number of drinks per week did not correlate with increased baseline serum MIC-1/GDF15 values in this population </w:t>
      </w:r>
      <w:r w:rsidRPr="006F3B88">
        <w:rPr>
          <w:rFonts w:ascii="Book Antiqua" w:hAnsi="Book Antiqua"/>
          <w:bCs/>
          <w:i/>
          <w:iCs/>
          <w:color w:val="000000" w:themeColor="text1"/>
        </w:rPr>
        <w:t>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Pr="006F3B88">
        <w:rPr>
          <w:rFonts w:ascii="Book Antiqua" w:hAnsi="Book Antiqua"/>
          <w:bCs/>
          <w:i/>
          <w:i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0.138 and</w:t>
      </w:r>
      <w:r w:rsidR="00E26B5C" w:rsidRPr="006F3B88">
        <w:rPr>
          <w:rFonts w:ascii="Book Antiqua" w:hAnsi="Book Antiqua"/>
          <w:bCs/>
          <w:color w:val="000000" w:themeColor="text1"/>
        </w:rPr>
        <w:t xml:space="preserve"> 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="00E26B5C"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0.451 respectively).</w:t>
      </w:r>
    </w:p>
    <w:p w:rsidR="003130F7" w:rsidRPr="006F3B88" w:rsidRDefault="003130F7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The </w:t>
      </w:r>
      <w:r w:rsidR="00F4674F" w:rsidRPr="006F3B88">
        <w:rPr>
          <w:rFonts w:ascii="Book Antiqua" w:hAnsi="Book Antiqua"/>
          <w:bCs/>
          <w:color w:val="000000" w:themeColor="text1"/>
        </w:rPr>
        <w:t>total number of both first and second-degree relatives diagnosed with PC had a significant negative correlation with baseline serum MIC-1/GDF15 (correlation coefficient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 xml:space="preserve">-0.190, 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0.038)</w:t>
      </w:r>
      <w:r w:rsidRPr="006F3B88">
        <w:rPr>
          <w:rFonts w:ascii="Book Antiqua" w:hAnsi="Book Antiqua"/>
          <w:bCs/>
          <w:color w:val="000000" w:themeColor="text1"/>
        </w:rPr>
        <w:t>. The number of first degree relatives diagnosed with PC did not correlate with baseline serum MIC-1/GDF15 (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0.238), however the number of second degree relatives diagnosed with PC had a significant negative correlation with baseline serum MIC-1/GDF15 (correlation coefficient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-0.225, 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0.014).</w:t>
      </w:r>
    </w:p>
    <w:p w:rsidR="00231D01" w:rsidRPr="006F3B88" w:rsidRDefault="008E723A" w:rsidP="006F3B88">
      <w:pPr>
        <w:snapToGrid w:val="0"/>
        <w:spacing w:line="360" w:lineRule="auto"/>
        <w:ind w:firstLine="360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B</w:t>
      </w:r>
      <w:r w:rsidR="00F4674F" w:rsidRPr="006F3B88">
        <w:rPr>
          <w:rFonts w:ascii="Book Antiqua" w:hAnsi="Book Antiqua"/>
          <w:bCs/>
          <w:color w:val="000000" w:themeColor="text1"/>
        </w:rPr>
        <w:t xml:space="preserve">aseline serum MIC-1/GDF15 </w:t>
      </w:r>
      <w:r w:rsidR="00FC590F" w:rsidRPr="006F3B88">
        <w:rPr>
          <w:rFonts w:ascii="Book Antiqua" w:hAnsi="Book Antiqua"/>
          <w:bCs/>
          <w:color w:val="000000" w:themeColor="text1"/>
        </w:rPr>
        <w:t>did not correlate</w:t>
      </w:r>
      <w:r w:rsidR="00F4674F" w:rsidRPr="006F3B88">
        <w:rPr>
          <w:rFonts w:ascii="Book Antiqua" w:hAnsi="Book Antiqua"/>
          <w:bCs/>
          <w:color w:val="000000" w:themeColor="text1"/>
        </w:rPr>
        <w:t xml:space="preserve"> with gender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="00F4674F" w:rsidRPr="006F3B88">
        <w:rPr>
          <w:rFonts w:ascii="Book Antiqua" w:hAnsi="Book Antiqua"/>
          <w:bCs/>
          <w:i/>
          <w:iCs/>
          <w:color w:val="000000" w:themeColor="text1"/>
        </w:rPr>
        <w:t>=</w:t>
      </w:r>
      <w:r w:rsidR="00741934" w:rsidRPr="006F3B88">
        <w:rPr>
          <w:rFonts w:ascii="Book Antiqua" w:hAnsi="Book Antiqua"/>
          <w:bCs/>
          <w:i/>
          <w:i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0.176), BRCA2 status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0.097), ethnicity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0.570) or Jewish background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0.606). Further analysis of dichotomous variables demonstrated that baseline serum MIC-1/GDF-15 was significantly greater in those with a history of cancer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&lt; 0.001), history of diabetes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0.001), those taking oral hypoglycaemic medication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0.001)</w:t>
      </w:r>
      <w:r w:rsidR="00A25D04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 xml:space="preserve">and </w:t>
      </w:r>
      <w:r w:rsidR="00A25D04" w:rsidRPr="006F3B88">
        <w:rPr>
          <w:rFonts w:ascii="Book Antiqua" w:hAnsi="Book Antiqua"/>
          <w:bCs/>
          <w:color w:val="000000" w:themeColor="text1"/>
        </w:rPr>
        <w:t>history of</w:t>
      </w:r>
      <w:r w:rsidR="00F4674F" w:rsidRPr="006F3B88">
        <w:rPr>
          <w:rFonts w:ascii="Book Antiqua" w:hAnsi="Book Antiqua"/>
          <w:bCs/>
          <w:color w:val="000000" w:themeColor="text1"/>
        </w:rPr>
        <w:t xml:space="preserve"> coronary artery disease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 xml:space="preserve">0.005), </w:t>
      </w:r>
      <w:proofErr w:type="spellStart"/>
      <w:r w:rsidR="00F4674F" w:rsidRPr="006F3B88">
        <w:rPr>
          <w:rFonts w:ascii="Book Antiqua" w:hAnsi="Book Antiqua"/>
          <w:bCs/>
          <w:color w:val="000000" w:themeColor="text1"/>
        </w:rPr>
        <w:t>hypercholesterolaemia</w:t>
      </w:r>
      <w:proofErr w:type="spellEnd"/>
      <w:r w:rsidR="00F4674F" w:rsidRPr="006F3B88">
        <w:rPr>
          <w:rFonts w:ascii="Book Antiqua" w:hAnsi="Book Antiqua"/>
          <w:bCs/>
          <w:color w:val="000000" w:themeColor="text1"/>
        </w:rPr>
        <w:t xml:space="preserve">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0.013)</w:t>
      </w:r>
      <w:r w:rsidR="00A25D04" w:rsidRPr="006F3B88">
        <w:rPr>
          <w:rFonts w:ascii="Book Antiqua" w:hAnsi="Book Antiqua"/>
          <w:bCs/>
          <w:color w:val="000000" w:themeColor="text1"/>
        </w:rPr>
        <w:t xml:space="preserve"> and</w:t>
      </w:r>
      <w:r w:rsidR="00F4674F" w:rsidRPr="006F3B88">
        <w:rPr>
          <w:rFonts w:ascii="Book Antiqua" w:hAnsi="Book Antiqua"/>
          <w:bCs/>
          <w:color w:val="000000" w:themeColor="text1"/>
        </w:rPr>
        <w:t xml:space="preserve"> colon polyps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0.005).</w:t>
      </w:r>
      <w:r w:rsidR="00E33CBE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Serum MIC-1/GDF-15 levels were elevated in those participants taking aspirin regularly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0.019) and metformin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 xml:space="preserve">0.001). Baseline serum MIC-1/GDF15 was not elevated in those with regular NSAID, </w:t>
      </w:r>
      <w:proofErr w:type="spellStart"/>
      <w:r w:rsidR="00F4674F" w:rsidRPr="006F3B88">
        <w:rPr>
          <w:rFonts w:ascii="Book Antiqua" w:hAnsi="Book Antiqua"/>
          <w:bCs/>
          <w:color w:val="000000" w:themeColor="text1"/>
        </w:rPr>
        <w:t>folate</w:t>
      </w:r>
      <w:proofErr w:type="spellEnd"/>
      <w:r w:rsidR="00F4674F" w:rsidRPr="006F3B88">
        <w:rPr>
          <w:rFonts w:ascii="Book Antiqua" w:hAnsi="Book Antiqua"/>
          <w:bCs/>
          <w:color w:val="000000" w:themeColor="text1"/>
        </w:rPr>
        <w:t xml:space="preserve"> or antidepressant use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F4674F" w:rsidRPr="006F3B88">
        <w:rPr>
          <w:rFonts w:ascii="Book Antiqua" w:hAnsi="Book Antiqua"/>
          <w:bCs/>
          <w:color w:val="000000" w:themeColor="text1"/>
        </w:rPr>
        <w:t>0.863, 0.928 and 0.172 respectively)</w:t>
      </w:r>
      <w:r w:rsidR="00283055" w:rsidRPr="006F3B88">
        <w:rPr>
          <w:rFonts w:ascii="Book Antiqua" w:hAnsi="Book Antiqua"/>
          <w:bCs/>
          <w:color w:val="000000" w:themeColor="text1"/>
        </w:rPr>
        <w:t xml:space="preserve"> in th</w:t>
      </w:r>
      <w:r w:rsidR="00147EF3" w:rsidRPr="006F3B88">
        <w:rPr>
          <w:rFonts w:ascii="Book Antiqua" w:hAnsi="Book Antiqua"/>
          <w:bCs/>
          <w:color w:val="000000" w:themeColor="text1"/>
        </w:rPr>
        <w:t>is</w:t>
      </w:r>
      <w:r w:rsidR="00283055" w:rsidRPr="006F3B88">
        <w:rPr>
          <w:rFonts w:ascii="Book Antiqua" w:hAnsi="Book Antiqua"/>
          <w:bCs/>
          <w:color w:val="000000" w:themeColor="text1"/>
        </w:rPr>
        <w:t xml:space="preserve"> study population</w:t>
      </w:r>
      <w:r w:rsidR="00F4674F" w:rsidRPr="006F3B88">
        <w:rPr>
          <w:rFonts w:ascii="Book Antiqua" w:hAnsi="Book Antiqua"/>
          <w:bCs/>
          <w:color w:val="000000" w:themeColor="text1"/>
        </w:rPr>
        <w:t>.</w:t>
      </w:r>
    </w:p>
    <w:p w:rsidR="00245ACC" w:rsidRPr="006F3B88" w:rsidRDefault="00245ACC" w:rsidP="006F3B88">
      <w:pPr>
        <w:snapToGrid w:val="0"/>
        <w:spacing w:line="360" w:lineRule="auto"/>
        <w:ind w:firstLine="360"/>
        <w:jc w:val="both"/>
        <w:rPr>
          <w:rFonts w:ascii="Book Antiqua" w:hAnsi="Book Antiqua"/>
          <w:bCs/>
          <w:color w:val="000000" w:themeColor="text1"/>
          <w:u w:val="single"/>
        </w:rPr>
      </w:pPr>
    </w:p>
    <w:p w:rsidR="00F4674F" w:rsidRPr="006F3B88" w:rsidRDefault="00F4674F" w:rsidP="006F3B88">
      <w:pPr>
        <w:snapToGrid w:val="0"/>
        <w:spacing w:line="360" w:lineRule="auto"/>
        <w:ind w:right="-52"/>
        <w:jc w:val="both"/>
        <w:rPr>
          <w:rFonts w:ascii="Book Antiqua" w:hAnsi="Book Antiqua"/>
          <w:b/>
          <w:i/>
          <w:iCs/>
          <w:color w:val="000000" w:themeColor="text1"/>
        </w:rPr>
      </w:pPr>
      <w:r w:rsidRPr="006F3B88">
        <w:rPr>
          <w:rFonts w:ascii="Book Antiqua" w:hAnsi="Book Antiqua"/>
          <w:b/>
          <w:i/>
          <w:iCs/>
          <w:color w:val="000000" w:themeColor="text1"/>
        </w:rPr>
        <w:t xml:space="preserve">ROC curve for capacity of MIC-1/GDF-15 to identify </w:t>
      </w:r>
      <w:r w:rsidR="00C34E12" w:rsidRPr="006F3B88">
        <w:rPr>
          <w:rFonts w:ascii="Book Antiqua" w:hAnsi="Book Antiqua"/>
          <w:b/>
          <w:i/>
          <w:iCs/>
          <w:color w:val="000000" w:themeColor="text1"/>
        </w:rPr>
        <w:t>premalignant lesions</w:t>
      </w:r>
      <w:r w:rsidR="00E05602" w:rsidRPr="006F3B88">
        <w:rPr>
          <w:rFonts w:ascii="Book Antiqua" w:hAnsi="Book Antiqua"/>
          <w:b/>
          <w:i/>
          <w:iCs/>
          <w:color w:val="000000" w:themeColor="text1"/>
        </w:rPr>
        <w:t xml:space="preserve"> </w:t>
      </w:r>
      <w:r w:rsidRPr="006F3B88">
        <w:rPr>
          <w:rFonts w:ascii="Book Antiqua" w:hAnsi="Book Antiqua"/>
          <w:b/>
          <w:i/>
          <w:iCs/>
          <w:color w:val="000000" w:themeColor="text1"/>
        </w:rPr>
        <w:t>on EUS</w:t>
      </w:r>
    </w:p>
    <w:p w:rsidR="00172CD6" w:rsidRPr="006F3B88" w:rsidRDefault="00F4674F" w:rsidP="006F3B88">
      <w:pPr>
        <w:snapToGrid w:val="0"/>
        <w:spacing w:line="360" w:lineRule="auto"/>
        <w:ind w:right="-52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lastRenderedPageBreak/>
        <w:t>Baseline serum MIC-1/GDF-15 was a poor predictor of</w:t>
      </w:r>
      <w:r w:rsidR="00A12546" w:rsidRPr="006F3B88">
        <w:rPr>
          <w:rFonts w:ascii="Book Antiqua" w:hAnsi="Book Antiqua"/>
          <w:bCs/>
          <w:color w:val="000000" w:themeColor="text1"/>
        </w:rPr>
        <w:t xml:space="preserve"> abnormal</w:t>
      </w:r>
      <w:r w:rsidRPr="006F3B88">
        <w:rPr>
          <w:rFonts w:ascii="Book Antiqua" w:hAnsi="Book Antiqua"/>
          <w:bCs/>
          <w:color w:val="000000" w:themeColor="text1"/>
        </w:rPr>
        <w:t xml:space="preserve"> EUS</w:t>
      </w:r>
      <w:r w:rsidR="00331C2A" w:rsidRPr="006F3B88">
        <w:rPr>
          <w:rFonts w:ascii="Book Antiqua" w:hAnsi="Book Antiqua"/>
          <w:bCs/>
          <w:color w:val="000000" w:themeColor="text1"/>
        </w:rPr>
        <w:t xml:space="preserve"> </w:t>
      </w:r>
      <w:r w:rsidR="00AE412D" w:rsidRPr="006F3B88">
        <w:rPr>
          <w:rFonts w:ascii="Book Antiqua" w:hAnsi="Book Antiqua"/>
          <w:bCs/>
          <w:color w:val="000000" w:themeColor="text1"/>
        </w:rPr>
        <w:t>in our cohort of asymptomatic high</w:t>
      </w:r>
      <w:r w:rsidR="00EE6D73" w:rsidRPr="006F3B88">
        <w:rPr>
          <w:rFonts w:ascii="Book Antiqua" w:hAnsi="Book Antiqua"/>
          <w:bCs/>
          <w:color w:val="000000" w:themeColor="text1"/>
        </w:rPr>
        <w:t>-</w:t>
      </w:r>
      <w:r w:rsidR="00AE412D" w:rsidRPr="006F3B88">
        <w:rPr>
          <w:rFonts w:ascii="Book Antiqua" w:hAnsi="Book Antiqua"/>
          <w:bCs/>
          <w:color w:val="000000" w:themeColor="text1"/>
        </w:rPr>
        <w:t>risk patients</w:t>
      </w:r>
      <w:r w:rsidR="009676D2" w:rsidRPr="006F3B88">
        <w:rPr>
          <w:rFonts w:ascii="Book Antiqua" w:hAnsi="Book Antiqua"/>
          <w:bCs/>
          <w:color w:val="000000" w:themeColor="text1"/>
        </w:rPr>
        <w:t xml:space="preserve"> </w:t>
      </w:r>
      <w:r w:rsidR="00DB67E1" w:rsidRPr="006F3B88">
        <w:rPr>
          <w:rFonts w:ascii="Book Antiqua" w:hAnsi="Book Antiqua"/>
          <w:bCs/>
          <w:color w:val="000000" w:themeColor="text1"/>
        </w:rPr>
        <w:t xml:space="preserve">as </w:t>
      </w:r>
      <w:r w:rsidR="006058A0" w:rsidRPr="006F3B88">
        <w:rPr>
          <w:rFonts w:ascii="Book Antiqua" w:hAnsi="Book Antiqua"/>
          <w:bCs/>
          <w:color w:val="000000" w:themeColor="text1"/>
        </w:rPr>
        <w:t>determined</w:t>
      </w:r>
      <w:r w:rsidRPr="006F3B88">
        <w:rPr>
          <w:rFonts w:ascii="Book Antiqua" w:hAnsi="Book Antiqua"/>
          <w:bCs/>
          <w:color w:val="000000" w:themeColor="text1"/>
        </w:rPr>
        <w:t xml:space="preserve"> using a ROC curve for the capacity for MIC-1/GDF-15 to predict an abnormal EUS</w:t>
      </w:r>
      <w:r w:rsidR="00DB67E1" w:rsidRPr="006F3B88">
        <w:rPr>
          <w:rFonts w:ascii="Book Antiqua" w:hAnsi="Book Antiqua"/>
          <w:bCs/>
          <w:color w:val="000000" w:themeColor="text1"/>
        </w:rPr>
        <w:t xml:space="preserve">. The MIC-1/GDF-15 serum level, when </w:t>
      </w:r>
      <w:r w:rsidRPr="006F3B88">
        <w:rPr>
          <w:rFonts w:ascii="Book Antiqua" w:hAnsi="Book Antiqua"/>
          <w:bCs/>
          <w:color w:val="000000" w:themeColor="text1"/>
        </w:rPr>
        <w:t>adjusted for aspirin use, alcohol intake per week, smoking status, BMI, NSAID use, history of colonic polyps, gender, metformin use and age</w:t>
      </w:r>
      <w:r w:rsidR="00DB67E1" w:rsidRPr="006F3B88">
        <w:rPr>
          <w:rFonts w:ascii="Book Antiqua" w:hAnsi="Book Antiqua"/>
          <w:bCs/>
          <w:color w:val="000000" w:themeColor="text1"/>
        </w:rPr>
        <w:t xml:space="preserve"> had an AUC of 0.576 </w:t>
      </w:r>
      <w:r w:rsidR="00800A32" w:rsidRPr="006F3B88">
        <w:rPr>
          <w:rFonts w:ascii="Book Antiqua" w:hAnsi="Book Antiqua"/>
          <w:bCs/>
          <w:color w:val="000000" w:themeColor="text1"/>
        </w:rPr>
        <w:t>(95%CI</w:t>
      </w:r>
      <w:r w:rsidR="00245ACC" w:rsidRPr="006F3B88">
        <w:rPr>
          <w:rFonts w:ascii="Book Antiqua" w:eastAsia="宋体" w:hAnsi="Book Antiqua" w:cs="宋体"/>
          <w:bCs/>
          <w:color w:val="000000" w:themeColor="text1"/>
          <w:lang w:eastAsia="zh-CN"/>
        </w:rPr>
        <w:t>:</w:t>
      </w:r>
      <w:r w:rsidR="00800A32" w:rsidRPr="006F3B88">
        <w:rPr>
          <w:rFonts w:ascii="Book Antiqua" w:hAnsi="Book Antiqua"/>
          <w:bCs/>
          <w:color w:val="000000" w:themeColor="text1"/>
        </w:rPr>
        <w:t xml:space="preserve"> 0.454-0.698) </w:t>
      </w:r>
      <w:r w:rsidR="00DB67E1" w:rsidRPr="006F3B88">
        <w:rPr>
          <w:rFonts w:ascii="Book Antiqua" w:hAnsi="Book Antiqua"/>
          <w:bCs/>
          <w:color w:val="000000" w:themeColor="text1"/>
        </w:rPr>
        <w:t>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DB67E1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DB67E1" w:rsidRPr="006F3B88">
        <w:rPr>
          <w:rFonts w:ascii="Book Antiqua" w:hAnsi="Book Antiqua"/>
          <w:bCs/>
          <w:color w:val="000000" w:themeColor="text1"/>
        </w:rPr>
        <w:t>0.234) (Figure 2A).</w:t>
      </w:r>
      <w:r w:rsidR="00E33CBE" w:rsidRPr="006F3B88">
        <w:rPr>
          <w:rFonts w:ascii="Book Antiqua" w:hAnsi="Book Antiqua"/>
          <w:bCs/>
          <w:color w:val="000000" w:themeColor="text1"/>
        </w:rPr>
        <w:t xml:space="preserve"> </w:t>
      </w:r>
      <w:r w:rsidR="003527EB" w:rsidRPr="006F3B88">
        <w:rPr>
          <w:rFonts w:ascii="Book Antiqua" w:hAnsi="Book Antiqua"/>
          <w:bCs/>
          <w:color w:val="000000" w:themeColor="text1"/>
        </w:rPr>
        <w:t>S</w:t>
      </w:r>
      <w:r w:rsidRPr="006F3B88">
        <w:rPr>
          <w:rFonts w:ascii="Book Antiqua" w:hAnsi="Book Antiqua"/>
          <w:bCs/>
          <w:color w:val="000000" w:themeColor="text1"/>
        </w:rPr>
        <w:t>imilar</w:t>
      </w:r>
      <w:r w:rsidR="003527EB" w:rsidRPr="006F3B88">
        <w:rPr>
          <w:rFonts w:ascii="Book Antiqua" w:hAnsi="Book Antiqua"/>
          <w:bCs/>
          <w:color w:val="000000" w:themeColor="text1"/>
        </w:rPr>
        <w:t xml:space="preserve">ly, </w:t>
      </w:r>
      <w:r w:rsidRPr="006F3B88">
        <w:rPr>
          <w:rFonts w:ascii="Book Antiqua" w:hAnsi="Book Antiqua"/>
          <w:bCs/>
          <w:color w:val="000000" w:themeColor="text1"/>
        </w:rPr>
        <w:t xml:space="preserve">baseline serum MIC-1/GDF-15 </w:t>
      </w:r>
      <w:r w:rsidR="003527EB" w:rsidRPr="006F3B88">
        <w:rPr>
          <w:rFonts w:ascii="Book Antiqua" w:hAnsi="Book Antiqua"/>
          <w:bCs/>
          <w:color w:val="000000" w:themeColor="text1"/>
        </w:rPr>
        <w:t>could not</w:t>
      </w:r>
      <w:r w:rsidR="00E33CBE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predict BD-IPMN (AUC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0.644,</w:t>
      </w:r>
      <w:r w:rsidR="00800A32" w:rsidRPr="006F3B88">
        <w:rPr>
          <w:rFonts w:ascii="Book Antiqua" w:hAnsi="Book Antiqua"/>
          <w:bCs/>
          <w:color w:val="000000" w:themeColor="text1"/>
        </w:rPr>
        <w:t xml:space="preserve"> 95%CI</w:t>
      </w:r>
      <w:r w:rsidR="00245ACC" w:rsidRPr="006F3B88">
        <w:rPr>
          <w:rFonts w:ascii="Book Antiqua" w:hAnsi="Book Antiqua"/>
          <w:bCs/>
          <w:color w:val="000000" w:themeColor="text1"/>
        </w:rPr>
        <w:t>:</w:t>
      </w:r>
      <w:r w:rsidR="00800A32" w:rsidRPr="006F3B88">
        <w:rPr>
          <w:rFonts w:ascii="Book Antiqua" w:hAnsi="Book Antiqua"/>
          <w:bCs/>
          <w:color w:val="000000" w:themeColor="text1"/>
        </w:rPr>
        <w:t xml:space="preserve"> 0.414-0.875, 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0.223) (Figure </w:t>
      </w:r>
      <w:r w:rsidR="006058A0" w:rsidRPr="006F3B88">
        <w:rPr>
          <w:rFonts w:ascii="Book Antiqua" w:hAnsi="Book Antiqua"/>
          <w:bCs/>
          <w:color w:val="000000" w:themeColor="text1"/>
        </w:rPr>
        <w:t>2</w:t>
      </w:r>
      <w:r w:rsidRPr="006F3B88">
        <w:rPr>
          <w:rFonts w:ascii="Book Antiqua" w:hAnsi="Book Antiqua"/>
          <w:bCs/>
          <w:color w:val="000000" w:themeColor="text1"/>
        </w:rPr>
        <w:t>B), pancreatic cyst (AUC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0.347, </w:t>
      </w:r>
      <w:r w:rsidR="00800A32" w:rsidRPr="006F3B88">
        <w:rPr>
          <w:rFonts w:ascii="Book Antiqua" w:hAnsi="Book Antiqua"/>
          <w:bCs/>
          <w:color w:val="000000" w:themeColor="text1"/>
        </w:rPr>
        <w:t>95%CI</w:t>
      </w:r>
      <w:r w:rsidR="00245ACC" w:rsidRPr="006F3B88">
        <w:rPr>
          <w:rFonts w:ascii="Book Antiqua" w:hAnsi="Book Antiqua"/>
          <w:bCs/>
          <w:color w:val="000000" w:themeColor="text1"/>
        </w:rPr>
        <w:t>:</w:t>
      </w:r>
      <w:r w:rsidR="00800A32" w:rsidRPr="006F3B88">
        <w:rPr>
          <w:rFonts w:ascii="Book Antiqua" w:hAnsi="Book Antiqua"/>
          <w:bCs/>
          <w:color w:val="000000" w:themeColor="text1"/>
        </w:rPr>
        <w:t xml:space="preserve"> 0.162-0.532, 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0.131) (Figure </w:t>
      </w:r>
      <w:r w:rsidR="006058A0" w:rsidRPr="006F3B88">
        <w:rPr>
          <w:rFonts w:ascii="Book Antiqua" w:hAnsi="Book Antiqua"/>
          <w:bCs/>
          <w:color w:val="000000" w:themeColor="text1"/>
        </w:rPr>
        <w:t>2</w:t>
      </w:r>
      <w:r w:rsidRPr="006F3B88">
        <w:rPr>
          <w:rFonts w:ascii="Book Antiqua" w:hAnsi="Book Antiqua"/>
          <w:bCs/>
          <w:color w:val="000000" w:themeColor="text1"/>
        </w:rPr>
        <w:t>C) and diffuse abnormalities (AUC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0.510,</w:t>
      </w:r>
      <w:r w:rsidR="00800A32" w:rsidRPr="006F3B88">
        <w:rPr>
          <w:rFonts w:ascii="Book Antiqua" w:hAnsi="Book Antiqua"/>
          <w:bCs/>
          <w:color w:val="000000" w:themeColor="text1"/>
        </w:rPr>
        <w:t xml:space="preserve"> 95%CI</w:t>
      </w:r>
      <w:r w:rsidR="00245ACC" w:rsidRPr="006F3B88">
        <w:rPr>
          <w:rFonts w:ascii="Book Antiqua" w:hAnsi="Book Antiqua"/>
          <w:bCs/>
          <w:color w:val="000000" w:themeColor="text1"/>
        </w:rPr>
        <w:t>:</w:t>
      </w:r>
      <w:r w:rsidR="00800A32" w:rsidRPr="006F3B88">
        <w:rPr>
          <w:rFonts w:ascii="Book Antiqua" w:hAnsi="Book Antiqua"/>
          <w:bCs/>
          <w:color w:val="000000" w:themeColor="text1"/>
        </w:rPr>
        <w:t xml:space="preserve"> 0.254-0.764,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0.935) (Figure </w:t>
      </w:r>
      <w:r w:rsidR="006058A0" w:rsidRPr="006F3B88">
        <w:rPr>
          <w:rFonts w:ascii="Book Antiqua" w:hAnsi="Book Antiqua"/>
          <w:bCs/>
          <w:color w:val="000000" w:themeColor="text1"/>
        </w:rPr>
        <w:t>2</w:t>
      </w:r>
      <w:r w:rsidRPr="006F3B88">
        <w:rPr>
          <w:rFonts w:ascii="Book Antiqua" w:hAnsi="Book Antiqua"/>
          <w:bCs/>
          <w:color w:val="000000" w:themeColor="text1"/>
        </w:rPr>
        <w:t xml:space="preserve">D). In those with </w:t>
      </w:r>
      <w:r w:rsidR="00172CD6" w:rsidRPr="006F3B88">
        <w:rPr>
          <w:rFonts w:ascii="Book Antiqua" w:hAnsi="Book Antiqua"/>
          <w:bCs/>
          <w:color w:val="000000" w:themeColor="text1"/>
        </w:rPr>
        <w:t xml:space="preserve">neoplastic tumours </w:t>
      </w:r>
      <w:r w:rsidRPr="006F3B88">
        <w:rPr>
          <w:rFonts w:ascii="Book Antiqua" w:hAnsi="Book Antiqua"/>
          <w:bCs/>
          <w:color w:val="000000" w:themeColor="text1"/>
        </w:rPr>
        <w:t>diagnosed on EUS and subsequent biopsy (</w:t>
      </w:r>
      <w:r w:rsidRPr="006F3B88">
        <w:rPr>
          <w:rFonts w:ascii="Book Antiqua" w:hAnsi="Book Antiqua"/>
          <w:bCs/>
          <w:i/>
          <w:iCs/>
          <w:color w:val="000000" w:themeColor="text1"/>
        </w:rPr>
        <w:t>n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3), the AUC was 0.79</w:t>
      </w:r>
      <w:r w:rsidR="00E74E45" w:rsidRPr="006F3B88">
        <w:rPr>
          <w:rFonts w:ascii="Book Antiqua" w:hAnsi="Book Antiqua"/>
          <w:bCs/>
          <w:color w:val="000000" w:themeColor="text1"/>
        </w:rPr>
        <w:t>3</w:t>
      </w:r>
      <w:r w:rsidRPr="006F3B88">
        <w:rPr>
          <w:rFonts w:ascii="Book Antiqua" w:hAnsi="Book Antiqua"/>
          <w:bCs/>
          <w:color w:val="000000" w:themeColor="text1"/>
        </w:rPr>
        <w:t>, however this was not statistically significant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>P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0.081) (Figure </w:t>
      </w:r>
      <w:r w:rsidR="003527EB" w:rsidRPr="006F3B88">
        <w:rPr>
          <w:rFonts w:ascii="Book Antiqua" w:hAnsi="Book Antiqua"/>
          <w:bCs/>
          <w:color w:val="000000" w:themeColor="text1"/>
        </w:rPr>
        <w:t>3</w:t>
      </w:r>
      <w:r w:rsidRPr="006F3B88">
        <w:rPr>
          <w:rFonts w:ascii="Book Antiqua" w:hAnsi="Book Antiqua"/>
          <w:bCs/>
          <w:color w:val="000000" w:themeColor="text1"/>
        </w:rPr>
        <w:t>).</w:t>
      </w:r>
    </w:p>
    <w:p w:rsidR="00231D01" w:rsidRPr="006F3B88" w:rsidRDefault="00231D01" w:rsidP="006F3B88">
      <w:pPr>
        <w:snapToGrid w:val="0"/>
        <w:spacing w:line="360" w:lineRule="auto"/>
        <w:ind w:right="-52"/>
        <w:jc w:val="both"/>
        <w:rPr>
          <w:rFonts w:ascii="Book Antiqua" w:hAnsi="Book Antiqua"/>
          <w:bCs/>
          <w:color w:val="000000" w:themeColor="text1"/>
        </w:rPr>
      </w:pPr>
    </w:p>
    <w:p w:rsidR="00F4674F" w:rsidRPr="006F3B88" w:rsidRDefault="00F4674F" w:rsidP="006F3B88">
      <w:pPr>
        <w:snapToGrid w:val="0"/>
        <w:spacing w:line="360" w:lineRule="auto"/>
        <w:ind w:right="-52"/>
        <w:jc w:val="both"/>
        <w:rPr>
          <w:rFonts w:ascii="Book Antiqua" w:hAnsi="Book Antiqua"/>
          <w:b/>
          <w:i/>
          <w:iCs/>
          <w:color w:val="000000" w:themeColor="text1"/>
        </w:rPr>
      </w:pPr>
      <w:r w:rsidRPr="006F3B88">
        <w:rPr>
          <w:rFonts w:ascii="Book Antiqua" w:hAnsi="Book Antiqua"/>
          <w:b/>
          <w:i/>
          <w:iCs/>
          <w:color w:val="000000" w:themeColor="text1"/>
        </w:rPr>
        <w:t>RO</w:t>
      </w:r>
      <w:r w:rsidR="00245ACC" w:rsidRPr="006F3B88">
        <w:rPr>
          <w:rFonts w:ascii="Book Antiqua" w:hAnsi="Book Antiqua"/>
          <w:b/>
          <w:i/>
          <w:iCs/>
          <w:color w:val="000000" w:themeColor="text1"/>
        </w:rPr>
        <w:t>C</w:t>
      </w:r>
      <w:r w:rsidRPr="006F3B88">
        <w:rPr>
          <w:rFonts w:ascii="Book Antiqua" w:hAnsi="Book Antiqua"/>
          <w:b/>
          <w:i/>
          <w:iCs/>
          <w:color w:val="000000" w:themeColor="text1"/>
        </w:rPr>
        <w:t xml:space="preserve"> curve for capacity of MIC-1/GDF-15 to identify </w:t>
      </w:r>
      <w:r w:rsidR="00172CD6" w:rsidRPr="006F3B88">
        <w:rPr>
          <w:rFonts w:ascii="Book Antiqua" w:hAnsi="Book Antiqua"/>
          <w:b/>
          <w:i/>
          <w:iCs/>
          <w:color w:val="000000" w:themeColor="text1"/>
        </w:rPr>
        <w:t>neoplastic tumours</w:t>
      </w:r>
      <w:r w:rsidRPr="006F3B88">
        <w:rPr>
          <w:rFonts w:ascii="Book Antiqua" w:hAnsi="Book Antiqua"/>
          <w:b/>
          <w:i/>
          <w:iCs/>
          <w:color w:val="000000" w:themeColor="text1"/>
        </w:rPr>
        <w:t xml:space="preserve"> on EUS and subsequent</w:t>
      </w:r>
      <w:r w:rsidR="00DB235B" w:rsidRPr="006F3B88">
        <w:rPr>
          <w:rFonts w:ascii="Book Antiqua" w:hAnsi="Book Antiqua"/>
          <w:b/>
          <w:i/>
          <w:iCs/>
          <w:color w:val="000000" w:themeColor="text1"/>
        </w:rPr>
        <w:t xml:space="preserve"> imaging</w:t>
      </w:r>
      <w:r w:rsidRPr="006F3B88">
        <w:rPr>
          <w:rFonts w:ascii="Book Antiqua" w:hAnsi="Book Antiqua"/>
          <w:b/>
          <w:i/>
          <w:iCs/>
          <w:color w:val="000000" w:themeColor="text1"/>
        </w:rPr>
        <w:t xml:space="preserve"> MRI</w:t>
      </w:r>
      <w:r w:rsidR="00DB235B" w:rsidRPr="006F3B88">
        <w:rPr>
          <w:rFonts w:ascii="Book Antiqua" w:hAnsi="Book Antiqua"/>
          <w:b/>
          <w:i/>
          <w:iCs/>
          <w:color w:val="000000" w:themeColor="text1"/>
        </w:rPr>
        <w:t>/CT</w:t>
      </w:r>
    </w:p>
    <w:p w:rsidR="00735B72" w:rsidRPr="006F3B88" w:rsidRDefault="00BC4FCC" w:rsidP="006F3B88">
      <w:pPr>
        <w:snapToGrid w:val="0"/>
        <w:spacing w:line="360" w:lineRule="auto"/>
        <w:ind w:right="-52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Baseline MIC-1/GDF15 was a </w:t>
      </w:r>
      <w:r w:rsidR="00630228" w:rsidRPr="006F3B88">
        <w:rPr>
          <w:rFonts w:ascii="Book Antiqua" w:hAnsi="Book Antiqua"/>
          <w:bCs/>
          <w:color w:val="000000" w:themeColor="text1"/>
        </w:rPr>
        <w:t>significant</w:t>
      </w:r>
      <w:r w:rsidRPr="006F3B88">
        <w:rPr>
          <w:rFonts w:ascii="Book Antiqua" w:hAnsi="Book Antiqua"/>
          <w:bCs/>
          <w:color w:val="000000" w:themeColor="text1"/>
        </w:rPr>
        <w:t xml:space="preserve"> predictor </w:t>
      </w:r>
      <w:r w:rsidR="00EE6D73" w:rsidRPr="006F3B88">
        <w:rPr>
          <w:rFonts w:ascii="Book Antiqua" w:hAnsi="Book Antiqua"/>
          <w:bCs/>
          <w:color w:val="000000" w:themeColor="text1"/>
        </w:rPr>
        <w:t>of neoplastic</w:t>
      </w:r>
      <w:r w:rsidR="00172CD6" w:rsidRPr="006F3B88">
        <w:rPr>
          <w:rFonts w:ascii="Book Antiqua" w:hAnsi="Book Antiqua"/>
          <w:bCs/>
          <w:color w:val="000000" w:themeColor="text1"/>
        </w:rPr>
        <w:t xml:space="preserve"> tumours</w:t>
      </w:r>
      <w:r w:rsidRPr="006F3B88">
        <w:rPr>
          <w:rFonts w:ascii="Book Antiqua" w:hAnsi="Book Antiqua"/>
          <w:bCs/>
          <w:color w:val="000000" w:themeColor="text1"/>
        </w:rPr>
        <w:t xml:space="preserve"> diagnosed on EUS and MRI</w:t>
      </w:r>
      <w:r w:rsidR="00DB235B" w:rsidRPr="006F3B88">
        <w:rPr>
          <w:rFonts w:ascii="Book Antiqua" w:hAnsi="Book Antiqua"/>
          <w:bCs/>
          <w:color w:val="000000" w:themeColor="text1"/>
        </w:rPr>
        <w:t>/CT</w:t>
      </w:r>
      <w:r w:rsidRPr="006F3B88">
        <w:rPr>
          <w:rFonts w:ascii="Book Antiqua" w:hAnsi="Book Antiqua"/>
          <w:bCs/>
          <w:color w:val="000000" w:themeColor="text1"/>
        </w:rPr>
        <w:t xml:space="preserve"> (</w:t>
      </w:r>
      <w:r w:rsidR="002F67F1" w:rsidRPr="006F3B88">
        <w:rPr>
          <w:rFonts w:ascii="Book Antiqua" w:hAnsi="Book Antiqua"/>
          <w:bCs/>
          <w:i/>
          <w:iCs/>
          <w:color w:val="000000" w:themeColor="text1"/>
        </w:rPr>
        <w:t>n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5</w:t>
      </w:r>
      <w:r w:rsidR="00EE6D73" w:rsidRPr="006F3B88">
        <w:rPr>
          <w:rFonts w:ascii="Book Antiqua" w:hAnsi="Book Antiqua"/>
          <w:bCs/>
          <w:color w:val="000000" w:themeColor="text1"/>
        </w:rPr>
        <w:t>) with an</w:t>
      </w:r>
      <w:r w:rsidR="002F67F1" w:rsidRPr="006F3B88">
        <w:rPr>
          <w:rFonts w:ascii="Book Antiqua" w:hAnsi="Book Antiqua"/>
          <w:bCs/>
          <w:color w:val="000000" w:themeColor="text1"/>
        </w:rPr>
        <w:t xml:space="preserve"> AUC=0.814 (95%CI</w:t>
      </w:r>
      <w:r w:rsidR="00245ACC" w:rsidRPr="006F3B88">
        <w:rPr>
          <w:rFonts w:ascii="Book Antiqua" w:hAnsi="Book Antiqua"/>
          <w:bCs/>
          <w:color w:val="000000" w:themeColor="text1"/>
        </w:rPr>
        <w:t>:</w:t>
      </w:r>
      <w:r w:rsidR="002F67F1" w:rsidRPr="006F3B88">
        <w:rPr>
          <w:rFonts w:ascii="Book Antiqua" w:hAnsi="Book Antiqua"/>
          <w:bCs/>
          <w:color w:val="000000" w:themeColor="text1"/>
        </w:rPr>
        <w:t xml:space="preserve"> 0.657-0.970, 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="002F67F1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2F67F1" w:rsidRPr="006F3B88">
        <w:rPr>
          <w:rFonts w:ascii="Book Antiqua" w:hAnsi="Book Antiqua"/>
          <w:bCs/>
          <w:color w:val="000000" w:themeColor="text1"/>
        </w:rPr>
        <w:t>0.023) (Figure 4)</w:t>
      </w:r>
      <w:r w:rsidRPr="006F3B88">
        <w:rPr>
          <w:rFonts w:ascii="Book Antiqua" w:hAnsi="Book Antiqua"/>
          <w:bCs/>
          <w:color w:val="000000" w:themeColor="text1"/>
        </w:rPr>
        <w:t xml:space="preserve">. </w:t>
      </w:r>
      <w:r w:rsidR="009B4684" w:rsidRPr="006F3B88">
        <w:rPr>
          <w:rFonts w:ascii="Book Antiqua" w:hAnsi="Book Antiqua"/>
          <w:bCs/>
          <w:color w:val="000000" w:themeColor="text1"/>
        </w:rPr>
        <w:t>In this asymptomatic cohort t</w:t>
      </w:r>
      <w:r w:rsidRPr="006F3B88">
        <w:rPr>
          <w:rFonts w:ascii="Book Antiqua" w:hAnsi="Book Antiqua"/>
          <w:bCs/>
          <w:color w:val="000000" w:themeColor="text1"/>
        </w:rPr>
        <w:t xml:space="preserve">hree </w:t>
      </w:r>
      <w:r w:rsidR="00172CD6" w:rsidRPr="006F3B88">
        <w:rPr>
          <w:rFonts w:ascii="Book Antiqua" w:hAnsi="Book Antiqua"/>
          <w:bCs/>
          <w:color w:val="000000" w:themeColor="text1"/>
        </w:rPr>
        <w:t>neoplastic tumours</w:t>
      </w:r>
      <w:r w:rsidRPr="006F3B88">
        <w:rPr>
          <w:rFonts w:ascii="Book Antiqua" w:hAnsi="Book Antiqua"/>
          <w:bCs/>
          <w:color w:val="000000" w:themeColor="text1"/>
        </w:rPr>
        <w:t xml:space="preserve"> were diagnosed on EUS</w:t>
      </w:r>
      <w:r w:rsidR="009B4684" w:rsidRPr="006F3B88">
        <w:rPr>
          <w:rFonts w:ascii="Book Antiqua" w:hAnsi="Book Antiqua"/>
          <w:bCs/>
          <w:color w:val="000000" w:themeColor="text1"/>
        </w:rPr>
        <w:t xml:space="preserve"> and</w:t>
      </w:r>
      <w:r w:rsidRPr="006F3B88">
        <w:rPr>
          <w:rFonts w:ascii="Book Antiqua" w:hAnsi="Book Antiqua"/>
          <w:bCs/>
          <w:color w:val="000000" w:themeColor="text1"/>
        </w:rPr>
        <w:t xml:space="preserve"> two </w:t>
      </w:r>
      <w:r w:rsidR="009B4684" w:rsidRPr="006F3B88">
        <w:rPr>
          <w:rFonts w:ascii="Book Antiqua" w:hAnsi="Book Antiqua"/>
          <w:bCs/>
          <w:color w:val="000000" w:themeColor="text1"/>
        </w:rPr>
        <w:t xml:space="preserve">other </w:t>
      </w:r>
      <w:r w:rsidR="00172CD6" w:rsidRPr="006F3B88">
        <w:rPr>
          <w:rFonts w:ascii="Book Antiqua" w:hAnsi="Book Antiqua"/>
          <w:bCs/>
          <w:color w:val="000000" w:themeColor="text1"/>
        </w:rPr>
        <w:t xml:space="preserve">malignancies </w:t>
      </w:r>
      <w:r w:rsidR="009B4684" w:rsidRPr="006F3B88">
        <w:rPr>
          <w:rFonts w:ascii="Book Antiqua" w:hAnsi="Book Antiqua"/>
          <w:bCs/>
          <w:color w:val="000000" w:themeColor="text1"/>
        </w:rPr>
        <w:t xml:space="preserve">were diagnosed on further imaging performed to monitor the pancreas (one </w:t>
      </w:r>
      <w:r w:rsidRPr="006F3B88">
        <w:rPr>
          <w:rFonts w:ascii="Book Antiqua" w:hAnsi="Book Antiqua"/>
          <w:bCs/>
          <w:color w:val="000000" w:themeColor="text1"/>
        </w:rPr>
        <w:t>breast cancer on MRI</w:t>
      </w:r>
      <w:r w:rsidR="00DB235B" w:rsidRPr="006F3B88">
        <w:rPr>
          <w:rFonts w:ascii="Book Antiqua" w:hAnsi="Book Antiqua"/>
          <w:bCs/>
          <w:color w:val="000000" w:themeColor="text1"/>
        </w:rPr>
        <w:t xml:space="preserve"> pancreas and</w:t>
      </w:r>
      <w:r w:rsidR="009B4684" w:rsidRPr="006F3B88">
        <w:rPr>
          <w:rFonts w:ascii="Book Antiqua" w:hAnsi="Book Antiqua"/>
          <w:bCs/>
          <w:color w:val="000000" w:themeColor="text1"/>
        </w:rPr>
        <w:t xml:space="preserve"> one</w:t>
      </w:r>
      <w:r w:rsidR="00DB235B" w:rsidRPr="006F3B88">
        <w:rPr>
          <w:rFonts w:ascii="Book Antiqua" w:hAnsi="Book Antiqua"/>
          <w:bCs/>
          <w:color w:val="000000" w:themeColor="text1"/>
        </w:rPr>
        <w:t xml:space="preserve"> bladder cancer on CT abdomen</w:t>
      </w:r>
      <w:r w:rsidR="009B4684" w:rsidRPr="006F3B88">
        <w:rPr>
          <w:rFonts w:ascii="Book Antiqua" w:hAnsi="Book Antiqua"/>
          <w:bCs/>
          <w:color w:val="000000" w:themeColor="text1"/>
        </w:rPr>
        <w:t>)</w:t>
      </w:r>
      <w:r w:rsidRPr="006F3B88">
        <w:rPr>
          <w:rFonts w:ascii="Book Antiqua" w:hAnsi="Book Antiqua"/>
          <w:bCs/>
          <w:color w:val="000000" w:themeColor="text1"/>
        </w:rPr>
        <w:t>.</w:t>
      </w:r>
      <w:r w:rsidR="002F67F1" w:rsidRPr="006F3B88">
        <w:rPr>
          <w:rFonts w:ascii="Book Antiqua" w:hAnsi="Book Antiqua"/>
          <w:bCs/>
          <w:color w:val="000000" w:themeColor="text1"/>
        </w:rPr>
        <w:t xml:space="preserve"> </w:t>
      </w:r>
      <w:r w:rsidR="009A4975" w:rsidRPr="006F3B88">
        <w:rPr>
          <w:rFonts w:ascii="Book Antiqua" w:hAnsi="Book Antiqua"/>
          <w:bCs/>
          <w:color w:val="000000" w:themeColor="text1"/>
        </w:rPr>
        <w:t>In addition to this, median baseline serum MIC-1/GDF15</w:t>
      </w:r>
      <w:r w:rsidR="0020458A" w:rsidRPr="006F3B88">
        <w:rPr>
          <w:rFonts w:ascii="Book Antiqua" w:hAnsi="Book Antiqua"/>
          <w:bCs/>
          <w:color w:val="000000" w:themeColor="text1"/>
        </w:rPr>
        <w:t xml:space="preserve"> in asymptomatic patients found to have </w:t>
      </w:r>
      <w:r w:rsidR="00172CD6" w:rsidRPr="006F3B88">
        <w:rPr>
          <w:rFonts w:ascii="Book Antiqua" w:hAnsi="Book Antiqua"/>
          <w:bCs/>
          <w:color w:val="000000" w:themeColor="text1"/>
        </w:rPr>
        <w:t xml:space="preserve">neoplastic tumours </w:t>
      </w:r>
      <w:r w:rsidR="009A4975" w:rsidRPr="006F3B88">
        <w:rPr>
          <w:rFonts w:ascii="Book Antiqua" w:hAnsi="Book Antiqua"/>
          <w:bCs/>
          <w:color w:val="000000" w:themeColor="text1"/>
        </w:rPr>
        <w:t>(Median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9A4975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9A4975" w:rsidRPr="006F3B88">
        <w:rPr>
          <w:rFonts w:ascii="Book Antiqua" w:hAnsi="Book Antiqua"/>
          <w:bCs/>
          <w:color w:val="000000" w:themeColor="text1"/>
        </w:rPr>
        <w:t>1039.6, IQR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9A4975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9A4975" w:rsidRPr="006F3B88">
        <w:rPr>
          <w:rFonts w:ascii="Book Antiqua" w:hAnsi="Book Antiqua"/>
          <w:bCs/>
          <w:color w:val="000000" w:themeColor="text1"/>
        </w:rPr>
        <w:t>727.0-1977.7) was significantly greater than benign lesions (Median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9A4975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9A4975" w:rsidRPr="006F3B88">
        <w:rPr>
          <w:rFonts w:ascii="Book Antiqua" w:hAnsi="Book Antiqua"/>
          <w:bCs/>
          <w:color w:val="000000" w:themeColor="text1"/>
        </w:rPr>
        <w:t>570.1, IQR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9A4975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9A4975" w:rsidRPr="006F3B88">
        <w:rPr>
          <w:rFonts w:ascii="Book Antiqua" w:hAnsi="Book Antiqua"/>
          <w:bCs/>
          <w:color w:val="000000" w:themeColor="text1"/>
        </w:rPr>
        <w:t>460.7-865.2)</w:t>
      </w:r>
      <w:r w:rsidR="00153A9C" w:rsidRPr="006F3B88">
        <w:rPr>
          <w:rFonts w:ascii="Book Antiqua" w:hAnsi="Book Antiqua"/>
          <w:bCs/>
          <w:color w:val="000000" w:themeColor="text1"/>
        </w:rPr>
        <w:t xml:space="preserve"> (</w:t>
      </w:r>
      <w:r w:rsidR="00245ACC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="00153A9C" w:rsidRPr="006F3B88">
        <w:rPr>
          <w:rFonts w:ascii="Book Antiqua" w:hAnsi="Book Antiqua"/>
          <w:bCs/>
          <w:color w:val="000000" w:themeColor="text1"/>
        </w:rPr>
        <w:t>=</w:t>
      </w:r>
      <w:r w:rsidR="00245ACC" w:rsidRPr="006F3B88">
        <w:rPr>
          <w:rFonts w:ascii="Book Antiqua" w:hAnsi="Book Antiqua"/>
          <w:bCs/>
          <w:color w:val="000000" w:themeColor="text1"/>
        </w:rPr>
        <w:t xml:space="preserve"> </w:t>
      </w:r>
      <w:r w:rsidR="00153A9C" w:rsidRPr="006F3B88">
        <w:rPr>
          <w:rFonts w:ascii="Book Antiqua" w:hAnsi="Book Antiqua"/>
          <w:bCs/>
          <w:color w:val="000000" w:themeColor="text1"/>
        </w:rPr>
        <w:t>0.012) as demonstrated in Figure 5.</w:t>
      </w:r>
      <w:r w:rsidR="00DD12B7" w:rsidRPr="006F3B88">
        <w:rPr>
          <w:rFonts w:ascii="Book Antiqua" w:hAnsi="Book Antiqua"/>
          <w:b/>
          <w:color w:val="000000" w:themeColor="text1"/>
        </w:rPr>
        <w:t xml:space="preserve"> </w:t>
      </w:r>
    </w:p>
    <w:p w:rsidR="00735B72" w:rsidRPr="006F3B88" w:rsidRDefault="00735B72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u w:val="single"/>
        </w:rPr>
      </w:pPr>
      <w:r w:rsidRPr="006F3B88">
        <w:rPr>
          <w:rFonts w:ascii="Book Antiqua" w:hAnsi="Book Antiqua" w:cs="Arial"/>
          <w:b/>
          <w:color w:val="000000" w:themeColor="text1"/>
          <w:u w:val="single"/>
        </w:rPr>
        <w:t>DISCUSSION</w:t>
      </w:r>
    </w:p>
    <w:p w:rsidR="00944274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PC</w:t>
      </w:r>
      <w:r w:rsidR="00FC75C0" w:rsidRPr="006F3B88">
        <w:rPr>
          <w:rFonts w:ascii="Book Antiqua" w:hAnsi="Book Antiqua"/>
          <w:color w:val="000000" w:themeColor="text1"/>
        </w:rPr>
        <w:t xml:space="preserve"> </w:t>
      </w:r>
      <w:r w:rsidR="00AE0753" w:rsidRPr="006F3B88">
        <w:rPr>
          <w:rFonts w:ascii="Book Antiqua" w:hAnsi="Book Antiqua"/>
          <w:color w:val="000000" w:themeColor="text1"/>
        </w:rPr>
        <w:t>is</w:t>
      </w:r>
      <w:r w:rsidR="007B19E9" w:rsidRPr="006F3B88">
        <w:rPr>
          <w:rFonts w:ascii="Book Antiqua" w:hAnsi="Book Antiqua"/>
          <w:color w:val="000000" w:themeColor="text1"/>
        </w:rPr>
        <w:t xml:space="preserve"> </w:t>
      </w:r>
      <w:r w:rsidR="00AE0753" w:rsidRPr="006F3B88">
        <w:rPr>
          <w:rFonts w:ascii="Book Antiqua" w:hAnsi="Book Antiqua"/>
          <w:color w:val="000000" w:themeColor="text1"/>
        </w:rPr>
        <w:t xml:space="preserve">a leading cause of cancer mortality worldwide, </w:t>
      </w:r>
      <w:r w:rsidR="00EE6D73" w:rsidRPr="006F3B88">
        <w:rPr>
          <w:rFonts w:ascii="Book Antiqua" w:hAnsi="Book Antiqua"/>
          <w:color w:val="000000" w:themeColor="text1"/>
        </w:rPr>
        <w:t>with a</w:t>
      </w:r>
      <w:r w:rsidR="00AE0753" w:rsidRPr="006F3B88">
        <w:rPr>
          <w:rFonts w:ascii="Book Antiqua" w:hAnsi="Book Antiqua"/>
          <w:color w:val="000000" w:themeColor="text1"/>
        </w:rPr>
        <w:t xml:space="preserve"> very poor survival rate due to late diagnosis</w:t>
      </w:r>
      <w:r w:rsidR="00800A32" w:rsidRPr="006F3B88">
        <w:rPr>
          <w:rFonts w:ascii="Book Antiqua" w:hAnsi="Book Antiqua"/>
          <w:color w:val="000000" w:themeColor="text1"/>
        </w:rPr>
        <w:t>, primarily due to symptoms presenting at advanced stages of the disease</w:t>
      </w:r>
      <w:r w:rsidR="00AE0753" w:rsidRPr="006F3B88">
        <w:rPr>
          <w:rFonts w:ascii="Book Antiqua" w:hAnsi="Book Antiqua"/>
          <w:color w:val="000000" w:themeColor="text1"/>
        </w:rPr>
        <w:t xml:space="preserve">. The prognosis correlates strongly with </w:t>
      </w:r>
      <w:r w:rsidR="008760B5" w:rsidRPr="006F3B88">
        <w:rPr>
          <w:rFonts w:ascii="Book Antiqua" w:hAnsi="Book Antiqua"/>
          <w:color w:val="000000" w:themeColor="text1"/>
        </w:rPr>
        <w:t>pathological</w:t>
      </w:r>
      <w:r w:rsidR="00AE0753" w:rsidRPr="006F3B88">
        <w:rPr>
          <w:rFonts w:ascii="Book Antiqua" w:hAnsi="Book Antiqua"/>
          <w:color w:val="000000" w:themeColor="text1"/>
        </w:rPr>
        <w:t xml:space="preserve"> stage at the time of diagnosis</w:t>
      </w:r>
      <w:r w:rsidR="008760B5" w:rsidRPr="006F3B88">
        <w:rPr>
          <w:rFonts w:ascii="Book Antiqua" w:hAnsi="Book Antiqua"/>
          <w:color w:val="000000" w:themeColor="text1"/>
        </w:rPr>
        <w:t>,</w:t>
      </w:r>
      <w:r w:rsidR="00AE0753" w:rsidRPr="006F3B88">
        <w:rPr>
          <w:rFonts w:ascii="Book Antiqua" w:hAnsi="Book Antiqua"/>
          <w:color w:val="000000" w:themeColor="text1"/>
        </w:rPr>
        <w:t xml:space="preserve"> </w:t>
      </w:r>
      <w:r w:rsidR="00BC48C9" w:rsidRPr="006F3B88">
        <w:rPr>
          <w:rFonts w:ascii="Book Antiqua" w:hAnsi="Book Antiqua"/>
          <w:color w:val="000000" w:themeColor="text1"/>
        </w:rPr>
        <w:t>and despite advances in medicine in the last forty years</w:t>
      </w:r>
      <w:r w:rsidR="002D21F3" w:rsidRPr="006F3B88">
        <w:rPr>
          <w:rFonts w:ascii="Book Antiqua" w:hAnsi="Book Antiqua"/>
          <w:color w:val="000000" w:themeColor="text1"/>
        </w:rPr>
        <w:t>,</w:t>
      </w:r>
      <w:r w:rsidR="008C5D85">
        <w:rPr>
          <w:rFonts w:ascii="Book Antiqua" w:hAnsi="Book Antiqua"/>
          <w:color w:val="000000" w:themeColor="text1"/>
        </w:rPr>
        <w:t xml:space="preserve"> the 5</w:t>
      </w:r>
      <w:r w:rsidR="00C20EC7" w:rsidRPr="006F3B88">
        <w:rPr>
          <w:rFonts w:ascii="Book Antiqua" w:hAnsi="Book Antiqua"/>
          <w:color w:val="000000" w:themeColor="text1"/>
        </w:rPr>
        <w:t>-</w:t>
      </w:r>
      <w:r w:rsidR="00BC48C9" w:rsidRPr="006F3B88">
        <w:rPr>
          <w:rFonts w:ascii="Book Antiqua" w:hAnsi="Book Antiqua"/>
          <w:color w:val="000000" w:themeColor="text1"/>
        </w:rPr>
        <w:t>year survival has increased only from 4% to 7</w:t>
      </w:r>
      <w:proofErr w:type="gramStart"/>
      <w:r w:rsidR="00BC48C9" w:rsidRPr="006F3B88">
        <w:rPr>
          <w:rFonts w:ascii="Book Antiqua" w:hAnsi="Book Antiqua"/>
          <w:color w:val="000000" w:themeColor="text1"/>
        </w:rPr>
        <w:t>%</w:t>
      </w:r>
      <w:r w:rsidR="00AE0753" w:rsidRPr="006F3B88">
        <w:rPr>
          <w:rFonts w:ascii="Book Antiqua" w:hAnsi="Book Antiqua"/>
          <w:noProof/>
          <w:color w:val="000000" w:themeColor="text1"/>
          <w:vertAlign w:val="superscript"/>
        </w:rPr>
        <w:t>[</w:t>
      </w:r>
      <w:proofErr w:type="gramEnd"/>
      <w:r w:rsidR="00EC000D" w:rsidRPr="006F3B88">
        <w:rPr>
          <w:rFonts w:ascii="Book Antiqua" w:hAnsi="Book Antiqua"/>
          <w:noProof/>
          <w:color w:val="000000" w:themeColor="text1"/>
          <w:vertAlign w:val="superscript"/>
        </w:rPr>
        <w:t>3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2</w:t>
      </w:r>
      <w:r w:rsidR="00AE0753" w:rsidRPr="006F3B88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AE0753" w:rsidRPr="006F3B88">
        <w:rPr>
          <w:rFonts w:ascii="Book Antiqua" w:hAnsi="Book Antiqua"/>
          <w:color w:val="000000" w:themeColor="text1"/>
        </w:rPr>
        <w:t xml:space="preserve">. </w:t>
      </w:r>
      <w:r w:rsidR="002D21F3" w:rsidRPr="006F3B88">
        <w:rPr>
          <w:rFonts w:ascii="Book Antiqua" w:hAnsi="Book Antiqua"/>
          <w:color w:val="000000" w:themeColor="text1"/>
        </w:rPr>
        <w:t>As a result</w:t>
      </w:r>
      <w:r w:rsidR="008760B5" w:rsidRPr="006F3B88">
        <w:rPr>
          <w:rFonts w:ascii="Book Antiqua" w:hAnsi="Book Antiqua"/>
          <w:color w:val="000000" w:themeColor="text1"/>
        </w:rPr>
        <w:t>,</w:t>
      </w:r>
      <w:r w:rsidR="002D21F3" w:rsidRPr="006F3B88">
        <w:rPr>
          <w:rFonts w:ascii="Book Antiqua" w:hAnsi="Book Antiqua"/>
          <w:color w:val="000000" w:themeColor="text1"/>
        </w:rPr>
        <w:t xml:space="preserve"> e</w:t>
      </w:r>
      <w:r w:rsidR="00AE0753" w:rsidRPr="006F3B88">
        <w:rPr>
          <w:rFonts w:ascii="Book Antiqua" w:hAnsi="Book Antiqua"/>
          <w:color w:val="000000" w:themeColor="text1"/>
        </w:rPr>
        <w:t xml:space="preserve">fforts are made in detecting </w:t>
      </w:r>
      <w:r w:rsidRPr="006F3B88">
        <w:rPr>
          <w:rFonts w:ascii="Book Antiqua" w:hAnsi="Book Antiqua"/>
          <w:color w:val="000000" w:themeColor="text1"/>
        </w:rPr>
        <w:t>PC</w:t>
      </w:r>
      <w:r w:rsidR="007B19E9" w:rsidRPr="006F3B88">
        <w:rPr>
          <w:rFonts w:ascii="Book Antiqua" w:hAnsi="Book Antiqua"/>
          <w:color w:val="000000" w:themeColor="text1"/>
        </w:rPr>
        <w:t xml:space="preserve"> </w:t>
      </w:r>
      <w:r w:rsidR="00AE0753" w:rsidRPr="006F3B88">
        <w:rPr>
          <w:rFonts w:ascii="Book Antiqua" w:hAnsi="Book Antiqua"/>
          <w:color w:val="000000" w:themeColor="text1"/>
        </w:rPr>
        <w:t xml:space="preserve">early at asymptomatic stage and multiple PC screening programs in </w:t>
      </w:r>
      <w:r w:rsidR="00AE0753" w:rsidRPr="006F3B88">
        <w:rPr>
          <w:rFonts w:ascii="Book Antiqua" w:hAnsi="Book Antiqua"/>
          <w:color w:val="000000" w:themeColor="text1"/>
        </w:rPr>
        <w:lastRenderedPageBreak/>
        <w:t xml:space="preserve">high risk individuals have been established around the world. </w:t>
      </w:r>
      <w:r w:rsidR="00244506" w:rsidRPr="006F3B88">
        <w:rPr>
          <w:rFonts w:ascii="Book Antiqua" w:hAnsi="Book Antiqua"/>
          <w:color w:val="000000" w:themeColor="text1"/>
        </w:rPr>
        <w:t>These screening programs target</w:t>
      </w:r>
      <w:r w:rsidR="00EE6D73" w:rsidRPr="006F3B88">
        <w:rPr>
          <w:rFonts w:ascii="Book Antiqua" w:hAnsi="Book Antiqua"/>
          <w:color w:val="000000" w:themeColor="text1"/>
        </w:rPr>
        <w:t xml:space="preserve"> </w:t>
      </w:r>
      <w:r w:rsidR="00244506" w:rsidRPr="006F3B88">
        <w:rPr>
          <w:rFonts w:ascii="Book Antiqua" w:hAnsi="Book Antiqua"/>
          <w:color w:val="000000" w:themeColor="text1"/>
        </w:rPr>
        <w:t xml:space="preserve">individuals with a genetic predisposition </w:t>
      </w:r>
      <w:r w:rsidR="00EE6D73" w:rsidRPr="006F3B88">
        <w:rPr>
          <w:rFonts w:ascii="Book Antiqua" w:hAnsi="Book Antiqua"/>
          <w:color w:val="000000" w:themeColor="text1"/>
        </w:rPr>
        <w:t xml:space="preserve">for developing PC </w:t>
      </w:r>
      <w:r w:rsidR="00244506" w:rsidRPr="006F3B88">
        <w:rPr>
          <w:rFonts w:ascii="Book Antiqua" w:hAnsi="Book Antiqua"/>
          <w:color w:val="000000" w:themeColor="text1"/>
        </w:rPr>
        <w:t>(</w:t>
      </w:r>
      <w:r w:rsidR="00967B1D" w:rsidRPr="006F3B88">
        <w:rPr>
          <w:rFonts w:ascii="Book Antiqua" w:hAnsi="Book Antiqua"/>
          <w:color w:val="000000" w:themeColor="text1"/>
        </w:rPr>
        <w:t xml:space="preserve">people with </w:t>
      </w:r>
      <w:r w:rsidR="00244506" w:rsidRPr="006F3B88">
        <w:rPr>
          <w:rFonts w:ascii="Book Antiqua" w:hAnsi="Book Antiqua"/>
          <w:color w:val="000000" w:themeColor="text1"/>
        </w:rPr>
        <w:t>hereditary cancer syndromes</w:t>
      </w:r>
      <w:r w:rsidR="00967B1D" w:rsidRPr="006F3B88">
        <w:rPr>
          <w:rFonts w:ascii="Book Antiqua" w:hAnsi="Book Antiqua"/>
          <w:color w:val="000000" w:themeColor="text1"/>
        </w:rPr>
        <w:t xml:space="preserve"> due</w:t>
      </w:r>
      <w:r w:rsidR="007B19E9" w:rsidRPr="006F3B88">
        <w:rPr>
          <w:rFonts w:ascii="Book Antiqua" w:hAnsi="Book Antiqua"/>
          <w:color w:val="000000" w:themeColor="text1"/>
        </w:rPr>
        <w:t xml:space="preserve"> to</w:t>
      </w:r>
      <w:r w:rsidR="00967B1D" w:rsidRPr="006F3B88">
        <w:rPr>
          <w:rFonts w:ascii="Book Antiqua" w:hAnsi="Book Antiqua"/>
          <w:color w:val="000000" w:themeColor="text1"/>
        </w:rPr>
        <w:t xml:space="preserve"> known mutations</w:t>
      </w:r>
      <w:r w:rsidR="00244506" w:rsidRPr="006F3B88">
        <w:rPr>
          <w:rFonts w:ascii="Book Antiqua" w:hAnsi="Book Antiqua"/>
          <w:color w:val="000000" w:themeColor="text1"/>
        </w:rPr>
        <w:t xml:space="preserve"> and familial </w:t>
      </w:r>
      <w:r w:rsidR="00EE6D73" w:rsidRPr="006F3B88">
        <w:rPr>
          <w:rFonts w:ascii="Book Antiqua" w:hAnsi="Book Antiqua"/>
          <w:color w:val="000000" w:themeColor="text1"/>
        </w:rPr>
        <w:t>PC</w:t>
      </w:r>
      <w:r w:rsidR="00244506" w:rsidRPr="006F3B88">
        <w:rPr>
          <w:rFonts w:ascii="Book Antiqua" w:hAnsi="Book Antiqua"/>
          <w:color w:val="000000" w:themeColor="text1"/>
        </w:rPr>
        <w:t>).</w:t>
      </w:r>
      <w:r w:rsidR="00EE6D73" w:rsidRPr="006F3B88">
        <w:rPr>
          <w:rFonts w:ascii="Book Antiqua" w:hAnsi="Book Antiqua"/>
          <w:color w:val="000000" w:themeColor="text1"/>
        </w:rPr>
        <w:t xml:space="preserve"> </w:t>
      </w:r>
      <w:r w:rsidR="00AE0753" w:rsidRPr="006F3B88">
        <w:rPr>
          <w:rFonts w:ascii="Book Antiqua" w:hAnsi="Book Antiqua"/>
          <w:color w:val="000000" w:themeColor="text1"/>
        </w:rPr>
        <w:t xml:space="preserve">Current screening modalities rely on </w:t>
      </w:r>
      <w:r w:rsidR="00924469" w:rsidRPr="006F3B88">
        <w:rPr>
          <w:rFonts w:ascii="Book Antiqua" w:hAnsi="Book Antiqua"/>
          <w:color w:val="000000" w:themeColor="text1"/>
        </w:rPr>
        <w:t xml:space="preserve">pancreatic </w:t>
      </w:r>
      <w:r w:rsidR="00AE0753" w:rsidRPr="006F3B88">
        <w:rPr>
          <w:rFonts w:ascii="Book Antiqua" w:hAnsi="Book Antiqua"/>
          <w:color w:val="000000" w:themeColor="text1"/>
        </w:rPr>
        <w:t xml:space="preserve">imaging </w:t>
      </w:r>
      <w:r w:rsidR="00B27A95" w:rsidRPr="006F3B88">
        <w:rPr>
          <w:rFonts w:ascii="Book Antiqua" w:hAnsi="Book Antiqua"/>
          <w:color w:val="000000" w:themeColor="text1"/>
        </w:rPr>
        <w:t>(</w:t>
      </w:r>
      <w:r w:rsidR="00AE0753" w:rsidRPr="006F3B88">
        <w:rPr>
          <w:rFonts w:ascii="Book Antiqua" w:hAnsi="Book Antiqua"/>
          <w:color w:val="000000" w:themeColor="text1"/>
        </w:rPr>
        <w:t>EUS and MRI</w:t>
      </w:r>
      <w:r w:rsidR="00B27A95" w:rsidRPr="006F3B88">
        <w:rPr>
          <w:rFonts w:ascii="Book Antiqua" w:hAnsi="Book Antiqua"/>
          <w:color w:val="000000" w:themeColor="text1"/>
        </w:rPr>
        <w:t>)</w:t>
      </w:r>
      <w:r w:rsidR="00AE0753" w:rsidRPr="006F3B88">
        <w:rPr>
          <w:rFonts w:ascii="Book Antiqua" w:hAnsi="Book Antiqua"/>
          <w:color w:val="000000" w:themeColor="text1"/>
        </w:rPr>
        <w:t xml:space="preserve"> and biomarkers are at research level</w:t>
      </w:r>
      <w:r w:rsidR="001634C4" w:rsidRPr="006F3B88">
        <w:rPr>
          <w:rFonts w:ascii="Book Antiqua" w:hAnsi="Book Antiqua"/>
          <w:color w:val="000000" w:themeColor="text1"/>
        </w:rPr>
        <w:t xml:space="preserve">. </w:t>
      </w:r>
      <w:r w:rsidR="00B27A95" w:rsidRPr="006F3B88">
        <w:rPr>
          <w:rFonts w:ascii="Book Antiqua" w:hAnsi="Book Antiqua"/>
          <w:color w:val="000000" w:themeColor="text1"/>
        </w:rPr>
        <w:t>Ideally</w:t>
      </w:r>
      <w:r w:rsidR="00383966" w:rsidRPr="006F3B88">
        <w:rPr>
          <w:rFonts w:ascii="Book Antiqua" w:hAnsi="Book Antiqua"/>
          <w:color w:val="000000" w:themeColor="text1"/>
        </w:rPr>
        <w:t>,</w:t>
      </w:r>
      <w:r w:rsidR="00B27A95" w:rsidRPr="006F3B88">
        <w:rPr>
          <w:rFonts w:ascii="Book Antiqua" w:hAnsi="Book Antiqua"/>
          <w:color w:val="000000" w:themeColor="text1"/>
        </w:rPr>
        <w:t xml:space="preserve"> we need an early sensitive and specific serological marker that can be used as a first line screening tool in a high-risk population and help select cases that need further investigation</w:t>
      </w:r>
      <w:r w:rsidR="00D130BF" w:rsidRPr="006F3B88">
        <w:rPr>
          <w:rFonts w:ascii="Book Antiqua" w:hAnsi="Book Antiqua"/>
          <w:color w:val="000000" w:themeColor="text1"/>
        </w:rPr>
        <w:t>s</w:t>
      </w:r>
      <w:r w:rsidR="00B27A95" w:rsidRPr="006F3B88">
        <w:rPr>
          <w:rFonts w:ascii="Book Antiqua" w:hAnsi="Book Antiqua"/>
          <w:color w:val="000000" w:themeColor="text1"/>
        </w:rPr>
        <w:t xml:space="preserve">, such as EUS or MRI. </w:t>
      </w:r>
      <w:r w:rsidR="001A40A9" w:rsidRPr="006F3B88">
        <w:rPr>
          <w:rFonts w:ascii="Book Antiqua" w:hAnsi="Book Antiqua" w:cstheme="minorHAnsi"/>
          <w:color w:val="000000" w:themeColor="text1"/>
        </w:rPr>
        <w:t>CA19-9 is not sensitive enough to be a marker for early detection of PC</w:t>
      </w:r>
      <w:r w:rsidR="00721219" w:rsidRPr="006F3B88">
        <w:rPr>
          <w:rFonts w:ascii="Book Antiqua" w:hAnsi="Book Antiqua" w:cstheme="minorHAnsi"/>
          <w:color w:val="000000" w:themeColor="text1"/>
        </w:rPr>
        <w:t>,</w:t>
      </w:r>
      <w:r w:rsidR="001A40A9" w:rsidRPr="006F3B88">
        <w:rPr>
          <w:rFonts w:ascii="Book Antiqua" w:hAnsi="Book Antiqua" w:cstheme="minorHAnsi"/>
          <w:color w:val="000000" w:themeColor="text1"/>
        </w:rPr>
        <w:t xml:space="preserve"> </w:t>
      </w:r>
      <w:r w:rsidR="00D130BF" w:rsidRPr="006F3B88">
        <w:rPr>
          <w:rFonts w:ascii="Book Antiqua" w:hAnsi="Book Antiqua" w:cstheme="minorHAnsi"/>
          <w:color w:val="000000" w:themeColor="text1"/>
        </w:rPr>
        <w:t xml:space="preserve">has a </w:t>
      </w:r>
      <w:r w:rsidR="001A40A9" w:rsidRPr="006F3B88">
        <w:rPr>
          <w:rFonts w:ascii="Book Antiqua" w:hAnsi="Book Antiqua" w:cstheme="minorHAnsi"/>
          <w:color w:val="000000" w:themeColor="text1"/>
        </w:rPr>
        <w:t xml:space="preserve">specificity of 77%, </w:t>
      </w:r>
      <w:r w:rsidR="00E83B79" w:rsidRPr="006F3B88">
        <w:rPr>
          <w:rFonts w:ascii="Book Antiqua" w:hAnsi="Book Antiqua" w:cstheme="minorHAnsi"/>
          <w:color w:val="000000" w:themeColor="text1"/>
        </w:rPr>
        <w:t>sensitivity 75</w:t>
      </w:r>
      <w:r w:rsidR="00E95609" w:rsidRPr="006F3B88">
        <w:rPr>
          <w:rFonts w:ascii="Book Antiqua" w:hAnsi="Book Antiqua" w:cstheme="minorHAnsi"/>
          <w:color w:val="000000" w:themeColor="text1"/>
        </w:rPr>
        <w:t>%</w:t>
      </w:r>
      <w:r w:rsidR="008760B5" w:rsidRPr="006F3B88">
        <w:rPr>
          <w:rFonts w:ascii="Book Antiqua" w:hAnsi="Book Antiqua" w:cstheme="minorHAnsi"/>
          <w:color w:val="000000" w:themeColor="text1"/>
        </w:rPr>
        <w:t>,</w:t>
      </w:r>
      <w:r w:rsidR="001A40A9" w:rsidRPr="006F3B88">
        <w:rPr>
          <w:rFonts w:ascii="Book Antiqua" w:hAnsi="Book Antiqua" w:cstheme="minorHAnsi"/>
          <w:color w:val="000000" w:themeColor="text1"/>
        </w:rPr>
        <w:t xml:space="preserve"> </w:t>
      </w:r>
      <w:r w:rsidR="00721219" w:rsidRPr="006F3B88">
        <w:rPr>
          <w:rFonts w:ascii="Book Antiqua" w:hAnsi="Book Antiqua" w:cstheme="minorHAnsi"/>
          <w:color w:val="000000" w:themeColor="text1"/>
        </w:rPr>
        <w:t>a</w:t>
      </w:r>
      <w:r w:rsidR="001A40A9" w:rsidRPr="006F3B88">
        <w:rPr>
          <w:rFonts w:ascii="Book Antiqua" w:hAnsi="Book Antiqua" w:cstheme="minorHAnsi"/>
          <w:color w:val="000000" w:themeColor="text1"/>
        </w:rPr>
        <w:t xml:space="preserve"> </w:t>
      </w:r>
      <w:r w:rsidR="006F3B88" w:rsidRPr="006F3B88">
        <w:rPr>
          <w:rFonts w:ascii="Book Antiqua" w:hAnsi="Book Antiqua"/>
          <w:color w:val="000000" w:themeColor="text1"/>
        </w:rPr>
        <w:t>positive predictive value</w:t>
      </w:r>
      <w:r w:rsidR="006F3B88" w:rsidRPr="006F3B88">
        <w:rPr>
          <w:rFonts w:ascii="Book Antiqua" w:hAnsi="Book Antiqua" w:cstheme="minorHAnsi"/>
          <w:color w:val="000000" w:themeColor="text1"/>
        </w:rPr>
        <w:t xml:space="preserve"> </w:t>
      </w:r>
      <w:r w:rsidR="001A40A9" w:rsidRPr="006F3B88">
        <w:rPr>
          <w:rFonts w:ascii="Book Antiqua" w:hAnsi="Book Antiqua" w:cstheme="minorHAnsi"/>
          <w:color w:val="000000" w:themeColor="text1"/>
        </w:rPr>
        <w:t>of 0.5</w:t>
      </w:r>
      <w:r w:rsidR="00F0573C" w:rsidRPr="006F3B88">
        <w:rPr>
          <w:rFonts w:ascii="Book Antiqua" w:hAnsi="Book Antiqua" w:cstheme="minorHAnsi"/>
          <w:color w:val="000000" w:themeColor="text1"/>
        </w:rPr>
        <w:t>%</w:t>
      </w:r>
      <w:r w:rsidR="001A40A9" w:rsidRPr="006F3B88">
        <w:rPr>
          <w:rFonts w:ascii="Book Antiqua" w:hAnsi="Book Antiqua" w:cstheme="minorHAnsi"/>
          <w:color w:val="000000" w:themeColor="text1"/>
        </w:rPr>
        <w:t>-0.9</w:t>
      </w:r>
      <w:proofErr w:type="gramStart"/>
      <w:r w:rsidR="001A40A9" w:rsidRPr="006F3B88">
        <w:rPr>
          <w:rFonts w:ascii="Book Antiqua" w:hAnsi="Book Antiqua" w:cstheme="minorHAnsi"/>
          <w:color w:val="000000" w:themeColor="text1"/>
        </w:rPr>
        <w:t>%</w:t>
      </w:r>
      <w:r w:rsidR="00DA6D8C" w:rsidRPr="006F3B88">
        <w:rPr>
          <w:rFonts w:ascii="Book Antiqua" w:hAnsi="Book Antiqua" w:cs="Calibri (Body)"/>
          <w:color w:val="000000" w:themeColor="text1"/>
          <w:vertAlign w:val="superscript"/>
        </w:rPr>
        <w:t>[</w:t>
      </w:r>
      <w:proofErr w:type="gramEnd"/>
      <w:r w:rsidR="00EC000D" w:rsidRPr="006F3B88">
        <w:rPr>
          <w:rFonts w:ascii="Book Antiqua" w:hAnsi="Book Antiqua" w:cs="Calibri (Body)"/>
          <w:color w:val="000000" w:themeColor="text1"/>
          <w:vertAlign w:val="superscript"/>
        </w:rPr>
        <w:t>3</w:t>
      </w:r>
      <w:r w:rsidR="00307911" w:rsidRPr="006F3B88">
        <w:rPr>
          <w:rFonts w:ascii="Book Antiqua" w:hAnsi="Book Antiqua" w:cs="Calibri (Body)"/>
          <w:color w:val="000000" w:themeColor="text1"/>
          <w:vertAlign w:val="superscript"/>
        </w:rPr>
        <w:t>3</w:t>
      </w:r>
      <w:r w:rsidR="00F0573C" w:rsidRPr="006F3B88">
        <w:rPr>
          <w:rFonts w:ascii="Book Antiqua" w:hAnsi="Book Antiqua" w:cs="Calibri (Body)"/>
          <w:color w:val="000000" w:themeColor="text1"/>
          <w:vertAlign w:val="superscript"/>
        </w:rPr>
        <w:t>,</w:t>
      </w:r>
      <w:r w:rsidR="00EC000D" w:rsidRPr="006F3B88">
        <w:rPr>
          <w:rFonts w:ascii="Book Antiqua" w:hAnsi="Book Antiqua" w:cs="Calibri (Body)"/>
          <w:color w:val="000000" w:themeColor="text1"/>
          <w:vertAlign w:val="superscript"/>
        </w:rPr>
        <w:t>3</w:t>
      </w:r>
      <w:r w:rsidR="00307911" w:rsidRPr="006F3B88">
        <w:rPr>
          <w:rFonts w:ascii="Book Antiqua" w:hAnsi="Book Antiqua" w:cs="Calibri (Body)"/>
          <w:color w:val="000000" w:themeColor="text1"/>
          <w:vertAlign w:val="superscript"/>
        </w:rPr>
        <w:t>4</w:t>
      </w:r>
      <w:r w:rsidR="00DA6D8C" w:rsidRPr="006F3B88">
        <w:rPr>
          <w:rFonts w:ascii="Book Antiqua" w:hAnsi="Book Antiqua" w:cs="Calibri (Body)"/>
          <w:color w:val="000000" w:themeColor="text1"/>
          <w:vertAlign w:val="superscript"/>
        </w:rPr>
        <w:t>]</w:t>
      </w:r>
      <w:r w:rsidR="00E33CBE" w:rsidRPr="006F3B88">
        <w:rPr>
          <w:rFonts w:ascii="Book Antiqua" w:hAnsi="Book Antiqua" w:cs="Calibri (Body)"/>
          <w:color w:val="000000" w:themeColor="text1"/>
          <w:vertAlign w:val="superscript"/>
        </w:rPr>
        <w:t xml:space="preserve"> </w:t>
      </w:r>
      <w:r w:rsidR="00C371BB" w:rsidRPr="006F3B88">
        <w:rPr>
          <w:rFonts w:ascii="Book Antiqua" w:hAnsi="Book Antiqua" w:cstheme="minorHAnsi"/>
          <w:color w:val="000000" w:themeColor="text1"/>
        </w:rPr>
        <w:t>and can be increased in other conditions such as biliary obstruction</w:t>
      </w:r>
      <w:r w:rsidR="00DA6D8C" w:rsidRPr="006F3B88">
        <w:rPr>
          <w:rFonts w:ascii="Book Antiqua" w:hAnsi="Book Antiqua" w:cstheme="minorHAnsi"/>
          <w:color w:val="000000" w:themeColor="text1"/>
        </w:rPr>
        <w:t>.</w:t>
      </w:r>
      <w:r w:rsidR="00BD6D10" w:rsidRPr="006F3B88">
        <w:rPr>
          <w:rFonts w:ascii="Book Antiqua" w:hAnsi="Book Antiqua"/>
          <w:color w:val="000000" w:themeColor="text1"/>
        </w:rPr>
        <w:t xml:space="preserve"> </w:t>
      </w:r>
      <w:r w:rsidR="0012687A" w:rsidRPr="006F3B88">
        <w:rPr>
          <w:rFonts w:ascii="Book Antiqua" w:hAnsi="Book Antiqua"/>
          <w:color w:val="000000" w:themeColor="text1"/>
        </w:rPr>
        <w:t xml:space="preserve">Similarly, </w:t>
      </w:r>
      <w:proofErr w:type="spellStart"/>
      <w:r w:rsidR="0012687A" w:rsidRPr="006F3B88">
        <w:rPr>
          <w:rFonts w:ascii="Book Antiqua" w:hAnsi="Book Antiqua"/>
          <w:color w:val="000000" w:themeColor="text1"/>
        </w:rPr>
        <w:t>carcinoembryonic</w:t>
      </w:r>
      <w:proofErr w:type="spellEnd"/>
      <w:r w:rsidR="0012687A" w:rsidRPr="006F3B88">
        <w:rPr>
          <w:rFonts w:ascii="Book Antiqua" w:hAnsi="Book Antiqua"/>
          <w:color w:val="000000" w:themeColor="text1"/>
        </w:rPr>
        <w:t xml:space="preserve"> antigen has no utility in early detection of PC with a sensitivity and specificity of 65</w:t>
      </w:r>
      <w:proofErr w:type="gramStart"/>
      <w:r w:rsidR="0012687A" w:rsidRPr="006F3B88">
        <w:rPr>
          <w:rFonts w:ascii="Book Antiqua" w:hAnsi="Book Antiqua"/>
          <w:color w:val="000000" w:themeColor="text1"/>
        </w:rPr>
        <w:t>%</w:t>
      </w:r>
      <w:r w:rsidR="0012687A" w:rsidRPr="006F3B88">
        <w:rPr>
          <w:rFonts w:ascii="Book Antiqua" w:hAnsi="Book Antiqua"/>
          <w:noProof/>
          <w:color w:val="000000" w:themeColor="text1"/>
          <w:vertAlign w:val="superscript"/>
        </w:rPr>
        <w:t>[</w:t>
      </w:r>
      <w:proofErr w:type="gramEnd"/>
      <w:r w:rsidR="0012687A" w:rsidRPr="006F3B88">
        <w:rPr>
          <w:rFonts w:ascii="Book Antiqua" w:hAnsi="Book Antiqua"/>
          <w:noProof/>
          <w:color w:val="000000" w:themeColor="text1"/>
          <w:vertAlign w:val="superscript"/>
        </w:rPr>
        <w:t>3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5</w:t>
      </w:r>
      <w:r w:rsidR="0012687A" w:rsidRPr="006F3B88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12687A" w:rsidRPr="006F3B88">
        <w:rPr>
          <w:rFonts w:ascii="Book Antiqua" w:hAnsi="Book Antiqua"/>
          <w:color w:val="000000" w:themeColor="text1"/>
        </w:rPr>
        <w:t xml:space="preserve">. </w:t>
      </w:r>
    </w:p>
    <w:p w:rsidR="00EB76D9" w:rsidRPr="006F3B88" w:rsidRDefault="00BD6D10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MIC-1/GDF15 has been recently explored as a novel candidate tumour marker </w:t>
      </w:r>
      <w:r w:rsidR="002551EE" w:rsidRPr="006F3B88">
        <w:rPr>
          <w:rFonts w:ascii="Book Antiqua" w:hAnsi="Book Antiqua"/>
          <w:color w:val="000000" w:themeColor="text1"/>
        </w:rPr>
        <w:t xml:space="preserve">for </w:t>
      </w:r>
      <w:r w:rsidRPr="006F3B88">
        <w:rPr>
          <w:rFonts w:ascii="Book Antiqua" w:hAnsi="Book Antiqua"/>
          <w:color w:val="000000" w:themeColor="text1"/>
        </w:rPr>
        <w:t xml:space="preserve">PC with initial results proving </w:t>
      </w:r>
      <w:r w:rsidR="002551EE" w:rsidRPr="006F3B88">
        <w:rPr>
          <w:rFonts w:ascii="Book Antiqua" w:hAnsi="Book Antiqua"/>
          <w:color w:val="000000" w:themeColor="text1"/>
        </w:rPr>
        <w:t xml:space="preserve">to be </w:t>
      </w:r>
      <w:r w:rsidR="001634C4" w:rsidRPr="006F3B88">
        <w:rPr>
          <w:rFonts w:ascii="Book Antiqua" w:hAnsi="Book Antiqua"/>
          <w:color w:val="000000" w:themeColor="text1"/>
        </w:rPr>
        <w:t xml:space="preserve">elevated in the serum of patients with PC compared to healthy controls and those with benign </w:t>
      </w:r>
      <w:proofErr w:type="gramStart"/>
      <w:r w:rsidR="001634C4" w:rsidRPr="006F3B88">
        <w:rPr>
          <w:rFonts w:ascii="Book Antiqua" w:hAnsi="Book Antiqua"/>
          <w:color w:val="000000" w:themeColor="text1"/>
        </w:rPr>
        <w:t>lesions</w:t>
      </w:r>
      <w:r w:rsidR="00EE6D73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53D16" w:rsidRPr="006F3B88">
        <w:rPr>
          <w:rFonts w:ascii="Book Antiqua" w:hAnsi="Book Antiqua"/>
          <w:color w:val="000000" w:themeColor="text1"/>
          <w:vertAlign w:val="superscript"/>
        </w:rPr>
        <w:t>1</w:t>
      </w:r>
      <w:r w:rsidR="00307911" w:rsidRPr="006F3B88">
        <w:rPr>
          <w:rFonts w:ascii="Book Antiqua" w:hAnsi="Book Antiqua"/>
          <w:color w:val="000000" w:themeColor="text1"/>
          <w:vertAlign w:val="superscript"/>
        </w:rPr>
        <w:t>7</w:t>
      </w:r>
      <w:r w:rsidR="00153D16" w:rsidRPr="006F3B88">
        <w:rPr>
          <w:rFonts w:ascii="Book Antiqua" w:hAnsi="Book Antiqua"/>
          <w:color w:val="000000" w:themeColor="text1"/>
          <w:vertAlign w:val="superscript"/>
        </w:rPr>
        <w:t>]</w:t>
      </w:r>
      <w:r w:rsidR="001634C4" w:rsidRPr="006F3B88">
        <w:rPr>
          <w:rFonts w:ascii="Book Antiqua" w:hAnsi="Book Antiqua"/>
          <w:color w:val="000000" w:themeColor="text1"/>
        </w:rPr>
        <w:t>.</w:t>
      </w:r>
      <w:r w:rsidR="00E33CBE" w:rsidRPr="006F3B88">
        <w:rPr>
          <w:rFonts w:ascii="Book Antiqua" w:hAnsi="Book Antiqua"/>
          <w:color w:val="000000" w:themeColor="text1"/>
          <w:vertAlign w:val="superscript"/>
        </w:rPr>
        <w:t xml:space="preserve"> </w:t>
      </w:r>
      <w:r w:rsidR="004679AD" w:rsidRPr="006F3B88">
        <w:rPr>
          <w:rFonts w:ascii="Book Antiqua" w:hAnsi="Book Antiqua" w:cs="Arial"/>
          <w:color w:val="000000" w:themeColor="text1"/>
          <w:shd w:val="clear" w:color="auto" w:fill="FFFFFF"/>
        </w:rPr>
        <w:t xml:space="preserve">As MIC-1 can be increased in other malignancies, studies report an increase in </w:t>
      </w:r>
      <w:r w:rsidR="005728EA" w:rsidRPr="006F3B88">
        <w:rPr>
          <w:rFonts w:ascii="Book Antiqua" w:hAnsi="Book Antiqua" w:cs="Arial"/>
          <w:color w:val="000000" w:themeColor="text1"/>
          <w:shd w:val="clear" w:color="auto" w:fill="FFFFFF"/>
        </w:rPr>
        <w:t xml:space="preserve">its </w:t>
      </w:r>
      <w:r w:rsidR="004679AD" w:rsidRPr="006F3B88">
        <w:rPr>
          <w:rFonts w:ascii="Book Antiqua" w:hAnsi="Book Antiqua" w:cs="Arial"/>
          <w:color w:val="000000" w:themeColor="text1"/>
          <w:shd w:val="clear" w:color="auto" w:fill="FFFFFF"/>
        </w:rPr>
        <w:t xml:space="preserve">diagnostic specificity </w:t>
      </w:r>
      <w:r w:rsidR="005728EA" w:rsidRPr="006F3B88">
        <w:rPr>
          <w:rFonts w:ascii="Book Antiqua" w:hAnsi="Book Antiqua" w:cs="Arial"/>
          <w:color w:val="000000" w:themeColor="text1"/>
          <w:shd w:val="clear" w:color="auto" w:fill="FFFFFF"/>
        </w:rPr>
        <w:t>if</w:t>
      </w:r>
      <w:r w:rsidR="004679AD" w:rsidRPr="006F3B88">
        <w:rPr>
          <w:rFonts w:ascii="Book Antiqua" w:hAnsi="Book Antiqua" w:cs="Arial"/>
          <w:color w:val="000000" w:themeColor="text1"/>
          <w:shd w:val="clear" w:color="auto" w:fill="FFFFFF"/>
        </w:rPr>
        <w:t xml:space="preserve"> CA19-9 is</w:t>
      </w:r>
      <w:r w:rsidR="005728EA" w:rsidRPr="006F3B88">
        <w:rPr>
          <w:rFonts w:ascii="Book Antiqua" w:hAnsi="Book Antiqua" w:cs="Arial"/>
          <w:color w:val="000000" w:themeColor="text1"/>
          <w:shd w:val="clear" w:color="auto" w:fill="FFFFFF"/>
        </w:rPr>
        <w:t xml:space="preserve"> used in combination with MIC-1</w:t>
      </w:r>
      <w:r w:rsidR="00C64EF5" w:rsidRPr="006F3B88">
        <w:rPr>
          <w:rFonts w:ascii="Book Antiqua" w:hAnsi="Book Antiqua" w:cs="Arial"/>
          <w:color w:val="000000" w:themeColor="text1"/>
          <w:shd w:val="clear" w:color="auto" w:fill="FFFFFF"/>
          <w:vertAlign w:val="superscript"/>
        </w:rPr>
        <w:t>[2</w:t>
      </w:r>
      <w:r w:rsidR="00307911" w:rsidRPr="006F3B88">
        <w:rPr>
          <w:rFonts w:ascii="Book Antiqua" w:hAnsi="Book Antiqua" w:cs="Arial"/>
          <w:color w:val="000000" w:themeColor="text1"/>
          <w:shd w:val="clear" w:color="auto" w:fill="FFFFFF"/>
          <w:vertAlign w:val="superscript"/>
        </w:rPr>
        <w:t>8</w:t>
      </w:r>
      <w:proofErr w:type="gramStart"/>
      <w:r w:rsidR="00C64EF5" w:rsidRPr="006F3B88">
        <w:rPr>
          <w:rFonts w:ascii="Book Antiqua" w:hAnsi="Book Antiqua" w:cs="Arial"/>
          <w:color w:val="000000" w:themeColor="text1"/>
          <w:shd w:val="clear" w:color="auto" w:fill="FFFFFF"/>
          <w:vertAlign w:val="superscript"/>
        </w:rPr>
        <w:t>,</w:t>
      </w:r>
      <w:r w:rsidR="00DF29CE" w:rsidRPr="006F3B88">
        <w:rPr>
          <w:rFonts w:ascii="Book Antiqua" w:hAnsi="Book Antiqua" w:cs="Arial"/>
          <w:color w:val="000000" w:themeColor="text1"/>
          <w:shd w:val="clear" w:color="auto" w:fill="FFFFFF"/>
          <w:vertAlign w:val="superscript"/>
        </w:rPr>
        <w:t>3</w:t>
      </w:r>
      <w:r w:rsidR="00307911" w:rsidRPr="006F3B88">
        <w:rPr>
          <w:rFonts w:ascii="Book Antiqua" w:hAnsi="Book Antiqua" w:cs="Arial"/>
          <w:color w:val="000000" w:themeColor="text1"/>
          <w:shd w:val="clear" w:color="auto" w:fill="FFFFFF"/>
          <w:vertAlign w:val="superscript"/>
        </w:rPr>
        <w:t>0</w:t>
      </w:r>
      <w:proofErr w:type="gramEnd"/>
      <w:r w:rsidR="00C64EF5" w:rsidRPr="006F3B88">
        <w:rPr>
          <w:rFonts w:ascii="Book Antiqua" w:hAnsi="Book Antiqua" w:cs="Arial"/>
          <w:color w:val="000000" w:themeColor="text1"/>
          <w:shd w:val="clear" w:color="auto" w:fill="FFFFFF"/>
          <w:vertAlign w:val="superscript"/>
        </w:rPr>
        <w:t>]</w:t>
      </w:r>
      <w:r w:rsidR="005728EA" w:rsidRPr="006F3B88">
        <w:rPr>
          <w:rFonts w:ascii="Book Antiqua" w:hAnsi="Book Antiqua" w:cs="Arial"/>
          <w:color w:val="000000" w:themeColor="text1"/>
          <w:shd w:val="clear" w:color="auto" w:fill="FFFFFF"/>
        </w:rPr>
        <w:t xml:space="preserve">. </w:t>
      </w:r>
      <w:r w:rsidR="00136312" w:rsidRPr="006F3B88">
        <w:rPr>
          <w:rFonts w:ascii="Book Antiqua" w:hAnsi="Book Antiqua"/>
          <w:color w:val="000000" w:themeColor="text1"/>
        </w:rPr>
        <w:t xml:space="preserve">In addition to this, serum MIC-1/GDF15 has been proven to be more sensitive than CA19-9 in detecting early-stage </w:t>
      </w:r>
      <w:r w:rsidR="00837593" w:rsidRPr="006F3B88">
        <w:rPr>
          <w:rFonts w:ascii="Book Antiqua" w:hAnsi="Book Antiqua"/>
          <w:color w:val="000000" w:themeColor="text1"/>
        </w:rPr>
        <w:t>PC</w:t>
      </w:r>
      <w:r w:rsidR="00136312" w:rsidRPr="006F3B88">
        <w:rPr>
          <w:rFonts w:ascii="Book Antiqua" w:hAnsi="Book Antiqua"/>
          <w:color w:val="000000" w:themeColor="text1"/>
        </w:rPr>
        <w:t>.</w:t>
      </w:r>
      <w:r w:rsidR="00F76A56" w:rsidRPr="006F3B88">
        <w:rPr>
          <w:rFonts w:ascii="Book Antiqua" w:hAnsi="Book Antiqua"/>
          <w:color w:val="000000" w:themeColor="text1"/>
        </w:rPr>
        <w:t xml:space="preserve"> </w:t>
      </w:r>
      <w:r w:rsidR="00924469" w:rsidRPr="006F3B88">
        <w:rPr>
          <w:rFonts w:ascii="Book Antiqua" w:hAnsi="Book Antiqua" w:cs="Arial"/>
          <w:color w:val="000000" w:themeColor="text1"/>
          <w:shd w:val="clear" w:color="auto" w:fill="FFFFFF"/>
        </w:rPr>
        <w:t>Importantly</w:t>
      </w:r>
      <w:r w:rsidR="005728EA" w:rsidRPr="006F3B88">
        <w:rPr>
          <w:rFonts w:ascii="Book Antiqua" w:hAnsi="Book Antiqua" w:cs="Arial"/>
          <w:color w:val="000000" w:themeColor="text1"/>
          <w:shd w:val="clear" w:color="auto" w:fill="FFFFFF"/>
        </w:rPr>
        <w:t xml:space="preserve">, MIC-1 had a sensitivity of 63.1% in detecting patients with CA19-9-negative </w:t>
      </w:r>
      <w:proofErr w:type="gramStart"/>
      <w:r w:rsidR="005728EA" w:rsidRPr="006F3B88">
        <w:rPr>
          <w:rFonts w:ascii="Book Antiqua" w:hAnsi="Book Antiqua" w:cs="Arial"/>
          <w:color w:val="000000" w:themeColor="text1"/>
          <w:shd w:val="clear" w:color="auto" w:fill="FFFFFF"/>
        </w:rPr>
        <w:t>PC</w:t>
      </w:r>
      <w:r w:rsidR="005728EA" w:rsidRPr="006F3B88">
        <w:rPr>
          <w:rFonts w:ascii="Book Antiqua" w:hAnsi="Book Antiqua" w:cs="Arial"/>
          <w:color w:val="000000" w:themeColor="text1"/>
          <w:vertAlign w:val="superscript"/>
        </w:rPr>
        <w:t>[</w:t>
      </w:r>
      <w:proofErr w:type="gramEnd"/>
      <w:r w:rsidR="005131D1" w:rsidRPr="006F3B88">
        <w:rPr>
          <w:rFonts w:ascii="Book Antiqua" w:hAnsi="Book Antiqua" w:cs="Arial"/>
          <w:color w:val="000000" w:themeColor="text1"/>
          <w:vertAlign w:val="superscript"/>
        </w:rPr>
        <w:t>2</w:t>
      </w:r>
      <w:r w:rsidR="00307911" w:rsidRPr="006F3B88">
        <w:rPr>
          <w:rFonts w:ascii="Book Antiqua" w:hAnsi="Book Antiqua" w:cs="Arial"/>
          <w:color w:val="000000" w:themeColor="text1"/>
          <w:vertAlign w:val="superscript"/>
        </w:rPr>
        <w:t>6</w:t>
      </w:r>
      <w:r w:rsidR="00EF3A1E" w:rsidRPr="006F3B88">
        <w:rPr>
          <w:rFonts w:ascii="Book Antiqua" w:hAnsi="Book Antiqua" w:cs="Arial"/>
          <w:color w:val="000000" w:themeColor="text1"/>
          <w:vertAlign w:val="superscript"/>
        </w:rPr>
        <w:t>]</w:t>
      </w:r>
      <w:r w:rsidR="00F0573C" w:rsidRPr="006F3B88">
        <w:rPr>
          <w:rFonts w:ascii="Book Antiqua" w:hAnsi="Book Antiqua" w:cs="Arial"/>
          <w:color w:val="000000" w:themeColor="text1"/>
        </w:rPr>
        <w:t>.</w:t>
      </w:r>
    </w:p>
    <w:p w:rsidR="001634C4" w:rsidRPr="006F3B88" w:rsidRDefault="001634C4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In this </w:t>
      </w:r>
      <w:r w:rsidR="002B29EB" w:rsidRPr="006F3B88">
        <w:rPr>
          <w:rFonts w:ascii="Book Antiqua" w:hAnsi="Book Antiqua"/>
          <w:color w:val="000000" w:themeColor="text1"/>
        </w:rPr>
        <w:t>feasibility</w:t>
      </w:r>
      <w:r w:rsidR="00183ADD"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color w:val="000000" w:themeColor="text1"/>
        </w:rPr>
        <w:t xml:space="preserve">prospective cohort study in an asymptomatic population </w:t>
      </w:r>
      <w:r w:rsidR="00924469" w:rsidRPr="006F3B88">
        <w:rPr>
          <w:rFonts w:ascii="Book Antiqua" w:hAnsi="Book Antiqua"/>
          <w:color w:val="000000" w:themeColor="text1"/>
        </w:rPr>
        <w:t>at</w:t>
      </w:r>
      <w:r w:rsidRPr="006F3B88">
        <w:rPr>
          <w:rFonts w:ascii="Book Antiqua" w:hAnsi="Book Antiqua"/>
          <w:color w:val="000000" w:themeColor="text1"/>
        </w:rPr>
        <w:t xml:space="preserve"> high risk </w:t>
      </w:r>
      <w:r w:rsidR="00924469" w:rsidRPr="006F3B88">
        <w:rPr>
          <w:rFonts w:ascii="Book Antiqua" w:hAnsi="Book Antiqua"/>
          <w:color w:val="000000" w:themeColor="text1"/>
        </w:rPr>
        <w:t>of</w:t>
      </w:r>
      <w:r w:rsidRPr="006F3B88">
        <w:rPr>
          <w:rFonts w:ascii="Book Antiqua" w:hAnsi="Book Antiqua"/>
          <w:color w:val="000000" w:themeColor="text1"/>
        </w:rPr>
        <w:t xml:space="preserve"> developing PC undertaking yearly screening </w:t>
      </w:r>
      <w:r w:rsidR="00E42F54" w:rsidRPr="006F3B88">
        <w:rPr>
          <w:rFonts w:ascii="Book Antiqua" w:hAnsi="Book Antiqua"/>
          <w:color w:val="000000" w:themeColor="text1"/>
        </w:rPr>
        <w:t>with</w:t>
      </w:r>
      <w:r w:rsidRPr="006F3B88">
        <w:rPr>
          <w:rFonts w:ascii="Book Antiqua" w:hAnsi="Book Antiqua"/>
          <w:color w:val="000000" w:themeColor="text1"/>
        </w:rPr>
        <w:t xml:space="preserve"> EUS, serum baseline MIC-1/GDF-15 was </w:t>
      </w:r>
      <w:r w:rsidR="00C8644C" w:rsidRPr="006F3B88">
        <w:rPr>
          <w:rFonts w:ascii="Book Antiqua" w:hAnsi="Book Antiqua"/>
          <w:color w:val="000000" w:themeColor="text1"/>
        </w:rPr>
        <w:t>shown</w:t>
      </w:r>
      <w:r w:rsidRPr="006F3B88">
        <w:rPr>
          <w:rFonts w:ascii="Book Antiqua" w:hAnsi="Book Antiqua"/>
          <w:color w:val="000000" w:themeColor="text1"/>
        </w:rPr>
        <w:t xml:space="preserve"> to be a significant predictor of</w:t>
      </w:r>
      <w:r w:rsidR="00C371BB" w:rsidRPr="006F3B88">
        <w:rPr>
          <w:rFonts w:ascii="Book Antiqua" w:hAnsi="Book Antiqua"/>
          <w:color w:val="000000" w:themeColor="text1"/>
        </w:rPr>
        <w:t xml:space="preserve"> neoplastic tumours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="00885510" w:rsidRPr="006F3B88">
        <w:rPr>
          <w:rFonts w:ascii="Book Antiqua" w:hAnsi="Book Antiqua"/>
          <w:color w:val="000000" w:themeColor="text1"/>
        </w:rPr>
        <w:t xml:space="preserve">(both pancreatic and extra-pancreatic) </w:t>
      </w:r>
      <w:r w:rsidRPr="006F3B88">
        <w:rPr>
          <w:rFonts w:ascii="Book Antiqua" w:hAnsi="Book Antiqua"/>
          <w:color w:val="000000" w:themeColor="text1"/>
        </w:rPr>
        <w:t>after ROC curve analysis</w:t>
      </w:r>
      <w:r w:rsidR="00885510" w:rsidRPr="006F3B88">
        <w:rPr>
          <w:rFonts w:ascii="Book Antiqua" w:hAnsi="Book Antiqua"/>
          <w:color w:val="000000" w:themeColor="text1"/>
        </w:rPr>
        <w:t>, with an AUC of 0.814</w:t>
      </w:r>
      <w:r w:rsidR="003665A9" w:rsidRPr="006F3B88">
        <w:rPr>
          <w:rFonts w:ascii="Book Antiqua" w:hAnsi="Book Antiqua"/>
          <w:color w:val="000000" w:themeColor="text1"/>
        </w:rPr>
        <w:t xml:space="preserve"> (</w:t>
      </w:r>
      <w:r w:rsidR="00F0573C" w:rsidRPr="006F3B88">
        <w:rPr>
          <w:rFonts w:ascii="Book Antiqua" w:hAnsi="Book Antiqua"/>
          <w:i/>
          <w:iCs/>
          <w:color w:val="000000" w:themeColor="text1"/>
        </w:rPr>
        <w:t>P</w:t>
      </w:r>
      <w:r w:rsidR="00F0573C" w:rsidRPr="006F3B88">
        <w:rPr>
          <w:rFonts w:ascii="Book Antiqua" w:hAnsi="Book Antiqua"/>
          <w:color w:val="000000" w:themeColor="text1"/>
        </w:rPr>
        <w:t xml:space="preserve"> </w:t>
      </w:r>
      <w:r w:rsidR="003665A9" w:rsidRPr="006F3B88">
        <w:rPr>
          <w:rFonts w:ascii="Book Antiqua" w:hAnsi="Book Antiqua"/>
          <w:color w:val="000000" w:themeColor="text1"/>
        </w:rPr>
        <w:t>=</w:t>
      </w:r>
      <w:r w:rsidR="00F0573C" w:rsidRPr="006F3B88">
        <w:rPr>
          <w:rFonts w:ascii="Book Antiqua" w:hAnsi="Book Antiqua"/>
          <w:color w:val="000000" w:themeColor="text1"/>
        </w:rPr>
        <w:t xml:space="preserve"> </w:t>
      </w:r>
      <w:r w:rsidR="003665A9" w:rsidRPr="006F3B88">
        <w:rPr>
          <w:rFonts w:ascii="Book Antiqua" w:hAnsi="Book Antiqua"/>
          <w:color w:val="000000" w:themeColor="text1"/>
        </w:rPr>
        <w:t>0.023)</w:t>
      </w:r>
      <w:r w:rsidR="00885510" w:rsidRPr="006F3B88">
        <w:rPr>
          <w:rFonts w:ascii="Book Antiqua" w:hAnsi="Book Antiqua"/>
          <w:color w:val="000000" w:themeColor="text1"/>
        </w:rPr>
        <w:t>. In addition, those diagnosed with</w:t>
      </w:r>
      <w:r w:rsidR="00C53883" w:rsidRPr="006F3B88">
        <w:rPr>
          <w:rFonts w:ascii="Book Antiqua" w:hAnsi="Book Antiqua"/>
          <w:color w:val="000000" w:themeColor="text1"/>
        </w:rPr>
        <w:t xml:space="preserve"> neoplastic tumours</w:t>
      </w:r>
      <w:r w:rsidR="00885510" w:rsidRPr="006F3B88">
        <w:rPr>
          <w:rFonts w:ascii="Book Antiqua" w:hAnsi="Book Antiqua"/>
          <w:color w:val="000000" w:themeColor="text1"/>
        </w:rPr>
        <w:t xml:space="preserve"> </w:t>
      </w:r>
      <w:r w:rsidR="00EE6D73" w:rsidRPr="006F3B88">
        <w:rPr>
          <w:rFonts w:ascii="Book Antiqua" w:hAnsi="Book Antiqua"/>
          <w:color w:val="000000" w:themeColor="text1"/>
        </w:rPr>
        <w:t>on</w:t>
      </w:r>
      <w:r w:rsidR="00885510" w:rsidRPr="006F3B88">
        <w:rPr>
          <w:rFonts w:ascii="Book Antiqua" w:hAnsi="Book Antiqua"/>
          <w:color w:val="000000" w:themeColor="text1"/>
        </w:rPr>
        <w:t xml:space="preserve"> EU</w:t>
      </w:r>
      <w:r w:rsidR="00183ADD" w:rsidRPr="006F3B88">
        <w:rPr>
          <w:rFonts w:ascii="Book Antiqua" w:hAnsi="Book Antiqua"/>
          <w:color w:val="000000" w:themeColor="text1"/>
        </w:rPr>
        <w:t xml:space="preserve">S </w:t>
      </w:r>
      <w:r w:rsidR="00200364" w:rsidRPr="006F3B88">
        <w:rPr>
          <w:rFonts w:ascii="Book Antiqua" w:hAnsi="Book Antiqua"/>
          <w:color w:val="000000" w:themeColor="text1"/>
        </w:rPr>
        <w:t>or</w:t>
      </w:r>
      <w:r w:rsidR="00183ADD" w:rsidRPr="006F3B88">
        <w:rPr>
          <w:rFonts w:ascii="Book Antiqua" w:hAnsi="Book Antiqua"/>
          <w:color w:val="000000" w:themeColor="text1"/>
        </w:rPr>
        <w:t xml:space="preserve"> MRI/CT</w:t>
      </w:r>
      <w:r w:rsidR="00885510" w:rsidRPr="006F3B88">
        <w:rPr>
          <w:rFonts w:ascii="Book Antiqua" w:hAnsi="Book Antiqua"/>
          <w:color w:val="000000" w:themeColor="text1"/>
        </w:rPr>
        <w:t xml:space="preserve"> had a higher median baseline MIC-1/GDF15 compared to those diagnosed with benign lesions on EUS. </w:t>
      </w:r>
      <w:r w:rsidRPr="006F3B88">
        <w:rPr>
          <w:rFonts w:ascii="Book Antiqua" w:hAnsi="Book Antiqua"/>
          <w:color w:val="000000" w:themeColor="text1"/>
        </w:rPr>
        <w:t>Baseline serum MIC-1/GDF-15 had a significant positive correlation with advancing age and age of PC diagnosis in family members.</w:t>
      </w:r>
      <w:r w:rsidR="00FE6F8F" w:rsidRPr="006F3B88">
        <w:rPr>
          <w:rFonts w:ascii="Book Antiqua" w:hAnsi="Book Antiqua"/>
          <w:color w:val="000000" w:themeColor="text1"/>
        </w:rPr>
        <w:t xml:space="preserve"> F</w:t>
      </w:r>
      <w:r w:rsidRPr="006F3B88">
        <w:rPr>
          <w:rFonts w:ascii="Book Antiqua" w:hAnsi="Book Antiqua"/>
          <w:color w:val="000000" w:themeColor="text1"/>
        </w:rPr>
        <w:t xml:space="preserve">urther analysis of the screening cohort demonstrated that serum MIC-1/GDF-15 was elevated in those with a family history of cancer, history of diabetes, current </w:t>
      </w:r>
      <w:r w:rsidR="00EA6C4F" w:rsidRPr="006F3B88">
        <w:rPr>
          <w:rFonts w:ascii="Book Antiqua" w:hAnsi="Book Antiqua"/>
          <w:color w:val="000000" w:themeColor="text1"/>
        </w:rPr>
        <w:t>m</w:t>
      </w:r>
      <w:r w:rsidRPr="006F3B88">
        <w:rPr>
          <w:rFonts w:ascii="Book Antiqua" w:hAnsi="Book Antiqua"/>
          <w:color w:val="000000" w:themeColor="text1"/>
        </w:rPr>
        <w:t>etformin</w:t>
      </w:r>
      <w:r w:rsidR="00EA6C4F" w:rsidRPr="006F3B88">
        <w:rPr>
          <w:rFonts w:ascii="Book Antiqua" w:hAnsi="Book Antiqua"/>
          <w:color w:val="000000" w:themeColor="text1"/>
        </w:rPr>
        <w:t xml:space="preserve"> use</w:t>
      </w:r>
      <w:r w:rsidRPr="006F3B88">
        <w:rPr>
          <w:rFonts w:ascii="Book Antiqua" w:hAnsi="Book Antiqua"/>
          <w:color w:val="000000" w:themeColor="text1"/>
        </w:rPr>
        <w:t xml:space="preserve"> and those </w:t>
      </w:r>
      <w:r w:rsidR="00C53883" w:rsidRPr="006F3B88">
        <w:rPr>
          <w:rFonts w:ascii="Book Antiqua" w:hAnsi="Book Antiqua"/>
          <w:color w:val="000000" w:themeColor="text1"/>
        </w:rPr>
        <w:t>with</w:t>
      </w:r>
      <w:r w:rsidRPr="006F3B88">
        <w:rPr>
          <w:rFonts w:ascii="Book Antiqua" w:hAnsi="Book Antiqua"/>
          <w:color w:val="000000" w:themeColor="text1"/>
        </w:rPr>
        <w:t xml:space="preserve"> previous colonic polyps. </w:t>
      </w:r>
    </w:p>
    <w:p w:rsidR="00136312" w:rsidRPr="006F3B88" w:rsidRDefault="00457A32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lastRenderedPageBreak/>
        <w:t xml:space="preserve">When </w:t>
      </w:r>
      <w:r w:rsidR="001634C4" w:rsidRPr="006F3B88">
        <w:rPr>
          <w:rFonts w:ascii="Book Antiqua" w:hAnsi="Book Antiqua"/>
          <w:color w:val="000000" w:themeColor="text1"/>
        </w:rPr>
        <w:t>evaluating the utility of serum baseline MIC-1/GDF15</w:t>
      </w:r>
      <w:r w:rsidRPr="006F3B88">
        <w:rPr>
          <w:rFonts w:ascii="Book Antiqua" w:hAnsi="Book Antiqua"/>
          <w:color w:val="000000" w:themeColor="text1"/>
        </w:rPr>
        <w:t xml:space="preserve"> comparing to EUS results only</w:t>
      </w:r>
      <w:r w:rsidR="007B0B9D" w:rsidRPr="006F3B88">
        <w:rPr>
          <w:rFonts w:ascii="Book Antiqua" w:hAnsi="Book Antiqua"/>
          <w:color w:val="000000" w:themeColor="text1"/>
        </w:rPr>
        <w:t>,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color w:val="000000" w:themeColor="text1"/>
        </w:rPr>
        <w:t>using ROC curve analysis, we found that it was best utilised when used in participants who were diagnosed wi</w:t>
      </w:r>
      <w:r w:rsidR="00EA6C4F" w:rsidRPr="006F3B88">
        <w:rPr>
          <w:rFonts w:ascii="Book Antiqua" w:hAnsi="Book Antiqua"/>
          <w:color w:val="000000" w:themeColor="text1"/>
        </w:rPr>
        <w:t>th solid neoplastic tumours</w:t>
      </w:r>
      <w:r w:rsidR="001634C4" w:rsidRPr="006F3B88">
        <w:rPr>
          <w:rFonts w:ascii="Book Antiqua" w:hAnsi="Book Antiqua"/>
          <w:color w:val="000000" w:themeColor="text1"/>
        </w:rPr>
        <w:t xml:space="preserve"> or BD-IPMN</w:t>
      </w:r>
      <w:r w:rsidR="00655425" w:rsidRPr="006F3B88">
        <w:rPr>
          <w:rFonts w:ascii="Book Antiqua" w:hAnsi="Book Antiqua"/>
          <w:color w:val="000000" w:themeColor="text1"/>
        </w:rPr>
        <w:t xml:space="preserve"> </w:t>
      </w:r>
      <w:r w:rsidR="00136312" w:rsidRPr="006F3B88">
        <w:rPr>
          <w:rFonts w:ascii="Book Antiqua" w:hAnsi="Book Antiqua"/>
          <w:color w:val="000000" w:themeColor="text1"/>
        </w:rPr>
        <w:t>on</w:t>
      </w:r>
      <w:r w:rsidR="00655425" w:rsidRPr="006F3B88">
        <w:rPr>
          <w:rFonts w:ascii="Book Antiqua" w:hAnsi="Book Antiqua"/>
          <w:color w:val="000000" w:themeColor="text1"/>
        </w:rPr>
        <w:t xml:space="preserve"> EUS</w:t>
      </w:r>
      <w:r w:rsidR="001634C4" w:rsidRPr="006F3B88">
        <w:rPr>
          <w:rFonts w:ascii="Book Antiqua" w:hAnsi="Book Antiqua"/>
          <w:color w:val="000000" w:themeColor="text1"/>
        </w:rPr>
        <w:t>, with AUCs of 0.</w:t>
      </w:r>
      <w:r w:rsidR="00885510" w:rsidRPr="006F3B88">
        <w:rPr>
          <w:rFonts w:ascii="Book Antiqua" w:hAnsi="Book Antiqua"/>
          <w:color w:val="000000" w:themeColor="text1"/>
        </w:rPr>
        <w:t>793</w:t>
      </w:r>
      <w:r w:rsidR="001634C4" w:rsidRPr="006F3B88">
        <w:rPr>
          <w:rFonts w:ascii="Book Antiqua" w:hAnsi="Book Antiqua"/>
          <w:color w:val="000000" w:themeColor="text1"/>
        </w:rPr>
        <w:t xml:space="preserve"> and 0.6</w:t>
      </w:r>
      <w:r w:rsidR="00885510" w:rsidRPr="006F3B88">
        <w:rPr>
          <w:rFonts w:ascii="Book Antiqua" w:hAnsi="Book Antiqua"/>
          <w:color w:val="000000" w:themeColor="text1"/>
        </w:rPr>
        <w:t>44</w:t>
      </w:r>
      <w:r w:rsidR="001634C4" w:rsidRPr="006F3B88">
        <w:rPr>
          <w:rFonts w:ascii="Book Antiqua" w:hAnsi="Book Antiqua"/>
          <w:color w:val="000000" w:themeColor="text1"/>
        </w:rPr>
        <w:t xml:space="preserve"> respectively</w:t>
      </w:r>
      <w:r w:rsidR="00885510" w:rsidRPr="006F3B88">
        <w:rPr>
          <w:rFonts w:ascii="Book Antiqua" w:hAnsi="Book Antiqua"/>
          <w:color w:val="000000" w:themeColor="text1"/>
        </w:rPr>
        <w:t xml:space="preserve">, with </w:t>
      </w:r>
      <w:r w:rsidR="00B15B4E" w:rsidRPr="006F3B88">
        <w:rPr>
          <w:rFonts w:ascii="Book Antiqua" w:hAnsi="Book Antiqua"/>
          <w:color w:val="000000" w:themeColor="text1"/>
        </w:rPr>
        <w:t>solid</w:t>
      </w:r>
      <w:r w:rsidR="00EA6C4F" w:rsidRPr="006F3B88">
        <w:rPr>
          <w:rFonts w:ascii="Book Antiqua" w:hAnsi="Book Antiqua"/>
          <w:color w:val="000000" w:themeColor="text1"/>
        </w:rPr>
        <w:t xml:space="preserve"> tumour</w:t>
      </w:r>
      <w:r w:rsidR="00AA653C" w:rsidRPr="006F3B88">
        <w:rPr>
          <w:rFonts w:ascii="Book Antiqua" w:hAnsi="Book Antiqua"/>
          <w:color w:val="000000" w:themeColor="text1"/>
        </w:rPr>
        <w:t>s</w:t>
      </w:r>
      <w:r w:rsidR="00885510" w:rsidRPr="006F3B88">
        <w:rPr>
          <w:rFonts w:ascii="Book Antiqua" w:hAnsi="Book Antiqua"/>
          <w:color w:val="000000" w:themeColor="text1"/>
        </w:rPr>
        <w:t xml:space="preserve"> diagnosed on EUS approaching significance</w:t>
      </w:r>
      <w:r w:rsidR="00136312" w:rsidRPr="006F3B88">
        <w:rPr>
          <w:rFonts w:ascii="Book Antiqua" w:hAnsi="Book Antiqua"/>
          <w:color w:val="000000" w:themeColor="text1"/>
        </w:rPr>
        <w:t xml:space="preserve"> despite having only 3 cases</w:t>
      </w:r>
      <w:r w:rsidR="001634C4" w:rsidRPr="006F3B88">
        <w:rPr>
          <w:rFonts w:ascii="Book Antiqua" w:hAnsi="Book Antiqua"/>
          <w:color w:val="000000" w:themeColor="text1"/>
        </w:rPr>
        <w:t>. Th</w:t>
      </w:r>
      <w:r w:rsidR="00AA653C" w:rsidRPr="006F3B88">
        <w:rPr>
          <w:rFonts w:ascii="Book Antiqua" w:hAnsi="Book Antiqua"/>
          <w:color w:val="000000" w:themeColor="text1"/>
        </w:rPr>
        <w:t>ese</w:t>
      </w:r>
      <w:r w:rsidR="001634C4" w:rsidRPr="006F3B88">
        <w:rPr>
          <w:rFonts w:ascii="Book Antiqua" w:hAnsi="Book Antiqua"/>
          <w:color w:val="000000" w:themeColor="text1"/>
        </w:rPr>
        <w:t xml:space="preserve"> result</w:t>
      </w:r>
      <w:r w:rsidR="00AA653C" w:rsidRPr="006F3B88">
        <w:rPr>
          <w:rFonts w:ascii="Book Antiqua" w:hAnsi="Book Antiqua"/>
          <w:color w:val="000000" w:themeColor="text1"/>
        </w:rPr>
        <w:t>s</w:t>
      </w:r>
      <w:r w:rsidR="001634C4" w:rsidRPr="006F3B88">
        <w:rPr>
          <w:rFonts w:ascii="Book Antiqua" w:hAnsi="Book Antiqua"/>
          <w:color w:val="000000" w:themeColor="text1"/>
        </w:rPr>
        <w:t xml:space="preserve"> demonstrated that MIC-1/GDF15 is elevated in participants with pre-malignant and </w:t>
      </w:r>
      <w:r w:rsidR="00B15B4E" w:rsidRPr="006F3B88">
        <w:rPr>
          <w:rFonts w:ascii="Book Antiqua" w:hAnsi="Book Antiqua"/>
          <w:color w:val="000000" w:themeColor="text1"/>
        </w:rPr>
        <w:t>neoplastic</w:t>
      </w:r>
      <w:r w:rsidR="001634C4" w:rsidRPr="006F3B88">
        <w:rPr>
          <w:rFonts w:ascii="Book Antiqua" w:hAnsi="Book Antiqua"/>
          <w:color w:val="000000" w:themeColor="text1"/>
        </w:rPr>
        <w:t xml:space="preserve"> </w:t>
      </w:r>
      <w:r w:rsidR="007B0B9D" w:rsidRPr="006F3B88">
        <w:rPr>
          <w:rFonts w:ascii="Book Antiqua" w:hAnsi="Book Antiqua"/>
          <w:color w:val="000000" w:themeColor="text1"/>
        </w:rPr>
        <w:t>tumours</w:t>
      </w:r>
      <w:r w:rsidR="001634C4" w:rsidRPr="006F3B88">
        <w:rPr>
          <w:rFonts w:ascii="Book Antiqua" w:hAnsi="Book Antiqua"/>
          <w:color w:val="000000" w:themeColor="text1"/>
        </w:rPr>
        <w:t xml:space="preserve">, and </w:t>
      </w:r>
      <w:r w:rsidR="00136312" w:rsidRPr="006F3B88">
        <w:rPr>
          <w:rFonts w:ascii="Book Antiqua" w:hAnsi="Book Antiqua"/>
          <w:color w:val="000000" w:themeColor="text1"/>
        </w:rPr>
        <w:t>seems to bear</w:t>
      </w:r>
      <w:r w:rsidR="001634C4" w:rsidRPr="006F3B88">
        <w:rPr>
          <w:rFonts w:ascii="Book Antiqua" w:hAnsi="Book Antiqua"/>
          <w:color w:val="000000" w:themeColor="text1"/>
        </w:rPr>
        <w:t xml:space="preserve"> similar predictive value to prostate-specific antigen testing for prostate cancer and the faecal occult blood test for colonic </w:t>
      </w:r>
      <w:proofErr w:type="gramStart"/>
      <w:r w:rsidR="001634C4" w:rsidRPr="006F3B88">
        <w:rPr>
          <w:rFonts w:ascii="Book Antiqua" w:hAnsi="Book Antiqua"/>
          <w:color w:val="000000" w:themeColor="text1"/>
        </w:rPr>
        <w:t>adenoma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[</w:t>
      </w:r>
      <w:proofErr w:type="gramEnd"/>
      <w:r w:rsidR="0099073C" w:rsidRPr="006F3B88">
        <w:rPr>
          <w:rFonts w:ascii="Book Antiqua" w:hAnsi="Book Antiqua"/>
          <w:noProof/>
          <w:color w:val="000000" w:themeColor="text1"/>
          <w:vertAlign w:val="superscript"/>
        </w:rPr>
        <w:t>3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6</w:t>
      </w:r>
      <w:r w:rsidR="001634C4" w:rsidRPr="006F3B88">
        <w:rPr>
          <w:rFonts w:ascii="Book Antiqua" w:hAnsi="Book Antiqua"/>
          <w:noProof/>
          <w:color w:val="000000" w:themeColor="text1"/>
          <w:vertAlign w:val="superscript"/>
        </w:rPr>
        <w:t>-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39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1634C4" w:rsidRPr="006F3B88">
        <w:rPr>
          <w:rFonts w:ascii="Book Antiqua" w:hAnsi="Book Antiqua"/>
          <w:color w:val="000000" w:themeColor="text1"/>
        </w:rPr>
        <w:t xml:space="preserve">. Previously </w:t>
      </w:r>
      <w:proofErr w:type="spellStart"/>
      <w:r w:rsidR="001634C4" w:rsidRPr="006F3B88">
        <w:rPr>
          <w:rFonts w:ascii="Book Antiqua" w:hAnsi="Book Antiqua"/>
          <w:color w:val="000000" w:themeColor="text1"/>
        </w:rPr>
        <w:t>Koopmann</w:t>
      </w:r>
      <w:proofErr w:type="spellEnd"/>
      <w:r w:rsidR="001634C4" w:rsidRPr="006F3B88">
        <w:rPr>
          <w:rFonts w:ascii="Book Antiqua" w:hAnsi="Book Antiqua"/>
          <w:color w:val="000000" w:themeColor="text1"/>
        </w:rPr>
        <w:t xml:space="preserve"> </w:t>
      </w:r>
      <w:r w:rsidR="001634C4" w:rsidRPr="006F3B88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="001634C4" w:rsidRPr="006F3B88">
        <w:rPr>
          <w:rFonts w:ascii="Book Antiqua" w:hAnsi="Book Antiqua"/>
          <w:i/>
          <w:iCs/>
          <w:color w:val="000000" w:themeColor="text1"/>
        </w:rPr>
        <w:t>al</w:t>
      </w:r>
      <w:r w:rsidR="00F0573C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F0573C" w:rsidRPr="006F3B88">
        <w:rPr>
          <w:rFonts w:ascii="Book Antiqua" w:hAnsi="Book Antiqua"/>
          <w:color w:val="000000" w:themeColor="text1"/>
          <w:vertAlign w:val="superscript"/>
        </w:rPr>
        <w:t>18]</w:t>
      </w:r>
      <w:r w:rsidR="001634C4" w:rsidRPr="006F3B88">
        <w:rPr>
          <w:rFonts w:ascii="Book Antiqua" w:hAnsi="Book Antiqua"/>
          <w:color w:val="000000" w:themeColor="text1"/>
        </w:rPr>
        <w:t xml:space="preserve"> were able to demonstrate an AUC for MIC-1/GDF15 of 0.81 for the detection of pancreatic adenocarcinoma, and when used in combination with CA19-9, this increased to 0.87.</w:t>
      </w:r>
    </w:p>
    <w:p w:rsidR="00FE5525" w:rsidRPr="006F3B88" w:rsidRDefault="00FE5525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Compared with previous studies that evaluate the role of MIC- 1 in patients with </w:t>
      </w:r>
      <w:r w:rsidR="00E83B79" w:rsidRPr="006F3B88">
        <w:rPr>
          <w:rFonts w:ascii="Book Antiqua" w:hAnsi="Book Antiqua"/>
          <w:color w:val="000000" w:themeColor="text1"/>
        </w:rPr>
        <w:t>known PC</w:t>
      </w:r>
      <w:r w:rsidRPr="006F3B88">
        <w:rPr>
          <w:rFonts w:ascii="Book Antiqua" w:hAnsi="Book Antiqua"/>
          <w:color w:val="000000" w:themeColor="text1"/>
        </w:rPr>
        <w:t xml:space="preserve"> or other malignancies our study design i</w:t>
      </w:r>
      <w:r w:rsidR="009B7287" w:rsidRPr="006F3B88">
        <w:rPr>
          <w:rFonts w:ascii="Book Antiqua" w:hAnsi="Book Antiqua"/>
          <w:color w:val="000000" w:themeColor="text1"/>
        </w:rPr>
        <w:t>s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="009B7287" w:rsidRPr="006F3B88">
        <w:rPr>
          <w:rFonts w:ascii="Book Antiqua" w:hAnsi="Book Antiqua"/>
          <w:color w:val="000000" w:themeColor="text1"/>
        </w:rPr>
        <w:t>unique</w:t>
      </w:r>
      <w:r w:rsidRPr="006F3B88">
        <w:rPr>
          <w:rFonts w:ascii="Book Antiqua" w:hAnsi="Book Antiqua"/>
          <w:color w:val="000000" w:themeColor="text1"/>
        </w:rPr>
        <w:t xml:space="preserve">. </w:t>
      </w:r>
      <w:r w:rsidR="001634C4" w:rsidRPr="006F3B88">
        <w:rPr>
          <w:rFonts w:ascii="Book Antiqua" w:hAnsi="Book Antiqua"/>
          <w:color w:val="000000" w:themeColor="text1"/>
        </w:rPr>
        <w:t xml:space="preserve">This </w:t>
      </w:r>
      <w:r w:rsidRPr="006F3B88">
        <w:rPr>
          <w:rFonts w:ascii="Book Antiqua" w:hAnsi="Book Antiqua"/>
          <w:color w:val="000000" w:themeColor="text1"/>
        </w:rPr>
        <w:t xml:space="preserve">is a pilot </w:t>
      </w:r>
      <w:r w:rsidR="001634C4" w:rsidRPr="006F3B88">
        <w:rPr>
          <w:rFonts w:ascii="Book Antiqua" w:hAnsi="Book Antiqua"/>
          <w:color w:val="000000" w:themeColor="text1"/>
        </w:rPr>
        <w:t>study</w:t>
      </w:r>
      <w:r w:rsidRPr="006F3B88">
        <w:rPr>
          <w:rFonts w:ascii="Book Antiqua" w:hAnsi="Book Antiqua"/>
          <w:color w:val="000000" w:themeColor="text1"/>
        </w:rPr>
        <w:t>,</w:t>
      </w:r>
      <w:r w:rsidR="001634C4" w:rsidRPr="006F3B88">
        <w:rPr>
          <w:rFonts w:ascii="Book Antiqua" w:hAnsi="Book Antiqua"/>
          <w:color w:val="000000" w:themeColor="text1"/>
        </w:rPr>
        <w:t xml:space="preserve"> the first to the </w:t>
      </w:r>
      <w:proofErr w:type="gramStart"/>
      <w:r w:rsidR="001634C4" w:rsidRPr="006F3B88">
        <w:rPr>
          <w:rFonts w:ascii="Book Antiqua" w:hAnsi="Book Antiqua"/>
          <w:color w:val="000000" w:themeColor="text1"/>
        </w:rPr>
        <w:t>authors</w:t>
      </w:r>
      <w:proofErr w:type="gramEnd"/>
      <w:r w:rsidR="001634C4" w:rsidRPr="006F3B88">
        <w:rPr>
          <w:rFonts w:ascii="Book Antiqua" w:hAnsi="Book Antiqua"/>
          <w:color w:val="000000" w:themeColor="text1"/>
        </w:rPr>
        <w:t xml:space="preserve"> knowledge</w:t>
      </w:r>
      <w:r w:rsidRPr="006F3B88">
        <w:rPr>
          <w:rFonts w:ascii="Book Antiqua" w:hAnsi="Book Antiqua"/>
          <w:color w:val="000000" w:themeColor="text1"/>
        </w:rPr>
        <w:t>,</w:t>
      </w:r>
      <w:r w:rsidR="001634C4" w:rsidRPr="006F3B88">
        <w:rPr>
          <w:rFonts w:ascii="Book Antiqua" w:hAnsi="Book Antiqua"/>
          <w:color w:val="000000" w:themeColor="text1"/>
        </w:rPr>
        <w:t xml:space="preserve"> to evaluate serum MIC-1/GDF15 in an asymptomatic population </w:t>
      </w:r>
      <w:r w:rsidR="00C8644C" w:rsidRPr="006F3B88">
        <w:rPr>
          <w:rFonts w:ascii="Book Antiqua" w:hAnsi="Book Antiqua"/>
          <w:color w:val="000000" w:themeColor="text1"/>
        </w:rPr>
        <w:t xml:space="preserve">at </w:t>
      </w:r>
      <w:r w:rsidR="001634C4" w:rsidRPr="006F3B88">
        <w:rPr>
          <w:rFonts w:ascii="Book Antiqua" w:hAnsi="Book Antiqua"/>
          <w:color w:val="000000" w:themeColor="text1"/>
        </w:rPr>
        <w:t>high risk</w:t>
      </w:r>
      <w:r w:rsidRPr="006F3B88">
        <w:rPr>
          <w:rFonts w:ascii="Book Antiqua" w:hAnsi="Book Antiqua"/>
          <w:color w:val="000000" w:themeColor="text1"/>
        </w:rPr>
        <w:t xml:space="preserve"> of </w:t>
      </w:r>
      <w:r w:rsidR="00E83B79" w:rsidRPr="006F3B88">
        <w:rPr>
          <w:rFonts w:ascii="Book Antiqua" w:hAnsi="Book Antiqua"/>
          <w:color w:val="000000" w:themeColor="text1"/>
        </w:rPr>
        <w:t>malignancy in</w:t>
      </w:r>
      <w:r w:rsidR="001634C4" w:rsidRPr="006F3B88">
        <w:rPr>
          <w:rFonts w:ascii="Book Antiqua" w:hAnsi="Book Antiqua"/>
          <w:color w:val="000000" w:themeColor="text1"/>
        </w:rPr>
        <w:t xml:space="preserve"> an established PC screening program.</w:t>
      </w:r>
      <w:r w:rsidR="00EA6C4F" w:rsidRPr="006F3B88">
        <w:rPr>
          <w:rFonts w:ascii="Book Antiqua" w:hAnsi="Book Antiqua"/>
          <w:color w:val="000000" w:themeColor="text1"/>
        </w:rPr>
        <w:t xml:space="preserve"> Based on the inclusion criteria (patients with a genetic predisposition for </w:t>
      </w:r>
      <w:r w:rsidR="00837593" w:rsidRPr="006F3B88">
        <w:rPr>
          <w:rFonts w:ascii="Book Antiqua" w:hAnsi="Book Antiqua"/>
          <w:color w:val="000000" w:themeColor="text1"/>
        </w:rPr>
        <w:t>PC</w:t>
      </w:r>
      <w:r w:rsidR="00EA6C4F" w:rsidRPr="006F3B88">
        <w:rPr>
          <w:rFonts w:ascii="Book Antiqua" w:hAnsi="Book Antiqua"/>
          <w:color w:val="000000" w:themeColor="text1"/>
        </w:rPr>
        <w:t xml:space="preserve">) these participants </w:t>
      </w:r>
      <w:r w:rsidR="00757257" w:rsidRPr="006F3B88">
        <w:rPr>
          <w:rFonts w:ascii="Book Antiqua" w:hAnsi="Book Antiqua"/>
          <w:color w:val="000000" w:themeColor="text1"/>
        </w:rPr>
        <w:t xml:space="preserve">are </w:t>
      </w:r>
      <w:r w:rsidR="00EA6C4F" w:rsidRPr="006F3B88">
        <w:rPr>
          <w:rFonts w:ascii="Book Antiqua" w:hAnsi="Book Antiqua"/>
          <w:color w:val="000000" w:themeColor="text1"/>
        </w:rPr>
        <w:t>at risk of developing other malignancies not just pancreatic</w:t>
      </w:r>
      <w:r w:rsidR="00602B18" w:rsidRPr="006F3B88">
        <w:rPr>
          <w:rFonts w:ascii="Book Antiqua" w:hAnsi="Book Antiqua"/>
          <w:color w:val="000000" w:themeColor="text1"/>
        </w:rPr>
        <w:t>,</w:t>
      </w:r>
      <w:r w:rsidR="00EA6C4F" w:rsidRPr="006F3B88">
        <w:rPr>
          <w:rFonts w:ascii="Book Antiqua" w:hAnsi="Book Antiqua"/>
          <w:color w:val="000000" w:themeColor="text1"/>
        </w:rPr>
        <w:t xml:space="preserve"> as shown in our cohort </w:t>
      </w:r>
      <w:r w:rsidR="00602B18" w:rsidRPr="006F3B88">
        <w:rPr>
          <w:rFonts w:ascii="Book Antiqua" w:hAnsi="Book Antiqua"/>
          <w:color w:val="000000" w:themeColor="text1"/>
        </w:rPr>
        <w:t xml:space="preserve">where </w:t>
      </w:r>
      <w:r w:rsidR="00EA6C4F" w:rsidRPr="006F3B88">
        <w:rPr>
          <w:rFonts w:ascii="Book Antiqua" w:hAnsi="Book Antiqua"/>
          <w:color w:val="000000" w:themeColor="text1"/>
        </w:rPr>
        <w:t>three non</w:t>
      </w:r>
      <w:r w:rsidR="00B15B32" w:rsidRPr="006F3B88">
        <w:rPr>
          <w:rFonts w:ascii="Book Antiqua" w:hAnsi="Book Antiqua"/>
          <w:color w:val="000000" w:themeColor="text1"/>
        </w:rPr>
        <w:t>-</w:t>
      </w:r>
      <w:r w:rsidR="00EA6C4F" w:rsidRPr="006F3B88">
        <w:rPr>
          <w:rFonts w:ascii="Book Antiqua" w:hAnsi="Book Antiqua"/>
          <w:color w:val="000000" w:themeColor="text1"/>
        </w:rPr>
        <w:t>pancreatic malignancies were found</w:t>
      </w:r>
      <w:r w:rsidR="00757257" w:rsidRPr="006F3B88">
        <w:rPr>
          <w:rFonts w:ascii="Book Antiqua" w:hAnsi="Book Antiqua"/>
          <w:color w:val="000000" w:themeColor="text1"/>
        </w:rPr>
        <w:t xml:space="preserve"> at </w:t>
      </w:r>
      <w:r w:rsidR="00F0573C" w:rsidRPr="006F3B88">
        <w:rPr>
          <w:rFonts w:ascii="Book Antiqua" w:hAnsi="Book Antiqua"/>
          <w:color w:val="000000" w:themeColor="text1"/>
        </w:rPr>
        <w:t>an asymptomatic</w:t>
      </w:r>
      <w:r w:rsidR="00757257" w:rsidRPr="006F3B88">
        <w:rPr>
          <w:rFonts w:ascii="Book Antiqua" w:hAnsi="Book Antiqua"/>
          <w:color w:val="000000" w:themeColor="text1"/>
        </w:rPr>
        <w:t xml:space="preserve"> stage</w:t>
      </w:r>
      <w:r w:rsidR="009B7287" w:rsidRPr="006F3B88">
        <w:rPr>
          <w:rFonts w:ascii="Book Antiqua" w:hAnsi="Book Antiqua"/>
          <w:color w:val="000000" w:themeColor="text1"/>
        </w:rPr>
        <w:t xml:space="preserve"> (liver, breast and bladder cancer)</w:t>
      </w:r>
      <w:r w:rsidR="00EA6C4F" w:rsidRPr="006F3B88">
        <w:rPr>
          <w:rFonts w:ascii="Book Antiqua" w:hAnsi="Book Antiqua"/>
          <w:color w:val="000000" w:themeColor="text1"/>
        </w:rPr>
        <w:t>. This study shows that b</w:t>
      </w:r>
      <w:r w:rsidR="002B29EB" w:rsidRPr="006F3B88">
        <w:rPr>
          <w:rFonts w:ascii="Book Antiqua" w:hAnsi="Book Antiqua"/>
          <w:color w:val="000000" w:themeColor="text1"/>
        </w:rPr>
        <w:t>aseline MIC 1 is</w:t>
      </w:r>
      <w:r w:rsidR="00EA6C4F" w:rsidRPr="006F3B88">
        <w:rPr>
          <w:rFonts w:ascii="Book Antiqua" w:hAnsi="Book Antiqua"/>
          <w:color w:val="000000" w:themeColor="text1"/>
        </w:rPr>
        <w:t xml:space="preserve"> </w:t>
      </w:r>
      <w:r w:rsidR="002B29EB" w:rsidRPr="006F3B88">
        <w:rPr>
          <w:rFonts w:ascii="Book Antiqua" w:hAnsi="Book Antiqua"/>
          <w:color w:val="000000" w:themeColor="text1"/>
        </w:rPr>
        <w:t xml:space="preserve">elevated in patient with </w:t>
      </w:r>
      <w:r w:rsidR="00EA6C4F" w:rsidRPr="006F3B88">
        <w:rPr>
          <w:rFonts w:ascii="Book Antiqua" w:hAnsi="Book Antiqua"/>
          <w:color w:val="000000" w:themeColor="text1"/>
        </w:rPr>
        <w:t>neoplastic tumours</w:t>
      </w:r>
      <w:r w:rsidR="002B29EB" w:rsidRPr="006F3B88">
        <w:rPr>
          <w:rFonts w:ascii="Book Antiqua" w:hAnsi="Book Antiqua"/>
          <w:color w:val="000000" w:themeColor="text1"/>
        </w:rPr>
        <w:t xml:space="preserve"> and could be potentially used </w:t>
      </w:r>
      <w:r w:rsidR="00454EA9" w:rsidRPr="006F3B88">
        <w:rPr>
          <w:rFonts w:ascii="Book Antiqua" w:hAnsi="Book Antiqua"/>
          <w:color w:val="000000" w:themeColor="text1"/>
        </w:rPr>
        <w:t>to guide further investigations such as MRI</w:t>
      </w:r>
      <w:r w:rsidR="00A667AB" w:rsidRPr="006F3B88">
        <w:rPr>
          <w:rFonts w:ascii="Book Antiqua" w:hAnsi="Book Antiqua"/>
          <w:color w:val="000000" w:themeColor="text1"/>
        </w:rPr>
        <w:t xml:space="preserve"> or CT</w:t>
      </w:r>
      <w:r w:rsidR="00454EA9" w:rsidRPr="006F3B88">
        <w:rPr>
          <w:rFonts w:ascii="Book Antiqua" w:hAnsi="Book Antiqua"/>
          <w:color w:val="000000" w:themeColor="text1"/>
        </w:rPr>
        <w:t xml:space="preserve"> if EUS </w:t>
      </w:r>
      <w:r w:rsidR="003448F4" w:rsidRPr="006F3B88">
        <w:rPr>
          <w:rFonts w:ascii="Book Antiqua" w:hAnsi="Book Antiqua"/>
          <w:color w:val="000000" w:themeColor="text1"/>
        </w:rPr>
        <w:t xml:space="preserve">is </w:t>
      </w:r>
      <w:r w:rsidR="00454EA9" w:rsidRPr="006F3B88">
        <w:rPr>
          <w:rFonts w:ascii="Book Antiqua" w:hAnsi="Book Antiqua"/>
          <w:color w:val="000000" w:themeColor="text1"/>
        </w:rPr>
        <w:t>negative</w:t>
      </w:r>
      <w:r w:rsidR="009E69A9" w:rsidRPr="006F3B88">
        <w:rPr>
          <w:rFonts w:ascii="Book Antiqua" w:hAnsi="Book Antiqua"/>
          <w:color w:val="000000" w:themeColor="text1"/>
        </w:rPr>
        <w:t xml:space="preserve"> for </w:t>
      </w:r>
      <w:r w:rsidR="00837593" w:rsidRPr="006F3B88">
        <w:rPr>
          <w:rFonts w:ascii="Book Antiqua" w:hAnsi="Book Antiqua"/>
          <w:color w:val="000000" w:themeColor="text1"/>
        </w:rPr>
        <w:t>PC</w:t>
      </w:r>
      <w:r w:rsidR="00454EA9" w:rsidRPr="006F3B88">
        <w:rPr>
          <w:rFonts w:ascii="Book Antiqua" w:hAnsi="Book Antiqua"/>
          <w:color w:val="000000" w:themeColor="text1"/>
        </w:rPr>
        <w:t>.</w:t>
      </w:r>
      <w:r w:rsidR="00A667AB" w:rsidRPr="006F3B88">
        <w:rPr>
          <w:rFonts w:ascii="Book Antiqua" w:hAnsi="Book Antiqua"/>
          <w:color w:val="000000" w:themeColor="text1"/>
        </w:rPr>
        <w:t xml:space="preserve"> </w:t>
      </w:r>
    </w:p>
    <w:p w:rsidR="00F61EC3" w:rsidRPr="006F3B88" w:rsidRDefault="001634C4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The authors acknowledge that due to the nature of the screening program</w:t>
      </w:r>
      <w:r w:rsidR="009B7287" w:rsidRPr="006F3B88">
        <w:rPr>
          <w:rFonts w:ascii="Book Antiqua" w:hAnsi="Book Antiqua"/>
          <w:color w:val="000000" w:themeColor="text1"/>
        </w:rPr>
        <w:t>,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="00EE6D73" w:rsidRPr="006F3B88">
        <w:rPr>
          <w:rFonts w:ascii="Book Antiqua" w:hAnsi="Book Antiqua"/>
          <w:color w:val="000000" w:themeColor="text1"/>
        </w:rPr>
        <w:t xml:space="preserve">the </w:t>
      </w:r>
      <w:r w:rsidRPr="006F3B88">
        <w:rPr>
          <w:rFonts w:ascii="Book Antiqua" w:hAnsi="Book Antiqua"/>
          <w:color w:val="000000" w:themeColor="text1"/>
        </w:rPr>
        <w:t>recruit</w:t>
      </w:r>
      <w:r w:rsidR="00EE6D73" w:rsidRPr="006F3B88">
        <w:rPr>
          <w:rFonts w:ascii="Book Antiqua" w:hAnsi="Book Antiqua"/>
          <w:color w:val="000000" w:themeColor="text1"/>
        </w:rPr>
        <w:t xml:space="preserve">ment of </w:t>
      </w:r>
      <w:r w:rsidRPr="006F3B88">
        <w:rPr>
          <w:rFonts w:ascii="Book Antiqua" w:hAnsi="Book Antiqua"/>
          <w:color w:val="000000" w:themeColor="text1"/>
        </w:rPr>
        <w:t xml:space="preserve">asymptomatic </w:t>
      </w:r>
      <w:r w:rsidR="002B29EB" w:rsidRPr="006F3B88">
        <w:rPr>
          <w:rFonts w:ascii="Book Antiqua" w:hAnsi="Book Antiqua"/>
          <w:color w:val="000000" w:themeColor="text1"/>
        </w:rPr>
        <w:t>high</w:t>
      </w:r>
      <w:r w:rsidR="00EE6D73" w:rsidRPr="006F3B88">
        <w:rPr>
          <w:rFonts w:ascii="Book Antiqua" w:hAnsi="Book Antiqua"/>
          <w:color w:val="000000" w:themeColor="text1"/>
        </w:rPr>
        <w:t>-</w:t>
      </w:r>
      <w:r w:rsidR="002B29EB" w:rsidRPr="006F3B88">
        <w:rPr>
          <w:rFonts w:ascii="Book Antiqua" w:hAnsi="Book Antiqua"/>
          <w:color w:val="000000" w:themeColor="text1"/>
        </w:rPr>
        <w:t xml:space="preserve">risk </w:t>
      </w:r>
      <w:r w:rsidRPr="006F3B88">
        <w:rPr>
          <w:rFonts w:ascii="Book Antiqua" w:hAnsi="Book Antiqua"/>
          <w:color w:val="000000" w:themeColor="text1"/>
        </w:rPr>
        <w:t xml:space="preserve">participants </w:t>
      </w:r>
      <w:r w:rsidR="007B0B9D" w:rsidRPr="006F3B88">
        <w:rPr>
          <w:rFonts w:ascii="Book Antiqua" w:hAnsi="Book Antiqua"/>
          <w:color w:val="000000" w:themeColor="text1"/>
        </w:rPr>
        <w:t xml:space="preserve">is </w:t>
      </w:r>
      <w:r w:rsidR="00EE6D73" w:rsidRPr="006F3B88">
        <w:rPr>
          <w:rFonts w:ascii="Book Antiqua" w:hAnsi="Book Antiqua"/>
          <w:color w:val="000000" w:themeColor="text1"/>
        </w:rPr>
        <w:t xml:space="preserve">time intensive </w:t>
      </w:r>
      <w:r w:rsidR="00454EA9" w:rsidRPr="006F3B88">
        <w:rPr>
          <w:rFonts w:ascii="Book Antiqua" w:hAnsi="Book Antiqua"/>
          <w:color w:val="000000" w:themeColor="text1"/>
        </w:rPr>
        <w:t xml:space="preserve">and </w:t>
      </w:r>
      <w:r w:rsidRPr="006F3B88">
        <w:rPr>
          <w:rFonts w:ascii="Book Antiqua" w:hAnsi="Book Antiqua"/>
          <w:color w:val="000000" w:themeColor="text1"/>
        </w:rPr>
        <w:t>the subsequent low incidence of abnormal EUS results</w:t>
      </w:r>
      <w:r w:rsidR="00F969D0" w:rsidRPr="006F3B88">
        <w:rPr>
          <w:rFonts w:ascii="Book Antiqua" w:hAnsi="Book Antiqua"/>
          <w:color w:val="000000" w:themeColor="text1"/>
        </w:rPr>
        <w:t xml:space="preserve"> and </w:t>
      </w:r>
      <w:r w:rsidRPr="006F3B88">
        <w:rPr>
          <w:rFonts w:ascii="Book Antiqua" w:hAnsi="Book Antiqua"/>
          <w:color w:val="000000" w:themeColor="text1"/>
        </w:rPr>
        <w:t>malignant lesions</w:t>
      </w:r>
      <w:r w:rsidR="00506985" w:rsidRPr="006F3B88">
        <w:rPr>
          <w:rFonts w:ascii="Book Antiqua" w:hAnsi="Book Antiqua"/>
          <w:color w:val="000000" w:themeColor="text1"/>
        </w:rPr>
        <w:t xml:space="preserve"> </w:t>
      </w:r>
      <w:r w:rsidR="009B7287" w:rsidRPr="006F3B88">
        <w:rPr>
          <w:rFonts w:ascii="Book Antiqua" w:hAnsi="Book Antiqua"/>
          <w:color w:val="000000" w:themeColor="text1"/>
        </w:rPr>
        <w:t>are two</w:t>
      </w:r>
      <w:r w:rsidR="00DB41D8" w:rsidRPr="006F3B88">
        <w:rPr>
          <w:rFonts w:ascii="Book Antiqua" w:hAnsi="Book Antiqua"/>
          <w:color w:val="000000" w:themeColor="text1"/>
        </w:rPr>
        <w:t xml:space="preserve"> </w:t>
      </w:r>
      <w:r w:rsidR="009B7287" w:rsidRPr="006F3B88">
        <w:rPr>
          <w:rFonts w:ascii="Book Antiqua" w:hAnsi="Book Antiqua"/>
          <w:color w:val="000000" w:themeColor="text1"/>
        </w:rPr>
        <w:t>limitations of this prospective study</w:t>
      </w:r>
      <w:r w:rsidR="00454EA9" w:rsidRPr="006F3B88">
        <w:rPr>
          <w:rFonts w:ascii="Book Antiqua" w:hAnsi="Book Antiqua"/>
          <w:color w:val="000000" w:themeColor="text1"/>
        </w:rPr>
        <w:t>.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="00454EA9" w:rsidRPr="006F3B88">
        <w:rPr>
          <w:rFonts w:ascii="Book Antiqua" w:hAnsi="Book Antiqua"/>
          <w:color w:val="000000" w:themeColor="text1"/>
        </w:rPr>
        <w:t>F</w:t>
      </w:r>
      <w:r w:rsidRPr="006F3B88">
        <w:rPr>
          <w:rFonts w:ascii="Book Antiqua" w:hAnsi="Book Antiqua"/>
          <w:color w:val="000000" w:themeColor="text1"/>
        </w:rPr>
        <w:t>urther larger prospective multi-centre cohort studies are required</w:t>
      </w:r>
      <w:r w:rsidR="00454EA9" w:rsidRPr="006F3B88">
        <w:rPr>
          <w:rFonts w:ascii="Book Antiqua" w:hAnsi="Book Antiqua"/>
          <w:color w:val="000000" w:themeColor="text1"/>
        </w:rPr>
        <w:t xml:space="preserve"> to further assess the value of MIC-1 in screening for malignancy</w:t>
      </w:r>
      <w:r w:rsidR="00454A6C" w:rsidRPr="006F3B88">
        <w:rPr>
          <w:rFonts w:ascii="Book Antiqua" w:hAnsi="Book Antiqua"/>
          <w:color w:val="000000" w:themeColor="text1"/>
        </w:rPr>
        <w:t xml:space="preserve"> in </w:t>
      </w:r>
      <w:r w:rsidR="007B0B9D" w:rsidRPr="006F3B88">
        <w:rPr>
          <w:rFonts w:ascii="Book Antiqua" w:hAnsi="Book Antiqua"/>
          <w:color w:val="000000" w:themeColor="text1"/>
        </w:rPr>
        <w:t>this type of cohort</w:t>
      </w:r>
      <w:r w:rsidRPr="006F3B88">
        <w:rPr>
          <w:rFonts w:ascii="Book Antiqua" w:hAnsi="Book Antiqua"/>
          <w:color w:val="000000" w:themeColor="text1"/>
        </w:rPr>
        <w:t xml:space="preserve">. </w:t>
      </w:r>
    </w:p>
    <w:p w:rsidR="00F61EC3" w:rsidRPr="006F3B88" w:rsidRDefault="00F61EC3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The authors echo the findings of Wang </w:t>
      </w:r>
      <w:r w:rsidRPr="006F3B88">
        <w:rPr>
          <w:rFonts w:ascii="Book Antiqua" w:hAnsi="Book Antiqua"/>
          <w:i/>
          <w:iCs/>
          <w:color w:val="000000" w:themeColor="text1"/>
        </w:rPr>
        <w:t xml:space="preserve">et </w:t>
      </w:r>
      <w:proofErr w:type="gramStart"/>
      <w:r w:rsidRPr="006F3B88">
        <w:rPr>
          <w:rFonts w:ascii="Book Antiqua" w:hAnsi="Book Antiqua"/>
          <w:i/>
          <w:iCs/>
          <w:color w:val="000000" w:themeColor="text1"/>
        </w:rPr>
        <w:t>al</w:t>
      </w:r>
      <w:r w:rsidR="0082080E" w:rsidRPr="006F3B88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82080E" w:rsidRPr="006F3B88">
        <w:rPr>
          <w:rFonts w:ascii="Book Antiqua" w:hAnsi="Book Antiqua"/>
          <w:color w:val="000000" w:themeColor="text1"/>
          <w:vertAlign w:val="superscript"/>
        </w:rPr>
        <w:t>40]</w:t>
      </w:r>
      <w:r w:rsidRPr="006F3B88">
        <w:rPr>
          <w:rFonts w:ascii="Book Antiqua" w:hAnsi="Book Antiqua"/>
          <w:color w:val="000000" w:themeColor="text1"/>
        </w:rPr>
        <w:t xml:space="preserve"> who stated that serum MIC-1/GDF15 should be interpreted cautiously due to the potential for a broad range of values in the general population and the need to control for multiple confounding </w:t>
      </w:r>
      <w:r w:rsidRPr="006F3B88">
        <w:rPr>
          <w:rFonts w:ascii="Book Antiqua" w:hAnsi="Book Antiqua"/>
          <w:color w:val="000000" w:themeColor="text1"/>
        </w:rPr>
        <w:lastRenderedPageBreak/>
        <w:t xml:space="preserve">factors, particularly inflammation promoting an elevated </w:t>
      </w:r>
      <w:r w:rsidR="0026649D" w:rsidRPr="006F3B88">
        <w:rPr>
          <w:rFonts w:ascii="Book Antiqua" w:hAnsi="Book Antiqua"/>
          <w:color w:val="000000" w:themeColor="text1"/>
        </w:rPr>
        <w:t xml:space="preserve">MIC-1 </w:t>
      </w:r>
      <w:r w:rsidRPr="006F3B88">
        <w:rPr>
          <w:rFonts w:ascii="Book Antiqua" w:hAnsi="Book Antiqua"/>
          <w:color w:val="000000" w:themeColor="text1"/>
        </w:rPr>
        <w:t xml:space="preserve">serum level. </w:t>
      </w:r>
      <w:r w:rsidR="00F969D0" w:rsidRPr="006F3B88">
        <w:rPr>
          <w:rFonts w:ascii="Book Antiqua" w:hAnsi="Book Antiqua"/>
          <w:color w:val="000000" w:themeColor="text1"/>
        </w:rPr>
        <w:t xml:space="preserve">We controlled </w:t>
      </w:r>
      <w:r w:rsidR="00F0573C" w:rsidRPr="006F3B88">
        <w:rPr>
          <w:rFonts w:ascii="Book Antiqua" w:hAnsi="Book Antiqua"/>
          <w:color w:val="000000" w:themeColor="text1"/>
        </w:rPr>
        <w:t>for conditions</w:t>
      </w:r>
      <w:r w:rsidR="00F969D0" w:rsidRPr="006F3B88">
        <w:rPr>
          <w:rFonts w:ascii="Book Antiqua" w:hAnsi="Book Antiqua"/>
          <w:color w:val="000000" w:themeColor="text1"/>
        </w:rPr>
        <w:t xml:space="preserve"> that influence MIC-1 levels</w:t>
      </w:r>
      <w:r w:rsidR="00882E71" w:rsidRPr="006F3B88">
        <w:rPr>
          <w:rFonts w:ascii="Book Antiqua" w:hAnsi="Book Antiqua"/>
          <w:color w:val="000000" w:themeColor="text1"/>
        </w:rPr>
        <w:t xml:space="preserve"> by</w:t>
      </w:r>
      <w:r w:rsidR="00F969D0" w:rsidRPr="006F3B88">
        <w:rPr>
          <w:rFonts w:ascii="Book Antiqua" w:hAnsi="Book Antiqua"/>
          <w:color w:val="000000" w:themeColor="text1"/>
        </w:rPr>
        <w:t xml:space="preserve"> using C</w:t>
      </w:r>
      <w:r w:rsidR="00EC000D" w:rsidRPr="006F3B88">
        <w:rPr>
          <w:rFonts w:ascii="Book Antiqua" w:hAnsi="Book Antiqua"/>
          <w:color w:val="000000" w:themeColor="text1"/>
        </w:rPr>
        <w:t>RP</w:t>
      </w:r>
      <w:r w:rsidR="00F969D0" w:rsidRPr="006F3B88">
        <w:rPr>
          <w:rFonts w:ascii="Book Antiqua" w:hAnsi="Book Antiqua"/>
          <w:color w:val="000000" w:themeColor="text1"/>
        </w:rPr>
        <w:t xml:space="preserve"> as marker of active inflammation</w:t>
      </w:r>
      <w:r w:rsidR="00506985" w:rsidRPr="006F3B88">
        <w:rPr>
          <w:rFonts w:ascii="Book Antiqua" w:hAnsi="Book Antiqua"/>
          <w:color w:val="000000" w:themeColor="text1"/>
        </w:rPr>
        <w:t xml:space="preserve"> and </w:t>
      </w:r>
      <w:r w:rsidR="00F969D0" w:rsidRPr="006F3B88">
        <w:rPr>
          <w:rFonts w:ascii="Book Antiqua" w:hAnsi="Book Antiqua"/>
          <w:color w:val="000000" w:themeColor="text1"/>
        </w:rPr>
        <w:t xml:space="preserve">excluding patients with congestive heart failure, renal failure, </w:t>
      </w:r>
      <w:r w:rsidR="00741934" w:rsidRPr="006F3B88">
        <w:rPr>
          <w:rFonts w:ascii="Book Antiqua" w:hAnsi="Book Antiqua"/>
          <w:color w:val="000000" w:themeColor="text1"/>
        </w:rPr>
        <w:t xml:space="preserve">human immunodeficiency virus </w:t>
      </w:r>
      <w:r w:rsidR="00F969D0" w:rsidRPr="006F3B88">
        <w:rPr>
          <w:rFonts w:ascii="Book Antiqua" w:hAnsi="Book Antiqua"/>
          <w:color w:val="000000" w:themeColor="text1"/>
        </w:rPr>
        <w:t>and known malignancy.</w:t>
      </w:r>
      <w:r w:rsidR="00B15B32" w:rsidRPr="006F3B88">
        <w:rPr>
          <w:rFonts w:ascii="Book Antiqua" w:hAnsi="Book Antiqua"/>
          <w:color w:val="000000" w:themeColor="text1"/>
        </w:rPr>
        <w:t xml:space="preserve"> </w:t>
      </w:r>
    </w:p>
    <w:p w:rsidR="00F0573C" w:rsidRPr="006F3B88" w:rsidRDefault="001634C4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Although this study was not able to detect a significant change in serum MIC-1/GDF-15 in participants who had a normal then subsequent abnormal </w:t>
      </w:r>
      <w:proofErr w:type="gramStart"/>
      <w:r w:rsidRPr="006F3B88">
        <w:rPr>
          <w:rFonts w:ascii="Book Antiqua" w:hAnsi="Book Antiqua"/>
          <w:color w:val="000000" w:themeColor="text1"/>
        </w:rPr>
        <w:t>EU</w:t>
      </w:r>
      <w:r w:rsidR="002B0438" w:rsidRPr="006F3B88">
        <w:rPr>
          <w:rFonts w:ascii="Book Antiqua" w:hAnsi="Book Antiqua"/>
          <w:color w:val="000000" w:themeColor="text1"/>
        </w:rPr>
        <w:t>S ,</w:t>
      </w:r>
      <w:proofErr w:type="gramEnd"/>
      <w:r w:rsidR="002B0438" w:rsidRPr="006F3B88">
        <w:rPr>
          <w:rFonts w:ascii="Book Antiqua" w:hAnsi="Book Antiqua"/>
          <w:color w:val="000000" w:themeColor="text1"/>
        </w:rPr>
        <w:t xml:space="preserve"> further studies should endeavour to explore whether percentage change in MIC-1/GDF15 is indicative of </w:t>
      </w:r>
      <w:proofErr w:type="spellStart"/>
      <w:r w:rsidR="002B0438" w:rsidRPr="006F3B88">
        <w:rPr>
          <w:rFonts w:ascii="Book Antiqua" w:hAnsi="Book Antiqua"/>
          <w:color w:val="000000" w:themeColor="text1"/>
        </w:rPr>
        <w:t>tumorigenesis</w:t>
      </w:r>
      <w:proofErr w:type="spellEnd"/>
      <w:r w:rsidR="002B0438" w:rsidRPr="006F3B88">
        <w:rPr>
          <w:rFonts w:ascii="Book Antiqua" w:hAnsi="Book Antiqua"/>
          <w:color w:val="000000" w:themeColor="text1"/>
        </w:rPr>
        <w:t xml:space="preserve"> in populations at high risk for developing cancer.</w:t>
      </w:r>
    </w:p>
    <w:p w:rsidR="00507930" w:rsidRPr="006F3B88" w:rsidRDefault="00752FA3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A limitation of the use of MIC-1/GDF15 as a biomarker is a wide normal serum range</w:t>
      </w:r>
      <w:r w:rsidR="009B7287" w:rsidRPr="006F3B88">
        <w:rPr>
          <w:rFonts w:ascii="Book Antiqua" w:hAnsi="Book Antiqua"/>
          <w:color w:val="000000" w:themeColor="text1"/>
        </w:rPr>
        <w:t>.</w:t>
      </w:r>
      <w:r w:rsidR="00E33CBE" w:rsidRPr="006F3B88">
        <w:rPr>
          <w:rFonts w:ascii="Book Antiqua" w:hAnsi="Book Antiqua"/>
          <w:color w:val="000000" w:themeColor="text1"/>
        </w:rPr>
        <w:t xml:space="preserve"> </w:t>
      </w:r>
      <w:r w:rsidR="00F969D0" w:rsidRPr="006F3B88">
        <w:rPr>
          <w:rFonts w:ascii="Book Antiqua" w:hAnsi="Book Antiqua"/>
          <w:color w:val="000000" w:themeColor="text1"/>
        </w:rPr>
        <w:t>Serial monitoring of an individual’s MIC-1/GDF15 serum level would identify those with increasing levels, even those that were within the normal range. I</w:t>
      </w:r>
      <w:r w:rsidR="001634C4" w:rsidRPr="006F3B88">
        <w:rPr>
          <w:rFonts w:ascii="Book Antiqua" w:hAnsi="Book Antiqua"/>
          <w:color w:val="000000" w:themeColor="text1"/>
        </w:rPr>
        <w:t>t is the aim of this screening program to implement se</w:t>
      </w:r>
      <w:r w:rsidR="00F969D0" w:rsidRPr="006F3B88">
        <w:rPr>
          <w:rFonts w:ascii="Book Antiqua" w:hAnsi="Book Antiqua"/>
          <w:color w:val="000000" w:themeColor="text1"/>
        </w:rPr>
        <w:t>rial</w:t>
      </w:r>
      <w:r w:rsidR="001634C4" w:rsidRPr="006F3B88">
        <w:rPr>
          <w:rFonts w:ascii="Book Antiqua" w:hAnsi="Book Antiqua"/>
          <w:color w:val="000000" w:themeColor="text1"/>
        </w:rPr>
        <w:t xml:space="preserve"> serum MIC-1/GDF15 </w:t>
      </w:r>
      <w:r w:rsidR="00997C6F" w:rsidRPr="006F3B88">
        <w:rPr>
          <w:rFonts w:ascii="Book Antiqua" w:hAnsi="Book Antiqua"/>
          <w:color w:val="000000" w:themeColor="text1"/>
        </w:rPr>
        <w:t xml:space="preserve">to assess if with </w:t>
      </w:r>
      <w:r w:rsidR="001634C4" w:rsidRPr="006F3B88">
        <w:rPr>
          <w:rFonts w:ascii="Book Antiqua" w:hAnsi="Book Antiqua"/>
          <w:color w:val="000000" w:themeColor="text1"/>
        </w:rPr>
        <w:t>a large enough sample size</w:t>
      </w:r>
      <w:r w:rsidR="00782605" w:rsidRPr="006F3B88">
        <w:rPr>
          <w:rFonts w:ascii="Book Antiqua" w:hAnsi="Book Antiqua"/>
          <w:color w:val="000000" w:themeColor="text1"/>
        </w:rPr>
        <w:t xml:space="preserve"> and long</w:t>
      </w:r>
      <w:r w:rsidR="00EE6D73" w:rsidRPr="006F3B88">
        <w:rPr>
          <w:rFonts w:ascii="Book Antiqua" w:hAnsi="Book Antiqua"/>
          <w:color w:val="000000" w:themeColor="text1"/>
        </w:rPr>
        <w:t>-</w:t>
      </w:r>
      <w:r w:rsidR="00782605" w:rsidRPr="006F3B88">
        <w:rPr>
          <w:rFonts w:ascii="Book Antiqua" w:hAnsi="Book Antiqua"/>
          <w:color w:val="000000" w:themeColor="text1"/>
        </w:rPr>
        <w:t>term follow-up</w:t>
      </w:r>
      <w:r w:rsidR="001634C4" w:rsidRPr="006F3B88">
        <w:rPr>
          <w:rFonts w:ascii="Book Antiqua" w:hAnsi="Book Antiqua"/>
          <w:color w:val="000000" w:themeColor="text1"/>
        </w:rPr>
        <w:t xml:space="preserve">, a statistically significant result </w:t>
      </w:r>
      <w:r w:rsidR="00F97076" w:rsidRPr="006F3B88">
        <w:rPr>
          <w:rFonts w:ascii="Book Antiqua" w:hAnsi="Book Antiqua"/>
          <w:color w:val="000000" w:themeColor="text1"/>
        </w:rPr>
        <w:t xml:space="preserve">can be </w:t>
      </w:r>
      <w:r w:rsidR="001634C4" w:rsidRPr="006F3B88">
        <w:rPr>
          <w:rFonts w:ascii="Book Antiqua" w:hAnsi="Book Antiqua"/>
          <w:color w:val="000000" w:themeColor="text1"/>
        </w:rPr>
        <w:t>achieved</w:t>
      </w:r>
      <w:r w:rsidR="009E7806" w:rsidRPr="006F3B88">
        <w:rPr>
          <w:rFonts w:ascii="Book Antiqua" w:hAnsi="Book Antiqua"/>
          <w:color w:val="000000" w:themeColor="text1"/>
        </w:rPr>
        <w:t xml:space="preserve">. </w:t>
      </w:r>
    </w:p>
    <w:p w:rsidR="001634C4" w:rsidRPr="006F3B88" w:rsidRDefault="001634C4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Fu</w:t>
      </w:r>
      <w:r w:rsidR="00862415" w:rsidRPr="006F3B88">
        <w:rPr>
          <w:rFonts w:ascii="Book Antiqua" w:hAnsi="Book Antiqua"/>
          <w:color w:val="000000" w:themeColor="text1"/>
        </w:rPr>
        <w:t>ture</w:t>
      </w:r>
      <w:r w:rsidRPr="006F3B88">
        <w:rPr>
          <w:rFonts w:ascii="Book Antiqua" w:hAnsi="Book Antiqua"/>
          <w:color w:val="000000" w:themeColor="text1"/>
        </w:rPr>
        <w:t xml:space="preserve"> studies should aim to further evaluate and analyse MIC-1/GDF15 in both the general population and in </w:t>
      </w:r>
      <w:r w:rsidR="00583C52" w:rsidRPr="006F3B88">
        <w:rPr>
          <w:rFonts w:ascii="Book Antiqua" w:hAnsi="Book Antiqua"/>
          <w:color w:val="000000" w:themeColor="text1"/>
        </w:rPr>
        <w:t xml:space="preserve">patients at risk of malignancy due to a genetic predisposition </w:t>
      </w:r>
      <w:r w:rsidRPr="006F3B88">
        <w:rPr>
          <w:rFonts w:ascii="Book Antiqua" w:hAnsi="Book Antiqua"/>
          <w:color w:val="000000" w:themeColor="text1"/>
        </w:rPr>
        <w:t>to determine how th</w:t>
      </w:r>
      <w:r w:rsidR="00583C52" w:rsidRPr="006F3B88">
        <w:rPr>
          <w:rFonts w:ascii="Book Antiqua" w:hAnsi="Book Antiqua"/>
          <w:color w:val="000000" w:themeColor="text1"/>
        </w:rPr>
        <w:t>is</w:t>
      </w:r>
      <w:r w:rsidRPr="006F3B88">
        <w:rPr>
          <w:rFonts w:ascii="Book Antiqua" w:hAnsi="Book Antiqua"/>
          <w:color w:val="000000" w:themeColor="text1"/>
        </w:rPr>
        <w:t xml:space="preserve"> serum biomarker can be better applied in the clinical setting with intention to facilitate its progressive implementation regularly in the clinical domain, along with being further assessed in the academic </w:t>
      </w:r>
      <w:proofErr w:type="gramStart"/>
      <w:r w:rsidRPr="006F3B88">
        <w:rPr>
          <w:rFonts w:ascii="Book Antiqua" w:hAnsi="Book Antiqua"/>
          <w:color w:val="000000" w:themeColor="text1"/>
        </w:rPr>
        <w:t>setting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[</w:t>
      </w:r>
      <w:proofErr w:type="gramEnd"/>
      <w:r w:rsidR="00C25276" w:rsidRPr="006F3B88">
        <w:rPr>
          <w:rFonts w:ascii="Book Antiqua" w:hAnsi="Book Antiqua"/>
          <w:noProof/>
          <w:color w:val="000000" w:themeColor="text1"/>
          <w:vertAlign w:val="superscript"/>
        </w:rPr>
        <w:t>4</w:t>
      </w:r>
      <w:r w:rsidR="00307911" w:rsidRPr="006F3B88">
        <w:rPr>
          <w:rFonts w:ascii="Book Antiqua" w:hAnsi="Book Antiqua"/>
          <w:noProof/>
          <w:color w:val="000000" w:themeColor="text1"/>
          <w:vertAlign w:val="superscript"/>
        </w:rPr>
        <w:t>0</w:t>
      </w:r>
      <w:r w:rsidR="00BE456D" w:rsidRPr="006F3B88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Pr="006F3B88">
        <w:rPr>
          <w:rFonts w:ascii="Book Antiqua" w:hAnsi="Book Antiqua"/>
          <w:color w:val="000000" w:themeColor="text1"/>
        </w:rPr>
        <w:t xml:space="preserve">. </w:t>
      </w:r>
    </w:p>
    <w:p w:rsidR="004D2746" w:rsidRPr="006F3B88" w:rsidRDefault="00F0573C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/>
          <w:bCs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In conclusion, this</w:t>
      </w:r>
      <w:r w:rsidR="00BB5F11" w:rsidRPr="006F3B88">
        <w:rPr>
          <w:rFonts w:ascii="Book Antiqua" w:hAnsi="Book Antiqua"/>
          <w:color w:val="000000" w:themeColor="text1"/>
        </w:rPr>
        <w:t xml:space="preserve"> pilot </w:t>
      </w:r>
      <w:r w:rsidR="004D2746" w:rsidRPr="006F3B88">
        <w:rPr>
          <w:rFonts w:ascii="Book Antiqua" w:hAnsi="Book Antiqua"/>
          <w:color w:val="000000" w:themeColor="text1"/>
        </w:rPr>
        <w:t xml:space="preserve">study, the first of its kind to implement MIC-1/GDF15 as a screening tool in an asymptomatic population with a genetic predisposition of developing PC, provides moderate support to the previous findings that MIC-1/GDF15 is elevated in patients with neoplastic </w:t>
      </w:r>
      <w:proofErr w:type="gramStart"/>
      <w:r w:rsidR="004D2746" w:rsidRPr="006F3B88">
        <w:rPr>
          <w:rFonts w:ascii="Book Antiqua" w:hAnsi="Book Antiqua"/>
          <w:color w:val="000000" w:themeColor="text1"/>
        </w:rPr>
        <w:t>tumours,</w:t>
      </w:r>
      <w:proofErr w:type="gramEnd"/>
      <w:r w:rsidR="004D2746" w:rsidRPr="006F3B88">
        <w:rPr>
          <w:rFonts w:ascii="Book Antiqua" w:hAnsi="Book Antiqua"/>
          <w:color w:val="000000" w:themeColor="text1"/>
        </w:rPr>
        <w:t xml:space="preserve"> however the sample size used to assess this was small. In addition, this study highlights that an elevated MIC-1/GDF</w:t>
      </w:r>
      <w:r w:rsidR="00E83B79" w:rsidRPr="006F3B88">
        <w:rPr>
          <w:rFonts w:ascii="Book Antiqua" w:hAnsi="Book Antiqua"/>
          <w:color w:val="000000" w:themeColor="text1"/>
        </w:rPr>
        <w:t>15 in</w:t>
      </w:r>
      <w:r w:rsidR="004D2746" w:rsidRPr="006F3B88">
        <w:rPr>
          <w:rFonts w:ascii="Book Antiqua" w:hAnsi="Book Antiqua"/>
          <w:color w:val="000000" w:themeColor="text1"/>
        </w:rPr>
        <w:t xml:space="preserve"> </w:t>
      </w:r>
      <w:r w:rsidR="00AA7198" w:rsidRPr="006F3B88">
        <w:rPr>
          <w:rFonts w:ascii="Book Antiqua" w:hAnsi="Book Antiqua"/>
          <w:color w:val="000000" w:themeColor="text1"/>
        </w:rPr>
        <w:t>the</w:t>
      </w:r>
      <w:r w:rsidR="004D2746" w:rsidRPr="006F3B88">
        <w:rPr>
          <w:rFonts w:ascii="Book Antiqua" w:hAnsi="Book Antiqua"/>
          <w:color w:val="000000" w:themeColor="text1"/>
        </w:rPr>
        <w:t xml:space="preserve"> context of a negative pancreatic EUS in a high risk of malignancy cohort may warrant further investigation to determine whether an occult malignancy exists.</w:t>
      </w:r>
    </w:p>
    <w:p w:rsidR="00D400A8" w:rsidRPr="006F3B88" w:rsidRDefault="00D400A8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While population based screening is difficult to implement due to wide range of normal values and its elevation in</w:t>
      </w:r>
      <w:r w:rsidR="00EF3A1E" w:rsidRPr="006F3B88">
        <w:rPr>
          <w:rFonts w:ascii="Book Antiqua" w:hAnsi="Book Antiqua"/>
          <w:color w:val="000000" w:themeColor="text1"/>
        </w:rPr>
        <w:t xml:space="preserve"> select disease processes</w:t>
      </w:r>
      <w:r w:rsidRPr="006F3B88">
        <w:rPr>
          <w:rFonts w:ascii="Book Antiqua" w:hAnsi="Book Antiqua"/>
          <w:color w:val="000000" w:themeColor="text1"/>
        </w:rPr>
        <w:t xml:space="preserve">, MIC-1 might be better suited for screening for malignancy in patients with hereditary cancer syndromes where baseline and serial measurement </w:t>
      </w:r>
      <w:r w:rsidR="001A324A" w:rsidRPr="006F3B88">
        <w:rPr>
          <w:rFonts w:ascii="Book Antiqua" w:hAnsi="Book Antiqua"/>
          <w:color w:val="000000" w:themeColor="text1"/>
        </w:rPr>
        <w:t xml:space="preserve">can be </w:t>
      </w:r>
      <w:r w:rsidRPr="006F3B88">
        <w:rPr>
          <w:rFonts w:ascii="Book Antiqua" w:hAnsi="Book Antiqua"/>
          <w:color w:val="000000" w:themeColor="text1"/>
        </w:rPr>
        <w:t>use</w:t>
      </w:r>
      <w:r w:rsidR="00EF3A1E" w:rsidRPr="006F3B88">
        <w:rPr>
          <w:rFonts w:ascii="Book Antiqua" w:hAnsi="Book Antiqua"/>
          <w:color w:val="000000" w:themeColor="text1"/>
        </w:rPr>
        <w:t>d</w:t>
      </w:r>
      <w:r w:rsidRPr="006F3B88">
        <w:rPr>
          <w:rFonts w:ascii="Book Antiqua" w:hAnsi="Book Antiqua"/>
          <w:color w:val="000000" w:themeColor="text1"/>
        </w:rPr>
        <w:t xml:space="preserve"> in combination with other </w:t>
      </w:r>
      <w:r w:rsidR="00EF3A1E" w:rsidRPr="006F3B88">
        <w:rPr>
          <w:rFonts w:ascii="Book Antiqua" w:hAnsi="Book Antiqua"/>
          <w:color w:val="000000" w:themeColor="text1"/>
        </w:rPr>
        <w:lastRenderedPageBreak/>
        <w:t xml:space="preserve">validated serological </w:t>
      </w:r>
      <w:r w:rsidRPr="006F3B88">
        <w:rPr>
          <w:rFonts w:ascii="Book Antiqua" w:hAnsi="Book Antiqua"/>
          <w:color w:val="000000" w:themeColor="text1"/>
        </w:rPr>
        <w:t xml:space="preserve">markers </w:t>
      </w:r>
      <w:r w:rsidR="00EF3A1E" w:rsidRPr="006F3B88">
        <w:rPr>
          <w:rFonts w:ascii="Book Antiqua" w:hAnsi="Book Antiqua"/>
          <w:color w:val="000000" w:themeColor="text1"/>
        </w:rPr>
        <w:t xml:space="preserve">to </w:t>
      </w:r>
      <w:r w:rsidRPr="006F3B88">
        <w:rPr>
          <w:rFonts w:ascii="Book Antiqua" w:hAnsi="Book Antiqua"/>
          <w:color w:val="000000" w:themeColor="text1"/>
        </w:rPr>
        <w:t>overcome many of these limitations</w:t>
      </w:r>
      <w:r w:rsidR="00131F38" w:rsidRPr="006F3B88">
        <w:rPr>
          <w:rFonts w:ascii="Book Antiqua" w:hAnsi="Book Antiqua"/>
          <w:color w:val="000000" w:themeColor="text1"/>
        </w:rPr>
        <w:t xml:space="preserve"> and</w:t>
      </w:r>
      <w:r w:rsidR="00EF3A1E" w:rsidRPr="006F3B88">
        <w:rPr>
          <w:rFonts w:ascii="Book Antiqua" w:hAnsi="Book Antiqua"/>
          <w:color w:val="000000" w:themeColor="text1"/>
        </w:rPr>
        <w:t xml:space="preserve"> potentially</w:t>
      </w:r>
      <w:r w:rsidR="00131F38" w:rsidRPr="006F3B88">
        <w:rPr>
          <w:rFonts w:ascii="Book Antiqua" w:hAnsi="Book Antiqua"/>
          <w:color w:val="000000" w:themeColor="text1"/>
        </w:rPr>
        <w:t xml:space="preserve"> select patients who require further investigations</w:t>
      </w:r>
      <w:r w:rsidR="004B0E97" w:rsidRPr="006F3B88">
        <w:rPr>
          <w:rFonts w:ascii="Book Antiqua" w:hAnsi="Book Antiqua"/>
          <w:color w:val="000000" w:themeColor="text1"/>
        </w:rPr>
        <w:t>.</w:t>
      </w:r>
    </w:p>
    <w:p w:rsidR="00033F80" w:rsidRPr="006F3B88" w:rsidRDefault="00033F80" w:rsidP="006F3B88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Larger </w:t>
      </w:r>
      <w:proofErr w:type="spellStart"/>
      <w:r w:rsidRPr="006F3B88">
        <w:rPr>
          <w:rFonts w:ascii="Book Antiqua" w:hAnsi="Book Antiqua"/>
          <w:color w:val="000000" w:themeColor="text1"/>
        </w:rPr>
        <w:t>multicentric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prospective studies are required to further define the role of MIC-1/GDF15 as a serological biomarker in pre-malignant pancreatic lesions and neoplastic tumours.</w:t>
      </w:r>
    </w:p>
    <w:p w:rsidR="00C43C73" w:rsidRPr="006F3B88" w:rsidRDefault="00C43C73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E83B79" w:rsidRPr="006F3B88" w:rsidRDefault="00E83B79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  <w:lang w:eastAsia="zh-CN"/>
        </w:rPr>
      </w:pPr>
      <w:r w:rsidRPr="006F3B88">
        <w:rPr>
          <w:rFonts w:ascii="Book Antiqua" w:hAnsi="Book Antiqua"/>
          <w:b/>
          <w:color w:val="000000" w:themeColor="text1"/>
          <w:u w:val="single"/>
        </w:rPr>
        <w:t>ARTICLE HIGHLIGHTS</w:t>
      </w: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6F3B88">
        <w:rPr>
          <w:rFonts w:ascii="Book Antiqua" w:hAnsi="Book Antiqua"/>
          <w:b/>
          <w:i/>
          <w:color w:val="000000" w:themeColor="text1"/>
        </w:rPr>
        <w:t>Research background</w:t>
      </w:r>
    </w:p>
    <w:p w:rsidR="00D70186" w:rsidRPr="006F3B88" w:rsidRDefault="00D15AE2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>Early detection of pancreatic cancer</w:t>
      </w:r>
      <w:r w:rsidR="00837593" w:rsidRPr="006F3B88">
        <w:rPr>
          <w:rFonts w:ascii="Book Antiqua" w:hAnsi="Book Antiqua"/>
          <w:color w:val="000000" w:themeColor="text1"/>
        </w:rPr>
        <w:t xml:space="preserve"> (PC)</w:t>
      </w:r>
      <w:r w:rsidRPr="006F3B88">
        <w:rPr>
          <w:rFonts w:ascii="Book Antiqua" w:hAnsi="Book Antiqua"/>
          <w:color w:val="000000" w:themeColor="text1"/>
        </w:rPr>
        <w:t xml:space="preserve"> is a key priority in order to improve survival. </w:t>
      </w:r>
      <w:r w:rsidR="00837593" w:rsidRPr="006F3B88">
        <w:rPr>
          <w:rFonts w:ascii="Book Antiqua" w:hAnsi="Book Antiqua"/>
          <w:bCs/>
          <w:color w:val="000000" w:themeColor="text1"/>
        </w:rPr>
        <w:t>Macrophage inhibitory cytokine-1 or growth differentiation factor-15 (MIC-1/GDF15)</w:t>
      </w:r>
      <w:r w:rsidR="00D70186"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color w:val="000000" w:themeColor="text1"/>
        </w:rPr>
        <w:t xml:space="preserve">is </w:t>
      </w:r>
      <w:r w:rsidR="00D70186" w:rsidRPr="006F3B88">
        <w:rPr>
          <w:rFonts w:ascii="Book Antiqua" w:hAnsi="Book Antiqua"/>
          <w:color w:val="000000" w:themeColor="text1"/>
        </w:rPr>
        <w:t xml:space="preserve">a novel candidate tumour marker for </w:t>
      </w:r>
      <w:r w:rsidR="00837593" w:rsidRPr="006F3B88">
        <w:rPr>
          <w:rFonts w:ascii="Book Antiqua" w:hAnsi="Book Antiqua"/>
          <w:color w:val="000000" w:themeColor="text1"/>
        </w:rPr>
        <w:t>PC</w:t>
      </w:r>
      <w:r w:rsidR="00D70186" w:rsidRPr="006F3B88">
        <w:rPr>
          <w:rFonts w:ascii="Book Antiqua" w:hAnsi="Book Antiqua"/>
          <w:color w:val="000000" w:themeColor="text1"/>
        </w:rPr>
        <w:t xml:space="preserve"> with initial results proving to be elevated in the serum of patients with </w:t>
      </w:r>
      <w:r w:rsidR="00837593" w:rsidRPr="006F3B88">
        <w:rPr>
          <w:rFonts w:ascii="Book Antiqua" w:hAnsi="Book Antiqua"/>
          <w:color w:val="000000" w:themeColor="text1"/>
        </w:rPr>
        <w:t>PC</w:t>
      </w:r>
      <w:r w:rsidR="00D70186" w:rsidRPr="006F3B88">
        <w:rPr>
          <w:rFonts w:ascii="Book Antiqua" w:hAnsi="Book Antiqua"/>
          <w:color w:val="000000" w:themeColor="text1"/>
        </w:rPr>
        <w:t xml:space="preserve"> compared to healthy controls and those with benign lesions.</w:t>
      </w:r>
      <w:r w:rsidRPr="006F3B88">
        <w:rPr>
          <w:rFonts w:ascii="Book Antiqua" w:hAnsi="Book Antiqua"/>
          <w:color w:val="000000" w:themeColor="text1"/>
        </w:rPr>
        <w:t xml:space="preserve"> </w:t>
      </w: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6F3B88">
        <w:rPr>
          <w:rFonts w:ascii="Book Antiqua" w:hAnsi="Book Antiqua"/>
          <w:b/>
          <w:i/>
          <w:color w:val="000000" w:themeColor="text1"/>
        </w:rPr>
        <w:t>Research motivation</w:t>
      </w:r>
    </w:p>
    <w:p w:rsidR="008D0E2B" w:rsidRPr="006F3B88" w:rsidRDefault="008D0E2B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We need an early sensitive and specific serological marker that can be used as a first line screening tool in patients at risk of </w:t>
      </w:r>
      <w:r w:rsidR="00837593" w:rsidRPr="006F3B88">
        <w:rPr>
          <w:rFonts w:ascii="Book Antiqua" w:hAnsi="Book Antiqua"/>
          <w:color w:val="000000" w:themeColor="text1"/>
        </w:rPr>
        <w:t>PC</w:t>
      </w:r>
      <w:r w:rsidRPr="006F3B88">
        <w:rPr>
          <w:rFonts w:ascii="Book Antiqua" w:hAnsi="Book Antiqua"/>
          <w:color w:val="000000" w:themeColor="text1"/>
        </w:rPr>
        <w:t xml:space="preserve"> and help select cases that need further investigations, such as </w:t>
      </w:r>
      <w:r w:rsidR="00F0573C" w:rsidRPr="006F3B88">
        <w:rPr>
          <w:rFonts w:ascii="Book Antiqua" w:hAnsi="Book Antiqua"/>
          <w:bCs/>
          <w:color w:val="000000" w:themeColor="text1"/>
        </w:rPr>
        <w:t xml:space="preserve">endoscopic ultrasound (EUS) </w:t>
      </w:r>
      <w:r w:rsidRPr="006F3B88">
        <w:rPr>
          <w:rFonts w:ascii="Book Antiqua" w:hAnsi="Book Antiqua"/>
          <w:color w:val="000000" w:themeColor="text1"/>
        </w:rPr>
        <w:t xml:space="preserve">or </w:t>
      </w:r>
      <w:r w:rsidR="00F0573C" w:rsidRPr="006F3B88">
        <w:rPr>
          <w:rFonts w:ascii="Book Antiqua" w:hAnsi="Book Antiqua"/>
          <w:color w:val="000000" w:themeColor="text1"/>
        </w:rPr>
        <w:t>magnetic resonance imaging</w:t>
      </w:r>
      <w:r w:rsidRPr="006F3B88">
        <w:rPr>
          <w:rFonts w:ascii="Book Antiqua" w:hAnsi="Book Antiqua"/>
          <w:color w:val="000000" w:themeColor="text1"/>
        </w:rPr>
        <w:t xml:space="preserve">. This study </w:t>
      </w:r>
      <w:r w:rsidR="00457951" w:rsidRPr="006F3B88">
        <w:rPr>
          <w:rFonts w:ascii="Book Antiqua" w:hAnsi="Book Antiqua"/>
          <w:color w:val="000000" w:themeColor="text1"/>
        </w:rPr>
        <w:t>evaluates</w:t>
      </w:r>
      <w:r w:rsidRPr="006F3B88">
        <w:rPr>
          <w:rFonts w:ascii="Book Antiqua" w:hAnsi="Book Antiqua"/>
          <w:color w:val="000000" w:themeColor="text1"/>
        </w:rPr>
        <w:t xml:space="preserve"> the role of MIC-1 in patients at high risk of developing </w:t>
      </w:r>
      <w:r w:rsidR="00837593" w:rsidRPr="006F3B88">
        <w:rPr>
          <w:rFonts w:ascii="Book Antiqua" w:hAnsi="Book Antiqua"/>
          <w:color w:val="000000" w:themeColor="text1"/>
        </w:rPr>
        <w:t>PC</w:t>
      </w:r>
      <w:r w:rsidRPr="006F3B88">
        <w:rPr>
          <w:rFonts w:ascii="Book Antiqua" w:hAnsi="Book Antiqua"/>
          <w:color w:val="000000" w:themeColor="text1"/>
        </w:rPr>
        <w:t>.</w:t>
      </w: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:rsidR="00B1624E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6F3B88">
        <w:rPr>
          <w:rFonts w:ascii="Book Antiqua" w:hAnsi="Book Antiqua"/>
          <w:b/>
          <w:i/>
          <w:color w:val="000000" w:themeColor="text1"/>
        </w:rPr>
        <w:t>Research objectives</w:t>
      </w:r>
    </w:p>
    <w:p w:rsidR="00D15AE2" w:rsidRPr="006F3B88" w:rsidRDefault="00D15AE2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T</w:t>
      </w:r>
      <w:r w:rsidR="00BB5F11" w:rsidRPr="006F3B88">
        <w:rPr>
          <w:rFonts w:ascii="Book Antiqua" w:hAnsi="Book Antiqua"/>
          <w:bCs/>
          <w:color w:val="000000" w:themeColor="text1"/>
        </w:rPr>
        <w:t xml:space="preserve">his is a pilot study to </w:t>
      </w:r>
      <w:r w:rsidRPr="006F3B88">
        <w:rPr>
          <w:rFonts w:ascii="Book Antiqua" w:hAnsi="Book Antiqua"/>
          <w:bCs/>
          <w:color w:val="000000" w:themeColor="text1"/>
        </w:rPr>
        <w:t>determine the role of MIC-1 in detecting pre-malignant pancreatic lesions and neoplastic tumours in an asymptomatic high-risk cohort part of Australian Pancreatic Cancer Screening Program</w:t>
      </w:r>
      <w:r w:rsidR="008D0E2B" w:rsidRPr="006F3B88">
        <w:rPr>
          <w:rFonts w:ascii="Book Antiqua" w:hAnsi="Book Antiqua"/>
          <w:bCs/>
          <w:color w:val="000000" w:themeColor="text1"/>
        </w:rPr>
        <w:t xml:space="preserve"> and correlate with imaging finding.</w:t>
      </w: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6F3B88">
        <w:rPr>
          <w:rFonts w:ascii="Book Antiqua" w:hAnsi="Book Antiqua"/>
          <w:b/>
          <w:i/>
          <w:color w:val="000000" w:themeColor="text1"/>
        </w:rPr>
        <w:t>Research methods</w:t>
      </w:r>
    </w:p>
    <w:p w:rsidR="00BD643D" w:rsidRPr="006F3B88" w:rsidRDefault="00DD0D27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Participants recruited for yearly surveillance with </w:t>
      </w:r>
      <w:r w:rsidR="00837593" w:rsidRPr="006F3B88">
        <w:rPr>
          <w:rFonts w:ascii="Book Antiqua" w:hAnsi="Book Antiqua"/>
          <w:bCs/>
          <w:color w:val="000000" w:themeColor="text1"/>
        </w:rPr>
        <w:t>EUS</w:t>
      </w:r>
      <w:r w:rsidRPr="006F3B88">
        <w:rPr>
          <w:rFonts w:ascii="Book Antiqua" w:hAnsi="Book Antiqua"/>
          <w:bCs/>
          <w:color w:val="000000" w:themeColor="text1"/>
        </w:rPr>
        <w:t xml:space="preserve"> had serial fasting blood samples collected for MIC</w:t>
      </w:r>
      <w:r w:rsidR="0004146B" w:rsidRPr="006F3B88">
        <w:rPr>
          <w:rFonts w:ascii="Book Antiqua" w:hAnsi="Book Antiqua"/>
          <w:bCs/>
          <w:color w:val="000000" w:themeColor="text1"/>
        </w:rPr>
        <w:t>-</w:t>
      </w:r>
      <w:r w:rsidRPr="006F3B88">
        <w:rPr>
          <w:rFonts w:ascii="Book Antiqua" w:hAnsi="Book Antiqua"/>
          <w:bCs/>
          <w:color w:val="000000" w:themeColor="text1"/>
        </w:rPr>
        <w:t xml:space="preserve">1, </w:t>
      </w:r>
      <w:r w:rsidR="00837593" w:rsidRPr="006F3B88">
        <w:rPr>
          <w:rFonts w:ascii="Book Antiqua" w:hAnsi="Book Antiqua"/>
          <w:color w:val="000000" w:themeColor="text1"/>
        </w:rPr>
        <w:t>C-reactive protein</w:t>
      </w:r>
      <w:r w:rsidR="00837593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and </w:t>
      </w:r>
      <w:r w:rsidR="00F0573C" w:rsidRPr="006F3B88">
        <w:rPr>
          <w:rFonts w:ascii="Book Antiqua" w:hAnsi="Book Antiqua"/>
          <w:color w:val="000000" w:themeColor="text1"/>
        </w:rPr>
        <w:t>carbohydrate antigen 19-9</w:t>
      </w:r>
      <w:r w:rsidRPr="006F3B88">
        <w:rPr>
          <w:rFonts w:ascii="Book Antiqua" w:hAnsi="Book Antiqua"/>
          <w:bCs/>
          <w:color w:val="000000" w:themeColor="text1"/>
        </w:rPr>
        <w:t>. Patients were stratified into five groups based on EUS findings</w:t>
      </w:r>
      <w:r w:rsidR="0004146B" w:rsidRPr="006F3B88">
        <w:rPr>
          <w:rFonts w:ascii="Book Antiqua" w:hAnsi="Book Antiqua"/>
          <w:bCs/>
          <w:color w:val="000000" w:themeColor="text1"/>
        </w:rPr>
        <w:t xml:space="preserve">. </w:t>
      </w:r>
      <w:r w:rsidRPr="006F3B88">
        <w:rPr>
          <w:rFonts w:ascii="Book Antiqua" w:hAnsi="Book Antiqua"/>
          <w:color w:val="000000" w:themeColor="text1"/>
        </w:rPr>
        <w:t>MIC-1 serum levels were quantified using ELIS</w:t>
      </w:r>
      <w:r w:rsidR="0004146B" w:rsidRPr="006F3B88">
        <w:rPr>
          <w:rFonts w:ascii="Book Antiqua" w:hAnsi="Book Antiqua"/>
          <w:color w:val="000000" w:themeColor="text1"/>
        </w:rPr>
        <w:t>A and correlations of MIC-1 with population variables</w:t>
      </w:r>
      <w:r w:rsidR="00961E9F" w:rsidRPr="006F3B88">
        <w:rPr>
          <w:rFonts w:ascii="Book Antiqua" w:hAnsi="Book Antiqua"/>
          <w:color w:val="000000" w:themeColor="text1"/>
        </w:rPr>
        <w:t xml:space="preserve"> </w:t>
      </w:r>
      <w:r w:rsidR="00961E9F" w:rsidRPr="006F3B88">
        <w:rPr>
          <w:rFonts w:ascii="Book Antiqua" w:hAnsi="Book Antiqua"/>
          <w:color w:val="000000" w:themeColor="text1"/>
        </w:rPr>
        <w:lastRenderedPageBreak/>
        <w:t>and imaging findings</w:t>
      </w:r>
      <w:r w:rsidR="00E33CBE" w:rsidRPr="006F3B88">
        <w:rPr>
          <w:rFonts w:ascii="Book Antiqua" w:hAnsi="Book Antiqua"/>
          <w:color w:val="000000" w:themeColor="text1"/>
        </w:rPr>
        <w:t xml:space="preserve"> </w:t>
      </w:r>
      <w:r w:rsidR="0004146B" w:rsidRPr="006F3B88">
        <w:rPr>
          <w:rFonts w:ascii="Book Antiqua" w:hAnsi="Book Antiqua"/>
          <w:color w:val="000000" w:themeColor="text1"/>
        </w:rPr>
        <w:t>were performed. A receiver operating characteristic curve of MIC-1 was generated for its ability to determine the presence or absence of</w:t>
      </w:r>
      <w:r w:rsidR="00E33CBE" w:rsidRPr="006F3B88">
        <w:rPr>
          <w:rFonts w:ascii="Book Antiqua" w:hAnsi="Book Antiqua"/>
          <w:color w:val="000000" w:themeColor="text1"/>
        </w:rPr>
        <w:t xml:space="preserve"> </w:t>
      </w:r>
      <w:r w:rsidR="003A395D" w:rsidRPr="006F3B88">
        <w:rPr>
          <w:rFonts w:ascii="Book Antiqua" w:hAnsi="Book Antiqua"/>
          <w:color w:val="000000" w:themeColor="text1"/>
        </w:rPr>
        <w:t xml:space="preserve">neoplastic </w:t>
      </w:r>
      <w:proofErr w:type="gramStart"/>
      <w:r w:rsidR="003A395D" w:rsidRPr="006F3B88">
        <w:rPr>
          <w:rFonts w:ascii="Book Antiqua" w:hAnsi="Book Antiqua"/>
          <w:color w:val="000000" w:themeColor="text1"/>
        </w:rPr>
        <w:t>tumours</w:t>
      </w:r>
      <w:r w:rsidR="003E2C4E" w:rsidRPr="006F3B88">
        <w:rPr>
          <w:rFonts w:ascii="Book Antiqua" w:hAnsi="Book Antiqua"/>
          <w:color w:val="000000" w:themeColor="text1"/>
        </w:rPr>
        <w:t xml:space="preserve"> </w:t>
      </w:r>
      <w:r w:rsidR="003A395D" w:rsidRPr="006F3B88">
        <w:rPr>
          <w:rFonts w:ascii="Book Antiqua" w:hAnsi="Book Antiqua"/>
          <w:color w:val="000000" w:themeColor="text1"/>
        </w:rPr>
        <w:t>,</w:t>
      </w:r>
      <w:proofErr w:type="gramEnd"/>
      <w:r w:rsidR="003A395D" w:rsidRPr="006F3B88">
        <w:rPr>
          <w:rFonts w:ascii="Book Antiqua" w:hAnsi="Book Antiqua"/>
          <w:color w:val="000000" w:themeColor="text1"/>
        </w:rPr>
        <w:t xml:space="preserve"> </w:t>
      </w:r>
      <w:r w:rsidR="0004146B" w:rsidRPr="006F3B88">
        <w:rPr>
          <w:rFonts w:ascii="Book Antiqua" w:hAnsi="Book Antiqua"/>
          <w:color w:val="000000" w:themeColor="text1"/>
        </w:rPr>
        <w:t>pancreatic cyst</w:t>
      </w:r>
      <w:r w:rsidR="00515E9C" w:rsidRPr="006F3B88">
        <w:rPr>
          <w:rFonts w:ascii="Book Antiqua" w:hAnsi="Book Antiqua"/>
          <w:color w:val="000000" w:themeColor="text1"/>
        </w:rPr>
        <w:t>s</w:t>
      </w:r>
      <w:r w:rsidR="0004146B" w:rsidRPr="006F3B88">
        <w:rPr>
          <w:rFonts w:ascii="Book Antiqua" w:hAnsi="Book Antiqua"/>
          <w:color w:val="000000" w:themeColor="text1"/>
        </w:rPr>
        <w:t xml:space="preserve">, </w:t>
      </w:r>
      <w:r w:rsidR="006C1429" w:rsidRPr="006F3B88">
        <w:rPr>
          <w:rFonts w:ascii="Book Antiqua" w:hAnsi="Book Antiqua"/>
          <w:color w:val="000000" w:themeColor="text1"/>
        </w:rPr>
        <w:t xml:space="preserve">branch-duct </w:t>
      </w:r>
      <w:proofErr w:type="spellStart"/>
      <w:r w:rsidR="006C1429" w:rsidRPr="006F3B88">
        <w:rPr>
          <w:rFonts w:ascii="Book Antiqua" w:hAnsi="Book Antiqua"/>
          <w:color w:val="000000" w:themeColor="text1"/>
        </w:rPr>
        <w:t>intraductal</w:t>
      </w:r>
      <w:proofErr w:type="spellEnd"/>
      <w:r w:rsidR="006C1429" w:rsidRPr="006F3B88">
        <w:rPr>
          <w:rFonts w:ascii="Book Antiqua" w:hAnsi="Book Antiqua"/>
          <w:color w:val="000000" w:themeColor="text1"/>
        </w:rPr>
        <w:t xml:space="preserve"> papillary mucinous neoplasm</w:t>
      </w:r>
      <w:r w:rsidR="003A395D" w:rsidRPr="006F3B88">
        <w:rPr>
          <w:rFonts w:ascii="Book Antiqua" w:hAnsi="Book Antiqua"/>
          <w:color w:val="000000" w:themeColor="text1"/>
        </w:rPr>
        <w:t xml:space="preserve"> and </w:t>
      </w:r>
      <w:r w:rsidR="0004146B" w:rsidRPr="006F3B88">
        <w:rPr>
          <w:rFonts w:ascii="Book Antiqua" w:hAnsi="Book Antiqua"/>
          <w:color w:val="000000" w:themeColor="text1"/>
        </w:rPr>
        <w:t>diffuse non-specific abnormality using serum levels adjusted for variables shown to either be significantly related to MIC-1/GDF-15 concentrations in this study, or have shown to correlate with MIC-1/GDF15 in previous studies.</w:t>
      </w:r>
    </w:p>
    <w:p w:rsidR="0004146B" w:rsidRPr="006F3B88" w:rsidRDefault="0004146B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color w:val="000000" w:themeColor="text1"/>
        </w:rPr>
      </w:pP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6F3B88">
        <w:rPr>
          <w:rFonts w:ascii="Book Antiqua" w:hAnsi="Book Antiqua"/>
          <w:b/>
          <w:i/>
          <w:color w:val="000000" w:themeColor="text1"/>
        </w:rPr>
        <w:t>Research results</w:t>
      </w:r>
    </w:p>
    <w:p w:rsidR="007A700C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One hundred twenty </w:t>
      </w:r>
      <w:r w:rsidR="007A700C" w:rsidRPr="006F3B88">
        <w:rPr>
          <w:rFonts w:ascii="Book Antiqua" w:hAnsi="Book Antiqua"/>
          <w:bCs/>
          <w:color w:val="000000" w:themeColor="text1"/>
        </w:rPr>
        <w:t xml:space="preserve">participants were recruited over 8 years. Baseline serum MIC-1 was a significant predictor of neoplastic tumours on </w:t>
      </w:r>
      <w:r w:rsidR="00F0573C" w:rsidRPr="006F3B88">
        <w:rPr>
          <w:rFonts w:ascii="Book Antiqua" w:hAnsi="Book Antiqua"/>
          <w:color w:val="000000" w:themeColor="text1"/>
        </w:rPr>
        <w:t xml:space="preserve">receiver operating characteristic </w:t>
      </w:r>
      <w:r w:rsidR="007A700C" w:rsidRPr="006F3B88">
        <w:rPr>
          <w:rFonts w:ascii="Book Antiqua" w:hAnsi="Book Antiqua"/>
          <w:bCs/>
          <w:color w:val="000000" w:themeColor="text1"/>
        </w:rPr>
        <w:t xml:space="preserve">curve analysis. </w:t>
      </w:r>
      <w:r w:rsidR="00B3622E" w:rsidRPr="006F3B88">
        <w:rPr>
          <w:rFonts w:ascii="Book Antiqua" w:hAnsi="Book Antiqua"/>
          <w:bCs/>
          <w:color w:val="000000" w:themeColor="text1"/>
        </w:rPr>
        <w:t xml:space="preserve">Baseline serum MIC-1 had moderate predictive capacity for branch-duct </w:t>
      </w:r>
      <w:proofErr w:type="spellStart"/>
      <w:r w:rsidR="00B3622E" w:rsidRPr="006F3B88">
        <w:rPr>
          <w:rFonts w:ascii="Book Antiqua" w:hAnsi="Book Antiqua"/>
          <w:color w:val="000000" w:themeColor="text1"/>
        </w:rPr>
        <w:t>intraductal</w:t>
      </w:r>
      <w:proofErr w:type="spellEnd"/>
      <w:r w:rsidR="00B3622E" w:rsidRPr="006F3B88">
        <w:rPr>
          <w:rFonts w:ascii="Book Antiqua" w:hAnsi="Book Antiqua"/>
          <w:color w:val="000000" w:themeColor="text1"/>
        </w:rPr>
        <w:t xml:space="preserve"> papillary mucinous neoplasm</w:t>
      </w:r>
      <w:r w:rsidR="00B3622E" w:rsidRPr="006F3B88">
        <w:rPr>
          <w:rFonts w:ascii="Book Antiqua" w:hAnsi="Book Antiqua"/>
          <w:bCs/>
          <w:color w:val="000000" w:themeColor="text1"/>
        </w:rPr>
        <w:t xml:space="preserve"> (AUC = 0.644) and neoplastic tumours noted on EUS (AUC = 0.793), however this was not significant (</w:t>
      </w:r>
      <w:r w:rsidR="00B3622E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="00B3622E" w:rsidRPr="006F3B88">
        <w:rPr>
          <w:rFonts w:ascii="Book Antiqua" w:hAnsi="Book Antiqua"/>
          <w:bCs/>
          <w:color w:val="000000" w:themeColor="text1"/>
        </w:rPr>
        <w:t>= 0.188 and 0.081 respectively). Serial serum MIC-1/GDF15 did not demonstrate a significant percentage change between a normal and abnormal EUS</w:t>
      </w:r>
      <w:r w:rsidR="004B055B" w:rsidRPr="006F3B88">
        <w:rPr>
          <w:rFonts w:ascii="Book Antiqua" w:hAnsi="Book Antiqua"/>
          <w:bCs/>
          <w:color w:val="000000" w:themeColor="text1"/>
        </w:rPr>
        <w:t>.</w:t>
      </w:r>
      <w:r w:rsidR="007A700C" w:rsidRPr="006F3B88">
        <w:rPr>
          <w:rFonts w:ascii="Book Antiqua" w:hAnsi="Book Antiqua"/>
          <w:bCs/>
          <w:color w:val="000000" w:themeColor="text1"/>
        </w:rPr>
        <w:t xml:space="preserve"> Median baseline MIC-1/GDF15 was greater in those with neoplastic tumours compared to those diagnosed with a benign lesion</w:t>
      </w:r>
      <w:r w:rsidR="00331CF4" w:rsidRPr="006F3B88">
        <w:rPr>
          <w:rFonts w:ascii="Book Antiqua" w:hAnsi="Book Antiqua"/>
          <w:bCs/>
          <w:color w:val="000000" w:themeColor="text1"/>
        </w:rPr>
        <w:t>.</w:t>
      </w: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6F3B88">
        <w:rPr>
          <w:rFonts w:ascii="Book Antiqua" w:hAnsi="Book Antiqua"/>
          <w:b/>
          <w:i/>
          <w:color w:val="000000" w:themeColor="text1"/>
        </w:rPr>
        <w:t>Research conclusions</w:t>
      </w:r>
    </w:p>
    <w:p w:rsidR="00BD643D" w:rsidRPr="006F3B88" w:rsidRDefault="00457951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 xml:space="preserve">MIC-1 has predictive capacity for neoplastic tumours in asymptomatic individuals with a genetic predisposition for </w:t>
      </w:r>
      <w:r w:rsidR="00837593" w:rsidRPr="006F3B88">
        <w:rPr>
          <w:rFonts w:ascii="Book Antiqua" w:hAnsi="Book Antiqua"/>
          <w:bCs/>
          <w:color w:val="000000" w:themeColor="text1"/>
        </w:rPr>
        <w:t>PC</w:t>
      </w:r>
      <w:r w:rsidRPr="006F3B88">
        <w:rPr>
          <w:rFonts w:ascii="Book Antiqua" w:hAnsi="Book Antiqua"/>
          <w:bCs/>
          <w:color w:val="000000" w:themeColor="text1"/>
        </w:rPr>
        <w:t>. Further imagining may be warranted in patients with raised serum MIC-1</w:t>
      </w:r>
      <w:r w:rsidR="003E3021" w:rsidRPr="006F3B88">
        <w:rPr>
          <w:rFonts w:ascii="Book Antiqua" w:hAnsi="Book Antiqua"/>
          <w:bCs/>
          <w:color w:val="000000" w:themeColor="text1"/>
        </w:rPr>
        <w:t xml:space="preserve"> and abnormal EUS.</w:t>
      </w:r>
    </w:p>
    <w:p w:rsidR="00457951" w:rsidRPr="006F3B88" w:rsidRDefault="00457951" w:rsidP="006F3B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:rsidR="00BD643D" w:rsidRPr="006F3B88" w:rsidRDefault="00BD643D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6F3B88">
        <w:rPr>
          <w:rFonts w:ascii="Book Antiqua" w:hAnsi="Book Antiqua"/>
          <w:b/>
          <w:i/>
          <w:color w:val="000000" w:themeColor="text1"/>
        </w:rPr>
        <w:t>Research perspectives</w:t>
      </w:r>
    </w:p>
    <w:p w:rsidR="00B1624E" w:rsidRPr="006F3B88" w:rsidRDefault="00B1624E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t>This</w:t>
      </w:r>
      <w:r w:rsidR="00BB5F11" w:rsidRPr="006F3B88">
        <w:rPr>
          <w:rFonts w:ascii="Book Antiqua" w:hAnsi="Book Antiqua"/>
          <w:bCs/>
          <w:color w:val="000000" w:themeColor="text1"/>
        </w:rPr>
        <w:t xml:space="preserve"> pilot</w:t>
      </w:r>
      <w:r w:rsidRPr="006F3B88">
        <w:rPr>
          <w:rFonts w:ascii="Book Antiqua" w:hAnsi="Book Antiqua"/>
          <w:bCs/>
          <w:color w:val="000000" w:themeColor="text1"/>
        </w:rPr>
        <w:t xml:space="preserve"> study is the first of its kind to implement MIC-</w:t>
      </w:r>
      <w:r w:rsidR="00122D77" w:rsidRPr="006F3B88">
        <w:rPr>
          <w:rFonts w:ascii="Book Antiqua" w:hAnsi="Book Antiqua"/>
          <w:bCs/>
          <w:color w:val="000000" w:themeColor="text1"/>
        </w:rPr>
        <w:t>1</w:t>
      </w:r>
      <w:r w:rsidRPr="006F3B88">
        <w:rPr>
          <w:rFonts w:ascii="Book Antiqua" w:hAnsi="Book Antiqua"/>
          <w:bCs/>
          <w:color w:val="000000" w:themeColor="text1"/>
        </w:rPr>
        <w:t xml:space="preserve"> as a screening tool in an asymptomatic population with a genetic predisposition of developing </w:t>
      </w:r>
      <w:r w:rsidR="00837593" w:rsidRPr="006F3B88">
        <w:rPr>
          <w:rFonts w:ascii="Book Antiqua" w:hAnsi="Book Antiqua"/>
          <w:bCs/>
          <w:color w:val="000000" w:themeColor="text1"/>
        </w:rPr>
        <w:t>PC</w:t>
      </w:r>
      <w:r w:rsidRPr="006F3B88">
        <w:rPr>
          <w:rFonts w:ascii="Book Antiqua" w:hAnsi="Book Antiqua"/>
          <w:color w:val="000000" w:themeColor="text1"/>
        </w:rPr>
        <w:t xml:space="preserve">. </w:t>
      </w:r>
      <w:r w:rsidRPr="006F3B88">
        <w:rPr>
          <w:rFonts w:ascii="Book Antiqua" w:hAnsi="Book Antiqua"/>
          <w:bCs/>
          <w:color w:val="000000" w:themeColor="text1"/>
        </w:rPr>
        <w:t>Our study is a feasibility study and we hope</w:t>
      </w:r>
      <w:r w:rsidR="00E33CBE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 xml:space="preserve">our results will start a new wave of research (larger, </w:t>
      </w:r>
      <w:proofErr w:type="spellStart"/>
      <w:r w:rsidRPr="006F3B88">
        <w:rPr>
          <w:rFonts w:ascii="Book Antiqua" w:hAnsi="Book Antiqua"/>
          <w:bCs/>
          <w:color w:val="000000" w:themeColor="text1"/>
        </w:rPr>
        <w:t>multicentric</w:t>
      </w:r>
      <w:proofErr w:type="spellEnd"/>
      <w:r w:rsidRPr="006F3B88">
        <w:rPr>
          <w:rFonts w:ascii="Book Antiqua" w:hAnsi="Book Antiqua"/>
          <w:bCs/>
          <w:color w:val="000000" w:themeColor="text1"/>
        </w:rPr>
        <w:t>, prospective trials) into investigating the role of this biomarker in early detection of neoplastic tumours to validate our finding and provide further characterisation of this biomarker.</w:t>
      </w:r>
    </w:p>
    <w:p w:rsidR="00507930" w:rsidRPr="006F3B88" w:rsidRDefault="00507930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</w:p>
    <w:p w:rsidR="00E83B79" w:rsidRPr="006F3B88" w:rsidRDefault="00E83B79" w:rsidP="006F3B88">
      <w:pPr>
        <w:pStyle w:val="paragraph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theme="minorHAnsi"/>
          <w:color w:val="000000" w:themeColor="text1"/>
          <w:u w:val="single"/>
        </w:rPr>
      </w:pPr>
      <w:r w:rsidRPr="006F3B88">
        <w:rPr>
          <w:rStyle w:val="normaltextrun"/>
          <w:rFonts w:ascii="Book Antiqua" w:hAnsi="Book Antiqua" w:cstheme="minorHAnsi"/>
          <w:b/>
          <w:bCs/>
          <w:color w:val="000000" w:themeColor="text1"/>
          <w:u w:val="single"/>
        </w:rPr>
        <w:lastRenderedPageBreak/>
        <w:t>ACKNOWLEDGEMENTS</w:t>
      </w:r>
    </w:p>
    <w:p w:rsidR="00837593" w:rsidRPr="0001281B" w:rsidRDefault="0083759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1281B">
        <w:rPr>
          <w:rFonts w:ascii="Book Antiqua" w:hAnsi="Book Antiqua"/>
          <w:color w:val="000000" w:themeColor="text1"/>
        </w:rPr>
        <w:t xml:space="preserve">We would like to acknowledge </w:t>
      </w:r>
      <w:r w:rsidR="0001281B" w:rsidRPr="0001281B">
        <w:rPr>
          <w:rFonts w:ascii="Book Antiqua" w:hAnsi="Book Antiqua" w:cs="Arial"/>
          <w:color w:val="2E3033"/>
          <w:shd w:val="clear" w:color="auto" w:fill="FFFFFF"/>
        </w:rPr>
        <w:t>Professor</w:t>
      </w:r>
      <w:r w:rsidRPr="0001281B">
        <w:rPr>
          <w:rFonts w:ascii="Book Antiqua" w:hAnsi="Book Antiqua"/>
          <w:color w:val="000000" w:themeColor="text1"/>
        </w:rPr>
        <w:t xml:space="preserve"> Sam </w:t>
      </w:r>
      <w:proofErr w:type="spellStart"/>
      <w:r w:rsidRPr="0001281B">
        <w:rPr>
          <w:rFonts w:ascii="Book Antiqua" w:hAnsi="Book Antiqua"/>
          <w:color w:val="000000" w:themeColor="text1"/>
        </w:rPr>
        <w:t>Breit</w:t>
      </w:r>
      <w:proofErr w:type="spellEnd"/>
      <w:r w:rsidRPr="0001281B">
        <w:rPr>
          <w:rFonts w:ascii="Book Antiqua" w:hAnsi="Book Antiqua"/>
          <w:color w:val="000000" w:themeColor="text1"/>
        </w:rPr>
        <w:t xml:space="preserve">, </w:t>
      </w:r>
      <w:r w:rsidR="0001281B" w:rsidRPr="0001281B">
        <w:rPr>
          <w:rFonts w:ascii="Book Antiqua" w:hAnsi="Book Antiqua" w:cs="Arial"/>
          <w:color w:val="2E3033"/>
          <w:shd w:val="clear" w:color="auto" w:fill="FFFFFF"/>
        </w:rPr>
        <w:t>Professor</w:t>
      </w:r>
      <w:r w:rsidRPr="0001281B">
        <w:rPr>
          <w:rFonts w:ascii="Book Antiqua" w:hAnsi="Book Antiqua"/>
          <w:color w:val="000000" w:themeColor="text1"/>
        </w:rPr>
        <w:t xml:space="preserve"> David Brown and Michelle Ng from</w:t>
      </w:r>
      <w:r w:rsidRPr="0001281B">
        <w:rPr>
          <w:rFonts w:ascii="Book Antiqua" w:hAnsi="Book Antiqua" w:cs="Arial"/>
          <w:color w:val="000000" w:themeColor="text1"/>
          <w:shd w:val="clear" w:color="auto" w:fill="FFFFFF"/>
        </w:rPr>
        <w:t xml:space="preserve"> the Inflammation and Cytokine Biology Research Program</w:t>
      </w:r>
      <w:r w:rsidRPr="0001281B">
        <w:rPr>
          <w:rFonts w:ascii="Book Antiqua" w:hAnsi="Book Antiqua"/>
          <w:color w:val="000000" w:themeColor="text1"/>
        </w:rPr>
        <w:t xml:space="preserve">, </w:t>
      </w:r>
      <w:r w:rsidRPr="0001281B">
        <w:rPr>
          <w:rFonts w:ascii="Book Antiqua" w:hAnsi="Book Antiqua"/>
          <w:bCs/>
          <w:color w:val="000000" w:themeColor="text1"/>
        </w:rPr>
        <w:t xml:space="preserve">St </w:t>
      </w:r>
      <w:r w:rsidRPr="0001281B">
        <w:rPr>
          <w:rFonts w:ascii="Book Antiqua" w:hAnsi="Book Antiqua"/>
          <w:color w:val="000000" w:themeColor="text1"/>
        </w:rPr>
        <w:t xml:space="preserve">Vincent’s Centre of Applied Medical Research, St Vincent’s Hospital, Sydney, NSW, Australia who helped with performing MIC-1 and provided guidance in assessing its role in screening for PC. We thank </w:t>
      </w:r>
      <w:proofErr w:type="spellStart"/>
      <w:r w:rsidRPr="0001281B">
        <w:rPr>
          <w:rFonts w:ascii="Book Antiqua" w:hAnsi="Book Antiqua"/>
          <w:color w:val="000000" w:themeColor="text1"/>
        </w:rPr>
        <w:t>Pancare</w:t>
      </w:r>
      <w:proofErr w:type="spellEnd"/>
      <w:r w:rsidRPr="0001281B">
        <w:rPr>
          <w:rFonts w:ascii="Book Antiqua" w:hAnsi="Book Antiqua"/>
          <w:color w:val="000000" w:themeColor="text1"/>
        </w:rPr>
        <w:t xml:space="preserve"> Foundation for their ongoing support and providing funding for the coordinator position.</w:t>
      </w:r>
      <w:r w:rsidR="006C1429" w:rsidRPr="0001281B">
        <w:rPr>
          <w:rFonts w:ascii="Book Antiqua" w:hAnsi="Book Antiqua"/>
          <w:color w:val="000000" w:themeColor="text1"/>
        </w:rPr>
        <w:t xml:space="preserve"> </w:t>
      </w:r>
      <w:r w:rsidRPr="0001281B">
        <w:rPr>
          <w:rFonts w:ascii="Book Antiqua" w:hAnsi="Book Antiqua"/>
          <w:color w:val="000000" w:themeColor="text1"/>
        </w:rPr>
        <w:t xml:space="preserve">We also acknowledge Ms Skye Mackay, who was the trial coordinator until 2017 and Ms Tanya </w:t>
      </w:r>
      <w:proofErr w:type="spellStart"/>
      <w:r w:rsidRPr="0001281B">
        <w:rPr>
          <w:rFonts w:ascii="Book Antiqua" w:hAnsi="Book Antiqua"/>
          <w:color w:val="000000" w:themeColor="text1"/>
        </w:rPr>
        <w:t>Dwarte</w:t>
      </w:r>
      <w:proofErr w:type="spellEnd"/>
      <w:r w:rsidRPr="0001281B">
        <w:rPr>
          <w:rFonts w:ascii="Book Antiqua" w:hAnsi="Book Antiqua"/>
          <w:color w:val="000000" w:themeColor="text1"/>
        </w:rPr>
        <w:t xml:space="preserve"> who is the current trial coordinator. A special thanks to </w:t>
      </w:r>
      <w:r w:rsidR="0001281B" w:rsidRPr="0001281B">
        <w:rPr>
          <w:rFonts w:ascii="Book Antiqua" w:hAnsi="Book Antiqua" w:cs="Arial"/>
          <w:color w:val="2E3033"/>
          <w:shd w:val="clear" w:color="auto" w:fill="FFFFFF"/>
        </w:rPr>
        <w:t>Professor</w:t>
      </w:r>
      <w:r w:rsidRPr="0001281B">
        <w:rPr>
          <w:rFonts w:ascii="Book Antiqua" w:hAnsi="Book Antiqua"/>
          <w:color w:val="000000" w:themeColor="text1"/>
        </w:rPr>
        <w:t xml:space="preserve"> Anthony Gill and Ms Amber Jones, Australian Pancreatic Cancer Genome Initiative, </w:t>
      </w:r>
      <w:proofErr w:type="spellStart"/>
      <w:r w:rsidRPr="0001281B">
        <w:rPr>
          <w:rFonts w:ascii="Book Antiqua" w:hAnsi="Book Antiqua"/>
          <w:color w:val="000000" w:themeColor="text1"/>
        </w:rPr>
        <w:t>Garvan</w:t>
      </w:r>
      <w:proofErr w:type="spellEnd"/>
      <w:r w:rsidRPr="0001281B">
        <w:rPr>
          <w:rFonts w:ascii="Book Antiqua" w:hAnsi="Book Antiqua"/>
          <w:color w:val="000000" w:themeColor="text1"/>
        </w:rPr>
        <w:t xml:space="preserve"> Institute of Medical Research for their support and ongoing collaboration.</w:t>
      </w:r>
    </w:p>
    <w:p w:rsidR="00837593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 w:cs="Arial"/>
          <w:b/>
          <w:color w:val="000000" w:themeColor="text1"/>
        </w:rPr>
      </w:pPr>
      <w:r w:rsidRPr="006F3B88">
        <w:rPr>
          <w:rFonts w:ascii="Book Antiqua" w:hAnsi="Book Antiqua" w:cs="Arial"/>
          <w:b/>
          <w:color w:val="000000" w:themeColor="text1"/>
        </w:rPr>
        <w:t>REFERENCES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1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Bootcov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MR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Bauskin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AR, Valenzuela SM, Moore AG, </w:t>
      </w:r>
      <w:proofErr w:type="spellStart"/>
      <w:r w:rsidRPr="006F3B88">
        <w:rPr>
          <w:rFonts w:ascii="Book Antiqua" w:hAnsi="Book Antiqua"/>
          <w:color w:val="000000" w:themeColor="text1"/>
        </w:rPr>
        <w:t>Bansal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He XY, Zhang HP, </w:t>
      </w:r>
      <w:proofErr w:type="spellStart"/>
      <w:r w:rsidRPr="006F3B88">
        <w:rPr>
          <w:rFonts w:ascii="Book Antiqua" w:hAnsi="Book Antiqua"/>
          <w:color w:val="000000" w:themeColor="text1"/>
        </w:rPr>
        <w:t>Donnellan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Mahler S, Pryor K, Walsh BJ, Nicholson RC, </w:t>
      </w:r>
      <w:proofErr w:type="spellStart"/>
      <w:r w:rsidRPr="006F3B88">
        <w:rPr>
          <w:rFonts w:ascii="Book Antiqua" w:hAnsi="Book Antiqua"/>
          <w:color w:val="000000" w:themeColor="text1"/>
        </w:rPr>
        <w:t>Fairlie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WD, </w:t>
      </w:r>
      <w:proofErr w:type="spellStart"/>
      <w:r w:rsidRPr="006F3B88">
        <w:rPr>
          <w:rFonts w:ascii="Book Antiqua" w:hAnsi="Book Antiqua"/>
          <w:color w:val="000000" w:themeColor="text1"/>
        </w:rPr>
        <w:t>Por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SB, Robbins JM,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SN. MIC-1, a novel macrophage inhibitory cytokine, is a divergent member of the TGF-beta superfamily.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Proc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Natl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Acad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Sci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U S </w:t>
      </w:r>
      <w:proofErr w:type="gramStart"/>
      <w:r w:rsidRPr="006F3B88">
        <w:rPr>
          <w:rFonts w:ascii="Book Antiqua" w:hAnsi="Book Antiqua"/>
          <w:i/>
          <w:color w:val="000000" w:themeColor="text1"/>
        </w:rPr>
        <w:t>A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1997; </w:t>
      </w:r>
      <w:r w:rsidRPr="006F3B88">
        <w:rPr>
          <w:rFonts w:ascii="Book Antiqua" w:hAnsi="Book Antiqua"/>
          <w:b/>
          <w:color w:val="000000" w:themeColor="text1"/>
        </w:rPr>
        <w:t>94</w:t>
      </w:r>
      <w:r w:rsidRPr="006F3B88">
        <w:rPr>
          <w:rFonts w:ascii="Book Antiqua" w:hAnsi="Book Antiqua"/>
          <w:color w:val="000000" w:themeColor="text1"/>
        </w:rPr>
        <w:t>: 11514-11519 [PMID: 9326641 DOI: 10.1073/pnas.94.21.11514]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Fairlie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WD</w:t>
      </w:r>
      <w:r w:rsidRPr="006F3B88">
        <w:rPr>
          <w:rFonts w:ascii="Book Antiqua" w:hAnsi="Book Antiqua"/>
          <w:color w:val="000000" w:themeColor="text1"/>
        </w:rPr>
        <w:t xml:space="preserve">, Zhang HP, Wu WM, Pankhurst SL, </w:t>
      </w:r>
      <w:proofErr w:type="spellStart"/>
      <w:r w:rsidRPr="006F3B88">
        <w:rPr>
          <w:rFonts w:ascii="Book Antiqua" w:hAnsi="Book Antiqua"/>
          <w:color w:val="000000" w:themeColor="text1"/>
        </w:rPr>
        <w:t>Bauskin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AR, Russell PK, Brown PK,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SN. The </w:t>
      </w:r>
      <w:proofErr w:type="spellStart"/>
      <w:r w:rsidRPr="006F3B88">
        <w:rPr>
          <w:rFonts w:ascii="Book Antiqua" w:hAnsi="Book Antiqua"/>
          <w:color w:val="000000" w:themeColor="text1"/>
        </w:rPr>
        <w:t>propeptide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of the transforming growth factor-beta superfamily member, macrophage inhibitory cytokine-1 (MIC-1), is a multifunctional domain that can facilitate protein folding and secretion. </w:t>
      </w:r>
      <w:r w:rsidRPr="006F3B88">
        <w:rPr>
          <w:rFonts w:ascii="Book Antiqua" w:hAnsi="Book Antiqua"/>
          <w:i/>
          <w:color w:val="000000" w:themeColor="text1"/>
        </w:rPr>
        <w:t xml:space="preserve">J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Biol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Chem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2001; </w:t>
      </w:r>
      <w:r w:rsidRPr="006F3B88">
        <w:rPr>
          <w:rFonts w:ascii="Book Antiqua" w:hAnsi="Book Antiqua"/>
          <w:b/>
          <w:color w:val="000000" w:themeColor="text1"/>
        </w:rPr>
        <w:t>276</w:t>
      </w:r>
      <w:r w:rsidRPr="006F3B88">
        <w:rPr>
          <w:rFonts w:ascii="Book Antiqua" w:hAnsi="Book Antiqua"/>
          <w:color w:val="000000" w:themeColor="text1"/>
        </w:rPr>
        <w:t>: 16911-16918 [PMID: 11278594 DOI: 10.1074/jbc.M010000200]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3 </w:t>
      </w:r>
      <w:r w:rsidRPr="006F3B88">
        <w:rPr>
          <w:rFonts w:ascii="Book Antiqua" w:hAnsi="Book Antiqua"/>
          <w:b/>
          <w:color w:val="000000" w:themeColor="text1"/>
        </w:rPr>
        <w:t>Brown DA</w:t>
      </w:r>
      <w:r w:rsidRPr="006F3B88">
        <w:rPr>
          <w:rFonts w:ascii="Book Antiqua" w:hAnsi="Book Antiqua"/>
          <w:color w:val="000000" w:themeColor="text1"/>
        </w:rPr>
        <w:t xml:space="preserve">, Ward RL, </w:t>
      </w:r>
      <w:proofErr w:type="spellStart"/>
      <w:r w:rsidRPr="006F3B88">
        <w:rPr>
          <w:rFonts w:ascii="Book Antiqua" w:hAnsi="Book Antiqua"/>
          <w:color w:val="000000" w:themeColor="text1"/>
        </w:rPr>
        <w:t>Buckhaults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P, Liu T, Romans KE, Hawkins NJ, </w:t>
      </w:r>
      <w:proofErr w:type="spellStart"/>
      <w:r w:rsidRPr="006F3B88">
        <w:rPr>
          <w:rFonts w:ascii="Book Antiqua" w:hAnsi="Book Antiqua"/>
          <w:color w:val="000000" w:themeColor="text1"/>
        </w:rPr>
        <w:t>Bauskin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AR, </w:t>
      </w:r>
      <w:proofErr w:type="spellStart"/>
      <w:r w:rsidRPr="006F3B88">
        <w:rPr>
          <w:rFonts w:ascii="Book Antiqua" w:hAnsi="Book Antiqua"/>
          <w:color w:val="000000" w:themeColor="text1"/>
        </w:rPr>
        <w:t>Kinzler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KW, Vogelstein B,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SN. MIC-1 serum level and genotype: associations with progress and prognosis of colorectal carcinoma.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Clin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Cancer Res</w:t>
      </w:r>
      <w:r w:rsidRPr="006F3B88">
        <w:rPr>
          <w:rFonts w:ascii="Book Antiqua" w:hAnsi="Book Antiqua"/>
          <w:color w:val="000000" w:themeColor="text1"/>
        </w:rPr>
        <w:t xml:space="preserve"> 2003; </w:t>
      </w:r>
      <w:r w:rsidRPr="006F3B88">
        <w:rPr>
          <w:rFonts w:ascii="Book Antiqua" w:hAnsi="Book Antiqua"/>
          <w:b/>
          <w:color w:val="000000" w:themeColor="text1"/>
        </w:rPr>
        <w:t>9</w:t>
      </w:r>
      <w:r w:rsidRPr="006F3B88">
        <w:rPr>
          <w:rFonts w:ascii="Book Antiqua" w:hAnsi="Book Antiqua"/>
          <w:color w:val="000000" w:themeColor="text1"/>
        </w:rPr>
        <w:t>: 2642-2650 [PMID: 12855642]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4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Skipworth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RJ</w:t>
      </w:r>
      <w:r w:rsidRPr="006F3B88">
        <w:rPr>
          <w:rFonts w:ascii="Book Antiqua" w:hAnsi="Book Antiqua"/>
          <w:color w:val="000000" w:themeColor="text1"/>
        </w:rPr>
        <w:t xml:space="preserve">, Deans DA, Tan BH, Sangster K, Paterson-Brown S, Brown DA, Hunter M,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SN, Ross JA, </w:t>
      </w:r>
      <w:proofErr w:type="spellStart"/>
      <w:r w:rsidRPr="006F3B88">
        <w:rPr>
          <w:rFonts w:ascii="Book Antiqua" w:hAnsi="Book Antiqua"/>
          <w:color w:val="000000" w:themeColor="text1"/>
        </w:rPr>
        <w:t>Fearon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KC. Plasma MIC-1 correlates with systemic inflammation but is not an independent determinant of nutritional status or survival </w:t>
      </w:r>
      <w:r w:rsidRPr="006F3B88">
        <w:rPr>
          <w:rFonts w:ascii="Book Antiqua" w:hAnsi="Book Antiqua"/>
          <w:color w:val="000000" w:themeColor="text1"/>
        </w:rPr>
        <w:lastRenderedPageBreak/>
        <w:t xml:space="preserve">in </w:t>
      </w:r>
      <w:proofErr w:type="spellStart"/>
      <w:r w:rsidRPr="006F3B88">
        <w:rPr>
          <w:rFonts w:ascii="Book Antiqua" w:hAnsi="Book Antiqua"/>
          <w:color w:val="000000" w:themeColor="text1"/>
        </w:rPr>
        <w:t>oesophago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-gastric cancer. </w:t>
      </w:r>
      <w:r w:rsidRPr="006F3B88">
        <w:rPr>
          <w:rFonts w:ascii="Book Antiqua" w:hAnsi="Book Antiqua"/>
          <w:i/>
          <w:color w:val="000000" w:themeColor="text1"/>
        </w:rPr>
        <w:t>Br J Cancer</w:t>
      </w:r>
      <w:r w:rsidRPr="006F3B88">
        <w:rPr>
          <w:rFonts w:ascii="Book Antiqua" w:hAnsi="Book Antiqua"/>
          <w:color w:val="000000" w:themeColor="text1"/>
        </w:rPr>
        <w:t xml:space="preserve"> 2010; </w:t>
      </w:r>
      <w:r w:rsidRPr="006F3B88">
        <w:rPr>
          <w:rFonts w:ascii="Book Antiqua" w:hAnsi="Book Antiqua"/>
          <w:b/>
          <w:color w:val="000000" w:themeColor="text1"/>
        </w:rPr>
        <w:t>102</w:t>
      </w:r>
      <w:r w:rsidRPr="006F3B88">
        <w:rPr>
          <w:rFonts w:ascii="Book Antiqua" w:hAnsi="Book Antiqua"/>
          <w:color w:val="000000" w:themeColor="text1"/>
        </w:rPr>
        <w:t>: 665-672 [PMID: 20104227 DOI: 10.1038/sj.bjc.6605532]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5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Kempf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T</w:t>
      </w:r>
      <w:r w:rsidRPr="006F3B88">
        <w:rPr>
          <w:rFonts w:ascii="Book Antiqua" w:hAnsi="Book Antiqua"/>
          <w:color w:val="000000" w:themeColor="text1"/>
        </w:rPr>
        <w:t xml:space="preserve">, von </w:t>
      </w:r>
      <w:proofErr w:type="spellStart"/>
      <w:r w:rsidRPr="006F3B88">
        <w:rPr>
          <w:rFonts w:ascii="Book Antiqua" w:hAnsi="Book Antiqua"/>
          <w:color w:val="000000" w:themeColor="text1"/>
        </w:rPr>
        <w:t>Haehling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S, Peter T, </w:t>
      </w:r>
      <w:proofErr w:type="spellStart"/>
      <w:r w:rsidRPr="006F3B88">
        <w:rPr>
          <w:rFonts w:ascii="Book Antiqua" w:hAnsi="Book Antiqua"/>
          <w:color w:val="000000" w:themeColor="text1"/>
        </w:rPr>
        <w:t>Allhoff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6F3B88">
        <w:rPr>
          <w:rFonts w:ascii="Book Antiqua" w:hAnsi="Book Antiqua"/>
          <w:color w:val="000000" w:themeColor="text1"/>
        </w:rPr>
        <w:t>Cicoira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6F3B88">
        <w:rPr>
          <w:rFonts w:ascii="Book Antiqua" w:hAnsi="Book Antiqua"/>
          <w:color w:val="000000" w:themeColor="text1"/>
        </w:rPr>
        <w:t>Doehner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W, </w:t>
      </w:r>
      <w:proofErr w:type="spellStart"/>
      <w:r w:rsidRPr="006F3B88">
        <w:rPr>
          <w:rFonts w:ascii="Book Antiqua" w:hAnsi="Book Antiqua"/>
          <w:color w:val="000000" w:themeColor="text1"/>
        </w:rPr>
        <w:t>Ponikowski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P, </w:t>
      </w:r>
      <w:proofErr w:type="spellStart"/>
      <w:r w:rsidRPr="006F3B88">
        <w:rPr>
          <w:rFonts w:ascii="Book Antiqua" w:hAnsi="Book Antiqua"/>
          <w:color w:val="000000" w:themeColor="text1"/>
        </w:rPr>
        <w:t>Filippatos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GS, </w:t>
      </w:r>
      <w:proofErr w:type="spellStart"/>
      <w:r w:rsidRPr="006F3B88">
        <w:rPr>
          <w:rFonts w:ascii="Book Antiqua" w:hAnsi="Book Antiqua"/>
          <w:color w:val="000000" w:themeColor="text1"/>
        </w:rPr>
        <w:t>Rozentryt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P, Drexler H, Anker SD, Wollert KC. Prognostic utility of growth differentiation factor-15 in patients with chronic heart failure. </w:t>
      </w:r>
      <w:r w:rsidRPr="006F3B88">
        <w:rPr>
          <w:rFonts w:ascii="Book Antiqua" w:hAnsi="Book Antiqua"/>
          <w:i/>
          <w:color w:val="000000" w:themeColor="text1"/>
        </w:rPr>
        <w:t xml:space="preserve">J Am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Coll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Cardiol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2007; </w:t>
      </w:r>
      <w:r w:rsidRPr="006F3B88">
        <w:rPr>
          <w:rFonts w:ascii="Book Antiqua" w:hAnsi="Book Antiqua"/>
          <w:b/>
          <w:color w:val="000000" w:themeColor="text1"/>
        </w:rPr>
        <w:t>50</w:t>
      </w:r>
      <w:r w:rsidRPr="006F3B88">
        <w:rPr>
          <w:rFonts w:ascii="Book Antiqua" w:hAnsi="Book Antiqua"/>
          <w:color w:val="000000" w:themeColor="text1"/>
        </w:rPr>
        <w:t>: 1054-1060 [PMID: 17825714 DOI: 10.1016/j.jacc.2007.04.091]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6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SN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Carrero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JJ, Tsai VW, </w:t>
      </w:r>
      <w:proofErr w:type="spellStart"/>
      <w:r w:rsidRPr="006F3B88">
        <w:rPr>
          <w:rFonts w:ascii="Book Antiqua" w:hAnsi="Book Antiqua"/>
          <w:color w:val="000000" w:themeColor="text1"/>
        </w:rPr>
        <w:t>Yagoutifam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6F3B88">
        <w:rPr>
          <w:rFonts w:ascii="Book Antiqua" w:hAnsi="Book Antiqua"/>
          <w:color w:val="000000" w:themeColor="text1"/>
        </w:rPr>
        <w:t>Luo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W, </w:t>
      </w:r>
      <w:proofErr w:type="spellStart"/>
      <w:r w:rsidRPr="006F3B88">
        <w:rPr>
          <w:rFonts w:ascii="Book Antiqua" w:hAnsi="Book Antiqua"/>
          <w:color w:val="000000" w:themeColor="text1"/>
        </w:rPr>
        <w:t>Kuffner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6F3B88">
        <w:rPr>
          <w:rFonts w:ascii="Book Antiqua" w:hAnsi="Book Antiqua"/>
          <w:color w:val="000000" w:themeColor="text1"/>
        </w:rPr>
        <w:t>Bauskin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AR, Wu L, Jiang L, Barany P, </w:t>
      </w:r>
      <w:proofErr w:type="spellStart"/>
      <w:r w:rsidRPr="006F3B88">
        <w:rPr>
          <w:rFonts w:ascii="Book Antiqua" w:hAnsi="Book Antiqua"/>
          <w:color w:val="000000" w:themeColor="text1"/>
        </w:rPr>
        <w:t>Heimburger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O, </w:t>
      </w:r>
      <w:proofErr w:type="spellStart"/>
      <w:r w:rsidRPr="006F3B88">
        <w:rPr>
          <w:rFonts w:ascii="Book Antiqua" w:hAnsi="Book Antiqua"/>
          <w:color w:val="000000" w:themeColor="text1"/>
        </w:rPr>
        <w:t>Murikami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MA, Apple FS, Marquis CP, </w:t>
      </w:r>
      <w:proofErr w:type="spellStart"/>
      <w:r w:rsidRPr="006F3B88">
        <w:rPr>
          <w:rFonts w:ascii="Book Antiqua" w:hAnsi="Book Antiqua"/>
          <w:color w:val="000000" w:themeColor="text1"/>
        </w:rPr>
        <w:t>Macia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L, Lin S, Sainsbury A, Herzog H, Law M, </w:t>
      </w:r>
      <w:proofErr w:type="spellStart"/>
      <w:r w:rsidRPr="006F3B88">
        <w:rPr>
          <w:rFonts w:ascii="Book Antiqua" w:hAnsi="Book Antiqua"/>
          <w:color w:val="000000" w:themeColor="text1"/>
        </w:rPr>
        <w:t>Stenvinkel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P, Brown DA. </w:t>
      </w:r>
      <w:proofErr w:type="gramStart"/>
      <w:r w:rsidRPr="006F3B88">
        <w:rPr>
          <w:rFonts w:ascii="Book Antiqua" w:hAnsi="Book Antiqua"/>
          <w:color w:val="000000" w:themeColor="text1"/>
        </w:rPr>
        <w:t>Macrophage inhibitory cytokine-1 (MIC-1/GDF15) and mortality in end-stage renal disease.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Nephrol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Dial Transplant</w:t>
      </w:r>
      <w:r w:rsidRPr="006F3B88">
        <w:rPr>
          <w:rFonts w:ascii="Book Antiqua" w:hAnsi="Book Antiqua"/>
          <w:color w:val="000000" w:themeColor="text1"/>
        </w:rPr>
        <w:t xml:space="preserve"> 2012; </w:t>
      </w:r>
      <w:r w:rsidRPr="006F3B88">
        <w:rPr>
          <w:rFonts w:ascii="Book Antiqua" w:hAnsi="Book Antiqua"/>
          <w:b/>
          <w:color w:val="000000" w:themeColor="text1"/>
        </w:rPr>
        <w:t>27</w:t>
      </w:r>
      <w:r w:rsidRPr="006F3B88">
        <w:rPr>
          <w:rFonts w:ascii="Book Antiqua" w:hAnsi="Book Antiqua"/>
          <w:color w:val="000000" w:themeColor="text1"/>
        </w:rPr>
        <w:t>: 70-75 [PMID: 21940482 DOI: 10.1093/</w:t>
      </w:r>
      <w:proofErr w:type="spellStart"/>
      <w:r w:rsidRPr="006F3B88">
        <w:rPr>
          <w:rFonts w:ascii="Book Antiqua" w:hAnsi="Book Antiqua"/>
          <w:color w:val="000000" w:themeColor="text1"/>
        </w:rPr>
        <w:t>ndt</w:t>
      </w:r>
      <w:proofErr w:type="spellEnd"/>
      <w:r w:rsidRPr="006F3B88">
        <w:rPr>
          <w:rFonts w:ascii="Book Antiqua" w:hAnsi="Book Antiqua"/>
          <w:color w:val="000000" w:themeColor="text1"/>
        </w:rPr>
        <w:t>/gfr575]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7 </w:t>
      </w:r>
      <w:r w:rsidRPr="006F3B88">
        <w:rPr>
          <w:rFonts w:ascii="Book Antiqua" w:hAnsi="Book Antiqua"/>
          <w:b/>
          <w:color w:val="000000" w:themeColor="text1"/>
        </w:rPr>
        <w:t>Brown DA</w:t>
      </w:r>
      <w:r w:rsidRPr="006F3B88">
        <w:rPr>
          <w:rFonts w:ascii="Book Antiqua" w:hAnsi="Book Antiqua"/>
          <w:color w:val="000000" w:themeColor="text1"/>
        </w:rPr>
        <w:t xml:space="preserve">, Hance KW, Rogers CJ, </w:t>
      </w:r>
      <w:proofErr w:type="spellStart"/>
      <w:r w:rsidRPr="006F3B88">
        <w:rPr>
          <w:rFonts w:ascii="Book Antiqua" w:hAnsi="Book Antiqua"/>
          <w:color w:val="000000" w:themeColor="text1"/>
        </w:rPr>
        <w:t>Sansbury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LB, Albert PS, Murphy G, </w:t>
      </w:r>
      <w:proofErr w:type="spellStart"/>
      <w:r w:rsidRPr="006F3B88">
        <w:rPr>
          <w:rFonts w:ascii="Book Antiqua" w:hAnsi="Book Antiqua"/>
          <w:color w:val="000000" w:themeColor="text1"/>
        </w:rPr>
        <w:t>Laiyemo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AO, Wang Z, Cross AJ, </w:t>
      </w:r>
      <w:proofErr w:type="spellStart"/>
      <w:r w:rsidRPr="006F3B88">
        <w:rPr>
          <w:rFonts w:ascii="Book Antiqua" w:hAnsi="Book Antiqua"/>
          <w:color w:val="000000" w:themeColor="text1"/>
        </w:rPr>
        <w:t>Schatzkin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6F3B88">
        <w:rPr>
          <w:rFonts w:ascii="Book Antiqua" w:hAnsi="Book Antiqua"/>
          <w:color w:val="000000" w:themeColor="text1"/>
        </w:rPr>
        <w:t>Danta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6F3B88">
        <w:rPr>
          <w:rFonts w:ascii="Book Antiqua" w:hAnsi="Book Antiqua"/>
          <w:color w:val="000000" w:themeColor="text1"/>
        </w:rPr>
        <w:t>Srasuebkul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P, Amin J, Law M,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SN, </w:t>
      </w:r>
      <w:proofErr w:type="spellStart"/>
      <w:r w:rsidRPr="006F3B88">
        <w:rPr>
          <w:rFonts w:ascii="Book Antiqua" w:hAnsi="Book Antiqua"/>
          <w:color w:val="000000" w:themeColor="text1"/>
        </w:rPr>
        <w:t>Lanza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E. Serum macrophage inhibitory cytokine-1 (MIC-1/GDF15): a potential screening tool for the prevention of colon cancer? </w:t>
      </w:r>
      <w:r w:rsidRPr="006F3B88">
        <w:rPr>
          <w:rFonts w:ascii="Book Antiqua" w:hAnsi="Book Antiqua"/>
          <w:i/>
          <w:color w:val="000000" w:themeColor="text1"/>
        </w:rPr>
        <w:t xml:space="preserve">Cancer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Epidemiol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Biomarkers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Prev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2012; </w:t>
      </w:r>
      <w:r w:rsidRPr="006F3B88">
        <w:rPr>
          <w:rFonts w:ascii="Book Antiqua" w:hAnsi="Book Antiqua"/>
          <w:b/>
          <w:color w:val="000000" w:themeColor="text1"/>
        </w:rPr>
        <w:t>21</w:t>
      </w:r>
      <w:r w:rsidRPr="006F3B88">
        <w:rPr>
          <w:rFonts w:ascii="Book Antiqua" w:hAnsi="Book Antiqua"/>
          <w:color w:val="000000" w:themeColor="text1"/>
        </w:rPr>
        <w:t>: 337-346 [PMID: 22144502 DOI: 10.1158/1055-9965.EPI-11-0786]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8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Kannan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K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Amariglio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N, </w:t>
      </w:r>
      <w:proofErr w:type="spellStart"/>
      <w:r w:rsidRPr="006F3B88">
        <w:rPr>
          <w:rFonts w:ascii="Book Antiqua" w:hAnsi="Book Antiqua"/>
          <w:color w:val="000000" w:themeColor="text1"/>
        </w:rPr>
        <w:t>Rechavi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6F3B88">
        <w:rPr>
          <w:rFonts w:ascii="Book Antiqua" w:hAnsi="Book Antiqua"/>
          <w:color w:val="000000" w:themeColor="text1"/>
        </w:rPr>
        <w:t>Givol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D. Profile of gene expression regulated by induced p53: connection to the TGF-beta family. </w:t>
      </w:r>
      <w:r w:rsidRPr="006F3B88">
        <w:rPr>
          <w:rFonts w:ascii="Book Antiqua" w:hAnsi="Book Antiqua"/>
          <w:i/>
          <w:color w:val="000000" w:themeColor="text1"/>
        </w:rPr>
        <w:t xml:space="preserve">FEBS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Lett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2000; </w:t>
      </w:r>
      <w:r w:rsidRPr="006F3B88">
        <w:rPr>
          <w:rFonts w:ascii="Book Antiqua" w:hAnsi="Book Antiqua"/>
          <w:b/>
          <w:color w:val="000000" w:themeColor="text1"/>
        </w:rPr>
        <w:t>470</w:t>
      </w:r>
      <w:r w:rsidRPr="006F3B88">
        <w:rPr>
          <w:rFonts w:ascii="Book Antiqua" w:hAnsi="Book Antiqua"/>
          <w:color w:val="000000" w:themeColor="text1"/>
        </w:rPr>
        <w:t>: 77-82 [PMID: 10722849 DOI: 10.1016/s0014-5793(00)01291-6]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9 </w:t>
      </w:r>
      <w:r w:rsidRPr="006F3B88">
        <w:rPr>
          <w:rFonts w:ascii="Book Antiqua" w:hAnsi="Book Antiqua"/>
          <w:b/>
          <w:color w:val="000000" w:themeColor="text1"/>
        </w:rPr>
        <w:t>Li PX</w:t>
      </w:r>
      <w:r w:rsidRPr="006F3B88">
        <w:rPr>
          <w:rFonts w:ascii="Book Antiqua" w:hAnsi="Book Antiqua"/>
          <w:color w:val="000000" w:themeColor="text1"/>
        </w:rPr>
        <w:t xml:space="preserve">, Wong J, </w:t>
      </w:r>
      <w:proofErr w:type="spellStart"/>
      <w:r w:rsidRPr="006F3B88">
        <w:rPr>
          <w:rFonts w:ascii="Book Antiqua" w:hAnsi="Book Antiqua"/>
          <w:color w:val="000000" w:themeColor="text1"/>
        </w:rPr>
        <w:t>Ayed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A, Ngo D, </w:t>
      </w:r>
      <w:proofErr w:type="spellStart"/>
      <w:r w:rsidRPr="006F3B88">
        <w:rPr>
          <w:rFonts w:ascii="Book Antiqua" w:hAnsi="Book Antiqua"/>
          <w:color w:val="000000" w:themeColor="text1"/>
        </w:rPr>
        <w:t>Brade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AM, </w:t>
      </w:r>
      <w:proofErr w:type="spellStart"/>
      <w:r w:rsidRPr="006F3B88">
        <w:rPr>
          <w:rFonts w:ascii="Book Antiqua" w:hAnsi="Book Antiqua"/>
          <w:color w:val="000000" w:themeColor="text1"/>
        </w:rPr>
        <w:t>Arrowsmith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C, Austin RC, </w:t>
      </w:r>
      <w:proofErr w:type="spellStart"/>
      <w:r w:rsidRPr="006F3B88">
        <w:rPr>
          <w:rFonts w:ascii="Book Antiqua" w:hAnsi="Book Antiqua"/>
          <w:color w:val="000000" w:themeColor="text1"/>
        </w:rPr>
        <w:t>Klamut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HJ. Placental transforming growth factor-beta is a downstream mediator of the growth arrest and apoptotic response of </w:t>
      </w:r>
      <w:proofErr w:type="spellStart"/>
      <w:r w:rsidRPr="006F3B88">
        <w:rPr>
          <w:rFonts w:ascii="Book Antiqua" w:hAnsi="Book Antiqua"/>
          <w:color w:val="000000" w:themeColor="text1"/>
        </w:rPr>
        <w:t>tumor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cells to DNA damage and p53 overexpression. </w:t>
      </w:r>
      <w:r w:rsidRPr="006F3B88">
        <w:rPr>
          <w:rFonts w:ascii="Book Antiqua" w:hAnsi="Book Antiqua"/>
          <w:i/>
          <w:color w:val="000000" w:themeColor="text1"/>
        </w:rPr>
        <w:t xml:space="preserve">J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Biol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Chem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2000; </w:t>
      </w:r>
      <w:r w:rsidRPr="006F3B88">
        <w:rPr>
          <w:rFonts w:ascii="Book Antiqua" w:hAnsi="Book Antiqua"/>
          <w:b/>
          <w:color w:val="000000" w:themeColor="text1"/>
        </w:rPr>
        <w:t>275</w:t>
      </w:r>
      <w:r w:rsidRPr="006F3B88">
        <w:rPr>
          <w:rFonts w:ascii="Book Antiqua" w:hAnsi="Book Antiqua"/>
          <w:color w:val="000000" w:themeColor="text1"/>
        </w:rPr>
        <w:t>: 20127-20135 [PMID: 10777512 DOI: 10.1074/jbc.M909580199]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10 </w:t>
      </w:r>
      <w:r w:rsidRPr="006F3B88">
        <w:rPr>
          <w:rFonts w:ascii="Book Antiqua" w:hAnsi="Book Antiqua"/>
          <w:b/>
          <w:color w:val="000000" w:themeColor="text1"/>
        </w:rPr>
        <w:t>Sun Y</w:t>
      </w:r>
      <w:r w:rsidRPr="006F3B88">
        <w:rPr>
          <w:rFonts w:ascii="Book Antiqua" w:hAnsi="Book Antiqua"/>
          <w:color w:val="000000" w:themeColor="text1"/>
        </w:rPr>
        <w:t xml:space="preserve">. Identification and characterization of genes responsive to apoptosis: application of DNA chip technology and mRNA differential display.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Histol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Histopathol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2000; </w:t>
      </w:r>
      <w:r w:rsidRPr="006F3B88">
        <w:rPr>
          <w:rFonts w:ascii="Book Antiqua" w:hAnsi="Book Antiqua"/>
          <w:b/>
          <w:color w:val="000000" w:themeColor="text1"/>
        </w:rPr>
        <w:t>15</w:t>
      </w:r>
      <w:r w:rsidRPr="006F3B88">
        <w:rPr>
          <w:rFonts w:ascii="Book Antiqua" w:hAnsi="Book Antiqua"/>
          <w:color w:val="000000" w:themeColor="text1"/>
        </w:rPr>
        <w:t>: 1271-1284 [PMID: 11005251 DOI: 10.14670/HH-15.1271]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11 </w:t>
      </w:r>
      <w:r w:rsidRPr="006F3B88">
        <w:rPr>
          <w:rFonts w:ascii="Book Antiqua" w:hAnsi="Book Antiqua"/>
          <w:b/>
          <w:color w:val="000000" w:themeColor="text1"/>
        </w:rPr>
        <w:t>Tsai VWW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Husaini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Y, Sainsbury A, Brown DA,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SN. The MIC-1/GDF15-GFRAL Pathway in Energy Homeostasis: Implications for Obesity, Cachexia, and Other Associated Diseases. </w:t>
      </w:r>
      <w:r w:rsidRPr="006F3B88">
        <w:rPr>
          <w:rFonts w:ascii="Book Antiqua" w:hAnsi="Book Antiqua"/>
          <w:i/>
          <w:color w:val="000000" w:themeColor="text1"/>
        </w:rPr>
        <w:t xml:space="preserve">Cell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Metab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2018; </w:t>
      </w:r>
      <w:r w:rsidRPr="006F3B88">
        <w:rPr>
          <w:rFonts w:ascii="Book Antiqua" w:hAnsi="Book Antiqua"/>
          <w:b/>
          <w:color w:val="000000" w:themeColor="text1"/>
        </w:rPr>
        <w:t>28</w:t>
      </w:r>
      <w:r w:rsidRPr="006F3B88">
        <w:rPr>
          <w:rFonts w:ascii="Book Antiqua" w:hAnsi="Book Antiqua"/>
          <w:color w:val="000000" w:themeColor="text1"/>
        </w:rPr>
        <w:t>: 353-368 [PMID: 30184485 DOI: 10.1016/j.cmet.2018.07.018]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lastRenderedPageBreak/>
        <w:t xml:space="preserve">12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Danta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M</w:t>
      </w:r>
      <w:r w:rsidRPr="006F3B88">
        <w:rPr>
          <w:rFonts w:ascii="Book Antiqua" w:hAnsi="Book Antiqua"/>
          <w:color w:val="000000" w:themeColor="text1"/>
        </w:rPr>
        <w:t xml:space="preserve">, Barber DA, Zhang HP, Lee-Ng M, </w:t>
      </w:r>
      <w:proofErr w:type="spellStart"/>
      <w:r w:rsidRPr="006F3B88">
        <w:rPr>
          <w:rFonts w:ascii="Book Antiqua" w:hAnsi="Book Antiqua"/>
          <w:color w:val="000000" w:themeColor="text1"/>
        </w:rPr>
        <w:t>Baumgart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SWL, Tsai VWW, </w:t>
      </w:r>
      <w:proofErr w:type="spellStart"/>
      <w:r w:rsidRPr="006F3B88">
        <w:rPr>
          <w:rFonts w:ascii="Book Antiqua" w:hAnsi="Book Antiqua"/>
          <w:color w:val="000000" w:themeColor="text1"/>
        </w:rPr>
        <w:t>Husaini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Y, </w:t>
      </w:r>
      <w:proofErr w:type="spellStart"/>
      <w:r w:rsidRPr="006F3B88">
        <w:rPr>
          <w:rFonts w:ascii="Book Antiqua" w:hAnsi="Book Antiqua"/>
          <w:color w:val="000000" w:themeColor="text1"/>
        </w:rPr>
        <w:t>Saxena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Marquis CP, </w:t>
      </w:r>
      <w:proofErr w:type="spellStart"/>
      <w:r w:rsidRPr="006F3B88">
        <w:rPr>
          <w:rFonts w:ascii="Book Antiqua" w:hAnsi="Book Antiqua"/>
          <w:color w:val="000000" w:themeColor="text1"/>
        </w:rPr>
        <w:t>Errington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W, Kerr S,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SN, Brown DA. </w:t>
      </w:r>
      <w:proofErr w:type="gramStart"/>
      <w:r w:rsidRPr="006F3B88">
        <w:rPr>
          <w:rFonts w:ascii="Book Antiqua" w:hAnsi="Book Antiqua"/>
          <w:color w:val="000000" w:themeColor="text1"/>
        </w:rPr>
        <w:t xml:space="preserve">Macrophage inhibitory cytokine-1/growth differentiation factor-15 as a predictor of colonic </w:t>
      </w:r>
      <w:proofErr w:type="spellStart"/>
      <w:r w:rsidRPr="006F3B88">
        <w:rPr>
          <w:rFonts w:ascii="Book Antiqua" w:hAnsi="Book Antiqua"/>
          <w:color w:val="000000" w:themeColor="text1"/>
        </w:rPr>
        <w:t>neoplasia</w:t>
      </w:r>
      <w:proofErr w:type="spellEnd"/>
      <w:r w:rsidRPr="006F3B88">
        <w:rPr>
          <w:rFonts w:ascii="Book Antiqua" w:hAnsi="Book Antiqua"/>
          <w:color w:val="000000" w:themeColor="text1"/>
        </w:rPr>
        <w:t>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i/>
          <w:color w:val="000000" w:themeColor="text1"/>
        </w:rPr>
        <w:t xml:space="preserve">Aliment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Pharmacol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Ther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2017; </w:t>
      </w:r>
      <w:r w:rsidRPr="006F3B88">
        <w:rPr>
          <w:rFonts w:ascii="Book Antiqua" w:hAnsi="Book Antiqua"/>
          <w:b/>
          <w:color w:val="000000" w:themeColor="text1"/>
        </w:rPr>
        <w:t>46</w:t>
      </w:r>
      <w:r w:rsidRPr="006F3B88">
        <w:rPr>
          <w:rFonts w:ascii="Book Antiqua" w:hAnsi="Book Antiqua"/>
          <w:color w:val="000000" w:themeColor="text1"/>
        </w:rPr>
        <w:t>: 347-354 [PMID: 28569401 DOI: 10.1111/apt.14156]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F3B88">
        <w:rPr>
          <w:rFonts w:ascii="Book Antiqua" w:hAnsi="Book Antiqua"/>
          <w:color w:val="000000" w:themeColor="text1"/>
        </w:rPr>
        <w:t xml:space="preserve">13 </w:t>
      </w:r>
      <w:r w:rsidRPr="006F3B88">
        <w:rPr>
          <w:rFonts w:ascii="Book Antiqua" w:hAnsi="Book Antiqua"/>
          <w:b/>
          <w:color w:val="000000" w:themeColor="text1"/>
        </w:rPr>
        <w:t>Song M</w:t>
      </w:r>
      <w:r w:rsidRPr="006F3B88">
        <w:rPr>
          <w:rFonts w:ascii="Book Antiqua" w:hAnsi="Book Antiqua"/>
          <w:color w:val="000000" w:themeColor="text1"/>
        </w:rPr>
        <w:t xml:space="preserve">, Mehta RS, Wu K, Fuchs CS, </w:t>
      </w:r>
      <w:proofErr w:type="spellStart"/>
      <w:r w:rsidRPr="006F3B88">
        <w:rPr>
          <w:rFonts w:ascii="Book Antiqua" w:hAnsi="Book Antiqua"/>
          <w:color w:val="000000" w:themeColor="text1"/>
        </w:rPr>
        <w:t>Ogino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6F3B88">
        <w:rPr>
          <w:rFonts w:ascii="Book Antiqua" w:hAnsi="Book Antiqua"/>
          <w:color w:val="000000" w:themeColor="text1"/>
        </w:rPr>
        <w:t>Giovannucci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EL, Chan AT.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F3B88">
        <w:rPr>
          <w:rFonts w:ascii="Book Antiqua" w:hAnsi="Book Antiqua"/>
          <w:color w:val="000000" w:themeColor="text1"/>
        </w:rPr>
        <w:t>Plasma Inflammatory Markers and Risk of Advanced Colorectal Adenoma in Women.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i/>
          <w:color w:val="000000" w:themeColor="text1"/>
        </w:rPr>
        <w:t xml:space="preserve">Cancer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Prev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Res (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Phila</w:t>
      </w:r>
      <w:proofErr w:type="spellEnd"/>
      <w:r w:rsidRPr="006F3B88">
        <w:rPr>
          <w:rFonts w:ascii="Book Antiqua" w:hAnsi="Book Antiqua"/>
          <w:i/>
          <w:color w:val="000000" w:themeColor="text1"/>
        </w:rPr>
        <w:t>)</w:t>
      </w:r>
      <w:r w:rsidRPr="006F3B88">
        <w:rPr>
          <w:rFonts w:ascii="Book Antiqua" w:hAnsi="Book Antiqua"/>
          <w:color w:val="000000" w:themeColor="text1"/>
        </w:rPr>
        <w:t xml:space="preserve"> 2016; </w:t>
      </w:r>
      <w:r w:rsidRPr="006F3B88">
        <w:rPr>
          <w:rFonts w:ascii="Book Antiqua" w:hAnsi="Book Antiqua"/>
          <w:b/>
          <w:color w:val="000000" w:themeColor="text1"/>
        </w:rPr>
        <w:t>9</w:t>
      </w:r>
      <w:r w:rsidRPr="006F3B88">
        <w:rPr>
          <w:rFonts w:ascii="Book Antiqua" w:hAnsi="Book Antiqua"/>
          <w:color w:val="000000" w:themeColor="text1"/>
        </w:rPr>
        <w:t>: 27-34 [PMID: 26511487 DOI: 10.1158/1940-6207.CAPR-15-0307]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14 </w:t>
      </w:r>
      <w:r w:rsidRPr="006F3B88">
        <w:rPr>
          <w:rFonts w:ascii="Book Antiqua" w:hAnsi="Book Antiqua"/>
          <w:b/>
          <w:color w:val="000000" w:themeColor="text1"/>
        </w:rPr>
        <w:t>Chen H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Qian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J, Werner S, </w:t>
      </w:r>
      <w:proofErr w:type="spellStart"/>
      <w:r w:rsidRPr="006F3B88">
        <w:rPr>
          <w:rFonts w:ascii="Book Antiqua" w:hAnsi="Book Antiqua"/>
          <w:color w:val="000000" w:themeColor="text1"/>
        </w:rPr>
        <w:t>Cuk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K, </w:t>
      </w:r>
      <w:proofErr w:type="spellStart"/>
      <w:r w:rsidRPr="006F3B88">
        <w:rPr>
          <w:rFonts w:ascii="Book Antiqua" w:hAnsi="Book Antiqua"/>
          <w:color w:val="000000" w:themeColor="text1"/>
        </w:rPr>
        <w:t>Knebel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P, Brenner H. Development and validation of a panel of five proteins as blood biomarkers for early detection of colorectal cancer.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Clin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Epidemiol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2017; </w:t>
      </w:r>
      <w:r w:rsidRPr="006F3B88">
        <w:rPr>
          <w:rFonts w:ascii="Book Antiqua" w:hAnsi="Book Antiqua"/>
          <w:b/>
          <w:color w:val="000000" w:themeColor="text1"/>
        </w:rPr>
        <w:t>9</w:t>
      </w:r>
      <w:r w:rsidRPr="006F3B88">
        <w:rPr>
          <w:rFonts w:ascii="Book Antiqua" w:hAnsi="Book Antiqua"/>
          <w:color w:val="000000" w:themeColor="text1"/>
        </w:rPr>
        <w:t>: 517-526 [PMID: 29184444 DOI: 10.2147/CLEP.S144171]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15 </w:t>
      </w:r>
      <w:r w:rsidRPr="006F3B88">
        <w:rPr>
          <w:rFonts w:ascii="Book Antiqua" w:hAnsi="Book Antiqua"/>
          <w:b/>
          <w:color w:val="000000" w:themeColor="text1"/>
        </w:rPr>
        <w:t>Mehta RS</w:t>
      </w:r>
      <w:r w:rsidRPr="006F3B88">
        <w:rPr>
          <w:rFonts w:ascii="Book Antiqua" w:hAnsi="Book Antiqua"/>
          <w:color w:val="000000" w:themeColor="text1"/>
        </w:rPr>
        <w:t xml:space="preserve">, Chong DQ, Song M, </w:t>
      </w:r>
      <w:proofErr w:type="spellStart"/>
      <w:r w:rsidRPr="006F3B88">
        <w:rPr>
          <w:rFonts w:ascii="Book Antiqua" w:hAnsi="Book Antiqua"/>
          <w:color w:val="000000" w:themeColor="text1"/>
        </w:rPr>
        <w:t>Meyerhardt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JA, Ng K, Nishihara R, </w:t>
      </w:r>
      <w:proofErr w:type="spellStart"/>
      <w:r w:rsidRPr="006F3B88">
        <w:rPr>
          <w:rFonts w:ascii="Book Antiqua" w:hAnsi="Book Antiqua"/>
          <w:color w:val="000000" w:themeColor="text1"/>
        </w:rPr>
        <w:t>Qian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Z, </w:t>
      </w:r>
      <w:proofErr w:type="spellStart"/>
      <w:r w:rsidRPr="006F3B88">
        <w:rPr>
          <w:rFonts w:ascii="Book Antiqua" w:hAnsi="Book Antiqua"/>
          <w:color w:val="000000" w:themeColor="text1"/>
        </w:rPr>
        <w:t>Morikawa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T, Wu K, </w:t>
      </w:r>
      <w:proofErr w:type="spellStart"/>
      <w:r w:rsidRPr="006F3B88">
        <w:rPr>
          <w:rFonts w:ascii="Book Antiqua" w:hAnsi="Book Antiqua"/>
          <w:color w:val="000000" w:themeColor="text1"/>
        </w:rPr>
        <w:t>Giovannucci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EL, Fuchs CS, </w:t>
      </w:r>
      <w:proofErr w:type="spellStart"/>
      <w:r w:rsidRPr="006F3B88">
        <w:rPr>
          <w:rFonts w:ascii="Book Antiqua" w:hAnsi="Book Antiqua"/>
          <w:color w:val="000000" w:themeColor="text1"/>
        </w:rPr>
        <w:t>Ogino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S, Chan AT. Association </w:t>
      </w:r>
      <w:proofErr w:type="gramStart"/>
      <w:r w:rsidRPr="006F3B88">
        <w:rPr>
          <w:rFonts w:ascii="Book Antiqua" w:hAnsi="Book Antiqua"/>
          <w:color w:val="000000" w:themeColor="text1"/>
        </w:rPr>
        <w:t>Between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Plasma Levels of Macrophage Inhibitory Cytokine-1 Before Diagnosis of Colorectal Cancer and Mortality. </w:t>
      </w:r>
      <w:r w:rsidRPr="006F3B88">
        <w:rPr>
          <w:rFonts w:ascii="Book Antiqua" w:hAnsi="Book Antiqua"/>
          <w:i/>
          <w:color w:val="000000" w:themeColor="text1"/>
        </w:rPr>
        <w:t>Gastroenterology</w:t>
      </w:r>
      <w:r w:rsidRPr="006F3B88">
        <w:rPr>
          <w:rFonts w:ascii="Book Antiqua" w:hAnsi="Book Antiqua"/>
          <w:color w:val="000000" w:themeColor="text1"/>
        </w:rPr>
        <w:t xml:space="preserve"> 2015; </w:t>
      </w:r>
      <w:r w:rsidRPr="006F3B88">
        <w:rPr>
          <w:rFonts w:ascii="Book Antiqua" w:hAnsi="Book Antiqua"/>
          <w:b/>
          <w:color w:val="000000" w:themeColor="text1"/>
        </w:rPr>
        <w:t>149</w:t>
      </w:r>
      <w:r w:rsidRPr="006F3B88">
        <w:rPr>
          <w:rFonts w:ascii="Book Antiqua" w:hAnsi="Book Antiqua"/>
          <w:color w:val="000000" w:themeColor="text1"/>
        </w:rPr>
        <w:t>: 614-622 [PMID: 26026393 DOI: 10.1053/j.gastro.2015.05.038]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16 </w:t>
      </w:r>
      <w:r w:rsidRPr="006F3B88">
        <w:rPr>
          <w:rFonts w:ascii="Book Antiqua" w:hAnsi="Book Antiqua"/>
          <w:b/>
          <w:color w:val="000000" w:themeColor="text1"/>
        </w:rPr>
        <w:t>Brown DA</w:t>
      </w:r>
      <w:r w:rsidRPr="006F3B88">
        <w:rPr>
          <w:rFonts w:ascii="Book Antiqua" w:hAnsi="Book Antiqua"/>
          <w:color w:val="000000" w:themeColor="text1"/>
        </w:rPr>
        <w:t xml:space="preserve">, Stephan C, Ward RL, Law M, Hunter M, </w:t>
      </w:r>
      <w:proofErr w:type="spellStart"/>
      <w:r w:rsidRPr="006F3B88">
        <w:rPr>
          <w:rFonts w:ascii="Book Antiqua" w:hAnsi="Book Antiqua"/>
          <w:color w:val="000000" w:themeColor="text1"/>
        </w:rPr>
        <w:t>Bauskin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AR, Amin J, Jung K, </w:t>
      </w:r>
      <w:proofErr w:type="spellStart"/>
      <w:r w:rsidRPr="006F3B88">
        <w:rPr>
          <w:rFonts w:ascii="Book Antiqua" w:hAnsi="Book Antiqua"/>
          <w:color w:val="000000" w:themeColor="text1"/>
        </w:rPr>
        <w:t>Diamandis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EP, Hampton GM, Russell PJ, Giles GG,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SN. Measurement of serum levels of macrophage inhibitory cytokine 1 combined with prostate-specific antigen improves prostate cancer diagnosis.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Clin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Cancer Res</w:t>
      </w:r>
      <w:r w:rsidRPr="006F3B88">
        <w:rPr>
          <w:rFonts w:ascii="Book Antiqua" w:hAnsi="Book Antiqua"/>
          <w:color w:val="000000" w:themeColor="text1"/>
        </w:rPr>
        <w:t xml:space="preserve"> 2006; </w:t>
      </w:r>
      <w:r w:rsidRPr="006F3B88">
        <w:rPr>
          <w:rFonts w:ascii="Book Antiqua" w:hAnsi="Book Antiqua"/>
          <w:b/>
          <w:color w:val="000000" w:themeColor="text1"/>
        </w:rPr>
        <w:t>12</w:t>
      </w:r>
      <w:r w:rsidRPr="006F3B88">
        <w:rPr>
          <w:rFonts w:ascii="Book Antiqua" w:hAnsi="Book Antiqua"/>
          <w:color w:val="000000" w:themeColor="text1"/>
        </w:rPr>
        <w:t>: 89-96 [PMID: 16397029 DOI: 10.1158/1078-0432.CCR-05-1331]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17 </w:t>
      </w:r>
      <w:r w:rsidRPr="006F3B88">
        <w:rPr>
          <w:rFonts w:ascii="Book Antiqua" w:hAnsi="Book Antiqua"/>
          <w:b/>
          <w:color w:val="000000" w:themeColor="text1"/>
        </w:rPr>
        <w:t>Welsh JB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Sapinoso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LM, Kern SG, Brown DA, Liu T, </w:t>
      </w:r>
      <w:proofErr w:type="spellStart"/>
      <w:r w:rsidRPr="006F3B88">
        <w:rPr>
          <w:rFonts w:ascii="Book Antiqua" w:hAnsi="Book Antiqua"/>
          <w:color w:val="000000" w:themeColor="text1"/>
        </w:rPr>
        <w:t>Bauskin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AR, Ward RL, Hawkins NJ, Quinn DI, Russell PJ, Sutherland RL,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SN, </w:t>
      </w:r>
      <w:proofErr w:type="spellStart"/>
      <w:r w:rsidRPr="006F3B88">
        <w:rPr>
          <w:rFonts w:ascii="Book Antiqua" w:hAnsi="Book Antiqua"/>
          <w:color w:val="000000" w:themeColor="text1"/>
        </w:rPr>
        <w:t>Moskaluk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CA, </w:t>
      </w:r>
      <w:proofErr w:type="spellStart"/>
      <w:r w:rsidRPr="006F3B88">
        <w:rPr>
          <w:rFonts w:ascii="Book Antiqua" w:hAnsi="Book Antiqua"/>
          <w:color w:val="000000" w:themeColor="text1"/>
        </w:rPr>
        <w:t>Frierson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HF </w:t>
      </w:r>
      <w:proofErr w:type="spellStart"/>
      <w:r w:rsidRPr="006F3B88">
        <w:rPr>
          <w:rFonts w:ascii="Book Antiqua" w:hAnsi="Book Antiqua"/>
          <w:color w:val="000000" w:themeColor="text1"/>
        </w:rPr>
        <w:t>Jr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, Hampton GM. Large-scale delineation of secreted protein biomarkers overexpressed in cancer tissue and serum.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Proc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Natl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Acad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Sci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U S </w:t>
      </w:r>
      <w:proofErr w:type="gramStart"/>
      <w:r w:rsidRPr="006F3B88">
        <w:rPr>
          <w:rFonts w:ascii="Book Antiqua" w:hAnsi="Book Antiqua"/>
          <w:i/>
          <w:color w:val="000000" w:themeColor="text1"/>
        </w:rPr>
        <w:t>A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2003; </w:t>
      </w:r>
      <w:r w:rsidRPr="006F3B88">
        <w:rPr>
          <w:rFonts w:ascii="Book Antiqua" w:hAnsi="Book Antiqua"/>
          <w:b/>
          <w:color w:val="000000" w:themeColor="text1"/>
        </w:rPr>
        <w:t>100</w:t>
      </w:r>
      <w:r w:rsidRPr="006F3B88">
        <w:rPr>
          <w:rFonts w:ascii="Book Antiqua" w:hAnsi="Book Antiqua"/>
          <w:color w:val="000000" w:themeColor="text1"/>
        </w:rPr>
        <w:t>: 3410-3415 [PMID: 12624183 DOI: 10.1073/pnas.0530278100]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18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Koopmann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J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Buckhaults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P, Brown DA, </w:t>
      </w:r>
      <w:proofErr w:type="spellStart"/>
      <w:r w:rsidRPr="006F3B88">
        <w:rPr>
          <w:rFonts w:ascii="Book Antiqua" w:hAnsi="Book Antiqua"/>
          <w:color w:val="000000" w:themeColor="text1"/>
        </w:rPr>
        <w:t>Zahurak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ML, Sato N, Fukushima N, </w:t>
      </w:r>
      <w:proofErr w:type="spellStart"/>
      <w:r w:rsidRPr="006F3B88">
        <w:rPr>
          <w:rFonts w:ascii="Book Antiqua" w:hAnsi="Book Antiqua"/>
          <w:color w:val="000000" w:themeColor="text1"/>
        </w:rPr>
        <w:t>Sokoll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LJ, Chan DW, Yeo CJ, </w:t>
      </w:r>
      <w:proofErr w:type="spellStart"/>
      <w:r w:rsidRPr="006F3B88">
        <w:rPr>
          <w:rFonts w:ascii="Book Antiqua" w:hAnsi="Book Antiqua"/>
          <w:color w:val="000000" w:themeColor="text1"/>
        </w:rPr>
        <w:t>Hruban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RH, </w:t>
      </w:r>
      <w:proofErr w:type="spellStart"/>
      <w:r w:rsidRPr="006F3B88">
        <w:rPr>
          <w:rFonts w:ascii="Book Antiqua" w:hAnsi="Book Antiqua"/>
          <w:color w:val="000000" w:themeColor="text1"/>
        </w:rPr>
        <w:t>Breit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SN, </w:t>
      </w:r>
      <w:proofErr w:type="spellStart"/>
      <w:r w:rsidRPr="006F3B88">
        <w:rPr>
          <w:rFonts w:ascii="Book Antiqua" w:hAnsi="Book Antiqua"/>
          <w:color w:val="000000" w:themeColor="text1"/>
        </w:rPr>
        <w:t>Kinzler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KW, Vogelstein B, </w:t>
      </w:r>
      <w:proofErr w:type="spellStart"/>
      <w:r w:rsidRPr="006F3B88">
        <w:rPr>
          <w:rFonts w:ascii="Book Antiqua" w:hAnsi="Book Antiqua"/>
          <w:color w:val="000000" w:themeColor="text1"/>
        </w:rPr>
        <w:t>Goggins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M. Serum macrophage inhibitory cytokine 1 as a marker of pancreatic and </w:t>
      </w:r>
      <w:r w:rsidRPr="006F3B88">
        <w:rPr>
          <w:rFonts w:ascii="Book Antiqua" w:hAnsi="Book Antiqua"/>
          <w:color w:val="000000" w:themeColor="text1"/>
        </w:rPr>
        <w:lastRenderedPageBreak/>
        <w:t xml:space="preserve">other </w:t>
      </w:r>
      <w:proofErr w:type="spellStart"/>
      <w:r w:rsidRPr="006F3B88">
        <w:rPr>
          <w:rFonts w:ascii="Book Antiqua" w:hAnsi="Book Antiqua"/>
          <w:color w:val="000000" w:themeColor="text1"/>
        </w:rPr>
        <w:t>periampullary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cancers.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Clin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Cancer Res</w:t>
      </w:r>
      <w:r w:rsidRPr="006F3B88">
        <w:rPr>
          <w:rFonts w:ascii="Book Antiqua" w:hAnsi="Book Antiqua"/>
          <w:color w:val="000000" w:themeColor="text1"/>
        </w:rPr>
        <w:t xml:space="preserve"> 2004; </w:t>
      </w:r>
      <w:r w:rsidRPr="006F3B88">
        <w:rPr>
          <w:rFonts w:ascii="Book Antiqua" w:hAnsi="Book Antiqua"/>
          <w:b/>
          <w:color w:val="000000" w:themeColor="text1"/>
        </w:rPr>
        <w:t>10</w:t>
      </w:r>
      <w:r w:rsidRPr="006F3B88">
        <w:rPr>
          <w:rFonts w:ascii="Book Antiqua" w:hAnsi="Book Antiqua"/>
          <w:color w:val="000000" w:themeColor="text1"/>
        </w:rPr>
        <w:t>: 2386-2392 [PMID: 15073115 DOI: 10.1158/1078-0432.ccr-03-0165]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F3B88">
        <w:rPr>
          <w:rFonts w:ascii="Book Antiqua" w:hAnsi="Book Antiqua"/>
          <w:color w:val="000000" w:themeColor="text1"/>
        </w:rPr>
        <w:t xml:space="preserve">19 </w:t>
      </w:r>
      <w:r w:rsidRPr="006F3B88">
        <w:rPr>
          <w:rFonts w:ascii="Book Antiqua" w:hAnsi="Book Antiqua"/>
          <w:b/>
          <w:color w:val="000000" w:themeColor="text1"/>
        </w:rPr>
        <w:t>Grote T</w:t>
      </w:r>
      <w:r w:rsidRPr="006F3B88">
        <w:rPr>
          <w:rFonts w:ascii="Book Antiqua" w:hAnsi="Book Antiqua"/>
          <w:color w:val="000000" w:themeColor="text1"/>
        </w:rPr>
        <w:t>, Logsdon CD.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F3B88">
        <w:rPr>
          <w:rFonts w:ascii="Book Antiqua" w:hAnsi="Book Antiqua"/>
          <w:color w:val="000000" w:themeColor="text1"/>
        </w:rPr>
        <w:t>Progress on molecular markers of pancreatic cancer.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Curr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Opin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2007; </w:t>
      </w:r>
      <w:r w:rsidRPr="006F3B88">
        <w:rPr>
          <w:rFonts w:ascii="Book Antiqua" w:hAnsi="Book Antiqua"/>
          <w:b/>
          <w:color w:val="000000" w:themeColor="text1"/>
        </w:rPr>
        <w:t>23</w:t>
      </w:r>
      <w:r w:rsidRPr="006F3B88">
        <w:rPr>
          <w:rFonts w:ascii="Book Antiqua" w:hAnsi="Book Antiqua"/>
          <w:color w:val="000000" w:themeColor="text1"/>
        </w:rPr>
        <w:t>: 508-514 [PMID: 17762556 DOI: 10.1097/MOG.0b013e3282ba5724]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20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Ozkan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H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Demirbaş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6F3B88">
        <w:rPr>
          <w:rFonts w:ascii="Book Antiqua" w:hAnsi="Book Antiqua"/>
          <w:color w:val="000000" w:themeColor="text1"/>
        </w:rPr>
        <w:t>Ibiş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6F3B88">
        <w:rPr>
          <w:rFonts w:ascii="Book Antiqua" w:hAnsi="Book Antiqua"/>
          <w:color w:val="000000" w:themeColor="text1"/>
        </w:rPr>
        <w:t>Akbal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E, </w:t>
      </w:r>
      <w:proofErr w:type="spellStart"/>
      <w:r w:rsidRPr="006F3B88">
        <w:rPr>
          <w:rFonts w:ascii="Book Antiqua" w:hAnsi="Book Antiqua"/>
          <w:color w:val="000000" w:themeColor="text1"/>
        </w:rPr>
        <w:t>Köklü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S. Diagnostic validity of serum macrophage inhibitor cytokine and tissue polypeptide-specific antigen in </w:t>
      </w:r>
      <w:proofErr w:type="spellStart"/>
      <w:r w:rsidRPr="006F3B88">
        <w:rPr>
          <w:rFonts w:ascii="Book Antiqua" w:hAnsi="Book Antiqua"/>
          <w:color w:val="000000" w:themeColor="text1"/>
        </w:rPr>
        <w:t>pancreatobiliary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diseases.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Pancreatology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2011; </w:t>
      </w:r>
      <w:r w:rsidRPr="006F3B88">
        <w:rPr>
          <w:rFonts w:ascii="Book Antiqua" w:hAnsi="Book Antiqua"/>
          <w:b/>
          <w:color w:val="000000" w:themeColor="text1"/>
        </w:rPr>
        <w:t>11</w:t>
      </w:r>
      <w:r w:rsidRPr="006F3B88">
        <w:rPr>
          <w:rFonts w:ascii="Book Antiqua" w:hAnsi="Book Antiqua"/>
          <w:color w:val="000000" w:themeColor="text1"/>
        </w:rPr>
        <w:t>: 295-300 [PMID: 21757969 DOI: 10.1159/000328963]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21 </w:t>
      </w:r>
      <w:r w:rsidRPr="006F3B88">
        <w:rPr>
          <w:rFonts w:ascii="Book Antiqua" w:hAnsi="Book Antiqua"/>
          <w:b/>
          <w:color w:val="000000" w:themeColor="text1"/>
        </w:rPr>
        <w:t>Bock AJ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Stavnes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HT, </w:t>
      </w:r>
      <w:proofErr w:type="spellStart"/>
      <w:r w:rsidRPr="006F3B88">
        <w:rPr>
          <w:rFonts w:ascii="Book Antiqua" w:hAnsi="Book Antiqua"/>
          <w:color w:val="000000" w:themeColor="text1"/>
        </w:rPr>
        <w:t>Kempf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T, </w:t>
      </w:r>
      <w:proofErr w:type="spellStart"/>
      <w:r w:rsidRPr="006F3B88">
        <w:rPr>
          <w:rFonts w:ascii="Book Antiqua" w:hAnsi="Book Antiqua"/>
          <w:color w:val="000000" w:themeColor="text1"/>
        </w:rPr>
        <w:t>Tropè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CG, </w:t>
      </w:r>
      <w:proofErr w:type="spellStart"/>
      <w:r w:rsidRPr="006F3B88">
        <w:rPr>
          <w:rFonts w:ascii="Book Antiqua" w:hAnsi="Book Antiqua"/>
          <w:color w:val="000000" w:themeColor="text1"/>
        </w:rPr>
        <w:t>Berner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A, Davidson B, Staff AC. Expression and clinical role of growth differentiation factor-15 in ovarian carcinoma effusions.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Int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J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Gynecol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Cancer</w:t>
      </w:r>
      <w:r w:rsidRPr="006F3B88">
        <w:rPr>
          <w:rFonts w:ascii="Book Antiqua" w:hAnsi="Book Antiqua"/>
          <w:color w:val="000000" w:themeColor="text1"/>
        </w:rPr>
        <w:t xml:space="preserve"> 2010; </w:t>
      </w:r>
      <w:r w:rsidRPr="006F3B88">
        <w:rPr>
          <w:rFonts w:ascii="Book Antiqua" w:hAnsi="Book Antiqua"/>
          <w:b/>
          <w:color w:val="000000" w:themeColor="text1"/>
        </w:rPr>
        <w:t>20</w:t>
      </w:r>
      <w:r w:rsidRPr="006F3B88">
        <w:rPr>
          <w:rFonts w:ascii="Book Antiqua" w:hAnsi="Book Antiqua"/>
          <w:color w:val="000000" w:themeColor="text1"/>
        </w:rPr>
        <w:t>: 1448-1455 [PMID: 21336029]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22 </w:t>
      </w:r>
      <w:r w:rsidRPr="006F3B88">
        <w:rPr>
          <w:rFonts w:ascii="Book Antiqua" w:hAnsi="Book Antiqua"/>
          <w:b/>
          <w:color w:val="000000" w:themeColor="text1"/>
        </w:rPr>
        <w:t>Staff AC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Trovik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J, Eriksson AG, </w:t>
      </w:r>
      <w:proofErr w:type="spellStart"/>
      <w:r w:rsidRPr="006F3B88">
        <w:rPr>
          <w:rFonts w:ascii="Book Antiqua" w:hAnsi="Book Antiqua"/>
          <w:color w:val="000000" w:themeColor="text1"/>
        </w:rPr>
        <w:t>Wik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E, Wollert KC, </w:t>
      </w:r>
      <w:proofErr w:type="spellStart"/>
      <w:r w:rsidRPr="006F3B88">
        <w:rPr>
          <w:rFonts w:ascii="Book Antiqua" w:hAnsi="Book Antiqua"/>
          <w:color w:val="000000" w:themeColor="text1"/>
        </w:rPr>
        <w:t>Kempf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T, Salvesen HB. Elevated plasma growth differentiation factor-15 correlates with lymph node metastases and poor survival in endometrial cancer.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Clin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Cancer Res</w:t>
      </w:r>
      <w:r w:rsidRPr="006F3B88">
        <w:rPr>
          <w:rFonts w:ascii="Book Antiqua" w:hAnsi="Book Antiqua"/>
          <w:color w:val="000000" w:themeColor="text1"/>
        </w:rPr>
        <w:t xml:space="preserve"> 2011; </w:t>
      </w:r>
      <w:r w:rsidRPr="006F3B88">
        <w:rPr>
          <w:rFonts w:ascii="Book Antiqua" w:hAnsi="Book Antiqua"/>
          <w:b/>
          <w:color w:val="000000" w:themeColor="text1"/>
        </w:rPr>
        <w:t>17</w:t>
      </w:r>
      <w:r w:rsidRPr="006F3B88">
        <w:rPr>
          <w:rFonts w:ascii="Book Antiqua" w:hAnsi="Book Antiqua"/>
          <w:color w:val="000000" w:themeColor="text1"/>
        </w:rPr>
        <w:t>: 4825-4833 [PMID: 21616994 DOI: 10.1158/1078-0432.CCR-11-0715]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23 </w:t>
      </w:r>
      <w:r w:rsidRPr="006F3B88">
        <w:rPr>
          <w:rFonts w:ascii="Book Antiqua" w:hAnsi="Book Antiqua"/>
          <w:b/>
          <w:color w:val="000000" w:themeColor="text1"/>
        </w:rPr>
        <w:t>Lerner L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Gyuris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6F3B88">
        <w:rPr>
          <w:rFonts w:ascii="Book Antiqua" w:hAnsi="Book Antiqua"/>
          <w:color w:val="000000" w:themeColor="text1"/>
        </w:rPr>
        <w:t>Nicoletti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R, Gifford J, Krieger B, </w:t>
      </w:r>
      <w:proofErr w:type="spellStart"/>
      <w:r w:rsidRPr="006F3B88">
        <w:rPr>
          <w:rFonts w:ascii="Book Antiqua" w:hAnsi="Book Antiqua"/>
          <w:color w:val="000000" w:themeColor="text1"/>
        </w:rPr>
        <w:t>Jatoi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A. Growth differentiating factor-15 (GDF-15): A potential biomarker and therapeutic target for cancer-associated weight loss.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Oncol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Lett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2016; </w:t>
      </w:r>
      <w:r w:rsidRPr="006F3B88">
        <w:rPr>
          <w:rFonts w:ascii="Book Antiqua" w:hAnsi="Book Antiqua"/>
          <w:b/>
          <w:color w:val="000000" w:themeColor="text1"/>
        </w:rPr>
        <w:t>12</w:t>
      </w:r>
      <w:r w:rsidRPr="006F3B88">
        <w:rPr>
          <w:rFonts w:ascii="Book Antiqua" w:hAnsi="Book Antiqua"/>
          <w:color w:val="000000" w:themeColor="text1"/>
        </w:rPr>
        <w:t>: 4219-4223 [PMID: 27895795 DOI: 10.3892/ol.2016.5183]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24 </w:t>
      </w:r>
      <w:r w:rsidRPr="006F3B88">
        <w:rPr>
          <w:rFonts w:ascii="Book Antiqua" w:hAnsi="Book Antiqua"/>
          <w:b/>
          <w:color w:val="000000" w:themeColor="text1"/>
        </w:rPr>
        <w:t>Wang XB</w:t>
      </w:r>
      <w:r w:rsidRPr="006F3B88">
        <w:rPr>
          <w:rFonts w:ascii="Book Antiqua" w:hAnsi="Book Antiqua"/>
          <w:color w:val="000000" w:themeColor="text1"/>
        </w:rPr>
        <w:t xml:space="preserve">, Jiang XR, Yu XY, Wang L, He S, </w:t>
      </w:r>
      <w:proofErr w:type="spellStart"/>
      <w:r w:rsidRPr="006F3B88">
        <w:rPr>
          <w:rFonts w:ascii="Book Antiqua" w:hAnsi="Book Antiqua"/>
          <w:color w:val="000000" w:themeColor="text1"/>
        </w:rPr>
        <w:t>Feng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FY, </w:t>
      </w:r>
      <w:proofErr w:type="spellStart"/>
      <w:r w:rsidRPr="006F3B88">
        <w:rPr>
          <w:rFonts w:ascii="Book Antiqua" w:hAnsi="Book Antiqua"/>
          <w:color w:val="000000" w:themeColor="text1"/>
        </w:rPr>
        <w:t>Guo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LP, Jiang W, Lu SH. Macrophage inhibitory factor 1 acts as a potential biomarker in patients with </w:t>
      </w:r>
      <w:proofErr w:type="spellStart"/>
      <w:r w:rsidRPr="006F3B88">
        <w:rPr>
          <w:rFonts w:ascii="Book Antiqua" w:hAnsi="Book Antiqua"/>
          <w:color w:val="000000" w:themeColor="text1"/>
        </w:rPr>
        <w:t>esophageal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squamous cell carcinoma and is a target for antibody-based therapy. </w:t>
      </w:r>
      <w:r w:rsidRPr="006F3B88">
        <w:rPr>
          <w:rFonts w:ascii="Book Antiqua" w:hAnsi="Book Antiqua"/>
          <w:i/>
          <w:color w:val="000000" w:themeColor="text1"/>
        </w:rPr>
        <w:t xml:space="preserve">Cancer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Sci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2014; </w:t>
      </w:r>
      <w:r w:rsidRPr="006F3B88">
        <w:rPr>
          <w:rFonts w:ascii="Book Antiqua" w:hAnsi="Book Antiqua"/>
          <w:b/>
          <w:color w:val="000000" w:themeColor="text1"/>
        </w:rPr>
        <w:t>105</w:t>
      </w:r>
      <w:r w:rsidRPr="006F3B88">
        <w:rPr>
          <w:rFonts w:ascii="Book Antiqua" w:hAnsi="Book Antiqua"/>
          <w:color w:val="000000" w:themeColor="text1"/>
        </w:rPr>
        <w:t>: 176-185 [PMID: 24383865 DOI: 10.1111/cas.12331]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25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Ji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H</w:t>
      </w:r>
      <w:r w:rsidRPr="006F3B88">
        <w:rPr>
          <w:rFonts w:ascii="Book Antiqua" w:hAnsi="Book Antiqua"/>
          <w:color w:val="000000" w:themeColor="text1"/>
        </w:rPr>
        <w:t xml:space="preserve">, Lu HW, Li YM, Lu L, Wang JL, Zhang YF, Shang H. Twist promotes invasion and </w:t>
      </w:r>
      <w:proofErr w:type="spellStart"/>
      <w:r w:rsidRPr="006F3B88">
        <w:rPr>
          <w:rFonts w:ascii="Book Antiqua" w:hAnsi="Book Antiqua"/>
          <w:color w:val="000000" w:themeColor="text1"/>
        </w:rPr>
        <w:t>cisplatin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resistance in pancreatic cancer cells through growth differentiation factor 15.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Mol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Med Rep</w:t>
      </w:r>
      <w:r w:rsidRPr="006F3B88">
        <w:rPr>
          <w:rFonts w:ascii="Book Antiqua" w:hAnsi="Book Antiqua"/>
          <w:color w:val="000000" w:themeColor="text1"/>
        </w:rPr>
        <w:t xml:space="preserve"> 2015; </w:t>
      </w:r>
      <w:r w:rsidRPr="006F3B88">
        <w:rPr>
          <w:rFonts w:ascii="Book Antiqua" w:hAnsi="Book Antiqua"/>
          <w:b/>
          <w:color w:val="000000" w:themeColor="text1"/>
        </w:rPr>
        <w:t>12</w:t>
      </w:r>
      <w:r w:rsidRPr="006F3B88">
        <w:rPr>
          <w:rFonts w:ascii="Book Antiqua" w:hAnsi="Book Antiqua"/>
          <w:color w:val="000000" w:themeColor="text1"/>
        </w:rPr>
        <w:t>: 3841-3848 [PMID: 26018318 DOI: 10.3892/mmr.2015.3867]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26 </w:t>
      </w:r>
      <w:r w:rsidRPr="006F3B88">
        <w:rPr>
          <w:rFonts w:ascii="Book Antiqua" w:hAnsi="Book Antiqua"/>
          <w:b/>
          <w:color w:val="000000" w:themeColor="text1"/>
        </w:rPr>
        <w:t>Wang X</w:t>
      </w:r>
      <w:r w:rsidRPr="006F3B88">
        <w:rPr>
          <w:rFonts w:ascii="Book Antiqua" w:hAnsi="Book Antiqua"/>
          <w:color w:val="000000" w:themeColor="text1"/>
        </w:rPr>
        <w:t xml:space="preserve">, Li Y, </w:t>
      </w:r>
      <w:proofErr w:type="spellStart"/>
      <w:r w:rsidRPr="006F3B88">
        <w:rPr>
          <w:rFonts w:ascii="Book Antiqua" w:hAnsi="Book Antiqua"/>
          <w:color w:val="000000" w:themeColor="text1"/>
        </w:rPr>
        <w:t>Tian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H, Qi J, Li M, Fu C, Wu F, Wang Y, Cheng D, Zhao W, Zhang C, Wang T, </w:t>
      </w:r>
      <w:proofErr w:type="spellStart"/>
      <w:r w:rsidRPr="006F3B88">
        <w:rPr>
          <w:rFonts w:ascii="Book Antiqua" w:hAnsi="Book Antiqua"/>
          <w:color w:val="000000" w:themeColor="text1"/>
        </w:rPr>
        <w:t>Rao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J, Zhang W. Macrophage inhibitory cytokine 1 (MIC-1/GDF15) as a </w:t>
      </w:r>
      <w:r w:rsidRPr="006F3B88">
        <w:rPr>
          <w:rFonts w:ascii="Book Antiqua" w:hAnsi="Book Antiqua"/>
          <w:color w:val="000000" w:themeColor="text1"/>
        </w:rPr>
        <w:lastRenderedPageBreak/>
        <w:t xml:space="preserve">novel diagnostic serum biomarker in pancreatic ductal adenocarcinoma. </w:t>
      </w:r>
      <w:r w:rsidRPr="006F3B88">
        <w:rPr>
          <w:rFonts w:ascii="Book Antiqua" w:hAnsi="Book Antiqua"/>
          <w:i/>
          <w:color w:val="000000" w:themeColor="text1"/>
        </w:rPr>
        <w:t>BMC Cancer</w:t>
      </w:r>
      <w:r w:rsidRPr="006F3B88">
        <w:rPr>
          <w:rFonts w:ascii="Book Antiqua" w:hAnsi="Book Antiqua"/>
          <w:color w:val="000000" w:themeColor="text1"/>
        </w:rPr>
        <w:t xml:space="preserve"> 2014; </w:t>
      </w:r>
      <w:r w:rsidRPr="006F3B88">
        <w:rPr>
          <w:rFonts w:ascii="Book Antiqua" w:hAnsi="Book Antiqua"/>
          <w:b/>
          <w:color w:val="000000" w:themeColor="text1"/>
        </w:rPr>
        <w:t>14</w:t>
      </w:r>
      <w:r w:rsidRPr="006F3B88">
        <w:rPr>
          <w:rFonts w:ascii="Book Antiqua" w:hAnsi="Book Antiqua"/>
          <w:color w:val="000000" w:themeColor="text1"/>
        </w:rPr>
        <w:t>: 578 [PMID: 25106741 DOI: 10.1186/1471-2407-14-578]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27 </w:t>
      </w:r>
      <w:r w:rsidRPr="006F3B88">
        <w:rPr>
          <w:rFonts w:ascii="Book Antiqua" w:hAnsi="Book Antiqua"/>
          <w:b/>
          <w:color w:val="000000" w:themeColor="text1"/>
        </w:rPr>
        <w:t>Yang Y</w:t>
      </w:r>
      <w:r w:rsidRPr="006F3B88">
        <w:rPr>
          <w:rFonts w:ascii="Book Antiqua" w:hAnsi="Book Antiqua"/>
          <w:color w:val="000000" w:themeColor="text1"/>
        </w:rPr>
        <w:t xml:space="preserve">, Yan S, </w:t>
      </w:r>
      <w:proofErr w:type="spellStart"/>
      <w:r w:rsidRPr="006F3B88">
        <w:rPr>
          <w:rFonts w:ascii="Book Antiqua" w:hAnsi="Book Antiqua"/>
          <w:color w:val="000000" w:themeColor="text1"/>
        </w:rPr>
        <w:t>Tian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H, </w:t>
      </w:r>
      <w:proofErr w:type="spellStart"/>
      <w:r w:rsidRPr="006F3B88">
        <w:rPr>
          <w:rFonts w:ascii="Book Antiqua" w:hAnsi="Book Antiqua"/>
          <w:color w:val="000000" w:themeColor="text1"/>
        </w:rPr>
        <w:t>Bao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Y. Macrophage inhibitory cytokine-1 versus carbohydrate antigen 19-9 as a biomarker for diagnosis of pancreatic cancer: A PRISMA-compliant meta-analysis of diagnostic accuracy studies. </w:t>
      </w:r>
      <w:r w:rsidRPr="006F3B88">
        <w:rPr>
          <w:rFonts w:ascii="Book Antiqua" w:hAnsi="Book Antiqua"/>
          <w:i/>
          <w:color w:val="000000" w:themeColor="text1"/>
        </w:rPr>
        <w:t>Medicine (Baltimore)</w:t>
      </w:r>
      <w:r w:rsidRPr="006F3B88">
        <w:rPr>
          <w:rFonts w:ascii="Book Antiqua" w:hAnsi="Book Antiqua"/>
          <w:color w:val="000000" w:themeColor="text1"/>
        </w:rPr>
        <w:t xml:space="preserve"> 2018; </w:t>
      </w:r>
      <w:r w:rsidRPr="006F3B88">
        <w:rPr>
          <w:rFonts w:ascii="Book Antiqua" w:hAnsi="Book Antiqua"/>
          <w:b/>
          <w:color w:val="000000" w:themeColor="text1"/>
        </w:rPr>
        <w:t>97</w:t>
      </w:r>
      <w:r w:rsidRPr="006F3B88">
        <w:rPr>
          <w:rFonts w:ascii="Book Antiqua" w:hAnsi="Book Antiqua"/>
          <w:color w:val="000000" w:themeColor="text1"/>
        </w:rPr>
        <w:t>: e9994 [PMID: 29489701 DOI: 10.1097/MD.0000000000009994]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28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Kaur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S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Chakraborty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6F3B88">
        <w:rPr>
          <w:rFonts w:ascii="Book Antiqua" w:hAnsi="Book Antiqua"/>
          <w:color w:val="000000" w:themeColor="text1"/>
        </w:rPr>
        <w:t>Baine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MJ, </w:t>
      </w:r>
      <w:proofErr w:type="spellStart"/>
      <w:r w:rsidRPr="006F3B88">
        <w:rPr>
          <w:rFonts w:ascii="Book Antiqua" w:hAnsi="Book Antiqua"/>
          <w:color w:val="000000" w:themeColor="text1"/>
        </w:rPr>
        <w:t>Mallya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K, Smith LM, </w:t>
      </w:r>
      <w:proofErr w:type="spellStart"/>
      <w:r w:rsidRPr="006F3B88">
        <w:rPr>
          <w:rFonts w:ascii="Book Antiqua" w:hAnsi="Book Antiqua"/>
          <w:color w:val="000000" w:themeColor="text1"/>
        </w:rPr>
        <w:t>Sasson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A, Brand R, </w:t>
      </w:r>
      <w:proofErr w:type="spellStart"/>
      <w:r w:rsidRPr="006F3B88">
        <w:rPr>
          <w:rFonts w:ascii="Book Antiqua" w:hAnsi="Book Antiqua"/>
          <w:color w:val="000000" w:themeColor="text1"/>
        </w:rPr>
        <w:t>Guha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S, Jain M, </w:t>
      </w:r>
      <w:proofErr w:type="spellStart"/>
      <w:r w:rsidRPr="006F3B88">
        <w:rPr>
          <w:rFonts w:ascii="Book Antiqua" w:hAnsi="Book Antiqua"/>
          <w:color w:val="000000" w:themeColor="text1"/>
        </w:rPr>
        <w:t>Wittel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U, Singh SK, </w:t>
      </w:r>
      <w:proofErr w:type="spellStart"/>
      <w:r w:rsidRPr="006F3B88">
        <w:rPr>
          <w:rFonts w:ascii="Book Antiqua" w:hAnsi="Book Antiqua"/>
          <w:color w:val="000000" w:themeColor="text1"/>
        </w:rPr>
        <w:t>Batra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SK. Potentials of plasma NGAL and MIC-1 as biomarker(s) in the diagnosis of lethal pancreatic cancer.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PLoS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One</w:t>
      </w:r>
      <w:r w:rsidRPr="006F3B88">
        <w:rPr>
          <w:rFonts w:ascii="Book Antiqua" w:hAnsi="Book Antiqua"/>
          <w:color w:val="000000" w:themeColor="text1"/>
        </w:rPr>
        <w:t xml:space="preserve"> 2013; </w:t>
      </w:r>
      <w:r w:rsidRPr="006F3B88">
        <w:rPr>
          <w:rFonts w:ascii="Book Antiqua" w:hAnsi="Book Antiqua"/>
          <w:b/>
          <w:color w:val="000000" w:themeColor="text1"/>
        </w:rPr>
        <w:t>8</w:t>
      </w:r>
      <w:r w:rsidRPr="006F3B88">
        <w:rPr>
          <w:rFonts w:ascii="Book Antiqua" w:hAnsi="Book Antiqua"/>
          <w:color w:val="000000" w:themeColor="text1"/>
        </w:rPr>
        <w:t>: e55171 [PMID: 23383312 DOI: 10.1371/journal.pone.0055171]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29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Hogendorf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P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Durczyński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6F3B88">
        <w:rPr>
          <w:rFonts w:ascii="Book Antiqua" w:hAnsi="Book Antiqua"/>
          <w:color w:val="000000" w:themeColor="text1"/>
        </w:rPr>
        <w:t>Skulimowski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6F3B88">
        <w:rPr>
          <w:rFonts w:ascii="Book Antiqua" w:hAnsi="Book Antiqua"/>
          <w:color w:val="000000" w:themeColor="text1"/>
        </w:rPr>
        <w:t>Kumor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6F3B88">
        <w:rPr>
          <w:rFonts w:ascii="Book Antiqua" w:hAnsi="Book Antiqua"/>
          <w:color w:val="000000" w:themeColor="text1"/>
        </w:rPr>
        <w:t>Poznańska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6F3B88">
        <w:rPr>
          <w:rFonts w:ascii="Book Antiqua" w:hAnsi="Book Antiqua"/>
          <w:color w:val="000000" w:themeColor="text1"/>
        </w:rPr>
        <w:t>Strzelczyk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J. Growth differentiation factor (GDF-15) concentration combined with Ca125 levels in serum is superior to commonly used cancer biomarkers in differentiation of pancreatic mass. </w:t>
      </w:r>
      <w:r w:rsidRPr="006F3B88">
        <w:rPr>
          <w:rFonts w:ascii="Book Antiqua" w:hAnsi="Book Antiqua"/>
          <w:i/>
          <w:color w:val="000000" w:themeColor="text1"/>
        </w:rPr>
        <w:t xml:space="preserve">Cancer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Biomark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2018; </w:t>
      </w:r>
      <w:r w:rsidRPr="006F3B88">
        <w:rPr>
          <w:rFonts w:ascii="Book Antiqua" w:hAnsi="Book Antiqua"/>
          <w:b/>
          <w:color w:val="000000" w:themeColor="text1"/>
        </w:rPr>
        <w:t>21</w:t>
      </w:r>
      <w:r w:rsidRPr="006F3B88">
        <w:rPr>
          <w:rFonts w:ascii="Book Antiqua" w:hAnsi="Book Antiqua"/>
          <w:color w:val="000000" w:themeColor="text1"/>
        </w:rPr>
        <w:t>: 505-511 [PMID: 29171983 DOI: 10.3233/CBM-170203]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30 </w:t>
      </w:r>
      <w:r w:rsidRPr="006F3B88">
        <w:rPr>
          <w:rFonts w:ascii="Book Antiqua" w:hAnsi="Book Antiqua"/>
          <w:b/>
          <w:color w:val="000000" w:themeColor="text1"/>
        </w:rPr>
        <w:t>Mohamed AA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Soliman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H, Ismail M, </w:t>
      </w:r>
      <w:proofErr w:type="spellStart"/>
      <w:r w:rsidRPr="006F3B88">
        <w:rPr>
          <w:rFonts w:ascii="Book Antiqua" w:hAnsi="Book Antiqua"/>
          <w:color w:val="000000" w:themeColor="text1"/>
        </w:rPr>
        <w:t>Ziada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6F3B88">
        <w:rPr>
          <w:rFonts w:ascii="Book Antiqua" w:hAnsi="Book Antiqua"/>
          <w:color w:val="000000" w:themeColor="text1"/>
        </w:rPr>
        <w:t>Farid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TM, </w:t>
      </w:r>
      <w:proofErr w:type="spellStart"/>
      <w:r w:rsidRPr="006F3B88">
        <w:rPr>
          <w:rFonts w:ascii="Book Antiqua" w:hAnsi="Book Antiqua"/>
          <w:color w:val="000000" w:themeColor="text1"/>
        </w:rPr>
        <w:t>Aref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AM, Al Daly ME, </w:t>
      </w:r>
      <w:proofErr w:type="spellStart"/>
      <w:r w:rsidRPr="006F3B88">
        <w:rPr>
          <w:rFonts w:ascii="Book Antiqua" w:hAnsi="Book Antiqua"/>
          <w:color w:val="000000" w:themeColor="text1"/>
        </w:rPr>
        <w:t>Abd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color w:val="000000" w:themeColor="text1"/>
        </w:rPr>
        <w:t>Elmageed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ZY. </w:t>
      </w:r>
      <w:proofErr w:type="gramStart"/>
      <w:r w:rsidRPr="006F3B88">
        <w:rPr>
          <w:rFonts w:ascii="Book Antiqua" w:hAnsi="Book Antiqua"/>
          <w:color w:val="000000" w:themeColor="text1"/>
        </w:rPr>
        <w:t>Evaluation of circulating ADH and MIC-1 as diagnostic markers in Egyptian patients with pancreatic cancer.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Pancreatology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2015; </w:t>
      </w:r>
      <w:r w:rsidRPr="006F3B88">
        <w:rPr>
          <w:rFonts w:ascii="Book Antiqua" w:hAnsi="Book Antiqua"/>
          <w:b/>
          <w:color w:val="000000" w:themeColor="text1"/>
        </w:rPr>
        <w:t>15</w:t>
      </w:r>
      <w:r w:rsidRPr="006F3B88">
        <w:rPr>
          <w:rFonts w:ascii="Book Antiqua" w:hAnsi="Book Antiqua"/>
          <w:color w:val="000000" w:themeColor="text1"/>
        </w:rPr>
        <w:t>: 34-39 [PMID: 25464937 DOI: 10.1016/j.pan.2014.10.008]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F3B88">
        <w:rPr>
          <w:rFonts w:ascii="Book Antiqua" w:hAnsi="Book Antiqua"/>
          <w:color w:val="000000" w:themeColor="text1"/>
        </w:rPr>
        <w:t xml:space="preserve">31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Jelski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W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Mroczko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B. Biochemical diagnostics of pancreatic cancer - Present and future.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Clin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Chim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Acta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2019; </w:t>
      </w:r>
      <w:r w:rsidRPr="006F3B88">
        <w:rPr>
          <w:rFonts w:ascii="Book Antiqua" w:hAnsi="Book Antiqua"/>
          <w:b/>
          <w:color w:val="000000" w:themeColor="text1"/>
        </w:rPr>
        <w:t>498</w:t>
      </w:r>
      <w:r w:rsidRPr="006F3B88">
        <w:rPr>
          <w:rFonts w:ascii="Book Antiqua" w:hAnsi="Book Antiqua"/>
          <w:color w:val="000000" w:themeColor="text1"/>
        </w:rPr>
        <w:t>: 47-51 [PMID: 31430440 DOI: 10.1016/j.cca.2019.08.013]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F3B88">
        <w:rPr>
          <w:rFonts w:ascii="Book Antiqua" w:hAnsi="Book Antiqua"/>
          <w:color w:val="000000" w:themeColor="text1"/>
        </w:rPr>
        <w:t xml:space="preserve">32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Yabar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CS</w:t>
      </w:r>
      <w:r w:rsidRPr="006F3B88">
        <w:rPr>
          <w:rFonts w:ascii="Book Antiqua" w:hAnsi="Book Antiqua"/>
          <w:color w:val="000000" w:themeColor="text1"/>
        </w:rPr>
        <w:t>, Winter JM.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Pancreatic Cancer: A Review.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Gastroenterol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Clin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North Am</w:t>
      </w:r>
      <w:r w:rsidRPr="006F3B88">
        <w:rPr>
          <w:rFonts w:ascii="Book Antiqua" w:hAnsi="Book Antiqua"/>
          <w:color w:val="000000" w:themeColor="text1"/>
        </w:rPr>
        <w:t xml:space="preserve"> 2016; </w:t>
      </w:r>
      <w:r w:rsidRPr="006F3B88">
        <w:rPr>
          <w:rFonts w:ascii="Book Antiqua" w:hAnsi="Book Antiqua"/>
          <w:b/>
          <w:color w:val="000000" w:themeColor="text1"/>
        </w:rPr>
        <w:t>45</w:t>
      </w:r>
      <w:r w:rsidRPr="006F3B88">
        <w:rPr>
          <w:rFonts w:ascii="Book Antiqua" w:hAnsi="Book Antiqua"/>
          <w:color w:val="000000" w:themeColor="text1"/>
        </w:rPr>
        <w:t>: 429-445 [PMID: 27546841 DOI: 10.1016/j.gtc.2016.04.003]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33 </w:t>
      </w:r>
      <w:r w:rsidRPr="006F3B88">
        <w:rPr>
          <w:rFonts w:ascii="Book Antiqua" w:hAnsi="Book Antiqua"/>
          <w:b/>
          <w:color w:val="000000" w:themeColor="text1"/>
        </w:rPr>
        <w:t>Huang Z</w:t>
      </w:r>
      <w:r w:rsidRPr="006F3B88">
        <w:rPr>
          <w:rFonts w:ascii="Book Antiqua" w:hAnsi="Book Antiqua"/>
          <w:color w:val="000000" w:themeColor="text1"/>
        </w:rPr>
        <w:t xml:space="preserve">, Liu F. Diagnostic value of serum carbohydrate antigen 19-9 in pancreatic cancer: a meta-analysis. </w:t>
      </w:r>
      <w:r w:rsidRPr="006F3B88">
        <w:rPr>
          <w:rFonts w:ascii="Book Antiqua" w:hAnsi="Book Antiqua"/>
          <w:i/>
          <w:color w:val="000000" w:themeColor="text1"/>
        </w:rPr>
        <w:t xml:space="preserve">Tumour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Biol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2014; </w:t>
      </w:r>
      <w:r w:rsidRPr="006F3B88">
        <w:rPr>
          <w:rFonts w:ascii="Book Antiqua" w:hAnsi="Book Antiqua"/>
          <w:b/>
          <w:color w:val="000000" w:themeColor="text1"/>
        </w:rPr>
        <w:t>35</w:t>
      </w:r>
      <w:r w:rsidRPr="006F3B88">
        <w:rPr>
          <w:rFonts w:ascii="Book Antiqua" w:hAnsi="Book Antiqua"/>
          <w:color w:val="000000" w:themeColor="text1"/>
        </w:rPr>
        <w:t>: 7459-7465 [PMID: 24789274 DOI: 10.1007/s13277-014-1995-9]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34 </w:t>
      </w:r>
      <w:r w:rsidRPr="006F3B88">
        <w:rPr>
          <w:rFonts w:ascii="Book Antiqua" w:hAnsi="Book Antiqua"/>
          <w:b/>
          <w:color w:val="000000" w:themeColor="text1"/>
        </w:rPr>
        <w:t>Zhang Y</w:t>
      </w:r>
      <w:r w:rsidRPr="006F3B88">
        <w:rPr>
          <w:rFonts w:ascii="Book Antiqua" w:hAnsi="Book Antiqua"/>
          <w:color w:val="000000" w:themeColor="text1"/>
        </w:rPr>
        <w:t xml:space="preserve">, Yang J, Li H, Wu Y, Zhang H, Chen W. </w:t>
      </w:r>
      <w:proofErr w:type="spellStart"/>
      <w:r w:rsidRPr="006F3B88">
        <w:rPr>
          <w:rFonts w:ascii="Book Antiqua" w:hAnsi="Book Antiqua"/>
          <w:color w:val="000000" w:themeColor="text1"/>
        </w:rPr>
        <w:t>Tumor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markers CA19-9, CA242 and CEA in the diagnosis of pancreatic cancer: a meta-analysis.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Int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J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Clin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Exp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Med</w:t>
      </w:r>
      <w:r w:rsidRPr="006F3B88">
        <w:rPr>
          <w:rFonts w:ascii="Book Antiqua" w:hAnsi="Book Antiqua"/>
          <w:color w:val="000000" w:themeColor="text1"/>
        </w:rPr>
        <w:t xml:space="preserve"> 2015; </w:t>
      </w:r>
      <w:r w:rsidRPr="006F3B88">
        <w:rPr>
          <w:rFonts w:ascii="Book Antiqua" w:hAnsi="Book Antiqua"/>
          <w:b/>
          <w:color w:val="000000" w:themeColor="text1"/>
        </w:rPr>
        <w:t>8</w:t>
      </w:r>
      <w:r w:rsidRPr="006F3B88">
        <w:rPr>
          <w:rFonts w:ascii="Book Antiqua" w:hAnsi="Book Antiqua"/>
          <w:color w:val="000000" w:themeColor="text1"/>
        </w:rPr>
        <w:t>: 11683-11691 [PMID: 26380005]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lastRenderedPageBreak/>
        <w:t xml:space="preserve">35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Ehmann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M</w:t>
      </w:r>
      <w:r w:rsidRPr="006F3B88">
        <w:rPr>
          <w:rFonts w:ascii="Book Antiqua" w:hAnsi="Book Antiqua"/>
          <w:color w:val="000000" w:themeColor="text1"/>
        </w:rPr>
        <w:t xml:space="preserve">, Felix K, Hartmann D, </w:t>
      </w:r>
      <w:proofErr w:type="spellStart"/>
      <w:r w:rsidRPr="006F3B88">
        <w:rPr>
          <w:rFonts w:ascii="Book Antiqua" w:hAnsi="Book Antiqua"/>
          <w:color w:val="000000" w:themeColor="text1"/>
        </w:rPr>
        <w:t>Schnölzer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6F3B88">
        <w:rPr>
          <w:rFonts w:ascii="Book Antiqua" w:hAnsi="Book Antiqua"/>
          <w:color w:val="000000" w:themeColor="text1"/>
        </w:rPr>
        <w:t>Nees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6F3B88">
        <w:rPr>
          <w:rFonts w:ascii="Book Antiqua" w:hAnsi="Book Antiqua"/>
          <w:color w:val="000000" w:themeColor="text1"/>
        </w:rPr>
        <w:t>Vorderwülbecke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S, </w:t>
      </w:r>
      <w:proofErr w:type="spellStart"/>
      <w:r w:rsidRPr="006F3B88">
        <w:rPr>
          <w:rFonts w:ascii="Book Antiqua" w:hAnsi="Book Antiqua"/>
          <w:color w:val="000000" w:themeColor="text1"/>
        </w:rPr>
        <w:t>Bogumil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6F3B88">
        <w:rPr>
          <w:rFonts w:ascii="Book Antiqua" w:hAnsi="Book Antiqua"/>
          <w:color w:val="000000" w:themeColor="text1"/>
        </w:rPr>
        <w:t>Büchler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MW, </w:t>
      </w:r>
      <w:proofErr w:type="spellStart"/>
      <w:r w:rsidRPr="006F3B88">
        <w:rPr>
          <w:rFonts w:ascii="Book Antiqua" w:hAnsi="Book Antiqua"/>
          <w:color w:val="000000" w:themeColor="text1"/>
        </w:rPr>
        <w:t>Friess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H. Identification of potential markers for the detection of pancreatic cancer through comparative serum protein expression profiling. </w:t>
      </w:r>
      <w:r w:rsidRPr="006F3B88">
        <w:rPr>
          <w:rFonts w:ascii="Book Antiqua" w:hAnsi="Book Antiqua"/>
          <w:i/>
          <w:color w:val="000000" w:themeColor="text1"/>
        </w:rPr>
        <w:t>Pancreas</w:t>
      </w:r>
      <w:r w:rsidRPr="006F3B88">
        <w:rPr>
          <w:rFonts w:ascii="Book Antiqua" w:hAnsi="Book Antiqua"/>
          <w:color w:val="000000" w:themeColor="text1"/>
        </w:rPr>
        <w:t xml:space="preserve"> 2007; </w:t>
      </w:r>
      <w:r w:rsidRPr="006F3B88">
        <w:rPr>
          <w:rFonts w:ascii="Book Antiqua" w:hAnsi="Book Antiqua"/>
          <w:b/>
          <w:color w:val="000000" w:themeColor="text1"/>
        </w:rPr>
        <w:t>34</w:t>
      </w:r>
      <w:r w:rsidRPr="006F3B88">
        <w:rPr>
          <w:rFonts w:ascii="Book Antiqua" w:hAnsi="Book Antiqua"/>
          <w:color w:val="000000" w:themeColor="text1"/>
        </w:rPr>
        <w:t>: 205-214 [PMID: 17312459 DOI: 10.1097/01.mpa.0000250128.57026.b2]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36 </w:t>
      </w:r>
      <w:r w:rsidRPr="006F3B88">
        <w:rPr>
          <w:rFonts w:ascii="Book Antiqua" w:hAnsi="Book Antiqua"/>
          <w:b/>
          <w:color w:val="000000" w:themeColor="text1"/>
        </w:rPr>
        <w:t>Hoffman RM</w:t>
      </w:r>
      <w:r w:rsidRPr="006F3B88">
        <w:rPr>
          <w:rFonts w:ascii="Book Antiqua" w:hAnsi="Book Antiqua"/>
          <w:color w:val="000000" w:themeColor="text1"/>
        </w:rPr>
        <w:t xml:space="preserve">, Gilliland FD, Adams-Cameron M, Hunt WC, Key CR. Prostate-specific antigen testing accuracy in community practice. </w:t>
      </w:r>
      <w:r w:rsidRPr="006F3B88">
        <w:rPr>
          <w:rFonts w:ascii="Book Antiqua" w:hAnsi="Book Antiqua"/>
          <w:i/>
          <w:color w:val="000000" w:themeColor="text1"/>
        </w:rPr>
        <w:t xml:space="preserve">BMC </w:t>
      </w:r>
      <w:proofErr w:type="spellStart"/>
      <w:proofErr w:type="gramStart"/>
      <w:r w:rsidRPr="006F3B88">
        <w:rPr>
          <w:rFonts w:ascii="Book Antiqua" w:hAnsi="Book Antiqua"/>
          <w:i/>
          <w:color w:val="000000" w:themeColor="text1"/>
        </w:rPr>
        <w:t>Fam</w:t>
      </w:r>
      <w:proofErr w:type="spellEnd"/>
      <w:proofErr w:type="gramEnd"/>
      <w:r w:rsidRPr="006F3B88">
        <w:rPr>
          <w:rFonts w:ascii="Book Antiqua" w:hAnsi="Book Antiqua"/>
          <w:i/>
          <w:color w:val="000000" w:themeColor="text1"/>
        </w:rPr>
        <w:t xml:space="preserve">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Pract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2002; </w:t>
      </w:r>
      <w:r w:rsidRPr="006F3B88">
        <w:rPr>
          <w:rFonts w:ascii="Book Antiqua" w:hAnsi="Book Antiqua"/>
          <w:b/>
          <w:color w:val="000000" w:themeColor="text1"/>
        </w:rPr>
        <w:t>3</w:t>
      </w:r>
      <w:r w:rsidRPr="006F3B88">
        <w:rPr>
          <w:rFonts w:ascii="Book Antiqua" w:hAnsi="Book Antiqua"/>
          <w:color w:val="000000" w:themeColor="text1"/>
        </w:rPr>
        <w:t>: 19 [PMID: 12398793 DOI: 10.1186/1471-2296-3-19]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37 </w:t>
      </w:r>
      <w:r w:rsidRPr="006F3B88">
        <w:rPr>
          <w:rFonts w:ascii="Book Antiqua" w:hAnsi="Book Antiqua"/>
          <w:b/>
          <w:color w:val="000000" w:themeColor="text1"/>
        </w:rPr>
        <w:t>Quintero E</w:t>
      </w:r>
      <w:r w:rsidRPr="006F3B88">
        <w:rPr>
          <w:rFonts w:ascii="Book Antiqua" w:hAnsi="Book Antiqua"/>
          <w:color w:val="000000" w:themeColor="text1"/>
        </w:rPr>
        <w:t xml:space="preserve">, Castells A, </w:t>
      </w:r>
      <w:proofErr w:type="spellStart"/>
      <w:r w:rsidRPr="006F3B88">
        <w:rPr>
          <w:rFonts w:ascii="Book Antiqua" w:hAnsi="Book Antiqua"/>
          <w:color w:val="000000" w:themeColor="text1"/>
        </w:rPr>
        <w:t>Bujanda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L, </w:t>
      </w:r>
      <w:proofErr w:type="spellStart"/>
      <w:r w:rsidRPr="006F3B88">
        <w:rPr>
          <w:rFonts w:ascii="Book Antiqua" w:hAnsi="Book Antiqua"/>
          <w:color w:val="000000" w:themeColor="text1"/>
        </w:rPr>
        <w:t>Cubiella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J, Salas D, </w:t>
      </w:r>
      <w:proofErr w:type="spellStart"/>
      <w:r w:rsidRPr="006F3B88">
        <w:rPr>
          <w:rFonts w:ascii="Book Antiqua" w:hAnsi="Book Antiqua"/>
          <w:color w:val="000000" w:themeColor="text1"/>
        </w:rPr>
        <w:t>Lanas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Á, </w:t>
      </w:r>
      <w:proofErr w:type="spellStart"/>
      <w:r w:rsidRPr="006F3B88">
        <w:rPr>
          <w:rFonts w:ascii="Book Antiqua" w:hAnsi="Book Antiqua"/>
          <w:color w:val="000000" w:themeColor="text1"/>
        </w:rPr>
        <w:t>Andreu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6F3B88">
        <w:rPr>
          <w:rFonts w:ascii="Book Antiqua" w:hAnsi="Book Antiqua"/>
          <w:color w:val="000000" w:themeColor="text1"/>
        </w:rPr>
        <w:t>Carballo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F, </w:t>
      </w:r>
      <w:proofErr w:type="spellStart"/>
      <w:r w:rsidRPr="006F3B88">
        <w:rPr>
          <w:rFonts w:ascii="Book Antiqua" w:hAnsi="Book Antiqua"/>
          <w:color w:val="000000" w:themeColor="text1"/>
        </w:rPr>
        <w:t>Morillas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JD, Hernández C, </w:t>
      </w:r>
      <w:proofErr w:type="spellStart"/>
      <w:r w:rsidRPr="006F3B88">
        <w:rPr>
          <w:rFonts w:ascii="Book Antiqua" w:hAnsi="Book Antiqua"/>
          <w:color w:val="000000" w:themeColor="text1"/>
        </w:rPr>
        <w:t>Jover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6F3B88">
        <w:rPr>
          <w:rFonts w:ascii="Book Antiqua" w:hAnsi="Book Antiqua"/>
          <w:color w:val="000000" w:themeColor="text1"/>
        </w:rPr>
        <w:t>Montalvo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I, Arenas J, Laredo E, Hernández V, Iglesias F, Cid E, </w:t>
      </w:r>
      <w:proofErr w:type="spellStart"/>
      <w:r w:rsidRPr="006F3B88">
        <w:rPr>
          <w:rFonts w:ascii="Book Antiqua" w:hAnsi="Book Antiqua"/>
          <w:color w:val="000000" w:themeColor="text1"/>
        </w:rPr>
        <w:t>Zubizarreta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R, </w:t>
      </w:r>
      <w:proofErr w:type="spellStart"/>
      <w:r w:rsidRPr="006F3B88">
        <w:rPr>
          <w:rFonts w:ascii="Book Antiqua" w:hAnsi="Book Antiqua"/>
          <w:color w:val="000000" w:themeColor="text1"/>
        </w:rPr>
        <w:t>Sala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T, Ponce M, Andrés M, </w:t>
      </w:r>
      <w:proofErr w:type="spellStart"/>
      <w:r w:rsidRPr="006F3B88">
        <w:rPr>
          <w:rFonts w:ascii="Book Antiqua" w:hAnsi="Book Antiqua"/>
          <w:color w:val="000000" w:themeColor="text1"/>
        </w:rPr>
        <w:t>Teruel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G, Peris A, </w:t>
      </w:r>
      <w:proofErr w:type="spellStart"/>
      <w:r w:rsidRPr="006F3B88">
        <w:rPr>
          <w:rFonts w:ascii="Book Antiqua" w:hAnsi="Book Antiqua"/>
          <w:color w:val="000000" w:themeColor="text1"/>
        </w:rPr>
        <w:t>Roncales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MP, Polo-</w:t>
      </w:r>
      <w:proofErr w:type="spellStart"/>
      <w:r w:rsidRPr="006F3B88">
        <w:rPr>
          <w:rFonts w:ascii="Book Antiqua" w:hAnsi="Book Antiqua"/>
          <w:color w:val="000000" w:themeColor="text1"/>
        </w:rPr>
        <w:t>Tomás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</w:t>
      </w:r>
      <w:proofErr w:type="spellStart"/>
      <w:r w:rsidRPr="006F3B88">
        <w:rPr>
          <w:rFonts w:ascii="Book Antiqua" w:hAnsi="Book Antiqua"/>
          <w:color w:val="000000" w:themeColor="text1"/>
        </w:rPr>
        <w:t>Bessa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X, </w:t>
      </w:r>
      <w:proofErr w:type="spellStart"/>
      <w:r w:rsidRPr="006F3B88">
        <w:rPr>
          <w:rFonts w:ascii="Book Antiqua" w:hAnsi="Book Antiqua"/>
          <w:color w:val="000000" w:themeColor="text1"/>
        </w:rPr>
        <w:t>Ferrer-Armengou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O, </w:t>
      </w:r>
      <w:proofErr w:type="spellStart"/>
      <w:r w:rsidRPr="006F3B88">
        <w:rPr>
          <w:rFonts w:ascii="Book Antiqua" w:hAnsi="Book Antiqua"/>
          <w:color w:val="000000" w:themeColor="text1"/>
        </w:rPr>
        <w:t>Grau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6F3B88">
        <w:rPr>
          <w:rFonts w:ascii="Book Antiqua" w:hAnsi="Book Antiqua"/>
          <w:color w:val="000000" w:themeColor="text1"/>
        </w:rPr>
        <w:t>Serradesanferm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A, Ono A, </w:t>
      </w:r>
      <w:proofErr w:type="spellStart"/>
      <w:r w:rsidRPr="006F3B88">
        <w:rPr>
          <w:rFonts w:ascii="Book Antiqua" w:hAnsi="Book Antiqua"/>
          <w:color w:val="000000" w:themeColor="text1"/>
        </w:rPr>
        <w:t>Cruzado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J, Pérez-</w:t>
      </w:r>
      <w:proofErr w:type="spellStart"/>
      <w:r w:rsidRPr="006F3B88">
        <w:rPr>
          <w:rFonts w:ascii="Book Antiqua" w:hAnsi="Book Antiqua"/>
          <w:color w:val="000000" w:themeColor="text1"/>
        </w:rPr>
        <w:t>Riquelme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F, Alonso-Abreu I, de la Vega-</w:t>
      </w:r>
      <w:proofErr w:type="spellStart"/>
      <w:r w:rsidRPr="006F3B88">
        <w:rPr>
          <w:rFonts w:ascii="Book Antiqua" w:hAnsi="Book Antiqua"/>
          <w:color w:val="000000" w:themeColor="text1"/>
        </w:rPr>
        <w:t>Prieto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M, Reyes-</w:t>
      </w:r>
      <w:proofErr w:type="spellStart"/>
      <w:r w:rsidRPr="006F3B88">
        <w:rPr>
          <w:rFonts w:ascii="Book Antiqua" w:hAnsi="Book Antiqua"/>
          <w:color w:val="000000" w:themeColor="text1"/>
        </w:rPr>
        <w:t>Melian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JM, </w:t>
      </w:r>
      <w:proofErr w:type="spellStart"/>
      <w:r w:rsidRPr="006F3B88">
        <w:rPr>
          <w:rFonts w:ascii="Book Antiqua" w:hAnsi="Book Antiqua"/>
          <w:color w:val="000000" w:themeColor="text1"/>
        </w:rPr>
        <w:t>Cacho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G, </w:t>
      </w:r>
      <w:proofErr w:type="spellStart"/>
      <w:r w:rsidRPr="006F3B88">
        <w:rPr>
          <w:rFonts w:ascii="Book Antiqua" w:hAnsi="Book Antiqua"/>
          <w:color w:val="000000" w:themeColor="text1"/>
        </w:rPr>
        <w:t>Díaz-Tasende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J, </w:t>
      </w:r>
      <w:proofErr w:type="spellStart"/>
      <w:r w:rsidRPr="006F3B88">
        <w:rPr>
          <w:rFonts w:ascii="Book Antiqua" w:hAnsi="Book Antiqua"/>
          <w:color w:val="000000" w:themeColor="text1"/>
        </w:rPr>
        <w:t>Herreros</w:t>
      </w:r>
      <w:proofErr w:type="spellEnd"/>
      <w:r w:rsidRPr="006F3B88">
        <w:rPr>
          <w:rFonts w:ascii="Book Antiqua" w:hAnsi="Book Antiqua"/>
          <w:color w:val="000000" w:themeColor="text1"/>
        </w:rPr>
        <w:t>-de-</w:t>
      </w:r>
      <w:proofErr w:type="spellStart"/>
      <w:r w:rsidRPr="006F3B88">
        <w:rPr>
          <w:rFonts w:ascii="Book Antiqua" w:hAnsi="Book Antiqua"/>
          <w:color w:val="000000" w:themeColor="text1"/>
        </w:rPr>
        <w:t>Tejada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A, </w:t>
      </w:r>
      <w:proofErr w:type="spellStart"/>
      <w:r w:rsidRPr="006F3B88">
        <w:rPr>
          <w:rFonts w:ascii="Book Antiqua" w:hAnsi="Book Antiqua"/>
          <w:color w:val="000000" w:themeColor="text1"/>
        </w:rPr>
        <w:t>Poves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C, Santander C, González-Navarro A; COLONPREV Study Investigators. </w:t>
      </w:r>
      <w:proofErr w:type="gramStart"/>
      <w:r w:rsidRPr="006F3B88">
        <w:rPr>
          <w:rFonts w:ascii="Book Antiqua" w:hAnsi="Book Antiqua"/>
          <w:color w:val="000000" w:themeColor="text1"/>
        </w:rPr>
        <w:t xml:space="preserve">Colonoscopy versus </w:t>
      </w:r>
      <w:proofErr w:type="spellStart"/>
      <w:r w:rsidRPr="006F3B88">
        <w:rPr>
          <w:rFonts w:ascii="Book Antiqua" w:hAnsi="Book Antiqua"/>
          <w:color w:val="000000" w:themeColor="text1"/>
        </w:rPr>
        <w:t>fecal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immunochemical testing in colorectal-cancer screening.</w:t>
      </w:r>
      <w:proofErr w:type="gramEnd"/>
      <w:r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i/>
          <w:color w:val="000000" w:themeColor="text1"/>
        </w:rPr>
        <w:t xml:space="preserve">N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Engl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J Med</w:t>
      </w:r>
      <w:r w:rsidRPr="006F3B88">
        <w:rPr>
          <w:rFonts w:ascii="Book Antiqua" w:hAnsi="Book Antiqua"/>
          <w:color w:val="000000" w:themeColor="text1"/>
        </w:rPr>
        <w:t xml:space="preserve"> 2012; </w:t>
      </w:r>
      <w:r w:rsidRPr="006F3B88">
        <w:rPr>
          <w:rFonts w:ascii="Book Antiqua" w:hAnsi="Book Antiqua"/>
          <w:b/>
          <w:color w:val="000000" w:themeColor="text1"/>
        </w:rPr>
        <w:t>366</w:t>
      </w:r>
      <w:r w:rsidRPr="006F3B88">
        <w:rPr>
          <w:rFonts w:ascii="Book Antiqua" w:hAnsi="Book Antiqua"/>
          <w:color w:val="000000" w:themeColor="text1"/>
        </w:rPr>
        <w:t>: 697-706 [PMID: 22356323 DOI: 10.1056/NEJMoa1108895]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38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Imperiale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TF</w:t>
      </w:r>
      <w:r w:rsidRPr="006F3B88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F3B88">
        <w:rPr>
          <w:rFonts w:ascii="Book Antiqua" w:hAnsi="Book Antiqua"/>
          <w:color w:val="000000" w:themeColor="text1"/>
        </w:rPr>
        <w:t>Ransohoff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DF, </w:t>
      </w:r>
      <w:proofErr w:type="spellStart"/>
      <w:r w:rsidRPr="006F3B88">
        <w:rPr>
          <w:rFonts w:ascii="Book Antiqua" w:hAnsi="Book Antiqua"/>
          <w:color w:val="000000" w:themeColor="text1"/>
        </w:rPr>
        <w:t>Itzkowitz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SH, Levin TR, Lavin P, </w:t>
      </w:r>
      <w:proofErr w:type="spellStart"/>
      <w:r w:rsidRPr="006F3B88">
        <w:rPr>
          <w:rFonts w:ascii="Book Antiqua" w:hAnsi="Book Antiqua"/>
          <w:color w:val="000000" w:themeColor="text1"/>
        </w:rPr>
        <w:t>Lidgard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GP, </w:t>
      </w:r>
      <w:proofErr w:type="spellStart"/>
      <w:r w:rsidRPr="006F3B88">
        <w:rPr>
          <w:rFonts w:ascii="Book Antiqua" w:hAnsi="Book Antiqua"/>
          <w:color w:val="000000" w:themeColor="text1"/>
        </w:rPr>
        <w:t>Ahlquist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DA, Berger BM. </w:t>
      </w:r>
      <w:proofErr w:type="spellStart"/>
      <w:r w:rsidRPr="006F3B88">
        <w:rPr>
          <w:rFonts w:ascii="Book Antiqua" w:hAnsi="Book Antiqua"/>
          <w:color w:val="000000" w:themeColor="text1"/>
        </w:rPr>
        <w:t>Multitarget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stool DNA testing for colorectal-cancer screening. </w:t>
      </w:r>
      <w:r w:rsidRPr="006F3B88">
        <w:rPr>
          <w:rFonts w:ascii="Book Antiqua" w:hAnsi="Book Antiqua"/>
          <w:i/>
          <w:color w:val="000000" w:themeColor="text1"/>
        </w:rPr>
        <w:t xml:space="preserve">N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Engl</w:t>
      </w:r>
      <w:proofErr w:type="spellEnd"/>
      <w:r w:rsidRPr="006F3B88">
        <w:rPr>
          <w:rFonts w:ascii="Book Antiqua" w:hAnsi="Book Antiqua"/>
          <w:i/>
          <w:color w:val="000000" w:themeColor="text1"/>
        </w:rPr>
        <w:t xml:space="preserve"> J Med</w:t>
      </w:r>
      <w:r w:rsidRPr="006F3B88">
        <w:rPr>
          <w:rFonts w:ascii="Book Antiqua" w:hAnsi="Book Antiqua"/>
          <w:color w:val="000000" w:themeColor="text1"/>
        </w:rPr>
        <w:t xml:space="preserve"> 2014; </w:t>
      </w:r>
      <w:r w:rsidRPr="006F3B88">
        <w:rPr>
          <w:rFonts w:ascii="Book Antiqua" w:hAnsi="Book Antiqua"/>
          <w:b/>
          <w:color w:val="000000" w:themeColor="text1"/>
        </w:rPr>
        <w:t>370</w:t>
      </w:r>
      <w:r w:rsidRPr="006F3B88">
        <w:rPr>
          <w:rFonts w:ascii="Book Antiqua" w:hAnsi="Book Antiqua"/>
          <w:color w:val="000000" w:themeColor="text1"/>
        </w:rPr>
        <w:t>: 1287-1297 [PMID: 24645800 DOI: 10.1056/NEJMoa1311194]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39 </w:t>
      </w:r>
      <w:proofErr w:type="spellStart"/>
      <w:r w:rsidRPr="006F3B88">
        <w:rPr>
          <w:rFonts w:ascii="Book Antiqua" w:hAnsi="Book Antiqua"/>
          <w:b/>
          <w:color w:val="000000" w:themeColor="text1"/>
        </w:rPr>
        <w:t>Haug</w:t>
      </w:r>
      <w:proofErr w:type="spellEnd"/>
      <w:r w:rsidRPr="006F3B88">
        <w:rPr>
          <w:rFonts w:ascii="Book Antiqua" w:hAnsi="Book Antiqua"/>
          <w:b/>
          <w:color w:val="000000" w:themeColor="text1"/>
        </w:rPr>
        <w:t xml:space="preserve"> U</w:t>
      </w:r>
      <w:r w:rsidRPr="006F3B88">
        <w:rPr>
          <w:rFonts w:ascii="Book Antiqua" w:hAnsi="Book Antiqua"/>
          <w:color w:val="000000" w:themeColor="text1"/>
        </w:rPr>
        <w:t xml:space="preserve">, Kuntz KM, Knudsen AB, </w:t>
      </w:r>
      <w:proofErr w:type="spellStart"/>
      <w:r w:rsidRPr="006F3B88">
        <w:rPr>
          <w:rFonts w:ascii="Book Antiqua" w:hAnsi="Book Antiqua"/>
          <w:color w:val="000000" w:themeColor="text1"/>
        </w:rPr>
        <w:t>Hundt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S, Brenner H. Sensitivity of immunochemical faecal occult blood testing for detecting left- </w:t>
      </w:r>
      <w:proofErr w:type="spellStart"/>
      <w:r w:rsidRPr="006F3B88">
        <w:rPr>
          <w:rFonts w:ascii="Book Antiqua" w:hAnsi="Book Antiqua"/>
          <w:color w:val="000000" w:themeColor="text1"/>
        </w:rPr>
        <w:t>vs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right-sided colorectal </w:t>
      </w:r>
      <w:proofErr w:type="spellStart"/>
      <w:r w:rsidRPr="006F3B88">
        <w:rPr>
          <w:rFonts w:ascii="Book Antiqua" w:hAnsi="Book Antiqua"/>
          <w:color w:val="000000" w:themeColor="text1"/>
        </w:rPr>
        <w:t>neoplasia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. </w:t>
      </w:r>
      <w:r w:rsidRPr="006F3B88">
        <w:rPr>
          <w:rFonts w:ascii="Book Antiqua" w:hAnsi="Book Antiqua"/>
          <w:i/>
          <w:color w:val="000000" w:themeColor="text1"/>
        </w:rPr>
        <w:t>Br J Cancer</w:t>
      </w:r>
      <w:r w:rsidRPr="006F3B88">
        <w:rPr>
          <w:rFonts w:ascii="Book Antiqua" w:hAnsi="Book Antiqua"/>
          <w:color w:val="000000" w:themeColor="text1"/>
        </w:rPr>
        <w:t xml:space="preserve"> 2011; </w:t>
      </w:r>
      <w:r w:rsidRPr="006F3B88">
        <w:rPr>
          <w:rFonts w:ascii="Book Antiqua" w:hAnsi="Book Antiqua"/>
          <w:b/>
          <w:color w:val="000000" w:themeColor="text1"/>
        </w:rPr>
        <w:t>104</w:t>
      </w:r>
      <w:r w:rsidRPr="006F3B88">
        <w:rPr>
          <w:rFonts w:ascii="Book Antiqua" w:hAnsi="Book Antiqua"/>
          <w:color w:val="000000" w:themeColor="text1"/>
        </w:rPr>
        <w:t>: 1779-1785 [PMID: 21559011 DOI: 10.1038/bjc.2011.160]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40 </w:t>
      </w:r>
      <w:r w:rsidRPr="006F3B88">
        <w:rPr>
          <w:rFonts w:ascii="Book Antiqua" w:hAnsi="Book Antiqua"/>
          <w:b/>
          <w:color w:val="000000" w:themeColor="text1"/>
        </w:rPr>
        <w:t>Wang X</w:t>
      </w:r>
      <w:r w:rsidRPr="006F3B88">
        <w:rPr>
          <w:rFonts w:ascii="Book Antiqua" w:hAnsi="Book Antiqua"/>
          <w:color w:val="000000" w:themeColor="text1"/>
        </w:rPr>
        <w:t xml:space="preserve">, Yang Z, </w:t>
      </w:r>
      <w:proofErr w:type="spellStart"/>
      <w:r w:rsidRPr="006F3B88">
        <w:rPr>
          <w:rFonts w:ascii="Book Antiqua" w:hAnsi="Book Antiqua"/>
          <w:color w:val="000000" w:themeColor="text1"/>
        </w:rPr>
        <w:t>Tian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H, Li Y, Li M, Zhao W, Zhang C, Wang T, Liu J, Zhang A, </w:t>
      </w:r>
      <w:proofErr w:type="spellStart"/>
      <w:r w:rsidRPr="006F3B88">
        <w:rPr>
          <w:rFonts w:ascii="Book Antiqua" w:hAnsi="Book Antiqua"/>
          <w:color w:val="000000" w:themeColor="text1"/>
        </w:rPr>
        <w:t>Shen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D, </w:t>
      </w:r>
      <w:proofErr w:type="spellStart"/>
      <w:r w:rsidRPr="006F3B88">
        <w:rPr>
          <w:rFonts w:ascii="Book Antiqua" w:hAnsi="Book Antiqua"/>
          <w:color w:val="000000" w:themeColor="text1"/>
        </w:rPr>
        <w:t>Zheng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C, Qi J, Zhao D, Shi J, Jin L, </w:t>
      </w:r>
      <w:proofErr w:type="spellStart"/>
      <w:r w:rsidRPr="006F3B88">
        <w:rPr>
          <w:rFonts w:ascii="Book Antiqua" w:hAnsi="Book Antiqua"/>
          <w:color w:val="000000" w:themeColor="text1"/>
        </w:rPr>
        <w:t>Rao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J, Zhang W. Circulating MIC-1/GDF15 is a complementary screening biomarker with CEA and correlates with liver metastasis and poor survival in colorectal cancer. </w:t>
      </w:r>
      <w:proofErr w:type="spellStart"/>
      <w:r w:rsidRPr="006F3B88">
        <w:rPr>
          <w:rFonts w:ascii="Book Antiqua" w:hAnsi="Book Antiqua"/>
          <w:i/>
          <w:color w:val="000000" w:themeColor="text1"/>
        </w:rPr>
        <w:t>Oncotarget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2017; </w:t>
      </w:r>
      <w:r w:rsidRPr="006F3B88">
        <w:rPr>
          <w:rFonts w:ascii="Book Antiqua" w:hAnsi="Book Antiqua"/>
          <w:b/>
          <w:color w:val="000000" w:themeColor="text1"/>
        </w:rPr>
        <w:t>8</w:t>
      </w:r>
      <w:r w:rsidRPr="006F3B88">
        <w:rPr>
          <w:rFonts w:ascii="Book Antiqua" w:hAnsi="Book Antiqua"/>
          <w:color w:val="000000" w:themeColor="text1"/>
        </w:rPr>
        <w:t>: 24892-24901 [PMID: 28206963 DOI: 10.18632/oncotarget.15279]</w:t>
      </w:r>
    </w:p>
    <w:p w:rsidR="006C1429" w:rsidRPr="006F3B88" w:rsidRDefault="006C1429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:rsidR="00E83B79" w:rsidRPr="006F3B88" w:rsidRDefault="00837593" w:rsidP="00120032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br w:type="page"/>
      </w:r>
      <w:r w:rsidR="00E83B79" w:rsidRPr="006F3B88">
        <w:rPr>
          <w:rFonts w:ascii="Book Antiqua" w:hAnsi="Book Antiqua"/>
          <w:b/>
          <w:color w:val="000000" w:themeColor="text1"/>
        </w:rPr>
        <w:lastRenderedPageBreak/>
        <w:t>Footnotes</w:t>
      </w:r>
    </w:p>
    <w:p w:rsidR="00837593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 w:cs="Arial"/>
          <w:b/>
          <w:color w:val="000000" w:themeColor="text1"/>
          <w:lang w:eastAsia="zh-CN"/>
        </w:rPr>
        <w:t>Institutional review board statement:</w:t>
      </w:r>
      <w:r w:rsidRPr="006F3B88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="00837593" w:rsidRPr="006F3B88">
        <w:rPr>
          <w:rFonts w:ascii="Book Antiqua" w:hAnsi="Book Antiqua"/>
          <w:color w:val="000000" w:themeColor="text1"/>
        </w:rPr>
        <w:t xml:space="preserve">The study protocol was reviewed and approved by the Ethics Committees of St Vincent’s Hospital, Sydney, NSW, </w:t>
      </w:r>
      <w:proofErr w:type="gramStart"/>
      <w:r w:rsidR="00837593" w:rsidRPr="006F3B88">
        <w:rPr>
          <w:rFonts w:ascii="Book Antiqua" w:hAnsi="Book Antiqua"/>
          <w:color w:val="000000" w:themeColor="text1"/>
        </w:rPr>
        <w:t>Australia</w:t>
      </w:r>
      <w:proofErr w:type="gramEnd"/>
      <w:r w:rsidR="002A653F">
        <w:rPr>
          <w:rFonts w:ascii="Book Antiqua" w:hAnsi="Book Antiqua"/>
          <w:color w:val="000000" w:themeColor="text1"/>
        </w:rPr>
        <w:t>.</w:t>
      </w:r>
    </w:p>
    <w:p w:rsidR="00837593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37593" w:rsidRPr="006F3B88" w:rsidRDefault="00E83B79" w:rsidP="006F3B88">
      <w:pPr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6F3B88">
        <w:rPr>
          <w:rFonts w:ascii="Book Antiqua" w:hAnsi="Book Antiqua" w:cs="Arial"/>
          <w:b/>
          <w:color w:val="000000" w:themeColor="text1"/>
          <w:lang w:eastAsia="zh-CN"/>
        </w:rPr>
        <w:t>Clinical trial registration statement:</w:t>
      </w:r>
      <w:r w:rsidRPr="006F3B88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="00837593" w:rsidRPr="006F3B88">
        <w:rPr>
          <w:rFonts w:ascii="Book Antiqua" w:hAnsi="Book Antiqua"/>
          <w:color w:val="000000" w:themeColor="text1"/>
        </w:rPr>
        <w:t xml:space="preserve">This is </w:t>
      </w:r>
      <w:r w:rsidRPr="006F3B88">
        <w:rPr>
          <w:rFonts w:ascii="Book Antiqua" w:hAnsi="Book Antiqua"/>
          <w:color w:val="000000" w:themeColor="text1"/>
        </w:rPr>
        <w:t xml:space="preserve">not </w:t>
      </w:r>
      <w:r w:rsidR="00837593" w:rsidRPr="006F3B88">
        <w:rPr>
          <w:rFonts w:ascii="Book Antiqua" w:hAnsi="Book Antiqua"/>
          <w:color w:val="000000" w:themeColor="text1"/>
        </w:rPr>
        <w:t xml:space="preserve">a clinical trial and therefore does not need to be registered under the clinical trials. Registration applies only to randomised control trials. There is no control arm, nor </w:t>
      </w:r>
      <w:proofErr w:type="gramStart"/>
      <w:r w:rsidR="00837593" w:rsidRPr="006F3B88">
        <w:rPr>
          <w:rFonts w:ascii="Book Antiqua" w:hAnsi="Book Antiqua"/>
          <w:color w:val="000000" w:themeColor="text1"/>
        </w:rPr>
        <w:t xml:space="preserve">health intervention, </w:t>
      </w:r>
      <w:r w:rsidRPr="006F3B88">
        <w:rPr>
          <w:rFonts w:ascii="Book Antiqua" w:hAnsi="Book Antiqua"/>
          <w:color w:val="000000" w:themeColor="text1"/>
        </w:rPr>
        <w:t>the</w:t>
      </w:r>
      <w:r w:rsidR="00837593" w:rsidRPr="006F3B88">
        <w:rPr>
          <w:rFonts w:ascii="Book Antiqua" w:hAnsi="Book Antiqua"/>
          <w:color w:val="000000" w:themeColor="text1"/>
        </w:rPr>
        <w:t xml:space="preserve"> study looks</w:t>
      </w:r>
      <w:proofErr w:type="gramEnd"/>
      <w:r w:rsidR="00837593" w:rsidRPr="006F3B88">
        <w:rPr>
          <w:rFonts w:ascii="Book Antiqua" w:hAnsi="Book Antiqua"/>
          <w:color w:val="000000" w:themeColor="text1"/>
        </w:rPr>
        <w:t xml:space="preserve"> at a new biomarker in an established pancreatic screening program. Results are not given to the patients and there is no intervention.</w:t>
      </w:r>
    </w:p>
    <w:p w:rsidR="00837593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:rsidR="00837593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 w:cs="Arial"/>
          <w:b/>
          <w:color w:val="000000" w:themeColor="text1"/>
          <w:lang w:eastAsia="zh-CN"/>
        </w:rPr>
        <w:t>Informed consent statement:</w:t>
      </w:r>
      <w:r w:rsidRPr="006F3B88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="00837593" w:rsidRPr="006F3B88">
        <w:rPr>
          <w:rFonts w:ascii="Book Antiqua" w:hAnsi="Book Antiqua"/>
          <w:color w:val="000000" w:themeColor="text1"/>
        </w:rPr>
        <w:t>All study participants provided written informed consent prior to study enrolment.</w:t>
      </w:r>
    </w:p>
    <w:p w:rsidR="00837593" w:rsidRPr="006F3B88" w:rsidRDefault="00837593" w:rsidP="006F3B88">
      <w:pPr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</w:p>
    <w:p w:rsidR="00837593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 w:cs="Arial"/>
          <w:b/>
          <w:color w:val="000000" w:themeColor="text1"/>
          <w:lang w:eastAsia="zh-CN"/>
        </w:rPr>
        <w:t>Conflict-of-interest statement:</w:t>
      </w:r>
      <w:r w:rsidRPr="006F3B88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="00837593" w:rsidRPr="006F3B88">
        <w:rPr>
          <w:rFonts w:ascii="Book Antiqua" w:hAnsi="Book Antiqua"/>
          <w:color w:val="000000" w:themeColor="text1"/>
        </w:rPr>
        <w:t>The authors declare no competing interests.</w:t>
      </w:r>
    </w:p>
    <w:p w:rsidR="00837593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837593" w:rsidRPr="006F3B88" w:rsidRDefault="00E83B79" w:rsidP="006F3B88">
      <w:pPr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 w:rsidRPr="006F3B88">
        <w:rPr>
          <w:rFonts w:ascii="Book Antiqua" w:hAnsi="Book Antiqua" w:cs="Arial"/>
          <w:b/>
          <w:color w:val="000000" w:themeColor="text1"/>
          <w:lang w:eastAsia="zh-CN"/>
        </w:rPr>
        <w:t>Data sharing statement:</w:t>
      </w:r>
      <w:r w:rsidRPr="006F3B88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="00837593" w:rsidRPr="006F3B88">
        <w:rPr>
          <w:rFonts w:ascii="Book Antiqua" w:hAnsi="Book Antiqua" w:cs="Arial"/>
          <w:color w:val="000000" w:themeColor="text1"/>
          <w:lang w:eastAsia="zh-CN"/>
        </w:rPr>
        <w:t>There is no additional data available.</w:t>
      </w:r>
    </w:p>
    <w:p w:rsidR="00837593" w:rsidRPr="006F3B88" w:rsidRDefault="00837593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r w:rsidRPr="006F3B88">
        <w:rPr>
          <w:rFonts w:ascii="Book Antiqua" w:hAnsi="Book Antiqua"/>
          <w:b/>
          <w:color w:val="000000" w:themeColor="text1"/>
        </w:rPr>
        <w:t>Open-Access:</w:t>
      </w:r>
      <w:r w:rsidRPr="006F3B88">
        <w:rPr>
          <w:rFonts w:ascii="Book Antiqua" w:hAnsi="Book Antiqua"/>
          <w:color w:val="000000" w:themeColor="text1"/>
        </w:rPr>
        <w:t xml:space="preserve"> 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6F3B88">
        <w:rPr>
          <w:rFonts w:ascii="Book Antiqua" w:hAnsi="Book Antiqua"/>
          <w:color w:val="000000" w:themeColor="text1"/>
        </w:rPr>
        <w:t>NonCommercial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E83B79" w:rsidRPr="006F3B88" w:rsidRDefault="00E83B79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p w:rsidR="00E83B79" w:rsidRPr="006F3B88" w:rsidRDefault="00E83B79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6F3B88">
        <w:rPr>
          <w:rFonts w:ascii="Book Antiqua" w:hAnsi="Book Antiqua"/>
          <w:b/>
          <w:bCs/>
          <w:color w:val="000000" w:themeColor="text1"/>
          <w:lang w:eastAsia="pl-PL"/>
        </w:rPr>
        <w:t>Manuscript source:</w:t>
      </w:r>
      <w:r w:rsidRPr="006F3B88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6F3B88">
        <w:rPr>
          <w:rFonts w:ascii="Book Antiqua" w:hAnsi="Book Antiqua"/>
          <w:bCs/>
          <w:color w:val="000000" w:themeColor="text1"/>
          <w:lang w:eastAsia="pl-PL"/>
        </w:rPr>
        <w:t>Invited manuscript</w:t>
      </w:r>
    </w:p>
    <w:p w:rsidR="00E83B79" w:rsidRPr="006F3B88" w:rsidRDefault="00E83B79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p w:rsidR="00E83B79" w:rsidRPr="006F3B88" w:rsidRDefault="00E83B79" w:rsidP="006F3B88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lang w:eastAsia="zh-CN"/>
        </w:rPr>
      </w:pPr>
      <w:r w:rsidRPr="006F3B88">
        <w:rPr>
          <w:rFonts w:ascii="Book Antiqua" w:eastAsia="等线" w:hAnsi="Book Antiqua"/>
          <w:b/>
          <w:bCs/>
          <w:color w:val="000000" w:themeColor="text1"/>
        </w:rPr>
        <w:t>Corresponding Author's Membership in Professional Societies</w:t>
      </w:r>
      <w:r w:rsidRPr="006F3B88">
        <w:rPr>
          <w:rFonts w:ascii="Book Antiqua" w:eastAsia="等线" w:hAnsi="Book Antiqua"/>
          <w:b/>
          <w:bCs/>
          <w:color w:val="000000" w:themeColor="text1"/>
          <w:lang w:eastAsia="zh-CN"/>
        </w:rPr>
        <w:t xml:space="preserve">: </w:t>
      </w:r>
      <w:r w:rsidRPr="006F3B88">
        <w:rPr>
          <w:rFonts w:ascii="Book Antiqua" w:eastAsia="等线" w:hAnsi="Book Antiqua"/>
          <w:color w:val="000000" w:themeColor="text1"/>
          <w:lang w:eastAsia="zh-CN"/>
        </w:rPr>
        <w:t>American Society for Gastrointestinal Endoscopy, Gastroenterological Society of Australia.</w:t>
      </w:r>
    </w:p>
    <w:p w:rsidR="00E83B79" w:rsidRPr="006F3B88" w:rsidRDefault="00E83B79" w:rsidP="006F3B88">
      <w:pPr>
        <w:pStyle w:val="Body1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bookmarkStart w:id="16" w:name="OLE_LINK9"/>
      <w:r w:rsidRPr="006F3B88">
        <w:rPr>
          <w:rFonts w:ascii="Book Antiqua" w:hAnsi="Book Antiqua"/>
          <w:b/>
          <w:color w:val="000000" w:themeColor="text1"/>
        </w:rPr>
        <w:lastRenderedPageBreak/>
        <w:t>Peer-review started:</w:t>
      </w:r>
      <w:r w:rsidRPr="006F3B88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Pr="006F3B88">
        <w:rPr>
          <w:rFonts w:ascii="Book Antiqua" w:hAnsi="Book Antiqua"/>
          <w:color w:val="000000" w:themeColor="text1"/>
          <w:lang w:eastAsia="zh-CN"/>
        </w:rPr>
        <w:t>December 24, 2019</w:t>
      </w: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F3B88">
        <w:rPr>
          <w:rFonts w:ascii="Book Antiqua" w:hAnsi="Book Antiqua"/>
          <w:b/>
          <w:color w:val="000000" w:themeColor="text1"/>
        </w:rPr>
        <w:t>First decision:</w:t>
      </w:r>
      <w:r w:rsidRPr="006F3B88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r w:rsidRPr="006F3B88">
        <w:rPr>
          <w:rFonts w:ascii="Book Antiqua" w:hAnsi="Book Antiqua"/>
          <w:color w:val="000000" w:themeColor="text1"/>
          <w:lang w:eastAsia="zh-CN"/>
        </w:rPr>
        <w:t>January 19, 2020</w:t>
      </w:r>
    </w:p>
    <w:p w:rsidR="00E83B79" w:rsidRPr="00134640" w:rsidRDefault="00E83B79" w:rsidP="006F3B8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lang w:eastAsia="zh-CN"/>
        </w:rPr>
      </w:pPr>
      <w:r w:rsidRPr="006F3B88">
        <w:rPr>
          <w:rFonts w:ascii="Book Antiqua" w:hAnsi="Book Antiqua"/>
          <w:b/>
          <w:color w:val="000000" w:themeColor="text1"/>
        </w:rPr>
        <w:t>Article in press:</w:t>
      </w:r>
      <w:r w:rsidR="00134640">
        <w:rPr>
          <w:rFonts w:ascii="Book Antiqua" w:eastAsiaTheme="minorEastAsia" w:hAnsi="Book Antiqua" w:hint="eastAsia"/>
          <w:b/>
          <w:color w:val="000000" w:themeColor="text1"/>
          <w:lang w:eastAsia="zh-CN"/>
        </w:rPr>
        <w:t xml:space="preserve"> </w:t>
      </w:r>
      <w:r w:rsidR="00134640" w:rsidRPr="007F257D">
        <w:rPr>
          <w:rFonts w:ascii="Book Antiqua" w:hAnsi="Book Antiqua"/>
          <w:bCs/>
          <w:color w:val="000000" w:themeColor="text1"/>
        </w:rPr>
        <w:t>March 27, 2020</w:t>
      </w:r>
    </w:p>
    <w:p w:rsidR="00E83B79" w:rsidRPr="006F3B88" w:rsidRDefault="00E83B79" w:rsidP="006F3B8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</w:p>
    <w:p w:rsidR="00E83B79" w:rsidRPr="006F3B88" w:rsidRDefault="00E83B79" w:rsidP="006F3B88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color w:val="000000" w:themeColor="text1"/>
          <w:lang w:eastAsia="zh-CN"/>
        </w:rPr>
      </w:pPr>
      <w:r w:rsidRPr="006F3B88">
        <w:rPr>
          <w:rFonts w:ascii="Book Antiqua" w:hAnsi="Book Antiqua" w:cs="宋体"/>
          <w:b/>
          <w:color w:val="000000" w:themeColor="text1"/>
          <w:lang w:eastAsia="zh-CN"/>
        </w:rPr>
        <w:t xml:space="preserve">Specialty type: </w:t>
      </w:r>
      <w:r w:rsidR="00E33CBE" w:rsidRPr="006F3B88">
        <w:rPr>
          <w:rFonts w:ascii="Book Antiqua" w:eastAsia="微软雅黑" w:hAnsi="Book Antiqua" w:cs="宋体"/>
          <w:color w:val="000000" w:themeColor="text1"/>
          <w:lang w:eastAsia="zh-CN"/>
        </w:rPr>
        <w:t xml:space="preserve">Gastroenterology and </w:t>
      </w:r>
      <w:proofErr w:type="spellStart"/>
      <w:r w:rsidR="00E33CBE" w:rsidRPr="006F3B88">
        <w:rPr>
          <w:rFonts w:ascii="Book Antiqua" w:eastAsia="微软雅黑" w:hAnsi="Book Antiqua" w:cs="宋体"/>
          <w:color w:val="000000" w:themeColor="text1"/>
          <w:lang w:eastAsia="zh-CN"/>
        </w:rPr>
        <w:t>Hepatology</w:t>
      </w:r>
      <w:proofErr w:type="spellEnd"/>
    </w:p>
    <w:p w:rsidR="00E83B79" w:rsidRPr="006F3B88" w:rsidRDefault="00E83B79" w:rsidP="006F3B8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6F3B88">
        <w:rPr>
          <w:rFonts w:ascii="Book Antiqua" w:hAnsi="Book Antiqua" w:cs="宋体"/>
          <w:b/>
          <w:color w:val="000000" w:themeColor="text1"/>
          <w:lang w:eastAsia="zh-CN"/>
        </w:rPr>
        <w:t xml:space="preserve">Country of origin: </w:t>
      </w:r>
      <w:r w:rsidRPr="006F3B88">
        <w:rPr>
          <w:rFonts w:ascii="Book Antiqua" w:hAnsi="Book Antiqua" w:cs="宋体"/>
          <w:color w:val="000000" w:themeColor="text1"/>
          <w:lang w:eastAsia="zh-CN"/>
        </w:rPr>
        <w:t>Australia</w:t>
      </w:r>
    </w:p>
    <w:p w:rsidR="00E83B79" w:rsidRPr="006F3B88" w:rsidRDefault="00E83B79" w:rsidP="006F3B8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color w:val="000000" w:themeColor="text1"/>
          <w:lang w:eastAsia="zh-CN"/>
        </w:rPr>
      </w:pPr>
      <w:r w:rsidRPr="006F3B88">
        <w:rPr>
          <w:rFonts w:ascii="Book Antiqua" w:hAnsi="Book Antiqua" w:cs="宋体"/>
          <w:b/>
          <w:color w:val="000000" w:themeColor="text1"/>
          <w:lang w:eastAsia="zh-CN"/>
        </w:rPr>
        <w:t>Peer-review report classification</w:t>
      </w:r>
    </w:p>
    <w:p w:rsidR="00E83B79" w:rsidRPr="006F3B88" w:rsidRDefault="00E83B79" w:rsidP="006F3B8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6F3B88">
        <w:rPr>
          <w:rFonts w:ascii="Book Antiqua" w:hAnsi="Book Antiqua" w:cs="宋体"/>
          <w:color w:val="000000" w:themeColor="text1"/>
          <w:lang w:eastAsia="zh-CN"/>
        </w:rPr>
        <w:t>Grade </w:t>
      </w:r>
      <w:proofErr w:type="gramStart"/>
      <w:r w:rsidRPr="006F3B88">
        <w:rPr>
          <w:rFonts w:ascii="Book Antiqua" w:hAnsi="Book Antiqua" w:cs="宋体"/>
          <w:color w:val="000000" w:themeColor="text1"/>
          <w:lang w:eastAsia="zh-CN"/>
        </w:rPr>
        <w:t>A</w:t>
      </w:r>
      <w:proofErr w:type="gramEnd"/>
      <w:r w:rsidRPr="006F3B88">
        <w:rPr>
          <w:rFonts w:ascii="Book Antiqua" w:hAnsi="Book Antiqua" w:cs="宋体"/>
          <w:color w:val="000000" w:themeColor="text1"/>
          <w:lang w:eastAsia="zh-CN"/>
        </w:rPr>
        <w:t> (Excellent): 0</w:t>
      </w:r>
    </w:p>
    <w:p w:rsidR="00E83B79" w:rsidRPr="006F3B88" w:rsidRDefault="00E83B79" w:rsidP="006F3B8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6F3B88">
        <w:rPr>
          <w:rFonts w:ascii="Book Antiqua" w:hAnsi="Book Antiqua" w:cs="宋体"/>
          <w:color w:val="000000" w:themeColor="text1"/>
          <w:lang w:eastAsia="zh-CN"/>
        </w:rPr>
        <w:t>Grade B (Very good): 0</w:t>
      </w:r>
    </w:p>
    <w:p w:rsidR="00E83B79" w:rsidRPr="006F3B88" w:rsidRDefault="00E83B79" w:rsidP="006F3B8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6F3B88">
        <w:rPr>
          <w:rFonts w:ascii="Book Antiqua" w:hAnsi="Book Antiqua" w:cs="宋体"/>
          <w:color w:val="000000" w:themeColor="text1"/>
          <w:lang w:eastAsia="zh-CN"/>
        </w:rPr>
        <w:t>Grade C (Good): C, C</w:t>
      </w:r>
    </w:p>
    <w:p w:rsidR="00E83B79" w:rsidRPr="006F3B88" w:rsidRDefault="00E83B79" w:rsidP="006F3B8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r w:rsidRPr="006F3B88">
        <w:rPr>
          <w:rFonts w:ascii="Book Antiqua" w:hAnsi="Book Antiqua" w:cs="宋体"/>
          <w:color w:val="000000" w:themeColor="text1"/>
          <w:lang w:eastAsia="zh-CN"/>
        </w:rPr>
        <w:t>Grade D (Fair): 0</w:t>
      </w:r>
    </w:p>
    <w:p w:rsidR="00E83B79" w:rsidRPr="006F3B88" w:rsidRDefault="00E83B79" w:rsidP="006F3B88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kern w:val="2"/>
          <w:lang w:val="hu-HU" w:eastAsia="zh-CN"/>
        </w:rPr>
      </w:pPr>
      <w:r w:rsidRPr="006F3B88">
        <w:rPr>
          <w:rFonts w:ascii="Book Antiqua" w:hAnsi="Book Antiqua" w:cs="宋体"/>
          <w:color w:val="000000" w:themeColor="text1"/>
          <w:lang w:eastAsia="zh-CN"/>
        </w:rPr>
        <w:t>Grade E (Poor): 0</w:t>
      </w:r>
    </w:p>
    <w:p w:rsidR="00E83B79" w:rsidRPr="006F3B88" w:rsidRDefault="00E83B79" w:rsidP="006F3B88">
      <w:pPr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  <w:lang w:val="hu-HU" w:eastAsia="zh-CN"/>
        </w:rPr>
      </w:pPr>
    </w:p>
    <w:p w:rsidR="00E83B79" w:rsidRPr="00613A2A" w:rsidRDefault="00E83B79" w:rsidP="006F3B88">
      <w:pPr>
        <w:snapToGrid w:val="0"/>
        <w:spacing w:line="360" w:lineRule="auto"/>
        <w:jc w:val="both"/>
        <w:rPr>
          <w:rFonts w:ascii="Book Antiqua" w:eastAsiaTheme="minorEastAsia" w:hAnsi="Book Antiqua" w:cs="宋体"/>
          <w:color w:val="000000" w:themeColor="text1"/>
          <w:lang w:val="en-US" w:eastAsia="zh-CN"/>
        </w:rPr>
      </w:pPr>
      <w:r w:rsidRPr="006F3B88">
        <w:rPr>
          <w:rStyle w:val="ae"/>
          <w:rFonts w:ascii="Book Antiqua" w:hAnsi="Book Antiqua" w:cs="Arial"/>
          <w:noProof/>
          <w:color w:val="000000" w:themeColor="text1"/>
          <w:lang w:val="en-GB"/>
        </w:rPr>
        <w:t>P-Reviewer:</w:t>
      </w:r>
      <w:r w:rsidRPr="006F3B88">
        <w:rPr>
          <w:rFonts w:ascii="Book Antiqua" w:hAnsi="Book Antiqua"/>
          <w:color w:val="000000" w:themeColor="text1"/>
          <w:lang w:val="en-GB"/>
        </w:rPr>
        <w:t xml:space="preserve"> </w:t>
      </w:r>
      <w:r w:rsidRPr="006F3B88">
        <w:rPr>
          <w:rFonts w:ascii="Book Antiqua" w:eastAsia="宋体" w:hAnsi="Book Antiqua" w:cs="宋体"/>
          <w:color w:val="000000" w:themeColor="text1"/>
          <w:shd w:val="clear" w:color="auto" w:fill="FFFFFF"/>
          <w:lang w:val="en-US" w:eastAsia="zh-CN"/>
        </w:rPr>
        <w:t>Fernandez-Perez</w:t>
      </w:r>
      <w:r w:rsidRPr="006F3B88">
        <w:rPr>
          <w:rFonts w:ascii="Book Antiqua" w:eastAsia="宋体" w:hAnsi="Book Antiqua" w:cs="宋体"/>
          <w:color w:val="000000" w:themeColor="text1"/>
          <w:lang w:val="en-US" w:eastAsia="zh-CN"/>
        </w:rPr>
        <w:t xml:space="preserve"> L, </w:t>
      </w:r>
      <w:r w:rsidR="00DD12B7" w:rsidRPr="006F3B88">
        <w:rPr>
          <w:rFonts w:ascii="Book Antiqua" w:eastAsia="宋体" w:hAnsi="Book Antiqua" w:cs="宋体"/>
          <w:color w:val="000000" w:themeColor="text1"/>
          <w:shd w:val="clear" w:color="auto" w:fill="FFFFFF"/>
          <w:lang w:val="en-US" w:eastAsia="zh-CN"/>
        </w:rPr>
        <w:t>Miyoshi</w:t>
      </w:r>
      <w:r w:rsidR="00DD12B7" w:rsidRPr="006F3B88">
        <w:rPr>
          <w:rFonts w:ascii="Book Antiqua" w:eastAsia="宋体" w:hAnsi="Book Antiqua" w:cs="宋体"/>
          <w:color w:val="000000" w:themeColor="text1"/>
          <w:lang w:val="en-US" w:eastAsia="zh-CN"/>
        </w:rPr>
        <w:t xml:space="preserve"> E</w:t>
      </w:r>
      <w:r w:rsidRPr="006F3B88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Pr="006F3B88">
        <w:rPr>
          <w:rFonts w:ascii="Book Antiqua" w:hAnsi="Book Antiqua"/>
          <w:b/>
          <w:bCs/>
          <w:color w:val="000000" w:themeColor="text1"/>
          <w:lang w:val="en-GB"/>
        </w:rPr>
        <w:t>S-Editor:</w:t>
      </w:r>
      <w:r w:rsidRPr="006F3B88">
        <w:rPr>
          <w:rFonts w:ascii="Book Antiqua" w:hAnsi="Book Antiqua"/>
          <w:bCs/>
          <w:color w:val="000000" w:themeColor="text1"/>
          <w:lang w:val="en-GB"/>
        </w:rPr>
        <w:t xml:space="preserve"> </w:t>
      </w:r>
      <w:r w:rsidR="00DD12B7" w:rsidRPr="006F3B88">
        <w:rPr>
          <w:rFonts w:ascii="Book Antiqua" w:hAnsi="Book Antiqua"/>
          <w:bCs/>
          <w:color w:val="000000" w:themeColor="text1"/>
          <w:lang w:val="en-GB"/>
        </w:rPr>
        <w:t>Dou Y</w:t>
      </w:r>
      <w:r w:rsidRPr="006F3B88">
        <w:rPr>
          <w:rFonts w:ascii="Book Antiqua" w:hAnsi="Book Antiqua"/>
          <w:bCs/>
          <w:color w:val="000000" w:themeColor="text1"/>
          <w:lang w:val="en-GB" w:eastAsia="zh-CN"/>
        </w:rPr>
        <w:t xml:space="preserve"> </w:t>
      </w:r>
      <w:r w:rsidRPr="006F3B88">
        <w:rPr>
          <w:rFonts w:ascii="Book Antiqua" w:hAnsi="Book Antiqua"/>
          <w:b/>
          <w:bCs/>
          <w:color w:val="000000" w:themeColor="text1"/>
        </w:rPr>
        <w:t>L-Editor:</w:t>
      </w:r>
      <w:r w:rsidR="00E33CBE" w:rsidRPr="006F3B88">
        <w:rPr>
          <w:rFonts w:ascii="Book Antiqua" w:hAnsi="Book Antiqua"/>
          <w:b/>
          <w:bCs/>
          <w:color w:val="000000" w:themeColor="text1"/>
        </w:rPr>
        <w:t xml:space="preserve"> </w:t>
      </w:r>
      <w:r w:rsidR="00613A2A">
        <w:rPr>
          <w:rFonts w:ascii="Book Antiqua" w:eastAsiaTheme="minorEastAsia" w:hAnsi="Book Antiqua" w:hint="eastAsia"/>
          <w:b/>
          <w:bCs/>
          <w:color w:val="000000" w:themeColor="text1"/>
          <w:lang w:eastAsia="zh-CN"/>
        </w:rPr>
        <w:t xml:space="preserve">A </w:t>
      </w:r>
      <w:r w:rsidRPr="006F3B88">
        <w:rPr>
          <w:rFonts w:ascii="Book Antiqua" w:hAnsi="Book Antiqua"/>
          <w:b/>
          <w:bCs/>
          <w:color w:val="000000" w:themeColor="text1"/>
        </w:rPr>
        <w:t>E-Editor:</w:t>
      </w:r>
      <w:r w:rsidR="00613A2A">
        <w:rPr>
          <w:rFonts w:ascii="Book Antiqua" w:eastAsiaTheme="minorEastAsia" w:hAnsi="Book Antiqua" w:hint="eastAsia"/>
          <w:b/>
          <w:bCs/>
          <w:color w:val="000000" w:themeColor="text1"/>
          <w:lang w:eastAsia="zh-CN"/>
        </w:rPr>
        <w:t xml:space="preserve"> </w:t>
      </w:r>
      <w:r w:rsidR="00613A2A" w:rsidRPr="00613A2A">
        <w:rPr>
          <w:rFonts w:ascii="Book Antiqua" w:eastAsiaTheme="minorEastAsia" w:hAnsi="Book Antiqua" w:hint="eastAsia"/>
          <w:bCs/>
          <w:color w:val="000000" w:themeColor="text1"/>
          <w:lang w:eastAsia="zh-CN"/>
        </w:rPr>
        <w:t>Liu MY</w:t>
      </w:r>
    </w:p>
    <w:bookmarkEnd w:id="16"/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br w:type="page"/>
      </w:r>
    </w:p>
    <w:p w:rsidR="00DD12B7" w:rsidRPr="006F3B88" w:rsidRDefault="00DD12B7" w:rsidP="006F3B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6F3B88">
        <w:rPr>
          <w:rFonts w:ascii="Book Antiqua" w:hAnsi="Book Antiqua"/>
          <w:b/>
          <w:color w:val="000000" w:themeColor="text1"/>
        </w:rPr>
        <w:lastRenderedPageBreak/>
        <w:t>Figure Legends</w:t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F3B88">
        <w:rPr>
          <w:rFonts w:ascii="Book Antiqua" w:hAnsi="Book Antiqua"/>
          <w:b/>
          <w:bCs/>
          <w:noProof/>
          <w:color w:val="000000" w:themeColor="text1"/>
          <w:lang w:val="en-US" w:eastAsia="zh-CN"/>
        </w:rPr>
        <w:drawing>
          <wp:inline distT="0" distB="0" distL="0" distR="0">
            <wp:extent cx="5727700" cy="34207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F3B88">
        <w:rPr>
          <w:rFonts w:ascii="Book Antiqua" w:hAnsi="Book Antiqua"/>
          <w:b/>
          <w:bCs/>
          <w:color w:val="000000" w:themeColor="text1"/>
        </w:rPr>
        <w:t>Figure 1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b/>
          <w:bCs/>
          <w:color w:val="000000" w:themeColor="text1"/>
        </w:rPr>
        <w:t xml:space="preserve">Boxplot of baseline medium serum macrophage inhibitory cytokine-1 </w:t>
      </w:r>
      <w:r w:rsidR="00962F5A" w:rsidRPr="006F3B88">
        <w:rPr>
          <w:rFonts w:ascii="Book Antiqua" w:hAnsi="Book Antiqua"/>
          <w:bCs/>
          <w:color w:val="000000" w:themeColor="text1"/>
        </w:rPr>
        <w:t>o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r growth differentiation factor-15 </w:t>
      </w:r>
      <w:r w:rsidRPr="006F3B88">
        <w:rPr>
          <w:rFonts w:ascii="Book Antiqua" w:hAnsi="Book Antiqua"/>
          <w:b/>
          <w:color w:val="000000" w:themeColor="text1"/>
        </w:rPr>
        <w:t>l</w:t>
      </w:r>
      <w:r w:rsidRPr="006F3B88">
        <w:rPr>
          <w:rFonts w:ascii="Book Antiqua" w:hAnsi="Book Antiqua"/>
          <w:b/>
          <w:bCs/>
          <w:color w:val="000000" w:themeColor="text1"/>
        </w:rPr>
        <w:t xml:space="preserve">evels by group with 95% confidence interval errors bars in participants with a normal endoscopic ultrasound, branched duct </w:t>
      </w:r>
      <w:proofErr w:type="spellStart"/>
      <w:r w:rsidRPr="006F3B88">
        <w:rPr>
          <w:rFonts w:ascii="Book Antiqua" w:hAnsi="Book Antiqua"/>
          <w:b/>
          <w:bCs/>
          <w:color w:val="000000" w:themeColor="text1"/>
        </w:rPr>
        <w:t>intraductal</w:t>
      </w:r>
      <w:proofErr w:type="spellEnd"/>
      <w:r w:rsidRPr="006F3B88">
        <w:rPr>
          <w:rFonts w:ascii="Book Antiqua" w:hAnsi="Book Antiqua"/>
          <w:b/>
          <w:bCs/>
          <w:color w:val="000000" w:themeColor="text1"/>
        </w:rPr>
        <w:t xml:space="preserve"> papillary mucinous neoplasm, pancreatic cyst, diffuse abnormality and neoplastic tumours/malignancy detected by endoscopic ultrasound. </w:t>
      </w:r>
      <w:r w:rsidR="00962F5A" w:rsidRPr="006F3B88">
        <w:rPr>
          <w:rFonts w:ascii="Book Antiqua" w:hAnsi="Book Antiqua"/>
          <w:color w:val="000000" w:themeColor="text1"/>
        </w:rPr>
        <w:t xml:space="preserve">BD-IPMN: Branched duct </w:t>
      </w:r>
      <w:proofErr w:type="spellStart"/>
      <w:r w:rsidR="00962F5A" w:rsidRPr="006F3B88">
        <w:rPr>
          <w:rFonts w:ascii="Book Antiqua" w:hAnsi="Book Antiqua"/>
          <w:color w:val="000000" w:themeColor="text1"/>
        </w:rPr>
        <w:t>intraductal</w:t>
      </w:r>
      <w:proofErr w:type="spellEnd"/>
      <w:r w:rsidR="00962F5A" w:rsidRPr="006F3B88">
        <w:rPr>
          <w:rFonts w:ascii="Book Antiqua" w:hAnsi="Book Antiqua"/>
          <w:color w:val="000000" w:themeColor="text1"/>
        </w:rPr>
        <w:t xml:space="preserve"> papillary mucinous neoplasm; EUS: Endoscopic ultrasound; MIC-1/GDF15: Macrophage inhibitory cytokine-1 or growth differentiation factor-15.</w:t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br w:type="page"/>
      </w:r>
    </w:p>
    <w:p w:rsidR="00DD12B7" w:rsidRPr="006F3B88" w:rsidRDefault="00962F5A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noProof/>
          <w:color w:val="000000" w:themeColor="text1"/>
          <w:lang w:val="en-US" w:eastAsia="zh-CN"/>
        </w:rPr>
        <w:lastRenderedPageBreak/>
        <w:drawing>
          <wp:inline distT="0" distB="0" distL="0" distR="0">
            <wp:extent cx="5537200" cy="5537200"/>
            <wp:effectExtent l="0" t="0" r="0" b="0"/>
            <wp:docPr id="2" name="图片 2" descr="图片包含 文字,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t xml:space="preserve">Figure 2 Receiver operating characteristic curve generated for the capacity of macrophage inhibitory cytokine-1 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or growth differentiation factor-15 </w:t>
      </w:r>
      <w:r w:rsidRPr="006F3B88">
        <w:rPr>
          <w:rFonts w:ascii="Book Antiqua" w:hAnsi="Book Antiqua"/>
          <w:b/>
          <w:color w:val="000000" w:themeColor="text1"/>
        </w:rPr>
        <w:t>to predict abnormal endoscopic ultrasound results.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A</w:t>
      </w:r>
      <w:r w:rsidR="00962F5A" w:rsidRPr="006F3B88">
        <w:rPr>
          <w:rFonts w:ascii="Book Antiqua" w:hAnsi="Book Antiqua"/>
          <w:bCs/>
          <w:color w:val="000000" w:themeColor="text1"/>
        </w:rPr>
        <w:t>: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Abnormal endoscopic ultrasound </w:t>
      </w:r>
      <w:r w:rsidRPr="006F3B88">
        <w:rPr>
          <w:rFonts w:ascii="Book Antiqua" w:hAnsi="Book Antiqua"/>
          <w:bCs/>
          <w:color w:val="000000" w:themeColor="text1"/>
        </w:rPr>
        <w:t>(AUC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0.576, 95%CI</w:t>
      </w:r>
      <w:r w:rsidR="00962F5A" w:rsidRPr="006F3B88">
        <w:rPr>
          <w:rFonts w:ascii="Book Antiqua" w:hAnsi="Book Antiqua"/>
          <w:bCs/>
          <w:color w:val="000000" w:themeColor="text1"/>
        </w:rPr>
        <w:t>:</w:t>
      </w:r>
      <w:r w:rsidRPr="006F3B88">
        <w:rPr>
          <w:rFonts w:ascii="Book Antiqua" w:hAnsi="Book Antiqua"/>
          <w:bCs/>
          <w:color w:val="000000" w:themeColor="text1"/>
        </w:rPr>
        <w:t xml:space="preserve"> 0.454-0.698, </w:t>
      </w:r>
      <w:r w:rsidR="00962F5A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0.234)</w:t>
      </w:r>
      <w:r w:rsidR="00962F5A" w:rsidRPr="006F3B88">
        <w:rPr>
          <w:rFonts w:ascii="Book Antiqua" w:hAnsi="Book Antiqua"/>
          <w:bCs/>
          <w:color w:val="000000" w:themeColor="text1"/>
        </w:rPr>
        <w:t>;</w:t>
      </w:r>
      <w:r w:rsidRPr="006F3B88">
        <w:rPr>
          <w:rFonts w:ascii="Book Antiqua" w:hAnsi="Book Antiqua"/>
          <w:bCs/>
          <w:color w:val="000000" w:themeColor="text1"/>
        </w:rPr>
        <w:t xml:space="preserve"> B</w:t>
      </w:r>
      <w:r w:rsidR="00962F5A" w:rsidRPr="006F3B88">
        <w:rPr>
          <w:rFonts w:ascii="Book Antiqua" w:hAnsi="Book Antiqua"/>
          <w:bCs/>
          <w:color w:val="000000" w:themeColor="text1"/>
        </w:rPr>
        <w:t>:</w:t>
      </w:r>
      <w:r w:rsidRPr="006F3B88">
        <w:rPr>
          <w:rFonts w:ascii="Book Antiqua" w:hAnsi="Book Antiqua"/>
          <w:bCs/>
          <w:color w:val="000000" w:themeColor="text1"/>
        </w:rPr>
        <w:t xml:space="preserve"> </w:t>
      </w:r>
      <w:r w:rsidR="00962F5A" w:rsidRPr="006F3B88">
        <w:rPr>
          <w:rFonts w:ascii="Book Antiqua" w:hAnsi="Book Antiqua"/>
          <w:color w:val="000000" w:themeColor="text1"/>
        </w:rPr>
        <w:t xml:space="preserve">Branched duct </w:t>
      </w:r>
      <w:proofErr w:type="spellStart"/>
      <w:r w:rsidR="00962F5A" w:rsidRPr="006F3B88">
        <w:rPr>
          <w:rFonts w:ascii="Book Antiqua" w:hAnsi="Book Antiqua"/>
          <w:color w:val="000000" w:themeColor="text1"/>
        </w:rPr>
        <w:t>intraductal</w:t>
      </w:r>
      <w:proofErr w:type="spellEnd"/>
      <w:r w:rsidR="00962F5A" w:rsidRPr="006F3B88">
        <w:rPr>
          <w:rFonts w:ascii="Book Antiqua" w:hAnsi="Book Antiqua"/>
          <w:color w:val="000000" w:themeColor="text1"/>
        </w:rPr>
        <w:t xml:space="preserve"> papillary mucinous neoplasm</w:t>
      </w:r>
      <w:r w:rsidRPr="006F3B88">
        <w:rPr>
          <w:rFonts w:ascii="Book Antiqua" w:hAnsi="Book Antiqua"/>
          <w:bCs/>
          <w:color w:val="000000" w:themeColor="text1"/>
        </w:rPr>
        <w:t xml:space="preserve"> (AUC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0.664, 95%CI</w:t>
      </w:r>
      <w:r w:rsidR="00962F5A" w:rsidRPr="006F3B88">
        <w:rPr>
          <w:rFonts w:ascii="Book Antiqua" w:hAnsi="Book Antiqua"/>
          <w:bCs/>
          <w:color w:val="000000" w:themeColor="text1"/>
        </w:rPr>
        <w:t>:</w:t>
      </w:r>
      <w:r w:rsidRPr="006F3B88">
        <w:rPr>
          <w:rFonts w:ascii="Book Antiqua" w:hAnsi="Book Antiqua"/>
          <w:bCs/>
          <w:color w:val="000000" w:themeColor="text1"/>
        </w:rPr>
        <w:t xml:space="preserve"> 0.414-0.875, </w:t>
      </w:r>
      <w:r w:rsidR="00962F5A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0.223)</w:t>
      </w:r>
      <w:r w:rsidR="00962F5A" w:rsidRPr="006F3B88">
        <w:rPr>
          <w:rFonts w:ascii="Book Antiqua" w:hAnsi="Book Antiqua"/>
          <w:bCs/>
          <w:color w:val="000000" w:themeColor="text1"/>
        </w:rPr>
        <w:t>;</w:t>
      </w:r>
      <w:r w:rsidRPr="006F3B88">
        <w:rPr>
          <w:rFonts w:ascii="Book Antiqua" w:hAnsi="Book Antiqua"/>
          <w:bCs/>
          <w:color w:val="000000" w:themeColor="text1"/>
        </w:rPr>
        <w:t xml:space="preserve"> C</w:t>
      </w:r>
      <w:r w:rsidR="00962F5A" w:rsidRPr="006F3B88">
        <w:rPr>
          <w:rFonts w:ascii="Book Antiqua" w:hAnsi="Book Antiqua"/>
          <w:bCs/>
          <w:color w:val="000000" w:themeColor="text1"/>
        </w:rPr>
        <w:t>:</w:t>
      </w:r>
      <w:r w:rsidRPr="006F3B88">
        <w:rPr>
          <w:rFonts w:ascii="Book Antiqua" w:hAnsi="Book Antiqua"/>
          <w:bCs/>
          <w:color w:val="000000" w:themeColor="text1"/>
        </w:rPr>
        <w:t xml:space="preserve"> Pancreatic cyst (AUC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0.347, 95%CI</w:t>
      </w:r>
      <w:r w:rsidR="00962F5A" w:rsidRPr="006F3B88">
        <w:rPr>
          <w:rFonts w:ascii="Book Antiqua" w:hAnsi="Book Antiqua"/>
          <w:bCs/>
          <w:color w:val="000000" w:themeColor="text1"/>
        </w:rPr>
        <w:t>:</w:t>
      </w:r>
      <w:r w:rsidRPr="006F3B88">
        <w:rPr>
          <w:rFonts w:ascii="Book Antiqua" w:hAnsi="Book Antiqua"/>
          <w:bCs/>
          <w:color w:val="000000" w:themeColor="text1"/>
        </w:rPr>
        <w:t xml:space="preserve"> 0.162-0.532, </w:t>
      </w:r>
      <w:r w:rsidR="00962F5A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0.131)</w:t>
      </w:r>
      <w:r w:rsidR="00962F5A" w:rsidRPr="006F3B88">
        <w:rPr>
          <w:rFonts w:ascii="Book Antiqua" w:hAnsi="Book Antiqua"/>
          <w:bCs/>
          <w:color w:val="000000" w:themeColor="text1"/>
        </w:rPr>
        <w:t>;</w:t>
      </w:r>
      <w:r w:rsidRPr="006F3B88">
        <w:rPr>
          <w:rFonts w:ascii="Book Antiqua" w:hAnsi="Book Antiqua"/>
          <w:bCs/>
          <w:color w:val="000000" w:themeColor="text1"/>
        </w:rPr>
        <w:t xml:space="preserve"> D</w:t>
      </w:r>
      <w:r w:rsidR="00962F5A" w:rsidRPr="006F3B88">
        <w:rPr>
          <w:rFonts w:ascii="Book Antiqua" w:hAnsi="Book Antiqua"/>
          <w:bCs/>
          <w:color w:val="000000" w:themeColor="text1"/>
        </w:rPr>
        <w:t>:</w:t>
      </w:r>
      <w:r w:rsidRPr="006F3B88">
        <w:rPr>
          <w:rFonts w:ascii="Book Antiqua" w:hAnsi="Book Antiqua"/>
          <w:bCs/>
          <w:color w:val="000000" w:themeColor="text1"/>
        </w:rPr>
        <w:t xml:space="preserve"> Diffuse abnormality (AUC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0.510, 95%CI</w:t>
      </w:r>
      <w:r w:rsidR="00962F5A" w:rsidRPr="006F3B88">
        <w:rPr>
          <w:rFonts w:ascii="Book Antiqua" w:hAnsi="Book Antiqua"/>
          <w:bCs/>
          <w:color w:val="000000" w:themeColor="text1"/>
        </w:rPr>
        <w:t>:</w:t>
      </w:r>
      <w:r w:rsidRPr="006F3B88">
        <w:rPr>
          <w:rFonts w:ascii="Book Antiqua" w:hAnsi="Book Antiqua"/>
          <w:bCs/>
          <w:color w:val="000000" w:themeColor="text1"/>
        </w:rPr>
        <w:t xml:space="preserve"> 0.254-0.764, </w:t>
      </w:r>
      <w:r w:rsidR="00962F5A" w:rsidRPr="006F3B88">
        <w:rPr>
          <w:rFonts w:ascii="Book Antiqua" w:hAnsi="Book Antiqua"/>
          <w:bCs/>
          <w:i/>
          <w:iCs/>
          <w:color w:val="000000" w:themeColor="text1"/>
        </w:rPr>
        <w:t xml:space="preserve">P </w:t>
      </w:r>
      <w:r w:rsidRPr="006F3B88">
        <w:rPr>
          <w:rFonts w:ascii="Book Antiqua" w:hAnsi="Book Antiqua"/>
          <w:bCs/>
          <w:color w:val="000000" w:themeColor="text1"/>
        </w:rPr>
        <w:t>=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</w:t>
      </w:r>
      <w:r w:rsidRPr="006F3B88">
        <w:rPr>
          <w:rFonts w:ascii="Book Antiqua" w:hAnsi="Book Antiqua"/>
          <w:bCs/>
          <w:color w:val="000000" w:themeColor="text1"/>
        </w:rPr>
        <w:t>0.935).</w:t>
      </w:r>
      <w:r w:rsidR="00962F5A" w:rsidRPr="006F3B88">
        <w:rPr>
          <w:rFonts w:ascii="Book Antiqua" w:hAnsi="Book Antiqua"/>
          <w:bCs/>
          <w:color w:val="000000" w:themeColor="text1"/>
        </w:rPr>
        <w:t xml:space="preserve"> ROC: Receiver operating characteristic.</w:t>
      </w:r>
    </w:p>
    <w:p w:rsidR="00962F5A" w:rsidRPr="006F3B88" w:rsidRDefault="00962F5A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br w:type="page"/>
      </w:r>
    </w:p>
    <w:p w:rsidR="00DD12B7" w:rsidRPr="006F3B88" w:rsidRDefault="00962F5A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noProof/>
          <w:color w:val="000000" w:themeColor="text1"/>
          <w:lang w:val="en-US" w:eastAsia="zh-CN"/>
        </w:rPr>
        <w:lastRenderedPageBreak/>
        <w:drawing>
          <wp:inline distT="0" distB="0" distL="0" distR="0">
            <wp:extent cx="3517900" cy="3657600"/>
            <wp:effectExtent l="0" t="0" r="0" b="0"/>
            <wp:docPr id="5" name="图片 5" descr="图片包含 文字,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t>Figure 3 Receiver operating characteristic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 xml:space="preserve">curve generated for the capacity of macrophage inhibitory cytokine-1 </w:t>
      </w:r>
      <w:r w:rsidR="00962F5A" w:rsidRPr="006F3B88">
        <w:rPr>
          <w:rFonts w:ascii="Book Antiqua" w:hAnsi="Book Antiqua"/>
          <w:b/>
          <w:color w:val="000000" w:themeColor="text1"/>
        </w:rPr>
        <w:t>or growth differentiation factor-15</w:t>
      </w:r>
      <w:r w:rsidRPr="006F3B88">
        <w:rPr>
          <w:rFonts w:ascii="Book Antiqua" w:hAnsi="Book Antiqua"/>
          <w:b/>
          <w:color w:val="000000" w:themeColor="text1"/>
        </w:rPr>
        <w:t xml:space="preserve"> to predict solid neoplastic tumours on endoscopy ultrasound (AUC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=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 xml:space="preserve">0.793, </w:t>
      </w:r>
      <w:r w:rsidR="00962F5A" w:rsidRPr="006F3B88">
        <w:rPr>
          <w:rFonts w:ascii="Book Antiqua" w:hAnsi="Book Antiqua"/>
          <w:b/>
          <w:i/>
          <w:iCs/>
          <w:color w:val="000000" w:themeColor="text1"/>
        </w:rPr>
        <w:t xml:space="preserve">P </w:t>
      </w:r>
      <w:r w:rsidRPr="006F3B88">
        <w:rPr>
          <w:rFonts w:ascii="Book Antiqua" w:hAnsi="Book Antiqua"/>
          <w:b/>
          <w:i/>
          <w:iCs/>
          <w:color w:val="000000" w:themeColor="text1"/>
        </w:rPr>
        <w:t>=</w:t>
      </w:r>
      <w:r w:rsidR="00962F5A" w:rsidRPr="006F3B88">
        <w:rPr>
          <w:rFonts w:ascii="Book Antiqua" w:hAnsi="Book Antiqua"/>
          <w:b/>
          <w:i/>
          <w:iCs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 xml:space="preserve">0.081, </w:t>
      </w:r>
      <w:r w:rsidRPr="006F3B88">
        <w:rPr>
          <w:rFonts w:ascii="Book Antiqua" w:hAnsi="Book Antiqua"/>
          <w:b/>
          <w:i/>
          <w:iCs/>
          <w:color w:val="000000" w:themeColor="text1"/>
        </w:rPr>
        <w:t>n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=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3).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="00962F5A" w:rsidRPr="006F3B88">
        <w:rPr>
          <w:rFonts w:ascii="Book Antiqua" w:hAnsi="Book Antiqua"/>
          <w:bCs/>
          <w:color w:val="000000" w:themeColor="text1"/>
        </w:rPr>
        <w:t>ROC: Receiver operating characteristic.</w:t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br w:type="page"/>
      </w:r>
    </w:p>
    <w:p w:rsidR="00DD12B7" w:rsidRPr="006F3B88" w:rsidRDefault="00962F5A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noProof/>
          <w:color w:val="000000" w:themeColor="text1"/>
          <w:lang w:val="en-US" w:eastAsia="zh-CN"/>
        </w:rPr>
        <w:lastRenderedPageBreak/>
        <w:drawing>
          <wp:inline distT="0" distB="0" distL="0" distR="0">
            <wp:extent cx="3225800" cy="3543300"/>
            <wp:effectExtent l="0" t="0" r="0" b="0"/>
            <wp:docPr id="8" name="图片 8" descr="图片包含 文字,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t xml:space="preserve">Figure 4 Receiver operating characteristic curve generated for the capacity of macrophage inhibitory cytokine-1 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or growth differentiation factor-15 </w:t>
      </w:r>
      <w:r w:rsidRPr="006F3B88">
        <w:rPr>
          <w:rFonts w:ascii="Book Antiqua" w:hAnsi="Book Antiqua"/>
          <w:b/>
          <w:color w:val="000000" w:themeColor="text1"/>
        </w:rPr>
        <w:t xml:space="preserve">to predict solid neoplastic tumours identified on 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endoscopy ultrasound </w:t>
      </w:r>
      <w:r w:rsidRPr="006F3B88">
        <w:rPr>
          <w:rFonts w:ascii="Book Antiqua" w:hAnsi="Book Antiqua"/>
          <w:b/>
          <w:color w:val="000000" w:themeColor="text1"/>
        </w:rPr>
        <w:t xml:space="preserve">and </w:t>
      </w:r>
      <w:r w:rsidR="00D97AF1" w:rsidRPr="006F3B88">
        <w:rPr>
          <w:rFonts w:ascii="Book Antiqua" w:hAnsi="Book Antiqua"/>
          <w:b/>
          <w:bCs/>
          <w:color w:val="000000" w:themeColor="text1"/>
        </w:rPr>
        <w:t>magnetic resonance imaging or computed tomography</w:t>
      </w:r>
      <w:r w:rsidRPr="006F3B88">
        <w:rPr>
          <w:rFonts w:ascii="Book Antiqua" w:hAnsi="Book Antiqua"/>
          <w:b/>
          <w:color w:val="000000" w:themeColor="text1"/>
        </w:rPr>
        <w:t xml:space="preserve"> in an asymptomatic population (AUC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=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0.814, 95%CI</w:t>
      </w:r>
      <w:r w:rsidR="00962F5A" w:rsidRPr="006F3B88">
        <w:rPr>
          <w:rFonts w:ascii="Book Antiqua" w:hAnsi="Book Antiqua"/>
          <w:b/>
          <w:color w:val="000000" w:themeColor="text1"/>
        </w:rPr>
        <w:t>:</w:t>
      </w:r>
      <w:r w:rsidRPr="006F3B88">
        <w:rPr>
          <w:rFonts w:ascii="Book Antiqua" w:hAnsi="Book Antiqua"/>
          <w:b/>
          <w:color w:val="000000" w:themeColor="text1"/>
        </w:rPr>
        <w:t xml:space="preserve"> 0.657-0.970, </w:t>
      </w:r>
      <w:r w:rsidR="00962F5A" w:rsidRPr="006F3B88">
        <w:rPr>
          <w:rFonts w:ascii="Book Antiqua" w:hAnsi="Book Antiqua"/>
          <w:b/>
          <w:i/>
          <w:iCs/>
          <w:color w:val="000000" w:themeColor="text1"/>
        </w:rPr>
        <w:t xml:space="preserve">P </w:t>
      </w:r>
      <w:r w:rsidRPr="006F3B88">
        <w:rPr>
          <w:rFonts w:ascii="Book Antiqua" w:hAnsi="Book Antiqua"/>
          <w:b/>
          <w:color w:val="000000" w:themeColor="text1"/>
        </w:rPr>
        <w:t>=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 xml:space="preserve">0.023, </w:t>
      </w:r>
      <w:r w:rsidRPr="006F3B88">
        <w:rPr>
          <w:rFonts w:ascii="Book Antiqua" w:hAnsi="Book Antiqua"/>
          <w:b/>
          <w:i/>
          <w:iCs/>
          <w:color w:val="000000" w:themeColor="text1"/>
        </w:rPr>
        <w:t>n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=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5).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="00962F5A" w:rsidRPr="006F3B88">
        <w:rPr>
          <w:rFonts w:ascii="Book Antiqua" w:hAnsi="Book Antiqua"/>
          <w:bCs/>
          <w:color w:val="000000" w:themeColor="text1"/>
        </w:rPr>
        <w:t>ROC: Receiver operating characteristic.</w:t>
      </w:r>
    </w:p>
    <w:p w:rsidR="00962F5A" w:rsidRPr="006F3B88" w:rsidRDefault="00962F5A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br w:type="page"/>
      </w:r>
    </w:p>
    <w:p w:rsidR="00DD12B7" w:rsidRPr="006F3B88" w:rsidRDefault="00962F5A" w:rsidP="006F3B88">
      <w:pPr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F3B88">
        <w:rPr>
          <w:rFonts w:ascii="Book Antiqua" w:hAnsi="Book Antiqua"/>
          <w:b/>
          <w:noProof/>
          <w:color w:val="000000" w:themeColor="text1"/>
          <w:lang w:val="en-US" w:eastAsia="zh-CN"/>
        </w:rPr>
        <w:lastRenderedPageBreak/>
        <w:drawing>
          <wp:inline distT="0" distB="0" distL="0" distR="0">
            <wp:extent cx="5727700" cy="3248660"/>
            <wp:effectExtent l="0" t="0" r="0" b="2540"/>
            <wp:docPr id="18" name="图片 18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/>
          <w:color w:val="000000" w:themeColor="text1"/>
        </w:rPr>
        <w:t xml:space="preserve">Figure 5 Boxplot of median </w:t>
      </w:r>
      <w:r w:rsidR="00962F5A" w:rsidRPr="006F3B88">
        <w:rPr>
          <w:rFonts w:ascii="Book Antiqua" w:hAnsi="Book Antiqua"/>
          <w:b/>
          <w:color w:val="000000" w:themeColor="text1"/>
        </w:rPr>
        <w:t>baseline macrophage inhibitory cytokine-1 or growth differentiation factor-15</w:t>
      </w:r>
      <w:r w:rsidRPr="006F3B88">
        <w:rPr>
          <w:rFonts w:ascii="Book Antiqua" w:hAnsi="Book Antiqua"/>
          <w:b/>
          <w:color w:val="000000" w:themeColor="text1"/>
        </w:rPr>
        <w:t xml:space="preserve"> in participants diagnosed with benign pancreatic abnormalities (</w:t>
      </w:r>
      <w:r w:rsidRPr="006F3B88">
        <w:rPr>
          <w:rFonts w:ascii="Book Antiqua" w:hAnsi="Book Antiqua"/>
          <w:b/>
          <w:i/>
          <w:iCs/>
          <w:color w:val="000000" w:themeColor="text1"/>
        </w:rPr>
        <w:t>n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=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42) and solid neoplastic tumours (</w:t>
      </w:r>
      <w:r w:rsidRPr="006F3B88">
        <w:rPr>
          <w:rFonts w:ascii="Book Antiqua" w:hAnsi="Book Antiqua"/>
          <w:b/>
          <w:i/>
          <w:iCs/>
          <w:color w:val="000000" w:themeColor="text1"/>
        </w:rPr>
        <w:t>n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>=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 </w:t>
      </w:r>
      <w:r w:rsidRPr="006F3B88">
        <w:rPr>
          <w:rFonts w:ascii="Book Antiqua" w:hAnsi="Book Antiqua"/>
          <w:b/>
          <w:color w:val="000000" w:themeColor="text1"/>
        </w:rPr>
        <w:t xml:space="preserve">5) lesions on </w:t>
      </w:r>
      <w:r w:rsidR="00962F5A" w:rsidRPr="006F3B88">
        <w:rPr>
          <w:rFonts w:ascii="Book Antiqua" w:hAnsi="Book Antiqua"/>
          <w:b/>
          <w:color w:val="000000" w:themeColor="text1"/>
        </w:rPr>
        <w:t xml:space="preserve">endoscopy ultrasound </w:t>
      </w:r>
      <w:r w:rsidRPr="006F3B88">
        <w:rPr>
          <w:rFonts w:ascii="Book Antiqua" w:hAnsi="Book Antiqua"/>
          <w:b/>
          <w:color w:val="000000" w:themeColor="text1"/>
        </w:rPr>
        <w:t xml:space="preserve">and </w:t>
      </w:r>
      <w:r w:rsidR="00D97AF1" w:rsidRPr="006F3B88">
        <w:rPr>
          <w:rFonts w:ascii="Book Antiqua" w:hAnsi="Book Antiqua"/>
          <w:b/>
          <w:bCs/>
          <w:color w:val="000000" w:themeColor="text1"/>
        </w:rPr>
        <w:t>magnetic resonance imaging or computed tomography</w:t>
      </w:r>
      <w:r w:rsidRPr="006F3B88">
        <w:rPr>
          <w:rFonts w:ascii="Book Antiqua" w:hAnsi="Book Antiqua"/>
          <w:b/>
          <w:bCs/>
          <w:color w:val="000000" w:themeColor="text1"/>
        </w:rPr>
        <w:t>.</w:t>
      </w:r>
      <w:r w:rsidRPr="006F3B88">
        <w:rPr>
          <w:rFonts w:ascii="Book Antiqua" w:hAnsi="Book Antiqua"/>
          <w:b/>
          <w:color w:val="000000" w:themeColor="text1"/>
        </w:rPr>
        <w:t xml:space="preserve"> </w:t>
      </w:r>
      <w:r w:rsidR="00962F5A" w:rsidRPr="006F3B88">
        <w:rPr>
          <w:rFonts w:ascii="Book Antiqua" w:hAnsi="Book Antiqua"/>
          <w:bCs/>
          <w:color w:val="000000" w:themeColor="text1"/>
        </w:rPr>
        <w:t>MIC-1/GDF15: Macrophage inhibitory cytokine-1 or growth differentiation factor-15.</w:t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Cs/>
          <w:color w:val="000000" w:themeColor="text1"/>
        </w:rPr>
        <w:br w:type="page"/>
      </w:r>
    </w:p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6F3B88">
        <w:rPr>
          <w:rFonts w:ascii="Book Antiqua" w:hAnsi="Book Antiqua"/>
          <w:b/>
          <w:bCs/>
          <w:color w:val="000000" w:themeColor="text1"/>
        </w:rPr>
        <w:lastRenderedPageBreak/>
        <w:t>Table 1 Characteristics of participants in pancreatic cancer screening program based on endoscopic ultrasound results</w:t>
      </w:r>
    </w:p>
    <w:tbl>
      <w:tblPr>
        <w:tblpPr w:leftFromText="181" w:rightFromText="181" w:vertAnchor="text" w:tblpY="1"/>
        <w:tblOverlap w:val="never"/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871"/>
        <w:gridCol w:w="1178"/>
        <w:gridCol w:w="1134"/>
        <w:gridCol w:w="1444"/>
        <w:gridCol w:w="1276"/>
        <w:gridCol w:w="898"/>
      </w:tblGrid>
      <w:tr w:rsidR="006F3B88" w:rsidRPr="006F3B88" w:rsidTr="006F3B88">
        <w:trPr>
          <w:trHeight w:val="584"/>
        </w:trPr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>Baseline characteristics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>Normal EUS (</w:t>
            </w:r>
            <w:r w:rsidRPr="006F3B8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 xml:space="preserve"> = 74)</w:t>
            </w:r>
          </w:p>
        </w:tc>
        <w:tc>
          <w:tcPr>
            <w:tcW w:w="11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>Pancreatic Cyst (</w:t>
            </w:r>
            <w:r w:rsidRPr="006F3B8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 xml:space="preserve"> = 25)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>BD-IPMN (</w:t>
            </w:r>
            <w:r w:rsidRPr="006F3B8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 xml:space="preserve"> = 9)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>Diffuse Abnormality (</w:t>
            </w:r>
            <w:r w:rsidRPr="006F3B8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 xml:space="preserve"> = 9)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>Neoplastic tumours</w:t>
            </w:r>
            <w:r w:rsidRPr="006F3B88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>on EUS (</w:t>
            </w:r>
            <w:r w:rsidRPr="006F3B8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 xml:space="preserve"> = 3)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6F3B88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P-</w:t>
            </w:r>
            <w:r w:rsidRPr="006F3B88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Age (</w:t>
            </w:r>
            <w:proofErr w:type="spellStart"/>
            <w:r w:rsidRPr="006F3B88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6F3B88">
              <w:rPr>
                <w:rFonts w:ascii="Book Antiqua" w:hAnsi="Book Antiqua"/>
                <w:color w:val="000000" w:themeColor="text1"/>
              </w:rPr>
              <w:t>), mean (SD)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55.0 (9.8)</w:t>
            </w:r>
          </w:p>
        </w:tc>
        <w:tc>
          <w:tcPr>
            <w:tcW w:w="117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57.3 (7.9)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60.1 (10.0)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59.3 (8.8)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57.7 (4.5)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0.388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Age Quartile,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1 (35-50)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23 (31.1)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(20.0)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(11.1)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2 (51-56)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17 (23.0)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(28.0)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(11.1)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3 (57-63)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20 (27.0)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(24.0)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4 (64-78)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14 (18.9)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(28.0)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BMI, </w:t>
            </w:r>
            <w:r w:rsidR="00B9642E" w:rsidRPr="006F3B88">
              <w:rPr>
                <w:rFonts w:ascii="Book Antiqua" w:hAnsi="Book Antiqua"/>
                <w:color w:val="000000" w:themeColor="text1"/>
              </w:rPr>
              <w:t>m</w:t>
            </w:r>
            <w:r w:rsidRPr="006F3B88">
              <w:rPr>
                <w:rFonts w:ascii="Book Antiqua" w:hAnsi="Book Antiqua"/>
                <w:color w:val="000000" w:themeColor="text1"/>
              </w:rPr>
              <w:t>ean (SD)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27.3 (5.2)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27.8 (5.4)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26.8 (4.2)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31.6 (3.4)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24.0 (5.2)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0.117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BMI Quartile,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2B7" w:rsidRPr="006916A0" w:rsidRDefault="00DD12B7" w:rsidP="006916A0">
            <w:pPr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highlight w:val="yellow"/>
                <w:lang w:eastAsia="zh-CN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0.013</w:t>
            </w:r>
            <w:r w:rsidR="006916A0">
              <w:rPr>
                <w:rFonts w:ascii="Book Antiqua" w:eastAsiaTheme="minorEastAsia" w:hAnsi="Book Antiqua" w:hint="eastAsia"/>
                <w:color w:val="000000" w:themeColor="text1"/>
                <w:vertAlign w:val="superscript"/>
                <w:lang w:eastAsia="zh-CN"/>
              </w:rPr>
              <w:t>1</w:t>
            </w: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</w:t>
            </w:r>
            <w:r w:rsidR="002A653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F3B88">
              <w:rPr>
                <w:rFonts w:ascii="Book Antiqua" w:hAnsi="Book Antiqua"/>
                <w:color w:val="000000" w:themeColor="text1"/>
              </w:rPr>
              <w:t>1 (19.5-23.8)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18 (24.3)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(24.0)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(44.4)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2</w:t>
            </w:r>
            <w:r w:rsidR="002A653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F3B88">
              <w:rPr>
                <w:rFonts w:ascii="Book Antiqua" w:hAnsi="Book Antiqua"/>
                <w:color w:val="000000" w:themeColor="text1"/>
              </w:rPr>
              <w:t>(23.9-27.2)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22 (29.7)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8 (32.0)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3</w:t>
            </w:r>
            <w:r w:rsidR="002A653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F3B88">
              <w:rPr>
                <w:rFonts w:ascii="Book Antiqua" w:hAnsi="Book Antiqua"/>
                <w:color w:val="000000" w:themeColor="text1"/>
              </w:rPr>
              <w:t>(27.3-30.4)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18 (24.3)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(24.0)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</w:t>
            </w:r>
            <w:r w:rsidR="002A653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6F3B88">
              <w:rPr>
                <w:rFonts w:ascii="Book Antiqua" w:hAnsi="Book Antiqua"/>
                <w:color w:val="000000" w:themeColor="text1"/>
              </w:rPr>
              <w:t>4 (30.5-46.7)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16 (21.6)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(20.0)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(66.7)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Gender,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0.362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Female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51 </w:t>
            </w: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>(68.9)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>18 (72.0)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(55.6)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(44.4)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>Male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23 (31.1)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(28.0)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(44.4)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(55.6)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BRCA2 positive,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10 (13.5)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(28.0)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916A0" w:rsidRDefault="00DD12B7" w:rsidP="006916A0">
            <w:pPr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lang w:eastAsia="zh-CN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0.032</w:t>
            </w:r>
            <w:r w:rsidR="006916A0">
              <w:rPr>
                <w:rFonts w:ascii="Book Antiqua" w:eastAsiaTheme="minorEastAsia" w:hAnsi="Book Antiqua" w:hint="eastAsia"/>
                <w:color w:val="000000" w:themeColor="text1"/>
                <w:vertAlign w:val="superscript"/>
                <w:lang w:eastAsia="zh-CN"/>
              </w:rPr>
              <w:t>1</w:t>
            </w: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First Degree Relatives with PC,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0.947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(4.1)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43 (58.1)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16 (64.0)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(44.4)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(55.6)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21 (28.4)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(20.0)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(55.6)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(44.4)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(9.5)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(16.0)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Second Degree Relative with PC,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="00E33CBE" w:rsidRPr="006F3B8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6F3B88">
              <w:rPr>
                <w:rFonts w:ascii="Book Antiqua" w:hAnsi="Book Antiqua"/>
                <w:color w:val="000000" w:themeColor="text1"/>
              </w:rPr>
              <w:t>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0.432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23 (31.1)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9 (36.0)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(55.6)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(11.1)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17 (23.0)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9 (36.0)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(77.8)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20 (27.0)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(12.0)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(11.1)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8 (10.8)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(12.0)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(8.1)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(4.0)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Youngest PC diagnosis, median (IQR)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50</w:t>
            </w:r>
            <w:r w:rsidRPr="006F3B88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6F3B88">
              <w:rPr>
                <w:rFonts w:ascii="Book Antiqua" w:hAnsi="Book Antiqua"/>
                <w:color w:val="000000" w:themeColor="text1"/>
              </w:rPr>
              <w:t>(44</w:t>
            </w:r>
            <w:r w:rsidR="00E33CBE" w:rsidRPr="006F3B88">
              <w:rPr>
                <w:rFonts w:ascii="Book Antiqua" w:hAnsi="Book Antiqua"/>
                <w:color w:val="000000" w:themeColor="text1"/>
              </w:rPr>
              <w:t>-</w:t>
            </w:r>
            <w:r w:rsidRPr="006F3B88">
              <w:rPr>
                <w:rFonts w:ascii="Book Antiqua" w:hAnsi="Book Antiqua"/>
                <w:color w:val="000000" w:themeColor="text1"/>
              </w:rPr>
              <w:t>64.5)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60</w:t>
            </w:r>
            <w:r w:rsidRPr="006F3B88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6F3B88">
              <w:rPr>
                <w:rFonts w:ascii="Book Antiqua" w:hAnsi="Book Antiqua"/>
                <w:color w:val="000000" w:themeColor="text1"/>
              </w:rPr>
              <w:t>(46-66)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65</w:t>
            </w:r>
            <w:r w:rsidRPr="006F3B88">
              <w:rPr>
                <w:rFonts w:ascii="Book Antiqua" w:hAnsi="Book Antiqua"/>
                <w:color w:val="000000" w:themeColor="text1"/>
                <w:lang w:eastAsia="zh-CN"/>
              </w:rPr>
              <w:t xml:space="preserve"> </w:t>
            </w:r>
            <w:r w:rsidRPr="006F3B88">
              <w:rPr>
                <w:rFonts w:ascii="Book Antiqua" w:hAnsi="Book Antiqua"/>
                <w:color w:val="000000" w:themeColor="text1"/>
              </w:rPr>
              <w:t>(45.5-68.5)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53 (38-70)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75 (22-75)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0.519</w:t>
            </w: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Ethnicity,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0.848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Asian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(1.4)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(4.0)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>Caucasian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70 (94.6)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24 (96.0)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9 (100.0)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9 (100.0)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(100.0)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Other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(4.1)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Jewish Origin, </w:t>
            </w:r>
            <w:r w:rsidRPr="002A653F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(6.8)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(28.0)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(11.1)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(11.1)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0.079</w:t>
            </w: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Ashkenazi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(7.4)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(24.0)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(11.1)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0.121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Medical History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Personal History of cancer,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13 (17.6)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(20.0)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(44.4)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0.350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Diabetes,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(5.4)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(4.0)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(11.1)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0.434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Insulin,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(14.3)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0.184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Oral hypoglycaemic medication,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(7.4)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(16.7)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(16.7)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(14.3)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0.840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Smoking status,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0.188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Never smoked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32 (47.8)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17 (68.0)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(55.6)</w:t>
            </w:r>
          </w:p>
        </w:tc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(66.7)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Stopped smoking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32 (47.8)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(28.0)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(44.4)</w:t>
            </w:r>
          </w:p>
        </w:tc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Still smoking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(4.5)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(4.0)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(.0)</w:t>
            </w:r>
          </w:p>
        </w:tc>
        <w:tc>
          <w:tcPr>
            <w:tcW w:w="13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Cigarettes per day, Median (IQR)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13.5 (6.0-20.0)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12.5 (6.3-23.8)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12.0 (1.0-12.0)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10.0 (5.0-10.0)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20.0 (20.0-20.0)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0.929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Cigarettes per day quartile,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0.963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1 (1-6)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11 (30.6)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(25.0)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2 (7-12)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(19.4)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(25.0)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3 (15-</w:t>
            </w: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>20)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 xml:space="preserve">14 </w:t>
            </w: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>(38.9)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>2 (25.0)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(100.0)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>Quartile 4 (25-75)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(11.1)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(25.0)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Years Smoking,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0.629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&lt; 10 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12 (33.3)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(37.5)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(50.0)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11-20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11 (30.6)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(37.5)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21-30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8 (22.2)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(12.5)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(50.0)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31-40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(11.1)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(12.5)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(100.0)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41-50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(2.8)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="22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&gt; 50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12 (33.3)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(37.5)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(50.0)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Alcohol consumption,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0.209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Daily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19 (25.7)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(28.0)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(33.3)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Weekly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14 (18.9)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(20.0)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(11.1)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Social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(6.8)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(20.0)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No history of chronic consumption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36 (48.6)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8 (32.0)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(66.7)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(22.2)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Drinks per week, Median (IQR)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6.0 (3.0-15.0)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(2.0-10.0)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2.5 (1.0-6.0)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6.0 (1.0-15.0)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21.0 (1.0-21.0)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0.331</w:t>
            </w: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Drinks per week quartile,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0.328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1 (1 - 3)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16 (25.8)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(31.6)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(62.5)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(28.6)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lastRenderedPageBreak/>
              <w:t>Quartile 2 (4 - 6)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19 (30.6)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 (21.1)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(25.0)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(28.6)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3 (7 - 14)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11 (17.7)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7 (36.8)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(14.3)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Quartile 4 (15 - 35)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16 (25.8)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(10.5)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(12.5)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(28.6)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Age of first drink, Median (IQR)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18.0 (17.0-18.0)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20.0 (18.0-25.0)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19.0 (18.0-21.0)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17.0 (15.0-20.0)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18.0 (15.0-18.0)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916A0" w:rsidRDefault="00DD12B7" w:rsidP="006916A0">
            <w:pPr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lang w:eastAsia="zh-CN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0.033</w:t>
            </w:r>
            <w:r w:rsidR="006916A0">
              <w:rPr>
                <w:rFonts w:ascii="Book Antiqua" w:eastAsiaTheme="minorEastAsia" w:hAnsi="Book Antiqua" w:hint="eastAsia"/>
                <w:color w:val="000000" w:themeColor="text1"/>
                <w:vertAlign w:val="superscript"/>
                <w:lang w:eastAsia="zh-CN"/>
              </w:rPr>
              <w:t>1</w:t>
            </w:r>
          </w:p>
        </w:tc>
      </w:tr>
      <w:tr w:rsidR="006F3B88" w:rsidRPr="006F3B88" w:rsidTr="006F3B88">
        <w:trPr>
          <w:trHeight w:val="32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Years drinking, </w:t>
            </w:r>
            <w:r w:rsidRPr="006F3B88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6F3B88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0.129</w:t>
            </w: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 xml:space="preserve">&lt; 10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(3.4)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(11.8)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11-20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11 (18.6)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(17.6)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 (37.5)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21-30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13 (22.0)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 (35.3)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(28.6)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(33.3)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31-40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22 (37.3)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 (29.4)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(25.0)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(14.3)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(66.7)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41-50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8 (13.6)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(5.9)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(25.0)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(28.6)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ind w:firstLine="220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&gt; 50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(3.4)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 (12.5)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2 (28.6)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 (0.0)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Biochemistry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en-AU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  <w:lang w:eastAsia="en-AU"/>
              </w:rPr>
            </w:pPr>
          </w:p>
        </w:tc>
      </w:tr>
      <w:tr w:rsidR="006F3B88" w:rsidRPr="006F3B88" w:rsidTr="006F3B88">
        <w:trPr>
          <w:trHeight w:val="91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CRP, Median (IQR)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1.3 (0.6-2.5)</w:t>
            </w:r>
          </w:p>
        </w:tc>
        <w:tc>
          <w:tcPr>
            <w:tcW w:w="11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1.7 (0.7-4.2)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1.4 (0.5-1.9)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0.8 (0.6-4.4)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0.8 (0.3-0.8)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0.835</w:t>
            </w:r>
          </w:p>
        </w:tc>
      </w:tr>
      <w:tr w:rsidR="006F3B88" w:rsidRPr="006F3B88" w:rsidTr="006F3B88">
        <w:trPr>
          <w:trHeight w:val="500"/>
        </w:trPr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CA19-9, Median (IQR)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9.0 (6.0-16.0)</w:t>
            </w:r>
          </w:p>
        </w:tc>
        <w:tc>
          <w:tcPr>
            <w:tcW w:w="11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9.0 (7.0-15.8)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9.0 (5.7-15.0)</w:t>
            </w:r>
          </w:p>
        </w:tc>
        <w:tc>
          <w:tcPr>
            <w:tcW w:w="13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16.0 (8.5-19.5)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47.0 (22.0-47.0)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0.058</w:t>
            </w:r>
          </w:p>
        </w:tc>
      </w:tr>
      <w:tr w:rsidR="006F3B88" w:rsidRPr="006F3B88" w:rsidTr="006F3B88">
        <w:trPr>
          <w:trHeight w:val="168"/>
        </w:trPr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MIC-1/GDF-15, Median (IQR)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558.2 (449.6-715.3)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highlight w:val="yellow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574.3 (448.5-830.3)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659.3 (484.2-1077.3)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553.2 (512.9-967.0)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849.1 (604.9- 849.1)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12B7" w:rsidRPr="006F3B88" w:rsidRDefault="00DD12B7" w:rsidP="006F3B88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6F3B88">
              <w:rPr>
                <w:rFonts w:ascii="Book Antiqua" w:hAnsi="Book Antiqua"/>
                <w:color w:val="000000" w:themeColor="text1"/>
              </w:rPr>
              <w:t>0.178</w:t>
            </w:r>
          </w:p>
        </w:tc>
      </w:tr>
    </w:tbl>
    <w:p w:rsidR="00DD12B7" w:rsidRPr="006F3B88" w:rsidRDefault="00DD12B7" w:rsidP="006F3B8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F3B88">
        <w:rPr>
          <w:rFonts w:ascii="Book Antiqua" w:hAnsi="Book Antiqua"/>
          <w:color w:val="000000" w:themeColor="text1"/>
        </w:rPr>
        <w:t xml:space="preserve">Quartiles were created using the entire cohort, which were split into 4 groups for the appropriate measurements. Percentages for variables such as cigarettes, drinking </w:t>
      </w:r>
      <w:r w:rsidRPr="006F3B88">
        <w:rPr>
          <w:rFonts w:ascii="Book Antiqua" w:hAnsi="Book Antiqua"/>
          <w:i/>
          <w:iCs/>
          <w:color w:val="000000" w:themeColor="text1"/>
        </w:rPr>
        <w:t>etc</w:t>
      </w:r>
      <w:r w:rsidR="0082080E" w:rsidRPr="006F3B88">
        <w:rPr>
          <w:rFonts w:ascii="Book Antiqua" w:hAnsi="Book Antiqua"/>
          <w:color w:val="000000" w:themeColor="text1"/>
        </w:rPr>
        <w:t>.</w:t>
      </w:r>
      <w:r w:rsidRPr="006F3B88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color w:val="000000" w:themeColor="text1"/>
        </w:rPr>
        <w:lastRenderedPageBreak/>
        <w:t xml:space="preserve">are CUMULATIVE, </w:t>
      </w:r>
      <w:r w:rsidRPr="006F3B88">
        <w:rPr>
          <w:rFonts w:ascii="Book Antiqua" w:hAnsi="Book Antiqua"/>
          <w:i/>
          <w:iCs/>
          <w:color w:val="000000" w:themeColor="text1"/>
        </w:rPr>
        <w:t>i.e.</w:t>
      </w:r>
      <w:r w:rsidRPr="006F3B88">
        <w:rPr>
          <w:rFonts w:ascii="Book Antiqua" w:hAnsi="Book Antiqua"/>
          <w:color w:val="000000" w:themeColor="text1"/>
        </w:rPr>
        <w:t xml:space="preserve">, ignores variables which did not have a number, presumably because the patient doesn’t drink/smoke. Biochemistry of MIC-1 is at baseline. An ANOVA test was used to compare normally distributed continuous variables, whereas a </w:t>
      </w:r>
      <w:proofErr w:type="spellStart"/>
      <w:r w:rsidRPr="006F3B88">
        <w:rPr>
          <w:rFonts w:ascii="Book Antiqua" w:hAnsi="Book Antiqua"/>
          <w:color w:val="000000" w:themeColor="text1"/>
        </w:rPr>
        <w:t>Kruskal</w:t>
      </w:r>
      <w:proofErr w:type="spellEnd"/>
      <w:r w:rsidRPr="006F3B88">
        <w:rPr>
          <w:rFonts w:ascii="Book Antiqua" w:hAnsi="Book Antiqua"/>
          <w:color w:val="000000" w:themeColor="text1"/>
        </w:rPr>
        <w:t>-Wallis test was used to comparing ordinal and non-normally distributed continuous variables. A Fisher’s exact test (2-tailed) was used to</w:t>
      </w:r>
      <w:r w:rsidR="00246C5F">
        <w:rPr>
          <w:rFonts w:ascii="Book Antiqua" w:hAnsi="Book Antiqua"/>
          <w:color w:val="000000" w:themeColor="text1"/>
        </w:rPr>
        <w:t xml:space="preserve"> compare dichotomous variables.</w:t>
      </w:r>
      <w:r w:rsidR="00246C5F">
        <w:rPr>
          <w:rFonts w:ascii="Book Antiqua" w:eastAsiaTheme="minorEastAsia" w:hAnsi="Book Antiqua" w:hint="eastAsia"/>
          <w:color w:val="000000" w:themeColor="text1"/>
          <w:lang w:eastAsia="zh-CN"/>
        </w:rPr>
        <w:t xml:space="preserve"> </w:t>
      </w:r>
      <w:proofErr w:type="gramStart"/>
      <w:r w:rsidR="00246C5F">
        <w:rPr>
          <w:rFonts w:ascii="Book Antiqua" w:eastAsiaTheme="minorEastAsia" w:hAnsi="Book Antiqua" w:hint="eastAsia"/>
          <w:color w:val="000000" w:themeColor="text1"/>
          <w:vertAlign w:val="superscript"/>
          <w:lang w:eastAsia="zh-CN"/>
        </w:rPr>
        <w:t>1</w:t>
      </w:r>
      <w:r w:rsidRPr="006F3B88">
        <w:rPr>
          <w:rFonts w:ascii="Book Antiqua" w:hAnsi="Book Antiqua"/>
          <w:color w:val="000000" w:themeColor="text1"/>
        </w:rPr>
        <w:t>Den</w:t>
      </w:r>
      <w:r w:rsidR="00246C5F">
        <w:rPr>
          <w:rFonts w:ascii="Book Antiqua" w:hAnsi="Book Antiqua"/>
          <w:color w:val="000000" w:themeColor="text1"/>
        </w:rPr>
        <w:t>otes statistical significance.</w:t>
      </w:r>
      <w:proofErr w:type="gramEnd"/>
      <w:r w:rsidR="00246C5F">
        <w:rPr>
          <w:rFonts w:ascii="Book Antiqua" w:hAnsi="Book Antiqua"/>
          <w:color w:val="000000" w:themeColor="text1"/>
        </w:rPr>
        <w:t xml:space="preserve"> </w:t>
      </w:r>
      <w:r w:rsidRPr="006F3B88">
        <w:rPr>
          <w:rFonts w:ascii="Book Antiqua" w:hAnsi="Book Antiqua"/>
          <w:color w:val="000000" w:themeColor="text1"/>
        </w:rPr>
        <w:t xml:space="preserve">EUS: Endoscopic ultrasound; BD-IPMN: Branch duct </w:t>
      </w:r>
      <w:proofErr w:type="spellStart"/>
      <w:r w:rsidRPr="006F3B88">
        <w:rPr>
          <w:rFonts w:ascii="Book Antiqua" w:hAnsi="Book Antiqua"/>
          <w:color w:val="000000" w:themeColor="text1"/>
        </w:rPr>
        <w:t>intraductal</w:t>
      </w:r>
      <w:proofErr w:type="spellEnd"/>
      <w:r w:rsidRPr="006F3B88">
        <w:rPr>
          <w:rFonts w:ascii="Book Antiqua" w:hAnsi="Book Antiqua"/>
          <w:color w:val="000000" w:themeColor="text1"/>
        </w:rPr>
        <w:t xml:space="preserve"> mucinous papillary </w:t>
      </w:r>
      <w:proofErr w:type="spellStart"/>
      <w:r w:rsidRPr="006F3B88">
        <w:rPr>
          <w:rFonts w:ascii="Book Antiqua" w:hAnsi="Book Antiqua"/>
          <w:color w:val="000000" w:themeColor="text1"/>
        </w:rPr>
        <w:t>neoplasia</w:t>
      </w:r>
      <w:proofErr w:type="spellEnd"/>
      <w:r w:rsidRPr="006F3B88">
        <w:rPr>
          <w:rFonts w:ascii="Book Antiqua" w:hAnsi="Book Antiqua"/>
          <w:color w:val="000000" w:themeColor="text1"/>
        </w:rPr>
        <w:t>; BMI: Body mass index; PC: Pancreatic cancer; IQR: Interquartile range; CRP: C-reactive protein; CA19-9: Cancer antigen 19-9.</w:t>
      </w:r>
    </w:p>
    <w:sectPr w:rsidR="00DD12B7" w:rsidRPr="006F3B88" w:rsidSect="00BE1C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6B" w:rsidRDefault="002F1C6B" w:rsidP="00F0573C">
      <w:r>
        <w:separator/>
      </w:r>
    </w:p>
  </w:endnote>
  <w:endnote w:type="continuationSeparator" w:id="0">
    <w:p w:rsidR="002F1C6B" w:rsidRDefault="002F1C6B" w:rsidP="00F0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(Body)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6B" w:rsidRDefault="002F1C6B" w:rsidP="00F0573C">
      <w:r>
        <w:separator/>
      </w:r>
    </w:p>
  </w:footnote>
  <w:footnote w:type="continuationSeparator" w:id="0">
    <w:p w:rsidR="002F1C6B" w:rsidRDefault="002F1C6B" w:rsidP="00F0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16B"/>
    <w:multiLevelType w:val="hybridMultilevel"/>
    <w:tmpl w:val="083886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08F7"/>
    <w:multiLevelType w:val="hybridMultilevel"/>
    <w:tmpl w:val="7B68D8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24E"/>
    <w:multiLevelType w:val="multilevel"/>
    <w:tmpl w:val="EEC2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F1452"/>
    <w:multiLevelType w:val="hybridMultilevel"/>
    <w:tmpl w:val="E4B6AF8A"/>
    <w:lvl w:ilvl="0" w:tplc="87149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4965"/>
    <w:multiLevelType w:val="hybridMultilevel"/>
    <w:tmpl w:val="59E8A9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7CCC"/>
    <w:multiLevelType w:val="multilevel"/>
    <w:tmpl w:val="5A224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9D18FE"/>
    <w:multiLevelType w:val="hybridMultilevel"/>
    <w:tmpl w:val="083886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01A2"/>
    <w:multiLevelType w:val="hybridMultilevel"/>
    <w:tmpl w:val="32E04088"/>
    <w:lvl w:ilvl="0" w:tplc="95B241F8">
      <w:numFmt w:val="bullet"/>
      <w:lvlText w:val=""/>
      <w:lvlJc w:val="left"/>
      <w:pPr>
        <w:ind w:left="5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35DA3588"/>
    <w:multiLevelType w:val="hybridMultilevel"/>
    <w:tmpl w:val="083886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21B89"/>
    <w:multiLevelType w:val="hybridMultilevel"/>
    <w:tmpl w:val="A89865A8"/>
    <w:lvl w:ilvl="0" w:tplc="39F495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1015A1"/>
    <w:multiLevelType w:val="hybridMultilevel"/>
    <w:tmpl w:val="80C4659C"/>
    <w:lvl w:ilvl="0" w:tplc="949216F2">
      <w:numFmt w:val="bullet"/>
      <w:lvlText w:val=""/>
      <w:lvlJc w:val="left"/>
      <w:pPr>
        <w:ind w:left="5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6618772A"/>
    <w:multiLevelType w:val="hybridMultilevel"/>
    <w:tmpl w:val="131C61CA"/>
    <w:lvl w:ilvl="0" w:tplc="CAA0D0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5A0342"/>
    <w:multiLevelType w:val="hybridMultilevel"/>
    <w:tmpl w:val="083886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53150"/>
    <w:multiLevelType w:val="hybridMultilevel"/>
    <w:tmpl w:val="5E8CBF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61AC4"/>
    <w:multiLevelType w:val="hybridMultilevel"/>
    <w:tmpl w:val="BDC0F5A6"/>
    <w:lvl w:ilvl="0" w:tplc="0409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52B54"/>
    <w:multiLevelType w:val="hybridMultilevel"/>
    <w:tmpl w:val="EBEEC13A"/>
    <w:lvl w:ilvl="0" w:tplc="B212CE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C23BF"/>
    <w:multiLevelType w:val="hybridMultilevel"/>
    <w:tmpl w:val="A1C0CD5E"/>
    <w:lvl w:ilvl="0" w:tplc="119E3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6"/>
  </w:num>
  <w:num w:numId="5">
    <w:abstractNumId w:val="11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634C4"/>
    <w:rsid w:val="0000106C"/>
    <w:rsid w:val="00004068"/>
    <w:rsid w:val="000107D5"/>
    <w:rsid w:val="00011483"/>
    <w:rsid w:val="00011AC4"/>
    <w:rsid w:val="0001281B"/>
    <w:rsid w:val="0001461D"/>
    <w:rsid w:val="00015ED5"/>
    <w:rsid w:val="00017E08"/>
    <w:rsid w:val="00031FAD"/>
    <w:rsid w:val="00033BF1"/>
    <w:rsid w:val="00033F80"/>
    <w:rsid w:val="00035757"/>
    <w:rsid w:val="0004146B"/>
    <w:rsid w:val="00042985"/>
    <w:rsid w:val="00043205"/>
    <w:rsid w:val="00045CA2"/>
    <w:rsid w:val="00047666"/>
    <w:rsid w:val="00050132"/>
    <w:rsid w:val="00052201"/>
    <w:rsid w:val="00060649"/>
    <w:rsid w:val="000615EB"/>
    <w:rsid w:val="00064B9C"/>
    <w:rsid w:val="00067700"/>
    <w:rsid w:val="000677BD"/>
    <w:rsid w:val="0007282C"/>
    <w:rsid w:val="00073D9B"/>
    <w:rsid w:val="00073F93"/>
    <w:rsid w:val="000742C7"/>
    <w:rsid w:val="00075A70"/>
    <w:rsid w:val="00081213"/>
    <w:rsid w:val="000830BE"/>
    <w:rsid w:val="00085625"/>
    <w:rsid w:val="000918D5"/>
    <w:rsid w:val="0009347E"/>
    <w:rsid w:val="000A1134"/>
    <w:rsid w:val="000A1C56"/>
    <w:rsid w:val="000A4AF0"/>
    <w:rsid w:val="000B25F4"/>
    <w:rsid w:val="000B415D"/>
    <w:rsid w:val="000B7512"/>
    <w:rsid w:val="000D0480"/>
    <w:rsid w:val="000D0AA4"/>
    <w:rsid w:val="000D1978"/>
    <w:rsid w:val="000D22B3"/>
    <w:rsid w:val="000D324E"/>
    <w:rsid w:val="000E5BFD"/>
    <w:rsid w:val="000F576E"/>
    <w:rsid w:val="000F61E9"/>
    <w:rsid w:val="001036F5"/>
    <w:rsid w:val="00104C8F"/>
    <w:rsid w:val="00106B0A"/>
    <w:rsid w:val="001124F8"/>
    <w:rsid w:val="00113EF6"/>
    <w:rsid w:val="001141EB"/>
    <w:rsid w:val="00114913"/>
    <w:rsid w:val="001166F6"/>
    <w:rsid w:val="00120032"/>
    <w:rsid w:val="00121709"/>
    <w:rsid w:val="00122D77"/>
    <w:rsid w:val="001254DF"/>
    <w:rsid w:val="0012687A"/>
    <w:rsid w:val="00131F38"/>
    <w:rsid w:val="00134640"/>
    <w:rsid w:val="00135319"/>
    <w:rsid w:val="00135F6C"/>
    <w:rsid w:val="00136312"/>
    <w:rsid w:val="00136429"/>
    <w:rsid w:val="00143F5E"/>
    <w:rsid w:val="001459BF"/>
    <w:rsid w:val="00147EF3"/>
    <w:rsid w:val="00153A9C"/>
    <w:rsid w:val="00153D16"/>
    <w:rsid w:val="00153DFA"/>
    <w:rsid w:val="0016077E"/>
    <w:rsid w:val="001634C4"/>
    <w:rsid w:val="001657EC"/>
    <w:rsid w:val="00166D8F"/>
    <w:rsid w:val="00172029"/>
    <w:rsid w:val="00172CD6"/>
    <w:rsid w:val="001734D1"/>
    <w:rsid w:val="00174678"/>
    <w:rsid w:val="0018049A"/>
    <w:rsid w:val="0018094B"/>
    <w:rsid w:val="00181267"/>
    <w:rsid w:val="00182F8E"/>
    <w:rsid w:val="00182FE3"/>
    <w:rsid w:val="00183ADD"/>
    <w:rsid w:val="00184D81"/>
    <w:rsid w:val="00187ACB"/>
    <w:rsid w:val="001902E2"/>
    <w:rsid w:val="0019210D"/>
    <w:rsid w:val="001A324A"/>
    <w:rsid w:val="001A40A9"/>
    <w:rsid w:val="001A4881"/>
    <w:rsid w:val="001B3D16"/>
    <w:rsid w:val="001B4EC5"/>
    <w:rsid w:val="001B678E"/>
    <w:rsid w:val="001B7C77"/>
    <w:rsid w:val="001C37F6"/>
    <w:rsid w:val="001C48AD"/>
    <w:rsid w:val="001C4DDE"/>
    <w:rsid w:val="001C7A46"/>
    <w:rsid w:val="001D257B"/>
    <w:rsid w:val="001E745B"/>
    <w:rsid w:val="001F1185"/>
    <w:rsid w:val="001F64C9"/>
    <w:rsid w:val="001F6D69"/>
    <w:rsid w:val="00200364"/>
    <w:rsid w:val="00200CF5"/>
    <w:rsid w:val="0020458A"/>
    <w:rsid w:val="00207D28"/>
    <w:rsid w:val="00214B1F"/>
    <w:rsid w:val="00217C20"/>
    <w:rsid w:val="002256AD"/>
    <w:rsid w:val="002273EE"/>
    <w:rsid w:val="00231D01"/>
    <w:rsid w:val="00231D36"/>
    <w:rsid w:val="00232839"/>
    <w:rsid w:val="00233CFB"/>
    <w:rsid w:val="00233CFF"/>
    <w:rsid w:val="002361FE"/>
    <w:rsid w:val="00244506"/>
    <w:rsid w:val="002445E5"/>
    <w:rsid w:val="00245ACC"/>
    <w:rsid w:val="00246C5F"/>
    <w:rsid w:val="00254109"/>
    <w:rsid w:val="00254832"/>
    <w:rsid w:val="002551EE"/>
    <w:rsid w:val="00256178"/>
    <w:rsid w:val="0026649D"/>
    <w:rsid w:val="00267150"/>
    <w:rsid w:val="0027146B"/>
    <w:rsid w:val="00277435"/>
    <w:rsid w:val="0028067C"/>
    <w:rsid w:val="00281DF3"/>
    <w:rsid w:val="00283055"/>
    <w:rsid w:val="002843F2"/>
    <w:rsid w:val="00285224"/>
    <w:rsid w:val="00285555"/>
    <w:rsid w:val="00290ED3"/>
    <w:rsid w:val="002934CB"/>
    <w:rsid w:val="00295F31"/>
    <w:rsid w:val="002A0D83"/>
    <w:rsid w:val="002A33CD"/>
    <w:rsid w:val="002A51C1"/>
    <w:rsid w:val="002A653F"/>
    <w:rsid w:val="002B0438"/>
    <w:rsid w:val="002B0457"/>
    <w:rsid w:val="002B29EB"/>
    <w:rsid w:val="002B5BAC"/>
    <w:rsid w:val="002C5219"/>
    <w:rsid w:val="002D21F3"/>
    <w:rsid w:val="002E38E9"/>
    <w:rsid w:val="002E4D22"/>
    <w:rsid w:val="002F0CDC"/>
    <w:rsid w:val="002F0EF8"/>
    <w:rsid w:val="002F1C6B"/>
    <w:rsid w:val="002F1C9E"/>
    <w:rsid w:val="002F67F1"/>
    <w:rsid w:val="002F7D92"/>
    <w:rsid w:val="003004C2"/>
    <w:rsid w:val="00307911"/>
    <w:rsid w:val="003101BB"/>
    <w:rsid w:val="003122BD"/>
    <w:rsid w:val="003130F7"/>
    <w:rsid w:val="003158CF"/>
    <w:rsid w:val="00322854"/>
    <w:rsid w:val="00331C2A"/>
    <w:rsid w:val="00331CF4"/>
    <w:rsid w:val="00333B1A"/>
    <w:rsid w:val="00334199"/>
    <w:rsid w:val="003346ED"/>
    <w:rsid w:val="003370F8"/>
    <w:rsid w:val="003375FB"/>
    <w:rsid w:val="00340734"/>
    <w:rsid w:val="003432C0"/>
    <w:rsid w:val="00344390"/>
    <w:rsid w:val="003448F4"/>
    <w:rsid w:val="003479FE"/>
    <w:rsid w:val="003527EB"/>
    <w:rsid w:val="00357911"/>
    <w:rsid w:val="00357CB7"/>
    <w:rsid w:val="00363E85"/>
    <w:rsid w:val="00364484"/>
    <w:rsid w:val="003665A9"/>
    <w:rsid w:val="00367EF9"/>
    <w:rsid w:val="00367F94"/>
    <w:rsid w:val="00374EA2"/>
    <w:rsid w:val="00376192"/>
    <w:rsid w:val="00376945"/>
    <w:rsid w:val="00380F4F"/>
    <w:rsid w:val="00383966"/>
    <w:rsid w:val="00385501"/>
    <w:rsid w:val="0038760A"/>
    <w:rsid w:val="0039232C"/>
    <w:rsid w:val="00394A4B"/>
    <w:rsid w:val="00395BA3"/>
    <w:rsid w:val="0039725E"/>
    <w:rsid w:val="003A395D"/>
    <w:rsid w:val="003A49C4"/>
    <w:rsid w:val="003A4AEC"/>
    <w:rsid w:val="003A742B"/>
    <w:rsid w:val="003B05FF"/>
    <w:rsid w:val="003B3855"/>
    <w:rsid w:val="003B3D6F"/>
    <w:rsid w:val="003B47B4"/>
    <w:rsid w:val="003C0A42"/>
    <w:rsid w:val="003C634F"/>
    <w:rsid w:val="003C6930"/>
    <w:rsid w:val="003D63FF"/>
    <w:rsid w:val="003E2C4E"/>
    <w:rsid w:val="003E3021"/>
    <w:rsid w:val="003E3702"/>
    <w:rsid w:val="003E3D0F"/>
    <w:rsid w:val="003E586B"/>
    <w:rsid w:val="003E6622"/>
    <w:rsid w:val="003E7F3D"/>
    <w:rsid w:val="00400C18"/>
    <w:rsid w:val="0041136A"/>
    <w:rsid w:val="00416F63"/>
    <w:rsid w:val="00420AF8"/>
    <w:rsid w:val="00421CA5"/>
    <w:rsid w:val="00421FD7"/>
    <w:rsid w:val="0042676B"/>
    <w:rsid w:val="00430F71"/>
    <w:rsid w:val="00432F44"/>
    <w:rsid w:val="00436C00"/>
    <w:rsid w:val="00441069"/>
    <w:rsid w:val="00442EF7"/>
    <w:rsid w:val="00444095"/>
    <w:rsid w:val="00450962"/>
    <w:rsid w:val="00451219"/>
    <w:rsid w:val="00452198"/>
    <w:rsid w:val="00452B5C"/>
    <w:rsid w:val="00453FAE"/>
    <w:rsid w:val="00454A6C"/>
    <w:rsid w:val="00454EA9"/>
    <w:rsid w:val="00457951"/>
    <w:rsid w:val="00457A32"/>
    <w:rsid w:val="004612FD"/>
    <w:rsid w:val="00461776"/>
    <w:rsid w:val="0046247B"/>
    <w:rsid w:val="0046395E"/>
    <w:rsid w:val="0046687A"/>
    <w:rsid w:val="004679AD"/>
    <w:rsid w:val="0047054E"/>
    <w:rsid w:val="004802F4"/>
    <w:rsid w:val="004833B9"/>
    <w:rsid w:val="004843F2"/>
    <w:rsid w:val="0048519F"/>
    <w:rsid w:val="00486701"/>
    <w:rsid w:val="0048785F"/>
    <w:rsid w:val="00487A66"/>
    <w:rsid w:val="004903DE"/>
    <w:rsid w:val="00492ED6"/>
    <w:rsid w:val="00497576"/>
    <w:rsid w:val="004A144A"/>
    <w:rsid w:val="004B055B"/>
    <w:rsid w:val="004B0E97"/>
    <w:rsid w:val="004B26DE"/>
    <w:rsid w:val="004B27DB"/>
    <w:rsid w:val="004B55C2"/>
    <w:rsid w:val="004B64BF"/>
    <w:rsid w:val="004B7593"/>
    <w:rsid w:val="004C19B9"/>
    <w:rsid w:val="004C2F68"/>
    <w:rsid w:val="004C41C1"/>
    <w:rsid w:val="004C58F4"/>
    <w:rsid w:val="004C6D72"/>
    <w:rsid w:val="004C6E11"/>
    <w:rsid w:val="004D15F2"/>
    <w:rsid w:val="004D2746"/>
    <w:rsid w:val="004D7838"/>
    <w:rsid w:val="004E02AC"/>
    <w:rsid w:val="004E3133"/>
    <w:rsid w:val="004F4AB5"/>
    <w:rsid w:val="004F4EC4"/>
    <w:rsid w:val="004F5640"/>
    <w:rsid w:val="004F5EE6"/>
    <w:rsid w:val="004F643C"/>
    <w:rsid w:val="005013C9"/>
    <w:rsid w:val="00502E47"/>
    <w:rsid w:val="00506985"/>
    <w:rsid w:val="00507930"/>
    <w:rsid w:val="005131D1"/>
    <w:rsid w:val="00514F6D"/>
    <w:rsid w:val="005156D7"/>
    <w:rsid w:val="00515E9C"/>
    <w:rsid w:val="0051658D"/>
    <w:rsid w:val="00522CFA"/>
    <w:rsid w:val="005241D3"/>
    <w:rsid w:val="00525FC6"/>
    <w:rsid w:val="00527880"/>
    <w:rsid w:val="00532957"/>
    <w:rsid w:val="00533D93"/>
    <w:rsid w:val="00536DB5"/>
    <w:rsid w:val="00536DD4"/>
    <w:rsid w:val="00540E0A"/>
    <w:rsid w:val="0054440B"/>
    <w:rsid w:val="0055196D"/>
    <w:rsid w:val="005520F8"/>
    <w:rsid w:val="00557AB3"/>
    <w:rsid w:val="00567D58"/>
    <w:rsid w:val="005728EA"/>
    <w:rsid w:val="00573E5E"/>
    <w:rsid w:val="00581C4D"/>
    <w:rsid w:val="00582127"/>
    <w:rsid w:val="00583C52"/>
    <w:rsid w:val="00587F2A"/>
    <w:rsid w:val="0059191D"/>
    <w:rsid w:val="00592A97"/>
    <w:rsid w:val="00594338"/>
    <w:rsid w:val="00594D3C"/>
    <w:rsid w:val="0059538F"/>
    <w:rsid w:val="005962ED"/>
    <w:rsid w:val="005A02D5"/>
    <w:rsid w:val="005A1A67"/>
    <w:rsid w:val="005A45BE"/>
    <w:rsid w:val="005A525A"/>
    <w:rsid w:val="005B1710"/>
    <w:rsid w:val="005B6AA2"/>
    <w:rsid w:val="005C3D58"/>
    <w:rsid w:val="005C7596"/>
    <w:rsid w:val="005D0E9B"/>
    <w:rsid w:val="005E238E"/>
    <w:rsid w:val="005E4F3A"/>
    <w:rsid w:val="005E5403"/>
    <w:rsid w:val="005F5F18"/>
    <w:rsid w:val="00602B18"/>
    <w:rsid w:val="00603EF2"/>
    <w:rsid w:val="006058A0"/>
    <w:rsid w:val="00605D6E"/>
    <w:rsid w:val="00610A1E"/>
    <w:rsid w:val="006111D7"/>
    <w:rsid w:val="00613A2A"/>
    <w:rsid w:val="00620697"/>
    <w:rsid w:val="00620DD2"/>
    <w:rsid w:val="00621080"/>
    <w:rsid w:val="006211DA"/>
    <w:rsid w:val="00625DAD"/>
    <w:rsid w:val="00630228"/>
    <w:rsid w:val="00630A3C"/>
    <w:rsid w:val="00636DEE"/>
    <w:rsid w:val="00636F2C"/>
    <w:rsid w:val="00637FCA"/>
    <w:rsid w:val="0064335D"/>
    <w:rsid w:val="00645387"/>
    <w:rsid w:val="00646AF0"/>
    <w:rsid w:val="00646B66"/>
    <w:rsid w:val="00655425"/>
    <w:rsid w:val="00655E5D"/>
    <w:rsid w:val="00656CFD"/>
    <w:rsid w:val="00661C4E"/>
    <w:rsid w:val="00664D2E"/>
    <w:rsid w:val="00670079"/>
    <w:rsid w:val="006731EF"/>
    <w:rsid w:val="00674CF2"/>
    <w:rsid w:val="00674D8C"/>
    <w:rsid w:val="006750F4"/>
    <w:rsid w:val="00677CEB"/>
    <w:rsid w:val="006826A1"/>
    <w:rsid w:val="00687B87"/>
    <w:rsid w:val="00691248"/>
    <w:rsid w:val="006916A0"/>
    <w:rsid w:val="00692BD0"/>
    <w:rsid w:val="006969F5"/>
    <w:rsid w:val="00696FBF"/>
    <w:rsid w:val="006A2A6E"/>
    <w:rsid w:val="006A3BF4"/>
    <w:rsid w:val="006B383E"/>
    <w:rsid w:val="006B53BE"/>
    <w:rsid w:val="006B6B1C"/>
    <w:rsid w:val="006C1429"/>
    <w:rsid w:val="006C5B61"/>
    <w:rsid w:val="006C750F"/>
    <w:rsid w:val="006D60F9"/>
    <w:rsid w:val="006D6E12"/>
    <w:rsid w:val="006E6DCF"/>
    <w:rsid w:val="006F059C"/>
    <w:rsid w:val="006F3B88"/>
    <w:rsid w:val="006F7ECB"/>
    <w:rsid w:val="00703B76"/>
    <w:rsid w:val="00703C73"/>
    <w:rsid w:val="00710024"/>
    <w:rsid w:val="0071136F"/>
    <w:rsid w:val="00712A97"/>
    <w:rsid w:val="00721219"/>
    <w:rsid w:val="00722A45"/>
    <w:rsid w:val="00722BD7"/>
    <w:rsid w:val="00723553"/>
    <w:rsid w:val="00731B0B"/>
    <w:rsid w:val="00731E5D"/>
    <w:rsid w:val="007356C7"/>
    <w:rsid w:val="00735B72"/>
    <w:rsid w:val="0073631A"/>
    <w:rsid w:val="007365C9"/>
    <w:rsid w:val="00737CB2"/>
    <w:rsid w:val="00741934"/>
    <w:rsid w:val="00745A7A"/>
    <w:rsid w:val="00751029"/>
    <w:rsid w:val="00752FA3"/>
    <w:rsid w:val="00753432"/>
    <w:rsid w:val="00757257"/>
    <w:rsid w:val="007619DB"/>
    <w:rsid w:val="00771A57"/>
    <w:rsid w:val="00771F20"/>
    <w:rsid w:val="00772019"/>
    <w:rsid w:val="00781405"/>
    <w:rsid w:val="00782571"/>
    <w:rsid w:val="00782605"/>
    <w:rsid w:val="00784875"/>
    <w:rsid w:val="007937E3"/>
    <w:rsid w:val="007974C3"/>
    <w:rsid w:val="007A418A"/>
    <w:rsid w:val="007A43F0"/>
    <w:rsid w:val="007A700C"/>
    <w:rsid w:val="007A7234"/>
    <w:rsid w:val="007B0B9D"/>
    <w:rsid w:val="007B1295"/>
    <w:rsid w:val="007B139C"/>
    <w:rsid w:val="007B19E9"/>
    <w:rsid w:val="007B3C8C"/>
    <w:rsid w:val="007B49E5"/>
    <w:rsid w:val="007B62D8"/>
    <w:rsid w:val="007B6FEB"/>
    <w:rsid w:val="007C3CB2"/>
    <w:rsid w:val="007C4472"/>
    <w:rsid w:val="007D5A70"/>
    <w:rsid w:val="007D67C3"/>
    <w:rsid w:val="007E0534"/>
    <w:rsid w:val="007E6BE1"/>
    <w:rsid w:val="007F1C32"/>
    <w:rsid w:val="007F257D"/>
    <w:rsid w:val="0080032F"/>
    <w:rsid w:val="00800A32"/>
    <w:rsid w:val="008021C2"/>
    <w:rsid w:val="0080333E"/>
    <w:rsid w:val="00804B51"/>
    <w:rsid w:val="00805C6D"/>
    <w:rsid w:val="00805F17"/>
    <w:rsid w:val="008068B3"/>
    <w:rsid w:val="00807F55"/>
    <w:rsid w:val="00810E0F"/>
    <w:rsid w:val="00813146"/>
    <w:rsid w:val="0081440C"/>
    <w:rsid w:val="00814F85"/>
    <w:rsid w:val="0081724B"/>
    <w:rsid w:val="0082080E"/>
    <w:rsid w:val="00822442"/>
    <w:rsid w:val="00822455"/>
    <w:rsid w:val="00825D67"/>
    <w:rsid w:val="008304B9"/>
    <w:rsid w:val="00832BF3"/>
    <w:rsid w:val="00833548"/>
    <w:rsid w:val="00837209"/>
    <w:rsid w:val="00837593"/>
    <w:rsid w:val="00837983"/>
    <w:rsid w:val="00842342"/>
    <w:rsid w:val="00842D9A"/>
    <w:rsid w:val="008446C6"/>
    <w:rsid w:val="00844E15"/>
    <w:rsid w:val="00862415"/>
    <w:rsid w:val="00862C56"/>
    <w:rsid w:val="00865F1E"/>
    <w:rsid w:val="00867001"/>
    <w:rsid w:val="00870207"/>
    <w:rsid w:val="00870F69"/>
    <w:rsid w:val="008711DD"/>
    <w:rsid w:val="0087384D"/>
    <w:rsid w:val="00874F7A"/>
    <w:rsid w:val="00875595"/>
    <w:rsid w:val="008760B5"/>
    <w:rsid w:val="00876A3C"/>
    <w:rsid w:val="008772E8"/>
    <w:rsid w:val="00880011"/>
    <w:rsid w:val="00882E71"/>
    <w:rsid w:val="00883E6A"/>
    <w:rsid w:val="00884958"/>
    <w:rsid w:val="00885510"/>
    <w:rsid w:val="0088581F"/>
    <w:rsid w:val="00887452"/>
    <w:rsid w:val="00891513"/>
    <w:rsid w:val="00891ADA"/>
    <w:rsid w:val="008950BD"/>
    <w:rsid w:val="00895904"/>
    <w:rsid w:val="00895B93"/>
    <w:rsid w:val="008976FD"/>
    <w:rsid w:val="008A3917"/>
    <w:rsid w:val="008A3E8C"/>
    <w:rsid w:val="008A6AD3"/>
    <w:rsid w:val="008B1BF0"/>
    <w:rsid w:val="008B6BAD"/>
    <w:rsid w:val="008C3656"/>
    <w:rsid w:val="008C5D85"/>
    <w:rsid w:val="008D04D1"/>
    <w:rsid w:val="008D0E2B"/>
    <w:rsid w:val="008D10F0"/>
    <w:rsid w:val="008D2077"/>
    <w:rsid w:val="008E2688"/>
    <w:rsid w:val="008E723A"/>
    <w:rsid w:val="008F2223"/>
    <w:rsid w:val="008F2AA6"/>
    <w:rsid w:val="008F2DBE"/>
    <w:rsid w:val="00901B51"/>
    <w:rsid w:val="0090441E"/>
    <w:rsid w:val="00904BB4"/>
    <w:rsid w:val="00914C72"/>
    <w:rsid w:val="009228A5"/>
    <w:rsid w:val="00923A1E"/>
    <w:rsid w:val="00924469"/>
    <w:rsid w:val="00925D0D"/>
    <w:rsid w:val="00926805"/>
    <w:rsid w:val="00927E60"/>
    <w:rsid w:val="00935562"/>
    <w:rsid w:val="00936F11"/>
    <w:rsid w:val="00940A69"/>
    <w:rsid w:val="00940D5F"/>
    <w:rsid w:val="00944274"/>
    <w:rsid w:val="0094448F"/>
    <w:rsid w:val="00945FB7"/>
    <w:rsid w:val="00952C6B"/>
    <w:rsid w:val="00952ED3"/>
    <w:rsid w:val="009532E5"/>
    <w:rsid w:val="0095362C"/>
    <w:rsid w:val="009536A3"/>
    <w:rsid w:val="00956D53"/>
    <w:rsid w:val="009570D2"/>
    <w:rsid w:val="00961E9F"/>
    <w:rsid w:val="00962F5A"/>
    <w:rsid w:val="00963455"/>
    <w:rsid w:val="009676D2"/>
    <w:rsid w:val="00967B1D"/>
    <w:rsid w:val="00983CBC"/>
    <w:rsid w:val="00984B52"/>
    <w:rsid w:val="00985DE4"/>
    <w:rsid w:val="00986825"/>
    <w:rsid w:val="00987CDB"/>
    <w:rsid w:val="0099073C"/>
    <w:rsid w:val="00992ED4"/>
    <w:rsid w:val="00993315"/>
    <w:rsid w:val="009955D0"/>
    <w:rsid w:val="009973B9"/>
    <w:rsid w:val="00997C6F"/>
    <w:rsid w:val="009A05E2"/>
    <w:rsid w:val="009A0811"/>
    <w:rsid w:val="009A4975"/>
    <w:rsid w:val="009A4CC1"/>
    <w:rsid w:val="009B4684"/>
    <w:rsid w:val="009B62BB"/>
    <w:rsid w:val="009B6742"/>
    <w:rsid w:val="009B7287"/>
    <w:rsid w:val="009C3728"/>
    <w:rsid w:val="009C6108"/>
    <w:rsid w:val="009D7060"/>
    <w:rsid w:val="009E0DF7"/>
    <w:rsid w:val="009E5D61"/>
    <w:rsid w:val="009E69A9"/>
    <w:rsid w:val="009E6CFC"/>
    <w:rsid w:val="009E720D"/>
    <w:rsid w:val="009E7806"/>
    <w:rsid w:val="009F0889"/>
    <w:rsid w:val="009F1413"/>
    <w:rsid w:val="009F1BFD"/>
    <w:rsid w:val="009F67ED"/>
    <w:rsid w:val="00A02BF5"/>
    <w:rsid w:val="00A03018"/>
    <w:rsid w:val="00A12031"/>
    <w:rsid w:val="00A12546"/>
    <w:rsid w:val="00A1345A"/>
    <w:rsid w:val="00A15D48"/>
    <w:rsid w:val="00A1697D"/>
    <w:rsid w:val="00A21EB3"/>
    <w:rsid w:val="00A2447C"/>
    <w:rsid w:val="00A25D04"/>
    <w:rsid w:val="00A31D69"/>
    <w:rsid w:val="00A34454"/>
    <w:rsid w:val="00A37430"/>
    <w:rsid w:val="00A4006D"/>
    <w:rsid w:val="00A4174E"/>
    <w:rsid w:val="00A51A5D"/>
    <w:rsid w:val="00A53A27"/>
    <w:rsid w:val="00A544C5"/>
    <w:rsid w:val="00A552DB"/>
    <w:rsid w:val="00A574C4"/>
    <w:rsid w:val="00A650CC"/>
    <w:rsid w:val="00A667AB"/>
    <w:rsid w:val="00A6768D"/>
    <w:rsid w:val="00A730CB"/>
    <w:rsid w:val="00A7372B"/>
    <w:rsid w:val="00A75E30"/>
    <w:rsid w:val="00A80777"/>
    <w:rsid w:val="00A82E38"/>
    <w:rsid w:val="00A91FF3"/>
    <w:rsid w:val="00A93FE6"/>
    <w:rsid w:val="00A9438A"/>
    <w:rsid w:val="00AA3C4F"/>
    <w:rsid w:val="00AA4E42"/>
    <w:rsid w:val="00AA653C"/>
    <w:rsid w:val="00AA7198"/>
    <w:rsid w:val="00AB42D9"/>
    <w:rsid w:val="00AC0E78"/>
    <w:rsid w:val="00AC2882"/>
    <w:rsid w:val="00AC4F39"/>
    <w:rsid w:val="00AC5872"/>
    <w:rsid w:val="00AE0753"/>
    <w:rsid w:val="00AE1DF4"/>
    <w:rsid w:val="00AE2148"/>
    <w:rsid w:val="00AE412D"/>
    <w:rsid w:val="00AE6F73"/>
    <w:rsid w:val="00AF0726"/>
    <w:rsid w:val="00AF3FA2"/>
    <w:rsid w:val="00AF4687"/>
    <w:rsid w:val="00AF603C"/>
    <w:rsid w:val="00B01317"/>
    <w:rsid w:val="00B01EF7"/>
    <w:rsid w:val="00B02CA9"/>
    <w:rsid w:val="00B03FC7"/>
    <w:rsid w:val="00B059A9"/>
    <w:rsid w:val="00B10840"/>
    <w:rsid w:val="00B11EC7"/>
    <w:rsid w:val="00B13803"/>
    <w:rsid w:val="00B15B32"/>
    <w:rsid w:val="00B15B4E"/>
    <w:rsid w:val="00B1624E"/>
    <w:rsid w:val="00B16F07"/>
    <w:rsid w:val="00B24236"/>
    <w:rsid w:val="00B27A95"/>
    <w:rsid w:val="00B30C5C"/>
    <w:rsid w:val="00B32FF2"/>
    <w:rsid w:val="00B342AA"/>
    <w:rsid w:val="00B34475"/>
    <w:rsid w:val="00B3622E"/>
    <w:rsid w:val="00B36C07"/>
    <w:rsid w:val="00B37575"/>
    <w:rsid w:val="00B41AE6"/>
    <w:rsid w:val="00B42637"/>
    <w:rsid w:val="00B4697A"/>
    <w:rsid w:val="00B54A90"/>
    <w:rsid w:val="00B54F9D"/>
    <w:rsid w:val="00B604E6"/>
    <w:rsid w:val="00B7450A"/>
    <w:rsid w:val="00B746E8"/>
    <w:rsid w:val="00B7486B"/>
    <w:rsid w:val="00B90503"/>
    <w:rsid w:val="00B9078D"/>
    <w:rsid w:val="00B9642E"/>
    <w:rsid w:val="00BA1709"/>
    <w:rsid w:val="00BA235A"/>
    <w:rsid w:val="00BA6167"/>
    <w:rsid w:val="00BA73FF"/>
    <w:rsid w:val="00BB5F11"/>
    <w:rsid w:val="00BB6444"/>
    <w:rsid w:val="00BC1C09"/>
    <w:rsid w:val="00BC3B87"/>
    <w:rsid w:val="00BC48C9"/>
    <w:rsid w:val="00BC4FCC"/>
    <w:rsid w:val="00BC5336"/>
    <w:rsid w:val="00BC75AC"/>
    <w:rsid w:val="00BD3AE6"/>
    <w:rsid w:val="00BD4E53"/>
    <w:rsid w:val="00BD5173"/>
    <w:rsid w:val="00BD643D"/>
    <w:rsid w:val="00BD6D10"/>
    <w:rsid w:val="00BE1C4D"/>
    <w:rsid w:val="00BE456D"/>
    <w:rsid w:val="00BE78C7"/>
    <w:rsid w:val="00BF1A51"/>
    <w:rsid w:val="00BF20AF"/>
    <w:rsid w:val="00BF33BC"/>
    <w:rsid w:val="00BF78FE"/>
    <w:rsid w:val="00C04658"/>
    <w:rsid w:val="00C13A33"/>
    <w:rsid w:val="00C14218"/>
    <w:rsid w:val="00C15E5F"/>
    <w:rsid w:val="00C20EC7"/>
    <w:rsid w:val="00C25276"/>
    <w:rsid w:val="00C27F89"/>
    <w:rsid w:val="00C3161D"/>
    <w:rsid w:val="00C34E12"/>
    <w:rsid w:val="00C36584"/>
    <w:rsid w:val="00C371BB"/>
    <w:rsid w:val="00C40C7B"/>
    <w:rsid w:val="00C40CF9"/>
    <w:rsid w:val="00C42C4D"/>
    <w:rsid w:val="00C433E5"/>
    <w:rsid w:val="00C43C73"/>
    <w:rsid w:val="00C510D0"/>
    <w:rsid w:val="00C53883"/>
    <w:rsid w:val="00C5651E"/>
    <w:rsid w:val="00C60319"/>
    <w:rsid w:val="00C632AA"/>
    <w:rsid w:val="00C642C3"/>
    <w:rsid w:val="00C64EF5"/>
    <w:rsid w:val="00C70309"/>
    <w:rsid w:val="00C74D05"/>
    <w:rsid w:val="00C8644C"/>
    <w:rsid w:val="00C878D3"/>
    <w:rsid w:val="00C912EF"/>
    <w:rsid w:val="00C940FC"/>
    <w:rsid w:val="00CA709E"/>
    <w:rsid w:val="00CB1238"/>
    <w:rsid w:val="00CB27CF"/>
    <w:rsid w:val="00CB4E79"/>
    <w:rsid w:val="00CB525A"/>
    <w:rsid w:val="00CC07C9"/>
    <w:rsid w:val="00CC6144"/>
    <w:rsid w:val="00CD0D26"/>
    <w:rsid w:val="00CD3319"/>
    <w:rsid w:val="00CD43C3"/>
    <w:rsid w:val="00CD4804"/>
    <w:rsid w:val="00CE0970"/>
    <w:rsid w:val="00CE6406"/>
    <w:rsid w:val="00CE7E45"/>
    <w:rsid w:val="00D10428"/>
    <w:rsid w:val="00D1198A"/>
    <w:rsid w:val="00D11AE4"/>
    <w:rsid w:val="00D130BF"/>
    <w:rsid w:val="00D15AE2"/>
    <w:rsid w:val="00D16599"/>
    <w:rsid w:val="00D33320"/>
    <w:rsid w:val="00D3461A"/>
    <w:rsid w:val="00D34FB4"/>
    <w:rsid w:val="00D37CDD"/>
    <w:rsid w:val="00D400A8"/>
    <w:rsid w:val="00D40FC5"/>
    <w:rsid w:val="00D420C9"/>
    <w:rsid w:val="00D43D01"/>
    <w:rsid w:val="00D44140"/>
    <w:rsid w:val="00D46A61"/>
    <w:rsid w:val="00D46DC8"/>
    <w:rsid w:val="00D46E03"/>
    <w:rsid w:val="00D47B68"/>
    <w:rsid w:val="00D51A57"/>
    <w:rsid w:val="00D545EE"/>
    <w:rsid w:val="00D54A44"/>
    <w:rsid w:val="00D54BFA"/>
    <w:rsid w:val="00D55AA4"/>
    <w:rsid w:val="00D5645A"/>
    <w:rsid w:val="00D56586"/>
    <w:rsid w:val="00D57BC0"/>
    <w:rsid w:val="00D70186"/>
    <w:rsid w:val="00D7280B"/>
    <w:rsid w:val="00D72B70"/>
    <w:rsid w:val="00D8032B"/>
    <w:rsid w:val="00D875FB"/>
    <w:rsid w:val="00D8783A"/>
    <w:rsid w:val="00D90B53"/>
    <w:rsid w:val="00D9118F"/>
    <w:rsid w:val="00D92815"/>
    <w:rsid w:val="00D97AF1"/>
    <w:rsid w:val="00DA3E48"/>
    <w:rsid w:val="00DA6D8C"/>
    <w:rsid w:val="00DB235B"/>
    <w:rsid w:val="00DB41D8"/>
    <w:rsid w:val="00DB47EC"/>
    <w:rsid w:val="00DB67E1"/>
    <w:rsid w:val="00DB7EC9"/>
    <w:rsid w:val="00DC04E5"/>
    <w:rsid w:val="00DC1564"/>
    <w:rsid w:val="00DC23A9"/>
    <w:rsid w:val="00DC42E8"/>
    <w:rsid w:val="00DC5C9E"/>
    <w:rsid w:val="00DD0D27"/>
    <w:rsid w:val="00DD1211"/>
    <w:rsid w:val="00DD12B7"/>
    <w:rsid w:val="00DD2607"/>
    <w:rsid w:val="00DE560F"/>
    <w:rsid w:val="00DF2130"/>
    <w:rsid w:val="00DF2359"/>
    <w:rsid w:val="00DF29CE"/>
    <w:rsid w:val="00DF2AAC"/>
    <w:rsid w:val="00E05602"/>
    <w:rsid w:val="00E05A6A"/>
    <w:rsid w:val="00E07256"/>
    <w:rsid w:val="00E12403"/>
    <w:rsid w:val="00E22DFA"/>
    <w:rsid w:val="00E245F2"/>
    <w:rsid w:val="00E26B5C"/>
    <w:rsid w:val="00E26C28"/>
    <w:rsid w:val="00E30127"/>
    <w:rsid w:val="00E32D79"/>
    <w:rsid w:val="00E33CAB"/>
    <w:rsid w:val="00E33CBE"/>
    <w:rsid w:val="00E3506D"/>
    <w:rsid w:val="00E3508E"/>
    <w:rsid w:val="00E35984"/>
    <w:rsid w:val="00E36FA1"/>
    <w:rsid w:val="00E37009"/>
    <w:rsid w:val="00E37EB1"/>
    <w:rsid w:val="00E42F54"/>
    <w:rsid w:val="00E44996"/>
    <w:rsid w:val="00E452A7"/>
    <w:rsid w:val="00E46457"/>
    <w:rsid w:val="00E5152C"/>
    <w:rsid w:val="00E549C3"/>
    <w:rsid w:val="00E54BBF"/>
    <w:rsid w:val="00E54C1F"/>
    <w:rsid w:val="00E54FB2"/>
    <w:rsid w:val="00E56B54"/>
    <w:rsid w:val="00E60E43"/>
    <w:rsid w:val="00E60ED7"/>
    <w:rsid w:val="00E64148"/>
    <w:rsid w:val="00E650D0"/>
    <w:rsid w:val="00E6679F"/>
    <w:rsid w:val="00E668B2"/>
    <w:rsid w:val="00E66A95"/>
    <w:rsid w:val="00E67EF9"/>
    <w:rsid w:val="00E730D7"/>
    <w:rsid w:val="00E73310"/>
    <w:rsid w:val="00E73629"/>
    <w:rsid w:val="00E7385E"/>
    <w:rsid w:val="00E74E45"/>
    <w:rsid w:val="00E7583D"/>
    <w:rsid w:val="00E80AF4"/>
    <w:rsid w:val="00E821F7"/>
    <w:rsid w:val="00E83B79"/>
    <w:rsid w:val="00E85C81"/>
    <w:rsid w:val="00E90CF8"/>
    <w:rsid w:val="00E92D46"/>
    <w:rsid w:val="00E92F6F"/>
    <w:rsid w:val="00E95609"/>
    <w:rsid w:val="00E97AC2"/>
    <w:rsid w:val="00EA0597"/>
    <w:rsid w:val="00EA403C"/>
    <w:rsid w:val="00EA6C4F"/>
    <w:rsid w:val="00EB0B85"/>
    <w:rsid w:val="00EB76D9"/>
    <w:rsid w:val="00EB7D5A"/>
    <w:rsid w:val="00EC000D"/>
    <w:rsid w:val="00EC273B"/>
    <w:rsid w:val="00EC6495"/>
    <w:rsid w:val="00ED363C"/>
    <w:rsid w:val="00EE1D72"/>
    <w:rsid w:val="00EE22F5"/>
    <w:rsid w:val="00EE24E4"/>
    <w:rsid w:val="00EE2A8C"/>
    <w:rsid w:val="00EE554C"/>
    <w:rsid w:val="00EE6D73"/>
    <w:rsid w:val="00EF1463"/>
    <w:rsid w:val="00EF3A1E"/>
    <w:rsid w:val="00F0573C"/>
    <w:rsid w:val="00F14421"/>
    <w:rsid w:val="00F14673"/>
    <w:rsid w:val="00F157CB"/>
    <w:rsid w:val="00F1701D"/>
    <w:rsid w:val="00F2756D"/>
    <w:rsid w:val="00F33661"/>
    <w:rsid w:val="00F33956"/>
    <w:rsid w:val="00F35A1B"/>
    <w:rsid w:val="00F40742"/>
    <w:rsid w:val="00F42650"/>
    <w:rsid w:val="00F455F0"/>
    <w:rsid w:val="00F4674F"/>
    <w:rsid w:val="00F51056"/>
    <w:rsid w:val="00F520FB"/>
    <w:rsid w:val="00F542E4"/>
    <w:rsid w:val="00F54907"/>
    <w:rsid w:val="00F57CCB"/>
    <w:rsid w:val="00F60BB5"/>
    <w:rsid w:val="00F61EC3"/>
    <w:rsid w:val="00F63A7C"/>
    <w:rsid w:val="00F63C36"/>
    <w:rsid w:val="00F76A56"/>
    <w:rsid w:val="00F81960"/>
    <w:rsid w:val="00F821C6"/>
    <w:rsid w:val="00F83311"/>
    <w:rsid w:val="00F86D76"/>
    <w:rsid w:val="00F90009"/>
    <w:rsid w:val="00F948D3"/>
    <w:rsid w:val="00F969D0"/>
    <w:rsid w:val="00F97076"/>
    <w:rsid w:val="00FA0088"/>
    <w:rsid w:val="00FB03B9"/>
    <w:rsid w:val="00FB3C6D"/>
    <w:rsid w:val="00FB4041"/>
    <w:rsid w:val="00FB7004"/>
    <w:rsid w:val="00FB7B69"/>
    <w:rsid w:val="00FC0D57"/>
    <w:rsid w:val="00FC1DFD"/>
    <w:rsid w:val="00FC3673"/>
    <w:rsid w:val="00FC584D"/>
    <w:rsid w:val="00FC590F"/>
    <w:rsid w:val="00FC647C"/>
    <w:rsid w:val="00FC75C0"/>
    <w:rsid w:val="00FC7CFA"/>
    <w:rsid w:val="00FD0749"/>
    <w:rsid w:val="00FD3C9A"/>
    <w:rsid w:val="00FD6BED"/>
    <w:rsid w:val="00FD6C97"/>
    <w:rsid w:val="00FE127B"/>
    <w:rsid w:val="00FE2AD4"/>
    <w:rsid w:val="00FE5525"/>
    <w:rsid w:val="00FE5D3A"/>
    <w:rsid w:val="00FE6F8F"/>
    <w:rsid w:val="00FF0FA3"/>
    <w:rsid w:val="00FF5D8B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0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1634C4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qFormat/>
    <w:rsid w:val="001634C4"/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semiHidden/>
    <w:rsid w:val="001634C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634C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1634C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634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34C4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634C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34C4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34C4"/>
    <w:rPr>
      <w:color w:val="954F72"/>
      <w:u w:val="single"/>
    </w:rPr>
  </w:style>
  <w:style w:type="paragraph" w:customStyle="1" w:styleId="msonormal0">
    <w:name w:val="msonormal"/>
    <w:basedOn w:val="a"/>
    <w:rsid w:val="001634C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1634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1634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1634C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1634C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1634C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1634C4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1634C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1634C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1634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1634C4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634C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634C4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634C4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1634C4"/>
    <w:pPr>
      <w:spacing w:before="100" w:beforeAutospacing="1" w:after="100" w:afterAutospacing="1"/>
    </w:pPr>
    <w:rPr>
      <w:rFonts w:eastAsiaTheme="minorEastAsia"/>
    </w:rPr>
  </w:style>
  <w:style w:type="paragraph" w:customStyle="1" w:styleId="EndNoteBibliographyTitle">
    <w:name w:val="EndNote Bibliography Title"/>
    <w:basedOn w:val="a"/>
    <w:link w:val="EndNoteBibliographyTitleChar"/>
    <w:rsid w:val="001634C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1634C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a"/>
    <w:link w:val="EndNoteBibliographyChar"/>
    <w:rsid w:val="001634C4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1634C4"/>
    <w:rPr>
      <w:rFonts w:ascii="Calibri" w:hAnsi="Calibri" w:cs="Calibri"/>
      <w:lang w:val="en-US"/>
    </w:rPr>
  </w:style>
  <w:style w:type="character" w:customStyle="1" w:styleId="1">
    <w:name w:val="未处理的提及1"/>
    <w:basedOn w:val="a0"/>
    <w:uiPriority w:val="99"/>
    <w:semiHidden/>
    <w:unhideWhenUsed/>
    <w:rsid w:val="00A21EB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44274"/>
  </w:style>
  <w:style w:type="character" w:customStyle="1" w:styleId="nlmarticle-title">
    <w:name w:val="nlm_article-title"/>
    <w:basedOn w:val="a0"/>
    <w:rsid w:val="006C5B61"/>
  </w:style>
  <w:style w:type="character" w:customStyle="1" w:styleId="nlmyear">
    <w:name w:val="nlm_year"/>
    <w:basedOn w:val="a0"/>
    <w:rsid w:val="006C5B61"/>
  </w:style>
  <w:style w:type="character" w:customStyle="1" w:styleId="nlmfpage">
    <w:name w:val="nlm_fpage"/>
    <w:basedOn w:val="a0"/>
    <w:rsid w:val="006C5B61"/>
  </w:style>
  <w:style w:type="character" w:customStyle="1" w:styleId="nlmlpage">
    <w:name w:val="nlm_lpage"/>
    <w:basedOn w:val="a0"/>
    <w:rsid w:val="006C5B61"/>
  </w:style>
  <w:style w:type="paragraph" w:styleId="ab">
    <w:name w:val="Revision"/>
    <w:hidden/>
    <w:uiPriority w:val="99"/>
    <w:semiHidden/>
    <w:rsid w:val="00F76A56"/>
    <w:rPr>
      <w:rFonts w:ascii="Times New Roman" w:eastAsia="Times New Roman" w:hAnsi="Times New Roman" w:cs="Times New Roman"/>
    </w:rPr>
  </w:style>
  <w:style w:type="paragraph" w:customStyle="1" w:styleId="10">
    <w:name w:val="正文1"/>
    <w:uiPriority w:val="99"/>
    <w:rsid w:val="00C43C73"/>
    <w:pPr>
      <w:spacing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  <w:style w:type="character" w:customStyle="1" w:styleId="11">
    <w:name w:val="批注文字 字符1"/>
    <w:basedOn w:val="a0"/>
    <w:uiPriority w:val="99"/>
    <w:qFormat/>
    <w:rsid w:val="00C43C73"/>
    <w:rPr>
      <w:rFonts w:eastAsiaTheme="minorEastAsia"/>
      <w:kern w:val="2"/>
      <w:sz w:val="21"/>
    </w:rPr>
  </w:style>
  <w:style w:type="paragraph" w:styleId="ac">
    <w:name w:val="header"/>
    <w:basedOn w:val="a"/>
    <w:link w:val="Char2"/>
    <w:uiPriority w:val="99"/>
    <w:unhideWhenUsed/>
    <w:rsid w:val="00F05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F0573C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F057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F0573C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a0"/>
    <w:rsid w:val="00E83B79"/>
  </w:style>
  <w:style w:type="paragraph" w:customStyle="1" w:styleId="paragraph">
    <w:name w:val="paragraph"/>
    <w:basedOn w:val="a"/>
    <w:rsid w:val="00E83B79"/>
    <w:pPr>
      <w:spacing w:before="100" w:beforeAutospacing="1" w:after="100" w:afterAutospacing="1"/>
    </w:pPr>
    <w:rPr>
      <w:rFonts w:eastAsia="宋体"/>
      <w:lang w:val="en-US"/>
    </w:rPr>
  </w:style>
  <w:style w:type="paragraph" w:customStyle="1" w:styleId="Body1">
    <w:name w:val="Body 1"/>
    <w:uiPriority w:val="99"/>
    <w:rsid w:val="00E83B7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NZ" w:eastAsia="en-NZ"/>
    </w:rPr>
  </w:style>
  <w:style w:type="character" w:styleId="ae">
    <w:name w:val="Strong"/>
    <w:qFormat/>
    <w:rsid w:val="00E83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7722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O'Neill</dc:creator>
  <cp:keywords/>
  <dc:description/>
  <cp:lastModifiedBy>User</cp:lastModifiedBy>
  <cp:revision>8</cp:revision>
  <dcterms:created xsi:type="dcterms:W3CDTF">2020-03-26T18:25:00Z</dcterms:created>
  <dcterms:modified xsi:type="dcterms:W3CDTF">2020-04-14T03:09:00Z</dcterms:modified>
</cp:coreProperties>
</file>