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9D80F" w14:textId="77777777" w:rsidR="00FE6179" w:rsidRPr="00B751AA" w:rsidRDefault="00FE6179" w:rsidP="00B751AA">
      <w:pPr>
        <w:adjustRightInd w:val="0"/>
        <w:snapToGrid w:val="0"/>
        <w:spacing w:after="0" w:line="360" w:lineRule="auto"/>
        <w:jc w:val="both"/>
        <w:rPr>
          <w:rFonts w:ascii="Book Antiqua" w:hAnsi="Book Antiqua" w:cstheme="minorBidi"/>
          <w:b/>
          <w:bCs/>
          <w:color w:val="000000" w:themeColor="text1"/>
          <w:sz w:val="24"/>
          <w:szCs w:val="24"/>
        </w:rPr>
      </w:pPr>
      <w:r w:rsidRPr="00B751AA">
        <w:rPr>
          <w:rFonts w:ascii="Book Antiqua" w:hAnsi="Book Antiqua" w:cstheme="minorBidi"/>
          <w:b/>
          <w:bCs/>
          <w:color w:val="000000" w:themeColor="text1"/>
          <w:sz w:val="24"/>
          <w:szCs w:val="24"/>
        </w:rPr>
        <w:t xml:space="preserve">Name of Journal: </w:t>
      </w:r>
      <w:r w:rsidRPr="00B751AA">
        <w:rPr>
          <w:rFonts w:ascii="Book Antiqua" w:hAnsi="Book Antiqua" w:cstheme="minorBidi"/>
          <w:bCs/>
          <w:i/>
          <w:iCs/>
          <w:color w:val="000000" w:themeColor="text1"/>
          <w:sz w:val="24"/>
          <w:szCs w:val="24"/>
        </w:rPr>
        <w:t>World Journal of Gastroenterology</w:t>
      </w:r>
    </w:p>
    <w:p w14:paraId="4EC2A8F7" w14:textId="77777777" w:rsidR="00FE6179" w:rsidRPr="00B751AA" w:rsidRDefault="00FE6179" w:rsidP="00B751AA">
      <w:pPr>
        <w:adjustRightInd w:val="0"/>
        <w:snapToGrid w:val="0"/>
        <w:spacing w:after="0" w:line="360" w:lineRule="auto"/>
        <w:jc w:val="both"/>
        <w:rPr>
          <w:rFonts w:ascii="Book Antiqua" w:hAnsi="Book Antiqua" w:cstheme="minorBidi"/>
          <w:b/>
          <w:bCs/>
          <w:color w:val="000000" w:themeColor="text1"/>
          <w:sz w:val="24"/>
          <w:szCs w:val="24"/>
        </w:rPr>
      </w:pPr>
      <w:r w:rsidRPr="00B751AA">
        <w:rPr>
          <w:rFonts w:ascii="Book Antiqua" w:eastAsia="Times New Roman" w:hAnsi="Book Antiqua"/>
          <w:b/>
          <w:bCs/>
          <w:color w:val="000000" w:themeColor="text1"/>
          <w:sz w:val="24"/>
          <w:szCs w:val="24"/>
          <w:lang w:val="hu-HU"/>
        </w:rPr>
        <w:t>Manuscript NO</w:t>
      </w:r>
      <w:r w:rsidRPr="00B751AA">
        <w:rPr>
          <w:rFonts w:ascii="Book Antiqua" w:hAnsi="Book Antiqua" w:cs="Arial"/>
          <w:b/>
          <w:color w:val="000000" w:themeColor="text1"/>
          <w:sz w:val="24"/>
          <w:szCs w:val="24"/>
          <w:lang w:val="en"/>
        </w:rPr>
        <w:t xml:space="preserve">: </w:t>
      </w:r>
      <w:r w:rsidRPr="00B751AA">
        <w:rPr>
          <w:rFonts w:ascii="Book Antiqua" w:hAnsi="Book Antiqua" w:cs="Arial"/>
          <w:bCs/>
          <w:color w:val="000000" w:themeColor="text1"/>
          <w:sz w:val="24"/>
          <w:szCs w:val="24"/>
          <w:lang w:val="en"/>
        </w:rPr>
        <w:t>53441</w:t>
      </w:r>
    </w:p>
    <w:p w14:paraId="1CD8ECB1" w14:textId="77777777" w:rsidR="00FE6179" w:rsidRPr="00B751AA" w:rsidRDefault="00FE6179" w:rsidP="00B751AA">
      <w:pPr>
        <w:adjustRightInd w:val="0"/>
        <w:snapToGrid w:val="0"/>
        <w:spacing w:after="0" w:line="360" w:lineRule="auto"/>
        <w:jc w:val="both"/>
        <w:rPr>
          <w:rFonts w:ascii="Book Antiqua" w:hAnsi="Book Antiqua" w:cstheme="minorBidi"/>
          <w:bCs/>
          <w:color w:val="000000" w:themeColor="text1"/>
          <w:sz w:val="24"/>
          <w:szCs w:val="24"/>
        </w:rPr>
      </w:pPr>
      <w:r w:rsidRPr="00B751AA">
        <w:rPr>
          <w:rFonts w:ascii="Book Antiqua" w:hAnsi="Book Antiqua" w:cstheme="minorBidi"/>
          <w:b/>
          <w:bCs/>
          <w:color w:val="000000" w:themeColor="text1"/>
          <w:sz w:val="24"/>
          <w:szCs w:val="24"/>
        </w:rPr>
        <w:t xml:space="preserve">Manuscript Type: </w:t>
      </w:r>
      <w:r w:rsidRPr="00B751AA">
        <w:rPr>
          <w:rFonts w:ascii="Book Antiqua" w:hAnsi="Book Antiqua" w:cstheme="minorBidi"/>
          <w:color w:val="000000" w:themeColor="text1"/>
          <w:sz w:val="24"/>
          <w:szCs w:val="24"/>
        </w:rPr>
        <w:t>ORIGINAL ARTICLE</w:t>
      </w:r>
    </w:p>
    <w:p w14:paraId="48FCF76D" w14:textId="77777777" w:rsidR="00FE6179" w:rsidRPr="00B751AA" w:rsidRDefault="00FE6179" w:rsidP="00B751AA">
      <w:pPr>
        <w:adjustRightInd w:val="0"/>
        <w:snapToGrid w:val="0"/>
        <w:spacing w:after="0" w:line="360" w:lineRule="auto"/>
        <w:jc w:val="both"/>
        <w:rPr>
          <w:rFonts w:ascii="Book Antiqua" w:hAnsi="Book Antiqua" w:cstheme="minorBidi"/>
          <w:bCs/>
          <w:color w:val="000000" w:themeColor="text1"/>
          <w:sz w:val="24"/>
          <w:szCs w:val="24"/>
        </w:rPr>
      </w:pPr>
    </w:p>
    <w:p w14:paraId="2BACE21F" w14:textId="77777777" w:rsidR="00FE6179" w:rsidRPr="00B751AA" w:rsidRDefault="00FE6179" w:rsidP="00B751AA">
      <w:pPr>
        <w:adjustRightInd w:val="0"/>
        <w:snapToGrid w:val="0"/>
        <w:spacing w:after="0" w:line="360" w:lineRule="auto"/>
        <w:jc w:val="both"/>
        <w:rPr>
          <w:rFonts w:ascii="Book Antiqua" w:hAnsi="Book Antiqua" w:cstheme="minorBidi"/>
          <w:b/>
          <w:i/>
          <w:iCs/>
          <w:color w:val="000000" w:themeColor="text1"/>
          <w:sz w:val="24"/>
          <w:szCs w:val="24"/>
        </w:rPr>
      </w:pPr>
      <w:r w:rsidRPr="00B751AA">
        <w:rPr>
          <w:rFonts w:ascii="Book Antiqua" w:hAnsi="Book Antiqua" w:cstheme="minorBidi"/>
          <w:b/>
          <w:i/>
          <w:iCs/>
          <w:color w:val="000000" w:themeColor="text1"/>
          <w:sz w:val="24"/>
          <w:szCs w:val="24"/>
        </w:rPr>
        <w:t>Basic Study</w:t>
      </w:r>
    </w:p>
    <w:p w14:paraId="226B8AB7" w14:textId="77777777" w:rsidR="00FE6179" w:rsidRPr="00B751AA" w:rsidRDefault="00FE6179" w:rsidP="00B751AA">
      <w:pPr>
        <w:adjustRightInd w:val="0"/>
        <w:snapToGrid w:val="0"/>
        <w:spacing w:after="0" w:line="360" w:lineRule="auto"/>
        <w:jc w:val="both"/>
        <w:rPr>
          <w:rFonts w:ascii="Book Antiqua" w:hAnsi="Book Antiqua" w:cstheme="minorBidi"/>
          <w:b/>
          <w:i/>
          <w:iCs/>
          <w:color w:val="000000" w:themeColor="text1"/>
          <w:sz w:val="24"/>
          <w:szCs w:val="24"/>
        </w:rPr>
      </w:pPr>
      <w:r w:rsidRPr="00B751AA">
        <w:rPr>
          <w:rFonts w:ascii="Book Antiqua" w:hAnsi="Book Antiqua" w:cs="Arial"/>
          <w:b/>
          <w:color w:val="000000" w:themeColor="text1"/>
          <w:sz w:val="24"/>
          <w:szCs w:val="24"/>
          <w:lang w:val="en-GB"/>
        </w:rPr>
        <w:t xml:space="preserve">Neoadjuvant chemoradiation changes </w:t>
      </w:r>
      <w:proofErr w:type="spellStart"/>
      <w:r w:rsidRPr="00B751AA">
        <w:rPr>
          <w:rFonts w:ascii="Book Antiqua" w:hAnsi="Book Antiqua" w:cs="Arial"/>
          <w:b/>
          <w:color w:val="000000" w:themeColor="text1"/>
          <w:sz w:val="24"/>
          <w:szCs w:val="24"/>
          <w:lang w:val="en-GB"/>
        </w:rPr>
        <w:t>podoplanin</w:t>
      </w:r>
      <w:proofErr w:type="spellEnd"/>
      <w:r w:rsidRPr="00B751AA">
        <w:rPr>
          <w:rFonts w:ascii="Book Antiqua" w:hAnsi="Book Antiqua" w:cs="Arial"/>
          <w:b/>
          <w:color w:val="000000" w:themeColor="text1"/>
          <w:sz w:val="24"/>
          <w:szCs w:val="24"/>
          <w:lang w:val="en-GB"/>
        </w:rPr>
        <w:t xml:space="preserve"> expression in </w:t>
      </w:r>
      <w:proofErr w:type="spellStart"/>
      <w:r w:rsidRPr="00B751AA">
        <w:rPr>
          <w:rFonts w:ascii="Book Antiqua" w:hAnsi="Book Antiqua" w:cs="Arial"/>
          <w:b/>
          <w:color w:val="000000" w:themeColor="text1"/>
          <w:sz w:val="24"/>
          <w:szCs w:val="24"/>
          <w:lang w:val="en-GB"/>
        </w:rPr>
        <w:t>esophageal</w:t>
      </w:r>
      <w:proofErr w:type="spellEnd"/>
      <w:r w:rsidRPr="00B751AA">
        <w:rPr>
          <w:rFonts w:ascii="Book Antiqua" w:hAnsi="Book Antiqua" w:cs="Arial"/>
          <w:b/>
          <w:color w:val="000000" w:themeColor="text1"/>
          <w:sz w:val="24"/>
          <w:szCs w:val="24"/>
          <w:lang w:val="en-GB"/>
        </w:rPr>
        <w:t xml:space="preserve"> cancer patients</w:t>
      </w:r>
    </w:p>
    <w:p w14:paraId="12B564F3"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p>
    <w:p w14:paraId="53EE8948"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r w:rsidRPr="00B751AA">
        <w:rPr>
          <w:rFonts w:ascii="Book Antiqua" w:hAnsi="Book Antiqua" w:cs="Arial"/>
          <w:i/>
          <w:color w:val="000000" w:themeColor="text1"/>
          <w:sz w:val="24"/>
          <w:szCs w:val="24"/>
          <w:lang w:val="en-GB"/>
        </w:rPr>
        <w:t>et al.</w:t>
      </w:r>
      <w:r w:rsidRPr="00B751AA">
        <w:rPr>
          <w:rFonts w:ascii="Book Antiqua" w:hAnsi="Book Antiqua" w:cs="Arial"/>
          <w:color w:val="000000" w:themeColor="text1"/>
          <w:sz w:val="24"/>
          <w:szCs w:val="24"/>
          <w:lang w:val="en-GB"/>
        </w:rPr>
        <w:t xml:space="preserve"> Chemoradiation dependent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w:t>
      </w:r>
    </w:p>
    <w:p w14:paraId="0115622E"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p>
    <w:p w14:paraId="2C643C14"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lang w:val="de-DE"/>
        </w:rPr>
      </w:pPr>
      <w:r w:rsidRPr="00B751AA">
        <w:rPr>
          <w:rFonts w:ascii="Book Antiqua" w:hAnsi="Book Antiqua"/>
          <w:color w:val="000000" w:themeColor="text1"/>
          <w:sz w:val="24"/>
          <w:szCs w:val="24"/>
          <w:lang w:val="de-DE"/>
        </w:rPr>
        <w:t>Ute Warnecke-Eberz, Patrick Plum, Viola Schweinsberg, Uta Drebber, Christiane J Bruns, Dolores T Müller, Arnulf H Hölscher, Elfriede Bollschweiler</w:t>
      </w:r>
    </w:p>
    <w:p w14:paraId="1C619C0B"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lang w:val="de-DE"/>
        </w:rPr>
      </w:pPr>
    </w:p>
    <w:p w14:paraId="67AC09A1"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r w:rsidRPr="00B751AA">
        <w:rPr>
          <w:rFonts w:ascii="Book Antiqua" w:hAnsi="Book Antiqua"/>
          <w:b/>
          <w:color w:val="000000" w:themeColor="text1"/>
          <w:sz w:val="24"/>
          <w:szCs w:val="24"/>
        </w:rPr>
        <w:t xml:space="preserve">Ute </w:t>
      </w:r>
      <w:proofErr w:type="spellStart"/>
      <w:r w:rsidRPr="00B751AA">
        <w:rPr>
          <w:rFonts w:ascii="Book Antiqua" w:hAnsi="Book Antiqua"/>
          <w:b/>
          <w:color w:val="000000" w:themeColor="text1"/>
          <w:sz w:val="24"/>
          <w:szCs w:val="24"/>
        </w:rPr>
        <w:t>Warnecke-Eberz</w:t>
      </w:r>
      <w:proofErr w:type="spellEnd"/>
      <w:r w:rsidRPr="00B751AA">
        <w:rPr>
          <w:rFonts w:ascii="Book Antiqua" w:hAnsi="Book Antiqua"/>
          <w:b/>
          <w:color w:val="000000" w:themeColor="text1"/>
          <w:sz w:val="24"/>
          <w:szCs w:val="24"/>
        </w:rPr>
        <w:t xml:space="preserve">, Patrick Plum, Christiane J Bruns, Dolores T Müller, Elfriede </w:t>
      </w:r>
      <w:proofErr w:type="spellStart"/>
      <w:r w:rsidRPr="00B751AA">
        <w:rPr>
          <w:rFonts w:ascii="Book Antiqua" w:hAnsi="Book Antiqua"/>
          <w:b/>
          <w:color w:val="000000" w:themeColor="text1"/>
          <w:sz w:val="24"/>
          <w:szCs w:val="24"/>
        </w:rPr>
        <w:t>Bollschweiler</w:t>
      </w:r>
      <w:proofErr w:type="spellEnd"/>
      <w:r w:rsidRPr="00B751AA">
        <w:rPr>
          <w:rFonts w:ascii="Book Antiqua" w:hAnsi="Book Antiqua"/>
          <w:b/>
          <w:color w:val="000000" w:themeColor="text1"/>
          <w:sz w:val="24"/>
          <w:szCs w:val="24"/>
        </w:rPr>
        <w:t>,</w:t>
      </w:r>
      <w:r w:rsidRPr="00B751AA">
        <w:rPr>
          <w:rFonts w:ascii="Book Antiqua" w:hAnsi="Book Antiqua"/>
          <w:color w:val="000000" w:themeColor="text1"/>
          <w:sz w:val="24"/>
          <w:szCs w:val="24"/>
        </w:rPr>
        <w:t xml:space="preserve"> </w:t>
      </w:r>
      <w:r w:rsidRPr="00B751AA">
        <w:rPr>
          <w:rFonts w:ascii="Book Antiqua" w:hAnsi="Book Antiqua" w:cs="Arial"/>
          <w:color w:val="000000" w:themeColor="text1"/>
          <w:sz w:val="24"/>
          <w:szCs w:val="24"/>
          <w:lang w:val="en-GB"/>
        </w:rPr>
        <w:t>Department of General, Visceral and Cancer Surgery, University Hospital of Cologne, Cologne 50937, Germany</w:t>
      </w:r>
    </w:p>
    <w:p w14:paraId="4DFA4D73"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p>
    <w:p w14:paraId="167A22C6"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rPr>
      </w:pPr>
      <w:r w:rsidRPr="00B751AA">
        <w:rPr>
          <w:rFonts w:ascii="Book Antiqua" w:hAnsi="Book Antiqua"/>
          <w:b/>
          <w:color w:val="000000" w:themeColor="text1"/>
          <w:sz w:val="24"/>
          <w:szCs w:val="24"/>
        </w:rPr>
        <w:t xml:space="preserve">Viola </w:t>
      </w:r>
      <w:proofErr w:type="spellStart"/>
      <w:r w:rsidRPr="00B751AA">
        <w:rPr>
          <w:rFonts w:ascii="Book Antiqua" w:hAnsi="Book Antiqua"/>
          <w:b/>
          <w:color w:val="000000" w:themeColor="text1"/>
          <w:sz w:val="24"/>
          <w:szCs w:val="24"/>
        </w:rPr>
        <w:t>Schweinsberg</w:t>
      </w:r>
      <w:proofErr w:type="spellEnd"/>
      <w:r w:rsidRPr="00B751AA">
        <w:rPr>
          <w:rFonts w:ascii="Book Antiqua" w:hAnsi="Book Antiqua"/>
          <w:color w:val="000000" w:themeColor="text1"/>
          <w:sz w:val="24"/>
          <w:szCs w:val="24"/>
        </w:rPr>
        <w:t xml:space="preserve"> </w:t>
      </w:r>
      <w:r w:rsidR="00997CAC" w:rsidRPr="00B751AA">
        <w:rPr>
          <w:rFonts w:ascii="Book Antiqua" w:hAnsi="Book Antiqua" w:cs="Arial"/>
          <w:color w:val="000000" w:themeColor="text1"/>
          <w:sz w:val="24"/>
          <w:szCs w:val="24"/>
          <w:lang w:val="en-GB"/>
        </w:rPr>
        <w:t>Department of</w:t>
      </w:r>
      <w:r w:rsidR="00997CAC"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Dermatology, University Hospital of Cologne, Cologne 50937, Germany</w:t>
      </w:r>
    </w:p>
    <w:p w14:paraId="6694D248" w14:textId="77777777" w:rsidR="00FE6179" w:rsidRPr="00B751AA" w:rsidRDefault="00FE6179" w:rsidP="00B751AA">
      <w:pPr>
        <w:adjustRightInd w:val="0"/>
        <w:snapToGrid w:val="0"/>
        <w:spacing w:after="0" w:line="360" w:lineRule="auto"/>
        <w:jc w:val="both"/>
        <w:rPr>
          <w:rFonts w:ascii="Book Antiqua" w:hAnsi="Book Antiqua"/>
          <w:color w:val="000000" w:themeColor="text1"/>
          <w:sz w:val="24"/>
          <w:szCs w:val="24"/>
          <w:vertAlign w:val="superscript"/>
        </w:rPr>
      </w:pPr>
    </w:p>
    <w:p w14:paraId="7653F184"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Arial"/>
          <w:b/>
          <w:color w:val="000000" w:themeColor="text1"/>
          <w:sz w:val="24"/>
          <w:szCs w:val="24"/>
          <w:lang w:val="en-GB"/>
        </w:rPr>
        <w:t xml:space="preserve">Uta </w:t>
      </w:r>
      <w:proofErr w:type="spellStart"/>
      <w:r w:rsidRPr="00B751AA">
        <w:rPr>
          <w:rFonts w:ascii="Book Antiqua" w:hAnsi="Book Antiqua" w:cs="Arial"/>
          <w:b/>
          <w:color w:val="000000" w:themeColor="text1"/>
          <w:sz w:val="24"/>
          <w:szCs w:val="24"/>
          <w:lang w:val="en-GB"/>
        </w:rPr>
        <w:t>Drebber</w:t>
      </w:r>
      <w:proofErr w:type="spellEnd"/>
      <w:r w:rsidRPr="00B751AA">
        <w:rPr>
          <w:rFonts w:ascii="Book Antiqua" w:hAnsi="Book Antiqua" w:cs="Arial"/>
          <w:color w:val="000000" w:themeColor="text1"/>
          <w:sz w:val="24"/>
          <w:szCs w:val="24"/>
          <w:lang w:val="en-GB"/>
        </w:rPr>
        <w:t>, Institute of Pathology, University Hospital of Cologne, Cologne 50937, Germany</w:t>
      </w:r>
    </w:p>
    <w:p w14:paraId="0D653B3C"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7F9E1E05"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
          <w:color w:val="000000" w:themeColor="text1"/>
          <w:sz w:val="24"/>
          <w:szCs w:val="24"/>
          <w:lang w:val="de-DE"/>
        </w:rPr>
        <w:t>Arnulf H Hölscher</w:t>
      </w:r>
      <w:r w:rsidRPr="00B751AA">
        <w:rPr>
          <w:rFonts w:ascii="Book Antiqua" w:hAnsi="Book Antiqua" w:cs="Arial"/>
          <w:color w:val="000000" w:themeColor="text1"/>
          <w:sz w:val="24"/>
          <w:szCs w:val="24"/>
          <w:lang w:val="de-DE"/>
        </w:rPr>
        <w:t>, Agaplesion Markus Hospital, Frankfurt 60431, Germany</w:t>
      </w:r>
    </w:p>
    <w:p w14:paraId="6FF2B2F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p>
    <w:p w14:paraId="4CC9291D"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b/>
          <w:color w:val="000000" w:themeColor="text1"/>
          <w:sz w:val="24"/>
          <w:szCs w:val="24"/>
          <w:lang w:val="en-GB"/>
        </w:rPr>
        <w:t>Author contributions:</w:t>
      </w:r>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proofErr w:type="spellStart"/>
      <w:r w:rsidRPr="00B751AA">
        <w:rPr>
          <w:rFonts w:ascii="Book Antiqua" w:hAnsi="Book Antiqua" w:cs="Arial"/>
          <w:color w:val="000000" w:themeColor="text1"/>
          <w:sz w:val="24"/>
          <w:szCs w:val="24"/>
          <w:lang w:val="en-GB"/>
        </w:rPr>
        <w:t>Bollschweiler</w:t>
      </w:r>
      <w:proofErr w:type="spellEnd"/>
      <w:r w:rsidRPr="00B751AA">
        <w:rPr>
          <w:rFonts w:ascii="Book Antiqua" w:hAnsi="Book Antiqua" w:cs="Arial"/>
          <w:color w:val="000000" w:themeColor="text1"/>
          <w:sz w:val="24"/>
          <w:szCs w:val="24"/>
          <w:lang w:val="en-GB"/>
        </w:rPr>
        <w:t xml:space="preserve"> E designed the study; </w:t>
      </w: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proofErr w:type="spellStart"/>
      <w:r w:rsidRPr="00B751AA">
        <w:rPr>
          <w:rFonts w:ascii="Book Antiqua" w:hAnsi="Book Antiqua" w:cs="Arial"/>
          <w:color w:val="000000" w:themeColor="text1"/>
          <w:sz w:val="24"/>
          <w:szCs w:val="24"/>
          <w:lang w:val="en-GB"/>
        </w:rPr>
        <w:t>Hölscher</w:t>
      </w:r>
      <w:proofErr w:type="spellEnd"/>
      <w:r w:rsidRPr="00B751AA">
        <w:rPr>
          <w:rFonts w:ascii="Book Antiqua" w:hAnsi="Book Antiqua" w:cs="Arial"/>
          <w:color w:val="000000" w:themeColor="text1"/>
          <w:sz w:val="24"/>
          <w:szCs w:val="24"/>
          <w:lang w:val="en-GB"/>
        </w:rPr>
        <w:t xml:space="preserve"> AH coordinated the study; </w:t>
      </w:r>
      <w:proofErr w:type="spellStart"/>
      <w:r w:rsidRPr="00B751AA">
        <w:rPr>
          <w:rFonts w:ascii="Book Antiqua" w:hAnsi="Book Antiqua" w:cs="Arial"/>
          <w:color w:val="000000" w:themeColor="text1"/>
          <w:sz w:val="24"/>
          <w:szCs w:val="24"/>
          <w:lang w:val="en-GB"/>
        </w:rPr>
        <w:t>Schweinsberg</w:t>
      </w:r>
      <w:proofErr w:type="spellEnd"/>
      <w:r w:rsidRPr="00B751AA">
        <w:rPr>
          <w:rFonts w:ascii="Book Antiqua" w:hAnsi="Book Antiqua" w:cs="Arial"/>
          <w:color w:val="000000" w:themeColor="text1"/>
          <w:sz w:val="24"/>
          <w:szCs w:val="24"/>
          <w:lang w:val="en-GB"/>
        </w:rPr>
        <w:t xml:space="preserve"> V performed the experiments; </w:t>
      </w: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proofErr w:type="spellStart"/>
      <w:r w:rsidRPr="00B751AA">
        <w:rPr>
          <w:rFonts w:ascii="Book Antiqua" w:hAnsi="Book Antiqua" w:cs="Arial"/>
          <w:color w:val="000000" w:themeColor="text1"/>
          <w:sz w:val="24"/>
          <w:szCs w:val="24"/>
          <w:lang w:val="en-GB"/>
        </w:rPr>
        <w:t>Bollschweiler</w:t>
      </w:r>
      <w:proofErr w:type="spellEnd"/>
      <w:r w:rsidRPr="00B751AA">
        <w:rPr>
          <w:rFonts w:ascii="Book Antiqua" w:hAnsi="Book Antiqua" w:cs="Arial"/>
          <w:color w:val="000000" w:themeColor="text1"/>
          <w:sz w:val="24"/>
          <w:szCs w:val="24"/>
          <w:lang w:val="en-GB"/>
        </w:rPr>
        <w:t xml:space="preserve"> E acquired, analysed and interpreted the data; </w:t>
      </w:r>
      <w:proofErr w:type="spellStart"/>
      <w:r w:rsidRPr="00B751AA">
        <w:rPr>
          <w:rFonts w:ascii="Book Antiqua" w:hAnsi="Book Antiqua" w:cs="Arial"/>
          <w:color w:val="000000" w:themeColor="text1"/>
          <w:sz w:val="24"/>
          <w:szCs w:val="24"/>
          <w:lang w:val="en-GB"/>
        </w:rPr>
        <w:t>Drebber</w:t>
      </w:r>
      <w:proofErr w:type="spellEnd"/>
      <w:r w:rsidRPr="00B751AA">
        <w:rPr>
          <w:rFonts w:ascii="Book Antiqua" w:hAnsi="Book Antiqua" w:cs="Arial"/>
          <w:color w:val="000000" w:themeColor="text1"/>
          <w:sz w:val="24"/>
          <w:szCs w:val="24"/>
          <w:lang w:val="en-GB"/>
        </w:rPr>
        <w:t xml:space="preserve"> U did the pathological evaluation and scoring of protein staining; </w:t>
      </w:r>
      <w:proofErr w:type="spellStart"/>
      <w:r w:rsidRPr="00B751AA">
        <w:rPr>
          <w:rFonts w:ascii="Book Antiqua" w:hAnsi="Book Antiqua" w:cs="Arial"/>
          <w:color w:val="000000" w:themeColor="text1"/>
          <w:sz w:val="24"/>
          <w:szCs w:val="24"/>
          <w:lang w:val="en-GB"/>
        </w:rPr>
        <w:t>Warnecke-Eberz</w:t>
      </w:r>
      <w:proofErr w:type="spellEnd"/>
      <w:r w:rsidRPr="00B751AA">
        <w:rPr>
          <w:rFonts w:ascii="Book Antiqua" w:hAnsi="Book Antiqua" w:cs="Arial"/>
          <w:color w:val="000000" w:themeColor="text1"/>
          <w:sz w:val="24"/>
          <w:szCs w:val="24"/>
          <w:lang w:val="en-GB"/>
        </w:rPr>
        <w:t xml:space="preserve"> U, </w:t>
      </w:r>
      <w:proofErr w:type="spellStart"/>
      <w:r w:rsidRPr="00B751AA">
        <w:rPr>
          <w:rFonts w:ascii="Book Antiqua" w:hAnsi="Book Antiqua" w:cs="Arial"/>
          <w:color w:val="000000" w:themeColor="text1"/>
          <w:sz w:val="24"/>
          <w:szCs w:val="24"/>
          <w:lang w:val="en-GB"/>
        </w:rPr>
        <w:t>Bollschweiler</w:t>
      </w:r>
      <w:proofErr w:type="spellEnd"/>
      <w:r w:rsidRPr="00B751AA">
        <w:rPr>
          <w:rFonts w:ascii="Book Antiqua" w:hAnsi="Book Antiqua" w:cs="Arial"/>
          <w:color w:val="000000" w:themeColor="text1"/>
          <w:sz w:val="24"/>
          <w:szCs w:val="24"/>
          <w:lang w:val="en-GB"/>
        </w:rPr>
        <w:t xml:space="preserve"> E, Plum P </w:t>
      </w:r>
      <w:r w:rsidRPr="00B751AA">
        <w:rPr>
          <w:rFonts w:ascii="Book Antiqua" w:hAnsi="Book Antiqua" w:cs="Arial"/>
          <w:color w:val="000000" w:themeColor="text1"/>
          <w:sz w:val="24"/>
          <w:szCs w:val="24"/>
          <w:lang w:val="en-GB"/>
        </w:rPr>
        <w:lastRenderedPageBreak/>
        <w:t>wrote the manuscript; Müller DT supported writing of manuscript; Bruns CJ supported data interpretation.</w:t>
      </w:r>
    </w:p>
    <w:p w14:paraId="5C3B26F5"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645274A5"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theme="minorHAnsi"/>
          <w:b/>
          <w:color w:val="000000" w:themeColor="text1"/>
          <w:sz w:val="24"/>
          <w:szCs w:val="24"/>
          <w:lang w:val="hu-HU"/>
        </w:rPr>
        <w:t>Corresponding author:</w:t>
      </w:r>
      <w:r w:rsidRPr="00B751AA">
        <w:rPr>
          <w:rFonts w:ascii="Book Antiqua" w:hAnsi="Book Antiqua" w:cstheme="minorHAnsi"/>
          <w:b/>
          <w:color w:val="000000" w:themeColor="text1"/>
          <w:sz w:val="24"/>
          <w:szCs w:val="24"/>
          <w:lang w:val="hu-HU" w:eastAsia="zh-CN"/>
        </w:rPr>
        <w:t xml:space="preserve"> </w:t>
      </w:r>
      <w:r w:rsidRPr="00B751AA">
        <w:rPr>
          <w:rFonts w:ascii="Book Antiqua" w:hAnsi="Book Antiqua" w:cs="Arial"/>
          <w:b/>
          <w:color w:val="000000" w:themeColor="text1"/>
          <w:sz w:val="24"/>
          <w:szCs w:val="24"/>
          <w:lang w:val="en-GB"/>
        </w:rPr>
        <w:t xml:space="preserve">Ute </w:t>
      </w:r>
      <w:proofErr w:type="spellStart"/>
      <w:r w:rsidRPr="00B751AA">
        <w:rPr>
          <w:rFonts w:ascii="Book Antiqua" w:hAnsi="Book Antiqua" w:cs="Arial"/>
          <w:b/>
          <w:color w:val="000000" w:themeColor="text1"/>
          <w:sz w:val="24"/>
          <w:szCs w:val="24"/>
          <w:lang w:val="en-GB"/>
        </w:rPr>
        <w:t>Warnecke-Eberz</w:t>
      </w:r>
      <w:proofErr w:type="spellEnd"/>
      <w:r w:rsidRPr="00B751AA">
        <w:rPr>
          <w:rFonts w:ascii="Book Antiqua" w:hAnsi="Book Antiqua" w:cs="Arial"/>
          <w:b/>
          <w:color w:val="000000" w:themeColor="text1"/>
          <w:sz w:val="24"/>
          <w:szCs w:val="24"/>
          <w:lang w:val="en-GB"/>
        </w:rPr>
        <w:t>, PhD, Professor,</w:t>
      </w:r>
      <w:r w:rsidRPr="00B751AA">
        <w:rPr>
          <w:rFonts w:ascii="Book Antiqua" w:hAnsi="Book Antiqua" w:cs="Arial"/>
          <w:color w:val="000000" w:themeColor="text1"/>
          <w:sz w:val="24"/>
          <w:szCs w:val="24"/>
          <w:lang w:val="en-GB"/>
        </w:rPr>
        <w:t xml:space="preserve"> Department of General, Visceral and Cancer Surgery</w:t>
      </w:r>
      <w:r w:rsidRPr="00B751AA">
        <w:rPr>
          <w:rFonts w:ascii="Book Antiqua" w:hAnsi="Book Antiqua" w:cs="Arial"/>
          <w:b/>
          <w:color w:val="000000" w:themeColor="text1"/>
          <w:sz w:val="24"/>
          <w:szCs w:val="24"/>
        </w:rPr>
        <w:t xml:space="preserve">, </w:t>
      </w:r>
      <w:r w:rsidRPr="00B751AA">
        <w:rPr>
          <w:rFonts w:ascii="Book Antiqua" w:hAnsi="Book Antiqua" w:cs="Arial"/>
          <w:color w:val="000000" w:themeColor="text1"/>
          <w:sz w:val="24"/>
          <w:szCs w:val="24"/>
          <w:lang w:val="en-GB"/>
        </w:rPr>
        <w:t>University Hospital of Cologne</w:t>
      </w:r>
      <w:r w:rsidRPr="00B751AA">
        <w:rPr>
          <w:rFonts w:ascii="Book Antiqua" w:hAnsi="Book Antiqua" w:cs="Arial"/>
          <w:b/>
          <w:color w:val="000000" w:themeColor="text1"/>
          <w:sz w:val="24"/>
          <w:szCs w:val="24"/>
        </w:rPr>
        <w:t xml:space="preserve">, </w:t>
      </w:r>
      <w:proofErr w:type="spellStart"/>
      <w:r w:rsidRPr="00B751AA">
        <w:rPr>
          <w:rFonts w:ascii="Book Antiqua" w:hAnsi="Book Antiqua" w:cs="Arial"/>
          <w:color w:val="000000" w:themeColor="text1"/>
          <w:sz w:val="24"/>
          <w:szCs w:val="24"/>
          <w:lang w:val="en-GB"/>
        </w:rPr>
        <w:t>Kerpener</w:t>
      </w:r>
      <w:proofErr w:type="spellEnd"/>
      <w:r w:rsidRPr="00B751AA">
        <w:rPr>
          <w:rFonts w:ascii="Book Antiqua" w:hAnsi="Book Antiqua" w:cs="Arial"/>
          <w:color w:val="000000" w:themeColor="text1"/>
          <w:sz w:val="24"/>
          <w:szCs w:val="24"/>
          <w:lang w:val="en-GB"/>
        </w:rPr>
        <w:t xml:space="preserve"> Str. 62</w:t>
      </w:r>
      <w:r w:rsidRPr="00B751AA">
        <w:rPr>
          <w:rFonts w:ascii="Book Antiqua" w:hAnsi="Book Antiqua" w:cs="Arial"/>
          <w:b/>
          <w:color w:val="000000" w:themeColor="text1"/>
          <w:sz w:val="24"/>
          <w:szCs w:val="24"/>
        </w:rPr>
        <w:t xml:space="preserve">, </w:t>
      </w:r>
      <w:r w:rsidRPr="00B751AA">
        <w:rPr>
          <w:rFonts w:ascii="Book Antiqua" w:hAnsi="Book Antiqua"/>
          <w:color w:val="000000" w:themeColor="text1"/>
          <w:sz w:val="24"/>
          <w:szCs w:val="24"/>
        </w:rPr>
        <w:t>Cologne 50937, Germany</w:t>
      </w:r>
      <w:r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u w:val="single"/>
          <w:lang w:val="en-GB"/>
        </w:rPr>
        <w:t>ute.warnecke-eberz@uk-koeln.de</w:t>
      </w:r>
    </w:p>
    <w:p w14:paraId="4A51D082"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3FB8DAA7" w14:textId="77777777" w:rsidR="00FE6179" w:rsidRPr="00B751AA" w:rsidRDefault="00FE6179" w:rsidP="00B751AA">
      <w:pPr>
        <w:widowControl w:val="0"/>
        <w:adjustRightInd w:val="0"/>
        <w:snapToGrid w:val="0"/>
        <w:spacing w:after="0" w:line="360" w:lineRule="auto"/>
        <w:jc w:val="both"/>
        <w:rPr>
          <w:rFonts w:ascii="Book Antiqua" w:hAnsi="Book Antiqua"/>
          <w:color w:val="000000" w:themeColor="text1"/>
          <w:kern w:val="2"/>
          <w:sz w:val="24"/>
          <w:szCs w:val="24"/>
          <w:lang w:eastAsia="zh-CN"/>
        </w:rPr>
      </w:pPr>
      <w:bookmarkStart w:id="0" w:name="OLE_LINK75"/>
      <w:bookmarkStart w:id="1" w:name="OLE_LINK76"/>
      <w:bookmarkStart w:id="2" w:name="OLE_LINK269"/>
      <w:bookmarkStart w:id="3" w:name="OLE_LINK239"/>
      <w:r w:rsidRPr="00B751AA">
        <w:rPr>
          <w:rFonts w:ascii="Book Antiqua" w:hAnsi="Book Antiqua"/>
          <w:b/>
          <w:color w:val="000000" w:themeColor="text1"/>
          <w:kern w:val="2"/>
          <w:sz w:val="24"/>
          <w:szCs w:val="24"/>
          <w:lang w:eastAsia="zh-CN"/>
        </w:rPr>
        <w:t xml:space="preserve">Received: </w:t>
      </w:r>
      <w:r w:rsidRPr="00B751AA">
        <w:rPr>
          <w:rFonts w:ascii="Book Antiqua" w:hAnsi="Book Antiqua"/>
          <w:color w:val="000000" w:themeColor="text1"/>
          <w:kern w:val="2"/>
          <w:sz w:val="24"/>
          <w:szCs w:val="24"/>
          <w:lang w:eastAsia="zh-CN"/>
        </w:rPr>
        <w:t>December 30, 2019</w:t>
      </w:r>
    </w:p>
    <w:p w14:paraId="31A900D3" w14:textId="77777777" w:rsidR="00FE6179" w:rsidRPr="00B751AA" w:rsidRDefault="00FE6179" w:rsidP="00B751AA">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B751AA">
        <w:rPr>
          <w:rFonts w:ascii="Book Antiqua" w:hAnsi="Book Antiqua"/>
          <w:b/>
          <w:color w:val="000000" w:themeColor="text1"/>
          <w:kern w:val="2"/>
          <w:sz w:val="24"/>
          <w:szCs w:val="24"/>
          <w:lang w:eastAsia="zh-CN"/>
        </w:rPr>
        <w:t xml:space="preserve">Revised: </w:t>
      </w:r>
      <w:r w:rsidRPr="00B751AA">
        <w:rPr>
          <w:rFonts w:ascii="Book Antiqua" w:hAnsi="Book Antiqua"/>
          <w:color w:val="000000" w:themeColor="text1"/>
          <w:kern w:val="2"/>
          <w:sz w:val="24"/>
          <w:szCs w:val="24"/>
          <w:lang w:eastAsia="zh-CN"/>
        </w:rPr>
        <w:t>April 20, 2020</w:t>
      </w:r>
    </w:p>
    <w:p w14:paraId="3B91756B" w14:textId="04DBCD1D" w:rsidR="00FE6179" w:rsidRPr="00B751AA" w:rsidRDefault="00FE6179" w:rsidP="00B751AA">
      <w:pPr>
        <w:widowControl w:val="0"/>
        <w:adjustRightInd w:val="0"/>
        <w:snapToGrid w:val="0"/>
        <w:spacing w:after="0" w:line="360" w:lineRule="auto"/>
        <w:jc w:val="both"/>
        <w:rPr>
          <w:rFonts w:ascii="Book Antiqua" w:hAnsi="Book Antiqua"/>
          <w:color w:val="000000" w:themeColor="text1"/>
          <w:kern w:val="2"/>
          <w:sz w:val="24"/>
          <w:szCs w:val="24"/>
          <w:lang w:eastAsia="zh-CN"/>
        </w:rPr>
      </w:pPr>
      <w:r w:rsidRPr="00B751AA">
        <w:rPr>
          <w:rFonts w:ascii="Book Antiqua" w:hAnsi="Book Antiqua"/>
          <w:b/>
          <w:color w:val="000000" w:themeColor="text1"/>
          <w:kern w:val="2"/>
          <w:sz w:val="24"/>
          <w:szCs w:val="24"/>
          <w:lang w:eastAsia="zh-CN"/>
        </w:rPr>
        <w:t>Accepted:</w:t>
      </w:r>
      <w:r w:rsidR="00EA4735" w:rsidRPr="00EA4735">
        <w:t xml:space="preserve"> </w:t>
      </w:r>
      <w:r w:rsidR="00EA4735" w:rsidRPr="00EA4735">
        <w:rPr>
          <w:rFonts w:ascii="Book Antiqua" w:hAnsi="Book Antiqua"/>
          <w:bCs/>
          <w:color w:val="000000" w:themeColor="text1"/>
          <w:kern w:val="2"/>
          <w:sz w:val="24"/>
          <w:szCs w:val="24"/>
          <w:lang w:eastAsia="zh-CN"/>
        </w:rPr>
        <w:t>May 30, 2020</w:t>
      </w:r>
      <w:r w:rsidRPr="00EA4735">
        <w:rPr>
          <w:rFonts w:ascii="Book Antiqua" w:hAnsi="Book Antiqua"/>
          <w:bCs/>
          <w:color w:val="000000" w:themeColor="text1"/>
          <w:sz w:val="24"/>
          <w:szCs w:val="24"/>
        </w:rPr>
        <w:t xml:space="preserve"> </w:t>
      </w:r>
    </w:p>
    <w:p w14:paraId="565270BF" w14:textId="77777777" w:rsidR="00FE6179" w:rsidRPr="00B751AA" w:rsidRDefault="00FE6179" w:rsidP="00B751AA">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B751AA">
        <w:rPr>
          <w:rFonts w:ascii="Book Antiqua" w:hAnsi="Book Antiqua"/>
          <w:b/>
          <w:color w:val="000000" w:themeColor="text1"/>
          <w:kern w:val="2"/>
          <w:sz w:val="24"/>
          <w:szCs w:val="24"/>
          <w:lang w:eastAsia="zh-CN"/>
        </w:rPr>
        <w:t>Published online:</w:t>
      </w:r>
      <w:bookmarkEnd w:id="0"/>
      <w:bookmarkEnd w:id="1"/>
      <w:bookmarkEnd w:id="2"/>
      <w:bookmarkEnd w:id="3"/>
    </w:p>
    <w:p w14:paraId="33BC384A" w14:textId="77777777" w:rsidR="00FE6179" w:rsidRPr="00B751AA" w:rsidRDefault="00FE6179" w:rsidP="00B751AA">
      <w:pPr>
        <w:adjustRightInd w:val="0"/>
        <w:snapToGrid w:val="0"/>
        <w:spacing w:after="0" w:line="360" w:lineRule="auto"/>
        <w:jc w:val="both"/>
        <w:rPr>
          <w:rFonts w:ascii="Book Antiqua" w:hAnsi="Book Antiqua" w:cstheme="minorHAnsi"/>
          <w:b/>
          <w:color w:val="000000" w:themeColor="text1"/>
          <w:sz w:val="24"/>
          <w:szCs w:val="24"/>
        </w:rPr>
      </w:pPr>
      <w:r w:rsidRPr="00B751AA">
        <w:rPr>
          <w:rFonts w:ascii="Book Antiqua" w:hAnsi="Book Antiqua" w:cstheme="minorHAnsi"/>
          <w:b/>
          <w:color w:val="000000" w:themeColor="text1"/>
          <w:sz w:val="24"/>
          <w:szCs w:val="24"/>
        </w:rPr>
        <w:br w:type="page"/>
      </w:r>
    </w:p>
    <w:p w14:paraId="56C82DBF" w14:textId="77777777" w:rsidR="00FE6179" w:rsidRPr="00B751AA" w:rsidRDefault="00FE6179" w:rsidP="00B751AA">
      <w:pPr>
        <w:adjustRightInd w:val="0"/>
        <w:snapToGrid w:val="0"/>
        <w:spacing w:after="0" w:line="360" w:lineRule="auto"/>
        <w:jc w:val="both"/>
        <w:rPr>
          <w:rFonts w:ascii="Book Antiqua" w:hAnsi="Book Antiqua" w:cs="Arial"/>
          <w:b/>
          <w:bCs/>
          <w:color w:val="000000" w:themeColor="text1"/>
          <w:sz w:val="24"/>
          <w:szCs w:val="24"/>
        </w:rPr>
      </w:pPr>
      <w:r w:rsidRPr="00B751AA">
        <w:rPr>
          <w:rFonts w:ascii="Book Antiqua" w:hAnsi="Book Antiqua" w:cs="Arial"/>
          <w:b/>
          <w:bCs/>
          <w:color w:val="000000" w:themeColor="text1"/>
          <w:sz w:val="24"/>
          <w:szCs w:val="24"/>
        </w:rPr>
        <w:lastRenderedPageBreak/>
        <w:t>Abstract</w:t>
      </w:r>
    </w:p>
    <w:p w14:paraId="588FE16F"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BACKGROUND</w:t>
      </w:r>
    </w:p>
    <w:p w14:paraId="22C8527E"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Locally advanced adenocarcinoma of the </w:t>
      </w:r>
      <w:proofErr w:type="spellStart"/>
      <w:r w:rsidRPr="00B751AA">
        <w:rPr>
          <w:rFonts w:ascii="Book Antiqua" w:hAnsi="Book Antiqua" w:cs="Arial"/>
          <w:bCs/>
          <w:color w:val="000000" w:themeColor="text1"/>
          <w:sz w:val="24"/>
          <w:szCs w:val="24"/>
          <w:lang w:val="en-GB"/>
        </w:rPr>
        <w:t>esophagus</w:t>
      </w:r>
      <w:proofErr w:type="spellEnd"/>
      <w:r w:rsidRPr="00B751AA">
        <w:rPr>
          <w:rFonts w:ascii="Book Antiqua" w:hAnsi="Book Antiqua" w:cs="Arial"/>
          <w:bCs/>
          <w:color w:val="000000" w:themeColor="text1"/>
          <w:sz w:val="24"/>
          <w:szCs w:val="24"/>
          <w:lang w:val="en-GB"/>
        </w:rPr>
        <w:t xml:space="preserve"> (EAC) and squamous cell carcinoma (ESCC) result in a worse prognosis. Neoadjuvant treatment improves survival, however, only for responders. The transmembrane glycoprotein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is overexpressed in squamous cell carcinomas, miRNA-363 is associated to its regulation in head and neck cancer.</w:t>
      </w:r>
    </w:p>
    <w:p w14:paraId="7A116637"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p>
    <w:p w14:paraId="088B3FE6"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AIM</w:t>
      </w:r>
    </w:p>
    <w:p w14:paraId="611F0E07" w14:textId="77777777" w:rsidR="00FE6179" w:rsidRDefault="00CB6068"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CB6068">
        <w:rPr>
          <w:rFonts w:ascii="Book Antiqua" w:hAnsi="Book Antiqua" w:cs="Arial"/>
          <w:bCs/>
          <w:color w:val="000000" w:themeColor="text1"/>
          <w:sz w:val="24"/>
          <w:szCs w:val="24"/>
          <w:lang w:val="en-GB"/>
        </w:rPr>
        <w:t>To predict therapy response and prognosis markers, and targets for novel therapies would individualize treatments leading to more favourable outcomes.</w:t>
      </w:r>
    </w:p>
    <w:p w14:paraId="7F6A1A93" w14:textId="77777777" w:rsidR="006E47C1" w:rsidRPr="00B751AA" w:rsidRDefault="006E47C1"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p>
    <w:p w14:paraId="248A7928"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METHODS </w:t>
      </w:r>
    </w:p>
    <w:p w14:paraId="6F56C1D4"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Expression of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protein has been visualized by immunohistochemistry in surgical specimens of 195 </w:t>
      </w:r>
      <w:proofErr w:type="spellStart"/>
      <w:r w:rsidRPr="00B751AA">
        <w:rPr>
          <w:rFonts w:ascii="Book Antiqua" w:hAnsi="Book Antiqua" w:cs="Arial"/>
          <w:bCs/>
          <w:color w:val="000000" w:themeColor="text1"/>
          <w:sz w:val="24"/>
          <w:szCs w:val="24"/>
          <w:lang w:val="en-GB"/>
        </w:rPr>
        <w:t>esophageal</w:t>
      </w:r>
      <w:proofErr w:type="spellEnd"/>
      <w:r w:rsidRPr="00B751AA">
        <w:rPr>
          <w:rFonts w:ascii="Book Antiqua" w:hAnsi="Book Antiqua" w:cs="Arial"/>
          <w:bCs/>
          <w:color w:val="000000" w:themeColor="text1"/>
          <w:sz w:val="24"/>
          <w:szCs w:val="24"/>
          <w:lang w:val="en-GB"/>
        </w:rPr>
        <w:t xml:space="preserve"> cancer patients who underwent transthoracic esophagectomy: 90 ESCC and 105 EAC with clinical T2-3, </w:t>
      </w:r>
      <w:proofErr w:type="spellStart"/>
      <w:r w:rsidRPr="00B751AA">
        <w:rPr>
          <w:rFonts w:ascii="Book Antiqua" w:hAnsi="Book Antiqua" w:cs="Arial"/>
          <w:bCs/>
          <w:color w:val="000000" w:themeColor="text1"/>
          <w:sz w:val="24"/>
          <w:szCs w:val="24"/>
          <w:lang w:val="en-GB"/>
        </w:rPr>
        <w:t>Nx</w:t>
      </w:r>
      <w:proofErr w:type="spellEnd"/>
      <w:r w:rsidRPr="00B751AA">
        <w:rPr>
          <w:rFonts w:ascii="Book Antiqua" w:hAnsi="Book Antiqua" w:cs="Arial"/>
          <w:bCs/>
          <w:color w:val="000000" w:themeColor="text1"/>
          <w:sz w:val="24"/>
          <w:szCs w:val="24"/>
          <w:lang w:val="en-GB"/>
        </w:rPr>
        <w:t>, M0.</w:t>
      </w:r>
      <w:r w:rsidR="00EE4E4E" w:rsidRPr="00B751AA">
        <w:rPr>
          <w:rFonts w:ascii="Book Antiqua" w:hAnsi="Book Antiqua" w:cs="Arial"/>
          <w:bCs/>
          <w:color w:val="000000" w:themeColor="text1"/>
          <w:sz w:val="24"/>
          <w:szCs w:val="24"/>
          <w:lang w:val="en-GB"/>
        </w:rPr>
        <w:t xml:space="preserve"> One hundred and six </w:t>
      </w:r>
      <w:r w:rsidRPr="00B751AA">
        <w:rPr>
          <w:rFonts w:ascii="Book Antiqua" w:hAnsi="Book Antiqua" w:cs="Arial"/>
          <w:bCs/>
          <w:color w:val="000000" w:themeColor="text1"/>
          <w:sz w:val="24"/>
          <w:szCs w:val="24"/>
          <w:lang w:val="en-GB"/>
        </w:rPr>
        <w:t>patients received neoadjuvant chemoradiation. RNA was extracted from paraffin-embedded tissue, and miRNA-363 quantified by real-time TaqMan-</w:t>
      </w:r>
      <w:r w:rsidR="00DF0C2A" w:rsidRPr="00B751AA">
        <w:rPr>
          <w:rFonts w:ascii="Book Antiqua" w:hAnsi="Book Antiqua" w:cs="Arial"/>
          <w:color w:val="000000" w:themeColor="text1"/>
          <w:sz w:val="24"/>
          <w:szCs w:val="24"/>
          <w:lang w:val="en-GB"/>
        </w:rPr>
        <w:t>real-time</w:t>
      </w:r>
      <w:r w:rsidRPr="00B751AA">
        <w:rPr>
          <w:rFonts w:ascii="Book Antiqua" w:hAnsi="Book Antiqua" w:cs="Arial"/>
          <w:bCs/>
          <w:color w:val="000000" w:themeColor="text1"/>
          <w:sz w:val="24"/>
          <w:szCs w:val="24"/>
          <w:lang w:val="en-GB"/>
        </w:rPr>
        <w:t xml:space="preserve">-PCR. D2-40 </w:t>
      </w:r>
      <w:proofErr w:type="spellStart"/>
      <w:r w:rsidRPr="00B751AA">
        <w:rPr>
          <w:rFonts w:ascii="Book Antiqua" w:hAnsi="Book Antiqua" w:cs="Arial"/>
          <w:bCs/>
          <w:color w:val="000000" w:themeColor="text1"/>
          <w:sz w:val="24"/>
          <w:szCs w:val="24"/>
          <w:lang w:val="en-GB"/>
        </w:rPr>
        <w:t>mab</w:t>
      </w:r>
      <w:proofErr w:type="spellEnd"/>
      <w:r w:rsidRPr="00B751AA">
        <w:rPr>
          <w:rFonts w:ascii="Book Antiqua" w:hAnsi="Book Antiqua" w:cs="Arial"/>
          <w:bCs/>
          <w:color w:val="000000" w:themeColor="text1"/>
          <w:sz w:val="24"/>
          <w:szCs w:val="24"/>
          <w:lang w:val="en-GB"/>
        </w:rPr>
        <w:t xml:space="preserve"> staining of &gt;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5% was scored as high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(HPE). We related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and miRNA-363 expression to histopathologic response after neoadjuvant treatment and clinicopathological characteristics, such as histological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type, survival rate or clinical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category</w:t>
      </w:r>
      <w:r w:rsidRPr="00B751AA">
        <w:rPr>
          <w:rFonts w:ascii="Book Antiqua" w:hAnsi="Book Antiqua" w:cs="Arial"/>
          <w:color w:val="000000" w:themeColor="text1"/>
          <w:sz w:val="24"/>
          <w:szCs w:val="24"/>
          <w:lang w:val="de-DE"/>
        </w:rPr>
        <w:t>.</w:t>
      </w:r>
    </w:p>
    <w:p w14:paraId="6E56DB19"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p>
    <w:p w14:paraId="15203C4E"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RESULTS</w:t>
      </w:r>
    </w:p>
    <w:p w14:paraId="10B6374F"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We confirmed expression of membrane-bound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in 90 ESCC patients. 26</w:t>
      </w:r>
      <w:r w:rsidR="0052322B">
        <w:rPr>
          <w:rFonts w:ascii="Book Antiqua" w:hAnsi="Book Antiqua" w:cs="Arial"/>
          <w:bCs/>
          <w:color w:val="000000" w:themeColor="text1"/>
          <w:sz w:val="24"/>
          <w:szCs w:val="24"/>
          <w:lang w:val="en-GB"/>
        </w:rPr>
        <w:t>%</w:t>
      </w:r>
      <w:r w:rsidRPr="00B751AA">
        <w:rPr>
          <w:rFonts w:ascii="Book Antiqua" w:hAnsi="Book Antiqua" w:cs="Arial"/>
          <w:bCs/>
          <w:color w:val="000000" w:themeColor="text1"/>
          <w:sz w:val="24"/>
          <w:szCs w:val="24"/>
          <w:lang w:val="en-GB"/>
        </w:rPr>
        <w:t xml:space="preserve"> showed HPE of &gt;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5%. In </w:t>
      </w:r>
      <w:r w:rsidR="00EE4E4E" w:rsidRPr="00B751AA">
        <w:rPr>
          <w:rFonts w:ascii="Book Antiqua" w:hAnsi="Book Antiqua" w:cs="Arial"/>
          <w:bCs/>
          <w:color w:val="000000" w:themeColor="text1"/>
          <w:sz w:val="24"/>
          <w:szCs w:val="24"/>
          <w:lang w:val="en-GB"/>
        </w:rPr>
        <w:t>addition,</w:t>
      </w:r>
      <w:r w:rsidRPr="00B751AA">
        <w:rPr>
          <w:rFonts w:ascii="Book Antiqua" w:hAnsi="Book Antiqua" w:cs="Arial"/>
          <w:bCs/>
          <w:color w:val="000000" w:themeColor="text1"/>
          <w:sz w:val="24"/>
          <w:szCs w:val="24"/>
          <w:lang w:val="en-GB"/>
        </w:rPr>
        <w:t xml:space="preserve"> absence in EAC patients (only 2</w:t>
      </w:r>
      <w:r w:rsidR="0052322B">
        <w:rPr>
          <w:rFonts w:ascii="Book Antiqua" w:hAnsi="Book Antiqua" w:cs="Arial"/>
          <w:bCs/>
          <w:color w:val="000000" w:themeColor="text1"/>
          <w:sz w:val="24"/>
          <w:szCs w:val="24"/>
          <w:lang w:val="en-GB"/>
        </w:rPr>
        <w:t>%</w:t>
      </w:r>
      <w:r w:rsidRPr="00B751AA">
        <w:rPr>
          <w:rFonts w:ascii="Book Antiqua" w:hAnsi="Book Antiqua" w:cs="Arial"/>
          <w:bCs/>
          <w:color w:val="000000" w:themeColor="text1"/>
          <w:sz w:val="24"/>
          <w:szCs w:val="24"/>
          <w:lang w:val="en-GB"/>
        </w:rPr>
        <w:t xml:space="preserve"> with HPE) was shown</w:t>
      </w:r>
      <w:r w:rsidRPr="00B751AA">
        <w:rPr>
          <w:rFonts w:ascii="Book Antiqua" w:hAnsi="Book Antiqua" w:cs="Arial"/>
          <w:bCs/>
          <w:color w:val="000000" w:themeColor="text1"/>
          <w:sz w:val="24"/>
          <w:szCs w:val="24"/>
        </w:rPr>
        <w:t xml:space="preserve">. Lower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 has been detected in resection-specimen of 58 ESCC patients after neoadjuvant (</w:t>
      </w:r>
      <w:proofErr w:type="spellStart"/>
      <w:r w:rsidRPr="00B751AA">
        <w:rPr>
          <w:rFonts w:ascii="Book Antiqua" w:hAnsi="Book Antiqua" w:cs="Arial"/>
          <w:bCs/>
          <w:color w:val="000000" w:themeColor="text1"/>
          <w:sz w:val="24"/>
          <w:szCs w:val="24"/>
        </w:rPr>
        <w:t>RTx</w:t>
      </w:r>
      <w:proofErr w:type="spellEnd"/>
      <w:r w:rsidRPr="00B751AA">
        <w:rPr>
          <w:rFonts w:ascii="Book Antiqua" w:hAnsi="Book Antiqua" w:cs="Arial"/>
          <w:bCs/>
          <w:color w:val="000000" w:themeColor="text1"/>
          <w:sz w:val="24"/>
          <w:szCs w:val="24"/>
        </w:rPr>
        <w:t>/</w:t>
      </w:r>
      <w:proofErr w:type="spellStart"/>
      <w:r w:rsidRPr="00B751AA">
        <w:rPr>
          <w:rFonts w:ascii="Book Antiqua" w:hAnsi="Book Antiqua" w:cs="Arial"/>
          <w:bCs/>
          <w:color w:val="000000" w:themeColor="text1"/>
          <w:sz w:val="24"/>
          <w:szCs w:val="24"/>
        </w:rPr>
        <w:t>CTx</w:t>
      </w:r>
      <w:proofErr w:type="spellEnd"/>
      <w:r w:rsidRPr="00B751AA">
        <w:rPr>
          <w:rFonts w:ascii="Book Antiqua" w:hAnsi="Book Antiqua" w:cs="Arial"/>
          <w:bCs/>
          <w:color w:val="000000" w:themeColor="text1"/>
          <w:sz w:val="24"/>
          <w:szCs w:val="24"/>
        </w:rPr>
        <w:t>) treatment, only 11</w:t>
      </w:r>
      <w:r w:rsidR="0052322B">
        <w:rPr>
          <w:rFonts w:ascii="Book Antiqua" w:hAnsi="Book Antiqua" w:cs="Arial"/>
          <w:bCs/>
          <w:color w:val="000000" w:themeColor="text1"/>
          <w:sz w:val="24"/>
          <w:szCs w:val="24"/>
        </w:rPr>
        <w:t>%</w:t>
      </w:r>
      <w:r w:rsidRPr="00B751AA">
        <w:rPr>
          <w:rFonts w:ascii="Book Antiqua" w:hAnsi="Book Antiqua" w:cs="Arial"/>
          <w:bCs/>
          <w:color w:val="000000" w:themeColor="text1"/>
          <w:sz w:val="24"/>
          <w:szCs w:val="24"/>
        </w:rPr>
        <w:t xml:space="preserve"> with HPE, compared to 50</w:t>
      </w:r>
      <w:r w:rsidR="0052322B">
        <w:rPr>
          <w:rFonts w:ascii="Book Antiqua" w:hAnsi="Book Antiqua" w:cs="Arial"/>
          <w:bCs/>
          <w:color w:val="000000" w:themeColor="text1"/>
          <w:sz w:val="24"/>
          <w:szCs w:val="24"/>
        </w:rPr>
        <w:t>%</w:t>
      </w:r>
      <w:r w:rsidRPr="00B751AA">
        <w:rPr>
          <w:rFonts w:ascii="Book Antiqua" w:hAnsi="Book Antiqua" w:cs="Arial"/>
          <w:bCs/>
          <w:color w:val="000000" w:themeColor="text1"/>
          <w:sz w:val="24"/>
          <w:szCs w:val="24"/>
        </w:rPr>
        <w:t xml:space="preserve"> HPE of 32 non-pretreated primary surgery </w:t>
      </w:r>
      <w:r w:rsidRPr="00B751AA">
        <w:rPr>
          <w:rFonts w:ascii="Book Antiqua" w:hAnsi="Book Antiqua" w:cs="Arial"/>
          <w:bCs/>
          <w:color w:val="000000" w:themeColor="text1"/>
          <w:sz w:val="24"/>
          <w:szCs w:val="24"/>
        </w:rPr>
        <w:lastRenderedPageBreak/>
        <w:t xml:space="preserve">patients, </w:t>
      </w:r>
      <w:r w:rsidR="00E62BE4" w:rsidRPr="00B751AA">
        <w:rPr>
          <w:rFonts w:ascii="Book Antiqua" w:hAnsi="Book Antiqua" w:cs="Arial"/>
          <w:bCs/>
          <w:i/>
          <w:iCs/>
          <w:color w:val="000000" w:themeColor="text1"/>
          <w:sz w:val="24"/>
          <w:szCs w:val="24"/>
        </w:rPr>
        <w:t>P</w:t>
      </w:r>
      <w:r w:rsidR="00E62BE4" w:rsidRPr="00B751AA">
        <w:rPr>
          <w:rFonts w:ascii="Book Antiqua" w:hAnsi="Book Antiqua" w:cs="Arial"/>
          <w:bCs/>
          <w:color w:val="000000" w:themeColor="text1"/>
          <w:sz w:val="24"/>
          <w:szCs w:val="24"/>
        </w:rPr>
        <w:t xml:space="preserve"> </w:t>
      </w:r>
      <w:r w:rsidRPr="00B751AA">
        <w:rPr>
          <w:rFonts w:ascii="Book Antiqua" w:hAnsi="Book Antiqua" w:cs="Arial"/>
          <w:bCs/>
          <w:color w:val="000000" w:themeColor="text1"/>
          <w:sz w:val="24"/>
          <w:szCs w:val="24"/>
        </w:rPr>
        <w:t>=</w:t>
      </w:r>
      <w:r w:rsidR="00E62BE4" w:rsidRPr="00B751AA">
        <w:rPr>
          <w:rFonts w:ascii="Book Antiqua" w:hAnsi="Book Antiqua" w:cs="Arial"/>
          <w:bCs/>
          <w:color w:val="000000" w:themeColor="text1"/>
          <w:sz w:val="24"/>
          <w:szCs w:val="24"/>
        </w:rPr>
        <w:t xml:space="preserve"> </w:t>
      </w:r>
      <w:r w:rsidRPr="00B751AA">
        <w:rPr>
          <w:rFonts w:ascii="Book Antiqua" w:hAnsi="Book Antiqua" w:cs="Arial"/>
          <w:bCs/>
          <w:color w:val="000000" w:themeColor="text1"/>
          <w:sz w:val="24"/>
          <w:szCs w:val="24"/>
        </w:rPr>
        <w:t>0.0001</w:t>
      </w:r>
      <w:r w:rsidRPr="00B751AA">
        <w:rPr>
          <w:rFonts w:ascii="Book Antiqua" w:hAnsi="Book Antiqua" w:cs="Arial"/>
          <w:bCs/>
          <w:color w:val="000000" w:themeColor="text1"/>
          <w:sz w:val="24"/>
          <w:szCs w:val="24"/>
          <w:lang w:val="en-GB"/>
        </w:rPr>
        <w:t xml:space="preserve">. This difference of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was confirmed comparing pre-treatment biopsies with matching post-treatment surgical specimens, </w:t>
      </w:r>
      <w:r w:rsidR="00E62BE4" w:rsidRPr="00B751AA">
        <w:rPr>
          <w:rFonts w:ascii="Book Antiqua" w:hAnsi="Book Antiqua" w:cs="Arial"/>
          <w:bCs/>
          <w:i/>
          <w:iCs/>
          <w:color w:val="000000" w:themeColor="text1"/>
          <w:sz w:val="24"/>
          <w:szCs w:val="24"/>
          <w:lang w:val="en-GB"/>
        </w:rPr>
        <w:t>P</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&lt;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0.001.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has been identified as a prognostic marker in 32 patients that underwent primary surgery without neoadjuvant treatment. Low (0-5%)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was associated with better prognosis compared to patients with HPE, </w:t>
      </w:r>
      <w:r w:rsidR="00E62BE4" w:rsidRPr="00B751AA">
        <w:rPr>
          <w:rFonts w:ascii="Book Antiqua" w:hAnsi="Book Antiqua" w:cs="Arial"/>
          <w:bCs/>
          <w:i/>
          <w:iCs/>
          <w:color w:val="000000" w:themeColor="text1"/>
          <w:sz w:val="24"/>
          <w:szCs w:val="24"/>
          <w:lang w:val="en-GB"/>
        </w:rPr>
        <w:t>P</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0.013.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has been associated with post-transcriptional regulation by miRNA-363. At a cut-off value of miR-363 &lt;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color w:val="000000" w:themeColor="text1"/>
          <w:sz w:val="24"/>
          <w:szCs w:val="24"/>
        </w:rPr>
        <w:t xml:space="preserve">7, lower miR-363 expression correlated with HPE in surgical tissue specimens of primary surgery patients, </w:t>
      </w:r>
      <w:r w:rsidR="00E62BE4" w:rsidRPr="00B751AA">
        <w:rPr>
          <w:rFonts w:ascii="Book Antiqua" w:hAnsi="Book Antiqua" w:cs="Arial"/>
          <w:bCs/>
          <w:i/>
          <w:iCs/>
          <w:color w:val="000000" w:themeColor="text1"/>
          <w:sz w:val="24"/>
          <w:szCs w:val="24"/>
          <w:lang w:val="en-GB"/>
        </w:rPr>
        <w:t>P</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0.013. Therefore, ESCC patients with miRNA-363 expression &lt;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7 had a worse prognosis than patients expressing miRNA-363 </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7, </w:t>
      </w:r>
      <w:r w:rsidR="00E62BE4" w:rsidRPr="00B751AA">
        <w:rPr>
          <w:rFonts w:ascii="Book Antiqua" w:hAnsi="Book Antiqua" w:cs="Arial"/>
          <w:bCs/>
          <w:i/>
          <w:iCs/>
          <w:color w:val="000000" w:themeColor="text1"/>
          <w:sz w:val="24"/>
          <w:szCs w:val="24"/>
          <w:lang w:val="en-GB"/>
        </w:rPr>
        <w:t>P</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w:t>
      </w:r>
      <w:r w:rsidR="00E62BE4"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0.049.</w:t>
      </w:r>
    </w:p>
    <w:p w14:paraId="3974834D" w14:textId="77777777" w:rsidR="00FE6179" w:rsidRPr="00B751AA" w:rsidRDefault="00FE6179" w:rsidP="00B751AA">
      <w:pPr>
        <w:adjustRightInd w:val="0"/>
        <w:snapToGrid w:val="0"/>
        <w:spacing w:after="0" w:line="360" w:lineRule="auto"/>
        <w:ind w:firstLine="22"/>
        <w:jc w:val="both"/>
        <w:rPr>
          <w:rFonts w:ascii="Book Antiqua" w:hAnsi="Book Antiqua" w:cs="Arial"/>
          <w:bCs/>
          <w:color w:val="000000" w:themeColor="text1"/>
          <w:sz w:val="24"/>
          <w:szCs w:val="24"/>
          <w:lang w:val="en-GB"/>
        </w:rPr>
      </w:pPr>
    </w:p>
    <w:p w14:paraId="45DE0441"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CONCLUSION</w:t>
      </w:r>
    </w:p>
    <w:p w14:paraId="7155FEF0"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sz w:val="24"/>
          <w:szCs w:val="24"/>
          <w:lang w:val="en-GB"/>
        </w:rPr>
      </w:pPr>
      <w:r w:rsidRPr="00B751AA">
        <w:rPr>
          <w:rFonts w:ascii="Book Antiqua" w:hAnsi="Book Antiqua" w:cs="Arial"/>
          <w:bCs/>
          <w:color w:val="000000" w:themeColor="text1"/>
          <w:sz w:val="24"/>
          <w:szCs w:val="24"/>
          <w:lang w:val="en-GB"/>
        </w:rPr>
        <w:t xml:space="preserve">Analysis of the molecular process that leads to decrease in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during neoadjuvant treatment and its regulation may provide novel markers and targets to improve targeted therapy of ESCC.</w:t>
      </w:r>
    </w:p>
    <w:p w14:paraId="0B22286A"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sz w:val="24"/>
          <w:szCs w:val="24"/>
          <w:lang w:val="en-GB"/>
        </w:rPr>
      </w:pPr>
    </w:p>
    <w:p w14:paraId="38751B49" w14:textId="77777777" w:rsidR="00FE6179" w:rsidRPr="00B751AA" w:rsidRDefault="00E62BE4" w:rsidP="00B751AA">
      <w:pPr>
        <w:adjustRightInd w:val="0"/>
        <w:snapToGrid w:val="0"/>
        <w:spacing w:after="0" w:line="360" w:lineRule="auto"/>
        <w:jc w:val="both"/>
        <w:rPr>
          <w:rFonts w:ascii="Book Antiqua" w:hAnsi="Book Antiqua" w:cs="Arial"/>
          <w:color w:val="000000" w:themeColor="text1"/>
          <w:sz w:val="24"/>
          <w:szCs w:val="24"/>
          <w:lang w:val="en-GB"/>
        </w:rPr>
      </w:pPr>
      <w:bookmarkStart w:id="4" w:name="_Hlk8052531"/>
      <w:r w:rsidRPr="00B751AA">
        <w:rPr>
          <w:rFonts w:ascii="Book Antiqua" w:hAnsi="Book Antiqua"/>
          <w:b/>
          <w:sz w:val="24"/>
          <w:szCs w:val="24"/>
          <w:lang w:val="hu-HU"/>
        </w:rPr>
        <w:t>Key words:</w:t>
      </w:r>
      <w:bookmarkEnd w:id="4"/>
      <w:r w:rsidRPr="00B751AA">
        <w:rPr>
          <w:rFonts w:ascii="Book Antiqua" w:hAnsi="Book Antiqua"/>
          <w:sz w:val="24"/>
          <w:szCs w:val="24"/>
          <w:lang w:eastAsia="zh-CN"/>
        </w:rPr>
        <w:t xml:space="preserve"> </w:t>
      </w:r>
      <w:proofErr w:type="spellStart"/>
      <w:r w:rsidRPr="00B751AA">
        <w:rPr>
          <w:rFonts w:ascii="Book Antiqua" w:hAnsi="Book Antiqua" w:cs="Arial"/>
          <w:color w:val="000000" w:themeColor="text1"/>
          <w:sz w:val="24"/>
          <w:szCs w:val="24"/>
          <w:lang w:val="en-GB"/>
        </w:rPr>
        <w:t>Esophageal</w:t>
      </w:r>
      <w:proofErr w:type="spellEnd"/>
      <w:r w:rsidRPr="00B751AA">
        <w:rPr>
          <w:rFonts w:ascii="Book Antiqua" w:hAnsi="Book Antiqua" w:cs="Arial"/>
          <w:color w:val="000000" w:themeColor="text1"/>
          <w:sz w:val="24"/>
          <w:szCs w:val="24"/>
          <w:lang w:val="en-GB"/>
        </w:rPr>
        <w:t xml:space="preserve"> </w:t>
      </w:r>
      <w:r w:rsidR="00FE6179" w:rsidRPr="00B751AA">
        <w:rPr>
          <w:rFonts w:ascii="Book Antiqua" w:hAnsi="Book Antiqua" w:cs="Arial"/>
          <w:color w:val="000000" w:themeColor="text1"/>
          <w:sz w:val="24"/>
          <w:szCs w:val="24"/>
          <w:lang w:val="en-GB"/>
        </w:rPr>
        <w:t>cancer</w:t>
      </w:r>
      <w:r w:rsidRPr="00B751AA">
        <w:rPr>
          <w:rFonts w:ascii="Book Antiqua" w:hAnsi="Book Antiqua" w:cs="Arial"/>
          <w:color w:val="000000" w:themeColor="text1"/>
          <w:sz w:val="24"/>
          <w:szCs w:val="24"/>
          <w:lang w:val="en-GB"/>
        </w:rPr>
        <w:t>;</w:t>
      </w:r>
      <w:r w:rsidR="00FE6179"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 xml:space="preserve">Response </w:t>
      </w:r>
      <w:r w:rsidR="00FE6179" w:rsidRPr="00B751AA">
        <w:rPr>
          <w:rFonts w:ascii="Book Antiqua" w:hAnsi="Book Antiqua" w:cs="Arial"/>
          <w:color w:val="000000" w:themeColor="text1"/>
          <w:sz w:val="24"/>
          <w:szCs w:val="24"/>
          <w:lang w:val="en-GB"/>
        </w:rPr>
        <w:t>prediction</w:t>
      </w:r>
      <w:r w:rsidRPr="00B751AA">
        <w:rPr>
          <w:rFonts w:ascii="Book Antiqua" w:hAnsi="Book Antiqua" w:cs="Arial"/>
          <w:color w:val="000000" w:themeColor="text1"/>
          <w:sz w:val="24"/>
          <w:szCs w:val="24"/>
          <w:lang w:val="en-GB"/>
        </w:rPr>
        <w:t>;</w:t>
      </w:r>
      <w:r w:rsidR="00FE6179"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Prognosis;</w:t>
      </w:r>
      <w:r w:rsidR="00FE6179" w:rsidRPr="00B751AA">
        <w:rPr>
          <w:rFonts w:ascii="Book Antiqua" w:hAnsi="Book Antiqua" w:cs="Arial"/>
          <w:color w:val="000000" w:themeColor="text1"/>
          <w:sz w:val="24"/>
          <w:szCs w:val="24"/>
          <w:lang w:val="en-GB"/>
        </w:rPr>
        <w:t xml:space="preserve"> D2-40</w:t>
      </w:r>
      <w:r w:rsidRPr="00B751AA">
        <w:rPr>
          <w:rFonts w:ascii="Book Antiqua" w:hAnsi="Book Antiqua" w:cs="Arial"/>
          <w:color w:val="000000" w:themeColor="text1"/>
          <w:sz w:val="24"/>
          <w:szCs w:val="24"/>
          <w:lang w:val="en-GB"/>
        </w:rPr>
        <w:t xml:space="preserve">; Posttranscriptional </w:t>
      </w:r>
      <w:r w:rsidR="00FE6179" w:rsidRPr="00B751AA">
        <w:rPr>
          <w:rFonts w:ascii="Book Antiqua" w:hAnsi="Book Antiqua" w:cs="Arial"/>
          <w:color w:val="000000" w:themeColor="text1"/>
          <w:sz w:val="24"/>
          <w:szCs w:val="24"/>
          <w:lang w:val="en-GB"/>
        </w:rPr>
        <w:t>regulation</w:t>
      </w:r>
      <w:r w:rsidRPr="00B751AA">
        <w:rPr>
          <w:rFonts w:ascii="Book Antiqua" w:hAnsi="Book Antiqua" w:cs="Arial"/>
          <w:color w:val="000000" w:themeColor="text1"/>
          <w:sz w:val="24"/>
          <w:szCs w:val="24"/>
          <w:lang w:val="en-GB"/>
        </w:rPr>
        <w:t>;</w:t>
      </w:r>
      <w:r w:rsidR="00FE6179" w:rsidRPr="00B751AA">
        <w:rPr>
          <w:rFonts w:ascii="Book Antiqua" w:hAnsi="Book Antiqua" w:cs="Arial"/>
          <w:color w:val="000000" w:themeColor="text1"/>
          <w:sz w:val="24"/>
          <w:szCs w:val="24"/>
          <w:lang w:val="en-GB"/>
        </w:rPr>
        <w:t xml:space="preserve"> miRNA-363</w:t>
      </w:r>
    </w:p>
    <w:p w14:paraId="7FA4A2DF" w14:textId="77777777" w:rsidR="00E62BE4" w:rsidRPr="00B751AA" w:rsidRDefault="00E62BE4" w:rsidP="00B751AA">
      <w:pPr>
        <w:adjustRightInd w:val="0"/>
        <w:snapToGrid w:val="0"/>
        <w:spacing w:after="0" w:line="360" w:lineRule="auto"/>
        <w:jc w:val="both"/>
        <w:rPr>
          <w:rFonts w:ascii="Book Antiqua" w:hAnsi="Book Antiqua"/>
          <w:color w:val="000000" w:themeColor="text1"/>
          <w:sz w:val="24"/>
          <w:szCs w:val="24"/>
        </w:rPr>
      </w:pPr>
    </w:p>
    <w:p w14:paraId="6A093FAB" w14:textId="77777777" w:rsidR="00E62BE4" w:rsidRPr="00B751AA" w:rsidRDefault="00E62BE4" w:rsidP="00B751AA">
      <w:pPr>
        <w:adjustRightInd w:val="0"/>
        <w:snapToGrid w:val="0"/>
        <w:spacing w:after="0" w:line="360" w:lineRule="auto"/>
        <w:jc w:val="both"/>
        <w:rPr>
          <w:rFonts w:ascii="Book Antiqua" w:hAnsi="Book Antiqua"/>
          <w:b/>
          <w:sz w:val="24"/>
          <w:szCs w:val="24"/>
          <w:lang w:eastAsia="zh-CN"/>
        </w:rPr>
      </w:pPr>
      <w:r w:rsidRPr="00B751AA">
        <w:rPr>
          <w:rFonts w:ascii="Book Antiqua" w:hAnsi="Book Antiqua"/>
          <w:color w:val="000000" w:themeColor="text1"/>
          <w:sz w:val="24"/>
          <w:szCs w:val="24"/>
          <w:lang w:val="de-DE"/>
        </w:rPr>
        <w:t xml:space="preserve">Warnecke-Eberz U, Plum P, Schweinsberg V, Drebber U, Bruns CJ, Müller DT, Hölscher AH, Bollschweiler E. </w:t>
      </w:r>
      <w:r w:rsidRPr="00B751AA">
        <w:rPr>
          <w:rFonts w:ascii="Book Antiqua" w:hAnsi="Book Antiqua" w:cs="Arial"/>
          <w:bCs/>
          <w:color w:val="000000" w:themeColor="text1"/>
          <w:sz w:val="24"/>
          <w:szCs w:val="24"/>
          <w:lang w:val="en-GB"/>
        </w:rPr>
        <w:t xml:space="preserve">Neoadjuvant chemoradiation changes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in </w:t>
      </w:r>
      <w:proofErr w:type="spellStart"/>
      <w:r w:rsidRPr="00B751AA">
        <w:rPr>
          <w:rFonts w:ascii="Book Antiqua" w:hAnsi="Book Antiqua" w:cs="Arial"/>
          <w:bCs/>
          <w:color w:val="000000" w:themeColor="text1"/>
          <w:sz w:val="24"/>
          <w:szCs w:val="24"/>
          <w:lang w:val="en-GB"/>
        </w:rPr>
        <w:t>esophageal</w:t>
      </w:r>
      <w:proofErr w:type="spellEnd"/>
      <w:r w:rsidRPr="00B751AA">
        <w:rPr>
          <w:rFonts w:ascii="Book Antiqua" w:hAnsi="Book Antiqua" w:cs="Arial"/>
          <w:bCs/>
          <w:color w:val="000000" w:themeColor="text1"/>
          <w:sz w:val="24"/>
          <w:szCs w:val="24"/>
          <w:lang w:val="en-GB"/>
        </w:rPr>
        <w:t xml:space="preserve"> cancer patients. </w:t>
      </w:r>
      <w:r w:rsidRPr="00B751AA">
        <w:rPr>
          <w:rFonts w:ascii="Book Antiqua" w:hAnsi="Book Antiqua" w:cstheme="minorBidi"/>
          <w:bCs/>
          <w:i/>
          <w:iCs/>
          <w:sz w:val="24"/>
          <w:szCs w:val="24"/>
        </w:rPr>
        <w:t xml:space="preserve">World J Gastroenterol </w:t>
      </w:r>
      <w:r w:rsidRPr="00B751AA">
        <w:rPr>
          <w:rFonts w:ascii="Book Antiqua" w:hAnsi="Book Antiqua" w:cstheme="minorBidi"/>
          <w:bCs/>
          <w:sz w:val="24"/>
          <w:szCs w:val="24"/>
        </w:rPr>
        <w:t>2020;</w:t>
      </w:r>
      <w:r w:rsidRPr="00B751AA">
        <w:rPr>
          <w:rFonts w:ascii="Book Antiqua" w:hAnsi="Book Antiqua" w:cstheme="minorBidi"/>
          <w:bCs/>
          <w:sz w:val="24"/>
          <w:szCs w:val="24"/>
          <w:lang w:eastAsia="zh-CN"/>
        </w:rPr>
        <w:t xml:space="preserve"> In press</w:t>
      </w:r>
    </w:p>
    <w:p w14:paraId="7FDC6A4B" w14:textId="77777777" w:rsidR="00E62BE4" w:rsidRPr="00B751AA" w:rsidRDefault="00E62BE4" w:rsidP="00B751AA">
      <w:pPr>
        <w:adjustRightInd w:val="0"/>
        <w:snapToGrid w:val="0"/>
        <w:spacing w:after="0" w:line="360" w:lineRule="auto"/>
        <w:jc w:val="both"/>
        <w:rPr>
          <w:rFonts w:ascii="Book Antiqua" w:hAnsi="Book Antiqua"/>
          <w:color w:val="000000" w:themeColor="text1"/>
          <w:sz w:val="24"/>
          <w:szCs w:val="24"/>
          <w:lang w:val="de-DE"/>
        </w:rPr>
      </w:pPr>
    </w:p>
    <w:p w14:paraId="45E6C405" w14:textId="77777777" w:rsidR="00FE6179" w:rsidRPr="00B751AA" w:rsidRDefault="00E62BE4"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theme="minorHAnsi"/>
          <w:b/>
          <w:iCs/>
          <w:sz w:val="24"/>
          <w:szCs w:val="24"/>
        </w:rPr>
        <w:t>Core tip</w:t>
      </w:r>
      <w:r w:rsidRPr="00B751AA">
        <w:rPr>
          <w:rFonts w:ascii="Book Antiqua" w:hAnsi="Book Antiqua" w:cstheme="minorHAnsi"/>
          <w:iCs/>
          <w:sz w:val="24"/>
          <w:szCs w:val="24"/>
        </w:rPr>
        <w:t>:</w:t>
      </w:r>
      <w:r w:rsidRPr="00B751AA">
        <w:rPr>
          <w:rFonts w:ascii="Book Antiqua" w:hAnsi="Book Antiqua" w:cstheme="minorHAnsi"/>
          <w:sz w:val="24"/>
          <w:szCs w:val="24"/>
        </w:rPr>
        <w:t xml:space="preserve">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is an </w:t>
      </w:r>
      <w:proofErr w:type="spellStart"/>
      <w:r w:rsidR="00FE6179" w:rsidRPr="00B751AA">
        <w:rPr>
          <w:rFonts w:ascii="Book Antiqua" w:hAnsi="Book Antiqua" w:cs="Arial"/>
          <w:color w:val="000000" w:themeColor="text1"/>
          <w:sz w:val="24"/>
          <w:szCs w:val="24"/>
          <w:lang w:val="en-GB"/>
        </w:rPr>
        <w:t>oncofetal</w:t>
      </w:r>
      <w:proofErr w:type="spellEnd"/>
      <w:r w:rsidR="00FE6179" w:rsidRPr="00B751AA">
        <w:rPr>
          <w:rFonts w:ascii="Book Antiqua" w:hAnsi="Book Antiqua" w:cs="Arial"/>
          <w:color w:val="000000" w:themeColor="text1"/>
          <w:sz w:val="24"/>
          <w:szCs w:val="24"/>
          <w:lang w:val="en-GB"/>
        </w:rPr>
        <w:t xml:space="preserve"> membrane protein, re-expressed in squamous cell carcinoma of the </w:t>
      </w:r>
      <w:proofErr w:type="spellStart"/>
      <w:r w:rsidR="00FE6179" w:rsidRPr="00B751AA">
        <w:rPr>
          <w:rFonts w:ascii="Book Antiqua" w:hAnsi="Book Antiqua" w:cs="Arial"/>
          <w:color w:val="000000" w:themeColor="text1"/>
          <w:sz w:val="24"/>
          <w:szCs w:val="24"/>
          <w:lang w:val="en-GB"/>
        </w:rPr>
        <w:t>esophagus</w:t>
      </w:r>
      <w:proofErr w:type="spellEnd"/>
      <w:r w:rsidR="00FE6179" w:rsidRPr="00B751AA">
        <w:rPr>
          <w:rFonts w:ascii="Book Antiqua" w:hAnsi="Book Antiqua" w:cs="Arial"/>
          <w:color w:val="000000" w:themeColor="text1"/>
          <w:sz w:val="24"/>
          <w:szCs w:val="24"/>
          <w:lang w:val="en-GB"/>
        </w:rPr>
        <w:t xml:space="preserve">.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expression seems to be, among others, controlled by miR-363. Chemoradiation results in reduction of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protein expression, and furthermore,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is a prognostic factor for survival. This implicates that a decrease of </w:t>
      </w:r>
      <w:proofErr w:type="spellStart"/>
      <w:r w:rsidR="00FE6179" w:rsidRPr="00B751AA">
        <w:rPr>
          <w:rFonts w:ascii="Book Antiqua" w:hAnsi="Book Antiqua" w:cs="Arial"/>
          <w:color w:val="000000" w:themeColor="text1"/>
          <w:sz w:val="24"/>
          <w:szCs w:val="24"/>
          <w:lang w:val="en-GB"/>
        </w:rPr>
        <w:t>podoplanin</w:t>
      </w:r>
      <w:proofErr w:type="spellEnd"/>
      <w:r w:rsidR="00FE6179" w:rsidRPr="00B751AA">
        <w:rPr>
          <w:rFonts w:ascii="Book Antiqua" w:hAnsi="Book Antiqua" w:cs="Arial"/>
          <w:color w:val="000000" w:themeColor="text1"/>
          <w:sz w:val="24"/>
          <w:szCs w:val="24"/>
          <w:lang w:val="en-GB"/>
        </w:rPr>
        <w:t xml:space="preserve"> might become a therapeutic option.</w:t>
      </w:r>
    </w:p>
    <w:p w14:paraId="40FAC890" w14:textId="77777777" w:rsidR="00E62BE4" w:rsidRPr="00B751AA" w:rsidRDefault="00E62BE4" w:rsidP="00B751AA">
      <w:pPr>
        <w:adjustRightInd w:val="0"/>
        <w:snapToGrid w:val="0"/>
        <w:spacing w:after="0" w:line="360" w:lineRule="auto"/>
        <w:jc w:val="both"/>
        <w:rPr>
          <w:rFonts w:ascii="Book Antiqua" w:hAnsi="Book Antiqua" w:cstheme="minorHAnsi"/>
          <w:b/>
          <w:sz w:val="24"/>
          <w:szCs w:val="24"/>
          <w:u w:val="single"/>
        </w:rPr>
      </w:pPr>
      <w:r w:rsidRPr="00B751AA">
        <w:rPr>
          <w:rFonts w:ascii="Book Antiqua" w:hAnsi="Book Antiqua" w:cstheme="minorHAnsi"/>
          <w:b/>
          <w:sz w:val="24"/>
          <w:szCs w:val="24"/>
          <w:u w:val="single"/>
        </w:rPr>
        <w:lastRenderedPageBreak/>
        <w:t>INTRODUCTION</w:t>
      </w:r>
    </w:p>
    <w:p w14:paraId="6FED007F" w14:textId="77777777" w:rsidR="00FE6179" w:rsidRPr="00B751AA" w:rsidRDefault="00FE6179" w:rsidP="00B751AA">
      <w:pPr>
        <w:pStyle w:val="StandardArial"/>
        <w:adjustRightInd w:val="0"/>
        <w:snapToGrid w:val="0"/>
        <w:spacing w:before="0" w:after="0"/>
        <w:rPr>
          <w:rFonts w:ascii="Book Antiqua" w:hAnsi="Book Antiqua"/>
          <w:color w:val="000000" w:themeColor="text1"/>
          <w:szCs w:val="24"/>
          <w:lang w:val="en-GB"/>
        </w:rPr>
      </w:pPr>
      <w:r w:rsidRPr="00B751AA">
        <w:rPr>
          <w:rFonts w:ascii="Book Antiqua" w:hAnsi="Book Antiqua"/>
          <w:color w:val="000000" w:themeColor="text1"/>
          <w:szCs w:val="24"/>
          <w:lang w:val="en-US"/>
        </w:rPr>
        <w:t>Esophageal squamous cell- (ESCC) and adenocarcinoma (EAC) are common malignancies worldwide</w:t>
      </w:r>
      <w:r w:rsidRPr="00B751AA">
        <w:rPr>
          <w:rFonts w:ascii="Book Antiqua" w:hAnsi="Book Antiqua"/>
          <w:color w:val="000000" w:themeColor="text1"/>
          <w:szCs w:val="24"/>
          <w:lang w:val="en-US"/>
        </w:rPr>
        <w:fldChar w:fldCharType="begin" w:fldLock="1"/>
      </w:r>
      <w:r w:rsidRPr="00B751AA">
        <w:rPr>
          <w:rFonts w:ascii="Book Antiqua" w:hAnsi="Book Antiqua"/>
          <w:color w:val="000000" w:themeColor="text1"/>
          <w:szCs w:val="24"/>
          <w:lang w:val="en-US"/>
        </w:rPr>
        <w:instrText>ADDIN CSL_CITATION {"citationItems":[{"id":"ITEM-1","itemData":{"DOI":"10.1158/1055-9965.EPI-15-0578","ISSN":"10559965","PMID":"26667886","abstract":"There are limited published data on recent cancer incidence and mortality trends worldwide. We used the International Agency for Research on Cancer's CANCERMondial clearing-house to present age-standardized cancer incidence and death rates for 2003-2007. We also present trends in incidence through 2007 and mortality through 2012 for select countries from five continents. High-income countries (HIC) continue to have the highest incidence rates for all sites, as well as for lung, colorectal, breast, and prostate cancer, although some low- and middle-income countries (LMIC) now count among those with the highest rates. Mortality rates from these cancers are declining in many HICs while they are increasing in LMICs. LMICs have the highest rates of stomach, liver, esophageal, and cervical cancer. Although rates remain high in HICs, they are plateauing or decreasing for the most common cancers due to decreases in known risk factors, screening and early detection, and improved treatment (mortality only). In contrast, rates in several LMICs are increasing for these cancers due to increases in smoking, excess body weight, and physical inactivity. LMICs also have a disproportionate burden of infection-related cancers. Applied cancer control measures are needed to reduce rates in HICs and arrest the growing burden in LMICs.","author":[{"dropping-particle":"","family":"Torre","given":"Lindsey A","non-dropping-particle":"","parse-names":false,"suffix":""},{"dropping-particle":"","family":"Siegel","given":"Rebecca L","non-dropping-particle":"","parse-names":false,"suffix":""},{"dropping-particle":"","family":"Ward","given":"Elizabeth M","non-dropping-particle":"","parse-names":false,"suffix":""},{"dropping-particle":"","family":"Jemal","given":"Ahmedin","non-dropping-particle":"","parse-names":false,"suffix":""}],"container-title":"Cancer Epidemiology Biomarkers and Prevention","id":"ITEM-1","issue":"1","issued":{"date-parts":[["2016","1"]]},"page":"16-27","publisher":"Cancer Epidemiol Biomarkers Prev","title":"Global cancer incidence and mortality rates and trends - An update","type":"article","volume":"25"},"uris":["http://www.mendeley.com/documents/?uuid=624599ce-56a4-3c23-aef8-773b55347e8f"]}],"mendeley":{"formattedCitation":"&lt;sup&gt;[1]&lt;/sup&gt;","plainTextFormattedCitation":"[1]","previouslyFormattedCitation":"&lt;sup&gt;[1]&lt;/sup&gt;"},"properties":{"noteIndex":0},"schema":"https://github.com/citation-style-language/schema/raw/master/csl-citation.json"}</w:instrText>
      </w:r>
      <w:r w:rsidRPr="00B751AA">
        <w:rPr>
          <w:rFonts w:ascii="Book Antiqua" w:hAnsi="Book Antiqua"/>
          <w:color w:val="000000" w:themeColor="text1"/>
          <w:szCs w:val="24"/>
          <w:lang w:val="en-US"/>
        </w:rPr>
        <w:fldChar w:fldCharType="separate"/>
      </w:r>
      <w:r w:rsidRPr="00B751AA">
        <w:rPr>
          <w:rFonts w:ascii="Book Antiqua" w:hAnsi="Book Antiqua"/>
          <w:noProof/>
          <w:color w:val="000000" w:themeColor="text1"/>
          <w:szCs w:val="24"/>
          <w:vertAlign w:val="superscript"/>
          <w:lang w:val="en-US"/>
        </w:rPr>
        <w:t>[1]</w:t>
      </w:r>
      <w:r w:rsidRPr="00B751AA">
        <w:rPr>
          <w:rFonts w:ascii="Book Antiqua" w:hAnsi="Book Antiqua"/>
          <w:color w:val="000000" w:themeColor="text1"/>
          <w:szCs w:val="24"/>
          <w:lang w:val="en-US"/>
        </w:rPr>
        <w:fldChar w:fldCharType="end"/>
      </w:r>
      <w:r w:rsidRPr="00B751AA">
        <w:rPr>
          <w:rFonts w:ascii="Book Antiqua" w:hAnsi="Book Antiqua"/>
          <w:color w:val="000000" w:themeColor="text1"/>
          <w:szCs w:val="24"/>
          <w:lang w:val="en-US"/>
        </w:rPr>
        <w:t>. EAC is the most rapidly increasing cancer in the Western world, thus ESCC no longer represents the most prevalent histological subtype</w:t>
      </w:r>
      <w:r w:rsidRPr="00B751AA">
        <w:rPr>
          <w:rFonts w:ascii="Book Antiqua" w:hAnsi="Book Antiqua"/>
          <w:color w:val="000000" w:themeColor="text1"/>
          <w:szCs w:val="24"/>
          <w:lang w:val="en-US"/>
        </w:rPr>
        <w:fldChar w:fldCharType="begin" w:fldLock="1"/>
      </w:r>
      <w:r w:rsidRPr="00B751AA">
        <w:rPr>
          <w:rFonts w:ascii="Book Antiqua" w:hAnsi="Book Antiqua"/>
          <w:color w:val="000000" w:themeColor="text1"/>
          <w:szCs w:val="24"/>
          <w:lang w:val="en-US"/>
        </w:rPr>
        <w:instrText>ADDIN CSL_CITATION {"citationItems":[{"id":"ITEM-1","itemData":{"DOI":"10.3322/caac.20141","ISSN":"1542-4863","PMID":"22281605","abstract":"Despite declines in incidence rates for the most common cancers, the incidence of several cancers has increased in the past decade, including cancers of the pancreas, liver, thyroid, and kidney and melanoma of the skin, as well as esophageal adenocarcinoma and certain subsites of oropharyngeal cancer associated with human papillomavirus (HPV) infection. Population-based incidence data compiled by the North American Association of Central Cancer Registries were used to examine trends in incidence rates from 1999 through 2008 for the 7 cancers listed by sex, age group, race/ethnicity, and stage at diagnosis. Joinpoint regression was used to calculate average annual percent changes in incidence rates (1999-2008). Rates for HPV-related oropharyngeal cancer, esophageal adenocarcinoma, cancer of the pancreas, and melanoma of the skin increased only in whites, except for esophageal adenocarcinoma, which also increased in Hispanic men. Liver cancer rates increased in white, black, and Hispanic men and in black women only. In contrast, incidence rates for thyroid and kidney cancers increased in all racial/ethnic groups, except American Indian/Alaska Native men. Increases in incidence rates by age were steepest for liver and HPV-related oropharyngeal cancers among those aged 55 [corrected] to 64 years and for melanoma of the skin in those aged 65 years and older. Notably, for HPV-related oropharyngeal cancer in men and thyroid cancer in women, incidence rates were higher in those aged 55 to 64 years than in those aged 65 years and older. Rates increased for both local and advanced stage diseases for most cancer sites. The reasons for these increasing trends are not entirely known. Part of the increase (for esophageal adenocarcinoma and cancers of the pancreas, liver, and kidney) may be linked to the increasing prevalence of obesity as well as increases in early detection practices for some cancers. These rising trends will exacerbate the growing cancer burden associated with population expansion and aging. Additional research is needed to determine the underlying reasons for these increasing trends.","author":[{"dropping-particle":"","family":"Simard","given":"Edgar P","non-dropping-particle":"","parse-names":false,"suffix":""},{"dropping-particle":"","family":"Ward","given":"Elizabeth M","non-dropping-particle":"","parse-names":false,"suffix":""},{"dropping-particle":"","family":"Siegel","given":"Rebecca","non-dropping-particle":"","parse-names":false,"suffix":""},{"dropping-particle":"","family":"Jemal","given":"Ahmedin","non-dropping-particle":"","parse-names":false,"suffix":""}],"container-title":"CA: A Cancer Journal for Clinicians","id":"ITEM-1","issue":"2","issued":{"date-parts":[["2012"]]},"page":"118-128","publisher":"CA Cancer J Clin","title":"Cancers with increasing incidence trends in the United States: 1999 through 2008","type":"article-journal","volume":"62"},"uris":["http://www.mendeley.com/documents/?uuid=e6a5ab57-8228-3476-9759-181ad710f552"]}],"mendeley":{"formattedCitation":"&lt;sup&gt;[2]&lt;/sup&gt;","plainTextFormattedCitation":"[2]","previouslyFormattedCitation":"&lt;sup&gt;[2]&lt;/sup&gt;"},"properties":{"noteIndex":0},"schema":"https://github.com/citation-style-language/schema/raw/master/csl-citation.json"}</w:instrText>
      </w:r>
      <w:r w:rsidRPr="00B751AA">
        <w:rPr>
          <w:rFonts w:ascii="Book Antiqua" w:hAnsi="Book Antiqua"/>
          <w:color w:val="000000" w:themeColor="text1"/>
          <w:szCs w:val="24"/>
          <w:lang w:val="en-US"/>
        </w:rPr>
        <w:fldChar w:fldCharType="separate"/>
      </w:r>
      <w:r w:rsidRPr="00B751AA">
        <w:rPr>
          <w:rFonts w:ascii="Book Antiqua" w:hAnsi="Book Antiqua"/>
          <w:noProof/>
          <w:color w:val="000000" w:themeColor="text1"/>
          <w:szCs w:val="24"/>
          <w:vertAlign w:val="superscript"/>
          <w:lang w:val="en-US"/>
        </w:rPr>
        <w:t>[2]</w:t>
      </w:r>
      <w:r w:rsidRPr="00B751AA">
        <w:rPr>
          <w:rFonts w:ascii="Book Antiqua" w:hAnsi="Book Antiqua"/>
          <w:color w:val="000000" w:themeColor="text1"/>
          <w:szCs w:val="24"/>
          <w:lang w:val="en-US"/>
        </w:rPr>
        <w:fldChar w:fldCharType="end"/>
      </w:r>
      <w:r w:rsidRPr="00B751AA">
        <w:rPr>
          <w:rFonts w:ascii="Book Antiqua" w:hAnsi="Book Antiqua"/>
          <w:color w:val="000000" w:themeColor="text1"/>
          <w:szCs w:val="24"/>
          <w:lang w:val="en-US"/>
        </w:rPr>
        <w:t>. These two tumor types differ in risk factors and biological characteristics</w:t>
      </w:r>
      <w:r w:rsidRPr="00B751AA">
        <w:rPr>
          <w:rFonts w:ascii="Book Antiqua" w:hAnsi="Book Antiqua"/>
          <w:color w:val="000000" w:themeColor="text1"/>
          <w:szCs w:val="24"/>
          <w:lang w:val="en-US"/>
        </w:rPr>
        <w:fldChar w:fldCharType="begin" w:fldLock="1"/>
      </w:r>
      <w:r w:rsidRPr="00B751AA">
        <w:rPr>
          <w:rFonts w:ascii="Book Antiqua" w:hAnsi="Book Antiqua"/>
          <w:color w:val="000000" w:themeColor="text1"/>
          <w:szCs w:val="24"/>
          <w:lang w:val="en-US"/>
        </w:rPr>
        <w:instrText>ADDIN CSL_CITATION {"citationItems":[{"id":"ITEM-1","itemData":{"DOI":"10.4251/wjgo.v6.i5.112","ISSN":"1948-5204","PMID":"24834141","abstract":"Esophageal cancer is a serious malignancy with regards to mortality and prognosis. It is a growing health concern that is expected to increase in incidence over the next 10 years. Squamous cell carcinoma is the most common histological type of esophageal cancer worldwide, with a higher incidence in developing nations. With the increased prevalence of gastroesophageal reflux disease and obesity in developed nations, the incidence of esophageal adenocarcinoma has dramatically increased in the past 40 years. Esophageal cancer is staged according to the widely accepted TNM system. Staging plays an integral part in guiding stage specific treatment protocols and has a great impact on overall survival. Common imaging modalities used in staging include computed tomography, endoscopic ultrasound and positron emission tomography scans. Current treatment options include multimodality therapy mainstays of current treatment include surgery, radiation and chemotherapy. Tumor markers of esophageal cancer are an advancing area of research that could potentially lead to earlier diagnosis as well as playing a part in assessing tumor response to therapy.","author":[{"dropping-particle":"","family":"Napier","given":"Kyle J","non-dropping-particle":"","parse-names":false,"suffix":""}],"container-title":"World Journal of Gastrointestinal Oncology","id":"ITEM-1","issue":"5","issued":{"date-parts":[["2014","5","15"]]},"page":"112","publisher":"World J Gastrointest Oncol","title":"Esophageal cancer: A Review of epidemiology, pathogenesis, staging workup and treatment modalities","type":"article-journal","volume":"6"},"uris":["http://www.mendeley.com/documents/?uuid=f57ee15c-4c4e-3e35-8152-91c4e57901a1"]},{"id":"ITEM-2","itemData":{"DOI":"10.1158/1055-9965.EPI-12-1347","ISSN":"10559965","PMID":"23549398","abstract":"Esophageal squamous cell carcinoma (ESCC) accounts for 80% of all esophageal cancers worldwide, and esophageal squamous dysplasia (ESD) is the only histopathology that predicts the development of ESCC. The prevalence of ESDparallels rates of invasive ESCC and is typically found in 25% or more of adults above the age of 35 years in populations in north central China, where risk for ESCC is among the highest in the world. Results of chemoprevention and early detection studies to prevent progression of ESD suggest that these approaches, coupled with emerging endoscopic therapies, offer promise for the prevention of esophageal cancer mortality in high-risk populations. Future research on ESD and ESCC should focus on finding additional modifiable risk factors and on identifying biomarkers to incorporate into early detection strategies. © 2013 American Association for Cancer Research.","author":[{"dropping-particle":"","family":"Taylor","given":"Philip R","non-dropping-particle":"","parse-names":false,"suffix":""},{"dropping-particle":"","family":"Abnet","given":"Christian C","non-dropping-particle":"","parse-names":false,"suffix":""},{"dropping-particle":"","family":"Dawsey","given":"Sanford M","non-dropping-particle":"","parse-names":false,"suffix":""}],"container-title":"Cancer Epidemiology Biomarkers and Prevention","id":"ITEM-2","issue":"4","issued":{"date-parts":[["2013","4"]]},"page":"540-552","publisher":"Cancer Epidemiol Biomarkers Prev","title":"Squamous dysplasia-The precursor lesion for esophageal squamous cell carcinoma","type":"article-journal","volume":"22"},"uris":["http://www.mendeley.com/documents/?uuid=5ad835f0-e299-315e-b46b-e4514ff7da69"]}],"mendeley":{"formattedCitation":"&lt;sup&gt;[3,4]&lt;/sup&gt;","plainTextFormattedCitation":"[3,4]","previouslyFormattedCitation":"&lt;sup&gt;[3,4]&lt;/sup&gt;"},"properties":{"noteIndex":0},"schema":"https://github.com/citation-style-language/schema/raw/master/csl-citation.json"}</w:instrText>
      </w:r>
      <w:r w:rsidRPr="00B751AA">
        <w:rPr>
          <w:rFonts w:ascii="Book Antiqua" w:hAnsi="Book Antiqua"/>
          <w:color w:val="000000" w:themeColor="text1"/>
          <w:szCs w:val="24"/>
          <w:lang w:val="en-US"/>
        </w:rPr>
        <w:fldChar w:fldCharType="separate"/>
      </w:r>
      <w:r w:rsidRPr="00B751AA">
        <w:rPr>
          <w:rFonts w:ascii="Book Antiqua" w:hAnsi="Book Antiqua"/>
          <w:noProof/>
          <w:color w:val="000000" w:themeColor="text1"/>
          <w:szCs w:val="24"/>
          <w:vertAlign w:val="superscript"/>
          <w:lang w:val="en-US"/>
        </w:rPr>
        <w:t>[3,4]</w:t>
      </w:r>
      <w:r w:rsidRPr="00B751AA">
        <w:rPr>
          <w:rFonts w:ascii="Book Antiqua" w:hAnsi="Book Antiqua"/>
          <w:color w:val="000000" w:themeColor="text1"/>
          <w:szCs w:val="24"/>
          <w:lang w:val="en-US"/>
        </w:rPr>
        <w:fldChar w:fldCharType="end"/>
      </w:r>
      <w:r w:rsidRPr="00B751AA">
        <w:rPr>
          <w:rFonts w:ascii="Book Antiqua" w:hAnsi="Book Antiqua"/>
          <w:color w:val="000000" w:themeColor="text1"/>
          <w:szCs w:val="24"/>
        </w:rPr>
        <w:t>.</w:t>
      </w:r>
    </w:p>
    <w:p w14:paraId="7238ED36" w14:textId="77777777" w:rsidR="00FE6179" w:rsidRPr="00B751AA" w:rsidRDefault="00FE6179" w:rsidP="00B751AA">
      <w:pPr>
        <w:pStyle w:val="StandardArial"/>
        <w:adjustRightInd w:val="0"/>
        <w:snapToGrid w:val="0"/>
        <w:spacing w:before="0" w:after="0"/>
        <w:ind w:firstLineChars="100" w:firstLine="240"/>
        <w:rPr>
          <w:rFonts w:ascii="Book Antiqua" w:hAnsi="Book Antiqua"/>
          <w:color w:val="000000" w:themeColor="text1"/>
          <w:szCs w:val="24"/>
          <w:lang w:val="en-US"/>
        </w:rPr>
      </w:pPr>
      <w:r w:rsidRPr="00B751AA">
        <w:rPr>
          <w:rFonts w:ascii="Book Antiqua" w:hAnsi="Book Antiqua"/>
          <w:color w:val="000000" w:themeColor="text1"/>
          <w:szCs w:val="24"/>
          <w:lang w:val="en-GB"/>
        </w:rPr>
        <w:t>The poor prognosis of patients with locally advanced cancer encouraged the assessment of neoadjuvant treatment strategies to improve patients</w:t>
      </w:r>
      <w:r w:rsidR="00E62BE4" w:rsidRPr="00B751AA">
        <w:rPr>
          <w:rFonts w:ascii="Book Antiqua" w:hAnsi="Book Antiqua"/>
          <w:color w:val="000000" w:themeColor="text1"/>
          <w:szCs w:val="24"/>
          <w:lang w:val="en-GB"/>
        </w:rPr>
        <w:t>’</w:t>
      </w:r>
      <w:r w:rsidRPr="00B751AA">
        <w:rPr>
          <w:rFonts w:ascii="Book Antiqua" w:hAnsi="Book Antiqua"/>
          <w:color w:val="000000" w:themeColor="text1"/>
          <w:szCs w:val="24"/>
          <w:lang w:val="en-GB"/>
        </w:rPr>
        <w:t xml:space="preserve"> survival</w:t>
      </w:r>
      <w:r w:rsidRPr="00B751AA">
        <w:rPr>
          <w:rFonts w:ascii="Book Antiqua" w:hAnsi="Book Antiqua"/>
          <w:color w:val="000000" w:themeColor="text1"/>
          <w:szCs w:val="24"/>
          <w:lang w:val="en-GB"/>
        </w:rPr>
        <w:fldChar w:fldCharType="begin" w:fldLock="1"/>
      </w:r>
      <w:r w:rsidRPr="00B751AA">
        <w:rPr>
          <w:rFonts w:ascii="Book Antiqua" w:hAnsi="Book Antiqua"/>
          <w:color w:val="000000" w:themeColor="text1"/>
          <w:szCs w:val="24"/>
          <w:lang w:val="en-GB"/>
        </w:rPr>
        <w:instrText>ADDIN CSL_CITATION {"citationItems":[{"id":"ITEM-1","itemData":{"DOI":"10.1016/j.ejca.2014.08.020","ISSN":"18790852","PMID":"25307749","abstract":"Background The prognostic effect of neoadjuvant treatment in advanced oesophageal cancer is still debated because most studies included undefined T-stages, different radio/chemotherapies or different types of surgery. Objectives To analyse the prognostic impact of neoadjuvant chemoradiation in patients with clinical T3 oesophageal cancer and oesophagectomy. Methods In a retrospective study 768 patients from two centres with cT3/Nx/M0 oesophageal cancer and transthoracic en-bloc oesophagectomy were selected. Clinical staging was based on endoscopy, endosonography and spiral-CT scan. Propensity score matching using histology, location of tumour, age, gender and ASA-classification identified 648 patients (n = 302 adenocarcinoma (AC), n = 346 squamous cell carcinoma (SCC)) for the intention-to-treat analysis comparing group-I (n = 324) patients with planned oesophagectomy and group-II (n = 324) patients with planned neoadjuvant chemoradiation (40 Gy, 5-FU, cisplatin) followed by oesophagectomy. The prognosis was analysed by univariate and multivariate analyses. Results In the intention-to-treat analysis group-I had a 17% and group-II a 28% 5-year survival rate (5-YSR) (p &lt; 0.001). After excluding patients without oesophagectomy the 5-YSR of group-II increased to 30%. The results were more favourable for patients with AC (5y-SR of 38%) compared to SCC (22%) (p = 0.060). In group-II patients with major response (n = 128) had a 41% 5-YSR compared to 20% for those with minor response (n = 155, p &lt; 0,001). In multivariate analysis neoadjuvant chemoradiation was a favourable independent prognostic factor. Conclusion Neoadjuvant chemoradiation followed by oesophagectomy results in 11% higher 5-YSR than surgery alone for patients with cT3/Nx/M0 oesophageal cancer. This effect is due to the substantial prognostic benefit of the major responders.","author":[{"dropping-particle":"","family":"Hölscher","given":"Arnulf H","non-dropping-particle":"","parse-names":false,"suffix":""},{"dropping-particle":"","family":"Bollschweiler","given":"Elfriede","non-dropping-particle":"","parse-names":false,"suffix":""},{"dropping-particle":"","family":"Bogoevski","given":"Dean","non-dropping-particle":"","parse-names":false,"suffix":""},{"dropping-particle":"","family":"Schmidt","given":"Henner","non-dropping-particle":"","parse-names":false,"suffix":""},{"dropping-particle":"","family":"Semrau","given":"Robert","non-dropping-particle":"","parse-names":false,"suffix":""},{"dropping-particle":"","family":"Izbicki","given":"Jakob R","non-dropping-particle":"","parse-names":false,"suffix":""}],"container-title":"European Journal of Cancer","id":"ITEM-1","issue":"17","issued":{"date-parts":[["2014","11"]]},"page":"2950-2957","publisher":"Eur J Cancer","title":"Prognostic impact of neoadjuvant chemoradiation in cT3 oesophageal cancer - A propensity score matched analysis","type":"article-journal","volume":"50"},"uris":["http://www.mendeley.com/documents/?uuid=23d01631-a93e-3fa4-94c2-a3ce5170001f"]}],"mendeley":{"formattedCitation":"&lt;sup&gt;[5]&lt;/sup&gt;","plainTextFormattedCitation":"[5]","previouslyFormattedCitation":"&lt;sup&gt;[5]&lt;/sup&gt;"},"properties":{"noteIndex":0},"schema":"https://github.com/citation-style-language/schema/raw/master/csl-citation.json"}</w:instrText>
      </w:r>
      <w:r w:rsidRPr="00B751AA">
        <w:rPr>
          <w:rFonts w:ascii="Book Antiqua" w:hAnsi="Book Antiqua"/>
          <w:color w:val="000000" w:themeColor="text1"/>
          <w:szCs w:val="24"/>
          <w:lang w:val="en-GB"/>
        </w:rPr>
        <w:fldChar w:fldCharType="separate"/>
      </w:r>
      <w:r w:rsidRPr="00B751AA">
        <w:rPr>
          <w:rFonts w:ascii="Book Antiqua" w:hAnsi="Book Antiqua"/>
          <w:noProof/>
          <w:color w:val="000000" w:themeColor="text1"/>
          <w:szCs w:val="24"/>
          <w:vertAlign w:val="superscript"/>
          <w:lang w:val="en-GB"/>
        </w:rPr>
        <w:t>[5]</w:t>
      </w:r>
      <w:r w:rsidRPr="00B751AA">
        <w:rPr>
          <w:rFonts w:ascii="Book Antiqua" w:hAnsi="Book Antiqua"/>
          <w:color w:val="000000" w:themeColor="text1"/>
          <w:szCs w:val="24"/>
          <w:lang w:val="en-GB"/>
        </w:rPr>
        <w:fldChar w:fldCharType="end"/>
      </w:r>
      <w:r w:rsidRPr="00B751AA">
        <w:rPr>
          <w:rFonts w:ascii="Book Antiqua" w:hAnsi="Book Antiqua"/>
          <w:color w:val="000000" w:themeColor="text1"/>
          <w:szCs w:val="24"/>
          <w:lang w:val="en-GB"/>
        </w:rPr>
        <w:t xml:space="preserve">. </w:t>
      </w:r>
      <w:r w:rsidRPr="00B751AA">
        <w:rPr>
          <w:rFonts w:ascii="Book Antiqua" w:hAnsi="Book Antiqua"/>
          <w:bCs/>
          <w:color w:val="000000" w:themeColor="text1"/>
          <w:szCs w:val="24"/>
          <w:lang w:val="en-GB"/>
        </w:rPr>
        <w:t>Since only responders, 40</w:t>
      </w:r>
      <w:r w:rsidR="00E62BE4" w:rsidRPr="00B751AA">
        <w:rPr>
          <w:rFonts w:ascii="Book Antiqua" w:hAnsi="Book Antiqua"/>
          <w:bCs/>
          <w:color w:val="000000" w:themeColor="text1"/>
          <w:szCs w:val="24"/>
          <w:lang w:val="en-GB"/>
        </w:rPr>
        <w:t>%</w:t>
      </w:r>
      <w:r w:rsidRPr="00B751AA">
        <w:rPr>
          <w:rFonts w:ascii="Book Antiqua" w:hAnsi="Book Antiqua"/>
          <w:bCs/>
          <w:color w:val="000000" w:themeColor="text1"/>
          <w:szCs w:val="24"/>
          <w:lang w:val="en-GB"/>
        </w:rPr>
        <w:t xml:space="preserve"> to 50% of all patients profit by better survival, after going through the burden of chemoradiation, we urgently need markers predicting response prior to therapy</w:t>
      </w:r>
      <w:r w:rsidRPr="00B751AA">
        <w:rPr>
          <w:rFonts w:ascii="Book Antiqua" w:hAnsi="Book Antiqua"/>
          <w:bCs/>
          <w:color w:val="000000" w:themeColor="text1"/>
          <w:szCs w:val="24"/>
          <w:lang w:val="en-GB"/>
        </w:rPr>
        <w:fldChar w:fldCharType="begin" w:fldLock="1"/>
      </w:r>
      <w:r w:rsidRPr="00B751AA">
        <w:rPr>
          <w:rFonts w:ascii="Book Antiqua" w:hAnsi="Book Antiqua"/>
          <w:bCs/>
          <w:color w:val="000000" w:themeColor="text1"/>
          <w:szCs w:val="24"/>
          <w:lang w:val="en-GB"/>
        </w:rPr>
        <w:instrText>ADDIN CSL_CITATION {"citationItems":[{"id":"ITEM-1","itemData":{"DOI":"10.1093/annonc/mdn622","ISSN":"09237534","PMID":"18836090","abstract":"Background: This study investigates response and prognosis after neo-adjuvant chemoradiation (CTx/RTx) in patients with advanced esophageal carcinoma, according to histological type. Patients and methods: Patients with uT3 carcinoma of the esophagus treated with curative-intention esophagectomy from 1997 until 2006 were included in this retrospective analysis. Patients receiving preoperative CTx/RTx (5-fluorouracil, cisplatin, 36 Gy) were compared with those with primary surgery for pT3 tumors. Therapy response after CTx/RTx was evaluated using 'Cologne Regression Grade' (minor response: ≥10% vital residual tumor cells (VRTCs), major response: &lt;10% VRTC or pathologic complete response). Prognosis was evaluated for adenocarcinoma (AC) and squamous cell carcinoma (SCC). Results: Of 297 patients, 52% were SCC and 48% AC. In all, 192 patients underwent CTx/RTx, 100 (65%) SCC and 92 (64%) AC (nonsignificant). In SCC group 51% and in AC group 29% achieved major response (P &lt; 0.01). Patients with major response had a 2-year survival rate (2y-SR) of 78% versus those with minor response or without CTx/RTx, with a 2y-SR of 45% (P = 0.001). Examining patients with major response exclusively, the prognosis of AC (2y-SR 85%) is better than that of SCC (2y-SR 54%) (P &lt; 0.01). Conclusion: This retrospective study concludes that in esophageal tumors, response to and prognosis after neo-adjuvant CTx/RTx vary according to histology. © The Author 2008. Published by Oxford University Press on behalf of the European Society for Medical Oncology. All rights reserved.","author":[{"dropping-particle":"","family":"Bollschweiler","given":"Elfriede","non-dropping-particle":"","parse-names":false,"suffix":""},{"dropping-particle":"","family":"Metzger","given":"R","non-dropping-particle":"","parse-names":false,"suffix":""},{"dropping-particle":"","family":"Drebber","given":"U","non-dropping-particle":"","parse-names":false,"suffix":""},{"dropping-particle":"","family":"Baldus","given":"S","non-dropping-particle":"","parse-names":false,"suffix":""},{"dropping-particle":"","family":"Vallböhmer","given":"D","non-dropping-particle":"","parse-names":false,"suffix":""},{"dropping-particle":"","family":"Kocher","given":"M","non-dropping-particle":"","parse-names":false,"suffix":""},{"dropping-particle":"","family":"Hölscher","given":"A H","non-dropping-particle":"","parse-names":false,"suffix":""}],"container-title":"Annals of Oncology","id":"ITEM-1","issue":"2","issued":{"date-parts":[["2009","2"]]},"page":"231-238","publisher":"Ann Oncol","title":"Histological type of esophageal cancer might affect response to neo-adjuvant radiochemotherapy and subsequent prognosis","type":"article-journal","volume":"20"},"uris":["http://www.mendeley.com/documents/?uuid=38007ce7-6725-3368-9e50-2a3434b4dd88"]},{"id":"ITEM-2","itemData":{"DOI":"10.1097/SLA.0000000000000964","ISSN":"15281140","PMID":"25379849","abstract":"Objectives: To evaluate the histopathologic response to neoadjuvant therapy in esophageal adenocarcinoma according to impact on prognosis and to suggest a classification for clinical routine. Background: Measures of histopathologic response to neoadjuvant treatment of esophageal cancer such as Mandard tumor regression grading focus on the effect on the primary tumor. Although lymph node infiltration is of significant prognostic importance, this criterion is mostly not included in the response classifications. Methods: A total of 370 patients (89% males, median age: 61 years) with neoadjuvant radiochemotherapy (40 Gy, 5-FU, cisplatin) or chemotherapy (MAGIC or FLOT) for cT3, Nx, M0 esophageal adenocarcinoma were included in the analysis. All patients had undergone transthoracic en bloc esophagectomy, with a median of 27 resected lymph nodes and a R0-resection rate of 92%. Histopathologic regression grading differentiated major or minor response according to less or more than 10% vital cells in the primary tumor. The lymph nodes were classified as ypN0 or ypN+. Results: From the patients with R0 resection and M0 category, 3 groups with significantly different 5-year survival rates (5-YSR) could be differentiated: 1. Major response and ypN0 (n = 100) with 5-YSR of 64% 2. Either major response and ypN+ (n = 34) 5-YSR 42% or minor response and ypN0 (n = 84) 5-YSR 44%, together 42% 5-YSR 3. Minor response and ypN+ (n = 111) and 5-YSR of 18%. Conclusions: A combined classification of primary tumor regression and lymph node status in 3 grades represents a simple and reproducible prognostic classification of the effect of neoadjuvant treatment in esophageal adenocarcinoma.","author":[{"dropping-particle":"","family":"Hölscher","given":"Arnulf H","non-dropping-particle":"","parse-names":false,"suffix":""},{"dropping-particle":"","family":"Drebber","given":"Uta","non-dropping-particle":"","parse-names":false,"suffix":""},{"dropping-particle":"","family":"Schmidt","given":"Henner","non-dropping-particle":"","parse-names":false,"suffix":""},{"dropping-particle":"","family":"Bollschweiler","given":"Efriede","non-dropping-particle":"","parse-names":false,"suffix":""}],"container-title":"Annals of Surgery","id":"ITEM-2","issue":"5","issued":{"date-parts":[["2014","11"]]},"page":"779-785","publisher":"Ann Surg","title":"Prognostic classification of histopathologic response to neoadjuvant therapy in esophageal adenocarcinoma","type":"paper-conference","volume":"260"},"uris":["http://www.mendeley.com/documents/?uuid=a5762632-019d-3cd9-8e3b-14199957dfdf"]}],"mendeley":{"formattedCitation":"&lt;sup&gt;[6,7]&lt;/sup&gt;","plainTextFormattedCitation":"[6,7]","previouslyFormattedCitation":"&lt;sup&gt;[6,7]&lt;/sup&gt;"},"properties":{"noteIndex":0},"schema":"https://github.com/citation-style-language/schema/raw/master/csl-citation.json"}</w:instrText>
      </w:r>
      <w:r w:rsidRPr="00B751AA">
        <w:rPr>
          <w:rFonts w:ascii="Book Antiqua" w:hAnsi="Book Antiqua"/>
          <w:bCs/>
          <w:color w:val="000000" w:themeColor="text1"/>
          <w:szCs w:val="24"/>
          <w:lang w:val="en-GB"/>
        </w:rPr>
        <w:fldChar w:fldCharType="separate"/>
      </w:r>
      <w:r w:rsidRPr="00B751AA">
        <w:rPr>
          <w:rFonts w:ascii="Book Antiqua" w:hAnsi="Book Antiqua"/>
          <w:bCs/>
          <w:noProof/>
          <w:color w:val="000000" w:themeColor="text1"/>
          <w:szCs w:val="24"/>
          <w:vertAlign w:val="superscript"/>
          <w:lang w:val="en-GB"/>
        </w:rPr>
        <w:t>[6,7]</w:t>
      </w:r>
      <w:r w:rsidRPr="00B751AA">
        <w:rPr>
          <w:rFonts w:ascii="Book Antiqua" w:hAnsi="Book Antiqua"/>
          <w:bCs/>
          <w:color w:val="000000" w:themeColor="text1"/>
          <w:szCs w:val="24"/>
          <w:lang w:val="en-GB"/>
        </w:rPr>
        <w:fldChar w:fldCharType="end"/>
      </w:r>
      <w:r w:rsidRPr="00B751AA">
        <w:rPr>
          <w:rFonts w:ascii="Book Antiqua" w:hAnsi="Book Antiqua"/>
          <w:color w:val="000000" w:themeColor="text1"/>
          <w:szCs w:val="24"/>
          <w:lang w:val="en-US"/>
        </w:rPr>
        <w:t>. The molecular predictive factors previously identified,</w:t>
      </w:r>
      <w:r w:rsidR="0055432A" w:rsidRPr="00B751AA">
        <w:rPr>
          <w:rFonts w:ascii="Book Antiqua" w:hAnsi="Book Antiqua"/>
          <w:color w:val="000000" w:themeColor="text1"/>
          <w:szCs w:val="24"/>
          <w:lang w:val="en-US"/>
        </w:rPr>
        <w:t xml:space="preserve"> </w:t>
      </w:r>
      <w:r w:rsidRPr="00B751AA">
        <w:rPr>
          <w:rFonts w:ascii="Book Antiqua" w:hAnsi="Book Antiqua"/>
          <w:color w:val="000000" w:themeColor="text1"/>
          <w:szCs w:val="24"/>
          <w:lang w:val="en-US"/>
        </w:rPr>
        <w:t>failed translation to clinical application</w:t>
      </w:r>
      <w:r w:rsidRPr="00B751AA">
        <w:rPr>
          <w:rFonts w:ascii="Book Antiqua" w:hAnsi="Book Antiqua"/>
          <w:color w:val="000000" w:themeColor="text1"/>
          <w:szCs w:val="24"/>
          <w:lang w:val="en-US"/>
        </w:rPr>
        <w:fldChar w:fldCharType="begin" w:fldLock="1"/>
      </w:r>
      <w:r w:rsidRPr="00B751AA">
        <w:rPr>
          <w:rFonts w:ascii="Book Antiqua" w:hAnsi="Book Antiqua"/>
          <w:color w:val="000000" w:themeColor="text1"/>
          <w:szCs w:val="24"/>
          <w:lang w:val="en-US"/>
        </w:rPr>
        <w:instrText>ADDIN CSL_CITATION {"citationItems":[{"id":"ITEM-1","itemData":{"DOI":"10.1159/000076913","ISSN":"0378584X","PMID":"15138356","abstract":"Squamous cell carcinoma (ESCC) is the most frequent histological subtype in esophageal cancer, although the incidence of esophageal adenocarcinoma (EAC) is increasing faster than any other malignancy in the western world. New developments in the understanding of molecular mechanisms in esophageal cancer comprise analysis of the genetic tumor profiles by CGH (comparative genomic hybridization), the detection of tumor suppressor gene inactivation, and the analysis of proto-oncogenes. Especially the inactivation of the p53 gene proved to be of particular importance for the development of esophageal cancer. Also p15 and p16 have been identified to be involved in the pathogenesis of esophageal cancer by influencing the cyclin kinase inhibitor cascade and DNA mismatch repair processes. Amplification of cyclin D1 results in growth advantage for tumor cells and enhances tumorigenesis; gene amplification and overexpression of cyclin D1 were frequently demonstrated especially in ESCC. Regarding the dysplasia-metaplasia-carcinoma sequence of Barrett's esophagus, inhibition of apoptosis by overexpression of bcl-2 proteins occurs as an early event.","author":[{"dropping-particle":"","family":"Metzger","given":"R","non-dropping-particle":"","parse-names":false,"suffix":""},{"dropping-particle":"","family":"Schneider","given":"P M","non-dropping-particle":"","parse-names":false,"suffix":""},{"dropping-particle":"","family":"Warnecke-Eberz","given":"U","non-dropping-particle":"","parse-names":false,"suffix":""},{"dropping-particle":"","family":"Brabender","given":"J","non-dropping-particle":"","parse-names":false,"suffix":""},{"dropping-particle":"","family":"Hölscher","given":"A H","non-dropping-particle":"","parse-names":false,"suffix":""}],"container-title":"Onkologie","id":"ITEM-1","issue":"2","issued":{"date-parts":[["2004","4"]]},"page":"200-206","publisher":"Onkologie","title":"Molecular biology of esophageal cancer","type":"article","volume":"27"},"uris":["http://www.mendeley.com/documents/?uuid=b9c7c2c7-e97f-3364-be54-d638bd13bea7"]},{"id":"ITEM-2","itemData":{"DOI":"10.1038/sj.bjc.6601976","ISSN":"00070920","PMID":"15213712","abstract":"We examined the potential of quantitative epidermal growth factor receptor (EGFR, synonym: c-erbB-1) and c-erbB-2 (synonym: HER2/neu) mRNA expression to predict minor or major histopathologic response to neoadjuvant radiochemotherapy (cis-platinum, 5-FU, 36 Gy), followed by radical surgical resection, in patients with oesophageal cancer. Tissue samples were collected by endoscopic biopsy prior to treatment. RNA was isolated from biopsies and quantitative real-time reverse transcriptase-polymerase chain reaction assays were performed to determine c-erbB-1 and c-erbB-2 mRNA expression. Relative expression (tumour/paired normal tissue ratio standardised for β-actin) was calculated for EGFR and c-erbB-2 mRNA. Expression levels were correlated with the objective histopathologic response in resected specimens. Histomorphologic regression was defined as major response when resected specimens contained less than 10% of residual vital tumour cells, or in case a pathologically complete response was achieved. Expression of c-erbB-1 mRNA was not associated with the degree of histomorphological response. In contrast, the relative expression levels of c-erbB-2 mRNA &gt; 1 were not associated with major histopathologic responses (sensitivity 41.6%, specificity 100%), and 10 out of 36 (28%) patients could be unequivocally identified, whose tumours did not respond well to the delivered neoadjuvant radiochemotherapy (P &lt; 0.01). Quantitative expression levels of c-erbB-2, but not c-erbB-1 mRNA, in pretreatment biopsies appear to predict minor histopathologic response to our neoadjuvant radiochemotherapy protocol. This test could be used to prevent expensive, noneffective and potentially harmful therapies in approximately one-fourth of our patients, and leads to a more individualised type of combined modality treatment. © 2004 Cancer Research UK.","author":[{"dropping-particle":"","family":"Miyazono","given":"F","non-dropping-particle":"","parse-names":false,"suffix":""},{"dropping-particle":"","family":"Metzger","given":"R","non-dropping-particle":"","parse-names":false,"suffix":""},{"dropping-particle":"","family":"Warnecke-Eberz","given":"U","non-dropping-particle":"","parse-names":false,"suffix":""},{"dropping-particle":"","family":"Baldus","given":"S E","non-dropping-particle":"","parse-names":false,"suffix":""},{"dropping-particle":"","family":"Brabender","given":"J","non-dropping-particle":"","parse-names":false,"suffix":""},{"dropping-particle":"","family":"Bollschweiler","given":"E","non-dropping-particle":"","parse-names":false,"suffix":""},{"dropping-particle":"","family":"Doerfler","given":"W","non-dropping-particle":"","parse-names":false,"suffix":""},{"dropping-particle":"","family":"Mueller","given":"R P","non-dropping-particle":"","parse-names":false,"suffix":""},{"dropping-particle":"","family":"Dienes","given":"H P","non-dropping-particle":"","parse-names":false,"suffix":""},{"dropping-particle":"","family":"Aikou","given":"T","non-dropping-particle":"","parse-names":false,"suffix":""},{"dropping-particle":"","family":"Hoelscher","given":"A H","non-dropping-particle":"","parse-names":false,"suffix":""},{"dropping-particle":"","family":"Schneider","given":"P M","non-dropping-particle":"","parse-names":false,"suffix":""}],"container-title":"British Journal of Cancer","id":"ITEM-2","issue":"4","issued":{"date-parts":[["2004","8","16"]]},"page":"666-672","publisher":"Br J Cancer","title":"Quantitative c-erbB-2 but not c-erbB-1 mRNA expression is a promising marker to predict minor histopathologic response to neoadjuvant radiochemotherapy in oesophageal cancer","type":"article-journal","volume":"91"},"uris":["http://www.mendeley.com/documents/?uuid=9c95f200-043f-3d65-82f0-ce4f387ddb17"]},{"id":"ITEM-3","itemData":{"DOI":"10.1158/1078-0432.CCR-03-0079","ISSN":"10780432","PMID":"15173087","abstract":"Purpose: The excision repair cross-complementing 1 (ERCC1) gene is coding for a nucleotide excision repair protein involved in the repair of radiation- and chemotherapy-induced DNA damage. We examined the potential of quantitative ERCC1 mRNA expression to predict minor or major histopathological response to neoadjuvant radiochemotherapy (cisplatin, 5-fluorouracil, and 36 Gy of radiation) followed by transthoracic en bloc esophagectomy in patients with locally advanced esophageal cancer (cT2-4, Nx, M 0). Experimental Design: Tissue samples were collected by endoscopic biopsy before treatment. RNA was isolated from biopsies, and quantitative real-time reverse transcriptase PCR assays were performed to determine ERCC1 mRNA expression. Relative mRNA levels (tumor/normal ratios) were calculated as (ERCC1/β-actin in tumor)/(ERCC1/β-actin in paired normal tissue). ERCC1 expression levels were correlated with the objective histopathological response in resected specimens. Histomorphological regression was defined as major response when resected specimens contained &lt;10% of residual vital tumor cells or in case a pathologically complete response was achieved. Results: Twelve of 36 tumors showed a major histopathological response, and 24 of 36 showed a minor histopathological response. Relative expression levels of ERCC1 of &gt;1.09 were not associated with a major histopathological response (sensitivity, 62.5%; specificity, 100%) and 15 of 24 patients with minor histopathological response to the delivered neoadjuvant radiochemotherapy could be unequivocally identified. This association of dichotomized relative ERCC1 mRNA expression and histopathological response was statistically significant (P &lt; 0.001). Conclusions: Relative expression levels of ERCC1 mRNA determined by quantitative real-time reverse transcriptase-PCR appear highly specific to predict minor response to our neoadjuvant radiochemotherapy protocol in patients with locally advanced esophageal cancer and could be applied to prevent expensive, noneffective, and potentially harmful therapies in a substantial number (42%) of patients.","author":[{"dropping-particle":"","family":"Warnecke-Eberz","given":"Ute","non-dropping-particle":"","parse-names":false,"suffix":""},{"dropping-particle":"","family":"Metzger","given":"Ralf","non-dropping-particle":"","parse-names":false,"suffix":""},{"dropping-particle":"","family":"Miyazono","given":"Futoshi","non-dropping-particle":"","parse-names":false,"suffix":""},{"dropping-particle":"","family":"Baldus","given":"Stephan E","non-dropping-particle":"","parse-names":false,"suffix":""},{"dropping-particle":"","family":"Neiss","given":"Susanne","non-dropping-particle":"","parse-names":false,"suffix":""},{"dropping-particle":"","family":"Brabender","given":"Jan","non-dropping-particle":"","parse-names":false,"suffix":""},{"dropping-particle":"","family":"Schaefer","given":"Hartmut","non-dropping-particle":"","parse-names":false,"suffix":""},{"dropping-particle":"","family":"Doerfler","given":"Walter","non-dropping-particle":"","parse-names":false,"suffix":""},{"dropping-particle":"","family":"Bollschweiler","given":"Elfriede","non-dropping-particle":"","parse-names":false,"suffix":""},{"dropping-particle":"","family":"Dienes","given":"Hans P","non-dropping-particle":"","parse-names":false,"suffix":""},{"dropping-particle":"","family":"Mueller","given":"Rolf P","non-dropping-particle":"","parse-names":false,"suffix":""},{"dropping-particle":"V","family":"Danenberg","given":"Peter","non-dropping-particle":"","parse-names":false,"suffix":""},{"dropping-particle":"","family":"Hoelscher","given":"Arnulf H","non-dropping-particle":"","parse-names":false,"suffix":""},{"dropping-particle":"","family":"Schneider","given":"Paul M","non-dropping-particle":"","parse-names":false,"suffix":""}],"container-title":"Clinical Cancer Research","id":"ITEM-3","issue":"11","issued":{"date-parts":[["2004","6","1"]]},"page":"3794-3799","publisher":"Clin Cancer Res","title":"High specificity of quantitative excision repair cross-complementing 1 messenger RNA expression for prediction of minor histopathological response to neoadjuvant radiochemotherapy in esophageal cancer","type":"article-journal","volume":"10"},"uris":["http://www.mendeley.com/documents/?uuid=76628f20-1d6b-31c7-8f9f-368cbe18245d"]}],"mendeley":{"formattedCitation":"&lt;sup&gt;[8–10]&lt;/sup&gt;","plainTextFormattedCitation":"[8–10]","previouslyFormattedCitation":"&lt;sup&gt;[8–10]&lt;/sup&gt;"},"properties":{"noteIndex":0},"schema":"https://github.com/citation-style-language/schema/raw/master/csl-citation.json"}</w:instrText>
      </w:r>
      <w:r w:rsidRPr="00B751AA">
        <w:rPr>
          <w:rFonts w:ascii="Book Antiqua" w:hAnsi="Book Antiqua"/>
          <w:color w:val="000000" w:themeColor="text1"/>
          <w:szCs w:val="24"/>
          <w:lang w:val="en-US"/>
        </w:rPr>
        <w:fldChar w:fldCharType="separate"/>
      </w:r>
      <w:r w:rsidRPr="00B751AA">
        <w:rPr>
          <w:rFonts w:ascii="Book Antiqua" w:hAnsi="Book Antiqua"/>
          <w:noProof/>
          <w:color w:val="000000" w:themeColor="text1"/>
          <w:szCs w:val="24"/>
          <w:vertAlign w:val="superscript"/>
          <w:lang w:val="en-US"/>
        </w:rPr>
        <w:t>[8</w:t>
      </w:r>
      <w:r w:rsidR="00E62BE4" w:rsidRPr="00B751AA">
        <w:rPr>
          <w:rFonts w:ascii="Book Antiqua" w:hAnsi="Book Antiqua"/>
          <w:noProof/>
          <w:color w:val="000000" w:themeColor="text1"/>
          <w:szCs w:val="24"/>
          <w:vertAlign w:val="superscript"/>
          <w:lang w:val="en-US"/>
        </w:rPr>
        <w:t>-</w:t>
      </w:r>
      <w:r w:rsidRPr="00B751AA">
        <w:rPr>
          <w:rFonts w:ascii="Book Antiqua" w:hAnsi="Book Antiqua"/>
          <w:noProof/>
          <w:color w:val="000000" w:themeColor="text1"/>
          <w:szCs w:val="24"/>
          <w:vertAlign w:val="superscript"/>
          <w:lang w:val="en-US"/>
        </w:rPr>
        <w:t>10]</w:t>
      </w:r>
      <w:r w:rsidRPr="00B751AA">
        <w:rPr>
          <w:rFonts w:ascii="Book Antiqua" w:hAnsi="Book Antiqua"/>
          <w:color w:val="000000" w:themeColor="text1"/>
          <w:szCs w:val="24"/>
          <w:lang w:val="en-US"/>
        </w:rPr>
        <w:fldChar w:fldCharType="end"/>
      </w:r>
      <w:r w:rsidRPr="00B751AA">
        <w:rPr>
          <w:rFonts w:ascii="Book Antiqua" w:hAnsi="Book Antiqua"/>
          <w:color w:val="000000" w:themeColor="text1"/>
          <w:szCs w:val="24"/>
          <w:lang w:val="en-US"/>
        </w:rPr>
        <w:t xml:space="preserve">. There is an additional need for markers indicating tumor progression and prognosis. </w:t>
      </w:r>
      <w:r w:rsidRPr="00B751AA">
        <w:rPr>
          <w:rFonts w:ascii="Book Antiqua" w:hAnsi="Book Antiqua"/>
          <w:color w:val="000000" w:themeColor="text1"/>
          <w:szCs w:val="24"/>
          <w:lang w:val="en-GB"/>
        </w:rPr>
        <w:t xml:space="preserve">Putative markers include growth-factor receptors, enzymes of angiogenesis, </w:t>
      </w:r>
      <w:proofErr w:type="spellStart"/>
      <w:r w:rsidRPr="00B751AA">
        <w:rPr>
          <w:rFonts w:ascii="Book Antiqua" w:hAnsi="Book Antiqua"/>
          <w:color w:val="000000" w:themeColor="text1"/>
          <w:szCs w:val="24"/>
          <w:lang w:val="en-GB"/>
        </w:rPr>
        <w:t>tumor</w:t>
      </w:r>
      <w:proofErr w:type="spellEnd"/>
      <w:r w:rsidRPr="00B751AA">
        <w:rPr>
          <w:rFonts w:ascii="Book Antiqua" w:hAnsi="Book Antiqua"/>
          <w:color w:val="000000" w:themeColor="text1"/>
          <w:szCs w:val="24"/>
          <w:lang w:val="en-GB"/>
        </w:rPr>
        <w:t xml:space="preserve"> suppressor genes, cell cycle regulators, enzymes involved in DNA repair, apoptosis and in degradation of extracellular matrix</w:t>
      </w:r>
      <w:r w:rsidRPr="00B751AA">
        <w:rPr>
          <w:rFonts w:ascii="Book Antiqua" w:hAnsi="Book Antiqua"/>
          <w:color w:val="000000" w:themeColor="text1"/>
          <w:szCs w:val="24"/>
          <w:lang w:val="en-GB"/>
        </w:rPr>
        <w:fldChar w:fldCharType="begin" w:fldLock="1"/>
      </w:r>
      <w:r w:rsidRPr="00B751AA">
        <w:rPr>
          <w:rFonts w:ascii="Book Antiqua" w:hAnsi="Book Antiqua"/>
          <w:color w:val="000000" w:themeColor="text1"/>
          <w:szCs w:val="24"/>
          <w:lang w:val="en-GB"/>
        </w:rPr>
        <w:instrText>ADDIN CSL_CITATION {"citationItems":[{"id":"ITEM-1","itemData":{"DOI":"10.1517/17530059.2013.843526","ISSN":"17530059","PMID":"24093836","abstract":"Introduction: This article provides an overview of actual biomarkers with an impact on improvement of diagnosis and treatment of esophageal cancer patients. Areas covered: Recent literature has been analyzed and provides information regarding the potential role of molecular markers as a diagnostic or prognostic factor in esophageal cancer. Expert opinion: Until now, the role of molecular markers is far from being firmly established for routine use and is not without obstacles. However, with reliable standardized methods, established cut-off values and promising candidates in marker panels with markers of genetic, epigenetic and proteomic origin might result in a marker tool worthwhile of being validated in large, prospective, randomized trials. Novel validated marker combinations have to be clinically applied to prove their putative role in complementing clinical techniques within the development of better detection concepts of esophageal cancer, improving patients' long-term prognosis by early and purposive therapy within individualized treatment concepts. © 2013 Informa UK, Ltd. All rights reserved.","author":[{"dropping-particle":"","family":"Plum","given":"Patrick S","non-dropping-particle":"","parse-names":false,"suffix":""},{"dropping-particle":"","family":"Bollschweiler","given":"Elfriede","non-dropping-particle":"","parse-names":false,"suffix":""},{"dropping-particle":"","family":"Hölscher","given":"Arnulf H","non-dropping-particle":"","parse-names":false,"suffix":""},{"dropping-particle":"","family":"Warnecke-Eberz","given":"Ute","non-dropping-particle":"","parse-names":false,"suffix":""}],"container-title":"Expert Opinion on Medical Diagnostics","id":"ITEM-1","issue":"6","issued":{"date-parts":[["2013","11"]]},"page":"557-571","publisher":"Expert Opin Med Diagn","title":"Novel diagnostic and prognostic biomarkers in esophageal cancer","type":"article","volume":"7"},"uris":["http://www.mendeley.com/documents/?uuid=566f440f-1d85-3cd5-bc8e-e0b441ebf0cc"]},{"id":"ITEM-2","itemData":{"DOI":"10.2217/pgs.09.137","ISSN":"14622416","PMID":"20017672","abstract":"Aims: Neoadjuvant radiochemotherapy of locally advanced esophageal cancer is only effective for patients with major histopathological response. A total of 17 genes were selected to predict histopathologic tumor response to chemoradiation (cisplatin, 5-fluorouracil, 36 Gy). Materials &amp; methods: For gene-expression analysis quantitative TaqMan® low-density arrays were applied. Expression levels in pretreatment biopsies of 41 patients (cT2-4, Nx, M0) were compared with the degree of histopathologic regression in resected specimens applying univariate, multivariate and artificial neuronal network analyses. Results: Dihydropyrimidine dehydrogenase was identified as an independent predictor associated with major response (p &lt; 0.002). Multivariate analysis of the marker combination provided response prediction with 75.0% sensitivity, 81.0% specificity and 78.1% accuracy. Artificial neuronal network analysis was the best predictive model for major histopathologic response (80% sensitivity, 90.5% specificity and 85.4% accuracy), representing a clinically practical system. Conclusion: Low-density-array RT-PCR analyzed by artificial neuronal network predicts histopathologic response to neoadjuvant chemoradiation in our patient collective, and could be used to further individualize treatment strategies in esophageal cancer. © 2010 Future Medicine Ltd.","author":[{"dropping-particle":"","family":"Warnecke-Eberz","given":"Ute","non-dropping-particle":"","parse-names":false,"suffix":""},{"dropping-particle":"","family":"Metzger","given":"Ralf","non-dropping-particle":"","parse-names":false,"suffix":""},{"dropping-particle":"","family":"Bollschweiler","given":"Elfriede","non-dropping-particle":"","parse-names":false,"suffix":""},{"dropping-particle":"","family":"Baldus","given":"Stephan E","non-dropping-particle":"","parse-names":false,"suffix":""},{"dropping-particle":"","family":"Mueller","given":"Rolf P","non-dropping-particle":"","parse-names":false,"suffix":""},{"dropping-particle":"","family":"Dienes","given":"Hans P","non-dropping-particle":"","parse-names":false,"suffix":""},{"dropping-particle":"","family":"Hoelscher","given":"Arnulf H","non-dropping-particle":"","parse-names":false,"suffix":""},{"dropping-particle":"","family":"Schneider","given":"Paul M","non-dropping-particle":"","parse-names":false,"suffix":""}],"container-title":"Pharmacogenomics","id":"ITEM-2","issue":"1","issued":{"date-parts":[["2010","1"]]},"page":"55-64","publisher":"Pharmacogenomics","title":"TaqMan® low-density arrays and analysis by artificial neuronal networks predict response to neoadjuvant chemoradiation in esophageal cancer","type":"article-journal","volume":"11"},"uris":["http://www.mendeley.com/documents/?uuid=9ef0535e-f9f2-3377-9043-33c453753a9b"]},{"id":"ITEM-3","itemData":{"DOI":"10.2217/pgs.10.76","ISSN":"14622416","PMID":"20712528","abstract":"Aims: Neoadjuvant treatment strategies have been developed to improve the survival of patients with locally advanced esophageal cancer. Since only patients with major histopathological response benefit from multimodality treatment, we profiled the genome of patients with esophageal cancer for markers indicating response or nonresponse. Patients and methods: Pretreatment biopsies of responding and nonresponding patients with locally advanced esophageal cancer, as well as the corresponding normal epithelium, were analyzed by human genome microarrays. Differential gene expression was associated with histomorphological tumor regression. Quantitative real-time reverse transcriptase-PCR was applied for verification of the predictive value of a panel of the identified marker genes, including 66 patients. Results: We detected differentially expressed candidate genes with regard to response and nonresponse to neoadjuvant radiochemotherapy. The response-predictive impact of the novel markers, CUL2 and STK11, was confirmed by the verification study including 66 patients. Whereas CUL2 mRNA expression levels of greater than 1.7 was predictive for major response (p = 0.02) in adeno-and squamous cell carcinoma, STK11 was predominantly response predictive for adenocarcinomas. Downregulation of CUL2 (p = 0.04) and STK11 (p = 0.02) mRNA also correlated with a more favorable prognosis. Conclusion: We identified two novel markers, CUL2 and STK11, for response prediction in esophageal cancer. They will be applied to complement our panel of response-predictive markers to further individualize therapy. © 2010 Future Medicine Ltd.","author":[{"dropping-particle":"","family":"Metzger","given":"Ralf","non-dropping-particle":"","parse-names":false,"suffix":""},{"dropping-particle":"","family":"Heukamp","given":"Lukas","non-dropping-particle":"","parse-names":false,"suffix":""},{"dropping-particle":"","family":"Drebber","given":"Uta","non-dropping-particle":"","parse-names":false,"suffix":""},{"dropping-particle":"","family":"Bollschweiler","given":"Elfriede","non-dropping-particle":"","parse-names":false,"suffix":""},{"dropping-particle":"","family":"Zander","given":"Thomas","non-dropping-particle":"","parse-names":false,"suffix":""},{"dropping-particle":"","family":"Hoelscher","given":"Arnulf H","non-dropping-particle":"","parse-names":false,"suffix":""},{"dropping-particle":"","family":"Warnecke-Eberz","given":"Ute","non-dropping-particle":"","parse-names":false,"suffix":""}],"container-title":"Pharmacogenomics","id":"ITEM-3","issue":"8","issued":{"date-parts":[["2010","8"]]},"page":"1105-1113","publisher":"Pharmacogenomics","title":"CUL2 and STK11 as novel response-predictive genes for neoadjuvant radiochemotherapy in esophageal cancer","type":"article-journal","volume":"11"},"uris":["http://www.mendeley.com/documents/?uuid=cdb0835d-a3fc-39d2-be58-d3a2c7d4cfc1"]}],"mendeley":{"formattedCitation":"&lt;sup&gt;[11–13]&lt;/sup&gt;","plainTextFormattedCitation":"[11–13]","previouslyFormattedCitation":"&lt;sup&gt;[11–13]&lt;/sup&gt;"},"properties":{"noteIndex":0},"schema":"https://github.com/citation-style-language/schema/raw/master/csl-citation.json"}</w:instrText>
      </w:r>
      <w:r w:rsidRPr="00B751AA">
        <w:rPr>
          <w:rFonts w:ascii="Book Antiqua" w:hAnsi="Book Antiqua"/>
          <w:color w:val="000000" w:themeColor="text1"/>
          <w:szCs w:val="24"/>
          <w:lang w:val="en-GB"/>
        </w:rPr>
        <w:fldChar w:fldCharType="separate"/>
      </w:r>
      <w:r w:rsidRPr="00B751AA">
        <w:rPr>
          <w:rFonts w:ascii="Book Antiqua" w:hAnsi="Book Antiqua"/>
          <w:noProof/>
          <w:color w:val="000000" w:themeColor="text1"/>
          <w:szCs w:val="24"/>
          <w:vertAlign w:val="superscript"/>
          <w:lang w:val="en-GB"/>
        </w:rPr>
        <w:t>[11</w:t>
      </w:r>
      <w:r w:rsidR="00E62BE4" w:rsidRPr="00B751AA">
        <w:rPr>
          <w:rFonts w:ascii="Book Antiqua" w:hAnsi="Book Antiqua"/>
          <w:noProof/>
          <w:color w:val="000000" w:themeColor="text1"/>
          <w:szCs w:val="24"/>
          <w:vertAlign w:val="superscript"/>
          <w:lang w:val="en-GB"/>
        </w:rPr>
        <w:t>-</w:t>
      </w:r>
      <w:r w:rsidRPr="00B751AA">
        <w:rPr>
          <w:rFonts w:ascii="Book Antiqua" w:hAnsi="Book Antiqua"/>
          <w:noProof/>
          <w:color w:val="000000" w:themeColor="text1"/>
          <w:szCs w:val="24"/>
          <w:vertAlign w:val="superscript"/>
          <w:lang w:val="en-GB"/>
        </w:rPr>
        <w:t>13]</w:t>
      </w:r>
      <w:r w:rsidRPr="00B751AA">
        <w:rPr>
          <w:rFonts w:ascii="Book Antiqua" w:hAnsi="Book Antiqua"/>
          <w:color w:val="000000" w:themeColor="text1"/>
          <w:szCs w:val="24"/>
          <w:lang w:val="en-GB"/>
        </w:rPr>
        <w:fldChar w:fldCharType="end"/>
      </w:r>
      <w:r w:rsidRPr="00B751AA">
        <w:rPr>
          <w:rFonts w:ascii="Book Antiqua" w:hAnsi="Book Antiqua"/>
          <w:color w:val="000000" w:themeColor="text1"/>
          <w:szCs w:val="24"/>
          <w:lang w:val="en-GB"/>
        </w:rPr>
        <w:t xml:space="preserve">. In addition to </w:t>
      </w:r>
      <w:r w:rsidRPr="00B751AA">
        <w:rPr>
          <w:rFonts w:ascii="Book Antiqua" w:hAnsi="Book Antiqua"/>
          <w:bCs/>
          <w:color w:val="000000" w:themeColor="text1"/>
          <w:szCs w:val="24"/>
          <w:lang w:val="en-GB"/>
        </w:rPr>
        <w:t>predictive and prognostic markers, novel targets for therapy are imperative for the future approach of a tailored multimodality treatment and its surveillance.</w:t>
      </w:r>
    </w:p>
    <w:p w14:paraId="0CF1322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bCs/>
          <w:color w:val="000000" w:themeColor="text1"/>
          <w:sz w:val="24"/>
          <w:szCs w:val="24"/>
        </w:rPr>
      </w:pP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is a mucin-type transmembrane glycoprotein, thought to be one of the cancer stem cell markers for squamous-cell carcinoma in several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entities, including </w:t>
      </w:r>
      <w:proofErr w:type="spellStart"/>
      <w:r w:rsidRPr="00B751AA">
        <w:rPr>
          <w:rFonts w:ascii="Book Antiqua" w:hAnsi="Book Antiqua" w:cs="Arial"/>
          <w:bCs/>
          <w:color w:val="000000" w:themeColor="text1"/>
          <w:sz w:val="24"/>
          <w:szCs w:val="24"/>
          <w:lang w:val="en-GB"/>
        </w:rPr>
        <w:t>esophageal</w:t>
      </w:r>
      <w:proofErr w:type="spellEnd"/>
      <w:r w:rsidRPr="00B751AA">
        <w:rPr>
          <w:rFonts w:ascii="Book Antiqua" w:hAnsi="Book Antiqua" w:cs="Arial"/>
          <w:bCs/>
          <w:color w:val="000000" w:themeColor="text1"/>
          <w:sz w:val="24"/>
          <w:szCs w:val="24"/>
          <w:lang w:val="en-GB"/>
        </w:rPr>
        <w:t xml:space="preserve"> cancer</w:t>
      </w:r>
      <w:r w:rsidRPr="00B751AA">
        <w:rPr>
          <w:rFonts w:ascii="Book Antiqua" w:hAnsi="Book Antiqua" w:cs="Arial"/>
          <w:bCs/>
          <w:color w:val="000000" w:themeColor="text1"/>
          <w:sz w:val="24"/>
          <w:szCs w:val="24"/>
          <w:lang w:val="en-GB"/>
        </w:rPr>
        <w:fldChar w:fldCharType="begin" w:fldLock="1"/>
      </w:r>
      <w:r w:rsidRPr="00B751AA">
        <w:rPr>
          <w:rFonts w:ascii="Book Antiqua" w:hAnsi="Book Antiqua" w:cs="Arial"/>
          <w:bCs/>
          <w:color w:val="000000" w:themeColor="text1"/>
          <w:sz w:val="24"/>
          <w:szCs w:val="24"/>
          <w:lang w:val="en-GB"/>
        </w:rPr>
        <w:instrText>ADDIN CSL_CITATION {"citationItems":[{"id":"ITEM-1","itemData":{"DOI":"10.1245/s10434-009-0895-5","ISSN":"10689265","PMID":"20066519","abstract":"Background: Podoplanin, a mucin-type transmembrane glycoprotein, is thought to be one of the cancer stem cell markers for squamous-cell carcinoma of the vulva. The objectives of the present study were to examine the role of podoplanin in esophageal squamous-cell carcinoma (ESCC). Methods: Expression of podoplanin was examined immunohistochemically in 61 cases of ESCC that had not been treated with chemotherapy or radiotherapy before surgery. Because cancer stem-cell quantities have been reported to increase with chemotherapy and radiotherapy, cases in patients who did not receive such prior therapies were included in this study. Cases with &gt;10% tumor cells showing signals for podoplanin were categorized as podoplanin high, and the others were classified as podoplanin low. The effects of podoplanin on the behavior of cancer cells were evaluated in ESCC cell lines in which podoplanin expression was knocked down. Results: To examine whether podoplanin could be used as a cancer stem cell marker for ESCC, podoplanin-positive and podoplanin-negative fractions were sorted separately from the ESCC cell line and cultured. Podoplanin-positive ESCC cells yielded both podoplanin-positive and podoplanin-negative cells, whereas few cells were obtained from podoplanin-negative ESCC cells. When podoplanin expression was knocked down, ESCC cell lines became vulnerable to anticancer drugs and showed defective invasion and tumorigenic activities. Nineteen (31.1%) of 61 cases were categorized as podoplanin high. Podoplanin-high cases were correlated with T category, stage of disease, lymphatic and vascular invasion, recurrence, and prognosis of patients. Podoplanin-low cases showed better overall and disease-free survival. Conclusions: There is a role for podoplanin in tumorigenesis and malignant progression in ESCC. © 2010 Society of Surgical Oncology.","author":[{"dropping-particle":"","family":"Rahadiani","given":"Nur","non-dropping-particle":"","parse-names":false,"suffix":""},{"dropping-particle":"","family":"Ikeda","given":"Jun Ichiro","non-dropping-particle":"","parse-names":false,"suffix":""},{"dropping-particle":"","family":"Makino","given":"Tomoki","non-dropping-particle":"","parse-names":false,"suffix":""},{"dropping-particle":"","family":"Tian","given":"Tian","non-dropping-particle":"","parse-names":false,"suffix":""},{"dropping-particle":"","family":"Qiu","given":"Ying","non-dropping-particle":"","parse-names":false,"suffix":""},{"dropping-particle":"","family":"Mamat","given":"Suhana","non-dropping-particle":"","parse-names":false,"suffix":""},{"dropping-particle":"","family":"Wang","given":"Yi","non-dropping-particle":"","parse-names":false,"suffix":""},{"dropping-particle":"","family":"Doki","given":"Yuichiro","non-dropping-particle":"","parse-names":false,"suffix":""},{"dropping-particle":"","family":"Aozasa","given":"Katsuyuki","non-dropping-particle":"","parse-names":false,"suffix":""},{"dropping-particle":"","family":"Morii","given":"Eiichi","non-dropping-particle":"","parse-names":false,"suffix":""}],"container-title":"Annals of Surgical Oncology","id":"ITEM-1","issue":"5","issued":{"date-parts":[["2010","5"]]},"page":"1311-1323","publisher":"Ann Surg Oncol","title":"Tumorigenic role of podoplanin in esophageal squamous-cell carcinoma","type":"article-journal","volume":"17"},"uris":["http://www.mendeley.com/documents/?uuid=e4b2d424-7883-3037-9bff-830c0924d897"]}],"mendeley":{"formattedCitation":"&lt;sup&gt;[14]&lt;/sup&gt;","plainTextFormattedCitation":"[14]","previouslyFormattedCitation":"&lt;sup&gt;[14]&lt;/sup&gt;"},"properties":{"noteIndex":0},"schema":"https://github.com/citation-style-language/schema/raw/master/csl-citation.json"}</w:instrText>
      </w:r>
      <w:r w:rsidRPr="00B751AA">
        <w:rPr>
          <w:rFonts w:ascii="Book Antiqua" w:hAnsi="Book Antiqua" w:cs="Arial"/>
          <w:bCs/>
          <w:color w:val="000000" w:themeColor="text1"/>
          <w:sz w:val="24"/>
          <w:szCs w:val="24"/>
          <w:lang w:val="en-GB"/>
        </w:rPr>
        <w:fldChar w:fldCharType="separate"/>
      </w:r>
      <w:r w:rsidRPr="00B751AA">
        <w:rPr>
          <w:rFonts w:ascii="Book Antiqua" w:hAnsi="Book Antiqua" w:cs="Arial"/>
          <w:bCs/>
          <w:noProof/>
          <w:color w:val="000000" w:themeColor="text1"/>
          <w:sz w:val="24"/>
          <w:szCs w:val="24"/>
          <w:vertAlign w:val="superscript"/>
          <w:lang w:val="en-GB"/>
        </w:rPr>
        <w:t>[14]</w:t>
      </w:r>
      <w:r w:rsidRPr="00B751AA">
        <w:rPr>
          <w:rFonts w:ascii="Book Antiqua" w:hAnsi="Book Antiqua" w:cs="Arial"/>
          <w:bCs/>
          <w:color w:val="000000" w:themeColor="text1"/>
          <w:sz w:val="24"/>
          <w:szCs w:val="24"/>
          <w:lang w:val="en-GB"/>
        </w:rPr>
        <w:fldChar w:fldCharType="end"/>
      </w:r>
      <w:r w:rsidRPr="00B751AA">
        <w:rPr>
          <w:rFonts w:ascii="Book Antiqua" w:hAnsi="Book Antiqua" w:cs="Arial"/>
          <w:bCs/>
          <w:color w:val="000000" w:themeColor="text1"/>
          <w:sz w:val="24"/>
          <w:szCs w:val="24"/>
          <w:lang w:val="en-GB"/>
        </w:rPr>
        <w:t xml:space="preserve">.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has been identified as a platelet aggregation-inducing factor and a specific marker for lymphatic vessels</w:t>
      </w:r>
      <w:r w:rsidRPr="00B751AA">
        <w:rPr>
          <w:rFonts w:ascii="Book Antiqua" w:hAnsi="Book Antiqua" w:cs="Arial"/>
          <w:bCs/>
          <w:color w:val="000000" w:themeColor="text1"/>
          <w:sz w:val="24"/>
          <w:szCs w:val="24"/>
          <w:lang w:val="en-GB"/>
        </w:rPr>
        <w:fldChar w:fldCharType="begin" w:fldLock="1"/>
      </w:r>
      <w:r w:rsidRPr="00B751AA">
        <w:rPr>
          <w:rFonts w:ascii="Book Antiqua" w:hAnsi="Book Antiqua" w:cs="Arial"/>
          <w:bCs/>
          <w:color w:val="000000" w:themeColor="text1"/>
          <w:sz w:val="24"/>
          <w:szCs w:val="24"/>
          <w:lang w:val="en-GB"/>
        </w:rPr>
        <w:instrText>ADDIN CSL_CITATION {"citationItems":[{"id":"ITEM-1","itemData":{"DOI":"10.18632/oncotarget.6598","ISSN":"19492553","PMID":"26684030","abstract":"Podoplanin/Aggrus is a sialoglycoprotein expressed in various cancers. We previously identified podoplanin as a key factor in tumor-induced platelet aggregation. Podoplanin-mediated platelet aggregation enhances tumor growth and metastasis by secreting growth factors and by forming tumor emboli in the microvasculature. Thus, precise analysis of the mechanisms of podoplanin-mediated platelet aggregation is critical for developing anti-tumor therapies. Here we report the discovery of a novel platelet aggregation-inducing domain, PLAG4 (81-EDLPT-85). PLAG4 has high homology to the previously reported PLAG3 and contributes to the binding of its platelet receptor CLEC-2. Mutant analyses indicated that PLAG4 exhibits a predominant platelet-aggregating function relative to PLAG3 and that conserved Glu81/Asp82/Thr85 residues in PLAG4 are indispensable for CLEC-2 binding. By establishing anti-PLAG4- neutralizing monoclonal antibodies, we confirmed its role in CLEC-2 binding, platelet aggregation, and tumor emboli formation. Our results suggest the requirement of simultaneous inhibition of PLAG3/4 for complete suppression of podoplanin-mediated tumor growth and metastasis.","author":[{"dropping-particle":"","family":"Sekiguchi","given":"Takaya","non-dropping-particle":"","parse-names":false,"suffix":""},{"dropping-particle":"","family":"Takemoto","given":"Ai","non-dropping-particle":"","parse-names":false,"suffix":""},{"dropping-particle":"","family":"Takagi","given":"Satoshi","non-dropping-particle":"","parse-names":false,"suffix":""},{"dropping-particle":"","family":"Takatori","given":"Kazuki","non-dropping-particle":"","parse-names":false,"suffix":""},{"dropping-particle":"","family":"Sato","given":"Shigeo","non-dropping-particle":"","parse-names":false,"suffix":""},{"dropping-particle":"","family":"Takami","given":"Miho","non-dropping-particle":"","parse-names":false,"suffix":""},{"dropping-particle":"","family":"Fujita","given":"Naoya","non-dropping-particle":"","parse-names":false,"suffix":""}],"container-title":"Oncotarget","id":"ITEM-1","issue":"4","issued":{"date-parts":[["2016","1","26"]]},"page":"3934-3946","publisher":"Oncotarget","title":"Targeting a novel domain in podoplanin for inhibiting plateletmediated tumor metastasis","type":"article-journal","volume":"7"},"uris":["http://www.mendeley.com/documents/?uuid=2b6d5844-97b3-3948-9876-1f5c11227471"]},{"id":"ITEM-2","itemData":{"DOI":"10.1111/cas.12286","ISSN":"13479032","PMID":"24103048","abstract":"The expression of podoplanin is reportedly involved in collective cell invasion, which is independent from the epithelial-mesenchymal transition (EMT). We focused on the expression of podoplanin in esophageal squamous cell carcinomas (ESCC) and investigated the correlation of podoplanin and EMT-related markers, and evaluated its prognostic significance. Five ESCC cell lines were subjected to western blot analysis for podoplanin and EMT markers. The effects of podoplanin on EMT and carcinoma invasion were evaluated with wound healing assays, invasion assays and 3-D culture. Transfection of ectopic podoplanin into a podoplanin-negative ESCC cell line (TE-15) induced cell migration and invasive activity (P &lt; 0.001 and P &lt; 0.05, respectively) without downregulation of E-cadherin. In contrast, transfection of si-podoplanin RNA into a podoplanin-positive ESCC cell line (TE-13) reduced cell migration and invasive activity (P &lt; 0.05). We reviewed 101 patients who had undergone esophagectomy for ESCC. Podoplanin expression was observed in 58 patients (57.4%), and positive expression was positively correlated with expression of E-cadherin (P &lt; 0.01), deeper wall invasion (P &lt; 0.01), venous invasion (P &lt; 0.05) and poorer prognosis (P &lt; 0.01). Multivariate Cox analysis revealed that expression of podoplanin was a significant and independent unfavorable predictor of survival (P &lt; 0.05). These data suggest that podoplanin is significantly associated with and likely contributes to ESCC invasion in the absence of EMT. © 2013 Japanese Cancer Association.","author":[{"dropping-particle":"","family":"Nakashima","given":"Yuichiro","non-dropping-particle":"","parse-names":false,"suffix":""},{"dropping-particle":"","family":"Yoshinaga","given":"Keiji","non-dropping-particle":"","parse-names":false,"suffix":""},{"dropping-particle":"","family":"Kitao","given":"Hiroyuki","non-dropping-particle":"","parse-names":false,"suffix":""},{"dropping-particle":"","family":"Ando","given":"Koji","non-dropping-particle":"","parse-names":false,"suffix":""},{"dropping-particle":"","family":"Kimura","given":"Yasue","non-dropping-particle":"","parse-names":false,"suffix":""},{"dropping-particle":"","family":"Saeki","given":"Hiroshi","non-dropping-particle":"","parse-names":false,"suffix":""},{"dropping-particle":"","family":"Oki","given":"Eiji","non-dropping-particle":"","parse-names":false,"suffix":""},{"dropping-particle":"","family":"Morita","given":"Masaru","non-dropping-particle":"","parse-names":false,"suffix":""},{"dropping-particle":"","family":"Kakeji","given":"Yoshihiro","non-dropping-particle":"","parse-names":false,"suffix":""},{"dropping-particle":"","family":"Hirahashi","given":"Minako","non-dropping-particle":"","parse-names":false,"suffix":""},{"dropping-particle":"","family":"Oda","given":"Yoshinao","non-dropping-particle":"","parse-names":false,"suffix":""},{"dropping-particle":"","family":"Maehara","given":"Yoshihiko","non-dropping-particle":"","parse-names":false,"suffix":""}],"container-title":"Cancer Science","id":"ITEM-2","issue":"12","issued":{"date-parts":[["2013","12"]]},"page":"1718-1725","publisher":"Cancer Sci","title":"Podoplanin is expressed at the invasive front of esophageal squamous cell carcinomas and is involved in collective cell invasion","type":"article-journal","volume":"104"},"uris":["http://www.mendeley.com/documents/?uuid=f010bcf0-2f41-391c-9c00-3cc272c72dc5"]}],"mendeley":{"formattedCitation":"&lt;sup&gt;[15,16]&lt;/sup&gt;","plainTextFormattedCitation":"[15,16]","previouslyFormattedCitation":"&lt;sup&gt;[15,16]&lt;/sup&gt;"},"properties":{"noteIndex":0},"schema":"https://github.com/citation-style-language/schema/raw/master/csl-citation.json"}</w:instrText>
      </w:r>
      <w:r w:rsidRPr="00B751AA">
        <w:rPr>
          <w:rFonts w:ascii="Book Antiqua" w:hAnsi="Book Antiqua" w:cs="Arial"/>
          <w:bCs/>
          <w:color w:val="000000" w:themeColor="text1"/>
          <w:sz w:val="24"/>
          <w:szCs w:val="24"/>
          <w:lang w:val="en-GB"/>
        </w:rPr>
        <w:fldChar w:fldCharType="separate"/>
      </w:r>
      <w:r w:rsidRPr="00B751AA">
        <w:rPr>
          <w:rFonts w:ascii="Book Antiqua" w:hAnsi="Book Antiqua" w:cs="Arial"/>
          <w:bCs/>
          <w:noProof/>
          <w:color w:val="000000" w:themeColor="text1"/>
          <w:sz w:val="24"/>
          <w:szCs w:val="24"/>
          <w:vertAlign w:val="superscript"/>
          <w:lang w:val="en-GB"/>
        </w:rPr>
        <w:t>[15,16]</w:t>
      </w:r>
      <w:r w:rsidRPr="00B751AA">
        <w:rPr>
          <w:rFonts w:ascii="Book Antiqua" w:hAnsi="Book Antiqua" w:cs="Arial"/>
          <w:bCs/>
          <w:color w:val="000000" w:themeColor="text1"/>
          <w:sz w:val="24"/>
          <w:szCs w:val="24"/>
          <w:lang w:val="en-GB"/>
        </w:rPr>
        <w:fldChar w:fldCharType="end"/>
      </w:r>
      <w:r w:rsidRPr="00B751AA">
        <w:rPr>
          <w:rFonts w:ascii="Book Antiqua" w:hAnsi="Book Antiqua" w:cs="Arial"/>
          <w:bCs/>
          <w:color w:val="000000" w:themeColor="text1"/>
          <w:sz w:val="24"/>
          <w:szCs w:val="24"/>
          <w:lang w:val="en-GB"/>
        </w:rPr>
        <w:t>.</w:t>
      </w:r>
      <w:r w:rsidR="0055432A"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 xml:space="preserve">It has been shown to stimulate invasion and migration of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cells and was correlated to lymph node metastasis, disease stage, lymphatic and vascular invasion, recurrence and poor prognosis</w:t>
      </w:r>
      <w:r w:rsidRPr="00B751AA">
        <w:rPr>
          <w:rFonts w:ascii="Book Antiqua" w:hAnsi="Book Antiqua" w:cs="Arial"/>
          <w:bCs/>
          <w:color w:val="000000" w:themeColor="text1"/>
          <w:sz w:val="24"/>
          <w:szCs w:val="24"/>
          <w:lang w:val="en-GB"/>
        </w:rPr>
        <w:fldChar w:fldCharType="begin" w:fldLock="1"/>
      </w:r>
      <w:r w:rsidRPr="00B751AA">
        <w:rPr>
          <w:rFonts w:ascii="Book Antiqua" w:hAnsi="Book Antiqua" w:cs="Arial"/>
          <w:bCs/>
          <w:color w:val="000000" w:themeColor="text1"/>
          <w:sz w:val="24"/>
          <w:szCs w:val="24"/>
          <w:lang w:val="en-GB"/>
        </w:rPr>
        <w:instrText>ADDIN CSL_CITATION {"citationItems":[{"id":"ITEM-1","itemData":{"DOI":"10.3892/mmr.2015.3966","ISSN":"17913004","PMID":"26095281","abstract":"Podoplanin is a small membrane mucin, which is involved in cell migration and cancer cell invasion. However, the roles of podoplanin in esophageal squamous cell carcinoma (ESCC) are poorly understood. In the present study, 139 cases of surgically resected ESCC were analyzed and the clinicopathological significance of podoplanin membrane expression in ESCC was demonstrated. Podoplanin expression was positive in 66.2% (92/139) of ESCC samples; with weak expression in 32.4% (45/139), and strong expression in 33.8% (47/139). Membrane expression of podoplanin was significantly associated with tumor status (P=0.001), venous invasion (P=0.035) and Union for International Cancer Control stage (P=0.029). Patients who exhibited strong podoplanin expression, were shown to have a poorer prognosis [hazard ratio (HR), 3.949; 95% confidence interval (CI), 2.001-7.794]. Expression of vimentin, a mesenchymal marker, was detected in 49 cases (35.3%) and was associated with venous invasion (P=0.020). Vimentin-positive cases were also more likely to have a worse prognosis than vimentin-negative cases (HR, 2.161; 95% CI, 1.300-3.592). Podoplanin membrane expression was significantly correlated with vimentin cytoplasmic expression in ESCC (P&lt;0.001). The present study confirmed that podoplanin and vimentin are independent predictors of mortality (HR, 3.084; 95% CI, 1.543-6.164). These results suggest that podoplanin membrane expression results in epithelial-mesenchymal transition and promotes aggressive invasion in human ESCC.","author":[{"dropping-particle":"","family":"Tanaka","given":"Makiko","non-dropping-particle":"","parse-names":false,"suffix":""},{"dropping-particle":"","family":"Kijima","given":"Hiroshi","non-dropping-particle":"","parse-names":false,"suffix":""},{"dropping-particle":"","family":"Shimada","given":"Hideo","non-dropping-particle":"","parse-names":false,"suffix":""},{"dropping-particle":"","family":"Makuuchi","given":"Hiroyasu","non-dropping-particle":"","parse-names":false,"suffix":""},{"dropping-particle":"","family":"Ozawa","given":"Soji","non-dropping-particle":"","parse-names":false,"suffix":""},{"dropping-particle":"","family":"Inokuchi","given":"Sadaki","non-dropping-particle":"","parse-names":false,"suffix":""}],"container-title":"Molecular Medicine Reports","id":"ITEM-1","issue":"3","issued":{"date-parts":[["2015","9"]]},"page":"4029-4036","publisher":"Mol Med Rep","title":"Expression of podoplanin and vimentin is correlated with prognosis in esophageal squamous cell carcinoma","type":"article-journal","volume":"12"},"uris":["http://www.mendeley.com/documents/?uuid=88e34d07-9897-37ac-8b18-846775a992a6"]}],"mendeley":{"formattedCitation":"&lt;sup&gt;[17]&lt;/sup&gt;","plainTextFormattedCitation":"[17]","previouslyFormattedCitation":"&lt;sup&gt;[17]&lt;/sup&gt;"},"properties":{"noteIndex":0},"schema":"https://github.com/citation-style-language/schema/raw/master/csl-citation.json"}</w:instrText>
      </w:r>
      <w:r w:rsidRPr="00B751AA">
        <w:rPr>
          <w:rFonts w:ascii="Book Antiqua" w:hAnsi="Book Antiqua" w:cs="Arial"/>
          <w:bCs/>
          <w:color w:val="000000" w:themeColor="text1"/>
          <w:sz w:val="24"/>
          <w:szCs w:val="24"/>
          <w:lang w:val="en-GB"/>
        </w:rPr>
        <w:fldChar w:fldCharType="separate"/>
      </w:r>
      <w:r w:rsidRPr="00B751AA">
        <w:rPr>
          <w:rFonts w:ascii="Book Antiqua" w:hAnsi="Book Antiqua" w:cs="Arial"/>
          <w:bCs/>
          <w:noProof/>
          <w:color w:val="000000" w:themeColor="text1"/>
          <w:sz w:val="24"/>
          <w:szCs w:val="24"/>
          <w:vertAlign w:val="superscript"/>
          <w:lang w:val="en-GB"/>
        </w:rPr>
        <w:t>[17]</w:t>
      </w:r>
      <w:r w:rsidRPr="00B751AA">
        <w:rPr>
          <w:rFonts w:ascii="Book Antiqua" w:hAnsi="Book Antiqua" w:cs="Arial"/>
          <w:bCs/>
          <w:color w:val="000000" w:themeColor="text1"/>
          <w:sz w:val="24"/>
          <w:szCs w:val="24"/>
          <w:lang w:val="en-GB"/>
        </w:rPr>
        <w:fldChar w:fldCharType="end"/>
      </w:r>
      <w:r w:rsidRPr="00B751AA">
        <w:rPr>
          <w:rFonts w:ascii="Book Antiqua" w:hAnsi="Book Antiqua" w:cs="Arial"/>
          <w:bCs/>
          <w:color w:val="000000" w:themeColor="text1"/>
          <w:sz w:val="24"/>
          <w:szCs w:val="24"/>
          <w:lang w:val="en-GB"/>
        </w:rPr>
        <w:t>.</w:t>
      </w:r>
    </w:p>
    <w:p w14:paraId="1C1E77B6"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bCs/>
          <w:color w:val="000000" w:themeColor="text1"/>
          <w:sz w:val="24"/>
          <w:szCs w:val="24"/>
        </w:rPr>
      </w:pPr>
      <w:r w:rsidRPr="00B751AA">
        <w:rPr>
          <w:rFonts w:ascii="Book Antiqua" w:hAnsi="Book Antiqua" w:cs="Arial"/>
          <w:bCs/>
          <w:color w:val="000000" w:themeColor="text1"/>
          <w:sz w:val="24"/>
          <w:szCs w:val="24"/>
        </w:rPr>
        <w:t>MicroRNAs are small non-coding RNAs that act post-transcriptionally as master regulators for a variety of mRNA targets by sequence homology</w:t>
      </w:r>
      <w:r w:rsidRPr="00B751AA">
        <w:rPr>
          <w:rFonts w:ascii="Book Antiqua" w:hAnsi="Book Antiqua" w:cs="Arial"/>
          <w:bCs/>
          <w:color w:val="000000" w:themeColor="text1"/>
          <w:sz w:val="24"/>
          <w:szCs w:val="24"/>
        </w:rPr>
        <w:fldChar w:fldCharType="begin" w:fldLock="1"/>
      </w:r>
      <w:r w:rsidRPr="00B751AA">
        <w:rPr>
          <w:rFonts w:ascii="Book Antiqua" w:hAnsi="Book Antiqua" w:cs="Arial"/>
          <w:bCs/>
          <w:color w:val="000000" w:themeColor="text1"/>
          <w:sz w:val="24"/>
          <w:szCs w:val="24"/>
        </w:rPr>
        <w:instrText xml:space="preserve">ADDIN CSL_CITATION {"citationItems":[{"id":"ITEM-1","itemData":{"DOI":"10.1182/blood-2011-07-364224","ISSN":"00064971","PMID":"21921041","abstract":"We performed a comprehensive genomewide miRNA expression profiling of extranodal nasal-type natural killer/T-cell lymphoma (NKTL) using formalin-fixed paraffin-embedded tissue (n </w:instrText>
      </w:r>
      <w:r w:rsidRPr="00B751AA">
        <w:rPr>
          <w:rFonts w:ascii="Cambria Math" w:hAnsi="Cambria Math" w:cs="Cambria Math"/>
          <w:bCs/>
          <w:color w:val="000000" w:themeColor="text1"/>
          <w:sz w:val="24"/>
          <w:szCs w:val="24"/>
        </w:rPr>
        <w:instrText>∇</w:instrText>
      </w:r>
      <w:r w:rsidRPr="00B751AA">
        <w:rPr>
          <w:rFonts w:ascii="Book Antiqua" w:hAnsi="Book Antiqua" w:cs="Arial"/>
          <w:bCs/>
          <w:color w:val="000000" w:themeColor="text1"/>
          <w:sz w:val="24"/>
          <w:szCs w:val="24"/>
        </w:rPr>
        <w:instrText xml:space="preserve"> 30) and NK cell lines (n </w:instrText>
      </w:r>
      <w:r w:rsidRPr="00B751AA">
        <w:rPr>
          <w:rFonts w:ascii="Cambria Math" w:hAnsi="Cambria Math" w:cs="Cambria Math"/>
          <w:bCs/>
          <w:color w:val="000000" w:themeColor="text1"/>
          <w:sz w:val="24"/>
          <w:szCs w:val="24"/>
        </w:rPr>
        <w:instrText>∇</w:instrText>
      </w:r>
      <w:r w:rsidRPr="00B751AA">
        <w:rPr>
          <w:rFonts w:ascii="Book Antiqua" w:hAnsi="Book Antiqua" w:cs="Arial"/>
          <w:bCs/>
          <w:color w:val="000000" w:themeColor="text1"/>
          <w:sz w:val="24"/>
          <w:szCs w:val="24"/>
        </w:rPr>
        <w:instrText xml:space="preserve"> 6) compared with normal NK cells, with the objective of understanding the pathogenetic role of miRNA deregulation in NKTL. Compared with normal NK cells, differentially expressed miRNAs in NKTL are predominantly downregulated. Re-expression of downregulated miRNAs, such as miR-101, miR- 26a, miR26b, miR-28-5, and miR-363, reduced the growth of the NK cell line and modulated the expression of their predicted target genes, suggesting the potential functional role of the deregulated miRNAs in the oncogenesis of NKTL. Taken together, the predicted targets whose expression is inversely correlated with the expression of deregulated miRNA in NKTL are significantly enriched for genes involved in cell cycle-related, p53, and MAPK signaling pathways. We also performed immunohistochemical validation for selected target proteins and found overexpression of MUM1, BLIMP1, and STMN1 in NKTL, and notably, a corresponding increase in MYC expression. Because MYC is known to cause repression of miRNA expression, it is possible that MYC activation in NKTL may contribute to the suppression of the miRNAs regulating MUM1, BLIMP1, and STMN1. © 2011 by The American Society of Hematology.","author":[{"dropping-particle":"","family":"Ng","given":"Siok Bian","non-dropping-particle":"","parse-names":false,"suffix":""},{"dropping-particle":"","family":"Yan","given":"Junli","non-dropping-particle":"","parse-names":false,"suffix":""},{"dropping-particle":"","family":"Huang","given":"Gaofeng","non-dropping-particle":"","parse-names":false,"suffix":""},{"dropping-particle":"","family":"Selvarajan","given":"Viknesvaran","non-dropping-particle":"","parse-names":false,"suffix":""},{"dropping-particle":"","family":"Tay","given":"Jim Liang Seah","non-dropping-particle":"","parse-names":false,"suffix":""},{"dropping-particle":"","family":"Lin","given":"Baohong","non-dropping-particle":"","parse-names":false,"suffix":""},{"dropping-particle":"","family":"Bi","given":"Chonglei","non-dropping-particle":"","parse-names":false,"suffix":""},{"dropping-particle":"","family":"Tan","given":"Joy","non-dropping-particle":"","parse-names":false,"suffix":""},{"dropping-particle":"","family":"Kwong","given":"Yok Lam","non-dropping-particle":"","parse-names":false,"suffix":""},{"dropping-particle":"","family":"Shimizu","given":"Norio","non-dropping-particle":"","parse-names":false,"suffix":""},{"dropping-particle":"","family":"Aozasa","given":"Katsuyuki","non-dropping-particle":"","parse-names":false,"suffix":""},{"dropping-particle":"","family":"Chng","given":"Wee Joo","non-dropping-particle":"","parse-names":false,"suffix":""}],"container-title":"Blood","id":"ITEM-1","issue":"18","issued":{"date-parts":[["2011","11","3"]]},"page":"4919-4929","publisher":"Blood","title":"Dysregulated microRNAs affect pathways and targets of biologic relevance in nasal-type natural killer/T-cell lymphoma","type":"article-journal","volume":"118"},"uris":["http://www.mendeley.com/documents/?uuid=12cc4c5b-2f81-3af7-8795-c581aee4f264"]},{"id":"ITEM-2","itemData":{"DOI":"10.1016/j.surg.2013.04.005","ISSN":"00396060","PMID":"23806264","abstract":"Background: microRNA (miRNA) functions broadly as post-transcriptional regulators of gene expression, and disproportionate miRNAs can result in dysregulation of oncogenes in cancer cells. We have previously shown that gastrin-releasing peptide receptor (GRP-R) signaling regulates tumorigenicity of neuroblastoma cells. Herein, we sought to characterize miRNA profile in GRP-R silenced neuroblastoma cells, and to determine the role of miRNAs on tumorigenicity and metastatic potential. Methods: Human neuroblastoma cell lines, BE(2)-C and SK-N-SH, were used for our study. Stably transfected GRP-R silenced cells were assessed for miRNA profiles. Cells were transfected with miR-335, miR-363, or miR-CON, a nontargeting control, and in vitro assays were performed. In vivo functions of miR-335 and miR-363 were also assessed in a spleen-liver metastasis murine model. Results: GRP-R silencing significantly increased expression of miR-335 and miR-363 in BE(2)-C cells. Overexpression of miR-335 and miR-363 decreased tumorigenicity as measured by clonogenicity, anchorage-independent growth, and metastasis determined by cell invasion assay and liver metastasis in vivo. Conclusion: We report, for the first time, that GRP-R-mediated tumorigenicity and increased metastatic potential in neuroblastoma are regulated, in part, by miR-335 and miR-363. A better understanding of the anti-tumor functions of miRNAs could provide valuable insights to discerning molecular mechanisms responsible for neuroblastoma metastasis. © 2013 Mosby, Inc. All rights reserved.","author":[{"dropping-particle":"","family":"Qiao","given":"Jingbo","non-dropping-particle":"","parse-names":false,"suffix":""},{"dropping-particle":"","family":"Lee","given":"Sora","non-dropping-particle":"","parse-names":false,"suffix":""},{"dropping-particle":"","family":"Paul","given":"Pritha","non-dropping-particle":"","parse-names":false,"suffix":""},{"dropping-particle":"","family":"Theiss","given":"Lauren","non-dropping-particle":"","parse-names":false,"suffix":""},{"dropping-particle":"","family":"Tiao","given":"Joshua","non-dropping-particle":"","parse-names":false,"suffix":""},{"dropping-particle":"","family":"Qiao","given":"Lan","non-dropping-particle":"","parse-names":false,"suffix":""},{"dropping-particle":"","family":"Kong","given":"Andrew","non-dropping-particle":"","parse-names":false,"suffix":""},{"dropping-particle":"","family":"Chung","given":"Dai H","non-dropping-particle":"","parse-names":false,"suffix":""}],"container-title":"Surgery (United States)","id":"ITEM-2","issue":"2","issued":{"date-parts":[["2013","8"]]},"page":"226-233","publisher":"Surgery","title":"MiR-335 and miR-363 regulation of neuroblastoma tumorigenesis and metastasis","type":"article-journal","volume":"154"},"uris":["http://www.mendeley.com/documents/?uuid=a17d87ee-f5d0-3693-8ea8-678e817e0460"]}],"mendeley":{"formattedCitation":"&lt;sup&gt;[18,19]&lt;/sup&gt;","plainTextFormattedCitation":"[18,19]","previouslyFormattedCitation":"&lt;sup&gt;[18,19]&lt;/sup&gt;"},"properties":{"noteIndex":0},"schema":"https://github.com/citation-style-language/schema/raw/master/csl-citation.json"}</w:instrText>
      </w:r>
      <w:r w:rsidRPr="00B751AA">
        <w:rPr>
          <w:rFonts w:ascii="Book Antiqua" w:hAnsi="Book Antiqua" w:cs="Arial"/>
          <w:bCs/>
          <w:color w:val="000000" w:themeColor="text1"/>
          <w:sz w:val="24"/>
          <w:szCs w:val="24"/>
        </w:rPr>
        <w:fldChar w:fldCharType="separate"/>
      </w:r>
      <w:r w:rsidRPr="00B751AA">
        <w:rPr>
          <w:rFonts w:ascii="Book Antiqua" w:hAnsi="Book Antiqua" w:cs="Arial"/>
          <w:bCs/>
          <w:noProof/>
          <w:color w:val="000000" w:themeColor="text1"/>
          <w:sz w:val="24"/>
          <w:szCs w:val="24"/>
          <w:vertAlign w:val="superscript"/>
        </w:rPr>
        <w:t>[18,19]</w:t>
      </w:r>
      <w:r w:rsidRPr="00B751AA">
        <w:rPr>
          <w:rFonts w:ascii="Book Antiqua" w:hAnsi="Book Antiqua" w:cs="Arial"/>
          <w:bCs/>
          <w:color w:val="000000" w:themeColor="text1"/>
          <w:sz w:val="24"/>
          <w:szCs w:val="24"/>
        </w:rPr>
        <w:fldChar w:fldCharType="end"/>
      </w:r>
      <w:r w:rsidRPr="00B751AA">
        <w:rPr>
          <w:rFonts w:ascii="Book Antiqua" w:hAnsi="Book Antiqua" w:cs="Arial"/>
          <w:bCs/>
          <w:color w:val="000000" w:themeColor="text1"/>
          <w:sz w:val="24"/>
          <w:szCs w:val="24"/>
        </w:rPr>
        <w:t xml:space="preserve">. miR-363 has been reported to be deregulated in several tumors and has been associated with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w:t>
      </w:r>
      <w:r w:rsidRPr="00B751AA">
        <w:rPr>
          <w:rFonts w:ascii="Book Antiqua" w:hAnsi="Book Antiqua" w:cs="Arial"/>
          <w:bCs/>
          <w:color w:val="000000" w:themeColor="text1"/>
          <w:sz w:val="24"/>
          <w:szCs w:val="24"/>
        </w:rPr>
        <w:fldChar w:fldCharType="begin" w:fldLock="1"/>
      </w:r>
      <w:r w:rsidRPr="00B751AA">
        <w:rPr>
          <w:rFonts w:ascii="Book Antiqua" w:hAnsi="Book Antiqua" w:cs="Arial"/>
          <w:bCs/>
          <w:color w:val="000000" w:themeColor="text1"/>
          <w:sz w:val="24"/>
          <w:szCs w:val="24"/>
        </w:rPr>
        <w:instrText>ADDIN CSL_CITATION {"citationItems":[{"id":"ITEM-1","itemData":{"DOI":"10.1016/j.biocel.2012.12.004","ISSN":"13572725","PMID":"23246488","abstract":"Head and neck squamous cell carcinoma (HNSCC) is characterised by an elevated capacity for tumour invasion and lymph node metastasis and the cause remains to be determined. Recent studies suggest that microRNAs can regulate the evolution of malignant behaviours by regulating multiple target genes. In this study, we have first confirmed that miR-363 is down-regulated in HNSCC tissues with lymph node metastasis and cell lines with highly invasive capacity. We used bioinformatics, cellular and molecular methods to predict and prove that miR-363 directly targeted to podoplanin (PDPN) and caused up-regulation of PDPN in HNSCC. MSP assay showed that DNA promoter methylation was involved in silencing the miR-363 in HNSCC. Furthermore, we provided evidence to demonstrate that PDPN dysregulation caused by down-regulation of miR-363 contributes to HNSCC invasion and metastasis. These data reveal a key role of miR-363-PDPN in HNSCC metastasis and support biological and clinical links between miR-363-PDPN and HNSCC. © 2012 Elsevier Ltd.","author":[{"dropping-particle":"","family":"Sun","given":"Qiang","non-dropping-particle":"","parse-names":false,"suffix":""},{"dropping-particle":"","family":"Zhang","given":"Jianjun","non-dropping-particle":"","parse-names":false,"suffix":""},{"dropping-particle":"","family":"Cao","given":"Wei","non-dropping-particle":"","parse-names":false,"suffix":""},{"dropping-particle":"","family":"Wang","given":"Xu","non-dropping-particle":"","parse-names":false,"suffix":""},{"dropping-particle":"","family":"Xu","given":"Qin","non-dropping-particle":"","parse-names":false,"suffix":""},{"dropping-particle":"","family":"Yan","given":"Ming","non-dropping-particle":"","parse-names":false,"suffix":""},{"dropping-particle":"","family":"Wu","given":"Xiangbing","non-dropping-particle":"","parse-names":false,"suffix":""},{"dropping-particle":"","family":"Chen","given":"Wantao","non-dropping-particle":"","parse-names":false,"suffix":""}],"container-title":"International Journal of Biochemistry and Cell Biology","id":"ITEM-1","issue":"3","issued":{"date-parts":[["2013","3"]]},"page":"513-520","publisher":"Int J Biochem Cell Biol","title":"Dysregulated miR-363 affects head and neck cancer invasion and metastasis by targeting podoplanin","type":"article-journal","volume":"45"},"uris":["http://www.mendeley.com/documents/?uuid=7b6217ad-fb5b-33d0-879c-6bbefb4f2f1c"]}],"mendeley":{"formattedCitation":"&lt;sup&gt;[20]&lt;/sup&gt;","plainTextFormattedCitation":"[20]","previouslyFormattedCitation":"&lt;sup&gt;[20]&lt;/sup&gt;"},"properties":{"noteIndex":0},"schema":"https://github.com/citation-style-language/schema/raw/master/csl-citation.json"}</w:instrText>
      </w:r>
      <w:r w:rsidRPr="00B751AA">
        <w:rPr>
          <w:rFonts w:ascii="Book Antiqua" w:hAnsi="Book Antiqua" w:cs="Arial"/>
          <w:bCs/>
          <w:color w:val="000000" w:themeColor="text1"/>
          <w:sz w:val="24"/>
          <w:szCs w:val="24"/>
        </w:rPr>
        <w:fldChar w:fldCharType="separate"/>
      </w:r>
      <w:r w:rsidRPr="00B751AA">
        <w:rPr>
          <w:rFonts w:ascii="Book Antiqua" w:hAnsi="Book Antiqua" w:cs="Arial"/>
          <w:bCs/>
          <w:noProof/>
          <w:color w:val="000000" w:themeColor="text1"/>
          <w:sz w:val="24"/>
          <w:szCs w:val="24"/>
          <w:vertAlign w:val="superscript"/>
        </w:rPr>
        <w:t>[20]</w:t>
      </w:r>
      <w:r w:rsidRPr="00B751AA">
        <w:rPr>
          <w:rFonts w:ascii="Book Antiqua" w:hAnsi="Book Antiqua" w:cs="Arial"/>
          <w:bCs/>
          <w:color w:val="000000" w:themeColor="text1"/>
          <w:sz w:val="24"/>
          <w:szCs w:val="24"/>
        </w:rPr>
        <w:fldChar w:fldCharType="end"/>
      </w:r>
      <w:r w:rsidRPr="00B751AA">
        <w:rPr>
          <w:rFonts w:ascii="Book Antiqua" w:hAnsi="Book Antiqua" w:cs="Arial"/>
          <w:bCs/>
          <w:color w:val="000000" w:themeColor="text1"/>
          <w:sz w:val="24"/>
          <w:szCs w:val="24"/>
        </w:rPr>
        <w:t xml:space="preserve">. Knowledge about regulation of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 in esophageal cancer is </w:t>
      </w:r>
      <w:proofErr w:type="spellStart"/>
      <w:r w:rsidRPr="00B751AA">
        <w:rPr>
          <w:rFonts w:ascii="Book Antiqua" w:hAnsi="Book Antiqua" w:cs="Arial"/>
          <w:bCs/>
          <w:color w:val="000000" w:themeColor="text1"/>
          <w:sz w:val="24"/>
          <w:szCs w:val="24"/>
        </w:rPr>
        <w:t>scarse</w:t>
      </w:r>
      <w:proofErr w:type="spellEnd"/>
      <w:r w:rsidRPr="00B751AA">
        <w:rPr>
          <w:rFonts w:ascii="Book Antiqua" w:hAnsi="Book Antiqua" w:cs="Arial"/>
          <w:bCs/>
          <w:color w:val="000000" w:themeColor="text1"/>
          <w:sz w:val="24"/>
          <w:szCs w:val="24"/>
        </w:rPr>
        <w:t xml:space="preserve">. The mechanism of re-expression of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in tumor cells of ESCC still has to be elucidated.</w:t>
      </w:r>
    </w:p>
    <w:p w14:paraId="57E33DA8" w14:textId="77777777" w:rsidR="00FE6179" w:rsidRPr="00B751AA" w:rsidRDefault="00FE6179" w:rsidP="00B751AA">
      <w:pPr>
        <w:pStyle w:val="StandardArial"/>
        <w:adjustRightInd w:val="0"/>
        <w:snapToGrid w:val="0"/>
        <w:spacing w:before="0" w:after="0"/>
        <w:ind w:firstLineChars="100" w:firstLine="240"/>
        <w:rPr>
          <w:rFonts w:ascii="Book Antiqua" w:hAnsi="Book Antiqua"/>
          <w:bCs/>
          <w:color w:val="000000" w:themeColor="text1"/>
          <w:szCs w:val="24"/>
          <w:lang w:val="en-GB"/>
        </w:rPr>
      </w:pPr>
      <w:r w:rsidRPr="00B751AA">
        <w:rPr>
          <w:rFonts w:ascii="Book Antiqua" w:hAnsi="Book Antiqua"/>
          <w:color w:val="000000" w:themeColor="text1"/>
          <w:szCs w:val="24"/>
          <w:lang w:val="en-GB"/>
        </w:rPr>
        <w:lastRenderedPageBreak/>
        <w:t xml:space="preserve">The aim of the present study was to determine expression of </w:t>
      </w:r>
      <w:proofErr w:type="spellStart"/>
      <w:r w:rsidRPr="00B751AA">
        <w:rPr>
          <w:rFonts w:ascii="Book Antiqua" w:hAnsi="Book Antiqua"/>
          <w:color w:val="000000" w:themeColor="text1"/>
          <w:szCs w:val="24"/>
          <w:lang w:val="en-GB"/>
        </w:rPr>
        <w:t>podoplanin</w:t>
      </w:r>
      <w:proofErr w:type="spellEnd"/>
      <w:r w:rsidRPr="00B751AA">
        <w:rPr>
          <w:rFonts w:ascii="Book Antiqua" w:hAnsi="Book Antiqua"/>
          <w:color w:val="000000" w:themeColor="text1"/>
          <w:szCs w:val="24"/>
          <w:lang w:val="en-GB"/>
        </w:rPr>
        <w:t xml:space="preserve"> protein in </w:t>
      </w:r>
      <w:proofErr w:type="spellStart"/>
      <w:r w:rsidRPr="00B751AA">
        <w:rPr>
          <w:rFonts w:ascii="Book Antiqua" w:hAnsi="Book Antiqua"/>
          <w:color w:val="000000" w:themeColor="text1"/>
          <w:szCs w:val="24"/>
          <w:lang w:val="en-GB"/>
        </w:rPr>
        <w:t>esophageal</w:t>
      </w:r>
      <w:proofErr w:type="spellEnd"/>
      <w:r w:rsidRPr="00B751AA">
        <w:rPr>
          <w:rFonts w:ascii="Book Antiqua" w:hAnsi="Book Antiqua"/>
          <w:color w:val="000000" w:themeColor="text1"/>
          <w:szCs w:val="24"/>
          <w:lang w:val="en-GB"/>
        </w:rPr>
        <w:t xml:space="preserve"> cancer patients </w:t>
      </w:r>
      <w:r w:rsidRPr="00B751AA">
        <w:rPr>
          <w:rFonts w:ascii="Book Antiqua" w:hAnsi="Book Antiqua"/>
          <w:bCs/>
          <w:color w:val="000000" w:themeColor="text1"/>
          <w:szCs w:val="24"/>
          <w:lang w:val="en-GB"/>
        </w:rPr>
        <w:t xml:space="preserve">with regard to a potential benefit for personalization of neoadjuvant treatment of </w:t>
      </w:r>
      <w:r w:rsidR="0055432A" w:rsidRPr="00B751AA">
        <w:rPr>
          <w:rFonts w:ascii="Book Antiqua" w:hAnsi="Book Antiqua"/>
          <w:color w:val="000000" w:themeColor="text1"/>
          <w:szCs w:val="24"/>
          <w:lang w:val="de-DE"/>
        </w:rPr>
        <w:t>esophageal carcinoma</w:t>
      </w:r>
      <w:r w:rsidRPr="00B751AA">
        <w:rPr>
          <w:rFonts w:ascii="Book Antiqua" w:hAnsi="Book Antiqua"/>
          <w:bCs/>
          <w:color w:val="000000" w:themeColor="text1"/>
          <w:szCs w:val="24"/>
          <w:lang w:val="en-GB"/>
        </w:rPr>
        <w:t xml:space="preserve">. We </w:t>
      </w:r>
      <w:r w:rsidRPr="00B751AA">
        <w:rPr>
          <w:rFonts w:ascii="Book Antiqua" w:hAnsi="Book Antiqua"/>
          <w:color w:val="000000" w:themeColor="text1"/>
          <w:szCs w:val="24"/>
          <w:lang w:val="en-GB"/>
        </w:rPr>
        <w:t>evaluated its predictive impact for therapy response and prognosis and a potential</w:t>
      </w:r>
      <w:r w:rsidRPr="00B751AA">
        <w:rPr>
          <w:rFonts w:ascii="Book Antiqua" w:hAnsi="Book Antiqua"/>
          <w:bCs/>
          <w:color w:val="000000" w:themeColor="text1"/>
          <w:szCs w:val="24"/>
          <w:lang w:val="en-GB"/>
        </w:rPr>
        <w:t xml:space="preserve"> association of post-transcriptional regulation by miR-363 as one mechanism of deregulation of </w:t>
      </w:r>
      <w:proofErr w:type="spellStart"/>
      <w:r w:rsidRPr="00B751AA">
        <w:rPr>
          <w:rFonts w:ascii="Book Antiqua" w:hAnsi="Book Antiqua"/>
          <w:bCs/>
          <w:color w:val="000000" w:themeColor="text1"/>
          <w:szCs w:val="24"/>
          <w:lang w:val="en-GB"/>
        </w:rPr>
        <w:t>podoplanin</w:t>
      </w:r>
      <w:proofErr w:type="spellEnd"/>
      <w:r w:rsidRPr="00B751AA">
        <w:rPr>
          <w:rFonts w:ascii="Book Antiqua" w:hAnsi="Book Antiqua"/>
          <w:bCs/>
          <w:color w:val="000000" w:themeColor="text1"/>
          <w:szCs w:val="24"/>
          <w:lang w:val="en-GB"/>
        </w:rPr>
        <w:t xml:space="preserve"> expression in cancer. </w:t>
      </w:r>
    </w:p>
    <w:p w14:paraId="43C14D3E" w14:textId="77777777" w:rsidR="00FE6179" w:rsidRPr="00B751AA" w:rsidRDefault="00FE6179" w:rsidP="00B751AA">
      <w:pPr>
        <w:pStyle w:val="StandardArial"/>
        <w:adjustRightInd w:val="0"/>
        <w:snapToGrid w:val="0"/>
        <w:spacing w:before="0" w:after="0"/>
        <w:ind w:firstLine="23"/>
        <w:rPr>
          <w:rFonts w:ascii="Book Antiqua" w:hAnsi="Book Antiqua"/>
          <w:bCs/>
          <w:color w:val="000000" w:themeColor="text1"/>
          <w:szCs w:val="24"/>
          <w:lang w:val="en-GB"/>
        </w:rPr>
      </w:pPr>
    </w:p>
    <w:p w14:paraId="69BD1CFC" w14:textId="77777777" w:rsidR="00E62BE4" w:rsidRPr="00B751AA" w:rsidRDefault="00E62BE4" w:rsidP="00B751AA">
      <w:pPr>
        <w:adjustRightInd w:val="0"/>
        <w:snapToGrid w:val="0"/>
        <w:spacing w:after="0" w:line="360" w:lineRule="auto"/>
        <w:jc w:val="both"/>
        <w:rPr>
          <w:rFonts w:ascii="Book Antiqua" w:hAnsi="Book Antiqua" w:cstheme="minorHAnsi"/>
          <w:b/>
          <w:sz w:val="24"/>
          <w:szCs w:val="24"/>
          <w:u w:val="single"/>
        </w:rPr>
      </w:pPr>
      <w:r w:rsidRPr="00B751AA">
        <w:rPr>
          <w:rFonts w:ascii="Book Antiqua" w:hAnsi="Book Antiqua" w:cstheme="minorHAnsi"/>
          <w:b/>
          <w:sz w:val="24"/>
          <w:szCs w:val="24"/>
          <w:u w:val="single"/>
        </w:rPr>
        <w:t>MATERIALS AND METHODS</w:t>
      </w:r>
    </w:p>
    <w:p w14:paraId="170DEB1B" w14:textId="77777777" w:rsidR="00FE6179" w:rsidRPr="00B751AA" w:rsidRDefault="00FE6179" w:rsidP="00B751AA">
      <w:pPr>
        <w:pStyle w:val="StandardArial"/>
        <w:adjustRightInd w:val="0"/>
        <w:snapToGrid w:val="0"/>
        <w:spacing w:before="0" w:after="0"/>
        <w:ind w:firstLine="23"/>
        <w:rPr>
          <w:rFonts w:ascii="Book Antiqua" w:hAnsi="Book Antiqua"/>
          <w:b/>
          <w:i/>
          <w:color w:val="000000" w:themeColor="text1"/>
          <w:szCs w:val="24"/>
          <w:lang w:val="en-GB"/>
        </w:rPr>
      </w:pPr>
      <w:r w:rsidRPr="00B751AA">
        <w:rPr>
          <w:rFonts w:ascii="Book Antiqua" w:hAnsi="Book Antiqua"/>
          <w:b/>
          <w:i/>
          <w:color w:val="000000" w:themeColor="text1"/>
          <w:szCs w:val="24"/>
          <w:lang w:val="en-GB"/>
        </w:rPr>
        <w:t xml:space="preserve">Patients, </w:t>
      </w:r>
      <w:r w:rsidRPr="00B751AA">
        <w:rPr>
          <w:rFonts w:ascii="Book Antiqua" w:hAnsi="Book Antiqua"/>
          <w:b/>
          <w:i/>
          <w:color w:val="000000" w:themeColor="text1"/>
          <w:szCs w:val="24"/>
          <w:lang w:val="en-US"/>
        </w:rPr>
        <w:t>demographic data, and neoadjuvant therapy regime</w:t>
      </w:r>
    </w:p>
    <w:p w14:paraId="0C013272" w14:textId="77777777" w:rsidR="00FE6179" w:rsidRPr="00B751AA" w:rsidRDefault="00EE4E4E" w:rsidP="00B751AA">
      <w:pPr>
        <w:pStyle w:val="af2"/>
        <w:adjustRightInd w:val="0"/>
        <w:snapToGrid w:val="0"/>
        <w:spacing w:before="0" w:after="0" w:line="360" w:lineRule="auto"/>
        <w:jc w:val="both"/>
        <w:rPr>
          <w:rFonts w:ascii="Book Antiqua" w:hAnsi="Book Antiqua" w:cs="Arial"/>
          <w:b/>
          <w:bCs/>
          <w:i/>
          <w:color w:val="000000" w:themeColor="text1"/>
          <w:lang w:val="en-GB"/>
        </w:rPr>
      </w:pPr>
      <w:r w:rsidRPr="00B751AA">
        <w:rPr>
          <w:rFonts w:ascii="Book Antiqua" w:hAnsi="Book Antiqua" w:cs="Arial"/>
          <w:bCs/>
          <w:color w:val="000000" w:themeColor="text1"/>
          <w:lang w:val="en-GB"/>
        </w:rPr>
        <w:t xml:space="preserve">One hundred and ninety-five </w:t>
      </w:r>
      <w:r w:rsidR="00FE6179" w:rsidRPr="00B751AA">
        <w:rPr>
          <w:rFonts w:ascii="Book Antiqua" w:hAnsi="Book Antiqua" w:cs="Arial"/>
          <w:bCs/>
          <w:color w:val="000000" w:themeColor="text1"/>
          <w:lang w:val="en-GB"/>
        </w:rPr>
        <w:t xml:space="preserve">patients with advanced </w:t>
      </w:r>
      <w:proofErr w:type="spellStart"/>
      <w:r w:rsidR="00FE6179" w:rsidRPr="00B751AA">
        <w:rPr>
          <w:rFonts w:ascii="Book Antiqua" w:hAnsi="Book Antiqua" w:cs="Arial"/>
          <w:bCs/>
          <w:color w:val="000000" w:themeColor="text1"/>
          <w:lang w:val="en-GB"/>
        </w:rPr>
        <w:t>esophageal</w:t>
      </w:r>
      <w:proofErr w:type="spellEnd"/>
      <w:r w:rsidR="00FE6179" w:rsidRPr="00B751AA">
        <w:rPr>
          <w:rFonts w:ascii="Book Antiqua" w:hAnsi="Book Antiqua" w:cs="Arial"/>
          <w:bCs/>
          <w:color w:val="000000" w:themeColor="text1"/>
          <w:lang w:val="en-GB"/>
        </w:rPr>
        <w:t xml:space="preserve"> cancer (clinical</w:t>
      </w:r>
      <w:r w:rsidRPr="00B751AA">
        <w:rPr>
          <w:rFonts w:ascii="Book Antiqua" w:hAnsi="Book Antiqua" w:cs="Arial"/>
          <w:bCs/>
          <w:color w:val="000000" w:themeColor="text1"/>
          <w:lang w:val="en-GB"/>
        </w:rPr>
        <w:t xml:space="preserve"> </w:t>
      </w:r>
      <w:r w:rsidR="00FE6179" w:rsidRPr="00B751AA">
        <w:rPr>
          <w:rFonts w:ascii="Book Antiqua" w:hAnsi="Book Antiqua" w:cs="Arial"/>
          <w:bCs/>
          <w:color w:val="000000" w:themeColor="text1"/>
          <w:lang w:val="en-GB"/>
        </w:rPr>
        <w:t xml:space="preserve">T2-3, </w:t>
      </w:r>
      <w:proofErr w:type="spellStart"/>
      <w:r w:rsidR="00FE6179" w:rsidRPr="00B751AA">
        <w:rPr>
          <w:rFonts w:ascii="Book Antiqua" w:hAnsi="Book Antiqua" w:cs="Arial"/>
          <w:bCs/>
          <w:color w:val="000000" w:themeColor="text1"/>
          <w:lang w:val="en-GB"/>
        </w:rPr>
        <w:t>Nx</w:t>
      </w:r>
      <w:proofErr w:type="spellEnd"/>
      <w:r w:rsidR="00FE6179" w:rsidRPr="00B751AA">
        <w:rPr>
          <w:rFonts w:ascii="Book Antiqua" w:hAnsi="Book Antiqua" w:cs="Arial"/>
          <w:bCs/>
          <w:color w:val="000000" w:themeColor="text1"/>
          <w:lang w:val="en-GB"/>
        </w:rPr>
        <w:t>, M0) who received transthoracic esophagectomy are characterized in Tab</w:t>
      </w:r>
      <w:r w:rsidRPr="00B751AA">
        <w:rPr>
          <w:rFonts w:ascii="Book Antiqua" w:hAnsi="Book Antiqua" w:cs="Arial"/>
          <w:bCs/>
          <w:color w:val="000000" w:themeColor="text1"/>
          <w:lang w:val="en-GB" w:eastAsia="zh-CN"/>
        </w:rPr>
        <w:t>le</w:t>
      </w:r>
      <w:r w:rsidR="00FE6179" w:rsidRPr="00B751AA">
        <w:rPr>
          <w:rFonts w:ascii="Book Antiqua" w:hAnsi="Book Antiqua" w:cs="Arial"/>
          <w:bCs/>
          <w:color w:val="000000" w:themeColor="text1"/>
          <w:lang w:val="en-GB"/>
        </w:rPr>
        <w:t xml:space="preserve"> 1. Matching endoscopic biopsies and resection tissue were available for 56 primary surgery ESCC patients. </w:t>
      </w:r>
      <w:r w:rsidR="00FE6179" w:rsidRPr="00B751AA">
        <w:rPr>
          <w:rFonts w:ascii="Book Antiqua" w:hAnsi="Book Antiqua" w:cs="Arial"/>
          <w:color w:val="000000" w:themeColor="text1"/>
          <w:lang w:val="en-GB"/>
        </w:rPr>
        <w:t>P</w:t>
      </w:r>
      <w:proofErr w:type="spellStart"/>
      <w:r w:rsidR="00FE6179" w:rsidRPr="00B751AA">
        <w:rPr>
          <w:rFonts w:ascii="Book Antiqua" w:hAnsi="Book Antiqua" w:cs="Arial"/>
          <w:color w:val="000000" w:themeColor="text1"/>
          <w:lang w:val="en-US"/>
        </w:rPr>
        <w:t>araffin</w:t>
      </w:r>
      <w:proofErr w:type="spellEnd"/>
      <w:r w:rsidR="00FE6179" w:rsidRPr="00B751AA">
        <w:rPr>
          <w:rFonts w:ascii="Book Antiqua" w:hAnsi="Book Antiqua" w:cs="Arial"/>
          <w:color w:val="000000" w:themeColor="text1"/>
          <w:lang w:val="en-US"/>
        </w:rPr>
        <w:t xml:space="preserve">-embedded tissue for RNA extraction and quantification of miR-363 expression in addition to </w:t>
      </w:r>
      <w:proofErr w:type="spellStart"/>
      <w:r w:rsidR="00FE6179" w:rsidRPr="00B751AA">
        <w:rPr>
          <w:rFonts w:ascii="Book Antiqua" w:hAnsi="Book Antiqua" w:cs="Arial"/>
          <w:color w:val="000000" w:themeColor="text1"/>
          <w:lang w:val="en-US"/>
        </w:rPr>
        <w:t>podoplanin</w:t>
      </w:r>
      <w:proofErr w:type="spellEnd"/>
      <w:r w:rsidR="00FE6179" w:rsidRPr="00B751AA">
        <w:rPr>
          <w:rFonts w:ascii="Book Antiqua" w:hAnsi="Book Antiqua" w:cs="Arial"/>
          <w:color w:val="000000" w:themeColor="text1"/>
          <w:lang w:val="en-US"/>
        </w:rPr>
        <w:t xml:space="preserve"> protein were available for 29 ESCC patients and 19 EAC patients who received primary surgery.</w:t>
      </w:r>
    </w:p>
    <w:p w14:paraId="24F8E568"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bCs/>
          <w:color w:val="000000" w:themeColor="text1"/>
          <w:sz w:val="24"/>
          <w:szCs w:val="24"/>
          <w:lang w:val="en-GB"/>
        </w:rPr>
        <w:t xml:space="preserve">Endoscopic biopsies were obtained during routine staging esophagogastroduodenoscopy prior to therapy. </w:t>
      </w:r>
      <w:r w:rsidRPr="00B751AA">
        <w:rPr>
          <w:rFonts w:ascii="Book Antiqua" w:hAnsi="Book Antiqua" w:cs="Arial"/>
          <w:color w:val="000000" w:themeColor="text1"/>
          <w:sz w:val="24"/>
          <w:szCs w:val="24"/>
          <w:lang w:val="en-GB"/>
        </w:rPr>
        <w:t xml:space="preserve">None of the patients had received prior radio- and /or chemotherapy. </w:t>
      </w:r>
      <w:r w:rsidR="00DF0C2A" w:rsidRPr="00B751AA">
        <w:rPr>
          <w:rFonts w:ascii="Book Antiqua" w:hAnsi="Book Antiqua" w:cs="Arial"/>
          <w:color w:val="000000" w:themeColor="text1"/>
          <w:sz w:val="24"/>
          <w:szCs w:val="24"/>
          <w:lang w:val="en-GB"/>
        </w:rPr>
        <w:t>One hundred and six</w:t>
      </w:r>
      <w:r w:rsidRPr="00B751AA">
        <w:rPr>
          <w:rFonts w:ascii="Book Antiqua" w:hAnsi="Book Antiqua" w:cs="Arial"/>
          <w:color w:val="000000" w:themeColor="text1"/>
          <w:sz w:val="24"/>
          <w:szCs w:val="24"/>
          <w:lang w:val="en-GB"/>
        </w:rPr>
        <w:t xml:space="preserve"> patients of the study population with an advanced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stage (cT3, </w:t>
      </w:r>
      <w:proofErr w:type="spellStart"/>
      <w:r w:rsidRPr="00B751AA">
        <w:rPr>
          <w:rFonts w:ascii="Book Antiqua" w:hAnsi="Book Antiqua" w:cs="Arial"/>
          <w:color w:val="000000" w:themeColor="text1"/>
          <w:sz w:val="24"/>
          <w:szCs w:val="24"/>
          <w:lang w:val="en-GB"/>
        </w:rPr>
        <w:t>Nx</w:t>
      </w:r>
      <w:proofErr w:type="spellEnd"/>
      <w:r w:rsidRPr="00B751AA">
        <w:rPr>
          <w:rFonts w:ascii="Book Antiqua" w:hAnsi="Book Antiqua" w:cs="Arial"/>
          <w:color w:val="000000" w:themeColor="text1"/>
          <w:sz w:val="24"/>
          <w:szCs w:val="24"/>
          <w:lang w:val="en-GB"/>
        </w:rPr>
        <w:t>, M0) received preoperative chemoradiation. Briefly, cisplatin (20</w:t>
      </w:r>
      <w:r w:rsidR="00DF0C2A"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mg/m</w:t>
      </w:r>
      <w:r w:rsidRPr="00B751AA">
        <w:rPr>
          <w:rFonts w:ascii="Book Antiqua" w:hAnsi="Book Antiqua" w:cs="Arial"/>
          <w:color w:val="000000" w:themeColor="text1"/>
          <w:sz w:val="24"/>
          <w:szCs w:val="24"/>
          <w:vertAlign w:val="superscript"/>
          <w:lang w:val="en-GB"/>
        </w:rPr>
        <w:t>2</w:t>
      </w:r>
      <w:r w:rsidR="00DF0C2A" w:rsidRPr="00B751AA">
        <w:rPr>
          <w:rFonts w:ascii="Book Antiqua" w:hAnsi="Book Antiqua" w:cs="Arial"/>
          <w:color w:val="000000" w:themeColor="text1"/>
          <w:sz w:val="24"/>
          <w:szCs w:val="24"/>
          <w:lang w:val="en-GB"/>
        </w:rPr>
        <w:t xml:space="preserve"> per </w:t>
      </w:r>
      <w:r w:rsidRPr="00B751AA">
        <w:rPr>
          <w:rFonts w:ascii="Book Antiqua" w:hAnsi="Book Antiqua" w:cs="Arial"/>
          <w:color w:val="000000" w:themeColor="text1"/>
          <w:sz w:val="24"/>
          <w:szCs w:val="24"/>
          <w:lang w:val="en-GB"/>
        </w:rPr>
        <w:t>d</w:t>
      </w:r>
      <w:r w:rsidR="00DF0C2A" w:rsidRPr="00B751AA">
        <w:rPr>
          <w:rFonts w:ascii="Book Antiqua" w:hAnsi="Book Antiqua" w:cs="Arial"/>
          <w:color w:val="000000" w:themeColor="text1"/>
          <w:sz w:val="24"/>
          <w:szCs w:val="24"/>
          <w:lang w:val="en-GB"/>
        </w:rPr>
        <w:t>ay</w:t>
      </w:r>
      <w:r w:rsidRPr="00B751AA">
        <w:rPr>
          <w:rFonts w:ascii="Book Antiqua" w:hAnsi="Book Antiqua" w:cs="Arial"/>
          <w:color w:val="000000" w:themeColor="text1"/>
          <w:sz w:val="24"/>
          <w:szCs w:val="24"/>
          <w:lang w:val="en-GB"/>
        </w:rPr>
        <w:t>) was administered as a short-term infusion on days 1-5 and 5-fluorouracil (5-FU) (1000mg/m</w:t>
      </w:r>
      <w:r w:rsidRPr="00B751AA">
        <w:rPr>
          <w:rFonts w:ascii="Book Antiqua" w:hAnsi="Book Antiqua" w:cs="Arial"/>
          <w:color w:val="000000" w:themeColor="text1"/>
          <w:sz w:val="24"/>
          <w:szCs w:val="24"/>
          <w:vertAlign w:val="superscript"/>
          <w:lang w:val="en-GB"/>
        </w:rPr>
        <w:t>2</w:t>
      </w:r>
      <w:r w:rsidR="00DF0C2A" w:rsidRPr="00B751AA">
        <w:rPr>
          <w:rFonts w:ascii="Book Antiqua" w:hAnsi="Book Antiqua" w:cs="Arial"/>
          <w:color w:val="000000" w:themeColor="text1"/>
          <w:sz w:val="24"/>
          <w:szCs w:val="24"/>
          <w:lang w:val="en-GB"/>
        </w:rPr>
        <w:t xml:space="preserve"> per day</w:t>
      </w:r>
      <w:r w:rsidRPr="00B751AA">
        <w:rPr>
          <w:rFonts w:ascii="Book Antiqua" w:hAnsi="Book Antiqua" w:cs="Arial"/>
          <w:color w:val="000000" w:themeColor="text1"/>
          <w:sz w:val="24"/>
          <w:szCs w:val="24"/>
          <w:lang w:val="en-GB"/>
        </w:rPr>
        <w:t xml:space="preserve">) as a continuous infusion over 24 h on days 1-5. Radiation was delivered in daily fractions of 1.8 </w:t>
      </w:r>
      <w:proofErr w:type="spellStart"/>
      <w:r w:rsidRPr="00B751AA">
        <w:rPr>
          <w:rFonts w:ascii="Book Antiqua" w:hAnsi="Book Antiqua" w:cs="Arial"/>
          <w:color w:val="000000" w:themeColor="text1"/>
          <w:sz w:val="24"/>
          <w:szCs w:val="24"/>
          <w:lang w:val="en-GB"/>
        </w:rPr>
        <w:t>Gy</w:t>
      </w:r>
      <w:proofErr w:type="spellEnd"/>
      <w:r w:rsidRPr="00B751AA">
        <w:rPr>
          <w:rFonts w:ascii="Book Antiqua" w:hAnsi="Book Antiqua" w:cs="Arial"/>
          <w:color w:val="000000" w:themeColor="text1"/>
          <w:sz w:val="24"/>
          <w:szCs w:val="24"/>
          <w:lang w:val="en-GB"/>
        </w:rPr>
        <w:t xml:space="preserve"> to a total dose of 40 </w:t>
      </w:r>
      <w:proofErr w:type="spellStart"/>
      <w:r w:rsidRPr="00B751AA">
        <w:rPr>
          <w:rFonts w:ascii="Book Antiqua" w:hAnsi="Book Antiqua" w:cs="Arial"/>
          <w:color w:val="000000" w:themeColor="text1"/>
          <w:sz w:val="24"/>
          <w:szCs w:val="24"/>
          <w:lang w:val="en-GB"/>
        </w:rPr>
        <w:t>Gy</w:t>
      </w:r>
      <w:proofErr w:type="spellEnd"/>
      <w:r w:rsidRPr="00B751AA">
        <w:rPr>
          <w:rFonts w:ascii="Book Antiqua" w:hAnsi="Book Antiqua" w:cs="Arial"/>
          <w:color w:val="000000" w:themeColor="text1"/>
          <w:sz w:val="24"/>
          <w:szCs w:val="24"/>
          <w:lang w:val="en-GB"/>
        </w:rPr>
        <w:t xml:space="preserve"> using a multiple field technique. Standardized trans-thoracic </w:t>
      </w:r>
      <w:proofErr w:type="spellStart"/>
      <w:r w:rsidRPr="00B751AA">
        <w:rPr>
          <w:rFonts w:ascii="Book Antiqua" w:hAnsi="Book Antiqua" w:cs="Arial"/>
          <w:i/>
          <w:iCs/>
          <w:color w:val="000000" w:themeColor="text1"/>
          <w:sz w:val="24"/>
          <w:szCs w:val="24"/>
          <w:lang w:val="en-GB"/>
        </w:rPr>
        <w:t>en</w:t>
      </w:r>
      <w:proofErr w:type="spellEnd"/>
      <w:r w:rsidRPr="00B751AA">
        <w:rPr>
          <w:rFonts w:ascii="Book Antiqua" w:hAnsi="Book Antiqua" w:cs="Arial"/>
          <w:i/>
          <w:iCs/>
          <w:color w:val="000000" w:themeColor="text1"/>
          <w:sz w:val="24"/>
          <w:szCs w:val="24"/>
          <w:lang w:val="en-GB"/>
        </w:rPr>
        <w:t xml:space="preserve"> bloc</w:t>
      </w:r>
      <w:r w:rsidRPr="00B751AA">
        <w:rPr>
          <w:rFonts w:ascii="Book Antiqua" w:hAnsi="Book Antiqua" w:cs="Arial"/>
          <w:color w:val="000000" w:themeColor="text1"/>
          <w:sz w:val="24"/>
          <w:szCs w:val="24"/>
          <w:lang w:val="en-GB"/>
        </w:rPr>
        <w:t xml:space="preserve"> esophagectomy with 2-field lymphadenectomy was performed 4-5 </w:t>
      </w:r>
      <w:proofErr w:type="spellStart"/>
      <w:r w:rsidRPr="00B751AA">
        <w:rPr>
          <w:rFonts w:ascii="Book Antiqua" w:hAnsi="Book Antiqua" w:cs="Arial"/>
          <w:color w:val="000000" w:themeColor="text1"/>
          <w:sz w:val="24"/>
          <w:szCs w:val="24"/>
          <w:lang w:val="en-GB"/>
        </w:rPr>
        <w:t>wk</w:t>
      </w:r>
      <w:proofErr w:type="spellEnd"/>
      <w:r w:rsidRPr="00B751AA">
        <w:rPr>
          <w:rFonts w:ascii="Book Antiqua" w:hAnsi="Book Antiqua" w:cs="Arial"/>
          <w:color w:val="000000" w:themeColor="text1"/>
          <w:sz w:val="24"/>
          <w:szCs w:val="24"/>
          <w:lang w:val="en-GB"/>
        </w:rPr>
        <w:t xml:space="preserve"> after completion of chemoradiation.</w:t>
      </w:r>
    </w:p>
    <w:p w14:paraId="7B857DC6"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Informed consent was obtained from each patient and the scientific protocol was approved by the local ethics committee.</w:t>
      </w:r>
    </w:p>
    <w:p w14:paraId="4B372192" w14:textId="77777777" w:rsidR="00FE6179" w:rsidRPr="00B751AA" w:rsidRDefault="00FE6179" w:rsidP="00B751AA">
      <w:pPr>
        <w:adjustRightInd w:val="0"/>
        <w:snapToGrid w:val="0"/>
        <w:spacing w:after="0" w:line="360" w:lineRule="auto"/>
        <w:ind w:firstLine="22"/>
        <w:jc w:val="both"/>
        <w:rPr>
          <w:rFonts w:ascii="Book Antiqua" w:hAnsi="Book Antiqua" w:cs="Arial"/>
          <w:color w:val="000000" w:themeColor="text1"/>
          <w:sz w:val="24"/>
          <w:szCs w:val="24"/>
          <w:lang w:val="en-GB"/>
        </w:rPr>
      </w:pPr>
    </w:p>
    <w:p w14:paraId="1D0FB5A2" w14:textId="77777777" w:rsidR="00FE6179" w:rsidRPr="00B751AA" w:rsidRDefault="00FE6179" w:rsidP="00B751AA">
      <w:pPr>
        <w:adjustRightInd w:val="0"/>
        <w:snapToGrid w:val="0"/>
        <w:spacing w:after="0" w:line="360" w:lineRule="auto"/>
        <w:jc w:val="both"/>
        <w:rPr>
          <w:rFonts w:ascii="Book Antiqua" w:hAnsi="Book Antiqua" w:cs="Arial"/>
          <w:b/>
          <w:i/>
          <w:color w:val="000000" w:themeColor="text1"/>
          <w:sz w:val="24"/>
          <w:szCs w:val="24"/>
          <w:lang w:val="en-GB"/>
        </w:rPr>
      </w:pPr>
      <w:r w:rsidRPr="00B751AA">
        <w:rPr>
          <w:rFonts w:ascii="Book Antiqua" w:hAnsi="Book Antiqua" w:cs="Arial"/>
          <w:b/>
          <w:i/>
          <w:color w:val="000000" w:themeColor="text1"/>
          <w:sz w:val="24"/>
          <w:szCs w:val="24"/>
          <w:lang w:val="en-GB"/>
        </w:rPr>
        <w:t>Histopathologic response classification</w:t>
      </w:r>
    </w:p>
    <w:p w14:paraId="7EB7C849"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Arial"/>
          <w:bCs/>
          <w:color w:val="000000" w:themeColor="text1"/>
          <w:sz w:val="24"/>
          <w:szCs w:val="24"/>
          <w:lang w:val="en-GB"/>
        </w:rPr>
        <w:lastRenderedPageBreak/>
        <w:t xml:space="preserve">The degree of </w:t>
      </w:r>
      <w:proofErr w:type="spellStart"/>
      <w:r w:rsidRPr="00B751AA">
        <w:rPr>
          <w:rFonts w:ascii="Book Antiqua" w:hAnsi="Book Antiqua" w:cs="Arial"/>
          <w:bCs/>
          <w:color w:val="000000" w:themeColor="text1"/>
          <w:sz w:val="24"/>
          <w:szCs w:val="24"/>
          <w:lang w:val="en-GB"/>
        </w:rPr>
        <w:t>histomorphologic</w:t>
      </w:r>
      <w:proofErr w:type="spellEnd"/>
      <w:r w:rsidRPr="00B751AA">
        <w:rPr>
          <w:rFonts w:ascii="Book Antiqua" w:hAnsi="Book Antiqua" w:cs="Arial"/>
          <w:bCs/>
          <w:color w:val="000000" w:themeColor="text1"/>
          <w:sz w:val="24"/>
          <w:szCs w:val="24"/>
          <w:lang w:val="en-GB"/>
        </w:rPr>
        <w:t xml:space="preserve"> regression of the primary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was classified into four categories (Cologne Regression Scale): </w:t>
      </w:r>
      <w:r w:rsidR="00DF0C2A" w:rsidRPr="00B751AA">
        <w:rPr>
          <w:rFonts w:ascii="Book Antiqua" w:hAnsi="Book Antiqua" w:cs="Arial"/>
          <w:bCs/>
          <w:color w:val="000000" w:themeColor="text1"/>
          <w:sz w:val="24"/>
          <w:szCs w:val="24"/>
          <w:lang w:val="en-GB"/>
        </w:rPr>
        <w:t xml:space="preserve">Grade </w:t>
      </w:r>
      <w:r w:rsidRPr="00B751AA">
        <w:rPr>
          <w:rFonts w:ascii="Book Antiqua" w:hAnsi="Book Antiqua" w:cs="Arial"/>
          <w:bCs/>
          <w:color w:val="000000" w:themeColor="text1"/>
          <w:sz w:val="24"/>
          <w:szCs w:val="24"/>
          <w:lang w:val="en-GB"/>
        </w:rPr>
        <w:t xml:space="preserve">1, complete response; </w:t>
      </w:r>
      <w:r w:rsidR="00DF0C2A" w:rsidRPr="00B751AA">
        <w:rPr>
          <w:rFonts w:ascii="Book Antiqua" w:hAnsi="Book Antiqua" w:cs="Arial"/>
          <w:bCs/>
          <w:color w:val="000000" w:themeColor="text1"/>
          <w:sz w:val="24"/>
          <w:szCs w:val="24"/>
          <w:lang w:val="en-GB"/>
        </w:rPr>
        <w:t xml:space="preserve">Grade </w:t>
      </w:r>
      <w:r w:rsidRPr="00B751AA">
        <w:rPr>
          <w:rFonts w:ascii="Book Antiqua" w:hAnsi="Book Antiqua" w:cs="Arial"/>
          <w:bCs/>
          <w:color w:val="000000" w:themeColor="text1"/>
          <w:sz w:val="24"/>
          <w:szCs w:val="24"/>
          <w:lang w:val="en-GB"/>
        </w:rPr>
        <w:t xml:space="preserve">2, nearly complete response with less than 10% vital residual </w:t>
      </w:r>
      <w:proofErr w:type="spellStart"/>
      <w:r w:rsidRPr="00B751AA">
        <w:rPr>
          <w:rFonts w:ascii="Book Antiqua" w:hAnsi="Book Antiqua" w:cs="Arial"/>
          <w:bCs/>
          <w:color w:val="000000" w:themeColor="text1"/>
          <w:sz w:val="24"/>
          <w:szCs w:val="24"/>
          <w:lang w:val="en-GB"/>
        </w:rPr>
        <w:t>tumor</w:t>
      </w:r>
      <w:proofErr w:type="spellEnd"/>
      <w:r w:rsidRPr="00B751AA">
        <w:rPr>
          <w:rFonts w:ascii="Book Antiqua" w:hAnsi="Book Antiqua" w:cs="Arial"/>
          <w:bCs/>
          <w:color w:val="000000" w:themeColor="text1"/>
          <w:sz w:val="24"/>
          <w:szCs w:val="24"/>
          <w:lang w:val="en-GB"/>
        </w:rPr>
        <w:t xml:space="preserve"> cells (VRTCs) classified as major response; </w:t>
      </w:r>
      <w:r w:rsidR="00DF0C2A" w:rsidRPr="00B751AA">
        <w:rPr>
          <w:rFonts w:ascii="Book Antiqua" w:hAnsi="Book Antiqua" w:cs="Arial"/>
          <w:bCs/>
          <w:color w:val="000000" w:themeColor="text1"/>
          <w:sz w:val="24"/>
          <w:szCs w:val="24"/>
          <w:lang w:val="en-GB"/>
        </w:rPr>
        <w:t xml:space="preserve">Grade </w:t>
      </w:r>
      <w:r w:rsidRPr="00B751AA">
        <w:rPr>
          <w:rFonts w:ascii="Book Antiqua" w:hAnsi="Book Antiqua" w:cs="Arial"/>
          <w:bCs/>
          <w:color w:val="000000" w:themeColor="text1"/>
          <w:sz w:val="24"/>
          <w:szCs w:val="24"/>
          <w:lang w:val="en-GB"/>
        </w:rPr>
        <w:t xml:space="preserve">3, 10% to 50% VRTCs; and </w:t>
      </w:r>
      <w:r w:rsidR="00DF0C2A" w:rsidRPr="00B751AA">
        <w:rPr>
          <w:rFonts w:ascii="Book Antiqua" w:hAnsi="Book Antiqua" w:cs="Arial"/>
          <w:bCs/>
          <w:color w:val="000000" w:themeColor="text1"/>
          <w:sz w:val="24"/>
          <w:szCs w:val="24"/>
          <w:lang w:val="en-GB"/>
        </w:rPr>
        <w:t xml:space="preserve">Grade </w:t>
      </w:r>
      <w:r w:rsidRPr="00B751AA">
        <w:rPr>
          <w:rFonts w:ascii="Book Antiqua" w:hAnsi="Book Antiqua" w:cs="Arial"/>
          <w:bCs/>
          <w:color w:val="000000" w:themeColor="text1"/>
          <w:sz w:val="24"/>
          <w:szCs w:val="24"/>
          <w:lang w:val="en-GB"/>
        </w:rPr>
        <w:t xml:space="preserve">4, more than 50% VRTCs, categorized as minor </w:t>
      </w:r>
      <w:proofErr w:type="spellStart"/>
      <w:r w:rsidRPr="00B751AA">
        <w:rPr>
          <w:rFonts w:ascii="Book Antiqua" w:hAnsi="Book Antiqua" w:cs="Arial"/>
          <w:bCs/>
          <w:color w:val="000000" w:themeColor="text1"/>
          <w:sz w:val="24"/>
          <w:szCs w:val="24"/>
          <w:lang w:val="en-GB"/>
        </w:rPr>
        <w:t>histomorphologic</w:t>
      </w:r>
      <w:proofErr w:type="spellEnd"/>
      <w:r w:rsidRPr="00B751AA">
        <w:rPr>
          <w:rFonts w:ascii="Book Antiqua" w:hAnsi="Book Antiqua" w:cs="Arial"/>
          <w:bCs/>
          <w:color w:val="000000" w:themeColor="text1"/>
          <w:sz w:val="24"/>
          <w:szCs w:val="24"/>
          <w:lang w:val="en-GB"/>
        </w:rPr>
        <w:t xml:space="preserve"> response</w:t>
      </w:r>
      <w:r w:rsidRPr="00B751AA">
        <w:rPr>
          <w:rFonts w:ascii="Book Antiqua" w:hAnsi="Book Antiqua" w:cs="Arial"/>
          <w:bCs/>
          <w:color w:val="000000" w:themeColor="text1"/>
          <w:sz w:val="24"/>
          <w:szCs w:val="24"/>
          <w:lang w:val="en-GB"/>
        </w:rPr>
        <w:fldChar w:fldCharType="begin" w:fldLock="1"/>
      </w:r>
      <w:r w:rsidRPr="00B751AA">
        <w:rPr>
          <w:rFonts w:ascii="Book Antiqua" w:hAnsi="Book Antiqua" w:cs="Arial"/>
          <w:bCs/>
          <w:color w:val="000000" w:themeColor="text1"/>
          <w:sz w:val="24"/>
          <w:szCs w:val="24"/>
          <w:lang w:val="en-GB"/>
        </w:rPr>
        <w:instrText>ADDIN CSL_CITATION {"citationItems":[{"id":"ITEM-1","itemData":{"DOI":"10.1111/his.13811","ISSN":"13652559","PMID":"30636069","abstract":"Aims: Neoadjuvant chemoradiation reduces tumour volume and improves the R0 resection rate, followed by extended survival for patients with advanced oesophageal cancer. The degree of tumour regression has high prognostic relevance. To date, there is still no generally accepted tumour regression grading system. The aim of this study was to compare the prognostic discrimination power of different histological regression grading systems: (i) the fibrosis/tumour ratio within the primary tumour (Mandard classification), (ii) the percentage of residual vital tumour cells (VTC) compared to the original primary tumour (Cologne Regression) and (iii) the ypT category, in patients with cT3 carcinoma of the oesophagus after neoadjuvant chemoradiation. Methods and results: This study included 216 patients with oesophageal cancer clinically staged as cT3NxM0 and treated from 2009 to 2012 with standardised chemoradiation followed by oesophagectomy [median age 62 years, 176 (81%) male and 138 (64%) adenocarcinoma patients]. The subgroup frequencies of the three classification systems were ypT category: ypT0 = 18%, ypT1 = 14%, ypT2 = 23%, ypT3 = 44%, ypT4 = 1%; Mandard classification: TRG1 = 18%, TRG2 = 26%, TRG3 = 24%, TRG4 = 30%, TRG5 = 2%; and Cologne Regression Scale: no tumour = 18%, 1–10% VTC = 27%, 10–50% VTC = 26% and &gt;50% VTC = 29%. The Mandard and Cologne Regression classifications showed better prognostic differentiation for the subgroups than the ypT category. The four-tiered Cologne Regression system had a good prognostic relevance. Comparing results of the re-evaluated Cologne Regression classification with the classification by routine pathological report showed very good inter-rater agreement, with kappa value 0.891. Conclusion: Compared to the original primary tumour, the tumour regression grading system using the percentage of residual vital tumour has prognostic relevance.","author":[{"dropping-particle":"","family":"Puetz","given":"Katharina","non-dropping-particle":"","parse-names":false,"suffix":""},{"dropping-particle":"","family":"Bollschweiler","given":"Elfriede","non-dropping-particle":"","parse-names":false,"suffix":""},{"dropping-particle":"","family":"Semrau","given":"Robert","non-dropping-particle":"","parse-names":false,"suffix":""},{"dropping-particle":"","family":"Mönig","given":"Stefan P","non-dropping-particle":"","parse-names":false,"suffix":""},{"dropping-particle":"","family":"Hölscher","given":"Arnulf H","non-dropping-particle":"","parse-names":false,"suffix":""},{"dropping-particle":"","family":"Drebber","given":"Uta","non-dropping-particle":"","parse-names":false,"suffix":""}],"container-title":"Histopathology","id":"ITEM-1","issue":"5","issued":{"date-parts":[["2019","4"]]},"page":"731-743","publisher":"Histopathology","title":"Neoadjuvant chemoradiation for patients with advanced oesophageal cancer – which response grading system best impacts prognostic discrimination?","type":"article-journal","volume":"74"},"uris":["http://www.mendeley.com/documents/?uuid=54106880-6940-3b9a-952e-6d208d0ee292"]}],"mendeley":{"formattedCitation":"&lt;sup&gt;[21]&lt;/sup&gt;","plainTextFormattedCitation":"[21]","previouslyFormattedCitation":"&lt;sup&gt;[21]&lt;/sup&gt;"},"properties":{"noteIndex":0},"schema":"https://github.com/citation-style-language/schema/raw/master/csl-citation.json"}</w:instrText>
      </w:r>
      <w:r w:rsidRPr="00B751AA">
        <w:rPr>
          <w:rFonts w:ascii="Book Antiqua" w:hAnsi="Book Antiqua" w:cs="Arial"/>
          <w:bCs/>
          <w:color w:val="000000" w:themeColor="text1"/>
          <w:sz w:val="24"/>
          <w:szCs w:val="24"/>
          <w:lang w:val="en-GB"/>
        </w:rPr>
        <w:fldChar w:fldCharType="separate"/>
      </w:r>
      <w:r w:rsidRPr="00B751AA">
        <w:rPr>
          <w:rFonts w:ascii="Book Antiqua" w:hAnsi="Book Antiqua" w:cs="Arial"/>
          <w:bCs/>
          <w:noProof/>
          <w:color w:val="000000" w:themeColor="text1"/>
          <w:sz w:val="24"/>
          <w:szCs w:val="24"/>
          <w:vertAlign w:val="superscript"/>
          <w:lang w:val="en-GB"/>
        </w:rPr>
        <w:t>[21]</w:t>
      </w:r>
      <w:r w:rsidRPr="00B751AA">
        <w:rPr>
          <w:rFonts w:ascii="Book Antiqua" w:hAnsi="Book Antiqua" w:cs="Arial"/>
          <w:bCs/>
          <w:color w:val="000000" w:themeColor="text1"/>
          <w:sz w:val="24"/>
          <w:szCs w:val="24"/>
          <w:lang w:val="en-GB"/>
        </w:rPr>
        <w:fldChar w:fldCharType="end"/>
      </w:r>
      <w:r w:rsidRPr="00B751AA">
        <w:rPr>
          <w:rFonts w:ascii="Book Antiqua" w:hAnsi="Book Antiqua" w:cs="Arial"/>
          <w:bCs/>
          <w:color w:val="000000" w:themeColor="text1"/>
          <w:sz w:val="24"/>
          <w:szCs w:val="24"/>
          <w:lang w:val="en-GB"/>
        </w:rPr>
        <w:t>. Classification has been performed by experienced staff pathologists.</w:t>
      </w:r>
    </w:p>
    <w:p w14:paraId="6B8BA0D0"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66A534FC"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en-GB"/>
        </w:rPr>
      </w:pPr>
      <w:r w:rsidRPr="00B751AA">
        <w:rPr>
          <w:rFonts w:ascii="Book Antiqua" w:hAnsi="Book Antiqua" w:cs="Arial"/>
          <w:b/>
          <w:bCs/>
          <w:i/>
          <w:color w:val="000000" w:themeColor="text1"/>
          <w:sz w:val="24"/>
          <w:szCs w:val="24"/>
          <w:lang w:val="en-GB"/>
        </w:rPr>
        <w:t>Immunohistochemistry</w:t>
      </w:r>
    </w:p>
    <w:p w14:paraId="6AEE9743"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protein was detected by mouse anti-human D2-40 monoclonal antibody (</w:t>
      </w:r>
      <w:proofErr w:type="spellStart"/>
      <w:r w:rsidRPr="00B751AA">
        <w:rPr>
          <w:rFonts w:ascii="Book Antiqua" w:hAnsi="Book Antiqua" w:cs="Arial"/>
          <w:color w:val="000000" w:themeColor="text1"/>
          <w:sz w:val="24"/>
          <w:szCs w:val="24"/>
          <w:lang w:val="en-GB"/>
        </w:rPr>
        <w:t>DakoCytomation,Hamburg</w:t>
      </w:r>
      <w:proofErr w:type="spellEnd"/>
      <w:r w:rsidRPr="00B751AA">
        <w:rPr>
          <w:rFonts w:ascii="Book Antiqua" w:hAnsi="Book Antiqua" w:cs="Arial"/>
          <w:color w:val="000000" w:themeColor="text1"/>
          <w:sz w:val="24"/>
          <w:szCs w:val="24"/>
          <w:lang w:val="en-GB"/>
        </w:rPr>
        <w:t xml:space="preserve">, Germany) raised against 40 </w:t>
      </w:r>
      <w:proofErr w:type="spellStart"/>
      <w:r w:rsidRPr="00B751AA">
        <w:rPr>
          <w:rFonts w:ascii="Book Antiqua" w:hAnsi="Book Antiqua" w:cs="Arial"/>
          <w:color w:val="000000" w:themeColor="text1"/>
          <w:sz w:val="24"/>
          <w:szCs w:val="24"/>
          <w:lang w:val="en-GB"/>
        </w:rPr>
        <w:t>kD</w:t>
      </w:r>
      <w:r w:rsidR="00DF0C2A" w:rsidRPr="00B751AA">
        <w:rPr>
          <w:rFonts w:ascii="Book Antiqua" w:hAnsi="Book Antiqua" w:cs="Arial"/>
          <w:color w:val="000000" w:themeColor="text1"/>
          <w:sz w:val="24"/>
          <w:szCs w:val="24"/>
          <w:lang w:val="en-GB"/>
        </w:rPr>
        <w:t>a</w:t>
      </w:r>
      <w:proofErr w:type="spellEnd"/>
      <w:r w:rsidRPr="00B751AA">
        <w:rPr>
          <w:rFonts w:ascii="Book Antiqua" w:hAnsi="Book Antiqua" w:cs="Arial"/>
          <w:color w:val="000000" w:themeColor="text1"/>
          <w:sz w:val="24"/>
          <w:szCs w:val="24"/>
          <w:lang w:val="en-GB"/>
        </w:rPr>
        <w:t xml:space="preserve"> O-linked </w:t>
      </w:r>
      <w:proofErr w:type="spellStart"/>
      <w:r w:rsidRPr="00B751AA">
        <w:rPr>
          <w:rFonts w:ascii="Book Antiqua" w:hAnsi="Book Antiqua" w:cs="Arial"/>
          <w:color w:val="000000" w:themeColor="text1"/>
          <w:sz w:val="24"/>
          <w:szCs w:val="24"/>
          <w:lang w:val="en-GB"/>
        </w:rPr>
        <w:t>sialoglycoprotein</w:t>
      </w:r>
      <w:proofErr w:type="spellEnd"/>
      <w:r w:rsidRPr="00B751AA">
        <w:rPr>
          <w:rFonts w:ascii="Book Antiqua" w:hAnsi="Book Antiqua" w:cs="Arial"/>
          <w:color w:val="000000" w:themeColor="text1"/>
          <w:sz w:val="24"/>
          <w:szCs w:val="24"/>
          <w:lang w:val="en-GB"/>
        </w:rPr>
        <w:t xml:space="preserve">. Paraffin embedded endoscopic biopsies and surgical specimens have been </w:t>
      </w:r>
      <w:proofErr w:type="spellStart"/>
      <w:r w:rsidRPr="00B751AA">
        <w:rPr>
          <w:rFonts w:ascii="Book Antiqua" w:hAnsi="Book Antiqua" w:cs="Arial"/>
          <w:color w:val="000000" w:themeColor="text1"/>
          <w:sz w:val="24"/>
          <w:szCs w:val="24"/>
          <w:lang w:val="en-GB"/>
        </w:rPr>
        <w:t>analyzed</w:t>
      </w:r>
      <w:proofErr w:type="spellEnd"/>
      <w:r w:rsidRPr="00B751AA">
        <w:rPr>
          <w:rFonts w:ascii="Book Antiqua" w:hAnsi="Book Antiqua" w:cs="Arial"/>
          <w:color w:val="000000" w:themeColor="text1"/>
          <w:sz w:val="24"/>
          <w:szCs w:val="24"/>
          <w:lang w:val="en-GB"/>
        </w:rPr>
        <w:t xml:space="preserve">. </w:t>
      </w:r>
      <w:r w:rsidR="00DF0C2A" w:rsidRPr="00B751AA">
        <w:rPr>
          <w:rFonts w:ascii="Book Antiqua" w:hAnsi="Book Antiqua" w:cs="Arial"/>
          <w:color w:val="000000" w:themeColor="text1"/>
          <w:sz w:val="24"/>
          <w:szCs w:val="24"/>
          <w:lang w:val="en-GB"/>
        </w:rPr>
        <w:t>Five</w:t>
      </w:r>
      <w:r w:rsidRPr="00B751AA">
        <w:rPr>
          <w:rFonts w:ascii="Book Antiqua" w:hAnsi="Book Antiqua" w:cs="Arial"/>
          <w:color w:val="000000" w:themeColor="text1"/>
          <w:sz w:val="24"/>
          <w:szCs w:val="24"/>
          <w:lang w:val="en-GB"/>
        </w:rPr>
        <w:t xml:space="preserve"> µm sections were cut and deparaffinized according to standard histological techniques. A </w:t>
      </w:r>
      <w:r w:rsidR="00DF0C2A" w:rsidRPr="00B751AA">
        <w:rPr>
          <w:rFonts w:ascii="Book Antiqua" w:hAnsi="Book Antiqua" w:cs="Arial"/>
          <w:color w:val="000000" w:themeColor="text1"/>
          <w:sz w:val="24"/>
          <w:szCs w:val="24"/>
          <w:lang w:val="en-GB"/>
        </w:rPr>
        <w:t>high sensitivity</w:t>
      </w:r>
      <w:r w:rsidRPr="00B751AA">
        <w:rPr>
          <w:rFonts w:ascii="Book Antiqua" w:hAnsi="Book Antiqua" w:cs="Arial"/>
          <w:color w:val="000000" w:themeColor="text1"/>
          <w:sz w:val="24"/>
          <w:szCs w:val="24"/>
          <w:lang w:val="en-GB"/>
        </w:rPr>
        <w:t xml:space="preserve"> immunohistochemical staining was performed applying </w:t>
      </w:r>
      <w:proofErr w:type="spellStart"/>
      <w:r w:rsidRPr="00B751AA">
        <w:rPr>
          <w:rFonts w:ascii="Book Antiqua" w:hAnsi="Book Antiqua" w:cs="Arial"/>
          <w:color w:val="000000" w:themeColor="text1"/>
          <w:sz w:val="24"/>
          <w:szCs w:val="24"/>
          <w:lang w:val="en-GB"/>
        </w:rPr>
        <w:t>Dako</w:t>
      </w:r>
      <w:proofErr w:type="spellEnd"/>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t>EnVision</w:t>
      </w:r>
      <w:proofErr w:type="spellEnd"/>
      <w:r w:rsidRPr="00B751AA">
        <w:rPr>
          <w:rFonts w:ascii="Book Antiqua" w:hAnsi="Book Antiqua" w:cs="Arial"/>
          <w:color w:val="000000" w:themeColor="text1"/>
          <w:sz w:val="24"/>
          <w:szCs w:val="24"/>
          <w:lang w:val="en-GB"/>
        </w:rPr>
        <w:t xml:space="preserve"> System (</w:t>
      </w:r>
      <w:proofErr w:type="spellStart"/>
      <w:r w:rsidRPr="00B751AA">
        <w:rPr>
          <w:rFonts w:ascii="Book Antiqua" w:hAnsi="Book Antiqua" w:cs="Arial"/>
          <w:color w:val="000000" w:themeColor="text1"/>
          <w:sz w:val="24"/>
          <w:szCs w:val="24"/>
          <w:lang w:val="en-GB"/>
        </w:rPr>
        <w:t>DakoCytomation</w:t>
      </w:r>
      <w:proofErr w:type="spellEnd"/>
      <w:r w:rsidRPr="00B751AA">
        <w:rPr>
          <w:rFonts w:ascii="Book Antiqua" w:hAnsi="Book Antiqua" w:cs="Arial"/>
          <w:color w:val="000000" w:themeColor="text1"/>
          <w:sz w:val="24"/>
          <w:szCs w:val="24"/>
          <w:lang w:val="en-GB"/>
        </w:rPr>
        <w:t xml:space="preserve">, Hamburg,) following the manufacturer’s instructions. In brief, sections were covered with citrate buffer (pH 6.0) for antigen retrieval. Endogenous peroxidase was blocked by 0.3% hydrogen peroxide for 20 min. Sections were covered by 100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mouse monoclonal D2-40 primary antibody (D2-40 mouse monoclonal antibody, Lot.Nr:10066658; </w:t>
      </w:r>
      <w:proofErr w:type="spellStart"/>
      <w:r w:rsidRPr="00B751AA">
        <w:rPr>
          <w:rFonts w:ascii="Book Antiqua" w:hAnsi="Book Antiqua" w:cs="Arial"/>
          <w:color w:val="000000" w:themeColor="text1"/>
          <w:sz w:val="24"/>
          <w:szCs w:val="24"/>
          <w:lang w:val="en-GB"/>
        </w:rPr>
        <w:t>DakoCytomation</w:t>
      </w:r>
      <w:proofErr w:type="spellEnd"/>
      <w:r w:rsidRPr="00B751AA">
        <w:rPr>
          <w:rFonts w:ascii="Book Antiqua" w:hAnsi="Book Antiqua" w:cs="Arial"/>
          <w:color w:val="000000" w:themeColor="text1"/>
          <w:sz w:val="24"/>
          <w:szCs w:val="24"/>
          <w:lang w:val="en-GB"/>
        </w:rPr>
        <w:t>, Hamburg) at a dilution of 1:100 and incubated at 4</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 xml:space="preserve">°C overnight. The nuclei have been counterstained with </w:t>
      </w:r>
      <w:proofErr w:type="spellStart"/>
      <w:r w:rsidRPr="00B751AA">
        <w:rPr>
          <w:rFonts w:ascii="Book Antiqua" w:hAnsi="Book Antiqua" w:cs="Arial"/>
          <w:color w:val="000000" w:themeColor="text1"/>
          <w:sz w:val="24"/>
          <w:szCs w:val="24"/>
          <w:lang w:val="en-GB"/>
        </w:rPr>
        <w:t>hematoxylin</w:t>
      </w:r>
      <w:proofErr w:type="spellEnd"/>
      <w:r w:rsidRPr="00B751AA">
        <w:rPr>
          <w:rFonts w:ascii="Book Antiqua" w:hAnsi="Book Antiqua" w:cs="Arial"/>
          <w:color w:val="000000" w:themeColor="text1"/>
          <w:sz w:val="24"/>
          <w:szCs w:val="24"/>
          <w:lang w:val="en-GB"/>
        </w:rPr>
        <w:t xml:space="preserve">. The staining procedure without a primary antibody was used as a negative control. For quantification of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t>expresson</w:t>
      </w:r>
      <w:proofErr w:type="spellEnd"/>
      <w:r w:rsidRPr="00B751AA">
        <w:rPr>
          <w:rFonts w:ascii="Book Antiqua" w:hAnsi="Book Antiqua" w:cs="Arial"/>
          <w:color w:val="000000" w:themeColor="text1"/>
          <w:sz w:val="24"/>
          <w:szCs w:val="24"/>
          <w:lang w:val="en-GB"/>
        </w:rPr>
        <w:t xml:space="preserve"> a scoring system was applied by a pathologist. Score 1: 0-5%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cells stained by D2-40 </w:t>
      </w:r>
      <w:proofErr w:type="spellStart"/>
      <w:r w:rsidRPr="00B751AA">
        <w:rPr>
          <w:rFonts w:ascii="Book Antiqua" w:hAnsi="Book Antiqua" w:cs="Arial"/>
          <w:color w:val="000000" w:themeColor="text1"/>
          <w:sz w:val="24"/>
          <w:szCs w:val="24"/>
          <w:lang w:val="en-GB"/>
        </w:rPr>
        <w:t>mab</w:t>
      </w:r>
      <w:proofErr w:type="spellEnd"/>
      <w:r w:rsidR="00DF0C2A"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xml:space="preserve"> </w:t>
      </w:r>
      <w:r w:rsidR="00DF0C2A" w:rsidRPr="00B751AA">
        <w:rPr>
          <w:rFonts w:ascii="Book Antiqua" w:hAnsi="Book Antiqua" w:cs="Arial"/>
          <w:color w:val="000000" w:themeColor="text1"/>
          <w:sz w:val="24"/>
          <w:szCs w:val="24"/>
          <w:lang w:val="en-GB"/>
        </w:rPr>
        <w:t xml:space="preserve">Score </w:t>
      </w:r>
      <w:r w:rsidRPr="00B751AA">
        <w:rPr>
          <w:rFonts w:ascii="Book Antiqua" w:hAnsi="Book Antiqua" w:cs="Arial"/>
          <w:color w:val="000000" w:themeColor="text1"/>
          <w:sz w:val="24"/>
          <w:szCs w:val="24"/>
          <w:lang w:val="en-GB"/>
        </w:rPr>
        <w:t>2: 6</w:t>
      </w:r>
      <w:r w:rsidR="00E62BE4"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xml:space="preserve">-35% of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cells stained</w:t>
      </w:r>
      <w:r w:rsidR="00DF0C2A"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xml:space="preserve"> </w:t>
      </w:r>
      <w:r w:rsidR="00DF0C2A" w:rsidRPr="00B751AA">
        <w:rPr>
          <w:rFonts w:ascii="Book Antiqua" w:hAnsi="Book Antiqua" w:cs="Arial"/>
          <w:color w:val="000000" w:themeColor="text1"/>
          <w:sz w:val="24"/>
          <w:szCs w:val="24"/>
          <w:lang w:val="en-GB"/>
        </w:rPr>
        <w:t xml:space="preserve">Score </w:t>
      </w:r>
      <w:r w:rsidRPr="00B751AA">
        <w:rPr>
          <w:rFonts w:ascii="Book Antiqua" w:hAnsi="Book Antiqua" w:cs="Arial"/>
          <w:color w:val="000000" w:themeColor="text1"/>
          <w:sz w:val="24"/>
          <w:szCs w:val="24"/>
          <w:lang w:val="en-GB"/>
        </w:rPr>
        <w:t>3: 36</w:t>
      </w:r>
      <w:r w:rsidR="00E62BE4"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-65%</w:t>
      </w:r>
      <w:r w:rsidR="00DF0C2A"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xml:space="preserve"> </w:t>
      </w:r>
      <w:r w:rsidR="00DF0C2A" w:rsidRPr="00B751AA">
        <w:rPr>
          <w:rFonts w:ascii="Book Antiqua" w:hAnsi="Book Antiqua" w:cs="Arial"/>
          <w:color w:val="000000" w:themeColor="text1"/>
          <w:sz w:val="24"/>
          <w:szCs w:val="24"/>
          <w:lang w:val="en-GB"/>
        </w:rPr>
        <w:t xml:space="preserve">Score </w:t>
      </w:r>
      <w:r w:rsidRPr="00B751AA">
        <w:rPr>
          <w:rFonts w:ascii="Book Antiqua" w:hAnsi="Book Antiqua" w:cs="Arial"/>
          <w:color w:val="000000" w:themeColor="text1"/>
          <w:sz w:val="24"/>
          <w:szCs w:val="24"/>
          <w:lang w:val="en-GB"/>
        </w:rPr>
        <w:t>4: &gt;</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65%.</w:t>
      </w:r>
    </w:p>
    <w:p w14:paraId="5E2DDEDF"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20CC02D4"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en-GB"/>
        </w:rPr>
      </w:pPr>
      <w:r w:rsidRPr="00B751AA">
        <w:rPr>
          <w:rFonts w:ascii="Book Antiqua" w:hAnsi="Book Antiqua" w:cs="Arial"/>
          <w:b/>
          <w:bCs/>
          <w:i/>
          <w:color w:val="000000" w:themeColor="text1"/>
          <w:sz w:val="24"/>
          <w:szCs w:val="24"/>
          <w:lang w:val="en-GB"/>
        </w:rPr>
        <w:t>miRNA isolation from paraffin-embedded tissue</w:t>
      </w:r>
    </w:p>
    <w:p w14:paraId="4D95557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 xml:space="preserve">Paraffin embedded resection specimen of EAC and ESCC have been selected from the Institute of Pathology, University Hospital of Cologne, Germany. Tissues were fixed in 10% buffered formalin prior to embedding in paraffin. Histological sections of 5-μm thickness were cut from each tissue block using a </w:t>
      </w:r>
      <w:r w:rsidRPr="00B751AA">
        <w:rPr>
          <w:rFonts w:ascii="Book Antiqua" w:hAnsi="Book Antiqua" w:cs="Arial"/>
          <w:color w:val="000000" w:themeColor="text1"/>
          <w:sz w:val="24"/>
          <w:szCs w:val="24"/>
          <w:lang w:val="en-GB"/>
        </w:rPr>
        <w:lastRenderedPageBreak/>
        <w:t xml:space="preserve">microtome. About 60 </w:t>
      </w:r>
      <w:proofErr w:type="spellStart"/>
      <w:r w:rsidR="00DF0C2A" w:rsidRPr="00B751AA">
        <w:rPr>
          <w:rFonts w:ascii="Book Antiqua" w:hAnsi="Book Antiqua" w:cs="Arial"/>
          <w:color w:val="000000" w:themeColor="text1"/>
          <w:sz w:val="24"/>
          <w:szCs w:val="24"/>
          <w:lang w:val="en-GB"/>
        </w:rPr>
        <w:t>μ</w:t>
      </w:r>
      <w:r w:rsidRPr="00B751AA">
        <w:rPr>
          <w:rFonts w:ascii="Book Antiqua" w:hAnsi="Book Antiqua" w:cs="Arial"/>
          <w:color w:val="000000" w:themeColor="text1"/>
          <w:sz w:val="24"/>
          <w:szCs w:val="24"/>
          <w:lang w:val="en-GB"/>
        </w:rPr>
        <w:t>m</w:t>
      </w:r>
      <w:proofErr w:type="spellEnd"/>
      <w:r w:rsidRPr="00B751AA">
        <w:rPr>
          <w:rFonts w:ascii="Book Antiqua" w:hAnsi="Book Antiqua" w:cs="Arial"/>
          <w:color w:val="000000" w:themeColor="text1"/>
          <w:sz w:val="24"/>
          <w:szCs w:val="24"/>
          <w:lang w:val="en-GB"/>
        </w:rPr>
        <w:t xml:space="preserve"> tissues per patient have been applied for total RNA extraction after </w:t>
      </w:r>
      <w:proofErr w:type="spellStart"/>
      <w:r w:rsidRPr="00B751AA">
        <w:rPr>
          <w:rFonts w:ascii="Book Antiqua" w:hAnsi="Book Antiqua" w:cs="Arial"/>
          <w:color w:val="000000" w:themeColor="text1"/>
          <w:sz w:val="24"/>
          <w:szCs w:val="24"/>
          <w:lang w:val="en-GB"/>
        </w:rPr>
        <w:t>macrodissection</w:t>
      </w:r>
      <w:proofErr w:type="spellEnd"/>
      <w:r w:rsidRPr="00B751AA">
        <w:rPr>
          <w:rFonts w:ascii="Book Antiqua" w:hAnsi="Book Antiqua" w:cs="Arial"/>
          <w:color w:val="000000" w:themeColor="text1"/>
          <w:sz w:val="24"/>
          <w:szCs w:val="24"/>
          <w:lang w:val="en-GB"/>
        </w:rPr>
        <w:t xml:space="preserve"> of the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area and purified by </w:t>
      </w:r>
      <w:proofErr w:type="spellStart"/>
      <w:r w:rsidR="00DF0C2A" w:rsidRPr="00B751AA">
        <w:rPr>
          <w:rFonts w:ascii="Book Antiqua" w:hAnsi="Book Antiqua" w:cs="Arial"/>
          <w:color w:val="000000" w:themeColor="text1"/>
          <w:sz w:val="24"/>
          <w:szCs w:val="24"/>
          <w:lang w:val="en-GB"/>
        </w:rPr>
        <w:t>m</w:t>
      </w:r>
      <w:r w:rsidRPr="00B751AA">
        <w:rPr>
          <w:rFonts w:ascii="Book Antiqua" w:hAnsi="Book Antiqua" w:cs="Arial"/>
          <w:color w:val="000000" w:themeColor="text1"/>
          <w:sz w:val="24"/>
          <w:szCs w:val="24"/>
          <w:lang w:val="en-GB"/>
        </w:rPr>
        <w:t>iRNeasy</w:t>
      </w:r>
      <w:proofErr w:type="spellEnd"/>
      <w:r w:rsidRPr="00B751AA">
        <w:rPr>
          <w:rFonts w:ascii="Book Antiqua" w:hAnsi="Book Antiqua" w:cs="Arial"/>
          <w:color w:val="000000" w:themeColor="text1"/>
          <w:sz w:val="24"/>
          <w:szCs w:val="24"/>
          <w:lang w:val="en-GB"/>
        </w:rPr>
        <w:t xml:space="preserve"> FFPE kit (Qiagen, Hilden), according to the protocol of the manufacturer. Samples have been lysed by Proteinase-K and treated with DNase-I. Concentrated RNA was purified using RNeasy </w:t>
      </w:r>
      <w:proofErr w:type="spellStart"/>
      <w:r w:rsidRPr="00B751AA">
        <w:rPr>
          <w:rFonts w:ascii="Book Antiqua" w:hAnsi="Book Antiqua" w:cs="Arial"/>
          <w:color w:val="000000" w:themeColor="text1"/>
          <w:sz w:val="24"/>
          <w:szCs w:val="24"/>
          <w:lang w:val="en-GB"/>
        </w:rPr>
        <w:t>MinElute</w:t>
      </w:r>
      <w:proofErr w:type="spellEnd"/>
      <w:r w:rsidRPr="00B751AA">
        <w:rPr>
          <w:rFonts w:ascii="Book Antiqua" w:hAnsi="Book Antiqua" w:cs="Arial"/>
          <w:color w:val="000000" w:themeColor="text1"/>
          <w:sz w:val="24"/>
          <w:szCs w:val="24"/>
          <w:lang w:val="en-GB"/>
        </w:rPr>
        <w:t xml:space="preserve"> spin columns and eluted by 12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of nuclease-free H</w:t>
      </w:r>
      <w:r w:rsidRPr="00B751AA">
        <w:rPr>
          <w:rFonts w:ascii="Book Antiqua" w:hAnsi="Book Antiqua" w:cs="Arial"/>
          <w:color w:val="000000" w:themeColor="text1"/>
          <w:sz w:val="24"/>
          <w:szCs w:val="24"/>
          <w:vertAlign w:val="subscript"/>
          <w:lang w:val="en-GB"/>
        </w:rPr>
        <w:t>2</w:t>
      </w:r>
      <w:r w:rsidRPr="00B751AA">
        <w:rPr>
          <w:rFonts w:ascii="Book Antiqua" w:hAnsi="Book Antiqua" w:cs="Arial"/>
          <w:color w:val="000000" w:themeColor="text1"/>
          <w:sz w:val="24"/>
          <w:szCs w:val="24"/>
          <w:lang w:val="en-GB"/>
        </w:rPr>
        <w:t>O.</w:t>
      </w:r>
    </w:p>
    <w:p w14:paraId="74FD410C"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32B562BF"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en-GB"/>
        </w:rPr>
      </w:pPr>
      <w:r w:rsidRPr="00B751AA">
        <w:rPr>
          <w:rFonts w:ascii="Book Antiqua" w:hAnsi="Book Antiqua" w:cs="Arial"/>
          <w:b/>
          <w:bCs/>
          <w:i/>
          <w:color w:val="000000" w:themeColor="text1"/>
          <w:sz w:val="24"/>
          <w:szCs w:val="24"/>
          <w:lang w:val="en-GB"/>
        </w:rPr>
        <w:t xml:space="preserve">miRNA reverse transcription and real-time PCR quantification </w:t>
      </w:r>
    </w:p>
    <w:p w14:paraId="7399F6C0"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Reverse transcription of miR-363 from total RNA was performed using miR-363 specific reverse primer Assay-ID hsa-miR-363 001271 and TaqMan MicroRNA reverse transcription kit, Thermo Fisher Scientific, Darmstadt.</w:t>
      </w:r>
    </w:p>
    <w:p w14:paraId="749C1AE2"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i/>
          <w:color w:val="000000" w:themeColor="text1"/>
          <w:sz w:val="24"/>
          <w:szCs w:val="24"/>
          <w:shd w:val="clear" w:color="auto" w:fill="FFFFFF"/>
          <w:lang w:val="en-GB"/>
        </w:rPr>
      </w:pPr>
      <w:r w:rsidRPr="00B751AA">
        <w:rPr>
          <w:rFonts w:ascii="Book Antiqua" w:hAnsi="Book Antiqua" w:cs="Arial"/>
          <w:color w:val="000000" w:themeColor="text1"/>
          <w:sz w:val="24"/>
          <w:szCs w:val="24"/>
          <w:lang w:val="en-GB"/>
        </w:rPr>
        <w:t xml:space="preserve">Quantification has been performed by TaqMan7900HT </w:t>
      </w:r>
      <w:r w:rsidR="00DF0C2A" w:rsidRPr="00B751AA">
        <w:rPr>
          <w:rFonts w:ascii="Book Antiqua" w:hAnsi="Book Antiqua" w:cs="Arial"/>
          <w:color w:val="000000" w:themeColor="text1"/>
          <w:sz w:val="24"/>
          <w:szCs w:val="24"/>
          <w:lang w:val="en-GB"/>
        </w:rPr>
        <w:t>real-time</w:t>
      </w:r>
      <w:r w:rsidRPr="00B751AA">
        <w:rPr>
          <w:rFonts w:ascii="Book Antiqua" w:hAnsi="Book Antiqua" w:cs="Arial"/>
          <w:color w:val="000000" w:themeColor="text1"/>
          <w:sz w:val="24"/>
          <w:szCs w:val="24"/>
          <w:lang w:val="en-GB"/>
        </w:rPr>
        <w:t xml:space="preserve"> PCR system Thermo Fisher Scientific, Darmstadt, RNU6 was used as a calibrator. The 15 </w:t>
      </w:r>
      <w:r w:rsidRPr="00B751AA">
        <w:rPr>
          <w:rFonts w:ascii="Times New Roman"/>
          <w:color w:val="000000" w:themeColor="text1"/>
          <w:sz w:val="24"/>
          <w:szCs w:val="24"/>
          <w:lang w:val="en-GB"/>
        </w:rPr>
        <w:t> </w:t>
      </w:r>
      <w:proofErr w:type="spellStart"/>
      <w:r w:rsidRPr="00B751AA">
        <w:rPr>
          <w:rFonts w:ascii="Book Antiqua" w:hAnsi="Book Antiqua" w:cs="Book Antiqua"/>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RT-reaction included 5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RNA, 3 </w:t>
      </w:r>
      <w:proofErr w:type="spellStart"/>
      <w:r w:rsidR="00DF0C2A" w:rsidRPr="00B751AA">
        <w:rPr>
          <w:rFonts w:ascii="Book Antiqua" w:hAnsi="Book Antiqua" w:cs="Arial"/>
          <w:color w:val="000000" w:themeColor="text1"/>
          <w:sz w:val="24"/>
          <w:szCs w:val="24"/>
          <w:lang w:val="en-GB"/>
        </w:rPr>
        <w:t>μL</w:t>
      </w:r>
      <w:proofErr w:type="spellEnd"/>
      <w:r w:rsidRPr="00B751AA">
        <w:rPr>
          <w:rFonts w:ascii="Book Antiqua" w:hAnsi="Book Antiqua" w:cs="Arial"/>
          <w:color w:val="000000" w:themeColor="text1"/>
          <w:sz w:val="24"/>
          <w:szCs w:val="24"/>
          <w:lang w:val="en-GB"/>
        </w:rPr>
        <w:t xml:space="preserve"> reverse primer, 1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w:t>
      </w:r>
      <w:proofErr w:type="spellStart"/>
      <w:r w:rsidRPr="00B751AA">
        <w:rPr>
          <w:rFonts w:ascii="Book Antiqua" w:hAnsi="Book Antiqua" w:cs="Arial"/>
          <w:color w:val="000000" w:themeColor="text1"/>
          <w:sz w:val="24"/>
          <w:szCs w:val="24"/>
          <w:lang w:val="en-GB"/>
        </w:rPr>
        <w:t>MultiScribe</w:t>
      </w:r>
      <w:proofErr w:type="spellEnd"/>
      <w:r w:rsidRPr="00B751AA">
        <w:rPr>
          <w:rFonts w:ascii="Book Antiqua" w:hAnsi="Book Antiqua" w:cs="Arial"/>
          <w:color w:val="000000" w:themeColor="text1"/>
          <w:sz w:val="24"/>
          <w:szCs w:val="24"/>
          <w:lang w:val="en-GB"/>
        </w:rPr>
        <w:t xml:space="preserve">™ Reverse Transcriptase, 0.15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dNTP mixture, 0.19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RNase inhibitor, 1.5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RT-buffer, 4.16 </w:t>
      </w:r>
      <w:proofErr w:type="spellStart"/>
      <w:r w:rsidR="00DF0C2A" w:rsidRPr="00B751AA">
        <w:rPr>
          <w:rFonts w:ascii="Book Antiqua" w:hAnsi="Book Antiqua" w:cs="Arial"/>
          <w:color w:val="000000" w:themeColor="text1"/>
          <w:sz w:val="24"/>
          <w:szCs w:val="24"/>
          <w:lang w:val="en-GB"/>
        </w:rPr>
        <w:t>μ</w:t>
      </w:r>
      <w:r w:rsidR="00E62BE4" w:rsidRPr="00B751AA">
        <w:rPr>
          <w:rFonts w:ascii="Book Antiqua" w:hAnsi="Book Antiqua" w:cs="Arial"/>
          <w:color w:val="000000" w:themeColor="text1"/>
          <w:sz w:val="24"/>
          <w:szCs w:val="24"/>
          <w:lang w:val="en-GB"/>
        </w:rPr>
        <w:t>L</w:t>
      </w:r>
      <w:proofErr w:type="spellEnd"/>
      <w:r w:rsidRPr="00B751AA">
        <w:rPr>
          <w:rFonts w:ascii="Book Antiqua" w:hAnsi="Book Antiqua" w:cs="Arial"/>
          <w:color w:val="000000" w:themeColor="text1"/>
          <w:sz w:val="24"/>
          <w:szCs w:val="24"/>
          <w:lang w:val="en-GB"/>
        </w:rPr>
        <w:t xml:space="preserve"> nuclease-free H</w:t>
      </w:r>
      <w:r w:rsidRPr="00B751AA">
        <w:rPr>
          <w:rFonts w:ascii="Book Antiqua" w:hAnsi="Book Antiqua" w:cs="Arial"/>
          <w:color w:val="000000" w:themeColor="text1"/>
          <w:sz w:val="24"/>
          <w:szCs w:val="24"/>
          <w:vertAlign w:val="subscript"/>
          <w:lang w:val="en-GB"/>
        </w:rPr>
        <w:t>2</w:t>
      </w:r>
      <w:r w:rsidRPr="00B751AA">
        <w:rPr>
          <w:rFonts w:ascii="Book Antiqua" w:hAnsi="Book Antiqua" w:cs="Arial"/>
          <w:color w:val="000000" w:themeColor="text1"/>
          <w:sz w:val="24"/>
          <w:szCs w:val="24"/>
          <w:lang w:val="en-GB"/>
        </w:rPr>
        <w:t>O: 2 min 50</w:t>
      </w:r>
      <w:r w:rsidR="00DF0C2A"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°C, 10</w:t>
      </w:r>
      <w:r w:rsidRPr="00B751AA">
        <w:rPr>
          <w:rFonts w:ascii="Times New Roman"/>
          <w:color w:val="000000" w:themeColor="text1"/>
          <w:sz w:val="24"/>
          <w:szCs w:val="24"/>
          <w:lang w:val="en-GB"/>
        </w:rPr>
        <w:t> </w:t>
      </w:r>
      <w:r w:rsidRPr="00B751AA">
        <w:rPr>
          <w:rFonts w:ascii="Book Antiqua" w:hAnsi="Book Antiqua" w:cs="Arial"/>
          <w:color w:val="000000" w:themeColor="text1"/>
          <w:sz w:val="24"/>
          <w:szCs w:val="24"/>
          <w:lang w:val="en-GB"/>
        </w:rPr>
        <w:t>min 95</w:t>
      </w:r>
      <w:r w:rsidR="00DF0C2A" w:rsidRPr="00B751AA">
        <w:rPr>
          <w:rFonts w:ascii="Book Antiqua" w:hAnsi="Book Antiqua"/>
          <w:color w:val="000000" w:themeColor="text1"/>
          <w:sz w:val="24"/>
          <w:szCs w:val="24"/>
          <w:lang w:val="en-GB"/>
        </w:rPr>
        <w:t xml:space="preserve"> </w:t>
      </w:r>
      <w:r w:rsidRPr="00B751AA">
        <w:rPr>
          <w:rFonts w:ascii="Book Antiqua" w:hAnsi="Book Antiqua" w:cs="Book Antiqua"/>
          <w:color w:val="000000" w:themeColor="text1"/>
          <w:sz w:val="24"/>
          <w:szCs w:val="24"/>
          <w:lang w:val="en-GB"/>
        </w:rPr>
        <w:t>°</w:t>
      </w:r>
      <w:r w:rsidRPr="00B751AA">
        <w:rPr>
          <w:rFonts w:ascii="Book Antiqua" w:hAnsi="Book Antiqua" w:cs="Arial"/>
          <w:color w:val="000000" w:themeColor="text1"/>
          <w:sz w:val="24"/>
          <w:szCs w:val="24"/>
          <w:lang w:val="en-GB"/>
        </w:rPr>
        <w:t>C, 15</w:t>
      </w:r>
      <w:r w:rsidRPr="00B751AA">
        <w:rPr>
          <w:rFonts w:ascii="Times New Roman"/>
          <w:color w:val="000000" w:themeColor="text1"/>
          <w:sz w:val="24"/>
          <w:szCs w:val="24"/>
          <w:lang w:val="en-GB"/>
        </w:rPr>
        <w:t> </w:t>
      </w:r>
      <w:r w:rsidRPr="00B751AA">
        <w:rPr>
          <w:rFonts w:ascii="Book Antiqua" w:hAnsi="Book Antiqua" w:cs="Arial"/>
          <w:color w:val="000000" w:themeColor="text1"/>
          <w:sz w:val="24"/>
          <w:szCs w:val="24"/>
          <w:lang w:val="en-GB"/>
        </w:rPr>
        <w:t>s 95</w:t>
      </w:r>
      <w:r w:rsidRPr="00B751AA">
        <w:rPr>
          <w:rFonts w:ascii="Times New Roman"/>
          <w:color w:val="000000" w:themeColor="text1"/>
          <w:sz w:val="24"/>
          <w:szCs w:val="24"/>
          <w:lang w:val="en-GB"/>
        </w:rPr>
        <w:t> </w:t>
      </w:r>
      <w:r w:rsidRPr="00B751AA">
        <w:rPr>
          <w:rFonts w:ascii="Book Antiqua" w:hAnsi="Book Antiqua" w:cs="Book Antiqua"/>
          <w:color w:val="000000" w:themeColor="text1"/>
          <w:sz w:val="24"/>
          <w:szCs w:val="24"/>
          <w:lang w:val="en-GB"/>
        </w:rPr>
        <w:t>°</w:t>
      </w:r>
      <w:r w:rsidRPr="00B751AA">
        <w:rPr>
          <w:rFonts w:ascii="Book Antiqua" w:hAnsi="Book Antiqua" w:cs="Arial"/>
          <w:color w:val="000000" w:themeColor="text1"/>
          <w:sz w:val="24"/>
          <w:szCs w:val="24"/>
          <w:lang w:val="en-GB"/>
        </w:rPr>
        <w:t>C, and 1 min 60</w:t>
      </w:r>
      <w:r w:rsidRPr="00B751AA">
        <w:rPr>
          <w:rFonts w:ascii="Times New Roman"/>
          <w:color w:val="000000" w:themeColor="text1"/>
          <w:sz w:val="24"/>
          <w:szCs w:val="24"/>
          <w:lang w:val="en-GB"/>
        </w:rPr>
        <w:t> </w:t>
      </w:r>
      <w:r w:rsidRPr="00B751AA">
        <w:rPr>
          <w:rFonts w:ascii="Book Antiqua" w:hAnsi="Book Antiqua" w:cs="Book Antiqua"/>
          <w:color w:val="000000" w:themeColor="text1"/>
          <w:sz w:val="24"/>
          <w:szCs w:val="24"/>
          <w:lang w:val="en-GB"/>
        </w:rPr>
        <w:t>°</w:t>
      </w:r>
      <w:r w:rsidRPr="00B751AA">
        <w:rPr>
          <w:rFonts w:ascii="Book Antiqua" w:hAnsi="Book Antiqua" w:cs="Arial"/>
          <w:color w:val="000000" w:themeColor="text1"/>
          <w:sz w:val="24"/>
          <w:szCs w:val="24"/>
          <w:lang w:val="en-GB"/>
        </w:rPr>
        <w:t>C. TaqMan PCR analysis provided relative quantification of miR-363 expression related to expression of snoU6 as an endogenous control.</w:t>
      </w:r>
    </w:p>
    <w:p w14:paraId="23C0491D" w14:textId="77777777" w:rsidR="00FE6179" w:rsidRPr="00B751AA" w:rsidRDefault="00FE6179" w:rsidP="00B751AA">
      <w:pPr>
        <w:adjustRightInd w:val="0"/>
        <w:snapToGrid w:val="0"/>
        <w:spacing w:after="0" w:line="360" w:lineRule="auto"/>
        <w:jc w:val="both"/>
        <w:rPr>
          <w:rFonts w:ascii="Book Antiqua" w:hAnsi="Book Antiqua" w:cs="Arial"/>
          <w:i/>
          <w:color w:val="000000" w:themeColor="text1"/>
          <w:sz w:val="24"/>
          <w:szCs w:val="24"/>
          <w:shd w:val="clear" w:color="auto" w:fill="FFFFFF"/>
          <w:lang w:val="en-GB"/>
        </w:rPr>
      </w:pPr>
    </w:p>
    <w:p w14:paraId="22C19E80"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en-GB"/>
        </w:rPr>
      </w:pPr>
      <w:r w:rsidRPr="00B751AA">
        <w:rPr>
          <w:rFonts w:ascii="Book Antiqua" w:hAnsi="Book Antiqua" w:cs="Arial"/>
          <w:b/>
          <w:bCs/>
          <w:i/>
          <w:color w:val="000000" w:themeColor="text1"/>
          <w:sz w:val="24"/>
          <w:szCs w:val="24"/>
          <w:lang w:val="en-GB"/>
        </w:rPr>
        <w:t xml:space="preserve">Statistical analysis </w:t>
      </w:r>
    </w:p>
    <w:p w14:paraId="78EA5A7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Fisher's</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exact</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 xml:space="preserve">test or Chi-Square test have been used to evaluate the correlation between scored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and histological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category (ESCC </w:t>
      </w:r>
      <w:r w:rsidRPr="00B751AA">
        <w:rPr>
          <w:rFonts w:ascii="Book Antiqua" w:hAnsi="Book Antiqua" w:cs="Arial"/>
          <w:i/>
          <w:iCs/>
          <w:color w:val="000000" w:themeColor="text1"/>
          <w:sz w:val="24"/>
          <w:szCs w:val="24"/>
          <w:lang w:val="en-GB"/>
        </w:rPr>
        <w:t>vs</w:t>
      </w:r>
      <w:r w:rsidRPr="00B751AA">
        <w:rPr>
          <w:rFonts w:ascii="Book Antiqua" w:hAnsi="Book Antiqua" w:cs="Arial"/>
          <w:color w:val="000000" w:themeColor="text1"/>
          <w:sz w:val="24"/>
          <w:szCs w:val="24"/>
          <w:lang w:val="en-GB"/>
        </w:rPr>
        <w:t xml:space="preserve"> EAC). Significance of correlation between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and clinicopathological characteristics (</w:t>
      </w:r>
      <w:proofErr w:type="spellStart"/>
      <w:r w:rsidRPr="00B751AA">
        <w:rPr>
          <w:rFonts w:ascii="Book Antiqua" w:hAnsi="Book Antiqua" w:cs="Arial"/>
          <w:color w:val="000000" w:themeColor="text1"/>
          <w:sz w:val="24"/>
          <w:szCs w:val="24"/>
          <w:lang w:val="en-GB"/>
        </w:rPr>
        <w:t>pTNM</w:t>
      </w:r>
      <w:proofErr w:type="spellEnd"/>
      <w:r w:rsidRPr="00B751AA">
        <w:rPr>
          <w:rFonts w:ascii="Book Antiqua" w:hAnsi="Book Antiqua" w:cs="Arial"/>
          <w:color w:val="000000" w:themeColor="text1"/>
          <w:sz w:val="24"/>
          <w:szCs w:val="24"/>
          <w:lang w:val="en-GB"/>
        </w:rPr>
        <w:t xml:space="preserve">-category), or different therapies was determined. Categorial data of paired samples has been compared by </w:t>
      </w:r>
      <w:proofErr w:type="spellStart"/>
      <w:r w:rsidRPr="00B751AA">
        <w:rPr>
          <w:rFonts w:ascii="Book Antiqua" w:hAnsi="Book Antiqua" w:cs="Arial"/>
          <w:color w:val="000000" w:themeColor="text1"/>
          <w:sz w:val="24"/>
          <w:szCs w:val="24"/>
          <w:lang w:val="en-GB"/>
        </w:rPr>
        <w:t>McNemer</w:t>
      </w:r>
      <w:proofErr w:type="spellEnd"/>
      <w:r w:rsidRPr="00B751AA">
        <w:rPr>
          <w:rFonts w:ascii="Book Antiqua" w:hAnsi="Book Antiqua" w:cs="Arial"/>
          <w:color w:val="000000" w:themeColor="text1"/>
          <w:sz w:val="24"/>
          <w:szCs w:val="24"/>
          <w:lang w:val="en-GB"/>
        </w:rPr>
        <w:t xml:space="preserve"> test. Survival curves based on post-therapeutic </w:t>
      </w:r>
      <w:proofErr w:type="spellStart"/>
      <w:r w:rsidRPr="00B751AA">
        <w:rPr>
          <w:rFonts w:ascii="Book Antiqua" w:hAnsi="Book Antiqua" w:cs="Arial"/>
          <w:color w:val="000000" w:themeColor="text1"/>
          <w:sz w:val="24"/>
          <w:szCs w:val="24"/>
          <w:lang w:val="en-GB"/>
        </w:rPr>
        <w:t>popdoplanin</w:t>
      </w:r>
      <w:proofErr w:type="spellEnd"/>
      <w:r w:rsidRPr="00B751AA">
        <w:rPr>
          <w:rFonts w:ascii="Book Antiqua" w:hAnsi="Book Antiqua" w:cs="Arial"/>
          <w:color w:val="000000" w:themeColor="text1"/>
          <w:sz w:val="24"/>
          <w:szCs w:val="24"/>
          <w:lang w:val="en-GB"/>
        </w:rPr>
        <w:t xml:space="preserve">-expression in ESCC have been estimated according to Kaplan-Meier </w:t>
      </w:r>
      <w:r w:rsidRPr="00B751AA">
        <w:rPr>
          <w:rFonts w:ascii="Book Antiqua" w:hAnsi="Book Antiqua" w:cs="Arial"/>
          <w:color w:val="000000" w:themeColor="text1"/>
          <w:sz w:val="24"/>
          <w:szCs w:val="24"/>
        </w:rPr>
        <w:t>and compared with</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the</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Log-Rank test.</w:t>
      </w:r>
      <w:r w:rsidRPr="00B751AA">
        <w:rPr>
          <w:rFonts w:ascii="Book Antiqua" w:hAnsi="Book Antiqua" w:cs="Arial"/>
          <w:color w:val="000000" w:themeColor="text1"/>
          <w:sz w:val="24"/>
          <w:szCs w:val="24"/>
          <w:lang w:val="en-GB"/>
        </w:rPr>
        <w:t xml:space="preserve"> </w:t>
      </w:r>
    </w:p>
    <w:p w14:paraId="519E138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TaqMan PCR</w:t>
      </w:r>
      <w:r w:rsidR="00E62BE4"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analysis</w:t>
      </w:r>
      <w:r w:rsidRPr="00B751AA">
        <w:rPr>
          <w:rFonts w:ascii="Book Antiqua" w:hAnsi="Book Antiqua" w:cs="Arial"/>
          <w:color w:val="000000" w:themeColor="text1"/>
          <w:sz w:val="24"/>
          <w:szCs w:val="24"/>
        </w:rPr>
        <w:t xml:space="preserve"> provided relative quantification of miR-363</w:t>
      </w:r>
      <w:r w:rsidRPr="00B751AA">
        <w:rPr>
          <w:rFonts w:ascii="Book Antiqua" w:hAnsi="Book Antiqua" w:cs="Arial"/>
          <w:color w:val="000000" w:themeColor="text1"/>
          <w:sz w:val="24"/>
          <w:szCs w:val="24"/>
          <w:lang w:val="en-GB"/>
        </w:rPr>
        <w:t xml:space="preserve"> expression/expression of reference RNA snoU6. </w:t>
      </w:r>
      <w:r w:rsidR="00DF0C2A" w:rsidRPr="00B751AA">
        <w:rPr>
          <w:rFonts w:ascii="Book Antiqua" w:hAnsi="Book Antiqua" w:cs="Arial"/>
          <w:color w:val="000000" w:themeColor="text1"/>
          <w:sz w:val="24"/>
          <w:szCs w:val="24"/>
        </w:rPr>
        <w:t>Receiver operating characteristic</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curve analysis has been used to define an optimal cut-off value </w:t>
      </w:r>
      <w:r w:rsidRPr="00B751AA">
        <w:rPr>
          <w:rFonts w:ascii="Book Antiqua" w:hAnsi="Book Antiqua" w:cs="Arial"/>
          <w:color w:val="000000" w:themeColor="text1"/>
          <w:sz w:val="24"/>
          <w:szCs w:val="24"/>
        </w:rPr>
        <w:lastRenderedPageBreak/>
        <w:t xml:space="preserve">for miR-363 in relation to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w:t>
      </w:r>
      <w:r w:rsidRPr="00B751AA">
        <w:rPr>
          <w:rFonts w:ascii="Book Antiqua" w:hAnsi="Book Antiqua" w:cs="Arial"/>
          <w:color w:val="000000" w:themeColor="text1"/>
          <w:sz w:val="24"/>
          <w:szCs w:val="24"/>
          <w:lang w:val="en-GB"/>
        </w:rPr>
        <w:t xml:space="preserve">Statistical calculations of prognosis were performed using </w:t>
      </w:r>
      <w:proofErr w:type="spellStart"/>
      <w:r w:rsidRPr="00B751AA">
        <w:rPr>
          <w:rFonts w:ascii="Book Antiqua" w:hAnsi="Book Antiqua" w:cs="Arial"/>
          <w:color w:val="000000" w:themeColor="text1"/>
          <w:sz w:val="24"/>
          <w:szCs w:val="24"/>
          <w:lang w:val="en-GB"/>
        </w:rPr>
        <w:t>MedCalc</w:t>
      </w:r>
      <w:proofErr w:type="spellEnd"/>
      <w:r w:rsidRPr="00B751AA">
        <w:rPr>
          <w:rFonts w:ascii="Book Antiqua" w:hAnsi="Book Antiqua" w:cs="Arial"/>
          <w:color w:val="000000" w:themeColor="text1"/>
          <w:sz w:val="24"/>
          <w:szCs w:val="24"/>
          <w:lang w:val="en-GB"/>
        </w:rPr>
        <w:t xml:space="preserve"> Statistical Software version 17.9.6 (</w:t>
      </w:r>
      <w:proofErr w:type="spellStart"/>
      <w:r w:rsidRPr="00B751AA">
        <w:rPr>
          <w:rFonts w:ascii="Book Antiqua" w:hAnsi="Book Antiqua" w:cs="Arial"/>
          <w:color w:val="000000" w:themeColor="text1"/>
          <w:sz w:val="24"/>
          <w:szCs w:val="24"/>
          <w:lang w:val="en-GB"/>
        </w:rPr>
        <w:t>MedCalc</w:t>
      </w:r>
      <w:proofErr w:type="spellEnd"/>
      <w:r w:rsidRPr="00B751AA">
        <w:rPr>
          <w:rFonts w:ascii="Book Antiqua" w:hAnsi="Book Antiqua" w:cs="Arial"/>
          <w:color w:val="000000" w:themeColor="text1"/>
          <w:sz w:val="24"/>
          <w:szCs w:val="24"/>
          <w:lang w:val="en-GB"/>
        </w:rPr>
        <w:t xml:space="preserve"> Software </w:t>
      </w:r>
      <w:proofErr w:type="spellStart"/>
      <w:r w:rsidRPr="00B751AA">
        <w:rPr>
          <w:rFonts w:ascii="Book Antiqua" w:hAnsi="Book Antiqua" w:cs="Arial"/>
          <w:color w:val="000000" w:themeColor="text1"/>
          <w:sz w:val="24"/>
          <w:szCs w:val="24"/>
          <w:lang w:val="en-GB"/>
        </w:rPr>
        <w:t>bvba</w:t>
      </w:r>
      <w:proofErr w:type="spellEnd"/>
      <w:r w:rsidRPr="00B751AA">
        <w:rPr>
          <w:rFonts w:ascii="Book Antiqua" w:hAnsi="Book Antiqua" w:cs="Arial"/>
          <w:color w:val="000000" w:themeColor="text1"/>
          <w:sz w:val="24"/>
          <w:szCs w:val="24"/>
          <w:lang w:val="en-GB"/>
        </w:rPr>
        <w:t>, Ostend, Belgium</w:t>
      </w:r>
      <w:r w:rsidR="00DF0C2A" w:rsidRPr="00B751AA">
        <w:rPr>
          <w:rFonts w:ascii="Book Antiqua" w:hAnsi="Book Antiqua" w:cs="Arial"/>
          <w:color w:val="000000" w:themeColor="text1"/>
          <w:sz w:val="24"/>
          <w:szCs w:val="24"/>
          <w:lang w:val="en-GB"/>
        </w:rPr>
        <w:t>)</w:t>
      </w:r>
      <w:r w:rsidRPr="00B751AA">
        <w:rPr>
          <w:rFonts w:ascii="Book Antiqua" w:hAnsi="Book Antiqua" w:cs="Arial"/>
          <w:color w:val="000000" w:themeColor="text1"/>
          <w:sz w:val="24"/>
          <w:szCs w:val="24"/>
          <w:lang w:val="en-GB"/>
        </w:rPr>
        <w:t>; http://www.medcalc.org; 2017. Other statistical analyses were carried out using SPSS version 25 (Chicago, I</w:t>
      </w:r>
      <w:r w:rsidR="00DF0C2A" w:rsidRPr="00B751AA">
        <w:rPr>
          <w:rFonts w:ascii="Book Antiqua" w:hAnsi="Book Antiqua" w:cs="Arial"/>
          <w:color w:val="000000" w:themeColor="text1"/>
          <w:sz w:val="24"/>
          <w:szCs w:val="24"/>
          <w:lang w:val="en-GB"/>
        </w:rPr>
        <w:t>L</w:t>
      </w:r>
      <w:r w:rsidRPr="00B751AA">
        <w:rPr>
          <w:rFonts w:ascii="Book Antiqua" w:hAnsi="Book Antiqua" w:cs="Arial"/>
          <w:color w:val="000000" w:themeColor="text1"/>
          <w:sz w:val="24"/>
          <w:szCs w:val="24"/>
          <w:lang w:val="en-GB"/>
        </w:rPr>
        <w:t xml:space="preserve">, </w:t>
      </w:r>
      <w:r w:rsidR="00E62BE4" w:rsidRPr="00B751AA">
        <w:rPr>
          <w:rFonts w:ascii="Book Antiqua" w:hAnsi="Book Antiqua" w:cs="Arial"/>
          <w:color w:val="000000" w:themeColor="text1"/>
          <w:sz w:val="24"/>
          <w:szCs w:val="24"/>
          <w:lang w:val="en-GB"/>
        </w:rPr>
        <w:t>United States</w:t>
      </w:r>
      <w:r w:rsidRPr="00B751AA">
        <w:rPr>
          <w:rFonts w:ascii="Book Antiqua" w:hAnsi="Book Antiqua" w:cs="Arial"/>
          <w:color w:val="000000" w:themeColor="text1"/>
          <w:sz w:val="24"/>
          <w:szCs w:val="24"/>
          <w:lang w:val="en-GB"/>
        </w:rPr>
        <w:t>).</w:t>
      </w:r>
    </w:p>
    <w:p w14:paraId="3860CD3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en-GB"/>
        </w:rPr>
      </w:pPr>
    </w:p>
    <w:p w14:paraId="74AE356F" w14:textId="77777777" w:rsidR="00E62BE4" w:rsidRPr="00B751AA" w:rsidRDefault="00E62BE4" w:rsidP="00B751AA">
      <w:pPr>
        <w:adjustRightInd w:val="0"/>
        <w:snapToGrid w:val="0"/>
        <w:spacing w:after="0" w:line="360" w:lineRule="auto"/>
        <w:jc w:val="both"/>
        <w:rPr>
          <w:rFonts w:ascii="Book Antiqua" w:hAnsi="Book Antiqua" w:cstheme="minorBidi"/>
          <w:b/>
          <w:sz w:val="24"/>
          <w:szCs w:val="24"/>
          <w:u w:val="single"/>
        </w:rPr>
      </w:pPr>
      <w:r w:rsidRPr="00B751AA">
        <w:rPr>
          <w:rFonts w:ascii="Book Antiqua" w:hAnsi="Book Antiqua" w:cstheme="minorBidi"/>
          <w:b/>
          <w:sz w:val="24"/>
          <w:szCs w:val="24"/>
          <w:u w:val="single"/>
        </w:rPr>
        <w:t>RESULTS</w:t>
      </w:r>
    </w:p>
    <w:p w14:paraId="5A44DDD5"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fr-FR"/>
        </w:rPr>
      </w:pPr>
      <w:r w:rsidRPr="00B751AA">
        <w:rPr>
          <w:rFonts w:ascii="Book Antiqua" w:hAnsi="Book Antiqua" w:cs="Arial"/>
          <w:b/>
          <w:bCs/>
          <w:i/>
          <w:color w:val="000000" w:themeColor="text1"/>
          <w:sz w:val="24"/>
          <w:szCs w:val="24"/>
          <w:lang w:val="fr-FR"/>
        </w:rPr>
        <w:t>Podoplanin expression in ESCC and EAC patients</w:t>
      </w:r>
    </w:p>
    <w:p w14:paraId="1EFF0D9F"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fr-FR"/>
        </w:rPr>
      </w:pPr>
      <w:r w:rsidRPr="00B751AA">
        <w:rPr>
          <w:rFonts w:ascii="Book Antiqua" w:hAnsi="Book Antiqua" w:cs="Arial"/>
          <w:color w:val="000000" w:themeColor="text1"/>
          <w:sz w:val="24"/>
          <w:szCs w:val="24"/>
          <w:lang w:val="fr-FR"/>
        </w:rPr>
        <w:t xml:space="preserve">Podoplanin staining of resected specimen derived from patients without preoperative chemoradiation revealed 56 of 57 EAC patients (98%) with none or nearly no protein expression (0-5%). 16 of 32 ESCC patients (50%) have been identified to express score 1 0-5% detectable protein. Comparision of podoplanin expression between ESCC and EAC, </w:t>
      </w:r>
      <w:r w:rsidR="00E62BE4" w:rsidRPr="00B751AA">
        <w:rPr>
          <w:rFonts w:ascii="Book Antiqua" w:hAnsi="Book Antiqua" w:cs="Arial"/>
          <w:i/>
          <w:iCs/>
          <w:color w:val="000000" w:themeColor="text1"/>
          <w:sz w:val="24"/>
          <w:szCs w:val="24"/>
          <w:lang w:val="fr-FR"/>
        </w:rPr>
        <w:t>P</w:t>
      </w:r>
      <w:r w:rsidR="00E62BE4"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&lt;</w:t>
      </w:r>
      <w:r w:rsidR="00E62BE4"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0.001 is depicted in Tab</w:t>
      </w:r>
      <w:r w:rsidR="00DF0C2A" w:rsidRPr="00B751AA">
        <w:rPr>
          <w:rFonts w:ascii="Book Antiqua" w:hAnsi="Book Antiqua" w:cs="Arial"/>
          <w:color w:val="000000" w:themeColor="text1"/>
          <w:sz w:val="24"/>
          <w:szCs w:val="24"/>
          <w:lang w:val="fr-FR"/>
        </w:rPr>
        <w:t xml:space="preserve">le </w:t>
      </w:r>
      <w:r w:rsidRPr="00B751AA">
        <w:rPr>
          <w:rFonts w:ascii="Book Antiqua" w:hAnsi="Book Antiqua" w:cs="Arial"/>
          <w:color w:val="000000" w:themeColor="text1"/>
          <w:sz w:val="24"/>
          <w:szCs w:val="24"/>
          <w:lang w:val="fr-FR"/>
        </w:rPr>
        <w:t>2.</w:t>
      </w:r>
    </w:p>
    <w:p w14:paraId="39BA4D0D"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fr-FR"/>
        </w:rPr>
      </w:pPr>
      <w:r w:rsidRPr="00B751AA">
        <w:rPr>
          <w:rFonts w:ascii="Book Antiqua" w:hAnsi="Book Antiqua" w:cs="Arial"/>
          <w:color w:val="000000" w:themeColor="text1"/>
          <w:sz w:val="24"/>
          <w:szCs w:val="24"/>
          <w:lang w:val="fr-FR"/>
        </w:rPr>
        <w:t xml:space="preserve">Different expression levels of podoplanin have been stained in EAC and ESCC patients in both, resected tissues of patients with primary surgery and endoscopic biopsies. </w:t>
      </w:r>
      <w:r w:rsidR="00DF0C2A" w:rsidRPr="00B751AA">
        <w:rPr>
          <w:rFonts w:ascii="Book Antiqua" w:hAnsi="Book Antiqua" w:cs="Arial"/>
          <w:color w:val="000000" w:themeColor="text1"/>
          <w:sz w:val="24"/>
          <w:szCs w:val="24"/>
          <w:lang w:val="fr-FR"/>
        </w:rPr>
        <w:t>One hundred and four</w:t>
      </w:r>
      <w:r w:rsidRPr="00B751AA">
        <w:rPr>
          <w:rFonts w:ascii="Book Antiqua" w:hAnsi="Book Antiqua" w:cs="Arial"/>
          <w:color w:val="000000" w:themeColor="text1"/>
          <w:sz w:val="24"/>
          <w:szCs w:val="24"/>
          <w:lang w:val="fr-FR"/>
        </w:rPr>
        <w:t xml:space="preserve"> endoscopic biopsies of 46 EAC and 58 ESCC patients confirmed podoplanin expression in ESCC, and its absence in EAC. </w:t>
      </w:r>
      <w:r w:rsidR="00DF0C2A" w:rsidRPr="00B751AA">
        <w:rPr>
          <w:rFonts w:ascii="Book Antiqua" w:hAnsi="Book Antiqua" w:cs="Arial"/>
          <w:color w:val="000000" w:themeColor="text1"/>
          <w:sz w:val="24"/>
          <w:szCs w:val="24"/>
          <w:lang w:val="fr-FR"/>
        </w:rPr>
        <w:t>Fourty-four</w:t>
      </w:r>
      <w:r w:rsidRPr="00B751AA">
        <w:rPr>
          <w:rFonts w:ascii="Book Antiqua" w:hAnsi="Book Antiqua" w:cs="Arial"/>
          <w:color w:val="000000" w:themeColor="text1"/>
          <w:sz w:val="24"/>
          <w:szCs w:val="24"/>
          <w:lang w:val="fr-FR"/>
        </w:rPr>
        <w:t>/</w:t>
      </w:r>
      <w:r w:rsidR="00DF0C2A" w:rsidRPr="00B751AA">
        <w:rPr>
          <w:rFonts w:ascii="Book Antiqua" w:hAnsi="Book Antiqua" w:cs="Arial"/>
          <w:color w:val="000000" w:themeColor="text1"/>
          <w:sz w:val="24"/>
          <w:szCs w:val="24"/>
          <w:lang w:val="fr-FR"/>
        </w:rPr>
        <w:t>fourty-six</w:t>
      </w:r>
      <w:r w:rsidRPr="00B751AA">
        <w:rPr>
          <w:rFonts w:ascii="Book Antiqua" w:hAnsi="Book Antiqua" w:cs="Arial"/>
          <w:color w:val="000000" w:themeColor="text1"/>
          <w:sz w:val="24"/>
          <w:szCs w:val="24"/>
          <w:lang w:val="fr-FR"/>
        </w:rPr>
        <w:t xml:space="preserve"> EAC patients (96%) were scored for expression of 0-5% protein compared to 36 of 58 ESCC patients (63%), </w:t>
      </w:r>
      <w:r w:rsidR="00E62BE4" w:rsidRPr="00B751AA">
        <w:rPr>
          <w:rFonts w:ascii="Book Antiqua" w:hAnsi="Book Antiqua" w:cs="Arial"/>
          <w:i/>
          <w:iCs/>
          <w:color w:val="000000" w:themeColor="text1"/>
          <w:sz w:val="24"/>
          <w:szCs w:val="24"/>
          <w:lang w:val="fr-FR"/>
        </w:rPr>
        <w:t>P</w:t>
      </w:r>
      <w:r w:rsidR="00E62BE4"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w:t>
      </w:r>
      <w:r w:rsidR="00E62BE4"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0.002, Tab</w:t>
      </w:r>
      <w:r w:rsidR="00DF0C2A" w:rsidRPr="00B751AA">
        <w:rPr>
          <w:rFonts w:ascii="Book Antiqua" w:hAnsi="Book Antiqua" w:cs="Arial"/>
          <w:color w:val="000000" w:themeColor="text1"/>
          <w:sz w:val="24"/>
          <w:szCs w:val="24"/>
          <w:lang w:val="fr-FR"/>
        </w:rPr>
        <w:t>le</w:t>
      </w:r>
      <w:r w:rsidRPr="00B751AA">
        <w:rPr>
          <w:rFonts w:ascii="Book Antiqua" w:hAnsi="Book Antiqua" w:cs="Arial"/>
          <w:color w:val="000000" w:themeColor="text1"/>
          <w:sz w:val="24"/>
          <w:szCs w:val="24"/>
          <w:lang w:val="fr-FR"/>
        </w:rPr>
        <w:t xml:space="preserve"> 2.</w:t>
      </w:r>
    </w:p>
    <w:p w14:paraId="3B2ABFB8"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kern w:val="1"/>
          <w:sz w:val="24"/>
          <w:szCs w:val="24"/>
          <w:lang w:val="fr-FR"/>
        </w:rPr>
      </w:pPr>
    </w:p>
    <w:p w14:paraId="7209C112"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fr-FR"/>
        </w:rPr>
      </w:pPr>
      <w:r w:rsidRPr="00B751AA">
        <w:rPr>
          <w:rFonts w:ascii="Book Antiqua" w:hAnsi="Book Antiqua" w:cs="Arial"/>
          <w:b/>
          <w:bCs/>
          <w:i/>
          <w:color w:val="000000" w:themeColor="text1"/>
          <w:sz w:val="24"/>
          <w:szCs w:val="24"/>
          <w:lang w:val="fr-FR"/>
        </w:rPr>
        <w:t>Podoplanin, a marker for tumor progression?</w:t>
      </w:r>
    </w:p>
    <w:p w14:paraId="7B40B776"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in resected tissues of 32 ESCC patients without chemoradiation did not show any significant relation to </w:t>
      </w:r>
      <w:proofErr w:type="spellStart"/>
      <w:r w:rsidRPr="00B751AA">
        <w:rPr>
          <w:rFonts w:ascii="Book Antiqua" w:hAnsi="Book Antiqua" w:cs="Arial"/>
          <w:color w:val="000000" w:themeColor="text1"/>
          <w:sz w:val="24"/>
          <w:szCs w:val="24"/>
        </w:rPr>
        <w:t>pT</w:t>
      </w:r>
      <w:proofErr w:type="spellEnd"/>
      <w:r w:rsidRPr="00B751AA">
        <w:rPr>
          <w:rFonts w:ascii="Book Antiqua" w:hAnsi="Book Antiqua" w:cs="Arial"/>
          <w:color w:val="000000" w:themeColor="text1"/>
          <w:sz w:val="24"/>
          <w:szCs w:val="24"/>
        </w:rPr>
        <w:t>-category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0.085,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0.051 for pT2 to pT4) or lymph node metastases (</w:t>
      </w:r>
      <w:r w:rsidR="00E62BE4" w:rsidRPr="00B751AA">
        <w:rPr>
          <w:rFonts w:ascii="Book Antiqua" w:hAnsi="Book Antiqua" w:cs="Arial"/>
          <w:i/>
          <w:iCs/>
          <w:color w:val="000000" w:themeColor="text1"/>
          <w:sz w:val="24"/>
          <w:szCs w:val="24"/>
        </w:rPr>
        <w:t>P</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0.457), however, results are limited by the small number of patients in the subgroups (Tab</w:t>
      </w:r>
      <w:r w:rsidR="00E62BE4" w:rsidRPr="00B751AA">
        <w:rPr>
          <w:rFonts w:ascii="Book Antiqua" w:hAnsi="Book Antiqua" w:cs="Arial"/>
          <w:color w:val="000000" w:themeColor="text1"/>
          <w:sz w:val="24"/>
          <w:szCs w:val="24"/>
        </w:rPr>
        <w:t>le</w:t>
      </w:r>
      <w:r w:rsidRPr="00B751AA">
        <w:rPr>
          <w:rFonts w:ascii="Book Antiqua" w:hAnsi="Book Antiqua" w:cs="Arial"/>
          <w:color w:val="000000" w:themeColor="text1"/>
          <w:sz w:val="24"/>
          <w:szCs w:val="24"/>
        </w:rPr>
        <w:t xml:space="preserve"> 3).</w:t>
      </w:r>
    </w:p>
    <w:p w14:paraId="7CCB27A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18BDCA6D" w14:textId="77777777" w:rsidR="00FE6179" w:rsidRPr="00B751AA" w:rsidRDefault="00FE6179" w:rsidP="00B751AA">
      <w:pPr>
        <w:adjustRightInd w:val="0"/>
        <w:snapToGrid w:val="0"/>
        <w:spacing w:after="0" w:line="360" w:lineRule="auto"/>
        <w:jc w:val="both"/>
        <w:rPr>
          <w:rFonts w:ascii="Book Antiqua" w:hAnsi="Book Antiqua" w:cs="Arial"/>
          <w:b/>
          <w:bCs/>
          <w:color w:val="000000" w:themeColor="text1"/>
          <w:sz w:val="24"/>
          <w:szCs w:val="24"/>
        </w:rPr>
      </w:pPr>
      <w:r w:rsidRPr="00B751AA">
        <w:rPr>
          <w:rFonts w:ascii="Book Antiqua" w:hAnsi="Book Antiqua" w:cs="Arial"/>
          <w:b/>
          <w:bCs/>
          <w:i/>
          <w:color w:val="000000" w:themeColor="text1"/>
          <w:sz w:val="24"/>
          <w:szCs w:val="24"/>
          <w:lang w:val="fr-FR"/>
        </w:rPr>
        <w:t>Podoplanin expression and prognosis </w:t>
      </w:r>
    </w:p>
    <w:p w14:paraId="440B8273" w14:textId="77777777" w:rsidR="00FE6179" w:rsidRPr="00B751AA" w:rsidRDefault="00FE6179" w:rsidP="00B751AA">
      <w:pPr>
        <w:adjustRightInd w:val="0"/>
        <w:snapToGrid w:val="0"/>
        <w:spacing w:after="0" w:line="360" w:lineRule="auto"/>
        <w:jc w:val="both"/>
        <w:rPr>
          <w:rFonts w:ascii="Book Antiqua" w:hAnsi="Book Antiqua" w:cs="Arial"/>
          <w:b/>
          <w:bCs/>
          <w:color w:val="000000" w:themeColor="text1"/>
          <w:sz w:val="24"/>
          <w:szCs w:val="24"/>
        </w:rPr>
      </w:pPr>
      <w:r w:rsidRPr="00B751AA">
        <w:rPr>
          <w:rFonts w:ascii="Book Antiqua" w:hAnsi="Book Antiqua" w:cs="Arial"/>
          <w:color w:val="000000" w:themeColor="text1"/>
          <w:sz w:val="24"/>
          <w:szCs w:val="24"/>
        </w:rPr>
        <w:t xml:space="preserve">We analyzed a potential association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and survival of ESCC-patients without preoperative chemotherapy. Patients with a stronger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protein expression &gt;</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5</w:t>
      </w:r>
      <w:r w:rsidR="0052322B">
        <w:rPr>
          <w:rFonts w:ascii="Book Antiqua" w:hAnsi="Book Antiqua" w:cs="Arial"/>
          <w:color w:val="000000" w:themeColor="text1"/>
          <w:sz w:val="24"/>
          <w:szCs w:val="24"/>
        </w:rPr>
        <w:t>%</w:t>
      </w:r>
      <w:r w:rsidRPr="00B751AA">
        <w:rPr>
          <w:rFonts w:ascii="Book Antiqua" w:hAnsi="Book Antiqua" w:cs="Arial"/>
          <w:color w:val="000000" w:themeColor="text1"/>
          <w:sz w:val="24"/>
          <w:szCs w:val="24"/>
        </w:rPr>
        <w:t xml:space="preserve"> </w:t>
      </w:r>
      <w:r w:rsidR="00EE4E4E" w:rsidRPr="00B751AA">
        <w:rPr>
          <w:rFonts w:ascii="Book Antiqua" w:hAnsi="Book Antiqua" w:cs="Arial"/>
          <w:color w:val="000000" w:themeColor="text1"/>
          <w:sz w:val="24"/>
          <w:szCs w:val="24"/>
        </w:rPr>
        <w:t>[</w:t>
      </w:r>
      <w:r w:rsidR="00EE4E4E" w:rsidRPr="00B751AA">
        <w:rPr>
          <w:rFonts w:ascii="Book Antiqua" w:hAnsi="Book Antiqua" w:cs="Arial"/>
          <w:bCs/>
          <w:color w:val="000000" w:themeColor="text1"/>
          <w:sz w:val="24"/>
          <w:szCs w:val="24"/>
          <w:lang w:val="en-GB"/>
        </w:rPr>
        <w:t xml:space="preserve">high </w:t>
      </w:r>
      <w:proofErr w:type="spellStart"/>
      <w:r w:rsidR="00EE4E4E" w:rsidRPr="00B751AA">
        <w:rPr>
          <w:rFonts w:ascii="Book Antiqua" w:hAnsi="Book Antiqua" w:cs="Arial"/>
          <w:bCs/>
          <w:color w:val="000000" w:themeColor="text1"/>
          <w:sz w:val="24"/>
          <w:szCs w:val="24"/>
          <w:lang w:val="en-GB"/>
        </w:rPr>
        <w:t>podoplanin</w:t>
      </w:r>
      <w:proofErr w:type="spellEnd"/>
      <w:r w:rsidR="00EE4E4E" w:rsidRPr="00B751AA">
        <w:rPr>
          <w:rFonts w:ascii="Book Antiqua" w:hAnsi="Book Antiqua" w:cs="Arial"/>
          <w:bCs/>
          <w:color w:val="000000" w:themeColor="text1"/>
          <w:sz w:val="24"/>
          <w:szCs w:val="24"/>
          <w:lang w:val="en-GB"/>
        </w:rPr>
        <w:t xml:space="preserve"> expression</w:t>
      </w:r>
      <w:r w:rsidR="00EE4E4E"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HPE)</w:t>
      </w:r>
      <w:r w:rsidR="00EE4E4E"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 xml:space="preserve"> had </w:t>
      </w:r>
      <w:r w:rsidRPr="00B751AA">
        <w:rPr>
          <w:rFonts w:ascii="Book Antiqua" w:hAnsi="Book Antiqua" w:cs="Arial"/>
          <w:color w:val="000000" w:themeColor="text1"/>
          <w:sz w:val="24"/>
          <w:szCs w:val="24"/>
        </w:rPr>
        <w:lastRenderedPageBreak/>
        <w:t>a worse prognosis compared to the patient group with low expression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E62BE4"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0.013), Fig</w:t>
      </w:r>
      <w:r w:rsidR="00DF0C2A" w:rsidRPr="00B751AA">
        <w:rPr>
          <w:rFonts w:ascii="Book Antiqua" w:hAnsi="Book Antiqua" w:cs="Arial"/>
          <w:color w:val="000000" w:themeColor="text1"/>
          <w:sz w:val="24"/>
          <w:szCs w:val="24"/>
        </w:rPr>
        <w:t>ure</w:t>
      </w:r>
      <w:r w:rsidRPr="00B751AA">
        <w:rPr>
          <w:rFonts w:ascii="Book Antiqua" w:hAnsi="Book Antiqua" w:cs="Arial"/>
          <w:color w:val="000000" w:themeColor="text1"/>
          <w:sz w:val="24"/>
          <w:szCs w:val="24"/>
        </w:rPr>
        <w:t xml:space="preserve"> 1.</w:t>
      </w:r>
    </w:p>
    <w:p w14:paraId="0898613A"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bCs/>
          <w:color w:val="000000" w:themeColor="text1"/>
          <w:sz w:val="24"/>
          <w:szCs w:val="24"/>
        </w:rPr>
        <w:t xml:space="preserve">Sixteen patients showing a lower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 of 0-5</w:t>
      </w:r>
      <w:r w:rsidR="0052322B">
        <w:rPr>
          <w:rFonts w:ascii="Book Antiqua" w:hAnsi="Book Antiqua" w:cs="Arial"/>
          <w:bCs/>
          <w:color w:val="000000" w:themeColor="text1"/>
          <w:sz w:val="24"/>
          <w:szCs w:val="24"/>
        </w:rPr>
        <w:t>%</w:t>
      </w:r>
      <w:r w:rsidRPr="00B751AA">
        <w:rPr>
          <w:rFonts w:ascii="Book Antiqua" w:hAnsi="Book Antiqua" w:cs="Arial"/>
          <w:bCs/>
          <w:color w:val="000000" w:themeColor="text1"/>
          <w:sz w:val="24"/>
          <w:szCs w:val="24"/>
        </w:rPr>
        <w:t xml:space="preserve">, had a better survival rate of 34% than the patient group with HPE, resulting in a five-year survival of 12%. </w:t>
      </w:r>
    </w:p>
    <w:p w14:paraId="58D6B3AD"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3FB7EA3C" w14:textId="77777777" w:rsidR="00FE6179" w:rsidRPr="00B751AA" w:rsidRDefault="00FE6179" w:rsidP="00B751AA">
      <w:pPr>
        <w:adjustRightInd w:val="0"/>
        <w:snapToGrid w:val="0"/>
        <w:spacing w:after="0" w:line="360" w:lineRule="auto"/>
        <w:jc w:val="both"/>
        <w:rPr>
          <w:rFonts w:ascii="Book Antiqua" w:hAnsi="Book Antiqua" w:cs="Arial"/>
          <w:b/>
          <w:bCs/>
          <w:color w:val="000000" w:themeColor="text1"/>
          <w:sz w:val="24"/>
          <w:szCs w:val="24"/>
        </w:rPr>
      </w:pPr>
      <w:r w:rsidRPr="00B751AA">
        <w:rPr>
          <w:rFonts w:ascii="Book Antiqua" w:hAnsi="Book Antiqua" w:cs="Arial"/>
          <w:b/>
          <w:bCs/>
          <w:i/>
          <w:color w:val="000000" w:themeColor="text1"/>
          <w:sz w:val="24"/>
          <w:szCs w:val="24"/>
          <w:lang w:val="fr-FR"/>
        </w:rPr>
        <w:t xml:space="preserve">Chemoradiation changes podoplanin protein expression </w:t>
      </w:r>
    </w:p>
    <w:p w14:paraId="0DA1D957"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Fifty-eight ESCC and 48 EAC patients received preoperative chemoradiation therapy due to an advanced tumor stage (cT3NxM0). </w:t>
      </w:r>
    </w:p>
    <w:p w14:paraId="151B9468"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Only one of these 48 EAC patients expressed HPE in resection specimen, 47 patients showed none or low expression. Staining of 57 primary surgery EAC patients provided the same result of absence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Tab</w:t>
      </w:r>
      <w:r w:rsidR="00DF0C2A" w:rsidRPr="00B751AA">
        <w:rPr>
          <w:rFonts w:ascii="Book Antiqua" w:hAnsi="Book Antiqua" w:cs="Arial"/>
          <w:color w:val="000000" w:themeColor="text1"/>
          <w:sz w:val="24"/>
          <w:szCs w:val="24"/>
        </w:rPr>
        <w:t xml:space="preserve">le </w:t>
      </w:r>
      <w:r w:rsidRPr="00B751AA">
        <w:rPr>
          <w:rFonts w:ascii="Book Antiqua" w:hAnsi="Book Antiqua" w:cs="Arial"/>
          <w:color w:val="000000" w:themeColor="text1"/>
          <w:sz w:val="24"/>
          <w:szCs w:val="24"/>
        </w:rPr>
        <w:t xml:space="preserve">2. </w:t>
      </w:r>
    </w:p>
    <w:p w14:paraId="5E191D4A"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Seven of 58 ESCC patients expressed HPE in resected tissue after chemoradiation, 51 patients had a lower expression &lt; 5</w:t>
      </w:r>
      <w:r w:rsidR="0052322B">
        <w:rPr>
          <w:rFonts w:ascii="Book Antiqua" w:hAnsi="Book Antiqua" w:cs="Arial"/>
          <w:color w:val="000000" w:themeColor="text1"/>
          <w:sz w:val="24"/>
          <w:szCs w:val="24"/>
        </w:rPr>
        <w:t>%</w:t>
      </w:r>
      <w:r w:rsidRPr="00B751AA">
        <w:rPr>
          <w:rFonts w:ascii="Book Antiqua" w:hAnsi="Book Antiqua" w:cs="Arial"/>
          <w:color w:val="000000" w:themeColor="text1"/>
          <w:sz w:val="24"/>
          <w:szCs w:val="24"/>
        </w:rPr>
        <w:t xml:space="preserve">. We compared the protein expression of this group of 58 ESCC patients who received chemoradiation to the non-pretreated primary surgery group of 32 ESCC patients.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has been identified to be significantly lower in resected specimen of </w:t>
      </w:r>
      <w:proofErr w:type="spellStart"/>
      <w:r w:rsidRPr="00B751AA">
        <w:rPr>
          <w:rFonts w:ascii="Book Antiqua" w:hAnsi="Book Antiqua" w:cs="Arial"/>
          <w:color w:val="000000" w:themeColor="text1"/>
          <w:sz w:val="24"/>
          <w:szCs w:val="24"/>
        </w:rPr>
        <w:t>neoadjuvantly</w:t>
      </w:r>
      <w:proofErr w:type="spellEnd"/>
      <w:r w:rsidRPr="00B751AA">
        <w:rPr>
          <w:rFonts w:ascii="Book Antiqua" w:hAnsi="Book Antiqua" w:cs="Arial"/>
          <w:color w:val="000000" w:themeColor="text1"/>
          <w:sz w:val="24"/>
          <w:szCs w:val="24"/>
        </w:rPr>
        <w:t xml:space="preserve"> pre-treated patients compared to patients receiving only surgery,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&lt;</w:t>
      </w:r>
      <w:r w:rsidR="00BB36A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0.001 (Tab</w:t>
      </w:r>
      <w:r w:rsidR="00B7773D">
        <w:rPr>
          <w:rFonts w:ascii="Book Antiqua" w:hAnsi="Book Antiqua" w:cs="Arial"/>
          <w:color w:val="000000" w:themeColor="text1"/>
          <w:sz w:val="24"/>
          <w:szCs w:val="24"/>
        </w:rPr>
        <w:t xml:space="preserve">le </w:t>
      </w:r>
      <w:r w:rsidRPr="00B751AA">
        <w:rPr>
          <w:rFonts w:ascii="Book Antiqua" w:hAnsi="Book Antiqua" w:cs="Arial"/>
          <w:color w:val="000000" w:themeColor="text1"/>
          <w:sz w:val="24"/>
          <w:szCs w:val="24"/>
        </w:rPr>
        <w:t xml:space="preserve">4). </w:t>
      </w:r>
    </w:p>
    <w:p w14:paraId="048592FA"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To confirm the different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levels between </w:t>
      </w:r>
      <w:proofErr w:type="spellStart"/>
      <w:r w:rsidRPr="00B751AA">
        <w:rPr>
          <w:rFonts w:ascii="Book Antiqua" w:hAnsi="Book Antiqua" w:cs="Arial"/>
          <w:color w:val="000000" w:themeColor="text1"/>
          <w:sz w:val="24"/>
          <w:szCs w:val="24"/>
        </w:rPr>
        <w:t>neoadjuvantly</w:t>
      </w:r>
      <w:proofErr w:type="spellEnd"/>
      <w:r w:rsidRPr="00B751AA">
        <w:rPr>
          <w:rFonts w:ascii="Book Antiqua" w:hAnsi="Book Antiqua" w:cs="Arial"/>
          <w:color w:val="000000" w:themeColor="text1"/>
          <w:sz w:val="24"/>
          <w:szCs w:val="24"/>
        </w:rPr>
        <w:t xml:space="preserve"> treated and non-pretreated primary surgery patient groups, we compared the protein expression in endoscopic biopsies with the expression after </w:t>
      </w:r>
      <w:proofErr w:type="spellStart"/>
      <w:r w:rsidRPr="00B751AA">
        <w:rPr>
          <w:rFonts w:ascii="Book Antiqua" w:hAnsi="Book Antiqua" w:cs="Arial"/>
          <w:color w:val="000000" w:themeColor="text1"/>
          <w:sz w:val="24"/>
          <w:szCs w:val="24"/>
        </w:rPr>
        <w:t>CTx</w:t>
      </w:r>
      <w:proofErr w:type="spellEnd"/>
      <w:r w:rsidRPr="00B751AA">
        <w:rPr>
          <w:rFonts w:ascii="Book Antiqua" w:hAnsi="Book Antiqua" w:cs="Arial"/>
          <w:color w:val="000000" w:themeColor="text1"/>
          <w:sz w:val="24"/>
          <w:szCs w:val="24"/>
        </w:rPr>
        <w:t>/</w:t>
      </w:r>
      <w:proofErr w:type="spellStart"/>
      <w:r w:rsidRPr="00B751AA">
        <w:rPr>
          <w:rFonts w:ascii="Book Antiqua" w:hAnsi="Book Antiqua" w:cs="Arial"/>
          <w:color w:val="000000" w:themeColor="text1"/>
          <w:sz w:val="24"/>
          <w:szCs w:val="24"/>
        </w:rPr>
        <w:t>RTx</w:t>
      </w:r>
      <w:proofErr w:type="spellEnd"/>
      <w:r w:rsidRPr="00B751AA">
        <w:rPr>
          <w:rFonts w:ascii="Book Antiqua" w:hAnsi="Book Antiqua" w:cs="Arial"/>
          <w:color w:val="000000" w:themeColor="text1"/>
          <w:sz w:val="24"/>
          <w:szCs w:val="24"/>
        </w:rPr>
        <w:t xml:space="preserve"> of the individual matching resected tissue specimen of 56 ESCC patients.</w:t>
      </w:r>
    </w:p>
    <w:p w14:paraId="1364344D"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Thirty-five pretreatment biopsies did not express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0-5%, score 1. Thirty-four of 35 </w:t>
      </w:r>
      <w:proofErr w:type="spellStart"/>
      <w:r w:rsidRPr="00B751AA">
        <w:rPr>
          <w:rFonts w:ascii="Book Antiqua" w:hAnsi="Book Antiqua" w:cs="Arial"/>
          <w:color w:val="000000" w:themeColor="text1"/>
          <w:sz w:val="24"/>
          <w:szCs w:val="24"/>
        </w:rPr>
        <w:t>neoadjuvantly</w:t>
      </w:r>
      <w:proofErr w:type="spellEnd"/>
      <w:r w:rsidRPr="00B751AA">
        <w:rPr>
          <w:rFonts w:ascii="Book Antiqua" w:hAnsi="Book Antiqua" w:cs="Arial"/>
          <w:color w:val="000000" w:themeColor="text1"/>
          <w:sz w:val="24"/>
          <w:szCs w:val="24"/>
        </w:rPr>
        <w:t xml:space="preserve"> treated patients (97%) did not express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in resected tissues. Twenty-one patients showed a higher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of &gt; 5% (Score 2-4) in their biopsies before chemoradiation. In resection specimen of 16 of these 21 patients (76%)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was not detectable after neoadjuvant treatment. The matching </w:t>
      </w:r>
      <w:r w:rsidRPr="00B751AA">
        <w:rPr>
          <w:rFonts w:ascii="Book Antiqua" w:hAnsi="Book Antiqua" w:cs="Arial"/>
          <w:color w:val="000000" w:themeColor="text1"/>
          <w:sz w:val="24"/>
          <w:szCs w:val="24"/>
        </w:rPr>
        <w:lastRenderedPageBreak/>
        <w:t xml:space="preserve">resected specimen of these patients showed a decreased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after </w:t>
      </w:r>
      <w:proofErr w:type="spellStart"/>
      <w:r w:rsidRPr="00B751AA">
        <w:rPr>
          <w:rFonts w:ascii="Book Antiqua" w:hAnsi="Book Antiqua" w:cs="Arial"/>
          <w:color w:val="000000" w:themeColor="text1"/>
          <w:sz w:val="24"/>
          <w:szCs w:val="24"/>
        </w:rPr>
        <w:t>CTx</w:t>
      </w:r>
      <w:proofErr w:type="spellEnd"/>
      <w:r w:rsidRPr="00B751AA">
        <w:rPr>
          <w:rFonts w:ascii="Book Antiqua" w:hAnsi="Book Antiqua" w:cs="Arial"/>
          <w:color w:val="000000" w:themeColor="text1"/>
          <w:sz w:val="24"/>
          <w:szCs w:val="24"/>
        </w:rPr>
        <w:t>/</w:t>
      </w:r>
      <w:proofErr w:type="spellStart"/>
      <w:r w:rsidRPr="00B751AA">
        <w:rPr>
          <w:rFonts w:ascii="Book Antiqua" w:hAnsi="Book Antiqua" w:cs="Arial"/>
          <w:color w:val="000000" w:themeColor="text1"/>
          <w:sz w:val="24"/>
          <w:szCs w:val="24"/>
        </w:rPr>
        <w:t>RTx</w:t>
      </w:r>
      <w:proofErr w:type="spellEnd"/>
      <w:r w:rsidRPr="00B751AA">
        <w:rPr>
          <w:rFonts w:ascii="Book Antiqua" w:hAnsi="Book Antiqua" w:cs="Arial"/>
          <w:color w:val="000000" w:themeColor="text1"/>
          <w:sz w:val="24"/>
          <w:szCs w:val="24"/>
        </w:rPr>
        <w:t xml:space="preserve">, </w:t>
      </w:r>
      <w:r w:rsidR="00DF0C2A" w:rsidRPr="00B751AA">
        <w:rPr>
          <w:rFonts w:ascii="Book Antiqua" w:hAnsi="Book Antiqua" w:cs="Arial"/>
          <w:i/>
          <w:iCs/>
          <w:color w:val="000000" w:themeColor="text1"/>
          <w:sz w:val="24"/>
          <w:szCs w:val="24"/>
        </w:rPr>
        <w:t>P</w:t>
      </w:r>
      <w:r w:rsidR="00DF0C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&lt;</w:t>
      </w:r>
      <w:r w:rsidR="00BB36A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0.001, examples in Fig</w:t>
      </w:r>
      <w:r w:rsidR="00DF0C2A" w:rsidRPr="00B751AA">
        <w:rPr>
          <w:rFonts w:ascii="Book Antiqua" w:hAnsi="Book Antiqua" w:cs="Arial"/>
          <w:color w:val="000000" w:themeColor="text1"/>
          <w:sz w:val="24"/>
          <w:szCs w:val="24"/>
        </w:rPr>
        <w:t>ure</w:t>
      </w:r>
      <w:r w:rsidRPr="00B751AA">
        <w:rPr>
          <w:rFonts w:ascii="Book Antiqua" w:hAnsi="Book Antiqua" w:cs="Arial"/>
          <w:color w:val="000000" w:themeColor="text1"/>
          <w:sz w:val="24"/>
          <w:szCs w:val="24"/>
        </w:rPr>
        <w:t xml:space="preserve"> 2, survey in Tab</w:t>
      </w:r>
      <w:r w:rsidR="00DF0C2A" w:rsidRPr="00B751AA">
        <w:rPr>
          <w:rFonts w:ascii="Book Antiqua" w:hAnsi="Book Antiqua" w:cs="Arial"/>
          <w:color w:val="000000" w:themeColor="text1"/>
          <w:sz w:val="24"/>
          <w:szCs w:val="24"/>
        </w:rPr>
        <w:t>le</w:t>
      </w:r>
      <w:r w:rsidRPr="00B751AA">
        <w:rPr>
          <w:rFonts w:ascii="Book Antiqua" w:hAnsi="Book Antiqua" w:cs="Arial"/>
          <w:color w:val="000000" w:themeColor="text1"/>
          <w:sz w:val="24"/>
          <w:szCs w:val="24"/>
        </w:rPr>
        <w:t xml:space="preserve"> 5.</w:t>
      </w:r>
    </w:p>
    <w:p w14:paraId="06371949"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0AD1B88D"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fr-FR"/>
        </w:rPr>
      </w:pPr>
      <w:r w:rsidRPr="00B751AA">
        <w:rPr>
          <w:rFonts w:ascii="Book Antiqua" w:hAnsi="Book Antiqua" w:cs="Arial"/>
          <w:b/>
          <w:bCs/>
          <w:i/>
          <w:color w:val="000000" w:themeColor="text1"/>
          <w:sz w:val="24"/>
          <w:szCs w:val="24"/>
          <w:lang w:val="fr-FR"/>
        </w:rPr>
        <w:t xml:space="preserve">Impact of podoplanin expression for prediction of response to neoadjuvant chemoradiation </w:t>
      </w:r>
    </w:p>
    <w:p w14:paraId="2AA1A116" w14:textId="77777777" w:rsidR="00FE6179" w:rsidRPr="00B751AA" w:rsidRDefault="00FE6179" w:rsidP="00B751AA">
      <w:pPr>
        <w:adjustRightInd w:val="0"/>
        <w:snapToGrid w:val="0"/>
        <w:spacing w:after="0" w:line="360" w:lineRule="auto"/>
        <w:jc w:val="both"/>
        <w:rPr>
          <w:rFonts w:ascii="Book Antiqua" w:eastAsia="Symbol" w:hAnsi="Book Antiqua"/>
          <w:color w:val="000000" w:themeColor="text1"/>
          <w:sz w:val="24"/>
          <w:szCs w:val="24"/>
          <w:lang w:val="fr-FR"/>
        </w:rPr>
      </w:pPr>
      <w:r w:rsidRPr="00B751AA">
        <w:rPr>
          <w:rFonts w:ascii="Book Antiqua" w:hAnsi="Book Antiqua" w:cs="Arial"/>
          <w:color w:val="000000" w:themeColor="text1"/>
          <w:sz w:val="24"/>
          <w:szCs w:val="24"/>
          <w:lang w:val="fr-FR"/>
        </w:rPr>
        <w:t xml:space="preserve">There was no significant difference detectable in podoplanin expression between 35 minor and 23 </w:t>
      </w:r>
      <w:r w:rsidR="00DF0C2A" w:rsidRPr="00B751AA">
        <w:rPr>
          <w:rFonts w:ascii="Book Antiqua" w:hAnsi="Book Antiqua" w:cs="Arial"/>
          <w:color w:val="000000" w:themeColor="text1"/>
          <w:sz w:val="24"/>
          <w:szCs w:val="24"/>
          <w:lang w:val="fr-FR"/>
        </w:rPr>
        <w:t>majors</w:t>
      </w:r>
      <w:r w:rsidRPr="00B751AA">
        <w:rPr>
          <w:rFonts w:ascii="Book Antiqua" w:hAnsi="Book Antiqua" w:cs="Arial"/>
          <w:color w:val="000000" w:themeColor="text1"/>
          <w:sz w:val="24"/>
          <w:szCs w:val="24"/>
          <w:lang w:val="fr-FR"/>
        </w:rPr>
        <w:t xml:space="preserve"> responders among 58 ESCC patients (</w:t>
      </w:r>
      <w:r w:rsidR="00DF0C2A" w:rsidRPr="00B751AA">
        <w:rPr>
          <w:rFonts w:ascii="Book Antiqua" w:hAnsi="Book Antiqua" w:cs="Arial"/>
          <w:i/>
          <w:iCs/>
          <w:color w:val="000000" w:themeColor="text1"/>
          <w:sz w:val="24"/>
          <w:szCs w:val="24"/>
          <w:lang w:val="fr-FR"/>
        </w:rPr>
        <w:t>P</w:t>
      </w:r>
      <w:r w:rsidR="00DF0C2A"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w:t>
      </w:r>
      <w:r w:rsidR="00BB36AA" w:rsidRPr="00B751AA">
        <w:rPr>
          <w:rFonts w:ascii="Book Antiqua" w:hAnsi="Book Antiqua" w:cs="Arial"/>
          <w:color w:val="000000" w:themeColor="text1"/>
          <w:sz w:val="24"/>
          <w:szCs w:val="24"/>
          <w:lang w:val="fr-FR"/>
        </w:rPr>
        <w:t xml:space="preserve"> </w:t>
      </w:r>
      <w:r w:rsidRPr="00B751AA">
        <w:rPr>
          <w:rFonts w:ascii="Book Antiqua" w:hAnsi="Book Antiqua" w:cs="Arial"/>
          <w:color w:val="000000" w:themeColor="text1"/>
          <w:sz w:val="24"/>
          <w:szCs w:val="24"/>
          <w:lang w:val="fr-FR"/>
        </w:rPr>
        <w:t xml:space="preserve">0.879). </w:t>
      </w:r>
      <w:r w:rsidRPr="00B751AA">
        <w:rPr>
          <w:rStyle w:val="Absatz-Standardschriftart5"/>
          <w:rFonts w:ascii="Book Antiqua" w:eastAsia="Symbol" w:hAnsi="Book Antiqua" w:cs="Arial"/>
          <w:color w:val="000000" w:themeColor="text1"/>
          <w:sz w:val="24"/>
          <w:szCs w:val="24"/>
          <w:lang w:val="fr-FR"/>
        </w:rPr>
        <w:t xml:space="preserve">Thirty-one of 35 </w:t>
      </w:r>
      <w:r w:rsidR="0055432A" w:rsidRPr="00B751AA">
        <w:rPr>
          <w:rStyle w:val="Absatz-Standardschriftart5"/>
          <w:rFonts w:ascii="Book Antiqua" w:eastAsia="Symbol" w:hAnsi="Book Antiqua" w:cs="Arial"/>
          <w:color w:val="000000" w:themeColor="text1"/>
          <w:sz w:val="24"/>
          <w:szCs w:val="24"/>
          <w:lang w:val="fr-FR"/>
        </w:rPr>
        <w:t>minors</w:t>
      </w:r>
      <w:r w:rsidRPr="00B751AA">
        <w:rPr>
          <w:rStyle w:val="Absatz-Standardschriftart5"/>
          <w:rFonts w:ascii="Book Antiqua" w:eastAsia="Symbol" w:hAnsi="Book Antiqua" w:cs="Arial"/>
          <w:color w:val="000000" w:themeColor="text1"/>
          <w:sz w:val="24"/>
          <w:szCs w:val="24"/>
          <w:lang w:val="fr-FR"/>
        </w:rPr>
        <w:t xml:space="preserve"> responders showed a score 1, 4 of 35 </w:t>
      </w:r>
      <w:r w:rsidR="0055432A" w:rsidRPr="00B751AA">
        <w:rPr>
          <w:rStyle w:val="Absatz-Standardschriftart5"/>
          <w:rFonts w:ascii="Book Antiqua" w:eastAsia="Symbol" w:hAnsi="Book Antiqua" w:cs="Arial"/>
          <w:color w:val="000000" w:themeColor="text1"/>
          <w:sz w:val="24"/>
          <w:szCs w:val="24"/>
          <w:lang w:val="fr-FR"/>
        </w:rPr>
        <w:t xml:space="preserve">Score </w:t>
      </w:r>
      <w:r w:rsidRPr="00B751AA">
        <w:rPr>
          <w:rStyle w:val="Absatz-Standardschriftart5"/>
          <w:rFonts w:ascii="Book Antiqua" w:eastAsia="Symbol" w:hAnsi="Book Antiqua" w:cs="Arial"/>
          <w:color w:val="000000" w:themeColor="text1"/>
          <w:sz w:val="24"/>
          <w:szCs w:val="24"/>
          <w:lang w:val="fr-FR"/>
        </w:rPr>
        <w:t>2 and 3 (&gt;</w:t>
      </w:r>
      <w:r w:rsidR="00BB36AA" w:rsidRPr="00B751AA">
        <w:rPr>
          <w:rStyle w:val="Absatz-Standardschriftart5"/>
          <w:rFonts w:ascii="Book Antiqua" w:eastAsia="Symbol" w:hAnsi="Book Antiqua" w:cs="Arial"/>
          <w:color w:val="000000" w:themeColor="text1"/>
          <w:sz w:val="24"/>
          <w:szCs w:val="24"/>
          <w:lang w:val="fr-FR"/>
        </w:rPr>
        <w:t xml:space="preserve"> </w:t>
      </w:r>
      <w:r w:rsidRPr="00B751AA">
        <w:rPr>
          <w:rStyle w:val="Absatz-Standardschriftart5"/>
          <w:rFonts w:ascii="Book Antiqua" w:eastAsia="Symbol" w:hAnsi="Book Antiqua" w:cs="Arial"/>
          <w:color w:val="000000" w:themeColor="text1"/>
          <w:sz w:val="24"/>
          <w:szCs w:val="24"/>
          <w:lang w:val="fr-FR"/>
        </w:rPr>
        <w:t xml:space="preserve">5% podoplanin expression). Twenty-one of 23 </w:t>
      </w:r>
      <w:r w:rsidR="0052322B" w:rsidRPr="00B751AA">
        <w:rPr>
          <w:rStyle w:val="Absatz-Standardschriftart5"/>
          <w:rFonts w:ascii="Book Antiqua" w:eastAsia="Symbol" w:hAnsi="Book Antiqua" w:cs="Arial"/>
          <w:color w:val="000000" w:themeColor="text1"/>
          <w:sz w:val="24"/>
          <w:szCs w:val="24"/>
          <w:lang w:val="fr-FR"/>
        </w:rPr>
        <w:t>majors</w:t>
      </w:r>
      <w:r w:rsidRPr="00B751AA">
        <w:rPr>
          <w:rStyle w:val="Absatz-Standardschriftart5"/>
          <w:rFonts w:ascii="Book Antiqua" w:eastAsia="Symbol" w:hAnsi="Book Antiqua" w:cs="Arial"/>
          <w:color w:val="000000" w:themeColor="text1"/>
          <w:sz w:val="24"/>
          <w:szCs w:val="24"/>
          <w:lang w:val="fr-FR"/>
        </w:rPr>
        <w:t xml:space="preserve"> responders showed </w:t>
      </w:r>
      <w:r w:rsidR="0055432A" w:rsidRPr="00B751AA">
        <w:rPr>
          <w:rStyle w:val="Absatz-Standardschriftart5"/>
          <w:rFonts w:ascii="Book Antiqua" w:eastAsia="Symbol" w:hAnsi="Book Antiqua" w:cs="Arial"/>
          <w:color w:val="000000" w:themeColor="text1"/>
          <w:sz w:val="24"/>
          <w:szCs w:val="24"/>
          <w:lang w:val="fr-FR"/>
        </w:rPr>
        <w:t xml:space="preserve">Score </w:t>
      </w:r>
      <w:r w:rsidRPr="00B751AA">
        <w:rPr>
          <w:rStyle w:val="Absatz-Standardschriftart5"/>
          <w:rFonts w:ascii="Book Antiqua" w:eastAsia="Symbol" w:hAnsi="Book Antiqua" w:cs="Arial"/>
          <w:color w:val="000000" w:themeColor="text1"/>
          <w:sz w:val="24"/>
          <w:szCs w:val="24"/>
          <w:lang w:val="fr-FR"/>
        </w:rPr>
        <w:t xml:space="preserve">1, 2 of 23 </w:t>
      </w:r>
      <w:r w:rsidR="0055432A" w:rsidRPr="00B751AA">
        <w:rPr>
          <w:rStyle w:val="Absatz-Standardschriftart5"/>
          <w:rFonts w:ascii="Book Antiqua" w:eastAsia="Symbol" w:hAnsi="Book Antiqua" w:cs="Arial"/>
          <w:color w:val="000000" w:themeColor="text1"/>
          <w:sz w:val="24"/>
          <w:szCs w:val="24"/>
          <w:lang w:val="fr-FR"/>
        </w:rPr>
        <w:t xml:space="preserve">Score </w:t>
      </w:r>
      <w:r w:rsidRPr="00B751AA">
        <w:rPr>
          <w:rStyle w:val="Absatz-Standardschriftart5"/>
          <w:rFonts w:ascii="Book Antiqua" w:eastAsia="Symbol" w:hAnsi="Book Antiqua" w:cs="Arial"/>
          <w:color w:val="000000" w:themeColor="text1"/>
          <w:sz w:val="24"/>
          <w:szCs w:val="24"/>
          <w:lang w:val="fr-FR"/>
        </w:rPr>
        <w:t>2.</w:t>
      </w:r>
    </w:p>
    <w:p w14:paraId="15AD94BF"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fr-FR"/>
        </w:rPr>
      </w:pPr>
    </w:p>
    <w:p w14:paraId="3F302F5D" w14:textId="77777777" w:rsidR="00FE6179" w:rsidRPr="00B751AA" w:rsidRDefault="00FE6179" w:rsidP="00B751AA">
      <w:pPr>
        <w:adjustRightInd w:val="0"/>
        <w:snapToGrid w:val="0"/>
        <w:spacing w:after="0" w:line="360" w:lineRule="auto"/>
        <w:jc w:val="both"/>
        <w:rPr>
          <w:rFonts w:ascii="Book Antiqua" w:hAnsi="Book Antiqua" w:cs="Arial"/>
          <w:b/>
          <w:bCs/>
          <w:i/>
          <w:color w:val="000000" w:themeColor="text1"/>
          <w:sz w:val="24"/>
          <w:szCs w:val="24"/>
          <w:lang w:val="fr-FR"/>
        </w:rPr>
      </w:pPr>
      <w:r w:rsidRPr="00B751AA">
        <w:rPr>
          <w:rFonts w:ascii="Book Antiqua" w:hAnsi="Book Antiqua" w:cs="Arial"/>
          <w:b/>
          <w:bCs/>
          <w:i/>
          <w:color w:val="000000" w:themeColor="text1"/>
          <w:sz w:val="24"/>
          <w:szCs w:val="24"/>
          <w:lang w:val="fr-FR"/>
        </w:rPr>
        <w:t>Expression of miR-363 and podoplanin</w:t>
      </w:r>
    </w:p>
    <w:p w14:paraId="3695E3AB" w14:textId="77777777" w:rsidR="00FE6179" w:rsidRPr="00B751AA" w:rsidRDefault="00FE6179" w:rsidP="00B751AA">
      <w:pPr>
        <w:adjustRightInd w:val="0"/>
        <w:snapToGrid w:val="0"/>
        <w:spacing w:after="0" w:line="360" w:lineRule="auto"/>
        <w:ind w:hanging="37"/>
        <w:jc w:val="both"/>
        <w:rPr>
          <w:rFonts w:ascii="Book Antiqua" w:hAnsi="Book Antiqua" w:cs="Arial"/>
          <w:color w:val="000000" w:themeColor="text1"/>
          <w:sz w:val="24"/>
          <w:szCs w:val="24"/>
          <w:lang w:val="fr-FR"/>
        </w:rPr>
      </w:pPr>
      <w:r w:rsidRPr="00B751AA">
        <w:rPr>
          <w:rFonts w:ascii="Book Antiqua" w:hAnsi="Book Antiqua" w:cs="Arial"/>
          <w:color w:val="000000" w:themeColor="text1"/>
          <w:sz w:val="24"/>
          <w:szCs w:val="24"/>
          <w:lang w:val="fr-FR"/>
        </w:rPr>
        <w:t xml:space="preserve">To examine a potential role of miR-363 for post-transcriptional control of podoplanin up-regulation in ESCC, miR-363 expression has been quantified and compared to the expression level of podoplanin protein in resected tissues of 29 ESCC and 19 EAC patients </w:t>
      </w:r>
      <w:r w:rsidR="0055432A" w:rsidRPr="00B751AA">
        <w:rPr>
          <w:rFonts w:ascii="Book Antiqua" w:hAnsi="Book Antiqua" w:cs="Arial"/>
          <w:color w:val="000000" w:themeColor="text1"/>
          <w:sz w:val="24"/>
          <w:szCs w:val="24"/>
          <w:lang w:val="fr-FR"/>
        </w:rPr>
        <w:t>–</w:t>
      </w:r>
      <w:r w:rsidRPr="00B751AA">
        <w:rPr>
          <w:rFonts w:ascii="Book Antiqua" w:hAnsi="Book Antiqua" w:cs="Arial"/>
          <w:color w:val="000000" w:themeColor="text1"/>
          <w:sz w:val="24"/>
          <w:szCs w:val="24"/>
          <w:lang w:val="fr-FR"/>
        </w:rPr>
        <w:t xml:space="preserve"> all patients without neoadjuvant therapy. </w:t>
      </w:r>
      <w:r w:rsidRPr="00B751AA">
        <w:rPr>
          <w:rFonts w:ascii="Book Antiqua" w:hAnsi="Book Antiqua" w:cs="Arial"/>
          <w:color w:val="000000" w:themeColor="text1"/>
          <w:sz w:val="24"/>
          <w:szCs w:val="24"/>
        </w:rPr>
        <w:t xml:space="preserve">There was no significant difference in miR-363 expression between EAC </w:t>
      </w:r>
      <w:r w:rsidRPr="00B751AA">
        <w:rPr>
          <w:rFonts w:ascii="Book Antiqua" w:hAnsi="Book Antiqua" w:cs="Arial"/>
          <w:i/>
          <w:iCs/>
          <w:color w:val="000000" w:themeColor="text1"/>
          <w:sz w:val="24"/>
          <w:szCs w:val="24"/>
        </w:rPr>
        <w:t>n</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19 and ESCC </w:t>
      </w:r>
      <w:r w:rsidRPr="00B751AA">
        <w:rPr>
          <w:rFonts w:ascii="Book Antiqua" w:hAnsi="Book Antiqua" w:cs="Arial"/>
          <w:i/>
          <w:iCs/>
          <w:color w:val="000000" w:themeColor="text1"/>
          <w:sz w:val="24"/>
          <w:szCs w:val="24"/>
        </w:rPr>
        <w:t>n</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29 patient groups. miR-363 expression was not associated to histological tumor types. Median miRNA-363 expression was 8.4 (min-max: 1.05-303) in ESCC and 7.07 (min-max: 1.7-42.5) in EAC patients</w:t>
      </w:r>
      <w:r w:rsidRPr="00B751AA">
        <w:rPr>
          <w:rFonts w:ascii="Book Antiqua" w:hAnsi="Book Antiqua"/>
          <w:bCs/>
          <w:color w:val="000000" w:themeColor="text1"/>
          <w:sz w:val="24"/>
          <w:szCs w:val="24"/>
          <w:lang w:val="en-GB"/>
        </w:rPr>
        <w:t>.</w:t>
      </w:r>
    </w:p>
    <w:p w14:paraId="2F4BEBA4" w14:textId="77777777" w:rsidR="00FE6179" w:rsidRPr="00B751AA" w:rsidRDefault="00FE6179" w:rsidP="00B751AA">
      <w:pPr>
        <w:adjustRightInd w:val="0"/>
        <w:snapToGrid w:val="0"/>
        <w:spacing w:after="0" w:line="360" w:lineRule="auto"/>
        <w:ind w:firstLineChars="50" w:firstLine="120"/>
        <w:jc w:val="both"/>
        <w:rPr>
          <w:rFonts w:ascii="Book Antiqua" w:hAnsi="Book Antiqua" w:cs="Arial"/>
          <w:color w:val="000000" w:themeColor="text1"/>
          <w:sz w:val="24"/>
          <w:szCs w:val="24"/>
          <w:lang w:val="fr-FR"/>
        </w:rPr>
      </w:pPr>
      <w:r w:rsidRPr="00B751AA">
        <w:rPr>
          <w:rFonts w:ascii="Book Antiqua" w:hAnsi="Book Antiqua" w:cs="Arial"/>
          <w:color w:val="000000" w:themeColor="text1"/>
          <w:sz w:val="24"/>
          <w:szCs w:val="24"/>
          <w:lang w:val="fr-FR"/>
        </w:rPr>
        <w:t>The association between miR-363 and podoplanin expression in the study group of ESCC patients without neoadjuvant treatment is shown as boxplots, Fig</w:t>
      </w:r>
      <w:r w:rsidR="0055432A" w:rsidRPr="00B751AA">
        <w:rPr>
          <w:rFonts w:ascii="Book Antiqua" w:hAnsi="Book Antiqua" w:cs="Arial"/>
          <w:color w:val="000000" w:themeColor="text1"/>
          <w:sz w:val="24"/>
          <w:szCs w:val="24"/>
          <w:lang w:val="fr-FR"/>
        </w:rPr>
        <w:t>ure</w:t>
      </w:r>
      <w:r w:rsidRPr="00B751AA">
        <w:rPr>
          <w:rFonts w:ascii="Book Antiqua" w:hAnsi="Book Antiqua" w:cs="Arial"/>
          <w:color w:val="000000" w:themeColor="text1"/>
          <w:sz w:val="24"/>
          <w:szCs w:val="24"/>
          <w:lang w:val="fr-FR"/>
        </w:rPr>
        <w:t xml:space="preserve"> 3. An up-regulated podoplanin expression has been detected to be associated with a lower miR-363 expression. </w:t>
      </w:r>
      <w:r w:rsidRPr="00B751AA">
        <w:rPr>
          <w:rFonts w:ascii="Book Antiqua" w:hAnsi="Book Antiqua"/>
          <w:bCs/>
          <w:color w:val="000000" w:themeColor="text1"/>
          <w:sz w:val="24"/>
          <w:szCs w:val="24"/>
          <w:lang w:val="en-GB"/>
        </w:rPr>
        <w:t xml:space="preserve">Subgrouping of ESCC patients by </w:t>
      </w:r>
      <w:proofErr w:type="spellStart"/>
      <w:r w:rsidRPr="00B751AA">
        <w:rPr>
          <w:rFonts w:ascii="Book Antiqua" w:hAnsi="Book Antiqua"/>
          <w:bCs/>
          <w:color w:val="000000" w:themeColor="text1"/>
          <w:sz w:val="24"/>
          <w:szCs w:val="24"/>
          <w:lang w:val="en-GB"/>
        </w:rPr>
        <w:t>podoplanin</w:t>
      </w:r>
      <w:proofErr w:type="spellEnd"/>
      <w:r w:rsidRPr="00B751AA">
        <w:rPr>
          <w:rFonts w:ascii="Book Antiqua" w:hAnsi="Book Antiqua"/>
          <w:bCs/>
          <w:color w:val="000000" w:themeColor="text1"/>
          <w:sz w:val="24"/>
          <w:szCs w:val="24"/>
          <w:lang w:val="en-GB"/>
        </w:rPr>
        <w:t xml:space="preserve"> expression of 0-5</w:t>
      </w:r>
      <w:r w:rsidR="0052322B">
        <w:rPr>
          <w:rFonts w:ascii="Book Antiqua" w:hAnsi="Book Antiqua"/>
          <w:bCs/>
          <w:color w:val="000000" w:themeColor="text1"/>
          <w:sz w:val="24"/>
          <w:szCs w:val="24"/>
          <w:lang w:val="en-GB"/>
        </w:rPr>
        <w:t>%</w:t>
      </w:r>
      <w:r w:rsidRPr="00B751AA">
        <w:rPr>
          <w:rFonts w:ascii="Book Antiqua" w:hAnsi="Book Antiqua"/>
          <w:bCs/>
          <w:color w:val="000000" w:themeColor="text1"/>
          <w:sz w:val="24"/>
          <w:szCs w:val="24"/>
          <w:lang w:val="en-GB"/>
        </w:rPr>
        <w:t xml:space="preserve"> and HPE resulted in a trend of a correlation between expression of miR-363 and </w:t>
      </w:r>
      <w:proofErr w:type="spellStart"/>
      <w:r w:rsidRPr="00B751AA">
        <w:rPr>
          <w:rFonts w:ascii="Book Antiqua" w:hAnsi="Book Antiqua"/>
          <w:bCs/>
          <w:color w:val="000000" w:themeColor="text1"/>
          <w:sz w:val="24"/>
          <w:szCs w:val="24"/>
          <w:lang w:val="en-GB"/>
        </w:rPr>
        <w:t>podoplanin</w:t>
      </w:r>
      <w:proofErr w:type="spellEnd"/>
      <w:r w:rsidRPr="00B751AA">
        <w:rPr>
          <w:rFonts w:ascii="Book Antiqua" w:hAnsi="Book Antiqua"/>
          <w:bCs/>
          <w:color w:val="000000" w:themeColor="text1"/>
          <w:sz w:val="24"/>
          <w:szCs w:val="24"/>
          <w:lang w:val="en-GB"/>
        </w:rPr>
        <w:t xml:space="preserve"> protein:</w:t>
      </w:r>
      <w:r w:rsidRPr="00B751AA">
        <w:rPr>
          <w:rFonts w:ascii="Book Antiqua" w:hAnsi="Book Antiqua" w:cs="Arial"/>
          <w:color w:val="000000" w:themeColor="text1"/>
          <w:sz w:val="24"/>
          <w:szCs w:val="24"/>
        </w:rPr>
        <w:t xml:space="preserve"> 0-5% </w:t>
      </w:r>
      <w:r w:rsidRPr="00B751AA">
        <w:rPr>
          <w:rFonts w:ascii="Book Antiqua" w:hAnsi="Book Antiqua" w:cs="Arial"/>
          <w:i/>
          <w:iCs/>
          <w:color w:val="000000" w:themeColor="text1"/>
          <w:sz w:val="24"/>
          <w:szCs w:val="24"/>
        </w:rPr>
        <w:t>n</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14: median miR-363 12.7 (min</w:t>
      </w:r>
      <w:r w:rsidR="0055432A"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max: 3.0</w:t>
      </w:r>
      <w:r w:rsidR="0055432A"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303), &gt;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5%: </w:t>
      </w:r>
      <w:r w:rsidRPr="00B751AA">
        <w:rPr>
          <w:rFonts w:ascii="Book Antiqua" w:hAnsi="Book Antiqua" w:cs="Arial"/>
          <w:i/>
          <w:iCs/>
          <w:color w:val="000000" w:themeColor="text1"/>
          <w:sz w:val="24"/>
          <w:szCs w:val="24"/>
        </w:rPr>
        <w:t>n</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15: median miR-363 6.1 (min</w:t>
      </w:r>
      <w:r w:rsidR="0055432A"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max: 1.05</w:t>
      </w:r>
      <w:r w:rsidR="0055432A" w:rsidRPr="00B751AA">
        <w:rPr>
          <w:rFonts w:ascii="Book Antiqua" w:hAnsi="Book Antiqua" w:cs="Arial"/>
          <w:color w:val="000000" w:themeColor="text1"/>
          <w:sz w:val="24"/>
          <w:szCs w:val="24"/>
        </w:rPr>
        <w:t>-</w:t>
      </w:r>
      <w:r w:rsidRPr="00B751AA">
        <w:rPr>
          <w:rFonts w:ascii="Book Antiqua" w:hAnsi="Book Antiqua" w:cs="Arial"/>
          <w:color w:val="000000" w:themeColor="text1"/>
          <w:sz w:val="24"/>
          <w:szCs w:val="24"/>
        </w:rPr>
        <w:t>131).</w:t>
      </w:r>
    </w:p>
    <w:p w14:paraId="0E9BC839"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eastAsia="de-DE"/>
        </w:rPr>
      </w:pPr>
      <w:r w:rsidRPr="00B751AA">
        <w:rPr>
          <w:rFonts w:ascii="Book Antiqua" w:hAnsi="Book Antiqua" w:cs="Arial"/>
          <w:color w:val="000000" w:themeColor="text1"/>
          <w:sz w:val="24"/>
          <w:szCs w:val="24"/>
          <w:lang w:eastAsia="de-DE"/>
        </w:rPr>
        <w:t xml:space="preserve">Patients with lower miR-363 expression had a worse prognosis compared to those with higher miR-363 expression. We identified a prognostic relevant cut-off value for miR-363. Patients without distant metastases with miR-363 </w:t>
      </w:r>
      <w:r w:rsidRPr="00B751AA">
        <w:rPr>
          <w:rFonts w:ascii="Book Antiqua" w:hAnsi="Book Antiqua" w:cs="Arial"/>
          <w:color w:val="000000" w:themeColor="text1"/>
          <w:sz w:val="24"/>
          <w:szCs w:val="24"/>
          <w:lang w:eastAsia="de-DE"/>
        </w:rPr>
        <w:lastRenderedPageBreak/>
        <w:t>expression &lt;</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7 (</w:t>
      </w:r>
      <w:r w:rsidRPr="00B751AA">
        <w:rPr>
          <w:rFonts w:ascii="Book Antiqua" w:hAnsi="Book Antiqua" w:cs="Arial"/>
          <w:i/>
          <w:iCs/>
          <w:color w:val="000000" w:themeColor="text1"/>
          <w:sz w:val="24"/>
          <w:szCs w:val="24"/>
          <w:lang w:eastAsia="de-DE"/>
        </w:rPr>
        <w:t>n</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 xml:space="preserve">10) had a significantly worse prognosis than patients with </w:t>
      </w:r>
      <w:proofErr w:type="spellStart"/>
      <w:r w:rsidRPr="00B751AA">
        <w:rPr>
          <w:rFonts w:ascii="Book Antiqua" w:hAnsi="Book Antiqua" w:cs="Arial"/>
          <w:color w:val="000000" w:themeColor="text1"/>
          <w:sz w:val="24"/>
          <w:szCs w:val="24"/>
          <w:lang w:eastAsia="de-DE"/>
        </w:rPr>
        <w:t>miR</w:t>
      </w:r>
      <w:proofErr w:type="spellEnd"/>
      <w:r w:rsidRPr="00B751AA">
        <w:rPr>
          <w:rFonts w:ascii="Book Antiqua" w:hAnsi="Book Antiqua" w:cs="Arial"/>
          <w:color w:val="000000" w:themeColor="text1"/>
          <w:sz w:val="24"/>
          <w:szCs w:val="24"/>
          <w:lang w:eastAsia="de-DE"/>
        </w:rPr>
        <w:t xml:space="preserve"> expression </w:t>
      </w:r>
      <w:r w:rsidR="0055432A" w:rsidRPr="00B751AA">
        <w:rPr>
          <w:rFonts w:ascii="Book Antiqua" w:hAnsi="Book Antiqua" w:cs="Arial"/>
          <w:bCs/>
          <w:color w:val="000000" w:themeColor="text1"/>
          <w:sz w:val="24"/>
          <w:szCs w:val="24"/>
          <w:lang w:val="en-GB"/>
        </w:rPr>
        <w:t xml:space="preserve">≥ </w:t>
      </w:r>
      <w:r w:rsidRPr="00B751AA">
        <w:rPr>
          <w:rFonts w:ascii="Book Antiqua" w:hAnsi="Book Antiqua" w:cs="Arial"/>
          <w:color w:val="000000" w:themeColor="text1"/>
          <w:sz w:val="24"/>
          <w:szCs w:val="24"/>
          <w:lang w:eastAsia="de-DE"/>
        </w:rPr>
        <w:t>7 (</w:t>
      </w:r>
      <w:r w:rsidRPr="00B751AA">
        <w:rPr>
          <w:rFonts w:ascii="Book Antiqua" w:hAnsi="Book Antiqua" w:cs="Arial"/>
          <w:i/>
          <w:iCs/>
          <w:color w:val="000000" w:themeColor="text1"/>
          <w:sz w:val="24"/>
          <w:szCs w:val="24"/>
          <w:lang w:eastAsia="de-DE"/>
        </w:rPr>
        <w:t>n</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 xml:space="preserve">16), </w:t>
      </w:r>
      <w:r w:rsidR="0055432A" w:rsidRPr="00B751AA">
        <w:rPr>
          <w:rFonts w:ascii="Book Antiqua" w:hAnsi="Book Antiqua" w:cs="Arial"/>
          <w:i/>
          <w:iCs/>
          <w:color w:val="000000" w:themeColor="text1"/>
          <w:sz w:val="24"/>
          <w:szCs w:val="24"/>
          <w:lang w:eastAsia="de-DE"/>
        </w:rPr>
        <w:t>P</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w:t>
      </w:r>
      <w:r w:rsidR="0055432A"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lang w:eastAsia="de-DE"/>
        </w:rPr>
        <w:t>0.049. (Fig</w:t>
      </w:r>
      <w:r w:rsidR="0055432A" w:rsidRPr="00B751AA">
        <w:rPr>
          <w:rFonts w:ascii="Book Antiqua" w:hAnsi="Book Antiqua" w:cs="Arial"/>
          <w:color w:val="000000" w:themeColor="text1"/>
          <w:sz w:val="24"/>
          <w:szCs w:val="24"/>
          <w:lang w:eastAsia="de-DE"/>
        </w:rPr>
        <w:t xml:space="preserve">ure </w:t>
      </w:r>
      <w:r w:rsidRPr="00B751AA">
        <w:rPr>
          <w:rFonts w:ascii="Book Antiqua" w:hAnsi="Book Antiqua" w:cs="Arial"/>
          <w:color w:val="000000" w:themeColor="text1"/>
          <w:sz w:val="24"/>
          <w:szCs w:val="24"/>
          <w:lang w:eastAsia="de-DE"/>
        </w:rPr>
        <w:t>4).</w:t>
      </w:r>
      <w:r w:rsidRPr="00B751AA">
        <w:rPr>
          <w:rFonts w:ascii="Book Antiqua" w:hAnsi="Book Antiqua" w:cs="Arial"/>
          <w:color w:val="000000" w:themeColor="text1"/>
          <w:sz w:val="24"/>
          <w:szCs w:val="24"/>
        </w:rPr>
        <w:t xml:space="preserve"> Based on this cut-off value for</w:t>
      </w:r>
      <w:r w:rsidRPr="00B751AA">
        <w:rPr>
          <w:rFonts w:ascii="Book Antiqua" w:hAnsi="Book Antiqua"/>
          <w:bCs/>
          <w:color w:val="000000" w:themeColor="text1"/>
          <w:sz w:val="24"/>
          <w:szCs w:val="24"/>
          <w:lang w:val="en-GB"/>
        </w:rPr>
        <w:t xml:space="preserve"> miR-363 expression of </w:t>
      </w:r>
      <w:r w:rsidRPr="00B751AA">
        <w:rPr>
          <w:rFonts w:ascii="Book Antiqua" w:hAnsi="Book Antiqua" w:cs="Arial"/>
          <w:color w:val="000000" w:themeColor="text1"/>
          <w:sz w:val="24"/>
          <w:szCs w:val="24"/>
        </w:rPr>
        <w:t>7, the lower miR-363 expression (</w:t>
      </w:r>
      <w:r w:rsidRPr="00B751AA">
        <w:rPr>
          <w:rFonts w:ascii="Book Antiqua" w:hAnsi="Book Antiqua"/>
          <w:color w:val="000000" w:themeColor="text1"/>
          <w:sz w:val="24"/>
          <w:szCs w:val="24"/>
        </w:rPr>
        <w:t>miR-363 &lt;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 xml:space="preserve">7: </w:t>
      </w:r>
      <w:r w:rsidRPr="00B751AA">
        <w:rPr>
          <w:rFonts w:ascii="Book Antiqua" w:hAnsi="Book Antiqua"/>
          <w:i/>
          <w:iCs/>
          <w:color w:val="000000" w:themeColor="text1"/>
          <w:sz w:val="24"/>
          <w:szCs w:val="24"/>
        </w:rPr>
        <w:t>n</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 xml:space="preserve">9) </w:t>
      </w:r>
      <w:r w:rsidRPr="00B751AA">
        <w:rPr>
          <w:rFonts w:ascii="Book Antiqua" w:hAnsi="Book Antiqua" w:cs="Arial"/>
          <w:color w:val="000000" w:themeColor="text1"/>
          <w:sz w:val="24"/>
          <w:szCs w:val="24"/>
        </w:rPr>
        <w:t>was associated with HPE</w:t>
      </w:r>
      <w:r w:rsidRPr="00B751AA">
        <w:rPr>
          <w:rFonts w:ascii="Book Antiqua" w:hAnsi="Book Antiqua"/>
          <w:color w:val="000000" w:themeColor="text1"/>
          <w:sz w:val="24"/>
          <w:szCs w:val="24"/>
        </w:rPr>
        <w:t xml:space="preserve"> (</w:t>
      </w:r>
      <w:r w:rsidRPr="00B751AA">
        <w:rPr>
          <w:rFonts w:ascii="Book Antiqua" w:hAnsi="Book Antiqua"/>
          <w:i/>
          <w:iCs/>
          <w:color w:val="000000" w:themeColor="text1"/>
          <w:sz w:val="24"/>
          <w:szCs w:val="24"/>
        </w:rPr>
        <w:t>n</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15). Six of these</w:t>
      </w:r>
      <w:r w:rsidRPr="00B751AA">
        <w:rPr>
          <w:rFonts w:ascii="Book Antiqua" w:hAnsi="Book Antiqua" w:cs="Arial"/>
          <w:color w:val="000000" w:themeColor="text1"/>
          <w:sz w:val="24"/>
          <w:szCs w:val="24"/>
        </w:rPr>
        <w:t xml:space="preserve"> 15 non-pretreated ESCC patients showed </w:t>
      </w:r>
      <w:r w:rsidRPr="00B751AA">
        <w:rPr>
          <w:rFonts w:ascii="Book Antiqua" w:hAnsi="Book Antiqua"/>
          <w:color w:val="000000" w:themeColor="text1"/>
          <w:sz w:val="24"/>
          <w:szCs w:val="24"/>
        </w:rPr>
        <w:t xml:space="preserve">miR-363 expression </w:t>
      </w:r>
      <w:r w:rsidR="0055432A" w:rsidRPr="00B751AA">
        <w:rPr>
          <w:rFonts w:ascii="Book Antiqua" w:hAnsi="Book Antiqua" w:cs="Arial"/>
          <w:bCs/>
          <w:color w:val="000000" w:themeColor="text1"/>
          <w:sz w:val="24"/>
          <w:szCs w:val="24"/>
          <w:lang w:val="en-GB"/>
        </w:rPr>
        <w:t xml:space="preserve">≥ </w:t>
      </w:r>
      <w:r w:rsidRPr="00B751AA">
        <w:rPr>
          <w:rFonts w:ascii="Book Antiqua" w:hAnsi="Book Antiqua"/>
          <w:color w:val="000000" w:themeColor="text1"/>
          <w:sz w:val="24"/>
          <w:szCs w:val="24"/>
        </w:rPr>
        <w:t xml:space="preserve">7 in </w:t>
      </w:r>
      <w:r w:rsidRPr="00B751AA">
        <w:rPr>
          <w:rFonts w:ascii="Book Antiqua" w:hAnsi="Book Antiqua" w:cs="Arial"/>
          <w:color w:val="000000" w:themeColor="text1"/>
          <w:sz w:val="24"/>
          <w:szCs w:val="24"/>
        </w:rPr>
        <w:t xml:space="preserve">resected tissue specimen. miR-363 expression </w:t>
      </w:r>
      <w:r w:rsidR="0055432A" w:rsidRPr="00B751AA">
        <w:rPr>
          <w:rFonts w:ascii="Book Antiqua" w:hAnsi="Book Antiqua" w:cs="Arial"/>
          <w:bCs/>
          <w:color w:val="000000" w:themeColor="text1"/>
          <w:sz w:val="24"/>
          <w:szCs w:val="24"/>
          <w:lang w:val="en-GB"/>
        </w:rPr>
        <w:t xml:space="preserve">≥ </w:t>
      </w:r>
      <w:r w:rsidRPr="00B751AA">
        <w:rPr>
          <w:rFonts w:ascii="Book Antiqua" w:hAnsi="Book Antiqua"/>
          <w:color w:val="000000" w:themeColor="text1"/>
          <w:sz w:val="24"/>
          <w:szCs w:val="24"/>
        </w:rPr>
        <w:t>7 (</w:t>
      </w:r>
      <w:r w:rsidRPr="00B751AA">
        <w:rPr>
          <w:rFonts w:ascii="Book Antiqua" w:hAnsi="Book Antiqua"/>
          <w:i/>
          <w:iCs/>
          <w:color w:val="000000" w:themeColor="text1"/>
          <w:sz w:val="24"/>
          <w:szCs w:val="24"/>
        </w:rPr>
        <w:t>n</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 xml:space="preserve">12) </w:t>
      </w:r>
      <w:r w:rsidRPr="00B751AA">
        <w:rPr>
          <w:rFonts w:ascii="Book Antiqua" w:hAnsi="Book Antiqua" w:cs="Arial"/>
          <w:color w:val="000000" w:themeColor="text1"/>
          <w:sz w:val="24"/>
          <w:szCs w:val="24"/>
        </w:rPr>
        <w:t>was</w:t>
      </w:r>
      <w:r w:rsidRPr="00B751AA">
        <w:rPr>
          <w:rFonts w:ascii="Book Antiqua" w:hAnsi="Book Antiqua"/>
          <w:color w:val="000000" w:themeColor="text1"/>
          <w:sz w:val="24"/>
          <w:szCs w:val="24"/>
        </w:rPr>
        <w:t xml:space="preserve"> associated with a low </w:t>
      </w:r>
      <w:proofErr w:type="spellStart"/>
      <w:r w:rsidRPr="00B751AA">
        <w:rPr>
          <w:rFonts w:ascii="Book Antiqua" w:hAnsi="Book Antiqua"/>
          <w:color w:val="000000" w:themeColor="text1"/>
          <w:sz w:val="24"/>
          <w:szCs w:val="24"/>
        </w:rPr>
        <w:t>podoplanin</w:t>
      </w:r>
      <w:proofErr w:type="spellEnd"/>
      <w:r w:rsidRPr="00B751AA">
        <w:rPr>
          <w:rFonts w:ascii="Book Antiqua" w:hAnsi="Book Antiqua"/>
          <w:color w:val="000000" w:themeColor="text1"/>
          <w:sz w:val="24"/>
          <w:szCs w:val="24"/>
        </w:rPr>
        <w:t xml:space="preserve"> expression of 0-5% </w:t>
      </w:r>
      <w:r w:rsidRPr="00B751AA">
        <w:rPr>
          <w:rFonts w:ascii="Book Antiqua" w:hAnsi="Book Antiqua"/>
          <w:i/>
          <w:iCs/>
          <w:color w:val="000000" w:themeColor="text1"/>
          <w:sz w:val="24"/>
          <w:szCs w:val="24"/>
        </w:rPr>
        <w:t>n</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w:t>
      </w:r>
      <w:r w:rsidR="0055432A" w:rsidRPr="00B751AA">
        <w:rPr>
          <w:rFonts w:ascii="Book Antiqua" w:hAnsi="Book Antiqua"/>
          <w:color w:val="000000" w:themeColor="text1"/>
          <w:sz w:val="24"/>
          <w:szCs w:val="24"/>
        </w:rPr>
        <w:t xml:space="preserve"> </w:t>
      </w:r>
      <w:r w:rsidRPr="00B751AA">
        <w:rPr>
          <w:rFonts w:ascii="Book Antiqua" w:hAnsi="Book Antiqua"/>
          <w:color w:val="000000" w:themeColor="text1"/>
          <w:sz w:val="24"/>
          <w:szCs w:val="24"/>
        </w:rPr>
        <w:t xml:space="preserve">14, </w:t>
      </w:r>
      <w:r w:rsidRPr="00B751AA">
        <w:rPr>
          <w:rFonts w:ascii="Book Antiqua" w:hAnsi="Book Antiqua" w:cs="Arial"/>
          <w:color w:val="000000" w:themeColor="text1"/>
          <w:sz w:val="24"/>
          <w:szCs w:val="24"/>
        </w:rPr>
        <w:t>(</w:t>
      </w:r>
      <w:r w:rsidR="0055432A" w:rsidRPr="00B751AA">
        <w:rPr>
          <w:rFonts w:ascii="Book Antiqua" w:hAnsi="Book Antiqua" w:cs="Arial"/>
          <w:i/>
          <w:iCs/>
          <w:color w:val="000000" w:themeColor="text1"/>
          <w:sz w:val="24"/>
          <w:szCs w:val="24"/>
        </w:rPr>
        <w:t>P</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0.011). Only two of these 12 patients with low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expressed miR-363 &lt;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7. </w:t>
      </w:r>
      <w:r w:rsidRPr="00B751AA">
        <w:rPr>
          <w:rFonts w:ascii="Book Antiqua" w:hAnsi="Book Antiqua"/>
          <w:color w:val="000000" w:themeColor="text1"/>
          <w:sz w:val="24"/>
          <w:szCs w:val="24"/>
        </w:rPr>
        <w:tab/>
      </w:r>
    </w:p>
    <w:p w14:paraId="095CFDCA" w14:textId="77777777" w:rsidR="00FE6179" w:rsidRPr="00B751AA" w:rsidRDefault="00FE6179" w:rsidP="00B751AA">
      <w:pPr>
        <w:adjustRightInd w:val="0"/>
        <w:snapToGrid w:val="0"/>
        <w:spacing w:after="0" w:line="360" w:lineRule="auto"/>
        <w:jc w:val="both"/>
        <w:rPr>
          <w:rFonts w:ascii="Book Antiqua" w:hAnsi="Book Antiqua" w:cs="Arial"/>
          <w:b/>
          <w:color w:val="000000" w:themeColor="text1"/>
          <w:sz w:val="24"/>
          <w:szCs w:val="24"/>
          <w:lang w:val="fr-FR"/>
        </w:rPr>
      </w:pPr>
    </w:p>
    <w:p w14:paraId="4F80E202" w14:textId="77777777" w:rsidR="00BB36AA" w:rsidRPr="00B751AA" w:rsidRDefault="00BB36AA" w:rsidP="00B751AA">
      <w:pPr>
        <w:adjustRightInd w:val="0"/>
        <w:snapToGrid w:val="0"/>
        <w:spacing w:after="0" w:line="360" w:lineRule="auto"/>
        <w:jc w:val="both"/>
        <w:rPr>
          <w:rFonts w:ascii="Book Antiqua" w:hAnsi="Book Antiqua" w:cstheme="minorHAnsi"/>
          <w:b/>
          <w:sz w:val="24"/>
          <w:szCs w:val="24"/>
          <w:u w:val="single"/>
        </w:rPr>
      </w:pPr>
      <w:r w:rsidRPr="00B751AA">
        <w:rPr>
          <w:rFonts w:ascii="Book Antiqua" w:hAnsi="Book Antiqua" w:cstheme="minorBidi"/>
          <w:b/>
          <w:sz w:val="24"/>
          <w:szCs w:val="24"/>
          <w:u w:val="single"/>
        </w:rPr>
        <w:t>DISCUSSION</w:t>
      </w:r>
    </w:p>
    <w:p w14:paraId="1E6B4656"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The histologically different tumor types EAC and ESCC depend on different risk factors, show biologically different characteristics, and respond with different rates to chemoradiotherapy</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{"citationItems":[{"id":"ITEM-1","itemData":{"DOI":"10.4251/wjgo.v6.i5.112","ISSN":"1948-5204","PMID":"24834141","abstract":"Esophageal cancer is a serious malignancy with regards to mortality and prognosis. It is a growing health concern that is expected to increase in incidence over the next 10 years. Squamous cell carcinoma is the most common histological type of esophageal cancer worldwide, with a higher incidence in developing nations. With the increased prevalence of gastroesophageal reflux disease and obesity in developed nations, the incidence of esophageal adenocarcinoma has dramatically increased in the past 40 years. Esophageal cancer is staged according to the widely accepted TNM system. Staging plays an integral part in guiding stage specific treatment protocols and has a great impact on overall survival. Common imaging modalities used in staging include computed tomography, endoscopic ultrasound and positron emission tomography scans. Current treatment options include multimodality therapy mainstays of current treatment include surgery, radiation and chemotherapy. Tumor markers of esophageal cancer are an advancing area of research that could potentially lead to earlier diagnosis as well as playing a part in assessing tumor response to therapy.","author":[{"dropping-particle":"","family":"Napier","given":"Kyle J","non-dropping-particle":"","parse-names":false,"suffix":""}],"container-title":"World Journal of Gastrointestinal Oncology","id":"ITEM-1","issue":"5","issued":{"date-parts":[["2014","5","15"]]},"page":"112","publisher":"World J Gastrointest Oncol","title":"Esophageal cancer: A Review of epidemiology, pathogenesis, staging workup and treatment modalities","type":"article-journal","volume":"6"},"uris":["http://www.mendeley.com/documents/?uuid=f57ee15c-4c4e-3e35-8152-91c4e57901a1"]},{"id":"ITEM-2","itemData":{"DOI":"10.1158/1055-9965.EPI-12-1347","ISSN":"10559965","PMID":"23549398","abstract":"Esophageal squamous cell carcinoma (ESCC) accounts for 80% of all esophageal cancers worldwide, and esophageal squamous dysplasia (ESD) is the only histopathology that predicts the development of ESCC. The prevalence of ESDparallels rates of invasive ESCC and is typically found in 25% or more of adults above the age of 35 years in populations in north central China, where risk for ESCC is among the highest in the world. Results of chemoprevention and early detection studies to prevent progression of ESD suggest that these approaches, coupled with emerging endoscopic therapies, offer promise for the prevention of esophageal cancer mortality in high-risk populations. Future research on ESD and ESCC should focus on finding additional modifiable risk factors and on identifying biomarkers to incorporate into early detection strategies. © 2013 American Association for Cancer Research.","author":[{"dropping-particle":"","family":"Taylor","given":"Philip R","non-dropping-particle":"","parse-names":false,"suffix":""},{"dropping-particle":"","family":"Abnet","given":"Christian C","non-dropping-particle":"","parse-names":false,"suffix":""},{"dropping-particle":"","family":"Dawsey","given":"Sanford M","non-dropping-particle":"","parse-names":false,"suffix":""}],"container-title":"Cancer Epidemiology Biomarkers and Prevention","id":"ITEM-2","issue":"4","issued":{"date-parts":[["2013","4"]]},"page":"540-552","publisher":"Cancer Epidemiol Biomarkers Prev","title":"Squamous dysplasia-The precursor lesion for esophageal squamous cell carcinoma","type":"article-journal","volume":"22"},"uris":["http://www.mendeley.com/documents/?uuid=5ad835f0-e299-315e-b46b-e4514ff7da69"]}],"mendeley":{"formattedCitation":"&lt;sup&gt;[3,4]&lt;/sup&gt;","plainTextFormattedCitation":"[3,4]","previouslyFormattedCitation":"&lt;sup&gt;[3,4]&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[3,4]</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is one example for the biological diversity between these most frequent histological subtypes of esophageal cancer. Our study confirms data of none to nearly no expression of the transmembrane protein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in EAC patients, and its expression in ESCC patients</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{"citationItems":[{"id":"ITEM-1","itemData":{"DOI":"10.1186/s40880-017-0232-5","ISSN":"1944-446X","PMID":"28818096","abstract":"Esophageal squamous cell carcinoma (ESCC) is an aggressive malignancy, with a high incidence and poor prognosis. In the past several decades, hundreds of proteins have been reported to be associated with the prognosis of ESCC, but none has been widely accepted to guide clinical care. This study aimed to identify proteins with great potential for predicting prognosis of ESCC. We conducted a systematic review on immunohistochemical (IHC) prognostic markers of ESCC according to the 2009 Preferred Reporting Items for Systematic Reviews and Meta-Analyses (PRISMA) Guidelines. Literature related to IHC prognostic markers of ESCC were searched from PubMed, Embase, Web of Science, and Cochrane Library until January 30th, 2017. The risk of bias of these original studies was evaluated using the Quality in Prognosis Studies (QUIPS) tool. We identified 11 emerging IHC markers with reproducible results, including eight markers [epidermal growth factor receptor (EGFR), Cyclin D1, vascular endothelial growth factor (VEGF), Survivin, Podoplanin, Fascin, phosphorylated mammalian target of rapamycin (p-mTOR), and pyruvate kinase M2 (PKM2)] indicating unfavorable prognosis and 3 markers (P27, P16, and E-cadherin) indicating favorable prognosis of ESCC. Strong evidence supports that these 11 emerging IHC markers or their combinations may be useful in predicting prognosis and aiding personalized therapy decision-making for ESCC patients.","author":[{"dropping-particle":"","family":"Wang","given":"Chunni","non-dropping-particle":"","parse-names":false,"suffix":""},{"dropping-particle":"","family":"Wang","given":"Jingnan","non-dropping-particle":"","parse-names":false,"suffix":""},{"dropping-particle":"","family":"Chen","given":"Zhaoli","non-dropping-particle":"","parse-names":false,"suffix":""},{"dropping-particle":"","family":"Gao","given":"Yibo","non-dropping-particle":"","parse-names":false,"suffix":""},{"dropping-particle":"","family":"He","given":"Jie","non-dropping-particle":"","parse-names":false,"suffix":""}],"container-title":"Chinese Journal of Cancer","id":"ITEM-1","issue":"1","issued":{"date-parts":[["2017","8","17"]]},"page":"65","publisher":"Chin J Cancer","title":"Immunohistochemical prognostic markers of esophageal squamous cell carcinoma: a systematic review","type":"article-journal","volume":"36"},"uris":["http://www.mendeley.com/documents/?uuid=06733ecd-5828-35c5-8956-49e23f8db913"]}],"mendeley":{"formattedCitation":"&lt;sup&gt;[22]&lt;/sup&gt;","plainTextFormattedCitation":"[22]","previouslyFormattedCitation":"&lt;sup&gt;[22]&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[22]</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The oncofetal protein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has been described to be re-expressed in squamous cell carcinoma of other tumor entities, as well</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{"citationItems":[{"id":"ITEM-1","itemData":{"DOI":"10.1111/j.1365-2559.2011.04060.x","ISSN":"03090167","PMID":"22175904","abstract":"Aims: It has recently been shown that podoplanin, a mucin-type glycoprotein, is expressed by cancer cells and cancer-associated fibroblasts (CAFs), and promotes cancer cell migration and invasiveness. The biological role of podoplanin expression in tumour stroma of invasive ductal carcinoma of the breast (IDC) has not been determined. Methods and results: Podoplanin expression was analysed in 117 cases of IDC and 27 cases of fibrocystic change, as well as in breast cancer cell lines, with the use of immunohistochemistry and real-time polymerase chain reaction. In 82.1% of analysed tumours, podoplanin was found only in CAFs. Only two of 117 IDC cases (1.7%) were characterized by expression of this glycoprotein in cancer cells. None of the fibrocystic changes or stroma surrounding normal ducts showed podoplanin expression. Podoplanin-positive CAFs correlated with tumour size (P=0.0125), grade of malignancy (P=0.0058), lymph node metastasis (P=0.0149), lymphovascular invasion (LVI) (P=0.0486) and Ki67 expression in cancer cells (P=0.0128). High-level podoplanin expression (&gt;50% of positive stroma) in the tumour stroma was significantly associated with a negative oestrogen status (P=0.0201). Univariate, but not multivariate, analysis showed that podoplanin expression by CAFs was associated with poor patient outcome (P=0.0202). Conclusions: Our results suggest that podoplanin expression by CAFs could be an unfavourable prognostic marker for IDC. © 2011 Blackwell Publishing Limited.","author":[{"dropping-particle":"","family":"Pula","given":"Bartosz","non-dropping-particle":"","parse-names":false,"suffix":""},{"dropping-particle":"","family":"Jethon","given":"Aleksandra","non-dropping-particle":"","parse-names":false,"suffix":""},{"dropping-particle":"","family":"Piotrowska","given":"Aleksandra","non-dropping-particle":"","parse-names":false,"suffix":""},{"dropping-particle":"","family":"Gomulkiewicz","given":"Agnieszka","non-dropping-particle":"","parse-names":false,"suffix":""},{"dropping-particle":"","family":"Owczarek","given":"Tomasz","non-dropping-particle":"","parse-names":false,"suffix":""},{"dropping-particle":"","family":"Calik","given":"Jacek","non-dropping-particle":"","parse-names":false,"suffix":""},{"dropping-particle":"","family":"Wojnar","given":"Andrzej","non-dropping-particle":"","parse-names":false,"suffix":""},{"dropping-particle":"","family":"Witkiewicz","given":"Wojciech","non-dropping-particle":"","parse-names":false,"suffix":""},{"dropping-particle":"","family":"Rys","given":"Janusz","non-dropping-particle":"","parse-names":false,"suffix":""},{"dropping-particle":"","family":"Ugorski","given":"Maciej","non-dropping-particle":"","parse-names":false,"suffix":""},{"dropping-particle":"","family":"Dziegiel","given":"Piotr","non-dropping-particle":"","parse-names":false,"suffix":""},{"dropping-particle":"","family":"Podhorska-Okolow","given":"Marzena","non-dropping-particle":"","parse-names":false,"suffix":""}],"container-title":"Histopathology","id":"ITEM-1","issue":"6","issued":{"date-parts":[["2011","12"]]},"page":"1249-1260","publisher":"Histopathology","title":"Podoplanin expression by cancer-associated fibroblasts predicts poor outcome in invasive ductal breast carcinoma","type":"article-journal","volume":"59"},"uris":["http://www.mendeley.com/documents/?uuid=4c826913-8509-3262-be32-31df2de7f031"]},{"id":"ITEM-2","itemData":{"DOI":"10.1016/j.jaad.2012.03.007","ISSN":"01909622","PMID":"22521203","abstract":"Background: Approximately 4% of cutaneous squamous cell carcinomas (cSCCs) develop lymphatic metastases. The value of lymphatic endothelial markers to enhance the detection of lymphatic tumor invasion in cSCC has not been assessed previously. Objective: We sought to evaluate the use of the antibody D2-40, a podoplanin immunohistochemical marker, to identify tumor lymph vessel invasion in cSCC and to assess its expression in tumor cells. Methods: This was a retrospective case-control study. A series of 101 cSCC, including 51 cases that developed lymphatic metastatic spread (metastasizing cSCC [MSCC]) and 50 cases that resolved definitely after surgical excision (non-MSCC) were included in the study. Lymph vessel invasion using D2-40 was evaluated on all primary biopsy specimens. The percentage of tumor cells showing D2-40 positivity and intensity scoring were recorded. All the immunohistochemical findings were correlated with the clinicopathological features. Results: Lymph vessel invasion was observed in 8% of non-MSCCs and in 25.5% of MSCCs (P =.031). D2-40 expression was significantly increased, both in intensity (odds ratio 4.42 for intensity ++/+++) and in area (odds ratio 2.29 for area &gt;10%), in MSCC when compared with non-MSCC. Interestingly, almost half (49%) of the MSCC had moderate to intense D2-40 positivity compared with 16% of non-MSCC. D2-40 immunohistochemical expression was increased in tumors with an infiltrative pattern of extension. In the multivariate analysis, histologically poorly differentiated tumors, recurrent lesions, and cSCC showing D2-40 overexpression (in intensity) were significantly associated with lymphatic metastases development (odds ratios 15.67, 14.72, and 6.07, respectively). Limitations: This was a retrospective study. Conclusion: The expression of podoplanin associates with high metastatic risk in cSCC.","author":[{"dropping-particle":"","family":"Toll","given":"Agustí","non-dropping-particle":"","parse-names":false,"suffix":""},{"dropping-particle":"","family":"Gimeno-Beltrán","given":"Javier","non-dropping-particle":"","parse-names":false,"suffix":""},{"dropping-particle":"","family":"Ferrandiz-Pulido","given":"Carla","non-dropping-particle":"","parse-names":false,"suffix":""},{"dropping-particle":"","family":"Masferrer","given":"Emili","non-dropping-particle":"","parse-names":false,"suffix":""},{"dropping-particle":"","family":"Yébenes","given":"Mireia","non-dropping-particle":"","parse-names":false,"suffix":""},{"dropping-particle":"","family":"Jucglà","given":"Anna","non-dropping-particle":"","parse-names":false,"suffix":""},{"dropping-particle":"","family":"Abal","given":"Leandre","non-dropping-particle":"","parse-names":false,"suffix":""},{"dropping-particle":"","family":"Martí","given":"Rosa M","non-dropping-particle":"","parse-names":false,"suffix":""},{"dropping-particle":"","family":"Sanmartín","given":"Onofre","non-dropping-particle":"","parse-names":false,"suffix":""},{"dropping-particle":"","family":"Baró","given":"Teresa","non-dropping-particle":"","parse-names":false,"suffix":""},{"dropping-particle":"","family":"Casado","given":"Beatriz","non-dropping-particle":"","parse-names":false,"suffix":""},{"dropping-particle":"","family":"Gandarillas","given":"Alberto","non-dropping-particle":"","parse-names":false,"suffix":""},{"dropping-particle":"","family":"Barranco","given":"Carlos","non-dropping-particle":"","parse-names":false,"suffix":""},{"dropping-particle":"","family":"Costa","given":"Irmgard","non-dropping-particle":"","parse-names":false,"suffix":""},{"dropping-particle":"","family":"Mojal","given":"Sergi","non-dropping-particle":"","parse-names":false,"suffix":""},{"dropping-particle":"","family":"García-Patos","given":"Vicenç","non-dropping-particle":"","parse-names":false,"suffix":""},{"dropping-particle":"","family":"Pujol","given":"Ramon M","non-dropping-particle":"","parse-names":false,"suffix":""}],"container-title":"Journal of the American Academy of Dermatology","id":"ITEM-2","issue":"6","issued":{"date-parts":[["2012","12"]]},"page":"1310-1318","publisher":"J Am Acad Dermatol","title":"D2-40 immunohistochemical overexpression in cutaneous squamous cell carcinomas: A marker of metastatic risk","type":"article-journal","volume":"67"},"uris":["http://www.mendeley.com/documents/?uuid=2f95321b-1b11-37df-97b0-3070ef1a5519"]},{"id":"ITEM-3","itemData":{"DOI":"10.1159/000324926","ISSN":"10152008","PMID":"21613804","abstract":"Objective: Podoplanin, a known lymphatic endothelial cell marker, has been reported to be expressed in various types of cancer. To elucidate the expression of podoplanin in precancerous lesions, we examined the immunohistochemical profiles of podoplanin in oral squamous epithelial lesions. Method: We studied a total of 298 foci of squamous cell carcinoma (SCC), carcinoma in situ (CIS), epithelial dysplasia, and hyperplastic and/or normal epithelial lesions by immunohistochemistry using D2-40. Results: There was no positivity for podoplanin in normal or hyperplastic epithelia, while all of the CIS and SCC foci stained positive. Approximately one third of the mild dysplasia foci (10 of 36 foci, 28%) and 80% of moderate dysplasia foci (78/98) showed grade 1 positive reactions (positive only in the 1st layer). Grade 2 reactions (up to 4th layer) were seen in 4 of 98 moderate dysplasia foci (4%), 29 of 74 CIS foci (39%), and 3 of 30 SCC foci (10%). Grade 3 reactions (to more than 5th layer) were found in 35 (47%) CIS foci and 26 (87%) SCC foci. Conclusions: The relationship between the present histological categorization and podoplanin grade was statistically significant. D2-40 expression is considered to be related to the severity of oral precancerous lesions. Copyright © 2011 S. Karger AG, Basel.","author":[{"dropping-particle":"","family":"Funayama","given":"Akinori","non-dropping-particle":"","parse-names":false,"suffix":""},{"dropping-particle":"","family":"Cheng","given":"Jun","non-dropping-particle":"","parse-names":false,"suffix":""},{"dropping-particle":"","family":"Maruyama","given":"Satoshi","non-dropping-particle":"","parse-names":false,"suffix":""},{"dropping-particle":"","family":"Yamazaki","given":"Manabu","non-dropping-particle":"","parse-names":false,"suffix":""},{"dropping-particle":"","family":"Kobayashi","given":"Takanori","non-dropping-particle":"","parse-names":false,"suffix":""},{"dropping-particle":"","family":"Syafriadi","given":"Mei","non-dropping-particle":"","parse-names":false,"suffix":""},{"dropping-particle":"","family":"Kundu","given":"Sukalyan","non-dropping-particle":"","parse-names":false,"suffix":""},{"dropping-particle":"","family":"Shingaki","given":"Susumu","non-dropping-particle":"","parse-names":false,"suffix":""},{"dropping-particle":"","family":"Saito","given":"Chikara","non-dropping-particle":"","parse-names":false,"suffix":""},{"dropping-particle":"","family":"Saku","given":"Takashi","non-dropping-particle":"","parse-names":false,"suffix":""}],"container-title":"Pathobiology","id":"ITEM-3","issue":"3","issued":{"date-parts":[["2011"]]},"page":"171-180","publisher":"Pathobiology","title":"Enhanced expression of podoplanin in oral carcinomas in situ and squamous cell carcinomas","type":"article-journal","volume":"78"},"uris":["http://www.mendeley.com/documents/?uuid=b305418c-1017-3c5f-b4e4-b5040cea8559"]}],"mendeley":{"formattedCitation":"&lt;sup&gt;[23–25]&lt;/sup&gt;","plainTextFormattedCitation":"[23–25]","previouslyFormattedCitation":"&lt;sup&gt;[23–25]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[23</w:t>
      </w:r>
      <w:r w:rsidR="00BB36AA" w:rsidRPr="00B751AA">
        <w:rPr>
          <w:rFonts w:ascii="Book Antiqua" w:hAnsi="Book Antiqua" w:cs="Arial"/>
          <w:noProof/>
          <w:color w:val="000000" w:themeColor="text1"/>
          <w:sz w:val="24"/>
          <w:szCs w:val="24"/>
          <w:vertAlign w:val="superscript"/>
        </w:rPr>
        <w:t>-</w:t>
      </w:r>
      <w:r w:rsidRPr="00B751AA">
        <w:rPr>
          <w:rFonts w:ascii="Book Antiqua" w:hAnsi="Book Antiqua" w:cs="Arial"/>
          <w:noProof/>
          <w:color w:val="000000" w:themeColor="text1"/>
          <w:sz w:val="24"/>
          <w:szCs w:val="24"/>
          <w:vertAlign w:val="superscript"/>
        </w:rPr>
        <w:t>25]</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w:t>
      </w:r>
    </w:p>
    <w:p w14:paraId="14762264"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 xml:space="preserve">The most important result of our study is the change of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during neoadjuvant chemoradiation. This is a novel finding.</w:t>
      </w:r>
    </w:p>
    <w:p w14:paraId="1312254E"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 xml:space="preserve">Our study has demonstrated a change of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protein expression after neoadjuvant treatment in resected tissue compared to </w:t>
      </w:r>
      <w:proofErr w:type="spellStart"/>
      <w:r w:rsidRPr="00B751AA">
        <w:rPr>
          <w:rFonts w:ascii="Book Antiqua" w:hAnsi="Book Antiqua" w:cs="Arial"/>
          <w:color w:val="000000" w:themeColor="text1"/>
          <w:sz w:val="24"/>
          <w:szCs w:val="24"/>
          <w:lang w:val="en-GB"/>
        </w:rPr>
        <w:t>pretreatment</w:t>
      </w:r>
      <w:proofErr w:type="spellEnd"/>
      <w:r w:rsidRPr="00B751AA">
        <w:rPr>
          <w:rFonts w:ascii="Book Antiqua" w:hAnsi="Book Antiqua" w:cs="Arial"/>
          <w:color w:val="000000" w:themeColor="text1"/>
          <w:sz w:val="24"/>
          <w:szCs w:val="24"/>
          <w:lang w:val="en-GB"/>
        </w:rPr>
        <w:t xml:space="preserve"> biopsies of the same individual patients. The </w:t>
      </w:r>
      <w:r w:rsidRPr="00B751AA">
        <w:rPr>
          <w:rFonts w:ascii="Book Antiqua" w:hAnsi="Book Antiqua" w:cs="Arial"/>
          <w:color w:val="000000" w:themeColor="text1"/>
          <w:sz w:val="24"/>
          <w:szCs w:val="24"/>
        </w:rPr>
        <w:t xml:space="preserve">comparison of resection specimen of a patient cohort </w:t>
      </w:r>
      <w:proofErr w:type="spellStart"/>
      <w:r w:rsidRPr="00B751AA">
        <w:rPr>
          <w:rFonts w:ascii="Book Antiqua" w:hAnsi="Book Antiqua" w:cs="Arial"/>
          <w:color w:val="000000" w:themeColor="text1"/>
          <w:sz w:val="24"/>
          <w:szCs w:val="24"/>
        </w:rPr>
        <w:t>neoadjuvantly</w:t>
      </w:r>
      <w:proofErr w:type="spellEnd"/>
      <w:r w:rsidRPr="00B751AA">
        <w:rPr>
          <w:rFonts w:ascii="Book Antiqua" w:hAnsi="Book Antiqua" w:cs="Arial"/>
          <w:color w:val="000000" w:themeColor="text1"/>
          <w:sz w:val="24"/>
          <w:szCs w:val="24"/>
        </w:rPr>
        <w:t xml:space="preserve"> pretreated with an only surgery study cohort provided the same result of lower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associated with chemoradiation</w:t>
      </w:r>
      <w:r w:rsidRPr="00B751AA">
        <w:rPr>
          <w:rFonts w:ascii="Book Antiqua" w:hAnsi="Book Antiqua" w:cs="Arial"/>
          <w:color w:val="000000" w:themeColor="text1"/>
          <w:sz w:val="24"/>
          <w:szCs w:val="24"/>
          <w:lang w:val="en-GB"/>
        </w:rPr>
        <w:t>.</w:t>
      </w:r>
    </w:p>
    <w:p w14:paraId="3A2DE60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lang w:val="en-GB"/>
        </w:rPr>
        <w:t xml:space="preserve">The present study also revealed that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in </w:t>
      </w:r>
      <w:proofErr w:type="spellStart"/>
      <w:r w:rsidRPr="00B751AA">
        <w:rPr>
          <w:rFonts w:ascii="Book Antiqua" w:hAnsi="Book Antiqua" w:cs="Arial"/>
          <w:color w:val="000000" w:themeColor="text1"/>
          <w:sz w:val="24"/>
          <w:szCs w:val="24"/>
          <w:lang w:val="en-GB"/>
        </w:rPr>
        <w:t>pretreatment</w:t>
      </w:r>
      <w:proofErr w:type="spellEnd"/>
      <w:r w:rsidRPr="00B751AA">
        <w:rPr>
          <w:rFonts w:ascii="Book Antiqua" w:hAnsi="Book Antiqua" w:cs="Arial"/>
          <w:color w:val="000000" w:themeColor="text1"/>
          <w:sz w:val="24"/>
          <w:szCs w:val="24"/>
          <w:lang w:val="en-GB"/>
        </w:rPr>
        <w:t xml:space="preserve"> biopsies is not predictive for therapy response to chemoradiation. A low expression level did not seem to have the consequence of a major response, neither did a high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level with therapy resistance or minor response. Therefore, the thesis that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is expressed specifically by a </w:t>
      </w:r>
      <w:r w:rsidRPr="00B751AA">
        <w:rPr>
          <w:rFonts w:ascii="Book Antiqua" w:hAnsi="Book Antiqua" w:cs="Arial"/>
          <w:color w:val="000000" w:themeColor="text1"/>
          <w:sz w:val="24"/>
          <w:szCs w:val="24"/>
          <w:lang w:val="en-GB"/>
        </w:rPr>
        <w:lastRenderedPageBreak/>
        <w:t xml:space="preserve">differentiated </w:t>
      </w:r>
      <w:proofErr w:type="spellStart"/>
      <w:r w:rsidRPr="00B751AA">
        <w:rPr>
          <w:rFonts w:ascii="Book Antiqua" w:hAnsi="Book Antiqua" w:cs="Arial"/>
          <w:color w:val="000000" w:themeColor="text1"/>
          <w:sz w:val="24"/>
          <w:szCs w:val="24"/>
          <w:lang w:val="en-GB"/>
        </w:rPr>
        <w:t>tumor</w:t>
      </w:r>
      <w:proofErr w:type="spellEnd"/>
      <w:r w:rsidRPr="00B751AA">
        <w:rPr>
          <w:rFonts w:ascii="Book Antiqua" w:hAnsi="Book Antiqua" w:cs="Arial"/>
          <w:color w:val="000000" w:themeColor="text1"/>
          <w:sz w:val="24"/>
          <w:szCs w:val="24"/>
          <w:lang w:val="en-GB"/>
        </w:rPr>
        <w:t xml:space="preserve"> cell population with a stem cell like phenotype conferring therapy resistance as described by </w:t>
      </w:r>
      <w:proofErr w:type="spellStart"/>
      <w:r w:rsidRPr="00B751AA">
        <w:rPr>
          <w:rFonts w:ascii="Book Antiqua" w:hAnsi="Book Antiqua" w:cs="Arial"/>
          <w:color w:val="000000" w:themeColor="text1"/>
          <w:sz w:val="24"/>
          <w:szCs w:val="24"/>
          <w:lang w:val="en-GB"/>
        </w:rPr>
        <w:t>Lynam</w:t>
      </w:r>
      <w:proofErr w:type="spellEnd"/>
      <w:r w:rsidRPr="00B751AA">
        <w:rPr>
          <w:rFonts w:ascii="Book Antiqua" w:hAnsi="Book Antiqua" w:cs="Arial"/>
          <w:color w:val="000000" w:themeColor="text1"/>
          <w:sz w:val="24"/>
          <w:szCs w:val="24"/>
          <w:lang w:val="en-GB"/>
        </w:rPr>
        <w:t xml:space="preserve">-Lennon </w:t>
      </w:r>
      <w:r w:rsidRPr="00B751AA">
        <w:rPr>
          <w:rFonts w:ascii="Book Antiqua" w:hAnsi="Book Antiqua" w:cs="Arial"/>
          <w:i/>
          <w:iCs/>
          <w:color w:val="000000" w:themeColor="text1"/>
          <w:sz w:val="24"/>
          <w:szCs w:val="24"/>
          <w:lang w:val="en-GB"/>
        </w:rPr>
        <w:t>et al</w:t>
      </w:r>
      <w:r w:rsidRPr="00B751AA">
        <w:rPr>
          <w:rFonts w:ascii="Book Antiqua" w:hAnsi="Book Antiqua" w:cs="Arial"/>
          <w:color w:val="000000" w:themeColor="text1"/>
          <w:sz w:val="24"/>
          <w:szCs w:val="24"/>
          <w:lang w:val="en-GB"/>
        </w:rPr>
        <w:fldChar w:fldCharType="begin" w:fldLock="1"/>
      </w:r>
      <w:r w:rsidRPr="00B751AA">
        <w:rPr>
          <w:rFonts w:ascii="Book Antiqua" w:hAnsi="Book Antiqua" w:cs="Arial"/>
          <w:color w:val="000000" w:themeColor="text1"/>
          <w:sz w:val="24"/>
          <w:szCs w:val="24"/>
          <w:lang w:val="en-GB"/>
        </w:rPr>
        <w:instrText>ADDIN CSL_CITATION {"citationItems":[{"id":"ITEM-1","itemData":{"DOI":"10.1111/j.1469-185X.2008.00061.x","ISSN":"14647931","PMID":"19046400","abstract":"microRNAs (miRNAs) are highly conserved, non-protein-coding RNAs that function to regulate gene expression. In mammals this regulation is primarily carried out by repression of translation. miRNAs play important roles in homeostatic processes such as development, cell proliferation and cell death. Recently the dysregulation of miRNAs has been linked to cancer initiation and progression, indicating that miRNAs may play roles as tumour suppressor genes or oncogenes. The role of miRNAs in apoptosis is not fully understood, however, evidence is mounting that miRNAs are important in this process. The dysregulation of miRNAs involved in apoptosis may provide a mechanism for cancer development and resistance to cancer therapy. This review examines the biosynthesis of miRNA, the mechanisms of miRNA target regulation and the involvement of miRNAs in the initiation and progression of human cancer. It will include miRNAs involved in apoptosis, specifically those miRNAs involved in the regulation of apoptotic pathways and tumour suppressor/oncogene networks. It will also consider emerging evidence supporting a role for miRNAs in modulating sensitivity to anti-cancer therapy. © 2008 The Authors.","author":[{"dropping-particle":"","family":"Lynam-Lennon","given":"Niamh","non-dropping-particle":"","parse-names":false,"suffix":""},{"dropping-particle":"","family":"Maher","given":"Stephen G","non-dropping-particle":"","parse-names":false,"suffix":""},{"dropping-particle":"V","family":"Reynolds","given":"John","non-dropping-particle":"","parse-names":false,"suffix":""}],"container-title":"Biological Reviews","id":"ITEM-1","issue":"1","issued":{"date-parts":[["2009","2"]]},"page":"55-71","publisher":"Biol Rev Camb Philos Soc","title":"The roles of microRNA in cancer and apoptosis","type":"article","volume":"84"},"uris":["http://www.mendeley.com/documents/?uuid=b89cf406-633b-322a-9db3-7a0e8b45cea7"]}],"mendeley":{"formattedCitation":"&lt;sup&gt;[26]&lt;/sup&gt;","plainTextFormattedCitation":"[26]","previouslyFormattedCitation":"&lt;sup&gt;[26]&lt;/sup&gt;"},"properties":{"noteIndex":0},"schema":"https://github.com/citation-style-language/schema/raw/master/csl-citation.json"}</w:instrText>
      </w:r>
      <w:r w:rsidRPr="00B751AA">
        <w:rPr>
          <w:rFonts w:ascii="Book Antiqua" w:hAnsi="Book Antiqua" w:cs="Arial"/>
          <w:color w:val="000000" w:themeColor="text1"/>
          <w:sz w:val="24"/>
          <w:szCs w:val="24"/>
          <w:lang w:val="en-GB"/>
        </w:rPr>
        <w:fldChar w:fldCharType="separate"/>
      </w:r>
      <w:r w:rsidRPr="00B751AA">
        <w:rPr>
          <w:rFonts w:ascii="Book Antiqua" w:hAnsi="Book Antiqua" w:cs="Arial"/>
          <w:noProof/>
          <w:color w:val="000000" w:themeColor="text1"/>
          <w:sz w:val="24"/>
          <w:szCs w:val="24"/>
          <w:vertAlign w:val="superscript"/>
          <w:lang w:val="en-GB"/>
        </w:rPr>
        <w:t>[26]</w:t>
      </w:r>
      <w:r w:rsidRPr="00B751AA">
        <w:rPr>
          <w:rFonts w:ascii="Book Antiqua" w:hAnsi="Book Antiqua" w:cs="Arial"/>
          <w:color w:val="000000" w:themeColor="text1"/>
          <w:sz w:val="24"/>
          <w:szCs w:val="24"/>
          <w:lang w:val="en-GB"/>
        </w:rPr>
        <w:fldChar w:fldCharType="end"/>
      </w:r>
      <w:r w:rsidRPr="00B751AA">
        <w:rPr>
          <w:rFonts w:ascii="Book Antiqua" w:hAnsi="Book Antiqua" w:cs="Arial"/>
          <w:color w:val="000000" w:themeColor="text1"/>
          <w:sz w:val="24"/>
          <w:szCs w:val="24"/>
          <w:vertAlign w:val="superscript"/>
          <w:lang w:val="en-GB"/>
        </w:rPr>
        <w:t xml:space="preserve"> </w:t>
      </w:r>
      <w:r w:rsidRPr="00B751AA">
        <w:rPr>
          <w:rFonts w:ascii="Book Antiqua" w:hAnsi="Book Antiqua" w:cs="Arial"/>
          <w:color w:val="000000" w:themeColor="text1"/>
          <w:sz w:val="24"/>
          <w:szCs w:val="24"/>
          <w:lang w:val="en-GB"/>
        </w:rPr>
        <w:t xml:space="preserve">does not seem to be the fact for </w:t>
      </w:r>
      <w:r w:rsidRPr="00B751AA">
        <w:rPr>
          <w:rStyle w:val="Absatz-Standardschriftart5"/>
          <w:rFonts w:ascii="Book Antiqua" w:eastAsia="Symbol" w:hAnsi="Book Antiqua" w:cs="Arial"/>
          <w:color w:val="000000" w:themeColor="text1"/>
          <w:sz w:val="24"/>
          <w:szCs w:val="24"/>
          <w:lang w:val="fr-FR"/>
        </w:rPr>
        <w:t xml:space="preserve">ESCC. </w:t>
      </w:r>
      <w:r w:rsidRPr="00B751AA">
        <w:rPr>
          <w:rFonts w:ascii="Book Antiqua" w:hAnsi="Book Antiqua" w:cs="Arial"/>
          <w:color w:val="000000" w:themeColor="text1"/>
          <w:sz w:val="24"/>
          <w:szCs w:val="24"/>
          <w:lang w:val="fr-FR"/>
        </w:rPr>
        <w:t xml:space="preserve">There was no significant difference in podoplanin expression between 35 minor and 23 </w:t>
      </w:r>
      <w:r w:rsidR="00BB36AA" w:rsidRPr="00B751AA">
        <w:rPr>
          <w:rFonts w:ascii="Book Antiqua" w:hAnsi="Book Antiqua" w:cs="Arial"/>
          <w:color w:val="000000" w:themeColor="text1"/>
          <w:sz w:val="24"/>
          <w:szCs w:val="24"/>
          <w:lang w:val="fr-FR"/>
        </w:rPr>
        <w:t>majors</w:t>
      </w:r>
      <w:r w:rsidRPr="00B751AA">
        <w:rPr>
          <w:rFonts w:ascii="Book Antiqua" w:hAnsi="Book Antiqua" w:cs="Arial"/>
          <w:color w:val="000000" w:themeColor="text1"/>
          <w:sz w:val="24"/>
          <w:szCs w:val="24"/>
          <w:lang w:val="fr-FR"/>
        </w:rPr>
        <w:t xml:space="preserve"> responding ESCC patients.</w:t>
      </w:r>
      <w:r w:rsidRPr="00B751AA">
        <w:rPr>
          <w:rFonts w:ascii="Book Antiqua" w:hAnsi="Book Antiqua" w:cs="Arial"/>
          <w:color w:val="000000" w:themeColor="text1"/>
          <w:sz w:val="24"/>
          <w:szCs w:val="24"/>
          <w:lang w:val="en-GB"/>
        </w:rPr>
        <w:t xml:space="preserve"> Due to the changed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rPr>
        <w:t>expression after neoadjuvant treatment this protein</w:t>
      </w:r>
      <w:r w:rsidRPr="00B751AA">
        <w:rPr>
          <w:rFonts w:ascii="Book Antiqua" w:hAnsi="Book Antiqua" w:cs="Arial"/>
          <w:color w:val="000000" w:themeColor="text1"/>
          <w:sz w:val="24"/>
          <w:szCs w:val="24"/>
          <w:lang w:val="en-GB"/>
        </w:rPr>
        <w:t xml:space="preserve"> might rather be a target for therapy than a response predictive marker.</w:t>
      </w:r>
    </w:p>
    <w:p w14:paraId="0DDF237E"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rPr>
        <w:t xml:space="preserve">Upregulation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was associated with ESCC. </w:t>
      </w:r>
      <w:r w:rsidRPr="00B751AA">
        <w:rPr>
          <w:rFonts w:ascii="Book Antiqua" w:hAnsi="Book Antiqua" w:cs="Arial"/>
          <w:color w:val="000000" w:themeColor="text1"/>
          <w:sz w:val="24"/>
          <w:szCs w:val="24"/>
          <w:lang w:val="de-DE"/>
        </w:rPr>
        <w:t>A reason for high podoplanin expression in squamous cell carcinoma in contrast to adenocarcinoma might be that podoplanin is expressed in some adult normal cells like lung alveolar cells, glomerular podocytes, as well as in basal epithelium of cervix and esophagus. ESCC develops from squamous epithelial cells, whereas in EAC these cells are replaced by columnar intestinal-type mucosa. EAC develops from Barrett esophagus</w:t>
      </w:r>
      <w:r w:rsidRPr="00B751AA">
        <w:rPr>
          <w:rFonts w:ascii="Book Antiqua" w:hAnsi="Book Antiqua" w:cs="Arial"/>
          <w:color w:val="000000" w:themeColor="text1"/>
          <w:sz w:val="24"/>
          <w:szCs w:val="24"/>
          <w:vertAlign w:val="superscript"/>
          <w:lang w:val="de-DE"/>
        </w:rPr>
        <w:t>[27]</w:t>
      </w:r>
      <w:r w:rsidRPr="00B751AA">
        <w:rPr>
          <w:rFonts w:ascii="Book Antiqua" w:hAnsi="Book Antiqua" w:cs="Arial"/>
          <w:color w:val="000000" w:themeColor="text1"/>
          <w:sz w:val="24"/>
          <w:szCs w:val="24"/>
          <w:lang w:val="de-DE"/>
        </w:rPr>
        <w:t>.</w:t>
      </w:r>
    </w:p>
    <w:p w14:paraId="4461570A"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Additionally, we were able to demonstrate high expression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to be a marker for worse prognosis in accordance with data reviewed by </w:t>
      </w:r>
      <w:r w:rsidRPr="00B751AA">
        <w:rPr>
          <w:rFonts w:ascii="Book Antiqua" w:hAnsi="Book Antiqua" w:cs="Arial"/>
          <w:color w:val="000000" w:themeColor="text1"/>
          <w:sz w:val="24"/>
          <w:szCs w:val="24"/>
          <w:lang w:eastAsia="de-DE"/>
        </w:rPr>
        <w:t xml:space="preserve">Wang </w:t>
      </w:r>
      <w:r w:rsidRPr="00B751AA">
        <w:rPr>
          <w:rFonts w:ascii="Book Antiqua" w:hAnsi="Book Antiqua" w:cs="Arial"/>
          <w:i/>
          <w:iCs/>
          <w:color w:val="000000" w:themeColor="text1"/>
          <w:sz w:val="24"/>
          <w:szCs w:val="24"/>
          <w:lang w:eastAsia="de-DE"/>
        </w:rPr>
        <w:t>et al</w:t>
      </w:r>
      <w:r w:rsidRPr="00B751AA">
        <w:rPr>
          <w:rFonts w:ascii="Book Antiqua" w:hAnsi="Book Antiqua" w:cs="Arial"/>
          <w:color w:val="000000" w:themeColor="text1"/>
          <w:sz w:val="24"/>
          <w:szCs w:val="24"/>
          <w:lang w:eastAsia="de-DE"/>
        </w:rPr>
        <w:fldChar w:fldCharType="begin" w:fldLock="1"/>
      </w:r>
      <w:r w:rsidRPr="00B751AA">
        <w:rPr>
          <w:rFonts w:ascii="Book Antiqua" w:hAnsi="Book Antiqua" w:cs="Arial"/>
          <w:color w:val="000000" w:themeColor="text1"/>
          <w:sz w:val="24"/>
          <w:szCs w:val="24"/>
          <w:lang w:eastAsia="de-DE"/>
        </w:rPr>
        <w:instrText>ADDIN CSL_CITATION {"citationItems":[{"id":"ITEM-1","itemData":{"DOI":"10.1186/s40880-017-0232-5","ISSN":"1944-446X","PMID":"28818096","abstract":"Esophageal squamous cell carcinoma (ESCC) is an aggressive malignancy, with a high incidence and poor prognosis. In the past several decades, hundreds of proteins have been reported to be associated with the prognosis of ESCC, but none has been widely accepted to guide clinical care. This study aimed to identify proteins with great potential for predicting prognosis of ESCC. We conducted a systematic review on immunohistochemical (IHC) prognostic markers of ESCC according to the 2009 Preferred Reporting Items for Systematic Reviews and Meta-Analyses (PRISMA) Guidelines. Literature related to IHC prognostic markers of ESCC were searched from PubMed, Embase, Web of Science, and Cochrane Library until January 30th, 2017. The risk of bias of these original studies was evaluated using the Quality in Prognosis Studies (QUIPS) tool. We identified 11 emerging IHC markers with reproducible results, including eight markers [epidermal growth factor receptor (EGFR), Cyclin D1, vascular endothelial growth factor (VEGF), Survivin, Podoplanin, Fascin, phosphorylated mammalian target of rapamycin (p-mTOR), and pyruvate kinase M2 (PKM2)] indicating unfavorable prognosis and 3 markers (P27, P16, and E-cadherin) indicating favorable prognosis of ESCC. Strong evidence supports that these 11 emerging IHC markers or their combinations may be useful in predicting prognosis and aiding personalized therapy decision-making for ESCC patients.","author":[{"dropping-particle":"","family":"Wang","given":"Chunni","non-dropping-particle":"","parse-names":false,"suffix":""},{"dropping-particle":"","family":"Wang","given":"Jingnan","non-dropping-particle":"","parse-names":false,"suffix":""},{"dropping-particle":"","family":"Chen","given":"Zhaoli","non-dropping-particle":"","parse-names":false,"suffix":""},{"dropping-particle":"","family":"Gao","given":"Yibo","non-dropping-particle":"","parse-names":false,"suffix":""},{"dropping-particle":"","family":"He","given":"Jie","non-dropping-particle":"","parse-names":false,"suffix":""}],"container-title":"Chinese Journal of Cancer","id":"ITEM-1","issue":"1","issued":{"date-parts":[["2017","8","17"]]},"page":"65","publisher":"Chin J Cancer","title":"Immunohistochemical prognostic markers of esophageal squamous cell carcinoma: a systematic review","type":"article-journal","volume":"36"},"uris":["http://www.mendeley.com/documents/?uuid=06733ecd-5828-35c5-8956-49e23f8db913"]}],"mendeley":{"formattedCitation":"&lt;sup&gt;[22]&lt;/sup&gt;","plainTextFormattedCitation":"[22]","previouslyFormattedCitation":"&lt;sup&gt;[22]&lt;/sup&gt;"},"properties":{"noteIndex":0},"schema":"https://github.com/citation-style-language/schema/raw/master/csl-citation.json"}</w:instrText>
      </w:r>
      <w:r w:rsidRPr="00B751AA">
        <w:rPr>
          <w:rFonts w:ascii="Book Antiqua" w:hAnsi="Book Antiqua" w:cs="Arial"/>
          <w:color w:val="000000" w:themeColor="text1"/>
          <w:sz w:val="24"/>
          <w:szCs w:val="24"/>
          <w:lang w:eastAsia="de-DE"/>
        </w:rPr>
        <w:fldChar w:fldCharType="separate"/>
      </w:r>
      <w:r w:rsidRPr="00B751AA">
        <w:rPr>
          <w:rFonts w:ascii="Book Antiqua" w:hAnsi="Book Antiqua" w:cs="Arial"/>
          <w:noProof/>
          <w:color w:val="000000" w:themeColor="text1"/>
          <w:sz w:val="24"/>
          <w:szCs w:val="24"/>
          <w:vertAlign w:val="superscript"/>
          <w:lang w:eastAsia="de-DE"/>
        </w:rPr>
        <w:t>[</w:t>
      </w:r>
      <w:r w:rsidR="0055432A" w:rsidRPr="00B751AA">
        <w:rPr>
          <w:rFonts w:ascii="Book Antiqua" w:hAnsi="Book Antiqua" w:cs="Arial"/>
          <w:noProof/>
          <w:color w:val="000000" w:themeColor="text1"/>
          <w:sz w:val="24"/>
          <w:szCs w:val="24"/>
          <w:vertAlign w:val="superscript"/>
          <w:lang w:eastAsia="de-DE"/>
        </w:rPr>
        <w:t>2</w:t>
      </w:r>
      <w:r w:rsidR="0052322B">
        <w:rPr>
          <w:rFonts w:ascii="Book Antiqua" w:hAnsi="Book Antiqua" w:cs="Arial"/>
          <w:noProof/>
          <w:color w:val="000000" w:themeColor="text1"/>
          <w:sz w:val="24"/>
          <w:szCs w:val="24"/>
          <w:vertAlign w:val="superscript"/>
          <w:lang w:eastAsia="de-DE"/>
        </w:rPr>
        <w:t>2</w:t>
      </w:r>
      <w:r w:rsidRPr="00B751AA">
        <w:rPr>
          <w:rFonts w:ascii="Book Antiqua" w:hAnsi="Book Antiqua" w:cs="Arial"/>
          <w:noProof/>
          <w:color w:val="000000" w:themeColor="text1"/>
          <w:sz w:val="24"/>
          <w:szCs w:val="24"/>
          <w:vertAlign w:val="superscript"/>
          <w:lang w:eastAsia="de-DE"/>
        </w:rPr>
        <w:t>]</w:t>
      </w:r>
      <w:r w:rsidRPr="00B751AA">
        <w:rPr>
          <w:rFonts w:ascii="Book Antiqua" w:hAnsi="Book Antiqua" w:cs="Arial"/>
          <w:color w:val="000000" w:themeColor="text1"/>
          <w:sz w:val="24"/>
          <w:szCs w:val="24"/>
          <w:lang w:eastAsia="de-DE"/>
        </w:rPr>
        <w:fldChar w:fldCharType="end"/>
      </w:r>
      <w:r w:rsidRPr="00B751AA">
        <w:rPr>
          <w:rFonts w:ascii="Book Antiqua" w:hAnsi="Book Antiqua" w:cs="Arial"/>
          <w:color w:val="000000" w:themeColor="text1"/>
          <w:sz w:val="24"/>
          <w:szCs w:val="24"/>
          <w:lang w:eastAsia="de-DE"/>
        </w:rPr>
        <w:t>.</w:t>
      </w:r>
      <w:r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rPr>
        <w:t xml:space="preserve">Therefore, there may be a therapeutic effect by inhibiting this target. Monoclonal antibodies against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have already been produced for a potential target-based therapy</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{"citationItems":[{"id":"ITEM-1","itemData":{"DOI":"10.1038/srep05924","ISSN":"20452322","PMID":"25080943","abstract":"Podoplanin (PDPN/Aggrus/T1Î±), a platelet aggregation-inducing mucin-like sialoglycoprotein, is highly expressed in many cancers and normal tissues. A neutralizing monoclonal antibody (mAb; NZ-1) can block the association between podoplanin and C-type lectin-like receptor-2 (CLEC-2) and inhibit podoplanin-induced cancer metastasis, but NZ-1 reacts with podoplanin-expressing normal cells such as lymphatic endothelial cells. In this study, we established a cancer-specific mAb (CasMab) against human podoplanin. Aberrantly glycosylated podoplanin including keratan sulfate or aberrant sialylation, which was expressed in LN229 glioblastoma cells, was used as an immunogen. The newly established LpMab-2 mAb recognized both an aberrant O-glycosylation and a Thr55-Leu64 peptide from human podoplanin. Because LpMab-2 reacted with podoplanin-expressing cancer cells but not with normal cells, as shown by flow cytometry and immunohistochemistry, it is an anti-podoplanin CasMab that is expected to be useful for molecular targeting therapy against podoplanin-expressing cancers.","author":[{"dropping-particle":"","family":"Kato","given":"Yukinari","non-dropping-particle":"","parse-names":false,"suffix":""},{"dropping-particle":"","family":"Kaneko","given":"Mika Kato","non-dropping-particle":"","parse-names":false,"suffix":""}],"container-title":"Scientific Reports","id":"ITEM-1","issued":{"date-parts":[["2014","8","1"]]},"page":"5924","publisher":"Sci Rep","title":"A cancer-specific monoclonal antibody recognizes the aberrantly glycosylated podoplanin","type":"article-journal","volume":"4"},"uris":["http://www.mendeley.com/documents/?uuid=1da21320-fdd3-3685-9809-04dcec760168"]},{"id":"ITEM-2","itemData":{"DOI":"10.1016/j.bbrc.2006.08.171","ISSN":"0006291X","PMID":"16979138","abstract":"The mucin-type sialoglycoprotein, podoplanin (aggrus), is a platelet-aggregating factor on cancer cells. We previously described up-regulated expression of podoplanin in malignant astrocytic tumors including glioblastoma. Its expression was associated with tumor malignancy. In the present study, we investigated podoplanin expression and platelet-aggregating activities of glioblastoma cell lines. First, we established a highly reactive anti-podoplanin antibody, NZ-1, which inhibits podoplanin-induced platelet aggregation completely. Of 15 glioblastoma cell lines, LN319 highly expressed podoplanin and induced platelet aggregation. Glycan profiling using a lectin microarray showed that podoplanin on LN319 possesses sialic acid, which is important in podoplanin-induced platelet aggregation. Interestingly, NZ-1 neutralized platelet aggregation by LN319. These results suggest that podoplanin is a main reason for platelet aggregation induced by LN319. We infer that NZ-1 is useful to determine whether platelet aggregation is podoplanin-specific or not. Furthermore, podoplanin might become a therapeutic target of glioblastoma for antibody-based therapy. © 2006 Elsevier Inc. All rights reserved.","author":[{"dropping-particle":"","family":"Kato","given":"Yukinari","non-dropping-particle":"","parse-names":false,"suffix":""},{"dropping-particle":"","family":"Kaneko","given":"Mika Kato","non-dropping-particle":"","parse-names":false,"suffix":""},{"dropping-particle":"","family":"Kuno","given":"Atsushi","non-dropping-particle":"","parse-names":false,"suffix":""},{"dropping-particle":"","family":"Uchiyama","given":"Noboru","non-dropping-particle":"","parse-names":false,"suffix":""},{"dropping-particle":"","family":"Amano","given":"Koh","non-dropping-particle":"","parse-names":false,"suffix":""},{"dropping-particle":"","family":"Chiba","given":"Yasunori","non-dropping-particle":"","parse-names":false,"suffix":""},{"dropping-particle":"","family":"Hasegawa","given":"Yasushi","non-dropping-particle":"","parse-names":false,"suffix":""},{"dropping-particle":"","family":"Hirabayashi","given":"Jun","non-dropping-particle":"","parse-names":false,"suffix":""},{"dropping-particle":"","family":"Narimatsu","given":"Hisashi","non-dropping-particle":"","parse-names":false,"suffix":""},{"dropping-particle":"","family":"Mishima","given":"Kazuhiko","non-dropping-particle":"","parse-names":false,"suffix":""},{"dropping-particle":"","family":"Osawa","given":"Motoki","non-dropping-particle":"","parse-names":false,"suffix":""}],"container-title":"Biochemical and Biophysical Research Communications","id":"ITEM-2","issue":"4","issued":{"date-parts":[["2006","11","3"]]},"page":"1301-1307","publisher":"Biochem Biophys Res Commun","title":"Inhibition of tumor cell-induced platelet aggregation using a novel anti-podoplanin antibody reacting with its platelet-aggregation-stimulating domain","type":"article-journal","volume":"349"},"uris":["http://www.mendeley.com/documents/?uuid=63194940-f6b6-3163-af6b-e8a946177b57"]},{"id":"ITEM-3","itemData":{"DOI":"10.1111/j.1349-7006.2011.02058.x","ISSN":"13479032","PMID":"21824222","abstract":"The platelet aggregation-inducing factor, Aggrus (also known as podoplanin), is reported to contribute to cancer metastasis by mediating cancer cell-platelet interaction. Aggrus has been shown to be upregulated in many different types of cancers. Thus, not only the functional inhibition of Aggrus, but also its application as a cancer-specific antigen has therapeutic potential. Among a series of anti-Aggrus mAb established previously, no mouse anti-human Aggrus mAb exists that possesses the ability to neutralize platelet aggregation. For precise preclinical examinations of mouse and monkey models, the establishment of Aggrus-neutralizing mouse mAb and their chimeric Abs is needed. In this study, we established two mouse anti-human Aggrus mAb, P2-0 and HAG-3. A precise analysis of their epitopes revealed that P2-0 recognized the conformation near the bioactive O-glycosylation site at the Thr 52 residue. In contrast, HAG-3 recognized the amino-terminus side at a short distance from the conformation recognized by P2-0. We observed that only P2-0 attenuated Aggrus-induced platelet aggregation and Aggrus binding to its platelet receptor, that is, the C-type lectin-like receptor-2. Consistent with these data, only P2-0 prevented the experimental metastasis of human Aggrus-overexpressing CHO cells. Subsequently, we cloned the complementary determining region of P2-0 and produced the murine/human chimeric P2-0 antibody. This chimeric antibody maintained its inhibitory activity of Aggrus-induced platelet aggregation and experimental metastasis. Thus, P2-0 and its chimeric antibody are expected to aid the development of preclinical and clinical examinations of Aggrus-targeted cancer therapy. © 2011 Japanese Cancer Association.","author":[{"dropping-particle":"","family":"Nakazawa","given":"Youya","non-dropping-particle":"","parse-names":false,"suffix":""},{"dropping-particle":"","family":"Takagi","given":"Satoshi","non-dropping-particle":"","parse-names":false,"suffix":""},{"dropping-particle":"","family":"Sato","given":"Shigeo","non-dropping-particle":"","parse-names":false,"suffix":""},{"dropping-particle":"","family":"Oh-hara","given":"Tomoko","non-dropping-particle":"","parse-names":false,"suffix":""},{"dropping-particle":"","family":"Koike","given":"Sumie","non-dropping-particle":"","parse-names":false,"suffix":""},{"dropping-particle":"","family":"Takami","given":"Miho","non-dropping-particle":"","parse-names":false,"suffix":""},{"dropping-particle":"","family":"Arai","given":"Hiroyuki","non-dropping-particle":"","parse-names":false,"suffix":""},{"dropping-particle":"","family":"Fujita","given":"Naoya","non-dropping-particle":"","parse-names":false,"suffix":""}],"container-title":"Cancer Science","id":"ITEM-3","issue":"11","issued":{"date-parts":[["2011","11"]]},"page":"2051-2057","publisher":"Cancer Sci","title":"Prevention of hematogenous metastasis by neutralizing mice and its chimeric anti-Aggrus/podoplanin antibodies","type":"article-journal","volume":"102"},"uris":["http://www.mendeley.com/documents/?uuid=76b724ee-b759-3114-ba06-6465176aa6fe"]}],"mendeley":{"formattedCitation":"&lt;sup&gt;[27–29]&lt;/sup&gt;","plainTextFormattedCitation":"[27–29]","previouslyFormattedCitation":"&lt;sup&gt;[27–29]&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[28-30]</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
    <w:p w14:paraId="6554F24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B751AA">
        <w:rPr>
          <w:rFonts w:ascii="Book Antiqua" w:hAnsi="Book Antiqua" w:cs="Arial"/>
          <w:color w:val="000000" w:themeColor="text1"/>
          <w:sz w:val="24"/>
          <w:szCs w:val="24"/>
        </w:rPr>
        <w:t xml:space="preserve">The biological function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does support this therapeutic option.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is a mucin-like transmembrane glycoprotein associated with cancer cell invasion and migration</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{"citationItems":[{"id":"ITEM-1","itemData":{"DOI":"10.3892/mmr.2014.2338","ISSN":"17913004","PMID":"24938315","abstract":"Podoplanin (PDPN) is a well established lymphatic endothelial marker and has frequently been observed in cancer cells at the edge of cancer masses. Previous studies investigating the association between PDPN expression and patient prognosis have had contradictory results. In the present study, it was hypothesized that the different locations of PDPN-positive cells may explain these varying results. The present study aimed to focus on PDPN expression at the edge of esophageal cancer cell nests. In order to analyze the clinical significance of this PDPN expression, immunohistochemistry was performed using esophageal cancer tissue microarrays. PDPN expression at the edge of the cancer cell nest was found to be significantly associated with invasion (P&lt;0.05) and poor prognosis (P&lt;0.001) in patients with cancer. To further investigate the role of PDPN expression in cancer cells, the PDPN gene was cloned and transfected into esophageal squamous cell carcinoma (ESCC) cell lines. PDPN expression was also knocked down using small interfering RNA. PDPN-positive cancer cells were found to exhibit invasion characteristics. Thus, PDPN expression at the edge of a cancer cell nest may indicate invasion and represent a poor prognostic factor for ESCCs.","author":[{"dropping-particle":"","family":"Li","given":"Jiang Chao","non-dropping-particle":"","parse-names":false,"suffix":""},{"dropping-particle":"","family":"Li","given":"Yan","non-dropping-particle":"","parse-names":false,"suffix":""},{"dropping-particle":"","family":"Ai","given":"Jiao Yu","non-dropping-particle":"","parse-names":false,"suffix":""},{"dropping-particle":"","family":"Chen","given":"Kai","non-dropping-particle":"","parse-names":false,"suffix":""},{"dropping-particle":"","family":"Zhu","given":"Ying Hui","non-dropping-particle":"","parse-names":false,"suffix":""},{"dropping-particle":"","family":"Fu","given":"L. I.","non-dropping-particle":"","parse-names":false,"suffix":""},{"dropping-particle":"","family":"Qin","given":"Yan Ru","non-dropping-particle":"","parse-names":false,"suffix":""},{"dropping-particle":"","family":"Wang","given":"Li Jing","non-dropping-particle":"","parse-names":false,"suffix":""},{"dropping-particle":"","family":"Guan","given":"Xin Yuan","non-dropping-particle":"","parse-names":false,"suffix":""}],"container-title":"Molecular Medicine Reports","id":"ITEM-1","issue":"3","issued":{"date-parts":[["2014","9"]]},"page":"1513-1518","publisher":"Mol Med Rep","title":"Podoplanin-positive cancer cells at the edge of esophageal squamous cell carcinomas are involved in invasion","type":"article-journal","volume":"10"},"uris":["http://www.mendeley.com/documents/?uuid=b06bd2c4-d4a9-3279-a073-a9386539ee18"]}],"mendeley":{"formattedCitation":"&lt;sup&gt;[30]&lt;/sup&gt;","plainTextFormattedCitation":"[30]","previouslyFormattedCitation":"&lt;sup&gt;[30]&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[31]</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vertAlign w:val="superscript"/>
        </w:rPr>
        <w:t xml:space="preserve"> </w:t>
      </w:r>
      <w:r w:rsidRPr="00B751AA">
        <w:rPr>
          <w:rFonts w:ascii="Book Antiqua" w:hAnsi="Book Antiqua" w:cs="Arial"/>
          <w:color w:val="000000" w:themeColor="text1"/>
          <w:sz w:val="24"/>
          <w:szCs w:val="24"/>
        </w:rPr>
        <w:t>and has been identified as a marker for early infiltrative carcinoma</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{"citationItems":[{"id":"ITEM-1","itemData":{"DOI":"10.18632/oncotarget.14596","ISSN":"19492553","PMID":"28086225","abstract":"The esophageal squamous cell carcinoma (ESCC) is usually develped from lowgrade intraepithelial neoplasia (LGIEN) and high-grade intraepithelial neoplasia (HGIEN) to infiltrative squamous cell carcinoma. Till now, it remains hard to screen for infiltration at earlier stages, especially the differentiation between HGEIN and early infiltrative carcinoma. The purpose of this study is to determine a role of podoplanin in differentiating between HGEIN and early infiltrative squamous cell carcinoma. Totally 133 patients pathologically diagnosed with early ESCC and/or precancerous lesions were enrolled.The EnVision two-step IHC staining technique was applied using the monoclonal mouse anti-human Podoplanin antibody (clone number: D2-40). The expressions of PDPN protein on the basal layer of squamous epithelium lesions could be divided into three different patterns: complete type, incomplete (non-continuous) type, or missing type. A diagnosis of HGEIN can be made if the basal layer showed non-continuous or complete expression of PDPN and a diagnosis of early infiltration can be made if the expression of PDPN is completely missing. Our study confirmed that PDPN was a potential biomarker to identify the presence of early infiltrative squamous cell carcinoma.","author":[{"dropping-particle":"","family":"Chen","given":"Guangyong","non-dropping-particle":"","parse-names":false,"suffix":""},{"dropping-particle":"","family":"Xu","given":"Rui","non-dropping-particle":"","parse-names":false,"suffix":""},{"dropping-particle":"","family":"Yue","given":"Bing","non-dropping-particle":"","parse-names":false,"suffix":""},{"dropping-particle":"","family":"Mei","given":"Xue","non-dropping-particle":"","parse-names":false,"suffix":""},{"dropping-particle":"","family":"Li","given":"Peng","non-dropping-particle":"","parse-names":false,"suffix":""},{"dropping-particle":"","family":"Zhou","given":"Xiaoge","non-dropping-particle":"","parse-names":false,"suffix":""},{"dropping-particle":"","family":"Huang","given":"Shoufang","non-dropping-particle":"","parse-names":false,"suffix":""},{"dropping-particle":"","family":"Gong","given":"Liping","non-dropping-particle":"","parse-names":false,"suffix":""},{"dropping-particle":"","family":"Zhang","given":"Shutian","non-dropping-particle":"","parse-names":false,"suffix":""}],"container-title":"Oncotarget","id":"ITEM-1","issue":"12","issued":{"date-parts":[["2017","3","21"]]},"page":"19013-19020","publisher":"Oncotarget","title":"The expression of podoplanin protein is a diagnostic marker to distinguish the early Infiltration of esophageal squamous cell carcinoma","type":"article-journal","volume":"8"},"uris":["http://www.mendeley.com/documents/?uuid=1693300d-d4be-350f-8ef4-73c526e05e1e"]}],"mendeley":{"formattedCitation":"&lt;sup&gt;[31]&lt;/sup&gt;","plainTextFormattedCitation":"[31]","previouslyFormattedCitation":"&lt;sup&gt;[31]&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[27]</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has been suggested to be involved in </w:t>
      </w:r>
      <w:proofErr w:type="spellStart"/>
      <w:r w:rsidRPr="00B751AA">
        <w:rPr>
          <w:rFonts w:ascii="Book Antiqua" w:hAnsi="Book Antiqua" w:cs="Arial"/>
          <w:color w:val="000000" w:themeColor="text1"/>
          <w:sz w:val="24"/>
          <w:szCs w:val="24"/>
        </w:rPr>
        <w:t>lymphangiogenesis</w:t>
      </w:r>
      <w:proofErr w:type="spellEnd"/>
      <w:r w:rsidRPr="00B751AA">
        <w:rPr>
          <w:rFonts w:ascii="Book Antiqua" w:hAnsi="Book Antiqua" w:cs="Arial"/>
          <w:color w:val="000000" w:themeColor="text1"/>
          <w:sz w:val="24"/>
          <w:szCs w:val="24"/>
        </w:rPr>
        <w:t xml:space="preserve">, since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deficient mice had dilated malfunctioning lymphatic vessels and lymphedema</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{"citationItems":[{"id":"ITEM-1","itemData":{"DOI":"10.1093/emboj/cdg342","ISSN":"02614189","PMID":"12853470","abstract":"Within the vascular system, the mucin-type transmembrane glycoprotein T1α/podoplanin is predominantly expressed by lymphatic endothelium, and recent studies have shown that it is regulated by the lymphatic-specific homeobox gene Prox1. In this study, we examined the role of T1α/podoplanin in vascular development and the effects of gene disruption in mice. T1α/podoplanin is first expressed at around E11.0 in Prox1-positive lymphatic progenitor cells, with predominant localization in the luminal plasma membrane of lymphatic endothelial cells during later development. T1α/podoplanin -/- mice die at birth due to respiratory failure and have defects in lymphatic, but not blood vessel pattern formation. These defects are associated with diminished lymphatic transport, congenital lymphedema and dilation of lymphatic vessels. T1α/podoplanin is also expressed in the basal epidermis of newborn wild-type mice, but gene disruption did not alter epidermal differentiation. Studies in cultured endothelial cells indicate that T1α/podoplanin promotes cell adhesion, migration and tube formation, whereas small interfering RNA-mediated inhibition of T1α/podoplanin expression decreased lymphatic endothelial cell adhesion. These data identify T1α/podoplanin as a novel critical player that regulates different key aspects of lymphatic vasculature formation.","author":[{"dropping-particle":"","family":"Schacht","given":"Vivien","non-dropping-particle":"","parse-names":false,"suffix":""},{"dropping-particle":"","family":"Ramirez","given":"Maria I","non-dropping-particle":"","parse-names":false,"suffix":""},{"dropping-particle":"","family":"Hong","given":"Young Kwon","non-dropping-particle":"","parse-names":false,"suffix":""},{"dropping-particle":"","family":"Hirakawa","given":"Satoshi","non-dropping-particle":"","parse-names":false,"suffix":""},{"dropping-particle":"","family":"Feng","given":"Dian","non-dropping-particle":"","parse-names":false,"suffix":""},{"dropping-particle":"","family":"Harvey","given":"Natasha","non-dropping-particle":"","parse-names":false,"suffix":""},{"dropping-particle":"","family":"Williams","given":"Mary","non-dropping-particle":"","parse-names":false,"suffix":""},{"dropping-particle":"","family":"Dvorak","given":"Ann M.","non-dropping-particle":"","parse-names":false,"suffix":""},{"dropping-particle":"","family":"Dvorak","given":"Harold F","non-dropping-particle":"","parse-names":false,"suffix":""},{"dropping-particle":"","family":"Oliver","given":"Guillermo","non-dropping-particle":"","parse-names":false,"suffix":""},{"dropping-particle":"","family":"Detmar","given":"Michael","non-dropping-particle":"","parse-names":false,"suffix":""}],"container-title":"EMBO Journal","id":"ITEM-1","issue":"14","issued":{"date-parts":[["2003","7","15"]]},"page":"3546-3556","publisher":"EMBO J","title":"T1α/podoplanin deficiency disrupts normal lymphatic vasculature formation and causes lymphedema","type":"article-journal","volume":"22"},"uris":["http://www.mendeley.com/documents/?uuid=01ae384e-7ca9-3d38-9d63-e2d529ceaff0"]}],"mendeley":{"formattedCitation":"&lt;sup&gt;[32]&lt;/sup&gt;","plainTextFormattedCitation":"[32]","previouslyFormattedCitation":"&lt;sup&gt;[32]&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[32]</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The most studied physiological role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is its ability to bind and activate the C-type lectin receptor (CLEC) that is highly expressed by platelets and immunocompetent cells</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{"citationItems":[{"id":"ITEM-1","itemData":{"DOI":"10.1182/blood-2010-02-270876","ISSN":"00064971","PMID":"20363774","abstract":"Although platelets appear by embryonic day 10.5 in the developing mouse, an embryonic role for these cells has not been identified. The SYK-SLP-76 signaling pathway is required in blood cells to regulate embryonic blood-lymphatic vascular separation, but the cell type and molecular mechanism underlying this regulatory pathway are not known. In the present study we demonstrate that platelets regulate lymphatic vascular development by directly interacting with lymphatic endothelial cells through C-type lectin-like receptor 2 (CLEC-2) receptors. PODOPLANIN (PDPN), a transmembrane protein expressed on the surface of lymphatic endothelial cells, is required in nonhematopoietic cells for bloodlymphatic separation. Genetic loss of the PDPN receptor CLEC-2 ablates PDPN binding by platelets and confers embryonic lymphatic vascular defects like those seen in animals lacking PDPN or SLP-76. Platelet factor 4-Cre-mediated deletion of Slp-76 is sufficient to confer lymphatic vascular defects, identifying platelets as the cell type in which SLP-76 signaling is required to regulate lymphatic vascular development. Consistent with these genetic findings, we observe SLP-76-dependent platelet aggregate formation on the surface of lymphatic endothelial cells in vivo and ex vivo. These studies identify a nonhemostatic pathway in which platelet CLEC-2 receptors bind lymphatic endothelial PDPN and activate SLP-76 signaling to regulate embryonic vascular development. © 2010 by The American Society of Hematology.","author":[{"dropping-particle":"","family":"Bertozzi","given":"Cara C","non-dropping-particle":"","parse-names":false,"suffix":""},{"dropping-particle":"","family":"Schmaier","given":"Alec A","non-dropping-particle":"","parse-names":false,"suffix":""},{"dropping-particle":"","family":"Mericko","given":"Patricia","non-dropping-particle":"","parse-names":false,"suffix":""},{"dropping-particle":"","family":"Hess","given":"Paul R","non-dropping-particle":"","parse-names":false,"suffix":""},{"dropping-particle":"","family":"Zou","given":"Zhiying","non-dropping-particle":"","parse-names":false,"suffix":""},{"dropping-particle":"","family":"Chen","given":"Mei","non-dropping-particle":"","parse-names":false,"suffix":""},{"dropping-particle":"","family":"Chen","given":"Chiu Yu","non-dropping-particle":"","parse-names":false,"suffix":""},{"dropping-particle":"","family":"Xu","given":"Bin","non-dropping-particle":"","parse-names":false,"suffix":""},{"dropping-particle":"","family":"Lu","given":"Min Min","non-dropping-particle":"","parse-names":false,"suffix":""},{"dropping-particle":"","family":"Zhou","given":"Diane","non-dropping-particle":"","parse-names":false,"suffix":""},{"dropping-particle":"","family":"Sebzda","given":"Eric","non-dropping-particle":"","parse-names":false,"suffix":""},{"dropping-particle":"","family":"Santore","given":"Matthew T","non-dropping-particle":"","parse-names":false,"suffix":""},{"dropping-particle":"","family":"Merianos","given":"Demetri J","non-dropping-particle":"","parse-names":false,"suffix":""},{"dropping-particle":"","family":"Stadtfeld","given":"Matthias","non-dropping-particle":"","parse-names":false,"suffix":""},{"dropping-particle":"","family":"Flake","given":"Alan W","non-dropping-particle":"","parse-names":false,"suffix":""},{"dropping-particle":"","family":"Graf","given":"Thomas","non-dropping-particle":"","parse-names":false,"suffix":""},{"dropping-particle":"","family":"Skoda","given":"Radek","non-dropping-particle":"","parse-names":false,"suffix":""},{"dropping-particle":"","family":"Maltzman","given":"Jonathan S","non-dropping-particle":"","parse-names":false,"suffix":""},{"dropping-particle":"","family":"Koretzky","given":"Gary A","non-dropping-particle":"","parse-names":false,"suffix":""},{"dropping-particle":"","family":"Kahn","given":"Mark L","non-dropping-particle":"","parse-names":false,"suffix":""}],"container-title":"Blood","id":"ITEM-1","issue":"4","issued":{"date-parts":[["2010","7","29"]]},"page":"661-670","publisher":"Blood","title":"Platelets regulate lymphatic vascular development through CLEC-2-SLP-76 signaling","type":"article-journal","volume":"116"},"uris":["http://www.mendeley.com/documents/?uuid=217bf5af-3048-3a90-8a79-380f65d29045"]},{"id":"ITEM-2","itemData":{"DOI":"10.1172/JCI122955","ISSN":"15588238","PMID":"30601137","abstract":"Although platelets are best known for their role in hemostasis, they are also crucial in development, host defense, inflammation, and tissue repair. Many of these roles are regulated by the immune-like receptors glycoprotein VI (GPVI) and C-type lectin receptor 2 (CLEC-2), which signal through an immunoreceptor tyrosine-based activation motif (ITAM). GPVI is activated by collagen in the subendothelial matrix, by fibrin and fibrinogen in the thrombus, and by a remarkable number of other ligands. CLEC-2 is activated by the transmembrane protein podoplanin, which is found outside of the vasculature and is upregulated in development, inflammation, and cancer, but there is also evidence for additional ligands. In this Review, we discuss the physiological and pathological roles of CLEC-2 and GPVI and their potential as targets in thrombosis and thromboinflammatory disorders (i.e., disorders in which inflammation plays a critical role in the ensuing thrombosis) relative to current antiplatelet drugs.","author":[{"dropping-particle":"","family":"Rayes","given":"Julie","non-dropping-particle":"","parse-names":false,"suffix":""},{"dropping-particle":"","family":"Watson","given":"Steve P","non-dropping-particle":"","parse-names":false,"suffix":""},{"dropping-particle":"","family":"Nieswandt","given":"Bernhard","non-dropping-particle":"","parse-names":false,"suffix":""}],"container-title":"Journal of Clinical Investigation","id":"ITEM-2","issue":"1","issued":{"date-parts":[["2019"]]},"page":"12-23","publisher":"J Clin Invest","title":"Functional significance of the platelet immune receptors GPVI and CLEC-2","type":"article","volume":"129"},"uris":["http://www.mendeley.com/documents/?uuid=ec555c38-eff1-3518-84c1-3225592cc437"]}],"mendeley":{"formattedCitation":"&lt;sup&gt;[33,34]&lt;/sup&gt;","plainTextFormattedCitation":"[33,34]","previouslyFormattedCitation":"&lt;sup&gt;[33,34]&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[33,34]</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has been identified as a key factor in tumor-induced platelet aggregation enhancing metastasis by secreting growth factors and forming tumor emboli in the microvasculature, reviewed by H</w:t>
      </w:r>
      <w:r w:rsidR="0055432A" w:rsidRPr="00B751AA">
        <w:rPr>
          <w:rFonts w:ascii="Book Antiqua" w:hAnsi="Book Antiqua" w:cs="Arial"/>
          <w:color w:val="000000" w:themeColor="text1"/>
          <w:sz w:val="24"/>
          <w:szCs w:val="24"/>
        </w:rPr>
        <w:t>i</w:t>
      </w:r>
      <w:r w:rsidRPr="00B751AA">
        <w:rPr>
          <w:rFonts w:ascii="Book Antiqua" w:hAnsi="Book Antiqua" w:cs="Arial"/>
          <w:color w:val="000000" w:themeColor="text1"/>
          <w:sz w:val="24"/>
          <w:szCs w:val="24"/>
        </w:rPr>
        <w:t xml:space="preserve">sada </w:t>
      </w:r>
      <w:r w:rsidR="0055432A" w:rsidRPr="00B751AA">
        <w:rPr>
          <w:rFonts w:ascii="Book Antiqua" w:hAnsi="Book Antiqua" w:cs="Arial"/>
          <w:i/>
          <w:iCs/>
          <w:color w:val="000000" w:themeColor="text1"/>
          <w:sz w:val="24"/>
          <w:szCs w:val="24"/>
        </w:rPr>
        <w:t>et al</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{"citationItems":[{"id":"ITEM-1","itemData":{"DOI":"10.1182/blood-2017-03-743211","ISSN":"15280020","PMID":"28807983","abstract":"Cancer patients have an increased risk of venous thromboembolism (VTE). In this review, we summarize common and cancer type–specific pathways of VTE in cancer patients. Increased levels of leukocytes, platelets, and tissue factor–positive (TF1) microvesicles (MVs) are all potential factors that alone or in combination increase cancer-associated thrombosis. Patients with lung or colorectal cancer often exhibit leukocytosis. Neutrophils could increase VTE in cancer patients by releasing neutrophil extracellular traps whereas monocytes may express TF. Thrombocytosis is often observed in gastrointestinal, lung, breast, and ovarian cancer and this could decrease the threshold required for VTE. Soluble P-selectin has been identified as a biomarker of cancer-associated thrombosis in a general cancer population and may reflect activation of the endothelium. P-selectin expression by the endothelium may enhance VTE by increasing the recruitment of leukocytes. Studies in patients with pancreatic or brain cancer suggest that elevated levels of PAI-1 may contribute to VTE. Although elevated levels of TF1 MVs have been observed in patients with different types of cancer, an association between TF1 MVs and VTE has been observed only in pancreatic cancer. Podoplanin expression is associated with VTE in patients with brain cancer and may activate platelets. Future studies should measure multiple biomarkers in each cancer type to determine whether combinations of biomarkers can be used as predictors of VTE. A better understanding of the pathways that increase VTE in cancer patients may lead to the development of new therapies to reduce the morbidity and mortality associated with thrombosis.","author":[{"dropping-particle":"","family":"Hisada","given":"Yohei","non-dropping-particle":"","parse-names":false,"suffix":""},{"dropping-particle":"","family":"Mackman","given":"Nigel","non-dropping-particle":"","parse-names":false,"suffix":""}],"container-title":"Blood","id":"ITEM-1","issue":"13","issued":{"date-parts":[["2017"]]},"page":"1499-1506","publisher":"Blood","title":"Cancer-associated pathways and biomarkers of venous thrombosis","type":"article","volume":"130"},"uris":["http://www.mendeley.com/documents/?uuid=70e06338-4eb7-35a0-9e75-3ca468743a19"]}],"mendeley":{"formattedCitation":"&lt;sup&gt;[35]&lt;/sup&gt;","plainTextFormattedCitation":"[35]","previouslyFormattedCitation":"&lt;sup&gt;[35]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[35]</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Therefore, the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-mediated platelet aggregation might be an effective target for anti-tumor therapies. Platelet aggregation-inducing </w:t>
      </w:r>
      <w:r w:rsidRPr="00B751AA">
        <w:rPr>
          <w:rFonts w:ascii="Book Antiqua" w:hAnsi="Book Antiqua" w:cs="Arial"/>
          <w:color w:val="000000" w:themeColor="text1"/>
          <w:sz w:val="24"/>
          <w:szCs w:val="24"/>
        </w:rPr>
        <w:lastRenderedPageBreak/>
        <w:t>domains have been detected</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{"citationItems":[{"id":"ITEM-1","itemData":{"DOI":"10.18632/oncotarget.6598","ISSN":"19492553","PMID":"26684030","abstract":"Podoplanin/Aggrus is a sialoglycoprotein expressed in various cancers. We previously identified podoplanin as a key factor in tumor-induced platelet aggregation. Podoplanin-mediated platelet aggregation enhances tumor growth and metastasis by secreting growth factors and by forming tumor emboli in the microvasculature. Thus, precise analysis of the mechanisms of podoplanin-mediated platelet aggregation is critical for developing anti-tumor therapies. Here we report the discovery of a novel platelet aggregation-inducing domain, PLAG4 (81-EDLPT-85). PLAG4 has high homology to the previously reported PLAG3 and contributes to the binding of its platelet receptor CLEC-2. Mutant analyses indicated that PLAG4 exhibits a predominant platelet-aggregating function relative to PLAG3 and that conserved Glu81/Asp82/Thr85 residues in PLAG4 are indispensable for CLEC-2 binding. By establishing anti-PLAG4- neutralizing monoclonal antibodies, we confirmed its role in CLEC-2 binding, platelet aggregation, and tumor emboli formation. Our results suggest the requirement of simultaneous inhibition of PLAG3/4 for complete suppression of podoplanin-mediated tumor growth and metastasis.","author":[{"dropping-particle":"","family":"Sekiguchi","given":"Takaya","non-dropping-particle":"","parse-names":false,"suffix":""},{"dropping-particle":"","family":"Takemoto","given":"Ai","non-dropping-particle":"","parse-names":false,"suffix":""},{"dropping-particle":"","family":"Takagi","given":"Satoshi","non-dropping-particle":"","parse-names":false,"suffix":""},{"dropping-particle":"","family":"Takatori","given":"Kazuki","non-dropping-particle":"","parse-names":false,"suffix":""},{"dropping-particle":"","family":"Sato","given":"Shigeo","non-dropping-particle":"","parse-names":false,"suffix":""},{"dropping-particle":"","family":"Takami","given":"Miho","non-dropping-particle":"","parse-names":false,"suffix":""},{"dropping-particle":"","family":"Fujita","given":"Naoya","non-dropping-particle":"","parse-names":false,"suffix":""}],"container-title":"Oncotarget","id":"ITEM-1","issue":"4","issued":{"date-parts":[["2016","1","26"]]},"page":"3934-3946","publisher":"Oncotarget","title":"Targeting a novel domain in podoplanin for inhibiting plateletmediated tumor metastasis","type":"article-journal","volume":"7"},"uris":["http://www.mendeley.com/documents/?uuid=2b6d5844-97b3-3948-9876-1f5c11227471"]}],"mendeley":{"formattedCitation":"&lt;sup&gt;[15]&lt;/sup&gt;","plainTextFormattedCitation":"[15]","previouslyFormattedCitation":"&lt;sup&gt;[15]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[15]</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Aggregated platelets are coating tumor cells during their transit through the bloodstream, are mediating adherence to vascular endothelium, evasion from immune molecules and facilitate growth at metastatic sites.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elicits platelet aggregation as the ligand of CLEC-2</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{"citationItems":[{"id":"ITEM-1","itemData":{"DOI":"10.1016/S0049-3848(12)70013-0","ISSN":"00493848","PMID":"22682130","abstract":"It has long been recognised that the function of platelets in health and disease span far beyond their roles in haemostasis and thrombosis. The observation that tumour cells induce platelet aggregation was followed by extensive experimental evidence linking platelets to cancer progression. Aggregated platelets coat tumour cells during their transit through the bloodstream and mediate adherence to vascular endothelium, protection from shear stresses, evasion from immune molecules, and release of an array of bioactive molecules that facilitate tumour cell extravasation and growth at metastatic sites. The sialyated membrane glycoprotein podoplanin is found on the leading edge of tumour cells and is thought to influence their migratory and invasive properties. Podoplanin elicits powerful platelet aggregation and is the endogenous ligand for the platelet C-type lectin receptor, CLEC-2, which itself regulates podoplanin signalling. Here, the bidirectional relationship between CLEC-2 and podoplanin is described and considered in the context of tumour growth and metastasis. © 2012 Elsevier Ltd.","author":[{"dropping-particle":"","family":"Lowe","given":"Kate L","non-dropping-particle":"","parse-names":false,"suffix":""},{"dropping-particle":"","family":"Navarro-Nunez","given":"Leyre","non-dropping-particle":"","parse-names":false,"suffix":""},{"dropping-particle":"","family":"Watson","given":"Stephen P","non-dropping-particle":"","parse-names":false,"suffix":""}],"container-title":"Thrombosis Research","id":"ITEM-1","issue":"SUPPL. 1","issued":{"date-parts":[["2012","4"]]},"page":"S30-7","publisher":"Thromb Res","title":"PL-06 platelet CLEC-2 and podoplanin in cancer metastasis","type":"paper-conference","volume":"129"},"uris":["http://www.mendeley.com/documents/?uuid=1aeec849-1ea3-3998-b034-9666b39343df"]},{"id":"ITEM-2","itemData":{"DOI":"10.1182/blood-2017-02-764670","ISSN":"15280020","PMID":"28385772","abstract":"In this issue of Blood, Payne et al revealed a novel function of the platelet C–type lectin-like receptor 2 (CLEC-2)/podoplanin interaction in thromboinflammation: podoplanin expression is upregulated in the vessel wall during venous thrombosis. Venous thrombosis is prevented in the absence of CLEC-2.1 The role of platelet CLEC-2 in thromboinflammation has been previously unrecognized, because CLEC-2 plays a relatively minor role in arterial thrombosis and only a minimal role in normal hemostasis. Moreover, a CLEC-2 ligand, podoplanin is not expressed in the normal vessel wall.","author":[{"dropping-particle":"","family":"Suzuki-Inoue","given":"Katsue","non-dropping-particle":"","parse-names":false,"suffix":""}],"container-title":"Blood","id":"ITEM-2","issue":"14","issued":{"date-parts":[["2017"]]},"page":"1896-1898","publisher":"Blood","title":"CLEC-2/podoplanin and thromboinflammation","type":"article","volume":"129"},"uris":["http://www.mendeley.com/documents/?uuid=71ca9131-a31d-3ac2-bf21-13c4fadef5b2"]}],"mendeley":{"formattedCitation":"&lt;sup&gt;[36,37]&lt;/sup&gt;","plainTextFormattedCitation":"[36,37]","previouslyFormattedCitation":"&lt;sup&gt;[36,37]&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[36,37]</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w:t>
      </w:r>
      <w:r w:rsidRPr="00B751AA">
        <w:rPr>
          <w:rFonts w:ascii="Book Antiqua" w:hAnsi="Book Antiqua" w:cs="Arial"/>
          <w:b/>
          <w:color w:val="000000" w:themeColor="text1"/>
          <w:sz w:val="24"/>
          <w:szCs w:val="24"/>
          <w:lang w:val="en-GB"/>
        </w:rPr>
        <w:t xml:space="preserve"> </w:t>
      </w:r>
      <w:r w:rsidRPr="00B751AA">
        <w:rPr>
          <w:rFonts w:ascii="Book Antiqua" w:hAnsi="Book Antiqua" w:cs="Arial"/>
          <w:color w:val="000000" w:themeColor="text1"/>
          <w:sz w:val="24"/>
          <w:szCs w:val="24"/>
        </w:rPr>
        <w:t xml:space="preserve">The strong upregulation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supports its potential role as a therapeutic target reviewed by</w:t>
      </w:r>
      <w:r w:rsidRPr="00B751AA">
        <w:rPr>
          <w:rFonts w:ascii="Book Antiqua" w:hAnsi="Book Antiqua"/>
          <w:color w:val="000000" w:themeColor="text1"/>
          <w:sz w:val="24"/>
          <w:szCs w:val="24"/>
        </w:rPr>
        <w:t xml:space="preserve"> </w:t>
      </w:r>
      <w:bookmarkStart w:id="5" w:name="OLE_LINK9"/>
      <w:bookmarkStart w:id="6" w:name="OLE_LINK10"/>
      <w:r w:rsidRPr="00B751AA">
        <w:rPr>
          <w:rFonts w:ascii="Book Antiqua" w:hAnsi="Book Antiqua" w:cs="Arial"/>
          <w:color w:val="000000" w:themeColor="text1"/>
          <w:sz w:val="24"/>
          <w:szCs w:val="24"/>
        </w:rPr>
        <w:t xml:space="preserve">Takemoto </w:t>
      </w:r>
      <w:bookmarkEnd w:id="5"/>
      <w:bookmarkEnd w:id="6"/>
      <w:r w:rsidRPr="00B751AA">
        <w:rPr>
          <w:rFonts w:ascii="Book Antiqua" w:hAnsi="Book Antiqua" w:cs="Arial"/>
          <w:i/>
          <w:iCs/>
          <w:color w:val="000000" w:themeColor="text1"/>
          <w:sz w:val="24"/>
          <w:szCs w:val="24"/>
        </w:rPr>
        <w:t>et al</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{"citationItems":[{"id":"ITEM-1","itemData":{"DOI":"10.1007/s10555-017-9672-2","ISSN":"15737233","PMID":"28674748","abstract":"Tumor cell-induced platelet aggregation facilitates hematogenous metastasis by promoting tumor embolization, preventing immunological assaults and shear stress, and the platelet-releasing growth factors support tumor growth and invasion. Podoplanin, also known as Aggrus, is a type I transmembrane mucin-like glycoprotein and is expressed on wide range of tumor cells. Podoplanin has a role in platelet aggregation and metastasis formation through the binding to its platelet receptor, C-type lectin-like receptor 2 (CLEC-2). The podoplanin research was originally started from the cloning of highly metastatic NL-17 subclone from mouse colon 26 cancer cell line and from the establishment of 8F11 monoclonal antibody (mAb) that could neutralize NL-17-induced platelet aggregation and hematogenous metastasis. Later on, podoplanin was identified as the antigen of 8F11 mAb, and its ectopic expression brought to cells the platelet-aggregating abilities and hematogenous metastasis phenotypes. From the 8F11 mAb recognition epitopes, podoplanin is found to contain tandemly repeated, highly conserved motifs, designated platelet aggregation-stimulating (PLAG) domains. Series of analyses using the cells expressing the mutants and the established neutralizing anti-podoplanin mAbs uncovered that both PLAG3 and PLAG4 domains are associated with the CLEC-2 binding. The neutralizing mAbs targeting PLAG3 or PLAG4 could suppress podoplanin-induced platelet aggregation and hematogenous metastasis through inhibiting the podoplanin–CLEC-2 binding. Therefore, these domains are certainly functional in podoplanin-mediated metastasis through its platelet-aggregating activity. This review summarizes the platelet functions in metastasis formation, the role of platelet aggregation-inducing factor podoplanin in pathological and physiological situations, and the possibility to develop podoplanin-targeting drugs in the future.","author":[{"dropping-particle":"","family":"Takemoto","given":"Ai","non-dropping-particle":"","parse-names":false,"suffix":""},{"dropping-particle":"","family":"Miyata","given":"Kenichi","non-dropping-particle":"","parse-names":false,"suffix":""},{"dropping-particle":"","family":"Fujita","given":"Naoya","non-dropping-particle":"","parse-names":false,"suffix":""}],"container-title":"Cancer and Metastasis Reviews","id":"ITEM-1","issue":"2","issued":{"date-parts":[["2017"]]},"page":"225-234","publisher":"Cancer Metastasis Rev","title":"Platelet-activating factor podoplanin: from discovery to drug development","type":"article-journal","volume":"36"},"uris":["http://www.mendeley.com/documents/?uuid=bbef2117-1500-3dfd-9bae-9705b25e0836"]}],"mendeley":{"formattedCitation":"&lt;sup&gt;[38]&lt;/sup&gt;","plainTextFormattedCitation":"[38]","previouslyFormattedCitation":"&lt;sup&gt;[38]&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[38]</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An anti-human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antibody (NZ-1) inhibiting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-induced platelet aggregation, abrogated experimental metastasis has already been formed, however with strong toxic side effects. A further novel chimeric humanized anti-human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antibody inhibiting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-induced platelet aggregation has been developed as a potential novel anticancer agent</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{"citationItems":[{"id":"ITEM-1","itemData":{"DOI":"10.1089/mab.2016.0006","ISSN":"21679436","PMID":"27328060","abstract":"Podoplanin (PDPN)/Aggrus is a type-I transmembrane sialoglycoprotein, which possesses a platelet aggregation-stimulating (PLAG) domain. The O-glycosylation on Thr52 of human PDPN (hPDPN) is critical for the interaction of hPDPN with C-type lectin-like receptor-2 (CLEC-2), resulting in platelet aggregation. Many anti-hPDPN monoclonal antibodies (MAbs) against PLAG domains and non-PLAG domains have been established; however, mouse anti-PLAG2/3 MAb, the epitope of which is consistent with rat anti-PLAG2/3 MAb NZ-1, has not been established. NZ-1 inhibits the hPDPN-CLEC-2 interaction and is also useful for anti-PA tag MAb. We recently established CasMab technology to produce MAbs against membranous proteins. Herein, we produced a novel anti-hPDPN MAb, LpMab-13, which binds to PLAG2/3 domains. LpMab-13 recognized endogenous hPDPN of cancer cells, including glioblastoma, oral cancer, lung cancer, and malignant mesothelioma, and normal cells such as lymphatic endothelial cells and podocytes of kidney in Western blot, flow cytometry, and immunohistochemistry. LpMab-13 recognized glycan-deficient hPDPN in flow cytometry, indicating that the interaction between LpMab-13 and hPDPN is independent of its glycosylation. The minimum epitope of LpMab-13 was identified as Ala42-Asp49 of hPDPN using Western blot and flow cytometry. The combination of different epitope-possessing MAbs could be advantageous for the hPDPN-targeting diagnosis and therapy.","author":[{"dropping-particle":"","family":"Ogasawara","given":"Satoshi","non-dropping-particle":"","parse-names":false,"suffix":""},{"dropping-particle":"","family":"Kaneko","given":"Mika K.","non-dropping-particle":"","parse-names":false,"suffix":""},{"dropping-particle":"","family":"Honma","given":"Ryusuke","non-dropping-particle":"","parse-names":false,"suffix":""},{"dropping-particle":"","family":"Oki","given":"Hiroharu","non-dropping-particle":"","parse-names":false,"suffix":""},{"dropping-particle":"","family":"Fujii","given":"Yuki","non-dropping-particle":"","parse-names":false,"suffix":""},{"dropping-particle":"","family":"Takagi","given":"Michiaki","non-dropping-particle":"","parse-names":false,"suffix":""},{"dropping-particle":"","family":"Suzuki","given":"Hiroyoshi","non-dropping-particle":"","parse-names":false,"suffix":""},{"dropping-particle":"","family":"Kato","given":"Yukinari","non-dropping-particle":"","parse-names":false,"suffix":""}],"container-title":"Monoclonal Antibodies in Immunodiagnosis and Immunotherapy","id":"ITEM-1","issue":"3","issued":{"date-parts":[["2016"]]},"page":"155-162","publisher":"Monoclon Antib Immunodiagn Immunother","title":"Establishment of Mouse Monoclonal Antibody LpMab-13 Against Human Podoplanin","type":"article-journal","volume":"35"},"uris":["http://www.mendeley.com/documents/?uuid=ce79bad6-b5d5-3aa0-a36c-07c2820b2572"]}],"mendeley":{"formattedCitation":"&lt;sup&gt;[39]&lt;/sup&gt;","plainTextFormattedCitation":"[39]","previouslyFormattedCitation":"&lt;sup&gt;[39]&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[39]</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w:t>
      </w:r>
      <w:r w:rsidR="0055432A"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t xml:space="preserve">Since there is toxicity due to interferences with endogenous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in other cell types like type I lung alveolar cells, kidney podocytes, choroid plexus epithelium, a less interfering antigen has been developed</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{"citationItems":[{"id":"ITEM-1","itemData":{"DOI":"10.1089/mab.2017.0001","ISSN":"21679436","PMID":"28387591","abstract":"Human podoplanin (hPDPN), the ligand of C-type lectin-like receptor-2, is involved in cancer metastasis. Until now, many monoclonal antibodies (mAbs) have been established against hPDPN. However, it is still difficult to develop a cancer-specific mAb (CasMab) against hPDPN because the protein sequence of hPDPN expressed in cancer cells is the same as that in normal cells. Herein, we report LpMab-23 of the mouse IgG1 subclass, a novel CasMab against hPDPN. In an immunohistochemical analysis, LpMab-23 reacted with tumor cells of human oral cancer, but did not react with normal cells such as lymphatic endothelial cells (LECs). In contrast, LpMab-17, another anti-hPDPN mAb, reacted with both tumor cells and LECs. Furthermore, flow cytometric analysis revealed that LpMab-23 reacted with hPDPN-expressing cancer cell lines (LN319, RERF-LC-AI/hPDPN, Y-MESO-14/hPDPN, and HSC3/hPDPN) but showed little reaction with normal cells (LECs and HEK-293T), although another anti-hPDPN mAb, LpMab-7, reacted with both hPDPN-expressing cancer cells and normal cells, indicating that LpMab-23 is a CasMab against hPDPN.","author":[{"dropping-particle":"","family":"Yamada","given":"Shinji","non-dropping-particle":"","parse-names":false,"suffix":""},{"dropping-particle":"","family":"Ogasawara","given":"Satoshi","non-dropping-particle":"","parse-names":false,"suffix":""},{"dropping-particle":"","family":"Kaneko","given":"Mika K","non-dropping-particle":"","parse-names":false,"suffix":""},{"dropping-particle":"","family":"Kato","given":"Yukinari","non-dropping-particle":"","parse-names":false,"suffix":""}],"container-title":"Monoclonal Antibodies in Immunodiagnosis and Immunotherapy","id":"ITEM-1","issue":"2","issued":{"date-parts":[["2017","4"]]},"page":"72-76","publisher":"Monoclon Antib Immunodiagn Immunother","title":"LpMab-23: A Cancer-Specific Monoclonal Antibody Against Human Podoplanin","type":"article-journal","volume":"36"},"uris":["http://www.mendeley.com/documents/?uuid=6f005320-c15f-3282-8502-ae5807136789"]}],"mendeley":{"formattedCitation":"&lt;sup&gt;[40]&lt;/sup&gt;","plainTextFormattedCitation":"[40]","previouslyFormattedCitation":"&lt;sup&gt;[40]&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[40]</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However, the knowledge about the function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in these organs is scarce. </w:t>
      </w:r>
    </w:p>
    <w:p w14:paraId="06E03B62"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has been reported to be involved in tumor progression</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{"citationItems":[{"id":"ITEM-1","itemData":{"DOI":"10.1371/journal.pone.0184970","ISSN":"19326203","PMID":"28938000","abstract":"In our previous studies we showed that in breast cancer podoplanin-positive cancer-associated fibroblasts correlated positively with tumor size, grade of malignancy, lymph node metastasis, lymphovascular invasion and poor patients’ outcome. Therefore, the present study was undertaken to assess if podoplanin expressed by fibroblasts can affect malignancy-associated properties of breast cancer cells. Human fibroblastic cell lines (MSU1.1 and Hs 578Bst) overexpressing podoplanin and control fibroblasts were co-cultured with breast cancer MDA-MB-231 and MCF7 cells and the impact of podoplanin expressed by fibroblasts on migration and invasiveness of breast cancer cells were studied in vitro. Migratory and invasive properties of breast cancer cells were not affected by the presence of podoplanin on the surface of fibroblasts. However, ectopic expression of podoplanin highly increases the migration of MSU1.1 and Hs 578Bst fibroblasts. The present study also revealed for the first time, that podoplanin expression affects the formation of pseudo tubes by endothelial cells. When human HSkMEC cells were co-cultured with podoplanin-rich fibroblasts the endothelial cell capillary-like network was characterized by significantly lower numbers of nodes and meshes than in co-cultures of endothelial cells with podoplanin-negative fibroblasts. The question remains as to how our experimental data can be correlated with previous clinical data showing an association between the presence of podoplanin-positive cancer-associated fibroblasts and progression of breast cancer. Therefore, we propose that expression of podoplanin by fibroblasts facilitates their movement into the tumor stroma, which creates a favorable microenvironment for tumor progression by increasing the number of cancer-associated fibroblasts, which produce numerous factors affecting proliferation, survival and invasion of cancer cells. In accordance with this, the present study revealed for the first time, that such podoplanin-mediated effects can affect tube formation by endothelial cells and participate in their pathological properties in the tumor context. Our experimental data were supported by clinical studies. First, when IDC and DCIS were analyzed by immunohistochemistry according to the presence of podoplanin-expressing cells, the numbers of cancer-associated fibroblasts with high expression of this glycoprotein were significantly higher in IDC than in DCIS cases. Second, using immunofluorescence, th…","author":[{"dropping-particle":"","family":"Suchanski","given":"Jaroslaw","non-dropping-particle":"","parse-names":false,"suffix":""},{"dropping-particle":"","family":"Tejchman","given":"Anna","non-dropping-particle":"","parse-names":false,"suffix":""},{"dropping-particle":"","family":"Zacharski","given":"Maciej","non-dropping-particle":"","parse-names":false,"suffix":""},{"dropping-particle":"","family":"Piotrowska","given":"Aleksandra","non-dropping-particle":"","parse-names":false,"suffix":""},{"dropping-particle":"","family":"Grzegrzolka","given":"Jedrzej","non-dropping-particle":"","parse-names":false,"suffix":""},{"dropping-particle":"","family":"Chodaczek","given":"Grzegorz","non-dropping-particle":"","parse-names":false,"suffix":""},{"dropping-particle":"","family":"Nowinska","given":"Katarzyna","non-dropping-particle":"","parse-names":false,"suffix":""},{"dropping-particle":"","family":"Rys","given":"Janusz","non-dropping-particle":"","parse-names":false,"suffix":""},{"dropping-particle":"","family":"Dziegiel","given":"Piotr","non-dropping-particle":"","parse-names":false,"suffix":""},{"dropping-particle":"","family":"Kieda","given":"Claudine","non-dropping-particle":"","parse-names":false,"suffix":""},{"dropping-particle":"","family":"Ugorski","given":"Maciej","non-dropping-particle":"","parse-names":false,"suffix":""}],"container-title":"PLoS ONE","id":"ITEM-1","issue":"9","issued":{"date-parts":[["2017"]]},"page":"e0184970","publisher":"PLoS One","title":"Podoplanin increases the migration of human fibroblasts and affects the endothelial cell network formation: A possible role for cancer-associated fibroblasts in breast cancer progression","type":"article-journal","volume":"12"},"uris":["http://www.mendeley.com/documents/?uuid=3e663f72-c02a-36f6-9b28-8319eec11b43"]}],"mendeley":{"formattedCitation":"&lt;sup&gt;[41]&lt;/sup&gt;","plainTextFormattedCitation":"[41]","previouslyFormattedCitation":"&lt;sup&gt;[41]&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[41]</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lang w:eastAsia="de-DE"/>
        </w:rPr>
        <w:t xml:space="preserve"> </w:t>
      </w:r>
      <w:r w:rsidRPr="00B751AA">
        <w:rPr>
          <w:rFonts w:ascii="Book Antiqua" w:hAnsi="Book Antiqua" w:cs="Arial"/>
          <w:color w:val="000000" w:themeColor="text1"/>
          <w:sz w:val="24"/>
          <w:szCs w:val="24"/>
        </w:rPr>
        <w:t>correlating with lymph node metastasis</w:t>
      </w:r>
      <w:r w:rsidRPr="00B751AA">
        <w:rPr>
          <w:rFonts w:ascii="Book Antiqua" w:hAnsi="Book Antiqua" w:cs="Arial"/>
          <w:b/>
          <w:color w:val="000000" w:themeColor="text1"/>
          <w:sz w:val="24"/>
          <w:szCs w:val="24"/>
        </w:rPr>
        <w:fldChar w:fldCharType="begin" w:fldLock="1"/>
      </w:r>
      <w:r w:rsidRPr="00B751AA">
        <w:rPr>
          <w:rFonts w:ascii="Book Antiqua" w:hAnsi="Book Antiqua" w:cs="Arial"/>
          <w:b/>
          <w:color w:val="000000" w:themeColor="text1"/>
          <w:sz w:val="24"/>
          <w:szCs w:val="24"/>
        </w:rPr>
        <w:instrText>ADDIN CSL_CITATION {"citationItems":[{"id":"ITEM-1","itemData":{"DOI":"10.2353/ajpath.2010.090703","ISSN":"15252191","PMID":"20616339","abstract":"The membrane glycoprotein podoplanin is expressed by several types of human cancers and might be associated with their malignant progression. Its exact biological function and molecular targets are unclear, however. Here, we assessed the relevance of tumor cell expression of podoplanin in cancer metastasis to lymph nodes, using a human MCF7 breast carcinoma xenograft model. We found that podoplanin expression promoted tumor cell motility in vitro and, unexpectedly, increased tumor lymphangiogenesis and metastasis to regional lymph nodes in vivo, without promoting primary tumor growth. Importantly, high cancer cell expression levels of podoplanin correlated with lymph node metastasis and reduced survival times in a large cohort of 252 oral squamous cell carcinoma patients. Based on comparative transcriptional profiling of tumor xenografts, we identified endothelin-1, villin-1, and tenascin-C as potential mediators of podoplanin-induced tumor lymphangiogenesis and metastasis. These unexpected findings identify a novel mechanism of tumor lymphangiogenesis and metastasis induced by cancer cell expression of podoplanin, suggesting that reagents designed to interfere with podoplanin function might be developed as therapeutics for patients with advanced cancer. Copyright © American Society for Investigative Pathology.","author":[{"dropping-particle":"","family":"Cueni","given":"Leah N","non-dropping-particle":"","parse-names":false,"suffix":""},{"dropping-particle":"","family":"Hegyi","given":"Ivan","non-dropping-particle":"","parse-names":false,"suffix":""},{"dropping-particle":"","family":"Shin","given":"Jay W","non-dropping-particle":"","parse-names":false,"suffix":""},{"dropping-particle":"","family":"Albinger-Hegyi","given":"Andrea","non-dropping-particle":"","parse-names":false,"suffix":""},{"dropping-particle":"","family":"Gruber","given":"Silke","non-dropping-particle":"","parse-names":false,"suffix":""},{"dropping-particle":"","family":"Kunstfeld","given":"Rainer","non-dropping-particle":"","parse-names":false,"suffix":""},{"dropping-particle":"","family":"Moch","given":"Holger","non-dropping-particle":"","parse-names":false,"suffix":""},{"dropping-particle":"","family":"Detmar","given":"Michael","non-dropping-particle":"","parse-names":false,"suffix":""}],"container-title":"American Journal of Pathology","id":"ITEM-1","issue":"2","issued":{"date-parts":[["2010","8"]]},"page":"1004-1016","publisher":"Am J Pathol","title":"Tumor lymphangiogenesis and metastasis to lymph nodes induced by cancer cell expression of podoplanin","type":"article-journal","volume":"177"},"uris":["http://www.mendeley.com/documents/?uuid=81fce6e3-a673-3124-abfd-ab21a76c77df"]},{"id":"ITEM-2","itemData":{"DOI":"10.1002/ijc.25795","ISSN":"00207136","PMID":"21105028","abstract":"In patients with early head and neck squamous cell carcinoma (HNSCC), occult lymph node metastasis is difficult to predict by clinical or pathological parameters. However, such parameters are necessary to select patients either for elective neck dissection or the sentinel lymph node (SLN) procedure. The membrane glycoprotein podoplanin is normally expressed in lymphatic endothelial cells. Recently, expression of podoplanin by cancer cells was demonstrated to promote tumor cell motility and tumor lymphangiogenesis in vitro. The value of cancer cell-expressed podoplanin was to be determined as a predictive marker for SLN metastasis in early HNSCC of the oral cavity and oropharynx. One hundred twenty patients with HNSCC of the oral cavity and oropharynx undergoing a SLN biopsy were enrolled in this prospective clinical trial of SLN biopsy. Cancer cell-expressed podoplanin was determined by immunohistochemistry using tissue microarrays. Podoplanin expression was quantified by the intensity reactivity score and categorized into expression and nonexpression. SLN examination revealed occult metastasis in 45 patients (37.5%). Twenty-nine of 120 (24.2%) primary HNSCC showed podoplanin expression. Podoplanin expression correlated significantly with SLN metastasis (p = 0.029) and remained a significant predictor for lymph node status even after controlling for tumor stage (p = 0.028). As a predictive marker for SLN metastasis, however, podoplanin expression reached a sensitivity of a mere 36% and a specificity of 83%. Podoplanin expression is associated with metastasis to lymph nodes in vivo. Podoplanin immunohistochemistry in early HNSCC of the oral cavity and oropharynx may help to select patients for the SLN procedure and to identify patients with increased risk for presence of occult lymph node metastasis in the neck. Copyright © 2011 UICC.","author":[{"dropping-particle":"","family":"Huber","given":"Gerhard Frank","non-dropping-particle":"","parse-names":false,"suffix":""},{"dropping-particle":"","family":"Fritzsche","given":"Florian R","non-dropping-particle":"","parse-names":false,"suffix":""},{"dropping-particle":"","family":"Züllig","given":"Lena","non-dropping-particle":"","parse-names":false,"suffix":""},{"dropping-particle":"","family":"Storz","given":"Martina","non-dropping-particle":"","parse-names":false,"suffix":""},{"dropping-particle":"","family":"Graf","given":"Nicole","non-dropping-particle":"","parse-names":false,"suffix":""},{"dropping-particle":"","family":"K. Haerle","given":"Stephan","non-dropping-particle":"","parse-names":false,"suffix":""},{"dropping-particle":"","family":"Jochum","given":"Wolfram","non-dropping-particle":"","parse-names":false,"suffix":""},{"dropping-particle":"","family":"Stoeckli","given":"Sandro J","non-dropping-particle":"","parse-names":false,"suffix":""},{"dropping-particle":"","family":"Moch","given":"Holger","non-dropping-particle":"","parse-names":false,"suffix":""}],"container-title":"International Journal of Cancer","id":"ITEM-2","issue":"6","issued":{"date-parts":[["2011","9","15"]]},"page":"1404-1409","publisher":"Int J Cancer","title":"Podoplanin expression correlates with sentinel lymph node metastasis in early squamous cell carcinomas of the oral cavity and oropharynx","type":"article-journal","volume":"129"},"uris":["http://www.mendeley.com/documents/?uuid=784d4ec3-4f42-3cb7-a34e-1e8566f8acda"]},{"id":"ITEM-3","itemData":{"DOI":"10.1111/j.1442-2050.2011.01211.x","ISSN":"11208694","PMID":"21895849","abstract":"Lymphatic metastasis is the predominant cause of the low overall survival of patients with esophageal squamous cell carcinoma (ESCC), as there are no faithful methods available predicting early metastasis. Recent studies suggest an effect of podoplanin expression on metastatic spreading to lymph nodes. The purpose of this study was to investigate the influence of podoplanin expression on lymphatic metastasis and tumor cells, and to find the relationship between podoplanin expression and prognosis of patients with ESCC. We evaluated the level of podoplanin expression on tumor cells and the lymphatic vessel density change of tumor mass compared with normal tissue from the same patient through D2-40 immunohistochemistry staining, and analyzed associations between these two variables and various clinicopathologic parameters individually or conjunctively. There was an association between podoplanin expression and the frequency of lymph node metastases. In 45 patients (80%), podoplanin was expressed on the tumor cells. Twenty-one patients (37.5%) showed high levels of expression. The 5-year disease-free survival rate (5%) for patients with high levels of podoplanin expression was significantly lower (P &lt; 0.001) than for patients with low and moderate expression of podoplanin (54% and 27%, respectively). We concluded that podoplanin is expressed frequently in ESCC, and that the expression of podoplanin on cancer cells, lymphatics, or both is correlated with lymphatic metastasis and clinical outcome. © 2011 the Authors. Journal compilation © 2011, Wiley Periodicals, Inc. and the International Society for Diseases of the Esophagus.","author":[{"dropping-particle":"","family":"Tong","given":"L","non-dropping-particle":"","parse-names":false,"suffix":""},{"dropping-particle":"","family":"Yuan","given":"S","non-dropping-particle":"","parse-names":false,"suffix":""},{"dropping-particle":"","family":"Feng","given":"F","non-dropping-particle":"","parse-names":false,"suffix":""},{"dropping-particle":"","family":"Zhang","given":"H","non-dropping-particle":"","parse-names":false,"suffix":""}],"container-title":"Diseases of the Esophagus","id":"ITEM-3","issue":"1","issued":{"date-parts":[["2012","1"]]},"page":"72-80","publisher":"Dis Esophagus","title":"Role of podoplanin expression in esophageal squamous cell carcinoma: A retrospective study","type":"article-journal","volume":"25"},"uris":["http://www.mendeley.com/documents/?uuid=37eb88f7-c009-37b8-9a7a-0eeb8299e7e8"]},{"id":"ITEM-4","itemData":{"DOI":"10.2174/2211536605666160322151813","ISSN":"22115366","PMID":"27001184","abstract":"ï¿½ 2016 Bentham Science Publishers. Background: The miR-106a-363 cluster, encoding six miRNAs (miR- 106a, miR-18b, miR-20b, miR-19b-2, miR-92-2 and miR-363), has been shown to be overexpressed in various tumours. In oral carcinoma cells, however only miR- 106a was detectable from this cluster. We have investigated how effects of transfection of oral carcinoma cells with a non-expressed member of this cluster affect mRNA transcriptomes and cellular selected functions. Methods: Investigate effects of miR-20b and miR-363 mimics on cellular respiration, glycolysis and mobility. Effects on mRNA transcriptomes were monitored using microarrays. Results: The studies show that in oral carcinoma cells transfected with miR-20b -, or miR-363-3p or miR-363-5p mimic different mRNAs were differentially expressed. Nevertheless, bioinformatics analysis suggested significant associations of differentially expressed genes to inhibition of cellular proliferation, cell cycle and cellular migration. These results were also experimentally confirmed. Conclusions: Transfection of miRNA mimics for unexpressed members of the miR-106a-363 cluster (miR20b, miR-363-3p and miR-363-5p) exhibit an anti-proliferative effect on oral carcinoma cells, although likely mediated by different regulatory mechanisms.","author":[{"dropping-particle":"","family":"Khuu","given":"Cuong","non-dropping-particle":"","parse-names":false,"suffix":""},{"dropping-particle":"","family":"Sehic","given":"Amer","non-dropping-particle":"","parse-names":false,"suffix":""},{"dropping-particle":"","family":"Eide","given":"Lars","non-dropping-particle":"","parse-names":false,"suffix":""},{"dropping-particle":"","family":"Osmundsen","given":"Harald","non-dropping-particle":"","parse-names":false,"suffix":""}],"container-title":"MicroRNA","id":"ITEM-4","issue":"1","issued":{"date-parts":[["2016"]]},"page":"19-35","publisher":"Microrna","title":"Anti-proliferative Properties of miR-20b and miR-363 from the miR-106a-363 Cluster on Human Carcinoma Cells","type":"article-journal","volume":"5"},"uris":["http://www.mendeley.com/documents/?uuid=f802864e-f49a-3572-adf9-257eceab71d1"]},{"id":"ITEM-5","itemData":{"ISSN":"19362625","PMID":"25197355","abstract":"There is growing evidence that cancer-associated fibroblasts (CAFs) interact with tumor cells and play important roles in tumor progression and invasion. Podoplanin is a type-1 transmembrane glycoprotein expressed in a variety of normal human tissues, including lymphatic endothelium. Tumor cell expression of podoplanin correlates with nodal metastasis and poor prognosis in squamous cell carcinoma (SCC) of oral cavity and esophagus. Recently, podoplanin-positive CAFs have been shown to exert adverse or beneficial prognostic effect on different cancer types. However, the significance of podoplanin-positive CAFs in esophageal SCC has not been investigated. This is the first study to investigate podoplanin expression in CAFs and tumor cells by immunohistochemistry in 59 cases of surgically resected esophageal SCC. We found significant association of podoplanin expression between CAFs and tumor cells (P = 0.031). Although the abundance of podoplanin-positive CAFs per se had no prognostic effect, concordant podoplanin expression in CAFs and tumor cells (both high or both low) was strongly associated with short survival (P = 0.00088). Multivariate analysis showed that concordant podoplanin expression was the strongest independent adverse prognostic factor (hazard ratio: 3.62; 95% confidence interval: 1.69-7.77; P = 0.00094). Our data suggest that interaction between podoplanin-positive CAFs and tumor cells is important in tumor biology of esophageal SCC.","author":[{"dropping-particle":"","family":"Chuang","given":"Wen Yu","non-dropping-particle":"","parse-names":false,"suffix":""},{"dropping-particle":"","family":"Yeh","given":"Chi Ju","non-dropping-particle":"","parse-names":false,"suffix":""},{"dropping-particle":"","family":"Chao","given":"Yin Kai","non-dropping-particle":"","parse-names":false,"suffix":""},{"dropping-particle":"","family":"Liu","given":"Yun Hen","non-dropping-particle":"","parse-names":false,"suffix":""},{"dropping-particle":"","family":"Chang","given":"Yu Sun","non-dropping-particle":"","parse-names":false,"suffix":""},{"dropping-particle":"","family":"Tseng","given":"Chen Kan","non-dropping-particle":"","parse-names":false,"suffix":""},{"dropping-particle":"","family":"Chang","given":"Hsien Kun","non-dropping-particle":"","parse-names":false,"suffix":""},{"dropping-particle":"","family":"Wan","given":"Yung Liang","non-dropping-particle":"","parse-names":false,"suffix":""},{"dropping-particle":"","family":"Hsueh","given":"Chuen","non-dropping-particle":"","parse-names":false,"suffix":""}],"container-title":"International Journal of Clinical and Experimental Pathology","id":"ITEM-5","issue":"8","issued":{"date-parts":[["2014"]]},"page":"4847-4856","publisher":"Int J Clin Exp Pathol","title":"Concordant podoplanin expression in cancer-associated fibroblasts and tumor cells is an adverse prognostic factor in esophageal squamous cell carcinoma","type":"article-journal","volume":"7"},"uris":["http://www.mendeley.com/documents/?uuid=08541e3c-8aad-3d35-a559-1eda7a4e48bc"]}],"mendeley":{"formattedCitation":"&lt;sup&gt;[42–46]&lt;/sup&gt;","plainTextFormattedCitation":"[42–46]","previouslyFormattedCitation":"&lt;sup&gt;[42–46]&lt;/sup&gt;"},"properties":{"noteIndex":0},"schema":"https://github.com/citation-style-language/schema/raw/master/csl-citation.json"}</w:instrText>
      </w:r>
      <w:r w:rsidRPr="00B751AA">
        <w:rPr>
          <w:rFonts w:ascii="Book Antiqua" w:hAnsi="Book Antiqua" w:cs="Arial"/>
          <w:b/>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[42</w:t>
      </w:r>
      <w:r w:rsidR="00BB36AA" w:rsidRPr="00B751AA">
        <w:rPr>
          <w:rFonts w:ascii="Book Antiqua" w:hAnsi="Book Antiqua" w:cs="Arial"/>
          <w:noProof/>
          <w:color w:val="000000" w:themeColor="text1"/>
          <w:sz w:val="24"/>
          <w:szCs w:val="24"/>
          <w:vertAlign w:val="superscript"/>
        </w:rPr>
        <w:t>-</w:t>
      </w:r>
      <w:r w:rsidRPr="00B751AA">
        <w:rPr>
          <w:rFonts w:ascii="Book Antiqua" w:hAnsi="Book Antiqua" w:cs="Arial"/>
          <w:noProof/>
          <w:color w:val="000000" w:themeColor="text1"/>
          <w:sz w:val="24"/>
          <w:szCs w:val="24"/>
          <w:vertAlign w:val="superscript"/>
        </w:rPr>
        <w:t>46]</w:t>
      </w:r>
      <w:r w:rsidRPr="00B751AA">
        <w:rPr>
          <w:rFonts w:ascii="Book Antiqua" w:hAnsi="Book Antiqua" w:cs="Arial"/>
          <w:b/>
          <w:color w:val="000000" w:themeColor="text1"/>
          <w:sz w:val="24"/>
          <w:szCs w:val="24"/>
        </w:rPr>
        <w:fldChar w:fldCharType="end"/>
      </w:r>
      <w:r w:rsidRPr="00B751AA">
        <w:rPr>
          <w:rFonts w:ascii="Book Antiqua" w:hAnsi="Book Antiqua" w:cs="Arial"/>
          <w:color w:val="000000" w:themeColor="text1"/>
          <w:sz w:val="24"/>
          <w:szCs w:val="24"/>
        </w:rPr>
        <w:t>.</w:t>
      </w:r>
      <w:r w:rsidRPr="00B751AA">
        <w:rPr>
          <w:rFonts w:ascii="Book Antiqua" w:hAnsi="Book Antiqua" w:cs="Arial"/>
          <w:b/>
          <w:color w:val="000000" w:themeColor="text1"/>
          <w:sz w:val="24"/>
          <w:szCs w:val="24"/>
        </w:rPr>
        <w:t xml:space="preserve"> </w:t>
      </w:r>
      <w:r w:rsidRPr="00B751AA">
        <w:rPr>
          <w:rFonts w:ascii="Book Antiqua" w:hAnsi="Book Antiqua" w:cs="Arial"/>
          <w:color w:val="000000" w:themeColor="text1"/>
          <w:sz w:val="24"/>
          <w:szCs w:val="24"/>
        </w:rPr>
        <w:t xml:space="preserve">We were unable to demonstrate a significant association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and T-category by staining of resection tissue of primary surgery patients, although a trend of a non-significant increase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in T3 category compared to T2 has been observed. The lack of association between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and lymph node metastases might be due to the small number of patients in this subgroup, a weakness of our study.</w:t>
      </w:r>
    </w:p>
    <w:p w14:paraId="6352D60C"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Despite this limitation we were able to detect an association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with prognosis. Our data complements that of Tanaka </w:t>
      </w:r>
      <w:r w:rsidRPr="00B751AA">
        <w:rPr>
          <w:rFonts w:ascii="Book Antiqua" w:hAnsi="Book Antiqua" w:cs="Arial"/>
          <w:i/>
          <w:iCs/>
          <w:color w:val="000000" w:themeColor="text1"/>
          <w:sz w:val="24"/>
          <w:szCs w:val="24"/>
        </w:rPr>
        <w:t>et al</w:t>
      </w:r>
      <w:r w:rsidR="0055432A" w:rsidRPr="00B751AA">
        <w:rPr>
          <w:rFonts w:ascii="Book Antiqua" w:hAnsi="Book Antiqua" w:cs="Arial"/>
          <w:color w:val="000000" w:themeColor="text1"/>
          <w:sz w:val="24"/>
          <w:szCs w:val="24"/>
        </w:rPr>
        <w:fldChar w:fldCharType="begin" w:fldLock="1"/>
      </w:r>
      <w:r w:rsidR="0055432A" w:rsidRPr="00B751AA">
        <w:rPr>
          <w:rFonts w:ascii="Book Antiqua" w:hAnsi="Book Antiqua" w:cs="Arial"/>
          <w:color w:val="000000" w:themeColor="text1"/>
          <w:sz w:val="24"/>
          <w:szCs w:val="24"/>
        </w:rPr>
        <w:instrText>ADDIN CSL_CITATION {"citationItems":[{"id":"ITEM-1","itemData":{"DOI":"10.3892/mmr.2015.3966","ISSN":"17913004","PMID":"26095281","abstract":"Podoplanin is a small membrane mucin, which is involved in cell migration and cancer cell invasion. However, the roles of podoplanin in esophageal squamous cell carcinoma (ESCC) are poorly understood. In the present study, 139 cases of surgically resected ESCC were analyzed and the clinicopathological significance of podoplanin membrane expression in ESCC was demonstrated. Podoplanin expression was positive in 66.2% (92/139) of ESCC samples; with weak expression in 32.4% (45/139), and strong expression in 33.8% (47/139). Membrane expression of podoplanin was significantly associated with tumor status (P=0.001), venous invasion (P=0.035) and Union for International Cancer Control stage (P=0.029). Patients who exhibited strong podoplanin expression, were shown to have a poorer prognosis [hazard ratio (HR), 3.949; 95% confidence interval (CI), 2.001-7.794]. Expression of vimentin, a mesenchymal marker, was detected in 49 cases (35.3%) and was associated with venous invasion (P=0.020). Vimentin-positive cases were also more likely to have a worse prognosis than vimentin-negative cases (HR, 2.161; 95% CI, 1.300-3.592). Podoplanin membrane expression was significantly correlated with vimentin cytoplasmic expression in ESCC (P&lt;0.001). The present study confirmed that podoplanin and vimentin are independent predictors of mortality (HR, 3.084; 95% CI, 1.543-6.164). These results suggest that podoplanin membrane expression results in epithelial-mesenchymal transition and promotes aggressive invasion in human ESCC.","author":[{"dropping-particle":"","family":"Tanaka","given":"Makiko","non-dropping-particle":"","parse-names":false,"suffix":""},{"dropping-particle":"","family":"Kijima","given":"Hiroshi","non-dropping-particle":"","parse-names":false,"suffix":""},{"dropping-particle":"","family":"Shimada","given":"Hideo","non-dropping-particle":"","parse-names":false,"suffix":""},{"dropping-particle":"","family":"Makuuchi","given":"Hiroyasu","non-dropping-particle":"","parse-names":false,"suffix":""},{"dropping-particle":"","family":"Ozawa","given":"Soji","non-dropping-particle":"","parse-names":false,"suffix":""},{"dropping-particle":"","family":"Inokuchi","given":"Sadaki","non-dropping-particle":"","parse-names":false,"suffix":""}],"container-title":"Molecular Medicine Reports","id":"ITEM-1","issue":"3","issued":{"date-parts":[["2015","9"]]},"page":"4029-4036","publisher":"Mol Med Rep","title":"Expression of podoplanin and vimentin is correlated with prognosis in esophageal squamous cell carcinoma","type":"article-journal","volume":"12"},"uris":["http://www.mendeley.com/documents/?uuid=88e34d07-9897-37ac-8b18-846775a992a6"]}],"mendeley":{"formattedCitation":"&lt;sup&gt;[17]&lt;/sup&gt;","plainTextFormattedCitation":"[17]","previouslyFormattedCitation":"&lt;sup&gt;[17]&lt;/sup&gt;"},"properties":{"noteIndex":0},"schema":"https://github.com/citation-style-language/schema/raw/master/csl-citation.json"}</w:instrText>
      </w:r>
      <w:r w:rsidR="0055432A" w:rsidRPr="00B751AA">
        <w:rPr>
          <w:rFonts w:ascii="Book Antiqua" w:hAnsi="Book Antiqua" w:cs="Arial"/>
          <w:color w:val="000000" w:themeColor="text1"/>
          <w:sz w:val="24"/>
          <w:szCs w:val="24"/>
        </w:rPr>
        <w:fldChar w:fldCharType="separate"/>
      </w:r>
      <w:r w:rsidR="0055432A" w:rsidRPr="00B751AA">
        <w:rPr>
          <w:rFonts w:ascii="Book Antiqua" w:hAnsi="Book Antiqua" w:cs="Arial"/>
          <w:noProof/>
          <w:color w:val="000000" w:themeColor="text1"/>
          <w:sz w:val="24"/>
          <w:szCs w:val="24"/>
          <w:vertAlign w:val="superscript"/>
        </w:rPr>
        <w:t>[17]</w:t>
      </w:r>
      <w:r w:rsidR="0055432A"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reporting on increased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as a predictor of mortality. Therefore,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could be applied as a prognostic marker for identification of patients with high risk for tumor progression.</w:t>
      </w:r>
    </w:p>
    <w:p w14:paraId="7BEA7414"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represents an oncofetal antigen not expressed in most adult cells and re-expressed in squamous cell carcinoma. The transcriptional 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has been reviewed by Astarita </w:t>
      </w:r>
      <w:r w:rsidRPr="00B751AA">
        <w:rPr>
          <w:rFonts w:ascii="Book Antiqua" w:hAnsi="Book Antiqua" w:cs="Arial"/>
          <w:i/>
          <w:iCs/>
          <w:color w:val="000000" w:themeColor="text1"/>
          <w:sz w:val="24"/>
          <w:szCs w:val="24"/>
        </w:rPr>
        <w:t>et al</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{"citationItems":[{"id":"ITEM-1","itemData":{"DOI":"10.3389/fimmu.2012.00283","ISSN":"16643224","PMID":"22988448","abstract":"Podoplanin (PDPN) is a well-conserved, mucin-type transmembrane protein expressed in multiple tissues during ontogeny and in adult animals, including the brain, heart, kidney, lungs, osteoblasts, and lymphoid organs. Studies of PDPN-deficient mice have demonstrated that this molecule plays a critical role in development of the heart, lungs, and lymphatic system. PDPN is widely used as a marker for lymphatic endothelial cells and fibroblastic reticular cells of lymphoid organs and for lymphatics in the skin and tumor microenvironment. Much of the mechanistic insight into PDPN biology has been gleaned from studies of tumor cells; tumor cells often upregulate PDPN as they undergo epithelial-mesenchymal transition and this upregulation is correlated with increased motility and metastasis. The physiological role of PDPN that has been most studied is its ability to aggregate and activate CLEC-2-expressing platelets, as PDPN is the only known endogenous ligandforCLEC-2. However, more recent studies have revealed that PDPN also plays crucial roles in the biology of immune cells, includingT cells and dendritic cells. This review will provide a comprehensive overview of the diverse roles of PDPN in development, immunology, and cancer. © 2012 Astarita, Acton and Turley.","author":[{"dropping-particle":"","family":"Astarita","given":"Jillian L","non-dropping-particle":"","parse-names":false,"suffix":""},{"dropping-particle":"","family":"Acton","given":"Sophie E","non-dropping-particle":"","parse-names":false,"suffix":""},{"dropping-particle":"","family":"Turley","given":"Shannon J","non-dropping-particle":"","parse-names":false,"suffix":""}],"container-title":"Frontiers in Immunology","id":"ITEM-1","issue":"SEP","issued":{"date-parts":[["2012"]]},"page":"283","publisher":"Front Immunol","title":"Podoplanin: Emerging functions in development, the immune system, and cancer","type":"article","volume":"3"},"uris":["http://www.mendeley.com/documents/?uuid=c1f9464e-af80-38bb-b9b9-1a9c000d4fe3"]}],"mendeley":{"formattedCitation":"&lt;sup&gt;[47]&lt;/sup&gt;","plainTextFormattedCitation":"[47]","previouslyFormattedCitation":"&lt;sup&gt;[47]&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[47]</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w:t>
      </w:r>
      <w:r w:rsidRPr="00B751AA">
        <w:rPr>
          <w:rFonts w:ascii="Book Antiqua" w:hAnsi="Book Antiqua" w:cs="Arial"/>
          <w:color w:val="000000" w:themeColor="text1"/>
          <w:sz w:val="24"/>
          <w:szCs w:val="24"/>
        </w:rPr>
        <w:lastRenderedPageBreak/>
        <w:t xml:space="preserve">transcription is regulated by AP-1 transcription factor comprised of </w:t>
      </w:r>
      <w:proofErr w:type="spellStart"/>
      <w:r w:rsidRPr="00B751AA">
        <w:rPr>
          <w:rFonts w:ascii="Book Antiqua" w:hAnsi="Book Antiqua" w:cs="Arial"/>
          <w:color w:val="000000" w:themeColor="text1"/>
          <w:sz w:val="24"/>
          <w:szCs w:val="24"/>
        </w:rPr>
        <w:t>Fos</w:t>
      </w:r>
      <w:proofErr w:type="spellEnd"/>
      <w:r w:rsidRPr="00B751AA">
        <w:rPr>
          <w:rFonts w:ascii="Book Antiqua" w:hAnsi="Book Antiqua" w:cs="Arial"/>
          <w:color w:val="000000" w:themeColor="text1"/>
          <w:sz w:val="24"/>
          <w:szCs w:val="24"/>
        </w:rPr>
        <w:t xml:space="preserve"> and Jun proteins. PTEN expression, a negative regulator of PI3K-AKT-AP-1 pathway, has inversely been correlated with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The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promoter is heavily methylated keeping it repressed. Upregulation during malignant conditions seems to depend on the activity of </w:t>
      </w:r>
      <w:proofErr w:type="spellStart"/>
      <w:r w:rsidRPr="00B751AA">
        <w:rPr>
          <w:rFonts w:ascii="Book Antiqua" w:hAnsi="Book Antiqua" w:cs="Arial"/>
          <w:color w:val="000000" w:themeColor="text1"/>
          <w:sz w:val="24"/>
          <w:szCs w:val="24"/>
        </w:rPr>
        <w:t>Fos</w:t>
      </w:r>
      <w:proofErr w:type="spellEnd"/>
      <w:r w:rsidRPr="00B751AA">
        <w:rPr>
          <w:rFonts w:ascii="Book Antiqua" w:hAnsi="Book Antiqua" w:cs="Arial"/>
          <w:color w:val="000000" w:themeColor="text1"/>
          <w:sz w:val="24"/>
          <w:szCs w:val="24"/>
        </w:rPr>
        <w:t xml:space="preserve"> and Jun (AP-1) transcription factors. miRNAs are a major tool of posttranscriptional regulation. As a kind of master regulator these small molecules inhibit protein expression binding or degrading mRNAs</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{"citationItems":[{"id":"ITEM-1","itemData":{"DOI":"10.1159/000324926","ISSN":"10152008","PMID":"21613804","abstract":"Objective: Podoplanin, a known lymphatic endothelial cell marker, has been reported to be expressed in various types of cancer. To elucidate the expression of podoplanin in precancerous lesions, we examined the immunohistochemical profiles of podoplanin in oral squamous epithelial lesions. Method: We studied a total of 298 foci of squamous cell carcinoma (SCC), carcinoma in situ (CIS), epithelial dysplasia, and hyperplastic and/or normal epithelial lesions by immunohistochemistry using D2-40. Results: There was no positivity for podoplanin in normal or hyperplastic epithelia, while all of the CIS and SCC foci stained positive. Approximately one third of the mild dysplasia foci (10 of 36 foci, 28%) and 80% of moderate dysplasia foci (78/98) showed grade 1 positive reactions (positive only in the 1st layer). Grade 2 reactions (up to 4th layer) were seen in 4 of 98 moderate dysplasia foci (4%), 29 of 74 CIS foci (39%), and 3 of 30 SCC foci (10%). Grade 3 reactions (to more than 5th layer) were found in 35 (47%) CIS foci and 26 (87%) SCC foci. Conclusions: The relationship between the present histological categorization and podoplanin grade was statistically significant. D2-40 expression is considered to be related to the severity of oral precancerous lesions. Copyright © 2011 S. Karger AG, Basel.","author":[{"dropping-particle":"","family":"Funayama","given":"Akinori","non-dropping-particle":"","parse-names":false,"suffix":""},{"dropping-particle":"","family":"Cheng","given":"Jun","non-dropping-particle":"","parse-names":false,"suffix":""},{"dropping-particle":"","family":"Maruyama","given":"Satoshi","non-dropping-particle":"","parse-names":false,"suffix":""},{"dropping-particle":"","family":"Yamazaki","given":"Manabu","non-dropping-particle":"","parse-names":false,"suffix":""},{"dropping-particle":"","family":"Kobayashi","given":"Takanori","non-dropping-particle":"","parse-names":false,"suffix":""},{"dropping-particle":"","family":"Syafriadi","given":"Mei","non-dropping-particle":"","parse-names":false,"suffix":""},{"dropping-particle":"","family":"Kundu","given":"Sukalyan","non-dropping-particle":"","parse-names":false,"suffix":""},{"dropping-particle":"","family":"Shingaki","given":"Susumu","non-dropping-particle":"","parse-names":false,"suffix":""},{"dropping-particle":"","family":"Saito","given":"Chikara","non-dropping-particle":"","parse-names":false,"suffix":""},{"dropping-particle":"","family":"Saku","given":"Takashi","non-dropping-particle":"","parse-names":false,"suffix":""}],"container-title":"Pathobiology","id":"ITEM-1","issue":"3","issued":{"date-parts":[["2011"]]},"page":"171-180","publisher":"Pathobiology","title":"Enhanced expression of podoplanin in oral carcinomas in situ and squamous cell carcinomas","type":"article-journal","volume":"78"},"uris":["http://www.mendeley.com/documents/?uuid=b305418c-1017-3c5f-b4e4-b5040cea8559"]}],"mendeley":{"formattedCitation":"&lt;sup&gt;[25]&lt;/sup&gt;","plainTextFormattedCitation":"[25]","previouslyFormattedCitation":"&lt;sup&gt;[25]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[25]</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Circulating microRNAs have been associated with unfavorable response to neoadjuvant chemoradiotherapy</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{"citationItems":[{"id":"ITEM-1","itemData":{"DOI":"10.18632/oncotarget.11649","ISSN":"19492553","PMID":"27572313","abstract":"Preoperative chemoradiotherapy (pre-CRT) has been represented as the standard treatment for locally advanced rectal cancer (LARC), but large variations of tumor radiation response to CRT have been reported in the clinic. To explore the function of microRNAs as potential therapeutic predictors of pre-CRT pathological response in LARC, we analyzed global miRNA expression in CRT-sensitive and CRT-resistant groups before treatment. MiR-345 was significantly elevated in the CRT-resistant group. Therefore, miR-345 was selected as a candidate for further analysis. We assessed the correlation between the miRNA signatures and the chemoradiotherapeutic response in 20 randomly selected LARC tissue samples (Validation set) and 87 serum samples (Training set) by qRT-PCR. Further, we validated the results in 42 randomly selected LARC serum samples (Validation set). High miR-345 expression was significantly correlated with unfavorable pre-CRT pathological response in tissue and serum. Moreover, low miR-345 levels predicted superior 3-year local recurrence free survival (LRFS). Taken together, circulating serum miR-345 correlates with unfavorable pre-CRT response and poor locoregional control in LARC. It might be a promising biomarker to facilitate patient stratification for personalized treatment.","author":[{"dropping-particle":"","family":"Yu","given":"Jing","non-dropping-particle":"","parse-names":false,"suffix":""},{"dropping-particle":"","family":"Li","given":"Ning","non-dropping-particle":"","parse-names":false,"suffix":""},{"dropping-particle":"","family":"Wang","given":"Xin","non-dropping-particle":"","parse-names":false,"suffix":""},{"dropping-particle":"","family":"Ren","given":"Hua","non-dropping-particle":"","parse-names":false,"suffix":""},{"dropping-particle":"","family":"Wang","given":"Weihu","non-dropping-particle":"","parse-names":false,"suffix":""},{"dropping-particle":"","family":"Wang","given":"Shulian","non-dropping-particle":"","parse-names":false,"suffix":""},{"dropping-particle":"","family":"Song","given":"Yongwen","non-dropping-particle":"","parse-names":false,"suffix":""},{"dropping-particle":"","family":"Liu","given":"Yueping","non-dropping-particle":"","parse-names":false,"suffix":""},{"dropping-particle":"","family":"Li","given":"Yexiong","non-dropping-particle":"","parse-names":false,"suffix":""},{"dropping-particle":"","family":"Zhou","given":"Xuantong","non-dropping-particle":"","parse-names":false,"suffix":""},{"dropping-particle":"","family":"Luo","given":"Aiping","non-dropping-particle":"","parse-names":false,"suffix":""},{"dropping-particle":"","family":"Liu","given":"Zhihua","non-dropping-particle":"","parse-names":false,"suffix":""},{"dropping-particle":"","family":"Jin","given":"Jing","non-dropping-particle":"","parse-names":false,"suffix":""}],"container-title":"Oncotarget","id":"ITEM-1","issue":"39","issued":{"date-parts":[["2016","9","27"]]},"page":"64233-64243","publisher":"Oncotarget","title":"Circulating serum microRNA-345 correlates with unfavorable pathological response to preoperative chemoradiotherapy in locally advanced rectal cancer","type":"article-journal","volume":"7"},"uris":["http://www.mendeley.com/documents/?uuid=57768dd1-157e-33b1-8c8e-0ee4e5dd14a1"]}],"mendeley":{"formattedCitation":"&lt;sup&gt;[48]&lt;/sup&gt;","plainTextFormattedCitation":"[48]","previouslyFormattedCitation":"&lt;sup&gt;[48]&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[48]</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A potential impact of post-transcriptional 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protein expression by miR-363 has been described for head and neck squamous cell carcinoma</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{"citationItems":[{"id":"ITEM-1","itemData":{"DOI":"10.1016/j.biocel.2012.12.004","ISSN":"13572725","PMID":"23246488","abstract":"Head and neck squamous cell carcinoma (HNSCC) is characterised by an elevated capacity for tumour invasion and lymph node metastasis and the cause remains to be determined. Recent studies suggest that microRNAs can regulate the evolution of malignant behaviours by regulating multiple target genes. In this study, we have first confirmed that miR-363 is down-regulated in HNSCC tissues with lymph node metastasis and cell lines with highly invasive capacity. We used bioinformatics, cellular and molecular methods to predict and prove that miR-363 directly targeted to podoplanin (PDPN) and caused up-regulation of PDPN in HNSCC. MSP assay showed that DNA promoter methylation was involved in silencing the miR-363 in HNSCC. Furthermore, we provided evidence to demonstrate that PDPN dysregulation caused by down-regulation of miR-363 contributes to HNSCC invasion and metastasis. These data reveal a key role of miR-363-PDPN in HNSCC metastasis and support biological and clinical links between miR-363-PDPN and HNSCC. © 2012 Elsevier Ltd.","author":[{"dropping-particle":"","family":"Sun","given":"Qiang","non-dropping-particle":"","parse-names":false,"suffix":""},{"dropping-particle":"","family":"Zhang","given":"Jianjun","non-dropping-particle":"","parse-names":false,"suffix":""},{"dropping-particle":"","family":"Cao","given":"Wei","non-dropping-particle":"","parse-names":false,"suffix":""},{"dropping-particle":"","family":"Wang","given":"Xu","non-dropping-particle":"","parse-names":false,"suffix":""},{"dropping-particle":"","family":"Xu","given":"Qin","non-dropping-particle":"","parse-names":false,"suffix":""},{"dropping-particle":"","family":"Yan","given":"Ming","non-dropping-particle":"","parse-names":false,"suffix":""},{"dropping-particle":"","family":"Wu","given":"Xiangbing","non-dropping-particle":"","parse-names":false,"suffix":""},{"dropping-particle":"","family":"Chen","given":"Wantao","non-dropping-particle":"","parse-names":false,"suffix":""}],"container-title":"International Journal of Biochemistry and Cell Biology","id":"ITEM-1","issue":"3","issued":{"date-parts":[["2013","3"]]},"page":"513-520","publisher":"Int J Biochem Cell Biol","title":"Dysregulated miR-363 affects head and neck cancer invasion and metastasis by targeting podoplanin","type":"article-journal","volume":"45"},"uris":["http://www.mendeley.com/documents/?uuid=7b6217ad-fb5b-33d0-879c-6bbefb4f2f1c"]}],"mendeley":{"formattedCitation":"&lt;sup&gt;[20]&lt;/sup&gt;","plainTextFormattedCitation":"[20]"},"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[20]</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Anti-proliferative properties have also been reported for miR-363</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{"citationItems":[{"id":"ITEM-1","itemData":{"DOI":"10.2174/2211536605666160322151813","ISSN":"22115366","PMID":"27001184","abstract":"ï¿½ 2016 Bentham Science Publishers. Background: The miR-106a-363 cluster, encoding six miRNAs (miR- 106a, miR-18b, miR-20b, miR-19b-2, miR-92-2 and miR-363), has been shown to be overexpressed in various tumours. In oral carcinoma cells, however only miR- 106a was detectable from this cluster. We have investigated how effects of transfection of oral carcinoma cells with a non-expressed member of this cluster affect mRNA transcriptomes and cellular selected functions. Methods: Investigate effects of miR-20b and miR-363 mimics on cellular respiration, glycolysis and mobility. Effects on mRNA transcriptomes were monitored using microarrays. Results: The studies show that in oral carcinoma cells transfected with miR-20b -, or miR-363-3p or miR-363-5p mimic different mRNAs were differentially expressed. Nevertheless, bioinformatics analysis suggested significant associations of differentially expressed genes to inhibition of cellular proliferation, cell cycle and cellular migration. These results were also experimentally confirmed. Conclusions: Transfection of miRNA mimics for unexpressed members of the miR-106a-363 cluster (miR20b, miR-363-3p and miR-363-5p) exhibit an anti-proliferative effect on oral carcinoma cells, although likely mediated by different regulatory mechanisms.","author":[{"dropping-particle":"","family":"Khuu","given":"Cuong","non-dropping-particle":"","parse-names":false,"suffix":""},{"dropping-particle":"","family":"Sehic","given":"Amer","non-dropping-particle":"","parse-names":false,"suffix":""},{"dropping-particle":"","family":"Eide","given":"Lars","non-dropping-particle":"","parse-names":false,"suffix":""},{"dropping-particle":"","family":"Osmundsen","given":"Harald","non-dropping-particle":"","parse-names":false,"suffix":""}],"container-title":"MicroRNA","id":"ITEM-1","issue":"1","issued":{"date-parts":[["2016"]]},"page":"19-35","publisher":"Microrna","title":"Anti-proliferative Properties of miR-20b and miR-363 from the miR-106a-363 Cluster on Human Carcinoma Cells","type":"article-journal","volume":"5"},"uris":["http://www.mendeley.com/documents/?uuid=f802864e-f49a-3572-adf9-257eceab71d1"]}],"mendeley":{"formattedCitation":"&lt;sup&gt;[45]&lt;/sup&gt;","plainTextFormattedCitation":"[45]","previouslyFormattedCitation":"&lt;sup&gt;[45]&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[44]</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in gastric cancer</w:t>
      </w:r>
      <w:r w:rsidRPr="00B751AA">
        <w:rPr>
          <w:rFonts w:ascii="Book Antiqua" w:hAnsi="Book Antiqua" w:cs="Arial"/>
          <w:color w:val="000000" w:themeColor="text1"/>
          <w:sz w:val="24"/>
          <w:szCs w:val="24"/>
        </w:rPr>
        <w:fldChar w:fldCharType="begin" w:fldLock="1"/>
      </w:r>
      <w:r w:rsidRPr="00B751AA">
        <w:rPr>
          <w:rFonts w:ascii="Book Antiqua" w:hAnsi="Book Antiqua" w:cs="Arial"/>
          <w:color w:val="000000" w:themeColor="text1"/>
          <w:sz w:val="24"/>
          <w:szCs w:val="24"/>
        </w:rPr>
        <w:instrText>ADDIN CSL_CITATION {"citationItems":[{"id":"ITEM-1","itemData":{"DOI":"10.12659/MSM.896556","ISSN":"16433750","PMID":"26709677","abstract":"Background: Gastric cancer (GC) is the most common cancer in the world. Despite the advancement of the treatment of GC, the 5-year overall survival rate is still very low. MicroRNAs (miRNAs) play important roles in the pathogenesis of GC. A recent study suggested that miR-363-3p plays a role in the development of GC. However, the function of miR-363-3p in GC is not fully understood. Material/Methods: The network of NOTCH1 and the involved molecules was constructed by use of Cytoscape software. MiR-363-3p levels in GC tissues and cells were tested by qRT-PCR. Cells were miR-363-3p mimics or anti-miR-363-3p transfected by Lipofectamine. Bioinformatics algorithms from TargetScanHuman were used to predict the target genes of miR-363-3p. The NOTCH1 protein level was tested by Western blot. The interaction between miR-363- 3p and NOTCH1 was confirmed by dual luciferase assays. Results: MiR-363-3p showed low levels in GC tissues and cells. Enforced expression of miR-363-3p inhibited cell growth and migration of GC cells and vice versa. NOTCH1 is the targeted gene of miR-363-3p. Conclusions: MiR-363-3p plays a tumor suppressor role in GC.","author":[{"dropping-particle":"","family":"Song","given":"Bo","non-dropping-particle":"","parse-names":false,"suffix":""},{"dropping-particle":"","family":"Yan","given":"Jin","non-dropping-particle":"","parse-names":false,"suffix":""},{"dropping-particle":"","family":"Liu","given":"Chao","non-dropping-particle":"","parse-names":false,"suffix":""},{"dropping-particle":"","family":"Zhou","given":"Haiyang","non-dropping-particle":"","parse-names":false,"suffix":""},{"dropping-particle":"","family":"Zheng","given":"Yangchun","non-dropping-particle":"","parse-names":false,"suffix":""}],"container-title":"Medical Science Monitor","id":"ITEM-1","issued":{"date-parts":[["2015"]]},"page":"4074-4080","publisher":"Med Sci Monit","title":"Tumor suppressor role of mir-363-3p in gastric cancer","type":"article-journal","volume":"21"},"uris":["http://www.mendeley.com/documents/?uuid=9059d808-dc0f-37fc-a2ba-643de07d8cc8"]}],"mendeley":{"formattedCitation":"&lt;sup&gt;[49]&lt;/sup&gt;","plainTextFormattedCitation":"[49]","previouslyFormattedCitation":"&lt;sup&gt;[49]&lt;/sup&gt;"},"properties":{"noteIndex":0},"schema":"https://github.com/citation-style-language/schema/raw/master/csl-citation.json"}</w:instrText>
      </w:r>
      <w:r w:rsidRPr="00B751AA">
        <w:rPr>
          <w:rFonts w:ascii="Book Antiqua" w:hAnsi="Book Antiqua" w:cs="Arial"/>
          <w:color w:val="000000" w:themeColor="text1"/>
          <w:sz w:val="24"/>
          <w:szCs w:val="24"/>
        </w:rPr>
        <w:fldChar w:fldCharType="separate"/>
      </w:r>
      <w:r w:rsidRPr="00B751AA">
        <w:rPr>
          <w:rFonts w:ascii="Book Antiqua" w:hAnsi="Book Antiqua" w:cs="Arial"/>
          <w:noProof/>
          <w:color w:val="000000" w:themeColor="text1"/>
          <w:sz w:val="24"/>
          <w:szCs w:val="24"/>
          <w:vertAlign w:val="superscript"/>
        </w:rPr>
        <w:t>[49]</w:t>
      </w:r>
      <w:r w:rsidRPr="00B751AA">
        <w:rPr>
          <w:rFonts w:ascii="Book Antiqua" w:hAnsi="Book Antiqua" w:cs="Arial"/>
          <w:color w:val="000000" w:themeColor="text1"/>
          <w:sz w:val="24"/>
          <w:szCs w:val="24"/>
        </w:rPr>
        <w:fldChar w:fldCharType="end"/>
      </w:r>
      <w:r w:rsidRPr="00B751AA">
        <w:rPr>
          <w:rFonts w:ascii="Book Antiqua" w:hAnsi="Book Antiqua" w:cs="Arial"/>
          <w:color w:val="000000" w:themeColor="text1"/>
          <w:sz w:val="24"/>
          <w:szCs w:val="24"/>
        </w:rPr>
        <w:t xml:space="preserve">. We correlated miR-363 quantification with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protein expression and identified a cut-off value associated with a significant correlation. Patients with high miR-363 expression and down-regulated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had a better prognosis. This association and the potential role of miR-363 for up-regulation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expression in ESCC also is a novel finding.</w:t>
      </w:r>
    </w:p>
    <w:p w14:paraId="6C742EC8" w14:textId="77777777" w:rsidR="00FE6179" w:rsidRPr="00B751AA" w:rsidRDefault="00FE6179" w:rsidP="00B751AA">
      <w:pPr>
        <w:adjustRightInd w:val="0"/>
        <w:snapToGrid w:val="0"/>
        <w:spacing w:after="0" w:line="360" w:lineRule="auto"/>
        <w:ind w:firstLineChars="100" w:firstLine="240"/>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This is the first study showing a significant down-regulation of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protein expression during neoadjuvant chemoradiation in patients with ESCC. </w:t>
      </w:r>
      <w:proofErr w:type="spellStart"/>
      <w:r w:rsidRPr="00B751AA">
        <w:rPr>
          <w:rFonts w:ascii="Book Antiqua" w:hAnsi="Book Antiqua" w:cs="Arial"/>
          <w:color w:val="000000" w:themeColor="text1"/>
          <w:sz w:val="24"/>
          <w:szCs w:val="24"/>
        </w:rPr>
        <w:t>Podoplanin</w:t>
      </w:r>
      <w:proofErr w:type="spellEnd"/>
      <w:r w:rsidRPr="00B751AA">
        <w:rPr>
          <w:rFonts w:ascii="Book Antiqua" w:hAnsi="Book Antiqua" w:cs="Arial"/>
          <w:color w:val="000000" w:themeColor="text1"/>
          <w:sz w:val="24"/>
          <w:szCs w:val="24"/>
        </w:rPr>
        <w:t xml:space="preserve"> as well as its post-transcriptional regulator miR-363 might be important targets for a tailored therapy of locally advanced ESCC, as well as markers for prognosis.</w:t>
      </w:r>
    </w:p>
    <w:p w14:paraId="403390E3"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154A3367" w14:textId="77777777" w:rsidR="00BB36AA" w:rsidRPr="00B751AA" w:rsidRDefault="00BB36AA" w:rsidP="00B751AA">
      <w:pPr>
        <w:adjustRightInd w:val="0"/>
        <w:snapToGrid w:val="0"/>
        <w:spacing w:after="0" w:line="360" w:lineRule="auto"/>
        <w:jc w:val="both"/>
        <w:rPr>
          <w:rFonts w:ascii="Book Antiqua" w:hAnsi="Book Antiqua" w:cstheme="minorHAnsi"/>
          <w:b/>
          <w:sz w:val="24"/>
          <w:szCs w:val="24"/>
          <w:u w:val="single"/>
        </w:rPr>
      </w:pPr>
      <w:r w:rsidRPr="00B751AA">
        <w:rPr>
          <w:rFonts w:ascii="Book Antiqua" w:hAnsi="Book Antiqua" w:cstheme="minorHAnsi"/>
          <w:b/>
          <w:sz w:val="24"/>
          <w:szCs w:val="24"/>
          <w:u w:val="single"/>
        </w:rPr>
        <w:t>ARTICLE HIGHLIGHTS</w:t>
      </w:r>
    </w:p>
    <w:p w14:paraId="5AA2AF36" w14:textId="77777777" w:rsidR="00BB36AA" w:rsidRPr="00B751AA" w:rsidRDefault="00BB36AA" w:rsidP="00B751AA">
      <w:pPr>
        <w:adjustRightInd w:val="0"/>
        <w:snapToGrid w:val="0"/>
        <w:spacing w:after="0" w:line="360" w:lineRule="auto"/>
        <w:jc w:val="both"/>
        <w:rPr>
          <w:rFonts w:ascii="Book Antiqua" w:hAnsi="Book Antiqua" w:cstheme="minorBidi"/>
          <w:b/>
          <w:i/>
          <w:iCs/>
          <w:sz w:val="24"/>
          <w:szCs w:val="24"/>
        </w:rPr>
      </w:pPr>
      <w:r w:rsidRPr="00B751AA">
        <w:rPr>
          <w:rFonts w:ascii="Book Antiqua" w:hAnsi="Book Antiqua" w:cstheme="minorBidi"/>
          <w:b/>
          <w:i/>
          <w:iCs/>
          <w:sz w:val="24"/>
          <w:szCs w:val="24"/>
        </w:rPr>
        <w:t>Research background</w:t>
      </w:r>
    </w:p>
    <w:p w14:paraId="2E289EAF"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de-DE"/>
        </w:rPr>
        <w:t>Patients with locally advanced esophageal carcinoma have a poor prognosis. Additionally, only 40</w:t>
      </w:r>
      <w:r w:rsidR="00DF1C41" w:rsidRPr="00B751AA">
        <w:rPr>
          <w:rFonts w:ascii="Book Antiqua" w:hAnsi="Book Antiqua" w:cs="Arial"/>
          <w:color w:val="000000" w:themeColor="text1"/>
          <w:sz w:val="24"/>
          <w:szCs w:val="24"/>
          <w:lang w:val="de-DE"/>
        </w:rPr>
        <w:t>%-</w:t>
      </w:r>
      <w:r w:rsidRPr="00B751AA">
        <w:rPr>
          <w:rFonts w:ascii="Book Antiqua" w:hAnsi="Book Antiqua" w:cs="Arial"/>
          <w:color w:val="000000" w:themeColor="text1"/>
          <w:sz w:val="24"/>
          <w:szCs w:val="24"/>
          <w:lang w:val="de-DE"/>
        </w:rPr>
        <w:t>50% of the patients profit by improved survival from neoadjuvant therapies after the burden of chemoradiation</w:t>
      </w:r>
      <w:r w:rsidR="00BB36AA" w:rsidRPr="00B751AA">
        <w:rPr>
          <w:rFonts w:ascii="Book Antiqua" w:hAnsi="Book Antiqua" w:cs="Arial"/>
          <w:color w:val="000000" w:themeColor="text1"/>
          <w:sz w:val="24"/>
          <w:szCs w:val="24"/>
          <w:lang w:val="de-DE"/>
        </w:rPr>
        <w:t>.</w:t>
      </w:r>
    </w:p>
    <w:p w14:paraId="675C60E9" w14:textId="77777777" w:rsidR="00BB36AA" w:rsidRPr="00B751AA" w:rsidRDefault="00BB36AA" w:rsidP="00B751AA">
      <w:pPr>
        <w:adjustRightInd w:val="0"/>
        <w:snapToGrid w:val="0"/>
        <w:spacing w:after="0" w:line="360" w:lineRule="auto"/>
        <w:jc w:val="both"/>
        <w:rPr>
          <w:rFonts w:ascii="Book Antiqua" w:hAnsi="Book Antiqua" w:cs="Arial"/>
          <w:color w:val="000000" w:themeColor="text1"/>
          <w:sz w:val="24"/>
          <w:szCs w:val="24"/>
          <w:lang w:val="de-DE"/>
        </w:rPr>
      </w:pPr>
    </w:p>
    <w:p w14:paraId="5DFEB378"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
          <w:bCs/>
          <w:i/>
          <w:iCs/>
          <w:color w:val="000000" w:themeColor="text1"/>
          <w:sz w:val="24"/>
          <w:szCs w:val="24"/>
          <w:lang w:val="de-DE"/>
        </w:rPr>
        <w:t xml:space="preserve">Research motivation </w:t>
      </w:r>
    </w:p>
    <w:p w14:paraId="0F37E0D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de-DE"/>
        </w:rPr>
        <w:lastRenderedPageBreak/>
        <w:t>We urgently need markers for diagnosis of earlier tumor stages, for prediction of therapy response and prognosis, as well as targets for novel therapies.</w:t>
      </w:r>
    </w:p>
    <w:p w14:paraId="6DB9F85D" w14:textId="77777777" w:rsidR="00BB36AA" w:rsidRPr="00B751AA" w:rsidRDefault="00BB36AA" w:rsidP="00B751AA">
      <w:pPr>
        <w:adjustRightInd w:val="0"/>
        <w:snapToGrid w:val="0"/>
        <w:spacing w:after="0" w:line="360" w:lineRule="auto"/>
        <w:jc w:val="both"/>
        <w:rPr>
          <w:rFonts w:ascii="Book Antiqua" w:hAnsi="Book Antiqua" w:cs="Arial"/>
          <w:color w:val="000000" w:themeColor="text1"/>
          <w:sz w:val="24"/>
          <w:szCs w:val="24"/>
          <w:lang w:val="de-DE"/>
        </w:rPr>
      </w:pPr>
    </w:p>
    <w:p w14:paraId="1279FA94" w14:textId="77777777" w:rsidR="00FE6179" w:rsidRPr="00B751AA" w:rsidRDefault="00FE6179" w:rsidP="00B751AA">
      <w:pPr>
        <w:adjustRightInd w:val="0"/>
        <w:snapToGrid w:val="0"/>
        <w:spacing w:after="0" w:line="360" w:lineRule="auto"/>
        <w:jc w:val="both"/>
        <w:rPr>
          <w:rFonts w:ascii="Book Antiqua" w:hAnsi="Book Antiqua" w:cs="Arial"/>
          <w:b/>
          <w:bCs/>
          <w:i/>
          <w:iCs/>
          <w:color w:val="000000" w:themeColor="text1"/>
          <w:sz w:val="24"/>
          <w:szCs w:val="24"/>
          <w:lang w:val="de-DE"/>
        </w:rPr>
      </w:pPr>
      <w:r w:rsidRPr="00B751AA">
        <w:rPr>
          <w:rFonts w:ascii="Book Antiqua" w:hAnsi="Book Antiqua" w:cs="Arial"/>
          <w:b/>
          <w:bCs/>
          <w:i/>
          <w:iCs/>
          <w:color w:val="000000" w:themeColor="text1"/>
          <w:sz w:val="24"/>
          <w:szCs w:val="24"/>
          <w:lang w:val="de-DE"/>
        </w:rPr>
        <w:t>Research objectives</w:t>
      </w:r>
    </w:p>
    <w:p w14:paraId="6C8EBDB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Cs/>
          <w:color w:val="000000" w:themeColor="text1"/>
          <w:sz w:val="24"/>
          <w:szCs w:val="24"/>
          <w:lang w:val="en-GB"/>
        </w:rPr>
        <w:t xml:space="preserve">Our aim was to evaluate the predictive impact of </w:t>
      </w: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expression for therapy response and prognosis and a potential association with post-transcriptional regulation by miR-363 as one mechanism of deregulation in cancer. </w:t>
      </w:r>
      <w:r w:rsidRPr="00B751AA">
        <w:rPr>
          <w:rFonts w:ascii="Book Antiqua" w:hAnsi="Book Antiqua" w:cs="Arial"/>
          <w:color w:val="000000" w:themeColor="text1"/>
          <w:sz w:val="24"/>
          <w:szCs w:val="24"/>
          <w:lang w:val="de-DE"/>
        </w:rPr>
        <w:t>Podoplanin protein expression has been related to clinical parameters (histological tumor type, histopathologic response classification, survival rate, clinical tumor category), with regard to a potential benefit for personalization of neoadjuvant treatment.</w:t>
      </w:r>
    </w:p>
    <w:p w14:paraId="3B119117" w14:textId="77777777" w:rsidR="00BB36AA" w:rsidRPr="00B751AA" w:rsidRDefault="00BB36AA" w:rsidP="00B751AA">
      <w:pPr>
        <w:adjustRightInd w:val="0"/>
        <w:snapToGrid w:val="0"/>
        <w:spacing w:after="0" w:line="360" w:lineRule="auto"/>
        <w:jc w:val="both"/>
        <w:rPr>
          <w:rFonts w:ascii="Book Antiqua" w:hAnsi="Book Antiqua" w:cs="Arial"/>
          <w:bCs/>
          <w:color w:val="000000" w:themeColor="text1"/>
          <w:sz w:val="24"/>
          <w:szCs w:val="24"/>
          <w:lang w:val="en-GB"/>
        </w:rPr>
      </w:pPr>
    </w:p>
    <w:p w14:paraId="2BF7F766" w14:textId="77777777" w:rsidR="00FE6179" w:rsidRPr="00B751AA" w:rsidRDefault="00FE6179" w:rsidP="00B751AA">
      <w:pPr>
        <w:adjustRightInd w:val="0"/>
        <w:snapToGrid w:val="0"/>
        <w:spacing w:after="0" w:line="360" w:lineRule="auto"/>
        <w:jc w:val="both"/>
        <w:rPr>
          <w:rFonts w:ascii="Book Antiqua" w:hAnsi="Book Antiqua" w:cs="Arial"/>
          <w:b/>
          <w:bCs/>
          <w:i/>
          <w:iCs/>
          <w:color w:val="000000" w:themeColor="text1"/>
          <w:sz w:val="24"/>
          <w:szCs w:val="24"/>
          <w:lang w:val="de-DE"/>
        </w:rPr>
      </w:pPr>
      <w:r w:rsidRPr="00B751AA">
        <w:rPr>
          <w:rFonts w:ascii="Book Antiqua" w:hAnsi="Book Antiqua" w:cs="Arial"/>
          <w:b/>
          <w:bCs/>
          <w:i/>
          <w:iCs/>
          <w:color w:val="000000" w:themeColor="text1"/>
          <w:sz w:val="24"/>
          <w:szCs w:val="24"/>
          <w:lang w:val="de-DE"/>
        </w:rPr>
        <w:t xml:space="preserve">Research methods </w:t>
      </w:r>
    </w:p>
    <w:p w14:paraId="62DAC7F0" w14:textId="77777777" w:rsidR="00FE6179" w:rsidRPr="00B751AA" w:rsidRDefault="00FE6179" w:rsidP="00B751AA">
      <w:pPr>
        <w:adjustRightInd w:val="0"/>
        <w:snapToGrid w:val="0"/>
        <w:spacing w:after="0" w:line="360" w:lineRule="auto"/>
        <w:jc w:val="both"/>
        <w:rPr>
          <w:rFonts w:ascii="Book Antiqua" w:hAnsi="Book Antiqua" w:cs="Arial"/>
          <w:bCs/>
          <w:color w:val="000000" w:themeColor="text1"/>
          <w:sz w:val="24"/>
          <w:szCs w:val="24"/>
          <w:lang w:val="en-GB"/>
        </w:rPr>
      </w:pPr>
      <w:proofErr w:type="spellStart"/>
      <w:r w:rsidRPr="00B751AA">
        <w:rPr>
          <w:rFonts w:ascii="Book Antiqua" w:hAnsi="Book Antiqua" w:cs="Arial"/>
          <w:bCs/>
          <w:color w:val="000000" w:themeColor="text1"/>
          <w:sz w:val="24"/>
          <w:szCs w:val="24"/>
          <w:lang w:val="en-GB"/>
        </w:rPr>
        <w:t>Podoplanin</w:t>
      </w:r>
      <w:proofErr w:type="spellEnd"/>
      <w:r w:rsidRPr="00B751AA">
        <w:rPr>
          <w:rFonts w:ascii="Book Antiqua" w:hAnsi="Book Antiqua" w:cs="Arial"/>
          <w:bCs/>
          <w:color w:val="000000" w:themeColor="text1"/>
          <w:sz w:val="24"/>
          <w:szCs w:val="24"/>
          <w:lang w:val="en-GB"/>
        </w:rPr>
        <w:t xml:space="preserve"> has been visualized by immunohistochemistry in resection-specimen of 195 patients: 90 </w:t>
      </w:r>
      <w:r w:rsidR="00EE4E4E" w:rsidRPr="00B751AA">
        <w:rPr>
          <w:rFonts w:ascii="Book Antiqua" w:hAnsi="Book Antiqua" w:cs="Arial"/>
          <w:bCs/>
          <w:color w:val="000000" w:themeColor="text1"/>
          <w:sz w:val="24"/>
          <w:szCs w:val="24"/>
          <w:lang w:val="en-GB"/>
        </w:rPr>
        <w:t xml:space="preserve">squamous cell </w:t>
      </w:r>
      <w:r w:rsidR="0055432A" w:rsidRPr="00B751AA">
        <w:rPr>
          <w:rFonts w:ascii="Book Antiqua" w:hAnsi="Book Antiqua" w:cs="Arial"/>
          <w:bCs/>
          <w:color w:val="000000" w:themeColor="text1"/>
          <w:sz w:val="24"/>
          <w:szCs w:val="24"/>
          <w:lang w:val="en-GB"/>
        </w:rPr>
        <w:t>carcinomas</w:t>
      </w:r>
      <w:r w:rsidR="00EE4E4E" w:rsidRPr="00B751AA">
        <w:rPr>
          <w:rFonts w:ascii="Book Antiqua" w:hAnsi="Book Antiqua" w:cs="Arial"/>
          <w:bCs/>
          <w:color w:val="000000" w:themeColor="text1"/>
          <w:sz w:val="24"/>
          <w:szCs w:val="24"/>
          <w:lang w:val="en-GB"/>
        </w:rPr>
        <w:t xml:space="preserve"> of the </w:t>
      </w:r>
      <w:proofErr w:type="spellStart"/>
      <w:r w:rsidR="00EE4E4E" w:rsidRPr="00B751AA">
        <w:rPr>
          <w:rFonts w:ascii="Book Antiqua" w:hAnsi="Book Antiqua" w:cs="Arial"/>
          <w:bCs/>
          <w:color w:val="000000" w:themeColor="text1"/>
          <w:sz w:val="24"/>
          <w:szCs w:val="24"/>
          <w:lang w:val="en-GB"/>
        </w:rPr>
        <w:t>esophagus</w:t>
      </w:r>
      <w:proofErr w:type="spellEnd"/>
      <w:r w:rsidR="00EE4E4E" w:rsidRPr="00B751AA">
        <w:rPr>
          <w:rFonts w:ascii="Book Antiqua" w:hAnsi="Book Antiqua" w:cs="Arial"/>
          <w:bCs/>
          <w:color w:val="000000" w:themeColor="text1"/>
          <w:sz w:val="24"/>
          <w:szCs w:val="24"/>
          <w:lang w:val="en-GB"/>
        </w:rPr>
        <w:t xml:space="preserve"> (</w:t>
      </w:r>
      <w:r w:rsidRPr="00B751AA">
        <w:rPr>
          <w:rFonts w:ascii="Book Antiqua" w:hAnsi="Book Antiqua" w:cs="Arial"/>
          <w:bCs/>
          <w:color w:val="000000" w:themeColor="text1"/>
          <w:sz w:val="24"/>
          <w:szCs w:val="24"/>
          <w:lang w:val="en-GB"/>
        </w:rPr>
        <w:t>ESCC</w:t>
      </w:r>
      <w:r w:rsidR="00EE4E4E" w:rsidRPr="00B751AA">
        <w:rPr>
          <w:rFonts w:ascii="Book Antiqua" w:hAnsi="Book Antiqua" w:cs="Arial"/>
          <w:bCs/>
          <w:color w:val="000000" w:themeColor="text1"/>
          <w:sz w:val="24"/>
          <w:szCs w:val="24"/>
          <w:lang w:val="en-GB"/>
        </w:rPr>
        <w:t>)</w:t>
      </w:r>
      <w:r w:rsidRPr="00B751AA">
        <w:rPr>
          <w:rFonts w:ascii="Book Antiqua" w:hAnsi="Book Antiqua" w:cs="Arial"/>
          <w:bCs/>
          <w:color w:val="000000" w:themeColor="text1"/>
          <w:sz w:val="24"/>
          <w:szCs w:val="24"/>
          <w:lang w:val="en-GB"/>
        </w:rPr>
        <w:t xml:space="preserve">, 105 </w:t>
      </w:r>
      <w:r w:rsidR="0055432A" w:rsidRPr="00B751AA">
        <w:rPr>
          <w:rFonts w:ascii="Book Antiqua" w:hAnsi="Book Antiqua"/>
          <w:color w:val="000000" w:themeColor="text1"/>
          <w:sz w:val="24"/>
          <w:szCs w:val="24"/>
        </w:rPr>
        <w:t>adenocarcinomas</w:t>
      </w:r>
      <w:r w:rsidR="00DF1C41" w:rsidRPr="00B751AA">
        <w:rPr>
          <w:rFonts w:ascii="Book Antiqua" w:hAnsi="Book Antiqua"/>
          <w:color w:val="000000" w:themeColor="text1"/>
          <w:sz w:val="24"/>
          <w:szCs w:val="24"/>
        </w:rPr>
        <w:t xml:space="preserve"> of the esophagus (</w:t>
      </w:r>
      <w:r w:rsidRPr="00B751AA">
        <w:rPr>
          <w:rFonts w:ascii="Book Antiqua" w:hAnsi="Book Antiqua" w:cs="Arial"/>
          <w:bCs/>
          <w:color w:val="000000" w:themeColor="text1"/>
          <w:sz w:val="24"/>
          <w:szCs w:val="24"/>
          <w:lang w:val="en-GB"/>
        </w:rPr>
        <w:t>EAC</w:t>
      </w:r>
      <w:r w:rsidR="00DF1C41" w:rsidRPr="00B751AA">
        <w:rPr>
          <w:rFonts w:ascii="Book Antiqua" w:hAnsi="Book Antiqua" w:cs="Arial"/>
          <w:bCs/>
          <w:color w:val="000000" w:themeColor="text1"/>
          <w:sz w:val="24"/>
          <w:szCs w:val="24"/>
          <w:lang w:val="en-GB"/>
        </w:rPr>
        <w:t>)</w:t>
      </w:r>
      <w:r w:rsidRPr="00B751AA">
        <w:rPr>
          <w:rFonts w:ascii="Book Antiqua" w:hAnsi="Book Antiqua" w:cs="Arial"/>
          <w:bCs/>
          <w:color w:val="000000" w:themeColor="text1"/>
          <w:sz w:val="24"/>
          <w:szCs w:val="24"/>
          <w:lang w:val="en-GB"/>
        </w:rPr>
        <w:t xml:space="preserve"> with clinical T2-3, </w:t>
      </w:r>
      <w:proofErr w:type="spellStart"/>
      <w:r w:rsidRPr="00B751AA">
        <w:rPr>
          <w:rFonts w:ascii="Book Antiqua" w:hAnsi="Book Antiqua" w:cs="Arial"/>
          <w:bCs/>
          <w:color w:val="000000" w:themeColor="text1"/>
          <w:sz w:val="24"/>
          <w:szCs w:val="24"/>
          <w:lang w:val="en-GB"/>
        </w:rPr>
        <w:t>Nx</w:t>
      </w:r>
      <w:proofErr w:type="spellEnd"/>
      <w:r w:rsidRPr="00B751AA">
        <w:rPr>
          <w:rFonts w:ascii="Book Antiqua" w:hAnsi="Book Antiqua" w:cs="Arial"/>
          <w:bCs/>
          <w:color w:val="000000" w:themeColor="text1"/>
          <w:sz w:val="24"/>
          <w:szCs w:val="24"/>
          <w:lang w:val="en-GB"/>
        </w:rPr>
        <w:t>, M0. RNA was extracted from paraffin-embedded tissue, miRNA-363 quantified by real-time TaqMan-</w:t>
      </w:r>
      <w:r w:rsidR="0055432A" w:rsidRPr="00B751AA">
        <w:rPr>
          <w:rFonts w:ascii="Book Antiqua" w:hAnsi="Book Antiqua" w:cs="Arial"/>
          <w:bCs/>
          <w:color w:val="000000" w:themeColor="text1"/>
          <w:sz w:val="24"/>
          <w:szCs w:val="24"/>
          <w:lang w:val="en-GB"/>
        </w:rPr>
        <w:t>real-time</w:t>
      </w:r>
      <w:r w:rsidRPr="00B751AA">
        <w:rPr>
          <w:rFonts w:ascii="Book Antiqua" w:hAnsi="Book Antiqua" w:cs="Arial"/>
          <w:bCs/>
          <w:color w:val="000000" w:themeColor="text1"/>
          <w:sz w:val="24"/>
          <w:szCs w:val="24"/>
          <w:lang w:val="en-GB"/>
        </w:rPr>
        <w:t>-PCR.</w:t>
      </w:r>
    </w:p>
    <w:p w14:paraId="7E3531C1" w14:textId="77777777" w:rsidR="00BB36AA" w:rsidRPr="00B751AA" w:rsidRDefault="00BB36AA" w:rsidP="00B751AA">
      <w:pPr>
        <w:adjustRightInd w:val="0"/>
        <w:snapToGrid w:val="0"/>
        <w:spacing w:after="0" w:line="360" w:lineRule="auto"/>
        <w:jc w:val="both"/>
        <w:rPr>
          <w:rFonts w:ascii="Book Antiqua" w:hAnsi="Book Antiqua" w:cs="Arial"/>
          <w:bCs/>
          <w:color w:val="000000" w:themeColor="text1"/>
          <w:sz w:val="24"/>
          <w:szCs w:val="24"/>
          <w:lang w:val="en-GB"/>
        </w:rPr>
      </w:pPr>
    </w:p>
    <w:p w14:paraId="59C2A4B6" w14:textId="77777777" w:rsidR="00FE6179" w:rsidRPr="00B751AA" w:rsidRDefault="00FE6179" w:rsidP="00B751AA">
      <w:pPr>
        <w:adjustRightInd w:val="0"/>
        <w:snapToGrid w:val="0"/>
        <w:spacing w:after="0" w:line="360" w:lineRule="auto"/>
        <w:jc w:val="both"/>
        <w:rPr>
          <w:rFonts w:ascii="Book Antiqua" w:hAnsi="Book Antiqua" w:cs="Arial"/>
          <w:b/>
          <w:bCs/>
          <w:i/>
          <w:iCs/>
          <w:color w:val="000000" w:themeColor="text1"/>
          <w:sz w:val="24"/>
          <w:szCs w:val="24"/>
          <w:lang w:val="de-DE"/>
        </w:rPr>
      </w:pPr>
      <w:r w:rsidRPr="00B751AA">
        <w:rPr>
          <w:rFonts w:ascii="Book Antiqua" w:hAnsi="Book Antiqua" w:cs="Arial"/>
          <w:b/>
          <w:bCs/>
          <w:i/>
          <w:iCs/>
          <w:color w:val="000000" w:themeColor="text1"/>
          <w:sz w:val="24"/>
          <w:szCs w:val="24"/>
          <w:lang w:val="de-DE"/>
        </w:rPr>
        <w:t xml:space="preserve">Research results </w:t>
      </w:r>
    </w:p>
    <w:p w14:paraId="1B35ADAA"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de-DE"/>
        </w:rPr>
        <w:t>We confirmed high podoplanin expression</w:t>
      </w:r>
      <w:r w:rsidR="00EE4E4E" w:rsidRPr="00B751AA">
        <w:rPr>
          <w:rFonts w:ascii="Book Antiqua" w:hAnsi="Book Antiqua" w:cs="Arial"/>
          <w:color w:val="000000" w:themeColor="text1"/>
          <w:sz w:val="24"/>
          <w:szCs w:val="24"/>
          <w:lang w:val="de-DE"/>
        </w:rPr>
        <w:t xml:space="preserve"> </w:t>
      </w:r>
      <w:r w:rsidR="00EE4E4E" w:rsidRPr="00B751AA">
        <w:rPr>
          <w:rFonts w:ascii="Book Antiqua" w:hAnsi="Book Antiqua" w:cs="Arial"/>
          <w:color w:val="000000" w:themeColor="text1"/>
          <w:sz w:val="24"/>
          <w:szCs w:val="24"/>
          <w:lang w:val="de-DE" w:eastAsia="zh-CN"/>
        </w:rPr>
        <w:t>(HPE)</w:t>
      </w:r>
      <w:r w:rsidRPr="00B751AA">
        <w:rPr>
          <w:rFonts w:ascii="Book Antiqua" w:hAnsi="Book Antiqua" w:cs="Arial"/>
          <w:color w:val="000000" w:themeColor="text1"/>
          <w:sz w:val="24"/>
          <w:szCs w:val="24"/>
          <w:lang w:val="de-DE"/>
        </w:rPr>
        <w:t xml:space="preserve"> in ESCC patients and its absence in EAC. </w:t>
      </w:r>
      <w:r w:rsidRPr="00B751AA">
        <w:rPr>
          <w:rFonts w:ascii="Book Antiqua" w:hAnsi="Book Antiqua" w:cs="Arial"/>
          <w:bCs/>
          <w:color w:val="000000" w:themeColor="text1"/>
          <w:sz w:val="24"/>
          <w:szCs w:val="24"/>
        </w:rPr>
        <w:t xml:space="preserve">We detected lower </w:t>
      </w:r>
      <w:proofErr w:type="spellStart"/>
      <w:r w:rsidRPr="00B751AA">
        <w:rPr>
          <w:rFonts w:ascii="Book Antiqua" w:hAnsi="Book Antiqua" w:cs="Arial"/>
          <w:bCs/>
          <w:color w:val="000000" w:themeColor="text1"/>
          <w:sz w:val="24"/>
          <w:szCs w:val="24"/>
        </w:rPr>
        <w:t>podoplanin</w:t>
      </w:r>
      <w:proofErr w:type="spellEnd"/>
      <w:r w:rsidRPr="00B751AA">
        <w:rPr>
          <w:rFonts w:ascii="Book Antiqua" w:hAnsi="Book Antiqua" w:cs="Arial"/>
          <w:bCs/>
          <w:color w:val="000000" w:themeColor="text1"/>
          <w:sz w:val="24"/>
          <w:szCs w:val="24"/>
        </w:rPr>
        <w:t xml:space="preserve"> expression in resection-specimen of 58 ESCC patients after neoadjuvant (</w:t>
      </w:r>
      <w:proofErr w:type="spellStart"/>
      <w:r w:rsidRPr="00B751AA">
        <w:rPr>
          <w:rFonts w:ascii="Book Antiqua" w:hAnsi="Book Antiqua" w:cs="Arial"/>
          <w:bCs/>
          <w:color w:val="000000" w:themeColor="text1"/>
          <w:sz w:val="24"/>
          <w:szCs w:val="24"/>
        </w:rPr>
        <w:t>RTx</w:t>
      </w:r>
      <w:proofErr w:type="spellEnd"/>
      <w:r w:rsidRPr="00B751AA">
        <w:rPr>
          <w:rFonts w:ascii="Book Antiqua" w:hAnsi="Book Antiqua" w:cs="Arial"/>
          <w:bCs/>
          <w:color w:val="000000" w:themeColor="text1"/>
          <w:sz w:val="24"/>
          <w:szCs w:val="24"/>
        </w:rPr>
        <w:t>/</w:t>
      </w:r>
      <w:proofErr w:type="spellStart"/>
      <w:r w:rsidRPr="00B751AA">
        <w:rPr>
          <w:rFonts w:ascii="Book Antiqua" w:hAnsi="Book Antiqua" w:cs="Arial"/>
          <w:bCs/>
          <w:color w:val="000000" w:themeColor="text1"/>
          <w:sz w:val="24"/>
          <w:szCs w:val="24"/>
        </w:rPr>
        <w:t>CTx</w:t>
      </w:r>
      <w:proofErr w:type="spellEnd"/>
      <w:r w:rsidRPr="00B751AA">
        <w:rPr>
          <w:rFonts w:ascii="Book Antiqua" w:hAnsi="Book Antiqua" w:cs="Arial"/>
          <w:bCs/>
          <w:color w:val="000000" w:themeColor="text1"/>
          <w:sz w:val="24"/>
          <w:szCs w:val="24"/>
        </w:rPr>
        <w:t xml:space="preserve">) treatment, only 11% with </w:t>
      </w:r>
      <w:r w:rsidR="00EE4E4E" w:rsidRPr="00B751AA">
        <w:rPr>
          <w:rFonts w:ascii="Book Antiqua" w:hAnsi="Book Antiqua" w:cs="Arial"/>
          <w:bCs/>
          <w:color w:val="000000" w:themeColor="text1"/>
          <w:sz w:val="24"/>
          <w:szCs w:val="24"/>
        </w:rPr>
        <w:t>HPE</w:t>
      </w:r>
      <w:r w:rsidRPr="00B751AA">
        <w:rPr>
          <w:rFonts w:ascii="Book Antiqua" w:hAnsi="Book Antiqua" w:cs="Arial"/>
          <w:bCs/>
          <w:color w:val="000000" w:themeColor="text1"/>
          <w:sz w:val="24"/>
          <w:szCs w:val="24"/>
        </w:rPr>
        <w:t xml:space="preserve"> of &gt; 5%, compared to 32 non-pretreated primary surgery patients with 50</w:t>
      </w:r>
      <w:r w:rsidR="0052322B">
        <w:rPr>
          <w:rFonts w:ascii="Book Antiqua" w:hAnsi="Book Antiqua" w:cs="Arial"/>
          <w:bCs/>
          <w:color w:val="000000" w:themeColor="text1"/>
          <w:sz w:val="24"/>
          <w:szCs w:val="24"/>
        </w:rPr>
        <w:t>%</w:t>
      </w:r>
      <w:r w:rsidRPr="00B751AA">
        <w:rPr>
          <w:rFonts w:ascii="Book Antiqua" w:hAnsi="Book Antiqua" w:cs="Arial"/>
          <w:bCs/>
          <w:color w:val="000000" w:themeColor="text1"/>
          <w:sz w:val="24"/>
          <w:szCs w:val="24"/>
        </w:rPr>
        <w:t xml:space="preserve"> HPE, </w:t>
      </w:r>
      <w:r w:rsidR="0055432A" w:rsidRPr="00B751AA">
        <w:rPr>
          <w:rFonts w:ascii="Book Antiqua" w:hAnsi="Book Antiqua" w:cs="Arial"/>
          <w:bCs/>
          <w:i/>
          <w:iCs/>
          <w:color w:val="000000" w:themeColor="text1"/>
          <w:sz w:val="24"/>
          <w:szCs w:val="24"/>
        </w:rPr>
        <w:t>P</w:t>
      </w:r>
      <w:r w:rsidR="0055432A" w:rsidRPr="00B751AA">
        <w:rPr>
          <w:rFonts w:ascii="Book Antiqua" w:hAnsi="Book Antiqua" w:cs="Arial"/>
          <w:bCs/>
          <w:color w:val="000000" w:themeColor="text1"/>
          <w:sz w:val="24"/>
          <w:szCs w:val="24"/>
        </w:rPr>
        <w:t xml:space="preserve"> </w:t>
      </w:r>
      <w:r w:rsidRPr="00B751AA">
        <w:rPr>
          <w:rFonts w:ascii="Book Antiqua" w:hAnsi="Book Antiqua" w:cs="Arial"/>
          <w:bCs/>
          <w:color w:val="000000" w:themeColor="text1"/>
          <w:sz w:val="24"/>
          <w:szCs w:val="24"/>
        </w:rPr>
        <w:t>=</w:t>
      </w:r>
      <w:r w:rsidR="0055432A" w:rsidRPr="00B751AA">
        <w:rPr>
          <w:rFonts w:ascii="Book Antiqua" w:hAnsi="Book Antiqua" w:cs="Arial"/>
          <w:bCs/>
          <w:color w:val="000000" w:themeColor="text1"/>
          <w:sz w:val="24"/>
          <w:szCs w:val="24"/>
        </w:rPr>
        <w:t xml:space="preserve"> </w:t>
      </w:r>
      <w:r w:rsidRPr="00B751AA">
        <w:rPr>
          <w:rFonts w:ascii="Book Antiqua" w:hAnsi="Book Antiqua" w:cs="Arial"/>
          <w:bCs/>
          <w:color w:val="000000" w:themeColor="text1"/>
          <w:sz w:val="24"/>
          <w:szCs w:val="24"/>
        </w:rPr>
        <w:t>0.0001</w:t>
      </w:r>
      <w:r w:rsidRPr="00B751AA">
        <w:rPr>
          <w:rFonts w:ascii="Book Antiqua" w:hAnsi="Book Antiqua" w:cs="Arial"/>
          <w:bCs/>
          <w:color w:val="000000" w:themeColor="text1"/>
          <w:sz w:val="24"/>
          <w:szCs w:val="24"/>
          <w:lang w:val="en-GB"/>
        </w:rPr>
        <w:t xml:space="preserve">. </w:t>
      </w:r>
      <w:r w:rsidRPr="00B751AA">
        <w:rPr>
          <w:rFonts w:ascii="Book Antiqua" w:hAnsi="Book Antiqua" w:cs="Arial"/>
          <w:color w:val="000000" w:themeColor="text1"/>
          <w:sz w:val="24"/>
          <w:szCs w:val="24"/>
          <w:lang w:val="de-DE"/>
        </w:rPr>
        <w:t>This novel finding of a lower podoplanin expression in the pretreated patient cohort was confirmed by the comparison of corresponding surgical specimens after neoadjuvant treatment with the individual matching pretherapeutic biopsies of 56 patients,</w:t>
      </w:r>
      <w:r w:rsidR="0055432A" w:rsidRPr="00B751AA">
        <w:rPr>
          <w:rFonts w:ascii="Book Antiqua" w:hAnsi="Book Antiqua" w:cs="Arial"/>
          <w:color w:val="000000" w:themeColor="text1"/>
          <w:sz w:val="24"/>
          <w:szCs w:val="24"/>
          <w:lang w:val="de-DE"/>
        </w:rPr>
        <w:t xml:space="preserve"> </w:t>
      </w:r>
      <w:r w:rsidR="0055432A" w:rsidRPr="00B751AA">
        <w:rPr>
          <w:rFonts w:ascii="Book Antiqua" w:hAnsi="Book Antiqua" w:cs="Arial"/>
          <w:i/>
          <w:iCs/>
          <w:color w:val="000000" w:themeColor="text1"/>
          <w:sz w:val="24"/>
          <w:szCs w:val="24"/>
          <w:lang w:val="de-DE"/>
        </w:rPr>
        <w:t>P</w:t>
      </w:r>
      <w:r w:rsidR="0055432A" w:rsidRPr="00B751AA">
        <w:rPr>
          <w:rFonts w:ascii="Book Antiqua" w:hAnsi="Book Antiqua" w:cs="Arial"/>
          <w:color w:val="000000" w:themeColor="text1"/>
          <w:sz w:val="24"/>
          <w:szCs w:val="24"/>
          <w:lang w:val="de-DE"/>
        </w:rPr>
        <w:t xml:space="preserve"> </w:t>
      </w:r>
      <w:r w:rsidRPr="00B751AA">
        <w:rPr>
          <w:rFonts w:ascii="Book Antiqua" w:hAnsi="Book Antiqua" w:cs="Arial"/>
          <w:color w:val="000000" w:themeColor="text1"/>
          <w:sz w:val="24"/>
          <w:szCs w:val="24"/>
          <w:lang w:val="de-DE"/>
        </w:rPr>
        <w:t>&lt;</w:t>
      </w:r>
      <w:r w:rsidR="0055432A" w:rsidRPr="00B751AA">
        <w:rPr>
          <w:rFonts w:ascii="Book Antiqua" w:hAnsi="Book Antiqua" w:cs="Arial"/>
          <w:color w:val="000000" w:themeColor="text1"/>
          <w:sz w:val="24"/>
          <w:szCs w:val="24"/>
          <w:lang w:val="de-DE"/>
        </w:rPr>
        <w:t xml:space="preserve"> </w:t>
      </w:r>
      <w:r w:rsidRPr="00B751AA">
        <w:rPr>
          <w:rFonts w:ascii="Book Antiqua" w:hAnsi="Book Antiqua" w:cs="Arial"/>
          <w:color w:val="000000" w:themeColor="text1"/>
          <w:sz w:val="24"/>
          <w:szCs w:val="24"/>
          <w:lang w:val="de-DE"/>
        </w:rPr>
        <w:t>0.001.</w:t>
      </w:r>
      <w:r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de-DE"/>
        </w:rPr>
        <w:t xml:space="preserve">Podoplanin, however, is no predictive marker for response to neoadjuvant chemoradiation. Due to the small number of cT1-T2 patients we were only able to show a trend of association with podoplanin protein expression. We were </w:t>
      </w:r>
      <w:r w:rsidRPr="00B751AA">
        <w:rPr>
          <w:rFonts w:ascii="Book Antiqua" w:hAnsi="Book Antiqua" w:cs="Arial"/>
          <w:color w:val="000000" w:themeColor="text1"/>
          <w:sz w:val="24"/>
          <w:szCs w:val="24"/>
          <w:lang w:val="de-DE"/>
        </w:rPr>
        <w:lastRenderedPageBreak/>
        <w:t xml:space="preserve">able to demonstrate a prognostic impact of podoplanin, as well as for miR-336, a posttranscriptional regulator of this protein. </w:t>
      </w:r>
    </w:p>
    <w:p w14:paraId="75541A89" w14:textId="77777777" w:rsidR="00BB36AA" w:rsidRPr="00B751AA" w:rsidRDefault="00BB36AA" w:rsidP="00B751AA">
      <w:pPr>
        <w:adjustRightInd w:val="0"/>
        <w:snapToGrid w:val="0"/>
        <w:spacing w:after="0" w:line="360" w:lineRule="auto"/>
        <w:jc w:val="both"/>
        <w:rPr>
          <w:rFonts w:ascii="Book Antiqua" w:hAnsi="Book Antiqua" w:cs="Arial"/>
          <w:color w:val="000000" w:themeColor="text1"/>
          <w:sz w:val="24"/>
          <w:szCs w:val="24"/>
          <w:lang w:val="en-GB"/>
        </w:rPr>
      </w:pPr>
    </w:p>
    <w:p w14:paraId="368AFA6C"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
          <w:bCs/>
          <w:i/>
          <w:iCs/>
          <w:color w:val="000000" w:themeColor="text1"/>
          <w:sz w:val="24"/>
          <w:szCs w:val="24"/>
          <w:lang w:val="de-DE"/>
        </w:rPr>
        <w:t>Research conclusions</w:t>
      </w:r>
    </w:p>
    <w:p w14:paraId="0CB5D66E"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en-GB"/>
        </w:rPr>
        <w:t xml:space="preserve">Direct surgery ESCC patients with a low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expression have a better prognosis.</w:t>
      </w:r>
      <w:r w:rsidR="0055432A" w:rsidRPr="00B751AA">
        <w:rPr>
          <w:rFonts w:ascii="Book Antiqua" w:hAnsi="Book Antiqua" w:cs="Arial"/>
          <w:color w:val="000000" w:themeColor="text1"/>
          <w:sz w:val="24"/>
          <w:szCs w:val="24"/>
          <w:lang w:val="en-GB"/>
        </w:rPr>
        <w:t xml:space="preserve"> </w:t>
      </w:r>
      <w:r w:rsidRPr="00B751AA">
        <w:rPr>
          <w:rFonts w:ascii="Book Antiqua" w:hAnsi="Book Antiqua" w:cs="Arial"/>
          <w:color w:val="000000" w:themeColor="text1"/>
          <w:sz w:val="24"/>
          <w:szCs w:val="24"/>
          <w:lang w:val="en-GB"/>
        </w:rPr>
        <w:t xml:space="preserve">Chemoradiation results in reduction of expression of </w:t>
      </w:r>
      <w:proofErr w:type="spellStart"/>
      <w:r w:rsidRPr="00B751AA">
        <w:rPr>
          <w:rFonts w:ascii="Book Antiqua" w:hAnsi="Book Antiqua" w:cs="Arial"/>
          <w:color w:val="000000" w:themeColor="text1"/>
          <w:sz w:val="24"/>
          <w:szCs w:val="24"/>
          <w:lang w:val="en-GB"/>
        </w:rPr>
        <w:t>podoplanin</w:t>
      </w:r>
      <w:proofErr w:type="spellEnd"/>
      <w:r w:rsidRPr="00B751AA">
        <w:rPr>
          <w:rFonts w:ascii="Book Antiqua" w:hAnsi="Book Antiqua" w:cs="Arial"/>
          <w:color w:val="000000" w:themeColor="text1"/>
          <w:sz w:val="24"/>
          <w:szCs w:val="24"/>
          <w:lang w:val="en-GB"/>
        </w:rPr>
        <w:t xml:space="preserve"> protein in patients with ESCC. </w:t>
      </w:r>
      <w:r w:rsidRPr="00B751AA">
        <w:rPr>
          <w:rFonts w:ascii="Book Antiqua" w:hAnsi="Book Antiqua" w:cs="Arial"/>
          <w:color w:val="000000" w:themeColor="text1"/>
          <w:sz w:val="24"/>
          <w:szCs w:val="24"/>
          <w:lang w:val="de-DE"/>
        </w:rPr>
        <w:t>Podoplanin expression seems to be, among others, controlled by miR-363.</w:t>
      </w:r>
    </w:p>
    <w:p w14:paraId="36F00198" w14:textId="77777777" w:rsidR="00BB36AA" w:rsidRPr="00B751AA" w:rsidRDefault="00BB36AA" w:rsidP="00B751AA">
      <w:pPr>
        <w:adjustRightInd w:val="0"/>
        <w:snapToGrid w:val="0"/>
        <w:spacing w:after="0" w:line="360" w:lineRule="auto"/>
        <w:jc w:val="both"/>
        <w:rPr>
          <w:rFonts w:ascii="Book Antiqua" w:hAnsi="Book Antiqua" w:cs="Arial"/>
          <w:color w:val="000000" w:themeColor="text1"/>
          <w:sz w:val="24"/>
          <w:szCs w:val="24"/>
          <w:lang w:val="de-DE"/>
        </w:rPr>
      </w:pPr>
    </w:p>
    <w:p w14:paraId="3079F092"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b/>
          <w:bCs/>
          <w:i/>
          <w:iCs/>
          <w:color w:val="000000" w:themeColor="text1"/>
          <w:sz w:val="24"/>
          <w:szCs w:val="24"/>
          <w:lang w:val="de-DE"/>
        </w:rPr>
        <w:t>Research perspectives</w:t>
      </w:r>
    </w:p>
    <w:p w14:paraId="510EEE66"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de-DE"/>
        </w:rPr>
      </w:pPr>
      <w:r w:rsidRPr="00B751AA">
        <w:rPr>
          <w:rFonts w:ascii="Book Antiqua" w:hAnsi="Book Antiqua" w:cs="Arial"/>
          <w:color w:val="000000" w:themeColor="text1"/>
          <w:sz w:val="24"/>
          <w:szCs w:val="24"/>
          <w:lang w:val="de-DE"/>
        </w:rPr>
        <w:t>The decrease of podoplanin expression might become a therapeutic option.</w:t>
      </w:r>
    </w:p>
    <w:p w14:paraId="44DCA555"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p>
    <w:p w14:paraId="5FBF8565" w14:textId="77777777" w:rsidR="00BB36AA" w:rsidRPr="00B751AA" w:rsidRDefault="00BB36AA" w:rsidP="00B751AA">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B751AA">
        <w:rPr>
          <w:rStyle w:val="normaltextrun"/>
          <w:rFonts w:ascii="Book Antiqua" w:hAnsi="Book Antiqua" w:cstheme="minorHAnsi"/>
          <w:b/>
          <w:bCs/>
          <w:u w:val="single"/>
        </w:rPr>
        <w:t>ACKNOWLEDGEMENTS</w:t>
      </w:r>
    </w:p>
    <w:p w14:paraId="516D5386"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rPr>
      </w:pPr>
      <w:r w:rsidRPr="00B751AA">
        <w:rPr>
          <w:rFonts w:ascii="Book Antiqua" w:hAnsi="Book Antiqua" w:cs="Arial"/>
          <w:color w:val="000000" w:themeColor="text1"/>
          <w:sz w:val="24"/>
          <w:szCs w:val="24"/>
        </w:rPr>
        <w:t xml:space="preserve">We thank Michaela </w:t>
      </w:r>
      <w:proofErr w:type="spellStart"/>
      <w:r w:rsidRPr="00B751AA">
        <w:rPr>
          <w:rFonts w:ascii="Book Antiqua" w:hAnsi="Book Antiqua" w:cs="Arial"/>
          <w:color w:val="000000" w:themeColor="text1"/>
          <w:sz w:val="24"/>
          <w:szCs w:val="24"/>
        </w:rPr>
        <w:t>Heitmann</w:t>
      </w:r>
      <w:proofErr w:type="spellEnd"/>
      <w:r w:rsidRPr="00B751AA">
        <w:rPr>
          <w:rFonts w:ascii="Book Antiqua" w:hAnsi="Book Antiqua" w:cs="Arial"/>
          <w:color w:val="000000" w:themeColor="text1"/>
          <w:sz w:val="24"/>
          <w:szCs w:val="24"/>
        </w:rPr>
        <w:t xml:space="preserve">, Susanne </w:t>
      </w:r>
      <w:proofErr w:type="spellStart"/>
      <w:r w:rsidRPr="00B751AA">
        <w:rPr>
          <w:rFonts w:ascii="Book Antiqua" w:hAnsi="Book Antiqua" w:cs="Arial"/>
          <w:color w:val="000000" w:themeColor="text1"/>
          <w:sz w:val="24"/>
          <w:szCs w:val="24"/>
        </w:rPr>
        <w:t>Neiss</w:t>
      </w:r>
      <w:proofErr w:type="spellEnd"/>
      <w:r w:rsidRPr="00B751AA">
        <w:rPr>
          <w:rFonts w:ascii="Book Antiqua" w:hAnsi="Book Antiqua" w:cs="Arial"/>
          <w:color w:val="000000" w:themeColor="text1"/>
          <w:sz w:val="24"/>
          <w:szCs w:val="24"/>
        </w:rPr>
        <w:t xml:space="preserve"> and </w:t>
      </w:r>
      <w:proofErr w:type="spellStart"/>
      <w:r w:rsidRPr="00B751AA">
        <w:rPr>
          <w:rFonts w:ascii="Book Antiqua" w:hAnsi="Book Antiqua" w:cs="Arial"/>
          <w:color w:val="000000" w:themeColor="text1"/>
          <w:sz w:val="24"/>
          <w:szCs w:val="24"/>
        </w:rPr>
        <w:t>Anke</w:t>
      </w:r>
      <w:proofErr w:type="spellEnd"/>
      <w:r w:rsidRPr="00B751AA">
        <w:rPr>
          <w:rFonts w:ascii="Book Antiqua" w:hAnsi="Book Antiqua" w:cs="Arial"/>
          <w:color w:val="000000" w:themeColor="text1"/>
          <w:sz w:val="24"/>
          <w:szCs w:val="24"/>
        </w:rPr>
        <w:t xml:space="preserve"> </w:t>
      </w:r>
      <w:proofErr w:type="spellStart"/>
      <w:r w:rsidRPr="00B751AA">
        <w:rPr>
          <w:rFonts w:ascii="Book Antiqua" w:hAnsi="Book Antiqua" w:cs="Arial"/>
          <w:color w:val="000000" w:themeColor="text1"/>
          <w:sz w:val="24"/>
          <w:szCs w:val="24"/>
        </w:rPr>
        <w:t>Wienand-Dorweiler</w:t>
      </w:r>
      <w:proofErr w:type="spellEnd"/>
      <w:r w:rsidRPr="00B751AA">
        <w:rPr>
          <w:rFonts w:ascii="Book Antiqua" w:hAnsi="Book Antiqua" w:cs="Arial"/>
          <w:color w:val="000000" w:themeColor="text1"/>
          <w:sz w:val="24"/>
          <w:szCs w:val="24"/>
        </w:rPr>
        <w:t xml:space="preserve"> for their excellent technical assistance.</w:t>
      </w:r>
    </w:p>
    <w:p w14:paraId="6A2A21BB" w14:textId="77777777" w:rsidR="00FE6179" w:rsidRPr="00B751AA" w:rsidRDefault="00FE6179" w:rsidP="00B751AA">
      <w:pPr>
        <w:adjustRightInd w:val="0"/>
        <w:snapToGrid w:val="0"/>
        <w:spacing w:after="0" w:line="360" w:lineRule="auto"/>
        <w:jc w:val="both"/>
        <w:rPr>
          <w:rFonts w:ascii="Book Antiqua" w:hAnsi="Book Antiqua" w:cs="Arial"/>
          <w:color w:val="000000" w:themeColor="text1"/>
          <w:sz w:val="24"/>
          <w:szCs w:val="24"/>
          <w:lang w:val="fr-FR"/>
        </w:rPr>
      </w:pPr>
    </w:p>
    <w:p w14:paraId="6D5CEBE8" w14:textId="77777777" w:rsidR="00BB36AA" w:rsidRPr="00B751AA" w:rsidRDefault="00BB36AA" w:rsidP="00B751AA">
      <w:pPr>
        <w:widowControl w:val="0"/>
        <w:autoSpaceDE w:val="0"/>
        <w:autoSpaceDN w:val="0"/>
        <w:adjustRightInd w:val="0"/>
        <w:snapToGrid w:val="0"/>
        <w:spacing w:after="0" w:line="360" w:lineRule="auto"/>
        <w:ind w:left="640" w:hanging="640"/>
        <w:jc w:val="both"/>
        <w:rPr>
          <w:rFonts w:ascii="Book Antiqua" w:hAnsi="Book Antiqua" w:cstheme="minorBidi"/>
          <w:sz w:val="24"/>
          <w:szCs w:val="24"/>
        </w:rPr>
      </w:pPr>
      <w:r w:rsidRPr="00B751AA">
        <w:rPr>
          <w:rFonts w:ascii="Book Antiqua" w:hAnsi="Book Antiqua" w:cstheme="minorBidi"/>
          <w:b/>
          <w:sz w:val="24"/>
          <w:szCs w:val="24"/>
        </w:rPr>
        <w:t>REFERENCES</w:t>
      </w:r>
    </w:p>
    <w:p w14:paraId="20D30F7B"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 </w:t>
      </w:r>
      <w:r w:rsidRPr="00B751AA">
        <w:rPr>
          <w:rFonts w:ascii="Book Antiqua" w:hAnsi="Book Antiqua"/>
          <w:b/>
          <w:sz w:val="24"/>
          <w:szCs w:val="24"/>
        </w:rPr>
        <w:t>Torre LA</w:t>
      </w:r>
      <w:r w:rsidRPr="00B751AA">
        <w:rPr>
          <w:rFonts w:ascii="Book Antiqua" w:hAnsi="Book Antiqua"/>
          <w:sz w:val="24"/>
          <w:szCs w:val="24"/>
        </w:rPr>
        <w:t xml:space="preserve">, Siegel RL, Ward EM, Jemal A. Global Cancer Incidence and Mortality Rates and Trends--An Update. </w:t>
      </w:r>
      <w:r w:rsidRPr="00B751AA">
        <w:rPr>
          <w:rFonts w:ascii="Book Antiqua" w:hAnsi="Book Antiqua"/>
          <w:i/>
          <w:sz w:val="24"/>
          <w:szCs w:val="24"/>
        </w:rPr>
        <w:t xml:space="preserve">Cancer Epidemiol Biomarkers </w:t>
      </w:r>
      <w:proofErr w:type="spellStart"/>
      <w:r w:rsidRPr="00B751AA">
        <w:rPr>
          <w:rFonts w:ascii="Book Antiqua" w:hAnsi="Book Antiqua"/>
          <w:i/>
          <w:sz w:val="24"/>
          <w:szCs w:val="24"/>
        </w:rPr>
        <w:t>Prev</w:t>
      </w:r>
      <w:proofErr w:type="spellEnd"/>
      <w:r w:rsidRPr="00B751AA">
        <w:rPr>
          <w:rFonts w:ascii="Book Antiqua" w:hAnsi="Book Antiqua"/>
          <w:sz w:val="24"/>
          <w:szCs w:val="24"/>
        </w:rPr>
        <w:t xml:space="preserve"> 2016; </w:t>
      </w:r>
      <w:r w:rsidRPr="00B751AA">
        <w:rPr>
          <w:rFonts w:ascii="Book Antiqua" w:hAnsi="Book Antiqua"/>
          <w:b/>
          <w:sz w:val="24"/>
          <w:szCs w:val="24"/>
        </w:rPr>
        <w:t>25</w:t>
      </w:r>
      <w:r w:rsidRPr="00B751AA">
        <w:rPr>
          <w:rFonts w:ascii="Book Antiqua" w:hAnsi="Book Antiqua"/>
          <w:sz w:val="24"/>
          <w:szCs w:val="24"/>
        </w:rPr>
        <w:t>: 16-27 [PMID: 26667886 DOI: 10.1158/1055-9965.EPI-15-0578]</w:t>
      </w:r>
    </w:p>
    <w:p w14:paraId="5C05A03F"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 </w:t>
      </w:r>
      <w:r w:rsidRPr="00B751AA">
        <w:rPr>
          <w:rFonts w:ascii="Book Antiqua" w:hAnsi="Book Antiqua"/>
          <w:b/>
          <w:sz w:val="24"/>
          <w:szCs w:val="24"/>
        </w:rPr>
        <w:t>Simard EP</w:t>
      </w:r>
      <w:r w:rsidRPr="00B751AA">
        <w:rPr>
          <w:rFonts w:ascii="Book Antiqua" w:hAnsi="Book Antiqua"/>
          <w:sz w:val="24"/>
          <w:szCs w:val="24"/>
        </w:rPr>
        <w:t xml:space="preserve">, Ward EM, Siegel R, Jemal A. Cancers with increasing incidence trends in the United States: 1999 through 2008. </w:t>
      </w:r>
      <w:r w:rsidRPr="00B751AA">
        <w:rPr>
          <w:rFonts w:ascii="Book Antiqua" w:hAnsi="Book Antiqua"/>
          <w:i/>
          <w:sz w:val="24"/>
          <w:szCs w:val="24"/>
        </w:rPr>
        <w:t>CA Cancer J Clin</w:t>
      </w:r>
      <w:r w:rsidRPr="00B751AA">
        <w:rPr>
          <w:rFonts w:ascii="Book Antiqua" w:hAnsi="Book Antiqua"/>
          <w:sz w:val="24"/>
          <w:szCs w:val="24"/>
        </w:rPr>
        <w:t xml:space="preserve"> 2012; </w:t>
      </w:r>
      <w:r w:rsidRPr="00B751AA">
        <w:rPr>
          <w:rFonts w:ascii="Book Antiqua" w:hAnsi="Book Antiqua"/>
          <w:b/>
          <w:sz w:val="24"/>
          <w:szCs w:val="24"/>
        </w:rPr>
        <w:t>62</w:t>
      </w:r>
      <w:r w:rsidRPr="00B751AA">
        <w:rPr>
          <w:rFonts w:ascii="Book Antiqua" w:hAnsi="Book Antiqua"/>
          <w:sz w:val="24"/>
          <w:szCs w:val="24"/>
        </w:rPr>
        <w:t>: 118-128 [PMID: 22281605 DOI: 10.3322/caac.20141]</w:t>
      </w:r>
    </w:p>
    <w:p w14:paraId="5EE1846D"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 </w:t>
      </w:r>
      <w:r w:rsidRPr="00B751AA">
        <w:rPr>
          <w:rFonts w:ascii="Book Antiqua" w:hAnsi="Book Antiqua"/>
          <w:b/>
          <w:sz w:val="24"/>
          <w:szCs w:val="24"/>
        </w:rPr>
        <w:t>Napier KJ</w:t>
      </w:r>
      <w:r w:rsidRPr="00B751AA">
        <w:rPr>
          <w:rFonts w:ascii="Book Antiqua" w:hAnsi="Book Antiqua"/>
          <w:sz w:val="24"/>
          <w:szCs w:val="24"/>
        </w:rPr>
        <w:t xml:space="preserve">, </w:t>
      </w:r>
      <w:proofErr w:type="spellStart"/>
      <w:r w:rsidRPr="00B751AA">
        <w:rPr>
          <w:rFonts w:ascii="Book Antiqua" w:hAnsi="Book Antiqua"/>
          <w:sz w:val="24"/>
          <w:szCs w:val="24"/>
        </w:rPr>
        <w:t>Scheerer</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Misra</w:t>
      </w:r>
      <w:proofErr w:type="spellEnd"/>
      <w:r w:rsidRPr="00B751AA">
        <w:rPr>
          <w:rFonts w:ascii="Book Antiqua" w:hAnsi="Book Antiqua"/>
          <w:sz w:val="24"/>
          <w:szCs w:val="24"/>
        </w:rPr>
        <w:t xml:space="preserve"> S. Esophageal cancer: A Review of epidemiology, pathogenesis, staging workup and treatment modalities. </w:t>
      </w:r>
      <w:r w:rsidRPr="00B751AA">
        <w:rPr>
          <w:rFonts w:ascii="Book Antiqua" w:hAnsi="Book Antiqua"/>
          <w:i/>
          <w:sz w:val="24"/>
          <w:szCs w:val="24"/>
        </w:rPr>
        <w:t xml:space="preserve">World J </w:t>
      </w:r>
      <w:proofErr w:type="spellStart"/>
      <w:r w:rsidRPr="00B751AA">
        <w:rPr>
          <w:rFonts w:ascii="Book Antiqua" w:hAnsi="Book Antiqua"/>
          <w:i/>
          <w:sz w:val="24"/>
          <w:szCs w:val="24"/>
        </w:rPr>
        <w:t>Gastrointest</w:t>
      </w:r>
      <w:proofErr w:type="spellEnd"/>
      <w:r w:rsidRPr="00B751AA">
        <w:rPr>
          <w:rFonts w:ascii="Book Antiqua" w:hAnsi="Book Antiqua"/>
          <w:i/>
          <w:sz w:val="24"/>
          <w:szCs w:val="24"/>
        </w:rPr>
        <w:t xml:space="preserve"> Oncol</w:t>
      </w:r>
      <w:r w:rsidRPr="00B751AA">
        <w:rPr>
          <w:rFonts w:ascii="Book Antiqua" w:hAnsi="Book Antiqua"/>
          <w:sz w:val="24"/>
          <w:szCs w:val="24"/>
        </w:rPr>
        <w:t xml:space="preserve"> 2014; </w:t>
      </w:r>
      <w:r w:rsidRPr="00B751AA">
        <w:rPr>
          <w:rFonts w:ascii="Book Antiqua" w:hAnsi="Book Antiqua"/>
          <w:b/>
          <w:sz w:val="24"/>
          <w:szCs w:val="24"/>
        </w:rPr>
        <w:t>6</w:t>
      </w:r>
      <w:r w:rsidRPr="00B751AA">
        <w:rPr>
          <w:rFonts w:ascii="Book Antiqua" w:hAnsi="Book Antiqua"/>
          <w:sz w:val="24"/>
          <w:szCs w:val="24"/>
        </w:rPr>
        <w:t>: 112-120 [PMID: 24834141 DOI: 10.4251/wjgo.v6.i5.112]</w:t>
      </w:r>
    </w:p>
    <w:p w14:paraId="0CA226E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 </w:t>
      </w:r>
      <w:r w:rsidRPr="00B751AA">
        <w:rPr>
          <w:rFonts w:ascii="Book Antiqua" w:hAnsi="Book Antiqua"/>
          <w:b/>
          <w:sz w:val="24"/>
          <w:szCs w:val="24"/>
        </w:rPr>
        <w:t>Taylor PR</w:t>
      </w:r>
      <w:r w:rsidRPr="00B751AA">
        <w:rPr>
          <w:rFonts w:ascii="Book Antiqua" w:hAnsi="Book Antiqua"/>
          <w:sz w:val="24"/>
          <w:szCs w:val="24"/>
        </w:rPr>
        <w:t xml:space="preserve">, </w:t>
      </w:r>
      <w:proofErr w:type="spellStart"/>
      <w:r w:rsidRPr="00B751AA">
        <w:rPr>
          <w:rFonts w:ascii="Book Antiqua" w:hAnsi="Book Antiqua"/>
          <w:sz w:val="24"/>
          <w:szCs w:val="24"/>
        </w:rPr>
        <w:t>Abnet</w:t>
      </w:r>
      <w:proofErr w:type="spellEnd"/>
      <w:r w:rsidRPr="00B751AA">
        <w:rPr>
          <w:rFonts w:ascii="Book Antiqua" w:hAnsi="Book Antiqua"/>
          <w:sz w:val="24"/>
          <w:szCs w:val="24"/>
        </w:rPr>
        <w:t xml:space="preserve"> CC, </w:t>
      </w:r>
      <w:proofErr w:type="spellStart"/>
      <w:r w:rsidRPr="00B751AA">
        <w:rPr>
          <w:rFonts w:ascii="Book Antiqua" w:hAnsi="Book Antiqua"/>
          <w:sz w:val="24"/>
          <w:szCs w:val="24"/>
        </w:rPr>
        <w:t>Dawsey</w:t>
      </w:r>
      <w:proofErr w:type="spellEnd"/>
      <w:r w:rsidRPr="00B751AA">
        <w:rPr>
          <w:rFonts w:ascii="Book Antiqua" w:hAnsi="Book Antiqua"/>
          <w:sz w:val="24"/>
          <w:szCs w:val="24"/>
        </w:rPr>
        <w:t xml:space="preserve"> SM. Squamous dysplasia--the precursor lesion for esophageal squamous cell carcinoma. </w:t>
      </w:r>
      <w:r w:rsidRPr="00B751AA">
        <w:rPr>
          <w:rFonts w:ascii="Book Antiqua" w:hAnsi="Book Antiqua"/>
          <w:i/>
          <w:sz w:val="24"/>
          <w:szCs w:val="24"/>
        </w:rPr>
        <w:t xml:space="preserve">Cancer Epidemiol Biomarkers </w:t>
      </w:r>
      <w:proofErr w:type="spellStart"/>
      <w:r w:rsidRPr="00B751AA">
        <w:rPr>
          <w:rFonts w:ascii="Book Antiqua" w:hAnsi="Book Antiqua"/>
          <w:i/>
          <w:sz w:val="24"/>
          <w:szCs w:val="24"/>
        </w:rPr>
        <w:t>Prev</w:t>
      </w:r>
      <w:proofErr w:type="spellEnd"/>
      <w:r w:rsidRPr="00B751AA">
        <w:rPr>
          <w:rFonts w:ascii="Book Antiqua" w:hAnsi="Book Antiqua"/>
          <w:sz w:val="24"/>
          <w:szCs w:val="24"/>
        </w:rPr>
        <w:t xml:space="preserve"> 2013; </w:t>
      </w:r>
      <w:r w:rsidRPr="00B751AA">
        <w:rPr>
          <w:rFonts w:ascii="Book Antiqua" w:hAnsi="Book Antiqua"/>
          <w:b/>
          <w:sz w:val="24"/>
          <w:szCs w:val="24"/>
        </w:rPr>
        <w:t>22</w:t>
      </w:r>
      <w:r w:rsidRPr="00B751AA">
        <w:rPr>
          <w:rFonts w:ascii="Book Antiqua" w:hAnsi="Book Antiqua"/>
          <w:sz w:val="24"/>
          <w:szCs w:val="24"/>
        </w:rPr>
        <w:t>: 540-552 [PMID: 23549398 DOI: 10.1158/1055-9965.EPI-12-1347]</w:t>
      </w:r>
    </w:p>
    <w:p w14:paraId="43BA8B6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5 </w:t>
      </w:r>
      <w:proofErr w:type="spellStart"/>
      <w:r w:rsidRPr="00B751AA">
        <w:rPr>
          <w:rFonts w:ascii="Book Antiqua" w:hAnsi="Book Antiqua"/>
          <w:b/>
          <w:sz w:val="24"/>
          <w:szCs w:val="24"/>
        </w:rPr>
        <w:t>Hölscher</w:t>
      </w:r>
      <w:proofErr w:type="spellEnd"/>
      <w:r w:rsidRPr="00B751AA">
        <w:rPr>
          <w:rFonts w:ascii="Book Antiqua" w:hAnsi="Book Antiqua"/>
          <w:b/>
          <w:sz w:val="24"/>
          <w:szCs w:val="24"/>
        </w:rPr>
        <w:t xml:space="preserve"> AH</w:t>
      </w:r>
      <w:r w:rsidRPr="00B751AA">
        <w:rPr>
          <w:rFonts w:ascii="Book Antiqua" w:hAnsi="Book Antiqua"/>
          <w:sz w:val="24"/>
          <w:szCs w:val="24"/>
        </w:rPr>
        <w:t xml:space="preserve">,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Bogoevski</w:t>
      </w:r>
      <w:proofErr w:type="spellEnd"/>
      <w:r w:rsidRPr="00B751AA">
        <w:rPr>
          <w:rFonts w:ascii="Book Antiqua" w:hAnsi="Book Antiqua"/>
          <w:sz w:val="24"/>
          <w:szCs w:val="24"/>
        </w:rPr>
        <w:t xml:space="preserve"> D, Schmidt H, Semrau R, </w:t>
      </w:r>
      <w:proofErr w:type="spellStart"/>
      <w:r w:rsidRPr="00B751AA">
        <w:rPr>
          <w:rFonts w:ascii="Book Antiqua" w:hAnsi="Book Antiqua"/>
          <w:sz w:val="24"/>
          <w:szCs w:val="24"/>
        </w:rPr>
        <w:t>Izbicki</w:t>
      </w:r>
      <w:proofErr w:type="spellEnd"/>
      <w:r w:rsidRPr="00B751AA">
        <w:rPr>
          <w:rFonts w:ascii="Book Antiqua" w:hAnsi="Book Antiqua"/>
          <w:sz w:val="24"/>
          <w:szCs w:val="24"/>
        </w:rPr>
        <w:t xml:space="preserve"> JR. Prognostic impact of neoadjuvant chemoradiation in cT3 </w:t>
      </w:r>
      <w:proofErr w:type="spellStart"/>
      <w:r w:rsidRPr="00B751AA">
        <w:rPr>
          <w:rFonts w:ascii="Book Antiqua" w:hAnsi="Book Antiqua"/>
          <w:sz w:val="24"/>
          <w:szCs w:val="24"/>
        </w:rPr>
        <w:t>oesophageal</w:t>
      </w:r>
      <w:proofErr w:type="spellEnd"/>
      <w:r w:rsidRPr="00B751AA">
        <w:rPr>
          <w:rFonts w:ascii="Book Antiqua" w:hAnsi="Book Antiqua"/>
          <w:sz w:val="24"/>
          <w:szCs w:val="24"/>
        </w:rPr>
        <w:t xml:space="preserve"> cancer - A propensity score matched analysis. </w:t>
      </w:r>
      <w:r w:rsidRPr="00B751AA">
        <w:rPr>
          <w:rFonts w:ascii="Book Antiqua" w:hAnsi="Book Antiqua"/>
          <w:i/>
          <w:sz w:val="24"/>
          <w:szCs w:val="24"/>
        </w:rPr>
        <w:t>Eur J Cancer</w:t>
      </w:r>
      <w:r w:rsidRPr="00B751AA">
        <w:rPr>
          <w:rFonts w:ascii="Book Antiqua" w:hAnsi="Book Antiqua"/>
          <w:sz w:val="24"/>
          <w:szCs w:val="24"/>
        </w:rPr>
        <w:t xml:space="preserve"> 2014; </w:t>
      </w:r>
      <w:r w:rsidRPr="00B751AA">
        <w:rPr>
          <w:rFonts w:ascii="Book Antiqua" w:hAnsi="Book Antiqua"/>
          <w:b/>
          <w:sz w:val="24"/>
          <w:szCs w:val="24"/>
        </w:rPr>
        <w:t>50</w:t>
      </w:r>
      <w:r w:rsidRPr="00B751AA">
        <w:rPr>
          <w:rFonts w:ascii="Book Antiqua" w:hAnsi="Book Antiqua"/>
          <w:sz w:val="24"/>
          <w:szCs w:val="24"/>
        </w:rPr>
        <w:t>: 2950-2957 [PMID: 25307749 DOI: 10.1016/j.ejca.2014.08.020]</w:t>
      </w:r>
    </w:p>
    <w:p w14:paraId="668316C8"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6 </w:t>
      </w:r>
      <w:proofErr w:type="spellStart"/>
      <w:r w:rsidRPr="00B751AA">
        <w:rPr>
          <w:rFonts w:ascii="Book Antiqua" w:hAnsi="Book Antiqua"/>
          <w:b/>
          <w:sz w:val="24"/>
          <w:szCs w:val="24"/>
        </w:rPr>
        <w:t>Bollschweiler</w:t>
      </w:r>
      <w:proofErr w:type="spellEnd"/>
      <w:r w:rsidRPr="00B751AA">
        <w:rPr>
          <w:rFonts w:ascii="Book Antiqua" w:hAnsi="Book Antiqua"/>
          <w:b/>
          <w:sz w:val="24"/>
          <w:szCs w:val="24"/>
        </w:rPr>
        <w:t xml:space="preserve"> E</w:t>
      </w:r>
      <w:r w:rsidRPr="00B751AA">
        <w:rPr>
          <w:rFonts w:ascii="Book Antiqua" w:hAnsi="Book Antiqua"/>
          <w:sz w:val="24"/>
          <w:szCs w:val="24"/>
        </w:rPr>
        <w:t xml:space="preserve">, Metzger R, </w:t>
      </w:r>
      <w:proofErr w:type="spellStart"/>
      <w:r w:rsidRPr="00B751AA">
        <w:rPr>
          <w:rFonts w:ascii="Book Antiqua" w:hAnsi="Book Antiqua"/>
          <w:sz w:val="24"/>
          <w:szCs w:val="24"/>
        </w:rPr>
        <w:t>Drebber</w:t>
      </w:r>
      <w:proofErr w:type="spellEnd"/>
      <w:r w:rsidRPr="00B751AA">
        <w:rPr>
          <w:rFonts w:ascii="Book Antiqua" w:hAnsi="Book Antiqua"/>
          <w:sz w:val="24"/>
          <w:szCs w:val="24"/>
        </w:rPr>
        <w:t xml:space="preserve"> U, Baldus S, </w:t>
      </w:r>
      <w:proofErr w:type="spellStart"/>
      <w:r w:rsidRPr="00B751AA">
        <w:rPr>
          <w:rFonts w:ascii="Book Antiqua" w:hAnsi="Book Antiqua"/>
          <w:sz w:val="24"/>
          <w:szCs w:val="24"/>
        </w:rPr>
        <w:t>Vallböhmer</w:t>
      </w:r>
      <w:proofErr w:type="spellEnd"/>
      <w:r w:rsidRPr="00B751AA">
        <w:rPr>
          <w:rFonts w:ascii="Book Antiqua" w:hAnsi="Book Antiqua"/>
          <w:sz w:val="24"/>
          <w:szCs w:val="24"/>
        </w:rPr>
        <w:t xml:space="preserve"> D, Kocher M, </w:t>
      </w:r>
      <w:proofErr w:type="spellStart"/>
      <w:r w:rsidRPr="00B751AA">
        <w:rPr>
          <w:rFonts w:ascii="Book Antiqua" w:hAnsi="Book Antiqua"/>
          <w:sz w:val="24"/>
          <w:szCs w:val="24"/>
        </w:rPr>
        <w:t>Hölscher</w:t>
      </w:r>
      <w:proofErr w:type="spellEnd"/>
      <w:r w:rsidRPr="00B751AA">
        <w:rPr>
          <w:rFonts w:ascii="Book Antiqua" w:hAnsi="Book Antiqua"/>
          <w:sz w:val="24"/>
          <w:szCs w:val="24"/>
        </w:rPr>
        <w:t xml:space="preserve"> AH. Histological type of esophageal cancer might affect response to neo-adjuvant </w:t>
      </w:r>
      <w:proofErr w:type="spellStart"/>
      <w:r w:rsidRPr="00B751AA">
        <w:rPr>
          <w:rFonts w:ascii="Book Antiqua" w:hAnsi="Book Antiqua"/>
          <w:sz w:val="24"/>
          <w:szCs w:val="24"/>
        </w:rPr>
        <w:t>radiochemotherapy</w:t>
      </w:r>
      <w:proofErr w:type="spellEnd"/>
      <w:r w:rsidRPr="00B751AA">
        <w:rPr>
          <w:rFonts w:ascii="Book Antiqua" w:hAnsi="Book Antiqua"/>
          <w:sz w:val="24"/>
          <w:szCs w:val="24"/>
        </w:rPr>
        <w:t xml:space="preserve"> and subsequent prognosis. </w:t>
      </w:r>
      <w:r w:rsidRPr="00B751AA">
        <w:rPr>
          <w:rFonts w:ascii="Book Antiqua" w:hAnsi="Book Antiqua"/>
          <w:i/>
          <w:sz w:val="24"/>
          <w:szCs w:val="24"/>
        </w:rPr>
        <w:t>Ann Oncol</w:t>
      </w:r>
      <w:r w:rsidRPr="00B751AA">
        <w:rPr>
          <w:rFonts w:ascii="Book Antiqua" w:hAnsi="Book Antiqua"/>
          <w:sz w:val="24"/>
          <w:szCs w:val="24"/>
        </w:rPr>
        <w:t xml:space="preserve"> 2009; </w:t>
      </w:r>
      <w:r w:rsidRPr="00B751AA">
        <w:rPr>
          <w:rFonts w:ascii="Book Antiqua" w:hAnsi="Book Antiqua"/>
          <w:b/>
          <w:sz w:val="24"/>
          <w:szCs w:val="24"/>
        </w:rPr>
        <w:t>20</w:t>
      </w:r>
      <w:r w:rsidRPr="00B751AA">
        <w:rPr>
          <w:rFonts w:ascii="Book Antiqua" w:hAnsi="Book Antiqua"/>
          <w:sz w:val="24"/>
          <w:szCs w:val="24"/>
        </w:rPr>
        <w:t>: 231-238 [PMID: 18836090 DOI: 10.1093/</w:t>
      </w:r>
      <w:proofErr w:type="spellStart"/>
      <w:r w:rsidRPr="00B751AA">
        <w:rPr>
          <w:rFonts w:ascii="Book Antiqua" w:hAnsi="Book Antiqua"/>
          <w:sz w:val="24"/>
          <w:szCs w:val="24"/>
        </w:rPr>
        <w:t>annonc</w:t>
      </w:r>
      <w:proofErr w:type="spellEnd"/>
      <w:r w:rsidRPr="00B751AA">
        <w:rPr>
          <w:rFonts w:ascii="Book Antiqua" w:hAnsi="Book Antiqua"/>
          <w:sz w:val="24"/>
          <w:szCs w:val="24"/>
        </w:rPr>
        <w:t>/mdn622]</w:t>
      </w:r>
    </w:p>
    <w:p w14:paraId="4E0DD61D"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7 </w:t>
      </w:r>
      <w:proofErr w:type="spellStart"/>
      <w:r w:rsidRPr="00B751AA">
        <w:rPr>
          <w:rFonts w:ascii="Book Antiqua" w:hAnsi="Book Antiqua"/>
          <w:b/>
          <w:sz w:val="24"/>
          <w:szCs w:val="24"/>
        </w:rPr>
        <w:t>Hölscher</w:t>
      </w:r>
      <w:proofErr w:type="spellEnd"/>
      <w:r w:rsidRPr="00B751AA">
        <w:rPr>
          <w:rFonts w:ascii="Book Antiqua" w:hAnsi="Book Antiqua"/>
          <w:b/>
          <w:sz w:val="24"/>
          <w:szCs w:val="24"/>
        </w:rPr>
        <w:t xml:space="preserve"> AH</w:t>
      </w:r>
      <w:r w:rsidRPr="00B751AA">
        <w:rPr>
          <w:rFonts w:ascii="Book Antiqua" w:hAnsi="Book Antiqua"/>
          <w:sz w:val="24"/>
          <w:szCs w:val="24"/>
        </w:rPr>
        <w:t xml:space="preserve">, </w:t>
      </w:r>
      <w:proofErr w:type="spellStart"/>
      <w:r w:rsidRPr="00B751AA">
        <w:rPr>
          <w:rFonts w:ascii="Book Antiqua" w:hAnsi="Book Antiqua"/>
          <w:sz w:val="24"/>
          <w:szCs w:val="24"/>
        </w:rPr>
        <w:t>Drebber</w:t>
      </w:r>
      <w:proofErr w:type="spellEnd"/>
      <w:r w:rsidRPr="00B751AA">
        <w:rPr>
          <w:rFonts w:ascii="Book Antiqua" w:hAnsi="Book Antiqua"/>
          <w:sz w:val="24"/>
          <w:szCs w:val="24"/>
        </w:rPr>
        <w:t xml:space="preserve"> U, Schmidt H,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Prognostic classification of histopathologic response to neoadjuvant therapy in esophageal adenocarcinoma. </w:t>
      </w:r>
      <w:r w:rsidRPr="00B751AA">
        <w:rPr>
          <w:rFonts w:ascii="Book Antiqua" w:hAnsi="Book Antiqua"/>
          <w:i/>
          <w:sz w:val="24"/>
          <w:szCs w:val="24"/>
        </w:rPr>
        <w:t>Ann Surg</w:t>
      </w:r>
      <w:r w:rsidRPr="00B751AA">
        <w:rPr>
          <w:rFonts w:ascii="Book Antiqua" w:hAnsi="Book Antiqua"/>
          <w:sz w:val="24"/>
          <w:szCs w:val="24"/>
        </w:rPr>
        <w:t xml:space="preserve"> 2014; </w:t>
      </w:r>
      <w:r w:rsidRPr="00B751AA">
        <w:rPr>
          <w:rFonts w:ascii="Book Antiqua" w:hAnsi="Book Antiqua"/>
          <w:b/>
          <w:sz w:val="24"/>
          <w:szCs w:val="24"/>
        </w:rPr>
        <w:t>260</w:t>
      </w:r>
      <w:r w:rsidRPr="00B751AA">
        <w:rPr>
          <w:rFonts w:ascii="Book Antiqua" w:hAnsi="Book Antiqua"/>
          <w:sz w:val="24"/>
          <w:szCs w:val="24"/>
        </w:rPr>
        <w:t>: 779-84; discussion 784-785 [PMID: 25379849 DOI: 10.1097/SLA.0000000000000964]</w:t>
      </w:r>
    </w:p>
    <w:p w14:paraId="03DC001D"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8 </w:t>
      </w:r>
      <w:r w:rsidRPr="00B751AA">
        <w:rPr>
          <w:rFonts w:ascii="Book Antiqua" w:hAnsi="Book Antiqua"/>
          <w:b/>
          <w:sz w:val="24"/>
          <w:szCs w:val="24"/>
        </w:rPr>
        <w:t>Metzger R</w:t>
      </w:r>
      <w:r w:rsidRPr="00B751AA">
        <w:rPr>
          <w:rFonts w:ascii="Book Antiqua" w:hAnsi="Book Antiqua"/>
          <w:sz w:val="24"/>
          <w:szCs w:val="24"/>
        </w:rPr>
        <w:t xml:space="preserve">, Schneider PM, </w:t>
      </w:r>
      <w:proofErr w:type="spellStart"/>
      <w:r w:rsidRPr="00B751AA">
        <w:rPr>
          <w:rFonts w:ascii="Book Antiqua" w:hAnsi="Book Antiqua"/>
          <w:sz w:val="24"/>
          <w:szCs w:val="24"/>
        </w:rPr>
        <w:t>Warnecke-Eberz</w:t>
      </w:r>
      <w:proofErr w:type="spellEnd"/>
      <w:r w:rsidRPr="00B751AA">
        <w:rPr>
          <w:rFonts w:ascii="Book Antiqua" w:hAnsi="Book Antiqua"/>
          <w:sz w:val="24"/>
          <w:szCs w:val="24"/>
        </w:rPr>
        <w:t xml:space="preserve"> U, </w:t>
      </w:r>
      <w:proofErr w:type="spellStart"/>
      <w:r w:rsidRPr="00B751AA">
        <w:rPr>
          <w:rFonts w:ascii="Book Antiqua" w:hAnsi="Book Antiqua"/>
          <w:sz w:val="24"/>
          <w:szCs w:val="24"/>
        </w:rPr>
        <w:t>Brabender</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Hölscher</w:t>
      </w:r>
      <w:proofErr w:type="spellEnd"/>
      <w:r w:rsidRPr="00B751AA">
        <w:rPr>
          <w:rFonts w:ascii="Book Antiqua" w:hAnsi="Book Antiqua"/>
          <w:sz w:val="24"/>
          <w:szCs w:val="24"/>
        </w:rPr>
        <w:t xml:space="preserve"> AH. Molecular biology of esophageal cancer. </w:t>
      </w:r>
      <w:proofErr w:type="spellStart"/>
      <w:r w:rsidRPr="00B751AA">
        <w:rPr>
          <w:rFonts w:ascii="Book Antiqua" w:hAnsi="Book Antiqua"/>
          <w:i/>
          <w:sz w:val="24"/>
          <w:szCs w:val="24"/>
        </w:rPr>
        <w:t>Onkologie</w:t>
      </w:r>
      <w:proofErr w:type="spellEnd"/>
      <w:r w:rsidRPr="00B751AA">
        <w:rPr>
          <w:rFonts w:ascii="Book Antiqua" w:hAnsi="Book Antiqua"/>
          <w:sz w:val="24"/>
          <w:szCs w:val="24"/>
        </w:rPr>
        <w:t xml:space="preserve"> 2004; </w:t>
      </w:r>
      <w:r w:rsidRPr="00B751AA">
        <w:rPr>
          <w:rFonts w:ascii="Book Antiqua" w:hAnsi="Book Antiqua"/>
          <w:b/>
          <w:sz w:val="24"/>
          <w:szCs w:val="24"/>
        </w:rPr>
        <w:t>27</w:t>
      </w:r>
      <w:r w:rsidRPr="00B751AA">
        <w:rPr>
          <w:rFonts w:ascii="Book Antiqua" w:hAnsi="Book Antiqua"/>
          <w:sz w:val="24"/>
          <w:szCs w:val="24"/>
        </w:rPr>
        <w:t>: 200-206 [PMID: 15138356 DOI: 10.1159/000076913]</w:t>
      </w:r>
    </w:p>
    <w:p w14:paraId="29FD0964"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9 </w:t>
      </w:r>
      <w:r w:rsidRPr="00B751AA">
        <w:rPr>
          <w:rFonts w:ascii="Book Antiqua" w:hAnsi="Book Antiqua"/>
          <w:b/>
          <w:sz w:val="24"/>
          <w:szCs w:val="24"/>
        </w:rPr>
        <w:t>Miyazono F</w:t>
      </w:r>
      <w:r w:rsidRPr="00B751AA">
        <w:rPr>
          <w:rFonts w:ascii="Book Antiqua" w:hAnsi="Book Antiqua"/>
          <w:sz w:val="24"/>
          <w:szCs w:val="24"/>
        </w:rPr>
        <w:t xml:space="preserve">, Metzger R, </w:t>
      </w:r>
      <w:proofErr w:type="spellStart"/>
      <w:r w:rsidRPr="00B751AA">
        <w:rPr>
          <w:rFonts w:ascii="Book Antiqua" w:hAnsi="Book Antiqua"/>
          <w:sz w:val="24"/>
          <w:szCs w:val="24"/>
        </w:rPr>
        <w:t>Warnecke-Eberz</w:t>
      </w:r>
      <w:proofErr w:type="spellEnd"/>
      <w:r w:rsidRPr="00B751AA">
        <w:rPr>
          <w:rFonts w:ascii="Book Antiqua" w:hAnsi="Book Antiqua"/>
          <w:sz w:val="24"/>
          <w:szCs w:val="24"/>
        </w:rPr>
        <w:t xml:space="preserve"> U, Baldus SE, </w:t>
      </w:r>
      <w:proofErr w:type="spellStart"/>
      <w:r w:rsidRPr="00B751AA">
        <w:rPr>
          <w:rFonts w:ascii="Book Antiqua" w:hAnsi="Book Antiqua"/>
          <w:sz w:val="24"/>
          <w:szCs w:val="24"/>
        </w:rPr>
        <w:t>Brabender</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Doerfler</w:t>
      </w:r>
      <w:proofErr w:type="spellEnd"/>
      <w:r w:rsidRPr="00B751AA">
        <w:rPr>
          <w:rFonts w:ascii="Book Antiqua" w:hAnsi="Book Antiqua"/>
          <w:sz w:val="24"/>
          <w:szCs w:val="24"/>
        </w:rPr>
        <w:t xml:space="preserve"> W, Mueller RP, Dienes HP, </w:t>
      </w:r>
      <w:proofErr w:type="spellStart"/>
      <w:r w:rsidRPr="00B751AA">
        <w:rPr>
          <w:rFonts w:ascii="Book Antiqua" w:hAnsi="Book Antiqua"/>
          <w:sz w:val="24"/>
          <w:szCs w:val="24"/>
        </w:rPr>
        <w:t>Aikou</w:t>
      </w:r>
      <w:proofErr w:type="spellEnd"/>
      <w:r w:rsidRPr="00B751AA">
        <w:rPr>
          <w:rFonts w:ascii="Book Antiqua" w:hAnsi="Book Antiqua"/>
          <w:sz w:val="24"/>
          <w:szCs w:val="24"/>
        </w:rPr>
        <w:t xml:space="preserve"> T, </w:t>
      </w:r>
      <w:proofErr w:type="spellStart"/>
      <w:r w:rsidRPr="00B751AA">
        <w:rPr>
          <w:rFonts w:ascii="Book Antiqua" w:hAnsi="Book Antiqua"/>
          <w:sz w:val="24"/>
          <w:szCs w:val="24"/>
        </w:rPr>
        <w:t>Hoelscher</w:t>
      </w:r>
      <w:proofErr w:type="spellEnd"/>
      <w:r w:rsidRPr="00B751AA">
        <w:rPr>
          <w:rFonts w:ascii="Book Antiqua" w:hAnsi="Book Antiqua"/>
          <w:sz w:val="24"/>
          <w:szCs w:val="24"/>
        </w:rPr>
        <w:t xml:space="preserve"> AH, Schneider PM. Quantitative c-erbB-2 but not c-erbB-1 mRNA expression is a promising marker to predict minor histopathologic response to neoadjuvant </w:t>
      </w:r>
      <w:proofErr w:type="spellStart"/>
      <w:r w:rsidRPr="00B751AA">
        <w:rPr>
          <w:rFonts w:ascii="Book Antiqua" w:hAnsi="Book Antiqua"/>
          <w:sz w:val="24"/>
          <w:szCs w:val="24"/>
        </w:rPr>
        <w:t>radiochemotherapy</w:t>
      </w:r>
      <w:proofErr w:type="spellEnd"/>
      <w:r w:rsidRPr="00B751AA">
        <w:rPr>
          <w:rFonts w:ascii="Book Antiqua" w:hAnsi="Book Antiqua"/>
          <w:sz w:val="24"/>
          <w:szCs w:val="24"/>
        </w:rPr>
        <w:t xml:space="preserve"> in </w:t>
      </w:r>
      <w:proofErr w:type="spellStart"/>
      <w:r w:rsidRPr="00B751AA">
        <w:rPr>
          <w:rFonts w:ascii="Book Antiqua" w:hAnsi="Book Antiqua"/>
          <w:sz w:val="24"/>
          <w:szCs w:val="24"/>
        </w:rPr>
        <w:t>oesophageal</w:t>
      </w:r>
      <w:proofErr w:type="spellEnd"/>
      <w:r w:rsidRPr="00B751AA">
        <w:rPr>
          <w:rFonts w:ascii="Book Antiqua" w:hAnsi="Book Antiqua"/>
          <w:sz w:val="24"/>
          <w:szCs w:val="24"/>
        </w:rPr>
        <w:t xml:space="preserve"> cancer. </w:t>
      </w:r>
      <w:r w:rsidRPr="00B751AA">
        <w:rPr>
          <w:rFonts w:ascii="Book Antiqua" w:hAnsi="Book Antiqua"/>
          <w:i/>
          <w:sz w:val="24"/>
          <w:szCs w:val="24"/>
        </w:rPr>
        <w:t>Br J Cancer</w:t>
      </w:r>
      <w:r w:rsidRPr="00B751AA">
        <w:rPr>
          <w:rFonts w:ascii="Book Antiqua" w:hAnsi="Book Antiqua"/>
          <w:sz w:val="24"/>
          <w:szCs w:val="24"/>
        </w:rPr>
        <w:t xml:space="preserve"> 2004; </w:t>
      </w:r>
      <w:r w:rsidRPr="00B751AA">
        <w:rPr>
          <w:rFonts w:ascii="Book Antiqua" w:hAnsi="Book Antiqua"/>
          <w:b/>
          <w:sz w:val="24"/>
          <w:szCs w:val="24"/>
        </w:rPr>
        <w:t>91</w:t>
      </w:r>
      <w:r w:rsidRPr="00B751AA">
        <w:rPr>
          <w:rFonts w:ascii="Book Antiqua" w:hAnsi="Book Antiqua"/>
          <w:sz w:val="24"/>
          <w:szCs w:val="24"/>
        </w:rPr>
        <w:t>: 666-672 [PMID: 15213712 DOI: 10.1038/sj.bjc.6601976]</w:t>
      </w:r>
    </w:p>
    <w:p w14:paraId="6B5E054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10 </w:t>
      </w:r>
      <w:proofErr w:type="spellStart"/>
      <w:r w:rsidRPr="00B751AA">
        <w:rPr>
          <w:rFonts w:ascii="Book Antiqua" w:hAnsi="Book Antiqua"/>
          <w:b/>
          <w:sz w:val="24"/>
          <w:szCs w:val="24"/>
        </w:rPr>
        <w:t>Warnecke-Eberz</w:t>
      </w:r>
      <w:proofErr w:type="spellEnd"/>
      <w:r w:rsidRPr="00B751AA">
        <w:rPr>
          <w:rFonts w:ascii="Book Antiqua" w:hAnsi="Book Antiqua"/>
          <w:b/>
          <w:sz w:val="24"/>
          <w:szCs w:val="24"/>
        </w:rPr>
        <w:t xml:space="preserve"> U</w:t>
      </w:r>
      <w:r w:rsidRPr="00B751AA">
        <w:rPr>
          <w:rFonts w:ascii="Book Antiqua" w:hAnsi="Book Antiqua"/>
          <w:sz w:val="24"/>
          <w:szCs w:val="24"/>
        </w:rPr>
        <w:t xml:space="preserve">, Metzger R, Miyazono F, Baldus SE, </w:t>
      </w:r>
      <w:proofErr w:type="spellStart"/>
      <w:r w:rsidRPr="00B751AA">
        <w:rPr>
          <w:rFonts w:ascii="Book Antiqua" w:hAnsi="Book Antiqua"/>
          <w:sz w:val="24"/>
          <w:szCs w:val="24"/>
        </w:rPr>
        <w:t>Neiss</w:t>
      </w:r>
      <w:proofErr w:type="spellEnd"/>
      <w:r w:rsidRPr="00B751AA">
        <w:rPr>
          <w:rFonts w:ascii="Book Antiqua" w:hAnsi="Book Antiqua"/>
          <w:sz w:val="24"/>
          <w:szCs w:val="24"/>
        </w:rPr>
        <w:t xml:space="preserve"> S, </w:t>
      </w:r>
      <w:proofErr w:type="spellStart"/>
      <w:r w:rsidRPr="00B751AA">
        <w:rPr>
          <w:rFonts w:ascii="Book Antiqua" w:hAnsi="Book Antiqua"/>
          <w:sz w:val="24"/>
          <w:szCs w:val="24"/>
        </w:rPr>
        <w:t>Brabender</w:t>
      </w:r>
      <w:proofErr w:type="spellEnd"/>
      <w:r w:rsidRPr="00B751AA">
        <w:rPr>
          <w:rFonts w:ascii="Book Antiqua" w:hAnsi="Book Antiqua"/>
          <w:sz w:val="24"/>
          <w:szCs w:val="24"/>
        </w:rPr>
        <w:t xml:space="preserve"> J, Schaefer H, </w:t>
      </w:r>
      <w:proofErr w:type="spellStart"/>
      <w:r w:rsidRPr="00B751AA">
        <w:rPr>
          <w:rFonts w:ascii="Book Antiqua" w:hAnsi="Book Antiqua"/>
          <w:sz w:val="24"/>
          <w:szCs w:val="24"/>
        </w:rPr>
        <w:t>Doerfler</w:t>
      </w:r>
      <w:proofErr w:type="spellEnd"/>
      <w:r w:rsidRPr="00B751AA">
        <w:rPr>
          <w:rFonts w:ascii="Book Antiqua" w:hAnsi="Book Antiqua"/>
          <w:sz w:val="24"/>
          <w:szCs w:val="24"/>
        </w:rPr>
        <w:t xml:space="preserve"> W,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Dienes HP, Mueller RP, </w:t>
      </w:r>
      <w:proofErr w:type="spellStart"/>
      <w:r w:rsidRPr="00B751AA">
        <w:rPr>
          <w:rFonts w:ascii="Book Antiqua" w:hAnsi="Book Antiqua"/>
          <w:sz w:val="24"/>
          <w:szCs w:val="24"/>
        </w:rPr>
        <w:t>Danenberg</w:t>
      </w:r>
      <w:proofErr w:type="spellEnd"/>
      <w:r w:rsidRPr="00B751AA">
        <w:rPr>
          <w:rFonts w:ascii="Book Antiqua" w:hAnsi="Book Antiqua"/>
          <w:sz w:val="24"/>
          <w:szCs w:val="24"/>
        </w:rPr>
        <w:t xml:space="preserve"> PV, </w:t>
      </w:r>
      <w:proofErr w:type="spellStart"/>
      <w:r w:rsidRPr="00B751AA">
        <w:rPr>
          <w:rFonts w:ascii="Book Antiqua" w:hAnsi="Book Antiqua"/>
          <w:sz w:val="24"/>
          <w:szCs w:val="24"/>
        </w:rPr>
        <w:t>Hoelscher</w:t>
      </w:r>
      <w:proofErr w:type="spellEnd"/>
      <w:r w:rsidRPr="00B751AA">
        <w:rPr>
          <w:rFonts w:ascii="Book Antiqua" w:hAnsi="Book Antiqua"/>
          <w:sz w:val="24"/>
          <w:szCs w:val="24"/>
        </w:rPr>
        <w:t xml:space="preserve"> AH, Schneider PM. High specificity of quantitative excision repair cross-complementing 1 messenger RNA expression for prediction of minor histopathological response to neoadjuvant </w:t>
      </w:r>
      <w:proofErr w:type="spellStart"/>
      <w:r w:rsidRPr="00B751AA">
        <w:rPr>
          <w:rFonts w:ascii="Book Antiqua" w:hAnsi="Book Antiqua"/>
          <w:sz w:val="24"/>
          <w:szCs w:val="24"/>
        </w:rPr>
        <w:t>radiochemotherapy</w:t>
      </w:r>
      <w:proofErr w:type="spellEnd"/>
      <w:r w:rsidRPr="00B751AA">
        <w:rPr>
          <w:rFonts w:ascii="Book Antiqua" w:hAnsi="Book Antiqua"/>
          <w:sz w:val="24"/>
          <w:szCs w:val="24"/>
        </w:rPr>
        <w:t xml:space="preserve"> in esophageal cancer. </w:t>
      </w:r>
      <w:r w:rsidRPr="00B751AA">
        <w:rPr>
          <w:rFonts w:ascii="Book Antiqua" w:hAnsi="Book Antiqua"/>
          <w:i/>
          <w:sz w:val="24"/>
          <w:szCs w:val="24"/>
        </w:rPr>
        <w:t>Clin Cancer Res</w:t>
      </w:r>
      <w:r w:rsidRPr="00B751AA">
        <w:rPr>
          <w:rFonts w:ascii="Book Antiqua" w:hAnsi="Book Antiqua"/>
          <w:sz w:val="24"/>
          <w:szCs w:val="24"/>
        </w:rPr>
        <w:t xml:space="preserve"> 2004; </w:t>
      </w:r>
      <w:r w:rsidRPr="00B751AA">
        <w:rPr>
          <w:rFonts w:ascii="Book Antiqua" w:hAnsi="Book Antiqua"/>
          <w:b/>
          <w:sz w:val="24"/>
          <w:szCs w:val="24"/>
        </w:rPr>
        <w:t>10</w:t>
      </w:r>
      <w:r w:rsidRPr="00B751AA">
        <w:rPr>
          <w:rFonts w:ascii="Book Antiqua" w:hAnsi="Book Antiqua"/>
          <w:sz w:val="24"/>
          <w:szCs w:val="24"/>
        </w:rPr>
        <w:t>: 3794-3799 [PMID: 15173087 DOI: 10.1158/1078-0432.CCR-03-0079]</w:t>
      </w:r>
    </w:p>
    <w:p w14:paraId="10FDB80F"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11 </w:t>
      </w:r>
      <w:r w:rsidRPr="00B751AA">
        <w:rPr>
          <w:rFonts w:ascii="Book Antiqua" w:hAnsi="Book Antiqua"/>
          <w:b/>
          <w:sz w:val="24"/>
          <w:szCs w:val="24"/>
        </w:rPr>
        <w:t>Plum PS</w:t>
      </w:r>
      <w:r w:rsidRPr="00B751AA">
        <w:rPr>
          <w:rFonts w:ascii="Book Antiqua" w:hAnsi="Book Antiqua"/>
          <w:sz w:val="24"/>
          <w:szCs w:val="24"/>
        </w:rPr>
        <w:t xml:space="preserve">,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Hölscher</w:t>
      </w:r>
      <w:proofErr w:type="spellEnd"/>
      <w:r w:rsidRPr="00B751AA">
        <w:rPr>
          <w:rFonts w:ascii="Book Antiqua" w:hAnsi="Book Antiqua"/>
          <w:sz w:val="24"/>
          <w:szCs w:val="24"/>
        </w:rPr>
        <w:t xml:space="preserve"> AH, </w:t>
      </w:r>
      <w:proofErr w:type="spellStart"/>
      <w:r w:rsidRPr="00B751AA">
        <w:rPr>
          <w:rFonts w:ascii="Book Antiqua" w:hAnsi="Book Antiqua"/>
          <w:sz w:val="24"/>
          <w:szCs w:val="24"/>
        </w:rPr>
        <w:t>Warnecke-Eberz</w:t>
      </w:r>
      <w:proofErr w:type="spellEnd"/>
      <w:r w:rsidRPr="00B751AA">
        <w:rPr>
          <w:rFonts w:ascii="Book Antiqua" w:hAnsi="Book Antiqua"/>
          <w:sz w:val="24"/>
          <w:szCs w:val="24"/>
        </w:rPr>
        <w:t xml:space="preserve"> U. Novel diagnostic and prognostic biomarkers in esophageal cancer. </w:t>
      </w:r>
      <w:r w:rsidRPr="00B751AA">
        <w:rPr>
          <w:rFonts w:ascii="Book Antiqua" w:hAnsi="Book Antiqua"/>
          <w:i/>
          <w:sz w:val="24"/>
          <w:szCs w:val="24"/>
        </w:rPr>
        <w:t xml:space="preserve">Expert </w:t>
      </w:r>
      <w:proofErr w:type="spellStart"/>
      <w:r w:rsidRPr="00B751AA">
        <w:rPr>
          <w:rFonts w:ascii="Book Antiqua" w:hAnsi="Book Antiqua"/>
          <w:i/>
          <w:sz w:val="24"/>
          <w:szCs w:val="24"/>
        </w:rPr>
        <w:t>Opin</w:t>
      </w:r>
      <w:proofErr w:type="spellEnd"/>
      <w:r w:rsidRPr="00B751AA">
        <w:rPr>
          <w:rFonts w:ascii="Book Antiqua" w:hAnsi="Book Antiqua"/>
          <w:i/>
          <w:sz w:val="24"/>
          <w:szCs w:val="24"/>
        </w:rPr>
        <w:t xml:space="preserve"> Med Diagn</w:t>
      </w:r>
      <w:r w:rsidRPr="00B751AA">
        <w:rPr>
          <w:rFonts w:ascii="Book Antiqua" w:hAnsi="Book Antiqua"/>
          <w:sz w:val="24"/>
          <w:szCs w:val="24"/>
        </w:rPr>
        <w:t xml:space="preserve"> 2013; </w:t>
      </w:r>
      <w:r w:rsidRPr="00B751AA">
        <w:rPr>
          <w:rFonts w:ascii="Book Antiqua" w:hAnsi="Book Antiqua"/>
          <w:b/>
          <w:sz w:val="24"/>
          <w:szCs w:val="24"/>
        </w:rPr>
        <w:t>7</w:t>
      </w:r>
      <w:r w:rsidRPr="00B751AA">
        <w:rPr>
          <w:rFonts w:ascii="Book Antiqua" w:hAnsi="Book Antiqua"/>
          <w:sz w:val="24"/>
          <w:szCs w:val="24"/>
        </w:rPr>
        <w:t>: 557-571 [PMID: 24093836 DOI: 10.1517/17530059.2013.843526]</w:t>
      </w:r>
    </w:p>
    <w:p w14:paraId="708AD8B6"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12 </w:t>
      </w:r>
      <w:proofErr w:type="spellStart"/>
      <w:r w:rsidRPr="00B751AA">
        <w:rPr>
          <w:rFonts w:ascii="Book Antiqua" w:hAnsi="Book Antiqua"/>
          <w:b/>
          <w:sz w:val="24"/>
          <w:szCs w:val="24"/>
        </w:rPr>
        <w:t>Warnecke-Eberz</w:t>
      </w:r>
      <w:proofErr w:type="spellEnd"/>
      <w:r w:rsidRPr="00B751AA">
        <w:rPr>
          <w:rFonts w:ascii="Book Antiqua" w:hAnsi="Book Antiqua"/>
          <w:b/>
          <w:sz w:val="24"/>
          <w:szCs w:val="24"/>
        </w:rPr>
        <w:t xml:space="preserve"> U</w:t>
      </w:r>
      <w:r w:rsidRPr="00B751AA">
        <w:rPr>
          <w:rFonts w:ascii="Book Antiqua" w:hAnsi="Book Antiqua"/>
          <w:sz w:val="24"/>
          <w:szCs w:val="24"/>
        </w:rPr>
        <w:t xml:space="preserve">, Metzger R,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Baldus SE, Mueller RP, Dienes HP, </w:t>
      </w:r>
      <w:proofErr w:type="spellStart"/>
      <w:r w:rsidRPr="00B751AA">
        <w:rPr>
          <w:rFonts w:ascii="Book Antiqua" w:hAnsi="Book Antiqua"/>
          <w:sz w:val="24"/>
          <w:szCs w:val="24"/>
        </w:rPr>
        <w:t>Hoelscher</w:t>
      </w:r>
      <w:proofErr w:type="spellEnd"/>
      <w:r w:rsidRPr="00B751AA">
        <w:rPr>
          <w:rFonts w:ascii="Book Antiqua" w:hAnsi="Book Antiqua"/>
          <w:sz w:val="24"/>
          <w:szCs w:val="24"/>
        </w:rPr>
        <w:t xml:space="preserve"> AH, Schneider PM. TaqMan low-density arrays and analysis by artificial neuronal networks predict response to neoadjuvant chemoradiation in esophageal cancer. </w:t>
      </w:r>
      <w:r w:rsidRPr="00B751AA">
        <w:rPr>
          <w:rFonts w:ascii="Book Antiqua" w:hAnsi="Book Antiqua"/>
          <w:i/>
          <w:sz w:val="24"/>
          <w:szCs w:val="24"/>
        </w:rPr>
        <w:t>Pharmacogenomics</w:t>
      </w:r>
      <w:r w:rsidRPr="00B751AA">
        <w:rPr>
          <w:rFonts w:ascii="Book Antiqua" w:hAnsi="Book Antiqua"/>
          <w:sz w:val="24"/>
          <w:szCs w:val="24"/>
        </w:rPr>
        <w:t xml:space="preserve"> 2010; </w:t>
      </w:r>
      <w:r w:rsidRPr="00B751AA">
        <w:rPr>
          <w:rFonts w:ascii="Book Antiqua" w:hAnsi="Book Antiqua"/>
          <w:b/>
          <w:sz w:val="24"/>
          <w:szCs w:val="24"/>
        </w:rPr>
        <w:t>11</w:t>
      </w:r>
      <w:r w:rsidRPr="00B751AA">
        <w:rPr>
          <w:rFonts w:ascii="Book Antiqua" w:hAnsi="Book Antiqua"/>
          <w:sz w:val="24"/>
          <w:szCs w:val="24"/>
        </w:rPr>
        <w:t>: 55-64 [PMID: 20017672 DOI: 10.2217/pgs.09.137]</w:t>
      </w:r>
    </w:p>
    <w:p w14:paraId="19A89FFA"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13 </w:t>
      </w:r>
      <w:r w:rsidRPr="00B751AA">
        <w:rPr>
          <w:rFonts w:ascii="Book Antiqua" w:hAnsi="Book Antiqua"/>
          <w:b/>
          <w:sz w:val="24"/>
          <w:szCs w:val="24"/>
        </w:rPr>
        <w:t>Metzger R</w:t>
      </w:r>
      <w:r w:rsidRPr="00B751AA">
        <w:rPr>
          <w:rFonts w:ascii="Book Antiqua" w:hAnsi="Book Antiqua"/>
          <w:sz w:val="24"/>
          <w:szCs w:val="24"/>
        </w:rPr>
        <w:t xml:space="preserve">, </w:t>
      </w:r>
      <w:proofErr w:type="spellStart"/>
      <w:r w:rsidRPr="00B751AA">
        <w:rPr>
          <w:rFonts w:ascii="Book Antiqua" w:hAnsi="Book Antiqua"/>
          <w:sz w:val="24"/>
          <w:szCs w:val="24"/>
        </w:rPr>
        <w:t>Heukamp</w:t>
      </w:r>
      <w:proofErr w:type="spellEnd"/>
      <w:r w:rsidRPr="00B751AA">
        <w:rPr>
          <w:rFonts w:ascii="Book Antiqua" w:hAnsi="Book Antiqua"/>
          <w:sz w:val="24"/>
          <w:szCs w:val="24"/>
        </w:rPr>
        <w:t xml:space="preserve"> L, </w:t>
      </w:r>
      <w:proofErr w:type="spellStart"/>
      <w:r w:rsidRPr="00B751AA">
        <w:rPr>
          <w:rFonts w:ascii="Book Antiqua" w:hAnsi="Book Antiqua"/>
          <w:sz w:val="24"/>
          <w:szCs w:val="24"/>
        </w:rPr>
        <w:t>Drebber</w:t>
      </w:r>
      <w:proofErr w:type="spellEnd"/>
      <w:r w:rsidRPr="00B751AA">
        <w:rPr>
          <w:rFonts w:ascii="Book Antiqua" w:hAnsi="Book Antiqua"/>
          <w:sz w:val="24"/>
          <w:szCs w:val="24"/>
        </w:rPr>
        <w:t xml:space="preserve"> U,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Zander T, </w:t>
      </w:r>
      <w:proofErr w:type="spellStart"/>
      <w:r w:rsidRPr="00B751AA">
        <w:rPr>
          <w:rFonts w:ascii="Book Antiqua" w:hAnsi="Book Antiqua"/>
          <w:sz w:val="24"/>
          <w:szCs w:val="24"/>
        </w:rPr>
        <w:t>Hoelscher</w:t>
      </w:r>
      <w:proofErr w:type="spellEnd"/>
      <w:r w:rsidRPr="00B751AA">
        <w:rPr>
          <w:rFonts w:ascii="Book Antiqua" w:hAnsi="Book Antiqua"/>
          <w:sz w:val="24"/>
          <w:szCs w:val="24"/>
        </w:rPr>
        <w:t xml:space="preserve"> AH, </w:t>
      </w:r>
      <w:proofErr w:type="spellStart"/>
      <w:r w:rsidRPr="00B751AA">
        <w:rPr>
          <w:rFonts w:ascii="Book Antiqua" w:hAnsi="Book Antiqua"/>
          <w:sz w:val="24"/>
          <w:szCs w:val="24"/>
        </w:rPr>
        <w:t>Warnecke-Eberz</w:t>
      </w:r>
      <w:proofErr w:type="spellEnd"/>
      <w:r w:rsidRPr="00B751AA">
        <w:rPr>
          <w:rFonts w:ascii="Book Antiqua" w:hAnsi="Book Antiqua"/>
          <w:sz w:val="24"/>
          <w:szCs w:val="24"/>
        </w:rPr>
        <w:t xml:space="preserve"> U. CUL2 and STK11 as novel response-predictive genes for neoadjuvant </w:t>
      </w:r>
      <w:proofErr w:type="spellStart"/>
      <w:r w:rsidRPr="00B751AA">
        <w:rPr>
          <w:rFonts w:ascii="Book Antiqua" w:hAnsi="Book Antiqua"/>
          <w:sz w:val="24"/>
          <w:szCs w:val="24"/>
        </w:rPr>
        <w:t>radiochemotherapy</w:t>
      </w:r>
      <w:proofErr w:type="spellEnd"/>
      <w:r w:rsidRPr="00B751AA">
        <w:rPr>
          <w:rFonts w:ascii="Book Antiqua" w:hAnsi="Book Antiqua"/>
          <w:sz w:val="24"/>
          <w:szCs w:val="24"/>
        </w:rPr>
        <w:t xml:space="preserve"> in esophageal cancer. </w:t>
      </w:r>
      <w:r w:rsidRPr="00B751AA">
        <w:rPr>
          <w:rFonts w:ascii="Book Antiqua" w:hAnsi="Book Antiqua"/>
          <w:i/>
          <w:sz w:val="24"/>
          <w:szCs w:val="24"/>
        </w:rPr>
        <w:t>Pharmacogenomics</w:t>
      </w:r>
      <w:r w:rsidRPr="00B751AA">
        <w:rPr>
          <w:rFonts w:ascii="Book Antiqua" w:hAnsi="Book Antiqua"/>
          <w:sz w:val="24"/>
          <w:szCs w:val="24"/>
        </w:rPr>
        <w:t xml:space="preserve"> 2010; </w:t>
      </w:r>
      <w:r w:rsidRPr="00B751AA">
        <w:rPr>
          <w:rFonts w:ascii="Book Antiqua" w:hAnsi="Book Antiqua"/>
          <w:b/>
          <w:sz w:val="24"/>
          <w:szCs w:val="24"/>
        </w:rPr>
        <w:t>11</w:t>
      </w:r>
      <w:r w:rsidRPr="00B751AA">
        <w:rPr>
          <w:rFonts w:ascii="Book Antiqua" w:hAnsi="Book Antiqua"/>
          <w:sz w:val="24"/>
          <w:szCs w:val="24"/>
        </w:rPr>
        <w:t>: 1105-1113 [PMID: 20712528 DOI: 10.2217/pgs.10.76]</w:t>
      </w:r>
    </w:p>
    <w:p w14:paraId="750DF5FC"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14 </w:t>
      </w:r>
      <w:proofErr w:type="spellStart"/>
      <w:r w:rsidRPr="00B751AA">
        <w:rPr>
          <w:rFonts w:ascii="Book Antiqua" w:hAnsi="Book Antiqua"/>
          <w:b/>
          <w:sz w:val="24"/>
          <w:szCs w:val="24"/>
        </w:rPr>
        <w:t>Rahadiani</w:t>
      </w:r>
      <w:proofErr w:type="spellEnd"/>
      <w:r w:rsidRPr="00B751AA">
        <w:rPr>
          <w:rFonts w:ascii="Book Antiqua" w:hAnsi="Book Antiqua"/>
          <w:b/>
          <w:sz w:val="24"/>
          <w:szCs w:val="24"/>
        </w:rPr>
        <w:t xml:space="preserve"> N</w:t>
      </w:r>
      <w:r w:rsidRPr="00B751AA">
        <w:rPr>
          <w:rFonts w:ascii="Book Antiqua" w:hAnsi="Book Antiqua"/>
          <w:sz w:val="24"/>
          <w:szCs w:val="24"/>
        </w:rPr>
        <w:t xml:space="preserve">, Ikeda J, Makino T, Tian T, </w:t>
      </w:r>
      <w:proofErr w:type="spellStart"/>
      <w:r w:rsidRPr="00B751AA">
        <w:rPr>
          <w:rFonts w:ascii="Book Antiqua" w:hAnsi="Book Antiqua"/>
          <w:sz w:val="24"/>
          <w:szCs w:val="24"/>
        </w:rPr>
        <w:t>Qiu</w:t>
      </w:r>
      <w:proofErr w:type="spellEnd"/>
      <w:r w:rsidRPr="00B751AA">
        <w:rPr>
          <w:rFonts w:ascii="Book Antiqua" w:hAnsi="Book Antiqua"/>
          <w:sz w:val="24"/>
          <w:szCs w:val="24"/>
        </w:rPr>
        <w:t xml:space="preserve"> Y, </w:t>
      </w:r>
      <w:proofErr w:type="spellStart"/>
      <w:r w:rsidRPr="00B751AA">
        <w:rPr>
          <w:rFonts w:ascii="Book Antiqua" w:hAnsi="Book Antiqua"/>
          <w:sz w:val="24"/>
          <w:szCs w:val="24"/>
        </w:rPr>
        <w:t>Mamat</w:t>
      </w:r>
      <w:proofErr w:type="spellEnd"/>
      <w:r w:rsidRPr="00B751AA">
        <w:rPr>
          <w:rFonts w:ascii="Book Antiqua" w:hAnsi="Book Antiqua"/>
          <w:sz w:val="24"/>
          <w:szCs w:val="24"/>
        </w:rPr>
        <w:t xml:space="preserve"> S, Wang Y, </w:t>
      </w:r>
      <w:proofErr w:type="spellStart"/>
      <w:r w:rsidRPr="00B751AA">
        <w:rPr>
          <w:rFonts w:ascii="Book Antiqua" w:hAnsi="Book Antiqua"/>
          <w:sz w:val="24"/>
          <w:szCs w:val="24"/>
        </w:rPr>
        <w:t>Doki</w:t>
      </w:r>
      <w:proofErr w:type="spellEnd"/>
      <w:r w:rsidRPr="00B751AA">
        <w:rPr>
          <w:rFonts w:ascii="Book Antiqua" w:hAnsi="Book Antiqua"/>
          <w:sz w:val="24"/>
          <w:szCs w:val="24"/>
        </w:rPr>
        <w:t xml:space="preserve"> Y, </w:t>
      </w:r>
      <w:proofErr w:type="spellStart"/>
      <w:r w:rsidRPr="00B751AA">
        <w:rPr>
          <w:rFonts w:ascii="Book Antiqua" w:hAnsi="Book Antiqua"/>
          <w:sz w:val="24"/>
          <w:szCs w:val="24"/>
        </w:rPr>
        <w:t>Aozasa</w:t>
      </w:r>
      <w:proofErr w:type="spellEnd"/>
      <w:r w:rsidRPr="00B751AA">
        <w:rPr>
          <w:rFonts w:ascii="Book Antiqua" w:hAnsi="Book Antiqua"/>
          <w:sz w:val="24"/>
          <w:szCs w:val="24"/>
        </w:rPr>
        <w:t xml:space="preserve"> K, </w:t>
      </w:r>
      <w:proofErr w:type="spellStart"/>
      <w:r w:rsidRPr="00B751AA">
        <w:rPr>
          <w:rFonts w:ascii="Book Antiqua" w:hAnsi="Book Antiqua"/>
          <w:sz w:val="24"/>
          <w:szCs w:val="24"/>
        </w:rPr>
        <w:t>Morii</w:t>
      </w:r>
      <w:proofErr w:type="spellEnd"/>
      <w:r w:rsidRPr="00B751AA">
        <w:rPr>
          <w:rFonts w:ascii="Book Antiqua" w:hAnsi="Book Antiqua"/>
          <w:sz w:val="24"/>
          <w:szCs w:val="24"/>
        </w:rPr>
        <w:t xml:space="preserve"> E. Tumorigenic role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in esophageal squamous-cell carcinoma. </w:t>
      </w:r>
      <w:r w:rsidRPr="00B751AA">
        <w:rPr>
          <w:rFonts w:ascii="Book Antiqua" w:hAnsi="Book Antiqua"/>
          <w:i/>
          <w:sz w:val="24"/>
          <w:szCs w:val="24"/>
        </w:rPr>
        <w:t>Ann Surg Oncol</w:t>
      </w:r>
      <w:r w:rsidRPr="00B751AA">
        <w:rPr>
          <w:rFonts w:ascii="Book Antiqua" w:hAnsi="Book Antiqua"/>
          <w:sz w:val="24"/>
          <w:szCs w:val="24"/>
        </w:rPr>
        <w:t xml:space="preserve"> 2010; </w:t>
      </w:r>
      <w:r w:rsidRPr="00B751AA">
        <w:rPr>
          <w:rFonts w:ascii="Book Antiqua" w:hAnsi="Book Antiqua"/>
          <w:b/>
          <w:sz w:val="24"/>
          <w:szCs w:val="24"/>
        </w:rPr>
        <w:t>17</w:t>
      </w:r>
      <w:r w:rsidRPr="00B751AA">
        <w:rPr>
          <w:rFonts w:ascii="Book Antiqua" w:hAnsi="Book Antiqua"/>
          <w:sz w:val="24"/>
          <w:szCs w:val="24"/>
        </w:rPr>
        <w:t>: 1311-1323 [PMID: 20066519 DOI: 10.1245/s10434-009-0895-5]</w:t>
      </w:r>
    </w:p>
    <w:p w14:paraId="33A2BF48"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15 </w:t>
      </w:r>
      <w:r w:rsidRPr="00B751AA">
        <w:rPr>
          <w:rFonts w:ascii="Book Antiqua" w:hAnsi="Book Antiqua"/>
          <w:b/>
          <w:sz w:val="24"/>
          <w:szCs w:val="24"/>
        </w:rPr>
        <w:t>Sekiguchi T</w:t>
      </w:r>
      <w:r w:rsidRPr="00B751AA">
        <w:rPr>
          <w:rFonts w:ascii="Book Antiqua" w:hAnsi="Book Antiqua"/>
          <w:sz w:val="24"/>
          <w:szCs w:val="24"/>
        </w:rPr>
        <w:t xml:space="preserve">, Takemoto A, Takagi S, </w:t>
      </w:r>
      <w:proofErr w:type="spellStart"/>
      <w:r w:rsidRPr="00B751AA">
        <w:rPr>
          <w:rFonts w:ascii="Book Antiqua" w:hAnsi="Book Antiqua"/>
          <w:sz w:val="24"/>
          <w:szCs w:val="24"/>
        </w:rPr>
        <w:t>Takatori</w:t>
      </w:r>
      <w:proofErr w:type="spellEnd"/>
      <w:r w:rsidRPr="00B751AA">
        <w:rPr>
          <w:rFonts w:ascii="Book Antiqua" w:hAnsi="Book Antiqua"/>
          <w:sz w:val="24"/>
          <w:szCs w:val="24"/>
        </w:rPr>
        <w:t xml:space="preserve"> K, Sato S, </w:t>
      </w:r>
      <w:proofErr w:type="spellStart"/>
      <w:r w:rsidRPr="00B751AA">
        <w:rPr>
          <w:rFonts w:ascii="Book Antiqua" w:hAnsi="Book Antiqua"/>
          <w:sz w:val="24"/>
          <w:szCs w:val="24"/>
        </w:rPr>
        <w:t>Takami</w:t>
      </w:r>
      <w:proofErr w:type="spellEnd"/>
      <w:r w:rsidRPr="00B751AA">
        <w:rPr>
          <w:rFonts w:ascii="Book Antiqua" w:hAnsi="Book Antiqua"/>
          <w:sz w:val="24"/>
          <w:szCs w:val="24"/>
        </w:rPr>
        <w:t xml:space="preserve"> M, Fujita N. Targeting a novel domain in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for inhibiting platelet-mediated tumor metastasis. </w:t>
      </w:r>
      <w:proofErr w:type="spellStart"/>
      <w:r w:rsidRPr="00B751AA">
        <w:rPr>
          <w:rFonts w:ascii="Book Antiqua" w:hAnsi="Book Antiqua"/>
          <w:i/>
          <w:sz w:val="24"/>
          <w:szCs w:val="24"/>
        </w:rPr>
        <w:t>Oncotarget</w:t>
      </w:r>
      <w:proofErr w:type="spellEnd"/>
      <w:r w:rsidRPr="00B751AA">
        <w:rPr>
          <w:rFonts w:ascii="Book Antiqua" w:hAnsi="Book Antiqua"/>
          <w:sz w:val="24"/>
          <w:szCs w:val="24"/>
        </w:rPr>
        <w:t xml:space="preserve"> 2016; </w:t>
      </w:r>
      <w:r w:rsidRPr="00B751AA">
        <w:rPr>
          <w:rFonts w:ascii="Book Antiqua" w:hAnsi="Book Antiqua"/>
          <w:b/>
          <w:sz w:val="24"/>
          <w:szCs w:val="24"/>
        </w:rPr>
        <w:t>7</w:t>
      </w:r>
      <w:r w:rsidRPr="00B751AA">
        <w:rPr>
          <w:rFonts w:ascii="Book Antiqua" w:hAnsi="Book Antiqua"/>
          <w:sz w:val="24"/>
          <w:szCs w:val="24"/>
        </w:rPr>
        <w:t>: 3934-3946 [PMID: 26684030 DOI: 10.18632/oncotarget.6598]</w:t>
      </w:r>
    </w:p>
    <w:p w14:paraId="0590F504"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16 </w:t>
      </w:r>
      <w:r w:rsidRPr="00B751AA">
        <w:rPr>
          <w:rFonts w:ascii="Book Antiqua" w:hAnsi="Book Antiqua"/>
          <w:b/>
          <w:sz w:val="24"/>
          <w:szCs w:val="24"/>
        </w:rPr>
        <w:t>Nakashima Y</w:t>
      </w:r>
      <w:r w:rsidRPr="00B751AA">
        <w:rPr>
          <w:rFonts w:ascii="Book Antiqua" w:hAnsi="Book Antiqua"/>
          <w:sz w:val="24"/>
          <w:szCs w:val="24"/>
        </w:rPr>
        <w:t xml:space="preserve">, Yoshinaga K, Kitao H, Ando K, Kimura Y, Saeki H, Oki E, Morita M, </w:t>
      </w:r>
      <w:proofErr w:type="spellStart"/>
      <w:r w:rsidRPr="00B751AA">
        <w:rPr>
          <w:rFonts w:ascii="Book Antiqua" w:hAnsi="Book Antiqua"/>
          <w:sz w:val="24"/>
          <w:szCs w:val="24"/>
        </w:rPr>
        <w:t>Kakeji</w:t>
      </w:r>
      <w:proofErr w:type="spellEnd"/>
      <w:r w:rsidRPr="00B751AA">
        <w:rPr>
          <w:rFonts w:ascii="Book Antiqua" w:hAnsi="Book Antiqua"/>
          <w:sz w:val="24"/>
          <w:szCs w:val="24"/>
        </w:rPr>
        <w:t xml:space="preserve"> Y, </w:t>
      </w:r>
      <w:proofErr w:type="spellStart"/>
      <w:r w:rsidRPr="00B751AA">
        <w:rPr>
          <w:rFonts w:ascii="Book Antiqua" w:hAnsi="Book Antiqua"/>
          <w:sz w:val="24"/>
          <w:szCs w:val="24"/>
        </w:rPr>
        <w:t>Hirahashi</w:t>
      </w:r>
      <w:proofErr w:type="spellEnd"/>
      <w:r w:rsidRPr="00B751AA">
        <w:rPr>
          <w:rFonts w:ascii="Book Antiqua" w:hAnsi="Book Antiqua"/>
          <w:sz w:val="24"/>
          <w:szCs w:val="24"/>
        </w:rPr>
        <w:t xml:space="preserve"> M, Oda Y, Maehara Y.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is expressed at the invasive front of esophageal squamous cell carcinomas and is involved in collective cell invasion. </w:t>
      </w:r>
      <w:r w:rsidRPr="00B751AA">
        <w:rPr>
          <w:rFonts w:ascii="Book Antiqua" w:hAnsi="Book Antiqua"/>
          <w:i/>
          <w:sz w:val="24"/>
          <w:szCs w:val="24"/>
        </w:rPr>
        <w:t>Cancer Sci</w:t>
      </w:r>
      <w:r w:rsidRPr="00B751AA">
        <w:rPr>
          <w:rFonts w:ascii="Book Antiqua" w:hAnsi="Book Antiqua"/>
          <w:sz w:val="24"/>
          <w:szCs w:val="24"/>
        </w:rPr>
        <w:t xml:space="preserve"> 2013; </w:t>
      </w:r>
      <w:r w:rsidRPr="00B751AA">
        <w:rPr>
          <w:rFonts w:ascii="Book Antiqua" w:hAnsi="Book Antiqua"/>
          <w:b/>
          <w:sz w:val="24"/>
          <w:szCs w:val="24"/>
        </w:rPr>
        <w:t>104</w:t>
      </w:r>
      <w:r w:rsidRPr="00B751AA">
        <w:rPr>
          <w:rFonts w:ascii="Book Antiqua" w:hAnsi="Book Antiqua"/>
          <w:sz w:val="24"/>
          <w:szCs w:val="24"/>
        </w:rPr>
        <w:t>: 1718-1725 [PMID: 24103048 DOI: 10.1111/cas.12286]</w:t>
      </w:r>
    </w:p>
    <w:p w14:paraId="2514555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17 </w:t>
      </w:r>
      <w:r w:rsidRPr="00B751AA">
        <w:rPr>
          <w:rFonts w:ascii="Book Antiqua" w:hAnsi="Book Antiqua"/>
          <w:b/>
          <w:sz w:val="24"/>
          <w:szCs w:val="24"/>
        </w:rPr>
        <w:t>Tanaka M</w:t>
      </w:r>
      <w:r w:rsidRPr="00B751AA">
        <w:rPr>
          <w:rFonts w:ascii="Book Antiqua" w:hAnsi="Book Antiqua"/>
          <w:sz w:val="24"/>
          <w:szCs w:val="24"/>
        </w:rPr>
        <w:t xml:space="preserve">, Kijima H, Shimada H, Makuuchi H, Ozawa S, </w:t>
      </w:r>
      <w:proofErr w:type="spellStart"/>
      <w:r w:rsidRPr="00B751AA">
        <w:rPr>
          <w:rFonts w:ascii="Book Antiqua" w:hAnsi="Book Antiqua"/>
          <w:sz w:val="24"/>
          <w:szCs w:val="24"/>
        </w:rPr>
        <w:t>Inokuchi</w:t>
      </w:r>
      <w:proofErr w:type="spellEnd"/>
      <w:r w:rsidRPr="00B751AA">
        <w:rPr>
          <w:rFonts w:ascii="Book Antiqua" w:hAnsi="Book Antiqua"/>
          <w:sz w:val="24"/>
          <w:szCs w:val="24"/>
        </w:rPr>
        <w:t xml:space="preserve"> S. Expression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and vimentin is correlated with prognosis in esophageal squamous cell carcinoma. </w:t>
      </w:r>
      <w:r w:rsidRPr="00B751AA">
        <w:rPr>
          <w:rFonts w:ascii="Book Antiqua" w:hAnsi="Book Antiqua"/>
          <w:i/>
          <w:sz w:val="24"/>
          <w:szCs w:val="24"/>
        </w:rPr>
        <w:t>Mol Med Rep</w:t>
      </w:r>
      <w:r w:rsidRPr="00B751AA">
        <w:rPr>
          <w:rFonts w:ascii="Book Antiqua" w:hAnsi="Book Antiqua"/>
          <w:sz w:val="24"/>
          <w:szCs w:val="24"/>
        </w:rPr>
        <w:t xml:space="preserve"> 2015; </w:t>
      </w:r>
      <w:r w:rsidRPr="00B751AA">
        <w:rPr>
          <w:rFonts w:ascii="Book Antiqua" w:hAnsi="Book Antiqua"/>
          <w:b/>
          <w:sz w:val="24"/>
          <w:szCs w:val="24"/>
        </w:rPr>
        <w:t>12</w:t>
      </w:r>
      <w:r w:rsidRPr="00B751AA">
        <w:rPr>
          <w:rFonts w:ascii="Book Antiqua" w:hAnsi="Book Antiqua"/>
          <w:sz w:val="24"/>
          <w:szCs w:val="24"/>
        </w:rPr>
        <w:t>: 4029-4036 [PMID: 26095281 DOI: 10.3892/mmr.2015.3966]</w:t>
      </w:r>
    </w:p>
    <w:p w14:paraId="181B085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18 </w:t>
      </w:r>
      <w:r w:rsidRPr="00B751AA">
        <w:rPr>
          <w:rFonts w:ascii="Book Antiqua" w:hAnsi="Book Antiqua"/>
          <w:b/>
          <w:sz w:val="24"/>
          <w:szCs w:val="24"/>
        </w:rPr>
        <w:t>Ng SB</w:t>
      </w:r>
      <w:r w:rsidRPr="00B751AA">
        <w:rPr>
          <w:rFonts w:ascii="Book Antiqua" w:hAnsi="Book Antiqua"/>
          <w:sz w:val="24"/>
          <w:szCs w:val="24"/>
        </w:rPr>
        <w:t xml:space="preserve">, Yan J, Huang G, </w:t>
      </w:r>
      <w:proofErr w:type="spellStart"/>
      <w:r w:rsidRPr="00B751AA">
        <w:rPr>
          <w:rFonts w:ascii="Book Antiqua" w:hAnsi="Book Antiqua"/>
          <w:sz w:val="24"/>
          <w:szCs w:val="24"/>
        </w:rPr>
        <w:t>Selvarajan</w:t>
      </w:r>
      <w:proofErr w:type="spellEnd"/>
      <w:r w:rsidRPr="00B751AA">
        <w:rPr>
          <w:rFonts w:ascii="Book Antiqua" w:hAnsi="Book Antiqua"/>
          <w:sz w:val="24"/>
          <w:szCs w:val="24"/>
        </w:rPr>
        <w:t xml:space="preserve"> V, Tay JL, Lin B, Bi C, Tan J, </w:t>
      </w:r>
      <w:proofErr w:type="spellStart"/>
      <w:r w:rsidRPr="00B751AA">
        <w:rPr>
          <w:rFonts w:ascii="Book Antiqua" w:hAnsi="Book Antiqua"/>
          <w:sz w:val="24"/>
          <w:szCs w:val="24"/>
        </w:rPr>
        <w:t>Kwong</w:t>
      </w:r>
      <w:proofErr w:type="spellEnd"/>
      <w:r w:rsidRPr="00B751AA">
        <w:rPr>
          <w:rFonts w:ascii="Book Antiqua" w:hAnsi="Book Antiqua"/>
          <w:sz w:val="24"/>
          <w:szCs w:val="24"/>
        </w:rPr>
        <w:t xml:space="preserve"> YL, Shimizu N, </w:t>
      </w:r>
      <w:proofErr w:type="spellStart"/>
      <w:r w:rsidRPr="00B751AA">
        <w:rPr>
          <w:rFonts w:ascii="Book Antiqua" w:hAnsi="Book Antiqua"/>
          <w:sz w:val="24"/>
          <w:szCs w:val="24"/>
        </w:rPr>
        <w:t>Aozasa</w:t>
      </w:r>
      <w:proofErr w:type="spellEnd"/>
      <w:r w:rsidRPr="00B751AA">
        <w:rPr>
          <w:rFonts w:ascii="Book Antiqua" w:hAnsi="Book Antiqua"/>
          <w:sz w:val="24"/>
          <w:szCs w:val="24"/>
        </w:rPr>
        <w:t xml:space="preserve"> K, </w:t>
      </w:r>
      <w:proofErr w:type="spellStart"/>
      <w:r w:rsidRPr="00B751AA">
        <w:rPr>
          <w:rFonts w:ascii="Book Antiqua" w:hAnsi="Book Antiqua"/>
          <w:sz w:val="24"/>
          <w:szCs w:val="24"/>
        </w:rPr>
        <w:t>Chng</w:t>
      </w:r>
      <w:proofErr w:type="spellEnd"/>
      <w:r w:rsidRPr="00B751AA">
        <w:rPr>
          <w:rFonts w:ascii="Book Antiqua" w:hAnsi="Book Antiqua"/>
          <w:sz w:val="24"/>
          <w:szCs w:val="24"/>
        </w:rPr>
        <w:t xml:space="preserve"> WJ. Dysregulated microRNAs affect pathways and targets of biologic relevance in nasal-type natural killer/T-cell lymphoma. </w:t>
      </w:r>
      <w:r w:rsidRPr="00B751AA">
        <w:rPr>
          <w:rFonts w:ascii="Book Antiqua" w:hAnsi="Book Antiqua"/>
          <w:i/>
          <w:sz w:val="24"/>
          <w:szCs w:val="24"/>
        </w:rPr>
        <w:t>Blood</w:t>
      </w:r>
      <w:r w:rsidRPr="00B751AA">
        <w:rPr>
          <w:rFonts w:ascii="Book Antiqua" w:hAnsi="Book Antiqua"/>
          <w:sz w:val="24"/>
          <w:szCs w:val="24"/>
        </w:rPr>
        <w:t xml:space="preserve"> 2011; </w:t>
      </w:r>
      <w:r w:rsidRPr="00B751AA">
        <w:rPr>
          <w:rFonts w:ascii="Book Antiqua" w:hAnsi="Book Antiqua"/>
          <w:b/>
          <w:sz w:val="24"/>
          <w:szCs w:val="24"/>
        </w:rPr>
        <w:t>118</w:t>
      </w:r>
      <w:r w:rsidRPr="00B751AA">
        <w:rPr>
          <w:rFonts w:ascii="Book Antiqua" w:hAnsi="Book Antiqua"/>
          <w:sz w:val="24"/>
          <w:szCs w:val="24"/>
        </w:rPr>
        <w:t>: 4919-4929 [PMID: 21921041 DOI: 10.1182/blood-2011-07-364224]</w:t>
      </w:r>
    </w:p>
    <w:p w14:paraId="601B65EA"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19 </w:t>
      </w:r>
      <w:proofErr w:type="spellStart"/>
      <w:r w:rsidRPr="00B751AA">
        <w:rPr>
          <w:rFonts w:ascii="Book Antiqua" w:hAnsi="Book Antiqua"/>
          <w:b/>
          <w:sz w:val="24"/>
          <w:szCs w:val="24"/>
        </w:rPr>
        <w:t>Qiao</w:t>
      </w:r>
      <w:proofErr w:type="spellEnd"/>
      <w:r w:rsidRPr="00B751AA">
        <w:rPr>
          <w:rFonts w:ascii="Book Antiqua" w:hAnsi="Book Antiqua"/>
          <w:b/>
          <w:sz w:val="24"/>
          <w:szCs w:val="24"/>
        </w:rPr>
        <w:t xml:space="preserve"> J</w:t>
      </w:r>
      <w:r w:rsidRPr="00B751AA">
        <w:rPr>
          <w:rFonts w:ascii="Book Antiqua" w:hAnsi="Book Antiqua"/>
          <w:sz w:val="24"/>
          <w:szCs w:val="24"/>
        </w:rPr>
        <w:t xml:space="preserve">, Lee S, Paul P, </w:t>
      </w:r>
      <w:proofErr w:type="spellStart"/>
      <w:r w:rsidRPr="00B751AA">
        <w:rPr>
          <w:rFonts w:ascii="Book Antiqua" w:hAnsi="Book Antiqua"/>
          <w:sz w:val="24"/>
          <w:szCs w:val="24"/>
        </w:rPr>
        <w:t>Theiss</w:t>
      </w:r>
      <w:proofErr w:type="spellEnd"/>
      <w:r w:rsidRPr="00B751AA">
        <w:rPr>
          <w:rFonts w:ascii="Book Antiqua" w:hAnsi="Book Antiqua"/>
          <w:sz w:val="24"/>
          <w:szCs w:val="24"/>
        </w:rPr>
        <w:t xml:space="preserve"> L, </w:t>
      </w:r>
      <w:proofErr w:type="spellStart"/>
      <w:r w:rsidRPr="00B751AA">
        <w:rPr>
          <w:rFonts w:ascii="Book Antiqua" w:hAnsi="Book Antiqua"/>
          <w:sz w:val="24"/>
          <w:szCs w:val="24"/>
        </w:rPr>
        <w:t>Tiao</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Qiao</w:t>
      </w:r>
      <w:proofErr w:type="spellEnd"/>
      <w:r w:rsidRPr="00B751AA">
        <w:rPr>
          <w:rFonts w:ascii="Book Antiqua" w:hAnsi="Book Antiqua"/>
          <w:sz w:val="24"/>
          <w:szCs w:val="24"/>
        </w:rPr>
        <w:t xml:space="preserve"> L, Kong A, Chung DH. miR-335 and miR-363 regulation of neuroblastoma tumorigenesis and metastasis. </w:t>
      </w:r>
      <w:r w:rsidRPr="00B751AA">
        <w:rPr>
          <w:rFonts w:ascii="Book Antiqua" w:hAnsi="Book Antiqua"/>
          <w:i/>
          <w:sz w:val="24"/>
          <w:szCs w:val="24"/>
        </w:rPr>
        <w:t>Surgery</w:t>
      </w:r>
      <w:r w:rsidRPr="00B751AA">
        <w:rPr>
          <w:rFonts w:ascii="Book Antiqua" w:hAnsi="Book Antiqua"/>
          <w:sz w:val="24"/>
          <w:szCs w:val="24"/>
        </w:rPr>
        <w:t xml:space="preserve"> 2013; </w:t>
      </w:r>
      <w:r w:rsidRPr="00B751AA">
        <w:rPr>
          <w:rFonts w:ascii="Book Antiqua" w:hAnsi="Book Antiqua"/>
          <w:b/>
          <w:sz w:val="24"/>
          <w:szCs w:val="24"/>
        </w:rPr>
        <w:t>154</w:t>
      </w:r>
      <w:r w:rsidRPr="00B751AA">
        <w:rPr>
          <w:rFonts w:ascii="Book Antiqua" w:hAnsi="Book Antiqua"/>
          <w:sz w:val="24"/>
          <w:szCs w:val="24"/>
        </w:rPr>
        <w:t>: 226-233 [PMID: 23806264 DOI: 10.1016/j.surg.2013.04.005]</w:t>
      </w:r>
    </w:p>
    <w:p w14:paraId="1621B55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20 </w:t>
      </w:r>
      <w:r w:rsidRPr="00B751AA">
        <w:rPr>
          <w:rFonts w:ascii="Book Antiqua" w:hAnsi="Book Antiqua"/>
          <w:b/>
          <w:sz w:val="24"/>
          <w:szCs w:val="24"/>
        </w:rPr>
        <w:t>Sun Q</w:t>
      </w:r>
      <w:r w:rsidRPr="00B751AA">
        <w:rPr>
          <w:rFonts w:ascii="Book Antiqua" w:hAnsi="Book Antiqua"/>
          <w:sz w:val="24"/>
          <w:szCs w:val="24"/>
        </w:rPr>
        <w:t xml:space="preserve">, Zhang J, Cao W, Wang X, Xu Q, Yan M, Wu X, Chen W. Dysregulated miR-363 affects head and neck cancer invasion and metastasis by targeting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r w:rsidRPr="00B751AA">
        <w:rPr>
          <w:rFonts w:ascii="Book Antiqua" w:hAnsi="Book Antiqua"/>
          <w:i/>
          <w:sz w:val="24"/>
          <w:szCs w:val="24"/>
        </w:rPr>
        <w:t xml:space="preserve">Int J </w:t>
      </w:r>
      <w:proofErr w:type="spellStart"/>
      <w:r w:rsidRPr="00B751AA">
        <w:rPr>
          <w:rFonts w:ascii="Book Antiqua" w:hAnsi="Book Antiqua"/>
          <w:i/>
          <w:sz w:val="24"/>
          <w:szCs w:val="24"/>
        </w:rPr>
        <w:t>Biochem</w:t>
      </w:r>
      <w:proofErr w:type="spellEnd"/>
      <w:r w:rsidRPr="00B751AA">
        <w:rPr>
          <w:rFonts w:ascii="Book Antiqua" w:hAnsi="Book Antiqua"/>
          <w:i/>
          <w:sz w:val="24"/>
          <w:szCs w:val="24"/>
        </w:rPr>
        <w:t xml:space="preserve"> Cell Biol</w:t>
      </w:r>
      <w:r w:rsidRPr="00B751AA">
        <w:rPr>
          <w:rFonts w:ascii="Book Antiqua" w:hAnsi="Book Antiqua"/>
          <w:sz w:val="24"/>
          <w:szCs w:val="24"/>
        </w:rPr>
        <w:t xml:space="preserve"> 2013; </w:t>
      </w:r>
      <w:r w:rsidRPr="00B751AA">
        <w:rPr>
          <w:rFonts w:ascii="Book Antiqua" w:hAnsi="Book Antiqua"/>
          <w:b/>
          <w:sz w:val="24"/>
          <w:szCs w:val="24"/>
        </w:rPr>
        <w:t>45</w:t>
      </w:r>
      <w:r w:rsidRPr="00B751AA">
        <w:rPr>
          <w:rFonts w:ascii="Book Antiqua" w:hAnsi="Book Antiqua"/>
          <w:sz w:val="24"/>
          <w:szCs w:val="24"/>
        </w:rPr>
        <w:t>: 513-520 [PMID: 23246488 DOI: 10.1016/j.biocel.2012.12.004]</w:t>
      </w:r>
    </w:p>
    <w:p w14:paraId="2635F98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21 </w:t>
      </w:r>
      <w:proofErr w:type="spellStart"/>
      <w:r w:rsidRPr="00B751AA">
        <w:rPr>
          <w:rFonts w:ascii="Book Antiqua" w:hAnsi="Book Antiqua"/>
          <w:b/>
          <w:sz w:val="24"/>
          <w:szCs w:val="24"/>
        </w:rPr>
        <w:t>Puetz</w:t>
      </w:r>
      <w:proofErr w:type="spellEnd"/>
      <w:r w:rsidRPr="00B751AA">
        <w:rPr>
          <w:rFonts w:ascii="Book Antiqua" w:hAnsi="Book Antiqua"/>
          <w:b/>
          <w:sz w:val="24"/>
          <w:szCs w:val="24"/>
        </w:rPr>
        <w:t xml:space="preserve"> K</w:t>
      </w:r>
      <w:r w:rsidRPr="00B751AA">
        <w:rPr>
          <w:rFonts w:ascii="Book Antiqua" w:hAnsi="Book Antiqua"/>
          <w:sz w:val="24"/>
          <w:szCs w:val="24"/>
        </w:rPr>
        <w:t xml:space="preserve">, </w:t>
      </w:r>
      <w:proofErr w:type="spellStart"/>
      <w:r w:rsidRPr="00B751AA">
        <w:rPr>
          <w:rFonts w:ascii="Book Antiqua" w:hAnsi="Book Antiqua"/>
          <w:sz w:val="24"/>
          <w:szCs w:val="24"/>
        </w:rPr>
        <w:t>Bollschweiler</w:t>
      </w:r>
      <w:proofErr w:type="spellEnd"/>
      <w:r w:rsidRPr="00B751AA">
        <w:rPr>
          <w:rFonts w:ascii="Book Antiqua" w:hAnsi="Book Antiqua"/>
          <w:sz w:val="24"/>
          <w:szCs w:val="24"/>
        </w:rPr>
        <w:t xml:space="preserve"> E, Semrau R, </w:t>
      </w:r>
      <w:proofErr w:type="spellStart"/>
      <w:r w:rsidRPr="00B751AA">
        <w:rPr>
          <w:rFonts w:ascii="Book Antiqua" w:hAnsi="Book Antiqua"/>
          <w:sz w:val="24"/>
          <w:szCs w:val="24"/>
        </w:rPr>
        <w:t>Mönig</w:t>
      </w:r>
      <w:proofErr w:type="spellEnd"/>
      <w:r w:rsidRPr="00B751AA">
        <w:rPr>
          <w:rFonts w:ascii="Book Antiqua" w:hAnsi="Book Antiqua"/>
          <w:sz w:val="24"/>
          <w:szCs w:val="24"/>
        </w:rPr>
        <w:t xml:space="preserve"> SP, </w:t>
      </w:r>
      <w:proofErr w:type="spellStart"/>
      <w:r w:rsidRPr="00B751AA">
        <w:rPr>
          <w:rFonts w:ascii="Book Antiqua" w:hAnsi="Book Antiqua"/>
          <w:sz w:val="24"/>
          <w:szCs w:val="24"/>
        </w:rPr>
        <w:t>Hölscher</w:t>
      </w:r>
      <w:proofErr w:type="spellEnd"/>
      <w:r w:rsidRPr="00B751AA">
        <w:rPr>
          <w:rFonts w:ascii="Book Antiqua" w:hAnsi="Book Antiqua"/>
          <w:sz w:val="24"/>
          <w:szCs w:val="24"/>
        </w:rPr>
        <w:t xml:space="preserve"> AH, </w:t>
      </w:r>
      <w:proofErr w:type="spellStart"/>
      <w:r w:rsidRPr="00B751AA">
        <w:rPr>
          <w:rFonts w:ascii="Book Antiqua" w:hAnsi="Book Antiqua"/>
          <w:sz w:val="24"/>
          <w:szCs w:val="24"/>
        </w:rPr>
        <w:t>Drebber</w:t>
      </w:r>
      <w:proofErr w:type="spellEnd"/>
      <w:r w:rsidRPr="00B751AA">
        <w:rPr>
          <w:rFonts w:ascii="Book Antiqua" w:hAnsi="Book Antiqua"/>
          <w:sz w:val="24"/>
          <w:szCs w:val="24"/>
        </w:rPr>
        <w:t xml:space="preserve"> U. Neoadjuvant chemoradiation for patients with advanced </w:t>
      </w:r>
      <w:proofErr w:type="spellStart"/>
      <w:r w:rsidRPr="00B751AA">
        <w:rPr>
          <w:rFonts w:ascii="Book Antiqua" w:hAnsi="Book Antiqua"/>
          <w:sz w:val="24"/>
          <w:szCs w:val="24"/>
        </w:rPr>
        <w:t>oesophageal</w:t>
      </w:r>
      <w:proofErr w:type="spellEnd"/>
      <w:r w:rsidRPr="00B751AA">
        <w:rPr>
          <w:rFonts w:ascii="Book Antiqua" w:hAnsi="Book Antiqua"/>
          <w:sz w:val="24"/>
          <w:szCs w:val="24"/>
        </w:rPr>
        <w:t xml:space="preserve"> cancer - which response grading system best impacts prognostic discrimination? </w:t>
      </w:r>
      <w:r w:rsidRPr="00B751AA">
        <w:rPr>
          <w:rFonts w:ascii="Book Antiqua" w:hAnsi="Book Antiqua"/>
          <w:i/>
          <w:sz w:val="24"/>
          <w:szCs w:val="24"/>
        </w:rPr>
        <w:t>Histopathology</w:t>
      </w:r>
      <w:r w:rsidRPr="00B751AA">
        <w:rPr>
          <w:rFonts w:ascii="Book Antiqua" w:hAnsi="Book Antiqua"/>
          <w:sz w:val="24"/>
          <w:szCs w:val="24"/>
        </w:rPr>
        <w:t xml:space="preserve"> 2019; </w:t>
      </w:r>
      <w:r w:rsidRPr="00B751AA">
        <w:rPr>
          <w:rFonts w:ascii="Book Antiqua" w:hAnsi="Book Antiqua"/>
          <w:b/>
          <w:sz w:val="24"/>
          <w:szCs w:val="24"/>
        </w:rPr>
        <w:t>74</w:t>
      </w:r>
      <w:r w:rsidRPr="00B751AA">
        <w:rPr>
          <w:rFonts w:ascii="Book Antiqua" w:hAnsi="Book Antiqua"/>
          <w:sz w:val="24"/>
          <w:szCs w:val="24"/>
        </w:rPr>
        <w:t>: 731-743 [PMID: 30636069 DOI: 10.1111/his.13811]</w:t>
      </w:r>
    </w:p>
    <w:p w14:paraId="7FB2C21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22 </w:t>
      </w:r>
      <w:r w:rsidRPr="00B751AA">
        <w:rPr>
          <w:rFonts w:ascii="Book Antiqua" w:hAnsi="Book Antiqua"/>
          <w:b/>
          <w:sz w:val="24"/>
          <w:szCs w:val="24"/>
        </w:rPr>
        <w:t>Wang C</w:t>
      </w:r>
      <w:r w:rsidRPr="00B751AA">
        <w:rPr>
          <w:rFonts w:ascii="Book Antiqua" w:hAnsi="Book Antiqua"/>
          <w:sz w:val="24"/>
          <w:szCs w:val="24"/>
        </w:rPr>
        <w:t xml:space="preserve">, Wang J, Chen Z, Gao Y, He J. Immunohistochemical prognostic markers of esophageal squamous cell carcinoma: a systematic review. </w:t>
      </w:r>
      <w:r w:rsidRPr="00B751AA">
        <w:rPr>
          <w:rFonts w:ascii="Book Antiqua" w:hAnsi="Book Antiqua"/>
          <w:i/>
          <w:sz w:val="24"/>
          <w:szCs w:val="24"/>
        </w:rPr>
        <w:t>Chin J Cancer</w:t>
      </w:r>
      <w:r w:rsidRPr="00B751AA">
        <w:rPr>
          <w:rFonts w:ascii="Book Antiqua" w:hAnsi="Book Antiqua"/>
          <w:sz w:val="24"/>
          <w:szCs w:val="24"/>
        </w:rPr>
        <w:t xml:space="preserve"> 2017; </w:t>
      </w:r>
      <w:r w:rsidRPr="00B751AA">
        <w:rPr>
          <w:rFonts w:ascii="Book Antiqua" w:hAnsi="Book Antiqua"/>
          <w:b/>
          <w:sz w:val="24"/>
          <w:szCs w:val="24"/>
        </w:rPr>
        <w:t>36</w:t>
      </w:r>
      <w:r w:rsidRPr="00B751AA">
        <w:rPr>
          <w:rFonts w:ascii="Book Antiqua" w:hAnsi="Book Antiqua"/>
          <w:sz w:val="24"/>
          <w:szCs w:val="24"/>
        </w:rPr>
        <w:t>: 65 [PMID: 28818096 DOI: 10.1186/s40880-017-0232-5]</w:t>
      </w:r>
    </w:p>
    <w:p w14:paraId="07CC53C8"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23 </w:t>
      </w:r>
      <w:r w:rsidRPr="00B751AA">
        <w:rPr>
          <w:rFonts w:ascii="Book Antiqua" w:hAnsi="Book Antiqua"/>
          <w:b/>
          <w:sz w:val="24"/>
          <w:szCs w:val="24"/>
        </w:rPr>
        <w:t>Pula B</w:t>
      </w:r>
      <w:r w:rsidRPr="00B751AA">
        <w:rPr>
          <w:rFonts w:ascii="Book Antiqua" w:hAnsi="Book Antiqua"/>
          <w:sz w:val="24"/>
          <w:szCs w:val="24"/>
        </w:rPr>
        <w:t xml:space="preserve">, </w:t>
      </w:r>
      <w:proofErr w:type="spellStart"/>
      <w:r w:rsidRPr="00B751AA">
        <w:rPr>
          <w:rFonts w:ascii="Book Antiqua" w:hAnsi="Book Antiqua"/>
          <w:sz w:val="24"/>
          <w:szCs w:val="24"/>
        </w:rPr>
        <w:t>Jethon</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Piotrowska</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Gomulkiewicz</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Owczarek</w:t>
      </w:r>
      <w:proofErr w:type="spellEnd"/>
      <w:r w:rsidRPr="00B751AA">
        <w:rPr>
          <w:rFonts w:ascii="Book Antiqua" w:hAnsi="Book Antiqua"/>
          <w:sz w:val="24"/>
          <w:szCs w:val="24"/>
        </w:rPr>
        <w:t xml:space="preserve"> T, </w:t>
      </w:r>
      <w:proofErr w:type="spellStart"/>
      <w:r w:rsidRPr="00B751AA">
        <w:rPr>
          <w:rFonts w:ascii="Book Antiqua" w:hAnsi="Book Antiqua"/>
          <w:sz w:val="24"/>
          <w:szCs w:val="24"/>
        </w:rPr>
        <w:t>Calik</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Wojnar</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Witkiewicz</w:t>
      </w:r>
      <w:proofErr w:type="spellEnd"/>
      <w:r w:rsidRPr="00B751AA">
        <w:rPr>
          <w:rFonts w:ascii="Book Antiqua" w:hAnsi="Book Antiqua"/>
          <w:sz w:val="24"/>
          <w:szCs w:val="24"/>
        </w:rPr>
        <w:t xml:space="preserve"> W, </w:t>
      </w:r>
      <w:proofErr w:type="spellStart"/>
      <w:r w:rsidRPr="00B751AA">
        <w:rPr>
          <w:rFonts w:ascii="Book Antiqua" w:hAnsi="Book Antiqua"/>
          <w:sz w:val="24"/>
          <w:szCs w:val="24"/>
        </w:rPr>
        <w:t>Rys</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Ugorski</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Dziegiel</w:t>
      </w:r>
      <w:proofErr w:type="spellEnd"/>
      <w:r w:rsidRPr="00B751AA">
        <w:rPr>
          <w:rFonts w:ascii="Book Antiqua" w:hAnsi="Book Antiqua"/>
          <w:sz w:val="24"/>
          <w:szCs w:val="24"/>
        </w:rPr>
        <w:t xml:space="preserve"> P, </w:t>
      </w:r>
      <w:proofErr w:type="spellStart"/>
      <w:r w:rsidRPr="00B751AA">
        <w:rPr>
          <w:rFonts w:ascii="Book Antiqua" w:hAnsi="Book Antiqua"/>
          <w:sz w:val="24"/>
          <w:szCs w:val="24"/>
        </w:rPr>
        <w:t>Podhorska-Okolow</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expression by cancer-associated fibroblasts predicts poor outcome in invasive ductal breast carcinoma. </w:t>
      </w:r>
      <w:r w:rsidRPr="00B751AA">
        <w:rPr>
          <w:rFonts w:ascii="Book Antiqua" w:hAnsi="Book Antiqua"/>
          <w:i/>
          <w:sz w:val="24"/>
          <w:szCs w:val="24"/>
        </w:rPr>
        <w:t>Histopathology</w:t>
      </w:r>
      <w:r w:rsidRPr="00B751AA">
        <w:rPr>
          <w:rFonts w:ascii="Book Antiqua" w:hAnsi="Book Antiqua"/>
          <w:sz w:val="24"/>
          <w:szCs w:val="24"/>
        </w:rPr>
        <w:t xml:space="preserve"> 2011; </w:t>
      </w:r>
      <w:r w:rsidRPr="00B751AA">
        <w:rPr>
          <w:rFonts w:ascii="Book Antiqua" w:hAnsi="Book Antiqua"/>
          <w:b/>
          <w:sz w:val="24"/>
          <w:szCs w:val="24"/>
        </w:rPr>
        <w:t>59</w:t>
      </w:r>
      <w:r w:rsidRPr="00B751AA">
        <w:rPr>
          <w:rFonts w:ascii="Book Antiqua" w:hAnsi="Book Antiqua"/>
          <w:sz w:val="24"/>
          <w:szCs w:val="24"/>
        </w:rPr>
        <w:t>: 1249-1260 [PMID: 22175904 DOI: 10.1111/j.1365-2559.2011.04060.x]</w:t>
      </w:r>
    </w:p>
    <w:p w14:paraId="44B6E351"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24 </w:t>
      </w:r>
      <w:r w:rsidRPr="00B751AA">
        <w:rPr>
          <w:rFonts w:ascii="Book Antiqua" w:hAnsi="Book Antiqua"/>
          <w:b/>
          <w:sz w:val="24"/>
          <w:szCs w:val="24"/>
        </w:rPr>
        <w:t>Toll A</w:t>
      </w:r>
      <w:r w:rsidRPr="00B751AA">
        <w:rPr>
          <w:rFonts w:ascii="Book Antiqua" w:hAnsi="Book Antiqua"/>
          <w:sz w:val="24"/>
          <w:szCs w:val="24"/>
        </w:rPr>
        <w:t xml:space="preserve">, </w:t>
      </w:r>
      <w:proofErr w:type="spellStart"/>
      <w:r w:rsidRPr="00B751AA">
        <w:rPr>
          <w:rFonts w:ascii="Book Antiqua" w:hAnsi="Book Antiqua"/>
          <w:sz w:val="24"/>
          <w:szCs w:val="24"/>
        </w:rPr>
        <w:t>Gimeno-Beltrán</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Ferrandiz</w:t>
      </w:r>
      <w:proofErr w:type="spellEnd"/>
      <w:r w:rsidRPr="00B751AA">
        <w:rPr>
          <w:rFonts w:ascii="Book Antiqua" w:hAnsi="Book Antiqua"/>
          <w:sz w:val="24"/>
          <w:szCs w:val="24"/>
        </w:rPr>
        <w:t xml:space="preserve">-Pulido C, Masferrer E, </w:t>
      </w:r>
      <w:proofErr w:type="spellStart"/>
      <w:r w:rsidRPr="00B751AA">
        <w:rPr>
          <w:rFonts w:ascii="Book Antiqua" w:hAnsi="Book Antiqua"/>
          <w:sz w:val="24"/>
          <w:szCs w:val="24"/>
        </w:rPr>
        <w:t>Yébenes</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Jucglà</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Abal</w:t>
      </w:r>
      <w:proofErr w:type="spellEnd"/>
      <w:r w:rsidRPr="00B751AA">
        <w:rPr>
          <w:rFonts w:ascii="Book Antiqua" w:hAnsi="Book Antiqua"/>
          <w:sz w:val="24"/>
          <w:szCs w:val="24"/>
        </w:rPr>
        <w:t xml:space="preserve"> L, Martí RM, </w:t>
      </w:r>
      <w:proofErr w:type="spellStart"/>
      <w:r w:rsidRPr="00B751AA">
        <w:rPr>
          <w:rFonts w:ascii="Book Antiqua" w:hAnsi="Book Antiqua"/>
          <w:sz w:val="24"/>
          <w:szCs w:val="24"/>
        </w:rPr>
        <w:t>Sanmartín</w:t>
      </w:r>
      <w:proofErr w:type="spellEnd"/>
      <w:r w:rsidRPr="00B751AA">
        <w:rPr>
          <w:rFonts w:ascii="Book Antiqua" w:hAnsi="Book Antiqua"/>
          <w:sz w:val="24"/>
          <w:szCs w:val="24"/>
        </w:rPr>
        <w:t xml:space="preserve"> O, </w:t>
      </w:r>
      <w:proofErr w:type="spellStart"/>
      <w:r w:rsidRPr="00B751AA">
        <w:rPr>
          <w:rFonts w:ascii="Book Antiqua" w:hAnsi="Book Antiqua"/>
          <w:sz w:val="24"/>
          <w:szCs w:val="24"/>
        </w:rPr>
        <w:t>Baró</w:t>
      </w:r>
      <w:proofErr w:type="spellEnd"/>
      <w:r w:rsidRPr="00B751AA">
        <w:rPr>
          <w:rFonts w:ascii="Book Antiqua" w:hAnsi="Book Antiqua"/>
          <w:sz w:val="24"/>
          <w:szCs w:val="24"/>
        </w:rPr>
        <w:t xml:space="preserve"> T, Casado B, </w:t>
      </w:r>
      <w:proofErr w:type="spellStart"/>
      <w:r w:rsidRPr="00B751AA">
        <w:rPr>
          <w:rFonts w:ascii="Book Antiqua" w:hAnsi="Book Antiqua"/>
          <w:sz w:val="24"/>
          <w:szCs w:val="24"/>
        </w:rPr>
        <w:t>Gandarillas</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Barranco</w:t>
      </w:r>
      <w:proofErr w:type="spellEnd"/>
      <w:r w:rsidRPr="00B751AA">
        <w:rPr>
          <w:rFonts w:ascii="Book Antiqua" w:hAnsi="Book Antiqua"/>
          <w:sz w:val="24"/>
          <w:szCs w:val="24"/>
        </w:rPr>
        <w:t xml:space="preserve"> C, Costa I, </w:t>
      </w:r>
      <w:proofErr w:type="spellStart"/>
      <w:r w:rsidRPr="00B751AA">
        <w:rPr>
          <w:rFonts w:ascii="Book Antiqua" w:hAnsi="Book Antiqua"/>
          <w:sz w:val="24"/>
          <w:szCs w:val="24"/>
        </w:rPr>
        <w:t>Mojal</w:t>
      </w:r>
      <w:proofErr w:type="spellEnd"/>
      <w:r w:rsidRPr="00B751AA">
        <w:rPr>
          <w:rFonts w:ascii="Book Antiqua" w:hAnsi="Book Antiqua"/>
          <w:sz w:val="24"/>
          <w:szCs w:val="24"/>
        </w:rPr>
        <w:t xml:space="preserve"> S, García-</w:t>
      </w:r>
      <w:proofErr w:type="spellStart"/>
      <w:r w:rsidRPr="00B751AA">
        <w:rPr>
          <w:rFonts w:ascii="Book Antiqua" w:hAnsi="Book Antiqua"/>
          <w:sz w:val="24"/>
          <w:szCs w:val="24"/>
        </w:rPr>
        <w:t>Patos</w:t>
      </w:r>
      <w:proofErr w:type="spellEnd"/>
      <w:r w:rsidRPr="00B751AA">
        <w:rPr>
          <w:rFonts w:ascii="Book Antiqua" w:hAnsi="Book Antiqua"/>
          <w:sz w:val="24"/>
          <w:szCs w:val="24"/>
        </w:rPr>
        <w:t xml:space="preserve"> V, Pujol RM. D2-40 immunohistochemical overexpression in cutaneous squamous cell carcinomas: a marker of metastatic risk. </w:t>
      </w:r>
      <w:r w:rsidRPr="00B751AA">
        <w:rPr>
          <w:rFonts w:ascii="Book Antiqua" w:hAnsi="Book Antiqua"/>
          <w:i/>
          <w:sz w:val="24"/>
          <w:szCs w:val="24"/>
        </w:rPr>
        <w:t xml:space="preserve">J Am </w:t>
      </w:r>
      <w:proofErr w:type="spellStart"/>
      <w:r w:rsidRPr="00B751AA">
        <w:rPr>
          <w:rFonts w:ascii="Book Antiqua" w:hAnsi="Book Antiqua"/>
          <w:i/>
          <w:sz w:val="24"/>
          <w:szCs w:val="24"/>
        </w:rPr>
        <w:t>Acad</w:t>
      </w:r>
      <w:proofErr w:type="spellEnd"/>
      <w:r w:rsidRPr="00B751AA">
        <w:rPr>
          <w:rFonts w:ascii="Book Antiqua" w:hAnsi="Book Antiqua"/>
          <w:i/>
          <w:sz w:val="24"/>
          <w:szCs w:val="24"/>
        </w:rPr>
        <w:t xml:space="preserve"> Dermatol</w:t>
      </w:r>
      <w:r w:rsidRPr="00B751AA">
        <w:rPr>
          <w:rFonts w:ascii="Book Antiqua" w:hAnsi="Book Antiqua"/>
          <w:sz w:val="24"/>
          <w:szCs w:val="24"/>
        </w:rPr>
        <w:t xml:space="preserve"> 2012; </w:t>
      </w:r>
      <w:r w:rsidRPr="00B751AA">
        <w:rPr>
          <w:rFonts w:ascii="Book Antiqua" w:hAnsi="Book Antiqua"/>
          <w:b/>
          <w:sz w:val="24"/>
          <w:szCs w:val="24"/>
        </w:rPr>
        <w:t>67</w:t>
      </w:r>
      <w:r w:rsidRPr="00B751AA">
        <w:rPr>
          <w:rFonts w:ascii="Book Antiqua" w:hAnsi="Book Antiqua"/>
          <w:sz w:val="24"/>
          <w:szCs w:val="24"/>
        </w:rPr>
        <w:t>: 1310-1318 [PMID: 22521203 DOI: 10.1016/j.jaad.2012.03.007]</w:t>
      </w:r>
    </w:p>
    <w:p w14:paraId="373B7517"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25 </w:t>
      </w:r>
      <w:proofErr w:type="spellStart"/>
      <w:r w:rsidRPr="00B751AA">
        <w:rPr>
          <w:rFonts w:ascii="Book Antiqua" w:hAnsi="Book Antiqua"/>
          <w:b/>
          <w:sz w:val="24"/>
          <w:szCs w:val="24"/>
        </w:rPr>
        <w:t>Funayama</w:t>
      </w:r>
      <w:proofErr w:type="spellEnd"/>
      <w:r w:rsidRPr="00B751AA">
        <w:rPr>
          <w:rFonts w:ascii="Book Antiqua" w:hAnsi="Book Antiqua"/>
          <w:b/>
          <w:sz w:val="24"/>
          <w:szCs w:val="24"/>
        </w:rPr>
        <w:t xml:space="preserve"> A</w:t>
      </w:r>
      <w:r w:rsidRPr="00B751AA">
        <w:rPr>
          <w:rFonts w:ascii="Book Antiqua" w:hAnsi="Book Antiqua"/>
          <w:sz w:val="24"/>
          <w:szCs w:val="24"/>
        </w:rPr>
        <w:t xml:space="preserve">, Cheng J, Maruyama S, Yamazaki M, Kobayashi T, </w:t>
      </w:r>
      <w:proofErr w:type="spellStart"/>
      <w:r w:rsidRPr="00B751AA">
        <w:rPr>
          <w:rFonts w:ascii="Book Antiqua" w:hAnsi="Book Antiqua"/>
          <w:sz w:val="24"/>
          <w:szCs w:val="24"/>
        </w:rPr>
        <w:t>Syafriadi</w:t>
      </w:r>
      <w:proofErr w:type="spellEnd"/>
      <w:r w:rsidRPr="00B751AA">
        <w:rPr>
          <w:rFonts w:ascii="Book Antiqua" w:hAnsi="Book Antiqua"/>
          <w:sz w:val="24"/>
          <w:szCs w:val="24"/>
        </w:rPr>
        <w:t xml:space="preserve"> M, Kundu S, </w:t>
      </w:r>
      <w:proofErr w:type="spellStart"/>
      <w:r w:rsidRPr="00B751AA">
        <w:rPr>
          <w:rFonts w:ascii="Book Antiqua" w:hAnsi="Book Antiqua"/>
          <w:sz w:val="24"/>
          <w:szCs w:val="24"/>
        </w:rPr>
        <w:t>Shingaki</w:t>
      </w:r>
      <w:proofErr w:type="spellEnd"/>
      <w:r w:rsidRPr="00B751AA">
        <w:rPr>
          <w:rFonts w:ascii="Book Antiqua" w:hAnsi="Book Antiqua"/>
          <w:sz w:val="24"/>
          <w:szCs w:val="24"/>
        </w:rPr>
        <w:t xml:space="preserve"> S, Saito C, </w:t>
      </w:r>
      <w:proofErr w:type="spellStart"/>
      <w:r w:rsidRPr="00B751AA">
        <w:rPr>
          <w:rFonts w:ascii="Book Antiqua" w:hAnsi="Book Antiqua"/>
          <w:sz w:val="24"/>
          <w:szCs w:val="24"/>
        </w:rPr>
        <w:t>Saku</w:t>
      </w:r>
      <w:proofErr w:type="spellEnd"/>
      <w:r w:rsidRPr="00B751AA">
        <w:rPr>
          <w:rFonts w:ascii="Book Antiqua" w:hAnsi="Book Antiqua"/>
          <w:sz w:val="24"/>
          <w:szCs w:val="24"/>
        </w:rPr>
        <w:t xml:space="preserve"> T. Enhanced expression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in oral carcinomas in situ and squamous cell carcinomas. </w:t>
      </w:r>
      <w:r w:rsidRPr="00B751AA">
        <w:rPr>
          <w:rFonts w:ascii="Book Antiqua" w:hAnsi="Book Antiqua"/>
          <w:i/>
          <w:sz w:val="24"/>
          <w:szCs w:val="24"/>
        </w:rPr>
        <w:t>Pathobiology</w:t>
      </w:r>
      <w:r w:rsidRPr="00B751AA">
        <w:rPr>
          <w:rFonts w:ascii="Book Antiqua" w:hAnsi="Book Antiqua"/>
          <w:sz w:val="24"/>
          <w:szCs w:val="24"/>
        </w:rPr>
        <w:t xml:space="preserve"> 2011; </w:t>
      </w:r>
      <w:r w:rsidRPr="00B751AA">
        <w:rPr>
          <w:rFonts w:ascii="Book Antiqua" w:hAnsi="Book Antiqua"/>
          <w:b/>
          <w:sz w:val="24"/>
          <w:szCs w:val="24"/>
        </w:rPr>
        <w:t>78</w:t>
      </w:r>
      <w:r w:rsidRPr="00B751AA">
        <w:rPr>
          <w:rFonts w:ascii="Book Antiqua" w:hAnsi="Book Antiqua"/>
          <w:sz w:val="24"/>
          <w:szCs w:val="24"/>
        </w:rPr>
        <w:t>: 171-180 [PMID: 21613804 DOI: 10.1159/000324926]</w:t>
      </w:r>
    </w:p>
    <w:p w14:paraId="7F07C4F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26 </w:t>
      </w:r>
      <w:proofErr w:type="spellStart"/>
      <w:r w:rsidRPr="00B751AA">
        <w:rPr>
          <w:rFonts w:ascii="Book Antiqua" w:hAnsi="Book Antiqua"/>
          <w:b/>
          <w:sz w:val="24"/>
          <w:szCs w:val="24"/>
        </w:rPr>
        <w:t>Lynam</w:t>
      </w:r>
      <w:proofErr w:type="spellEnd"/>
      <w:r w:rsidRPr="00B751AA">
        <w:rPr>
          <w:rFonts w:ascii="Book Antiqua" w:hAnsi="Book Antiqua"/>
          <w:b/>
          <w:sz w:val="24"/>
          <w:szCs w:val="24"/>
        </w:rPr>
        <w:t>-Lennon N</w:t>
      </w:r>
      <w:r w:rsidRPr="00B751AA">
        <w:rPr>
          <w:rFonts w:ascii="Book Antiqua" w:hAnsi="Book Antiqua"/>
          <w:sz w:val="24"/>
          <w:szCs w:val="24"/>
        </w:rPr>
        <w:t xml:space="preserve">, Maher SG, Reynolds JV. The roles of microRNA in cancer and apoptosis. </w:t>
      </w:r>
      <w:r w:rsidRPr="00B751AA">
        <w:rPr>
          <w:rFonts w:ascii="Book Antiqua" w:hAnsi="Book Antiqua"/>
          <w:i/>
          <w:sz w:val="24"/>
          <w:szCs w:val="24"/>
        </w:rPr>
        <w:t xml:space="preserve">Biol Rev </w:t>
      </w:r>
      <w:proofErr w:type="spellStart"/>
      <w:r w:rsidRPr="00B751AA">
        <w:rPr>
          <w:rFonts w:ascii="Book Antiqua" w:hAnsi="Book Antiqua"/>
          <w:i/>
          <w:sz w:val="24"/>
          <w:szCs w:val="24"/>
        </w:rPr>
        <w:t>Camb</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Philos</w:t>
      </w:r>
      <w:proofErr w:type="spellEnd"/>
      <w:r w:rsidRPr="00B751AA">
        <w:rPr>
          <w:rFonts w:ascii="Book Antiqua" w:hAnsi="Book Antiqua"/>
          <w:i/>
          <w:sz w:val="24"/>
          <w:szCs w:val="24"/>
        </w:rPr>
        <w:t xml:space="preserve"> Soc</w:t>
      </w:r>
      <w:r w:rsidRPr="00B751AA">
        <w:rPr>
          <w:rFonts w:ascii="Book Antiqua" w:hAnsi="Book Antiqua"/>
          <w:sz w:val="24"/>
          <w:szCs w:val="24"/>
        </w:rPr>
        <w:t xml:space="preserve"> 2009; </w:t>
      </w:r>
      <w:r w:rsidRPr="00B751AA">
        <w:rPr>
          <w:rFonts w:ascii="Book Antiqua" w:hAnsi="Book Antiqua"/>
          <w:b/>
          <w:sz w:val="24"/>
          <w:szCs w:val="24"/>
        </w:rPr>
        <w:t>84</w:t>
      </w:r>
      <w:r w:rsidRPr="00B751AA">
        <w:rPr>
          <w:rFonts w:ascii="Book Antiqua" w:hAnsi="Book Antiqua"/>
          <w:sz w:val="24"/>
          <w:szCs w:val="24"/>
        </w:rPr>
        <w:t>: 55-71 [PMID: 19046400 DOI: 10.1111/j.1469-185X.2008.00061.x]</w:t>
      </w:r>
    </w:p>
    <w:p w14:paraId="681B970F"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27 </w:t>
      </w:r>
      <w:r w:rsidRPr="00B751AA">
        <w:rPr>
          <w:rFonts w:ascii="Book Antiqua" w:hAnsi="Book Antiqua"/>
          <w:b/>
          <w:sz w:val="24"/>
          <w:szCs w:val="24"/>
        </w:rPr>
        <w:t>Chen G</w:t>
      </w:r>
      <w:r w:rsidRPr="00B751AA">
        <w:rPr>
          <w:rFonts w:ascii="Book Antiqua" w:hAnsi="Book Antiqua"/>
          <w:sz w:val="24"/>
          <w:szCs w:val="24"/>
        </w:rPr>
        <w:t xml:space="preserve">, Xu R, Yue B, Mei X, Li P, Zhou X, Huang S, Gong L, Zhang S. The expression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protein is a diagnostic marker to distinguish the early infiltration of esophageal squamous cell carcinoma. </w:t>
      </w:r>
      <w:proofErr w:type="spellStart"/>
      <w:r w:rsidRPr="00B751AA">
        <w:rPr>
          <w:rFonts w:ascii="Book Antiqua" w:hAnsi="Book Antiqua"/>
          <w:i/>
          <w:sz w:val="24"/>
          <w:szCs w:val="24"/>
        </w:rPr>
        <w:t>Oncotarget</w:t>
      </w:r>
      <w:proofErr w:type="spellEnd"/>
      <w:r w:rsidRPr="00B751AA">
        <w:rPr>
          <w:rFonts w:ascii="Book Antiqua" w:hAnsi="Book Antiqua"/>
          <w:sz w:val="24"/>
          <w:szCs w:val="24"/>
        </w:rPr>
        <w:t xml:space="preserve"> 2017; </w:t>
      </w:r>
      <w:r w:rsidRPr="00B751AA">
        <w:rPr>
          <w:rFonts w:ascii="Book Antiqua" w:hAnsi="Book Antiqua"/>
          <w:b/>
          <w:sz w:val="24"/>
          <w:szCs w:val="24"/>
        </w:rPr>
        <w:t>8</w:t>
      </w:r>
      <w:r w:rsidRPr="00B751AA">
        <w:rPr>
          <w:rFonts w:ascii="Book Antiqua" w:hAnsi="Book Antiqua"/>
          <w:sz w:val="24"/>
          <w:szCs w:val="24"/>
        </w:rPr>
        <w:t>: 19013-19020 [PMID: 28086225 DOI: 10.18632/oncotarget.14596]</w:t>
      </w:r>
    </w:p>
    <w:p w14:paraId="057F132A"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28 </w:t>
      </w:r>
      <w:r w:rsidRPr="00B751AA">
        <w:rPr>
          <w:rFonts w:ascii="Book Antiqua" w:hAnsi="Book Antiqua"/>
          <w:b/>
          <w:sz w:val="24"/>
          <w:szCs w:val="24"/>
        </w:rPr>
        <w:t>Kato Y</w:t>
      </w:r>
      <w:r w:rsidRPr="00B751AA">
        <w:rPr>
          <w:rFonts w:ascii="Book Antiqua" w:hAnsi="Book Antiqua"/>
          <w:sz w:val="24"/>
          <w:szCs w:val="24"/>
        </w:rPr>
        <w:t xml:space="preserve">, Kaneko MK. A cancer-specific monoclonal antibody recognizes the aberrantly glycosylated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r w:rsidRPr="00B751AA">
        <w:rPr>
          <w:rFonts w:ascii="Book Antiqua" w:hAnsi="Book Antiqua"/>
          <w:i/>
          <w:sz w:val="24"/>
          <w:szCs w:val="24"/>
        </w:rPr>
        <w:t>Sci Rep</w:t>
      </w:r>
      <w:r w:rsidRPr="00B751AA">
        <w:rPr>
          <w:rFonts w:ascii="Book Antiqua" w:hAnsi="Book Antiqua"/>
          <w:sz w:val="24"/>
          <w:szCs w:val="24"/>
        </w:rPr>
        <w:t xml:space="preserve"> 2014; </w:t>
      </w:r>
      <w:r w:rsidRPr="00B751AA">
        <w:rPr>
          <w:rFonts w:ascii="Book Antiqua" w:hAnsi="Book Antiqua"/>
          <w:b/>
          <w:sz w:val="24"/>
          <w:szCs w:val="24"/>
        </w:rPr>
        <w:t>4</w:t>
      </w:r>
      <w:r w:rsidRPr="00B751AA">
        <w:rPr>
          <w:rFonts w:ascii="Book Antiqua" w:hAnsi="Book Antiqua"/>
          <w:sz w:val="24"/>
          <w:szCs w:val="24"/>
        </w:rPr>
        <w:t>: 5924 [PMID: 25080943 DOI: 10.1038/srep05924]</w:t>
      </w:r>
    </w:p>
    <w:p w14:paraId="770ED74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29 </w:t>
      </w:r>
      <w:r w:rsidRPr="00B751AA">
        <w:rPr>
          <w:rFonts w:ascii="Book Antiqua" w:hAnsi="Book Antiqua"/>
          <w:b/>
          <w:sz w:val="24"/>
          <w:szCs w:val="24"/>
        </w:rPr>
        <w:t>Kato Y</w:t>
      </w:r>
      <w:r w:rsidRPr="00B751AA">
        <w:rPr>
          <w:rFonts w:ascii="Book Antiqua" w:hAnsi="Book Antiqua"/>
          <w:sz w:val="24"/>
          <w:szCs w:val="24"/>
        </w:rPr>
        <w:t xml:space="preserve">, Kaneko MK, </w:t>
      </w:r>
      <w:proofErr w:type="spellStart"/>
      <w:r w:rsidRPr="00B751AA">
        <w:rPr>
          <w:rFonts w:ascii="Book Antiqua" w:hAnsi="Book Antiqua"/>
          <w:sz w:val="24"/>
          <w:szCs w:val="24"/>
        </w:rPr>
        <w:t>Kuno</w:t>
      </w:r>
      <w:proofErr w:type="spellEnd"/>
      <w:r w:rsidRPr="00B751AA">
        <w:rPr>
          <w:rFonts w:ascii="Book Antiqua" w:hAnsi="Book Antiqua"/>
          <w:sz w:val="24"/>
          <w:szCs w:val="24"/>
        </w:rPr>
        <w:t xml:space="preserve"> A, Uchiyama N, Amano K, Chiba Y, Hasegawa Y, </w:t>
      </w:r>
      <w:proofErr w:type="spellStart"/>
      <w:r w:rsidRPr="00B751AA">
        <w:rPr>
          <w:rFonts w:ascii="Book Antiqua" w:hAnsi="Book Antiqua"/>
          <w:sz w:val="24"/>
          <w:szCs w:val="24"/>
        </w:rPr>
        <w:t>Hirabayashi</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Narimatsu</w:t>
      </w:r>
      <w:proofErr w:type="spellEnd"/>
      <w:r w:rsidRPr="00B751AA">
        <w:rPr>
          <w:rFonts w:ascii="Book Antiqua" w:hAnsi="Book Antiqua"/>
          <w:sz w:val="24"/>
          <w:szCs w:val="24"/>
        </w:rPr>
        <w:t xml:space="preserve"> H, Mishima K, </w:t>
      </w:r>
      <w:proofErr w:type="spellStart"/>
      <w:r w:rsidRPr="00B751AA">
        <w:rPr>
          <w:rFonts w:ascii="Book Antiqua" w:hAnsi="Book Antiqua"/>
          <w:sz w:val="24"/>
          <w:szCs w:val="24"/>
        </w:rPr>
        <w:t>Osawa</w:t>
      </w:r>
      <w:proofErr w:type="spellEnd"/>
      <w:r w:rsidRPr="00B751AA">
        <w:rPr>
          <w:rFonts w:ascii="Book Antiqua" w:hAnsi="Book Antiqua"/>
          <w:sz w:val="24"/>
          <w:szCs w:val="24"/>
        </w:rPr>
        <w:t xml:space="preserve"> M. Inhibition of tumor cell-induced platelet aggregation using a novel anti-</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antibody reacting with its platelet-aggregation-stimulating domain. </w:t>
      </w:r>
      <w:proofErr w:type="spellStart"/>
      <w:r w:rsidRPr="00B751AA">
        <w:rPr>
          <w:rFonts w:ascii="Book Antiqua" w:hAnsi="Book Antiqua"/>
          <w:i/>
          <w:sz w:val="24"/>
          <w:szCs w:val="24"/>
        </w:rPr>
        <w:t>Biochem</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Biophys</w:t>
      </w:r>
      <w:proofErr w:type="spellEnd"/>
      <w:r w:rsidRPr="00B751AA">
        <w:rPr>
          <w:rFonts w:ascii="Book Antiqua" w:hAnsi="Book Antiqua"/>
          <w:i/>
          <w:sz w:val="24"/>
          <w:szCs w:val="24"/>
        </w:rPr>
        <w:t xml:space="preserve"> Res </w:t>
      </w:r>
      <w:proofErr w:type="spellStart"/>
      <w:r w:rsidRPr="00B751AA">
        <w:rPr>
          <w:rFonts w:ascii="Book Antiqua" w:hAnsi="Book Antiqua"/>
          <w:i/>
          <w:sz w:val="24"/>
          <w:szCs w:val="24"/>
        </w:rPr>
        <w:t>Commun</w:t>
      </w:r>
      <w:proofErr w:type="spellEnd"/>
      <w:r w:rsidRPr="00B751AA">
        <w:rPr>
          <w:rFonts w:ascii="Book Antiqua" w:hAnsi="Book Antiqua"/>
          <w:sz w:val="24"/>
          <w:szCs w:val="24"/>
        </w:rPr>
        <w:t xml:space="preserve"> 2006; </w:t>
      </w:r>
      <w:r w:rsidRPr="00B751AA">
        <w:rPr>
          <w:rFonts w:ascii="Book Antiqua" w:hAnsi="Book Antiqua"/>
          <w:b/>
          <w:sz w:val="24"/>
          <w:szCs w:val="24"/>
        </w:rPr>
        <w:t>349</w:t>
      </w:r>
      <w:r w:rsidRPr="00B751AA">
        <w:rPr>
          <w:rFonts w:ascii="Book Antiqua" w:hAnsi="Book Antiqua"/>
          <w:sz w:val="24"/>
          <w:szCs w:val="24"/>
        </w:rPr>
        <w:t>: 1301-1307 [PMID: 16979138 DOI: 10.1016/j.bbrc.2006.08.171]</w:t>
      </w:r>
    </w:p>
    <w:p w14:paraId="0F6567EF"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30 </w:t>
      </w:r>
      <w:r w:rsidRPr="00B751AA">
        <w:rPr>
          <w:rFonts w:ascii="Book Antiqua" w:hAnsi="Book Antiqua"/>
          <w:b/>
          <w:sz w:val="24"/>
          <w:szCs w:val="24"/>
        </w:rPr>
        <w:t>Nakazawa Y</w:t>
      </w:r>
      <w:r w:rsidRPr="00B751AA">
        <w:rPr>
          <w:rFonts w:ascii="Book Antiqua" w:hAnsi="Book Antiqua"/>
          <w:sz w:val="24"/>
          <w:szCs w:val="24"/>
        </w:rPr>
        <w:t xml:space="preserve">, Takagi S, Sato S, Oh-hara T, Koike S, </w:t>
      </w:r>
      <w:proofErr w:type="spellStart"/>
      <w:r w:rsidRPr="00B751AA">
        <w:rPr>
          <w:rFonts w:ascii="Book Antiqua" w:hAnsi="Book Antiqua"/>
          <w:sz w:val="24"/>
          <w:szCs w:val="24"/>
        </w:rPr>
        <w:t>Takami</w:t>
      </w:r>
      <w:proofErr w:type="spellEnd"/>
      <w:r w:rsidRPr="00B751AA">
        <w:rPr>
          <w:rFonts w:ascii="Book Antiqua" w:hAnsi="Book Antiqua"/>
          <w:sz w:val="24"/>
          <w:szCs w:val="24"/>
        </w:rPr>
        <w:t xml:space="preserve"> M, Arai H, Fujita N. Prevention of hematogenous metastasis by neutralizing mice and its chimeric anti-</w:t>
      </w:r>
      <w:proofErr w:type="spellStart"/>
      <w:r w:rsidRPr="00B751AA">
        <w:rPr>
          <w:rFonts w:ascii="Book Antiqua" w:hAnsi="Book Antiqua"/>
          <w:sz w:val="24"/>
          <w:szCs w:val="24"/>
        </w:rPr>
        <w:t>Aggrus</w:t>
      </w:r>
      <w:proofErr w:type="spellEnd"/>
      <w:r w:rsidRPr="00B751AA">
        <w:rPr>
          <w:rFonts w:ascii="Book Antiqua" w:hAnsi="Book Antiqua"/>
          <w:sz w:val="24"/>
          <w:szCs w:val="24"/>
        </w:rPr>
        <w:t>/</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antibodies. </w:t>
      </w:r>
      <w:r w:rsidRPr="00B751AA">
        <w:rPr>
          <w:rFonts w:ascii="Book Antiqua" w:hAnsi="Book Antiqua"/>
          <w:i/>
          <w:sz w:val="24"/>
          <w:szCs w:val="24"/>
        </w:rPr>
        <w:t>Cancer Sci</w:t>
      </w:r>
      <w:r w:rsidRPr="00B751AA">
        <w:rPr>
          <w:rFonts w:ascii="Book Antiqua" w:hAnsi="Book Antiqua"/>
          <w:sz w:val="24"/>
          <w:szCs w:val="24"/>
        </w:rPr>
        <w:t xml:space="preserve"> 2011; </w:t>
      </w:r>
      <w:r w:rsidRPr="00B751AA">
        <w:rPr>
          <w:rFonts w:ascii="Book Antiqua" w:hAnsi="Book Antiqua"/>
          <w:b/>
          <w:sz w:val="24"/>
          <w:szCs w:val="24"/>
        </w:rPr>
        <w:t>102</w:t>
      </w:r>
      <w:r w:rsidRPr="00B751AA">
        <w:rPr>
          <w:rFonts w:ascii="Book Antiqua" w:hAnsi="Book Antiqua"/>
          <w:sz w:val="24"/>
          <w:szCs w:val="24"/>
        </w:rPr>
        <w:t>: 2051-2057 [PMID: 21824222 DOI: 10.1111/j.1349-7006.2011.02058.x]</w:t>
      </w:r>
    </w:p>
    <w:p w14:paraId="4050E4A9"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31 </w:t>
      </w:r>
      <w:r w:rsidRPr="00B751AA">
        <w:rPr>
          <w:rFonts w:ascii="Book Antiqua" w:hAnsi="Book Antiqua"/>
          <w:b/>
          <w:sz w:val="24"/>
          <w:szCs w:val="24"/>
        </w:rPr>
        <w:t>Li JC</w:t>
      </w:r>
      <w:r w:rsidRPr="00B751AA">
        <w:rPr>
          <w:rFonts w:ascii="Book Antiqua" w:hAnsi="Book Antiqua"/>
          <w:sz w:val="24"/>
          <w:szCs w:val="24"/>
        </w:rPr>
        <w:t xml:space="preserve">, Li Y, Ai JY, Chen K, Zhu YH, Fu L, Qin YR, Wang LJ, Guan XY. </w:t>
      </w:r>
      <w:proofErr w:type="spellStart"/>
      <w:r w:rsidRPr="00B751AA">
        <w:rPr>
          <w:rFonts w:ascii="Book Antiqua" w:hAnsi="Book Antiqua"/>
          <w:sz w:val="24"/>
          <w:szCs w:val="24"/>
        </w:rPr>
        <w:t>Podoplanin</w:t>
      </w:r>
      <w:proofErr w:type="spellEnd"/>
      <w:r w:rsidRPr="00B751AA">
        <w:rPr>
          <w:rFonts w:ascii="Cambria Math" w:hAnsi="Cambria Math" w:cs="Cambria Math"/>
          <w:sz w:val="24"/>
          <w:szCs w:val="24"/>
        </w:rPr>
        <w:t>‑</w:t>
      </w:r>
      <w:r w:rsidRPr="00B751AA">
        <w:rPr>
          <w:rFonts w:ascii="Book Antiqua" w:hAnsi="Book Antiqua"/>
          <w:sz w:val="24"/>
          <w:szCs w:val="24"/>
        </w:rPr>
        <w:t xml:space="preserve">positive cancer cells at the edge of esophageal squamous cell carcinomas are involved in invasion. </w:t>
      </w:r>
      <w:r w:rsidRPr="00B751AA">
        <w:rPr>
          <w:rFonts w:ascii="Book Antiqua" w:hAnsi="Book Antiqua"/>
          <w:i/>
          <w:sz w:val="24"/>
          <w:szCs w:val="24"/>
        </w:rPr>
        <w:t>Mol Med Rep</w:t>
      </w:r>
      <w:r w:rsidRPr="00B751AA">
        <w:rPr>
          <w:rFonts w:ascii="Book Antiqua" w:hAnsi="Book Antiqua"/>
          <w:sz w:val="24"/>
          <w:szCs w:val="24"/>
        </w:rPr>
        <w:t xml:space="preserve"> 2014; </w:t>
      </w:r>
      <w:r w:rsidRPr="00B751AA">
        <w:rPr>
          <w:rFonts w:ascii="Book Antiqua" w:hAnsi="Book Antiqua"/>
          <w:b/>
          <w:sz w:val="24"/>
          <w:szCs w:val="24"/>
        </w:rPr>
        <w:t>10</w:t>
      </w:r>
      <w:r w:rsidRPr="00B751AA">
        <w:rPr>
          <w:rFonts w:ascii="Book Antiqua" w:hAnsi="Book Antiqua"/>
          <w:sz w:val="24"/>
          <w:szCs w:val="24"/>
        </w:rPr>
        <w:t>: 1513-1518 [PMID: 24938315 DOI: 10.3892/mmr.2014.2338]</w:t>
      </w:r>
    </w:p>
    <w:p w14:paraId="7A610101"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32 </w:t>
      </w:r>
      <w:r w:rsidRPr="00B751AA">
        <w:rPr>
          <w:rFonts w:ascii="Book Antiqua" w:hAnsi="Book Antiqua"/>
          <w:b/>
          <w:sz w:val="24"/>
          <w:szCs w:val="24"/>
        </w:rPr>
        <w:t>Schacht V</w:t>
      </w:r>
      <w:r w:rsidRPr="00B751AA">
        <w:rPr>
          <w:rFonts w:ascii="Book Antiqua" w:hAnsi="Book Antiqua"/>
          <w:sz w:val="24"/>
          <w:szCs w:val="24"/>
        </w:rPr>
        <w:t xml:space="preserve">, Ramirez MI, Hong YK, </w:t>
      </w:r>
      <w:proofErr w:type="spellStart"/>
      <w:r w:rsidRPr="00B751AA">
        <w:rPr>
          <w:rFonts w:ascii="Book Antiqua" w:hAnsi="Book Antiqua"/>
          <w:sz w:val="24"/>
          <w:szCs w:val="24"/>
        </w:rPr>
        <w:t>Hirakawa</w:t>
      </w:r>
      <w:proofErr w:type="spellEnd"/>
      <w:r w:rsidRPr="00B751AA">
        <w:rPr>
          <w:rFonts w:ascii="Book Antiqua" w:hAnsi="Book Antiqua"/>
          <w:sz w:val="24"/>
          <w:szCs w:val="24"/>
        </w:rPr>
        <w:t xml:space="preserve"> S, Feng D, Harvey N, Williams M, Dvorak AM, Dvorak HF, Oliver G, </w:t>
      </w:r>
      <w:proofErr w:type="spellStart"/>
      <w:r w:rsidRPr="00B751AA">
        <w:rPr>
          <w:rFonts w:ascii="Book Antiqua" w:hAnsi="Book Antiqua"/>
          <w:sz w:val="24"/>
          <w:szCs w:val="24"/>
        </w:rPr>
        <w:t>Detmar</w:t>
      </w:r>
      <w:proofErr w:type="spellEnd"/>
      <w:r w:rsidRPr="00B751AA">
        <w:rPr>
          <w:rFonts w:ascii="Book Antiqua" w:hAnsi="Book Antiqua"/>
          <w:sz w:val="24"/>
          <w:szCs w:val="24"/>
        </w:rPr>
        <w:t xml:space="preserve"> M. T1alpha/</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deficiency disrupts normal lymphatic vasculature formation and causes lymphedema. </w:t>
      </w:r>
      <w:r w:rsidRPr="00B751AA">
        <w:rPr>
          <w:rFonts w:ascii="Book Antiqua" w:hAnsi="Book Antiqua"/>
          <w:i/>
          <w:sz w:val="24"/>
          <w:szCs w:val="24"/>
        </w:rPr>
        <w:t>EMBO J</w:t>
      </w:r>
      <w:r w:rsidRPr="00B751AA">
        <w:rPr>
          <w:rFonts w:ascii="Book Antiqua" w:hAnsi="Book Antiqua"/>
          <w:sz w:val="24"/>
          <w:szCs w:val="24"/>
        </w:rPr>
        <w:t xml:space="preserve"> 2003; </w:t>
      </w:r>
      <w:r w:rsidRPr="00B751AA">
        <w:rPr>
          <w:rFonts w:ascii="Book Antiqua" w:hAnsi="Book Antiqua"/>
          <w:b/>
          <w:sz w:val="24"/>
          <w:szCs w:val="24"/>
        </w:rPr>
        <w:t>22</w:t>
      </w:r>
      <w:r w:rsidRPr="00B751AA">
        <w:rPr>
          <w:rFonts w:ascii="Book Antiqua" w:hAnsi="Book Antiqua"/>
          <w:sz w:val="24"/>
          <w:szCs w:val="24"/>
        </w:rPr>
        <w:t>: 3546-3556 [PMID: 12853470 DOI: 10.1093/</w:t>
      </w:r>
      <w:proofErr w:type="spellStart"/>
      <w:r w:rsidRPr="00B751AA">
        <w:rPr>
          <w:rFonts w:ascii="Book Antiqua" w:hAnsi="Book Antiqua"/>
          <w:sz w:val="24"/>
          <w:szCs w:val="24"/>
        </w:rPr>
        <w:t>emboj</w:t>
      </w:r>
      <w:proofErr w:type="spellEnd"/>
      <w:r w:rsidRPr="00B751AA">
        <w:rPr>
          <w:rFonts w:ascii="Book Antiqua" w:hAnsi="Book Antiqua"/>
          <w:sz w:val="24"/>
          <w:szCs w:val="24"/>
        </w:rPr>
        <w:t>/cdg342]</w:t>
      </w:r>
    </w:p>
    <w:p w14:paraId="76708CDB"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33 </w:t>
      </w:r>
      <w:proofErr w:type="spellStart"/>
      <w:r w:rsidRPr="00B751AA">
        <w:rPr>
          <w:rFonts w:ascii="Book Antiqua" w:hAnsi="Book Antiqua"/>
          <w:b/>
          <w:sz w:val="24"/>
          <w:szCs w:val="24"/>
        </w:rPr>
        <w:t>Bertozzi</w:t>
      </w:r>
      <w:proofErr w:type="spellEnd"/>
      <w:r w:rsidRPr="00B751AA">
        <w:rPr>
          <w:rFonts w:ascii="Book Antiqua" w:hAnsi="Book Antiqua"/>
          <w:b/>
          <w:sz w:val="24"/>
          <w:szCs w:val="24"/>
        </w:rPr>
        <w:t xml:space="preserve"> CC</w:t>
      </w:r>
      <w:r w:rsidRPr="00B751AA">
        <w:rPr>
          <w:rFonts w:ascii="Book Antiqua" w:hAnsi="Book Antiqua"/>
          <w:sz w:val="24"/>
          <w:szCs w:val="24"/>
        </w:rPr>
        <w:t xml:space="preserve">, </w:t>
      </w:r>
      <w:proofErr w:type="spellStart"/>
      <w:r w:rsidRPr="00B751AA">
        <w:rPr>
          <w:rFonts w:ascii="Book Antiqua" w:hAnsi="Book Antiqua"/>
          <w:sz w:val="24"/>
          <w:szCs w:val="24"/>
        </w:rPr>
        <w:t>Schmaier</w:t>
      </w:r>
      <w:proofErr w:type="spellEnd"/>
      <w:r w:rsidRPr="00B751AA">
        <w:rPr>
          <w:rFonts w:ascii="Book Antiqua" w:hAnsi="Book Antiqua"/>
          <w:sz w:val="24"/>
          <w:szCs w:val="24"/>
        </w:rPr>
        <w:t xml:space="preserve"> AA, </w:t>
      </w:r>
      <w:proofErr w:type="spellStart"/>
      <w:r w:rsidRPr="00B751AA">
        <w:rPr>
          <w:rFonts w:ascii="Book Antiqua" w:hAnsi="Book Antiqua"/>
          <w:sz w:val="24"/>
          <w:szCs w:val="24"/>
        </w:rPr>
        <w:t>Mericko</w:t>
      </w:r>
      <w:proofErr w:type="spellEnd"/>
      <w:r w:rsidRPr="00B751AA">
        <w:rPr>
          <w:rFonts w:ascii="Book Antiqua" w:hAnsi="Book Antiqua"/>
          <w:sz w:val="24"/>
          <w:szCs w:val="24"/>
        </w:rPr>
        <w:t xml:space="preserve"> P, Hess PR, Zou Z, Chen M, Chen CY, Xu B, Lu MM, Zhou D, </w:t>
      </w:r>
      <w:proofErr w:type="spellStart"/>
      <w:r w:rsidRPr="00B751AA">
        <w:rPr>
          <w:rFonts w:ascii="Book Antiqua" w:hAnsi="Book Antiqua"/>
          <w:sz w:val="24"/>
          <w:szCs w:val="24"/>
        </w:rPr>
        <w:t>Sebzda</w:t>
      </w:r>
      <w:proofErr w:type="spellEnd"/>
      <w:r w:rsidRPr="00B751AA">
        <w:rPr>
          <w:rFonts w:ascii="Book Antiqua" w:hAnsi="Book Antiqua"/>
          <w:sz w:val="24"/>
          <w:szCs w:val="24"/>
        </w:rPr>
        <w:t xml:space="preserve"> E, </w:t>
      </w:r>
      <w:proofErr w:type="spellStart"/>
      <w:r w:rsidRPr="00B751AA">
        <w:rPr>
          <w:rFonts w:ascii="Book Antiqua" w:hAnsi="Book Antiqua"/>
          <w:sz w:val="24"/>
          <w:szCs w:val="24"/>
        </w:rPr>
        <w:t>Santore</w:t>
      </w:r>
      <w:proofErr w:type="spellEnd"/>
      <w:r w:rsidRPr="00B751AA">
        <w:rPr>
          <w:rFonts w:ascii="Book Antiqua" w:hAnsi="Book Antiqua"/>
          <w:sz w:val="24"/>
          <w:szCs w:val="24"/>
        </w:rPr>
        <w:t xml:space="preserve"> MT, </w:t>
      </w:r>
      <w:proofErr w:type="spellStart"/>
      <w:r w:rsidRPr="00B751AA">
        <w:rPr>
          <w:rFonts w:ascii="Book Antiqua" w:hAnsi="Book Antiqua"/>
          <w:sz w:val="24"/>
          <w:szCs w:val="24"/>
        </w:rPr>
        <w:t>Merianos</w:t>
      </w:r>
      <w:proofErr w:type="spellEnd"/>
      <w:r w:rsidRPr="00B751AA">
        <w:rPr>
          <w:rFonts w:ascii="Book Antiqua" w:hAnsi="Book Antiqua"/>
          <w:sz w:val="24"/>
          <w:szCs w:val="24"/>
        </w:rPr>
        <w:t xml:space="preserve"> DJ, </w:t>
      </w:r>
      <w:proofErr w:type="spellStart"/>
      <w:r w:rsidRPr="00B751AA">
        <w:rPr>
          <w:rFonts w:ascii="Book Antiqua" w:hAnsi="Book Antiqua"/>
          <w:sz w:val="24"/>
          <w:szCs w:val="24"/>
        </w:rPr>
        <w:t>Stadtfeld</w:t>
      </w:r>
      <w:proofErr w:type="spellEnd"/>
      <w:r w:rsidRPr="00B751AA">
        <w:rPr>
          <w:rFonts w:ascii="Book Antiqua" w:hAnsi="Book Antiqua"/>
          <w:sz w:val="24"/>
          <w:szCs w:val="24"/>
        </w:rPr>
        <w:t xml:space="preserve"> M, Flake AW, Graf T, Skoda R, Maltzman JS, </w:t>
      </w:r>
      <w:proofErr w:type="spellStart"/>
      <w:r w:rsidRPr="00B751AA">
        <w:rPr>
          <w:rFonts w:ascii="Book Antiqua" w:hAnsi="Book Antiqua"/>
          <w:sz w:val="24"/>
          <w:szCs w:val="24"/>
        </w:rPr>
        <w:t>Koretzky</w:t>
      </w:r>
      <w:proofErr w:type="spellEnd"/>
      <w:r w:rsidRPr="00B751AA">
        <w:rPr>
          <w:rFonts w:ascii="Book Antiqua" w:hAnsi="Book Antiqua"/>
          <w:sz w:val="24"/>
          <w:szCs w:val="24"/>
        </w:rPr>
        <w:t xml:space="preserve"> GA, Kahn ML. Platelets regulate </w:t>
      </w:r>
      <w:r w:rsidRPr="00B751AA">
        <w:rPr>
          <w:rFonts w:ascii="Book Antiqua" w:hAnsi="Book Antiqua"/>
          <w:sz w:val="24"/>
          <w:szCs w:val="24"/>
        </w:rPr>
        <w:lastRenderedPageBreak/>
        <w:t xml:space="preserve">lymphatic vascular development through CLEC-2-SLP-76 signaling. </w:t>
      </w:r>
      <w:r w:rsidRPr="00B751AA">
        <w:rPr>
          <w:rFonts w:ascii="Book Antiqua" w:hAnsi="Book Antiqua"/>
          <w:i/>
          <w:sz w:val="24"/>
          <w:szCs w:val="24"/>
        </w:rPr>
        <w:t>Blood</w:t>
      </w:r>
      <w:r w:rsidRPr="00B751AA">
        <w:rPr>
          <w:rFonts w:ascii="Book Antiqua" w:hAnsi="Book Antiqua"/>
          <w:sz w:val="24"/>
          <w:szCs w:val="24"/>
        </w:rPr>
        <w:t xml:space="preserve"> 2010; </w:t>
      </w:r>
      <w:r w:rsidRPr="00B751AA">
        <w:rPr>
          <w:rFonts w:ascii="Book Antiqua" w:hAnsi="Book Antiqua"/>
          <w:b/>
          <w:sz w:val="24"/>
          <w:szCs w:val="24"/>
        </w:rPr>
        <w:t>116</w:t>
      </w:r>
      <w:r w:rsidRPr="00B751AA">
        <w:rPr>
          <w:rFonts w:ascii="Book Antiqua" w:hAnsi="Book Antiqua"/>
          <w:sz w:val="24"/>
          <w:szCs w:val="24"/>
        </w:rPr>
        <w:t>: 661-670 [PMID: 20363774 DOI: 10.1182/blood-2010-02-270876]</w:t>
      </w:r>
    </w:p>
    <w:p w14:paraId="56D8936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34 </w:t>
      </w:r>
      <w:proofErr w:type="spellStart"/>
      <w:r w:rsidRPr="00B751AA">
        <w:rPr>
          <w:rFonts w:ascii="Book Antiqua" w:hAnsi="Book Antiqua"/>
          <w:b/>
          <w:sz w:val="24"/>
          <w:szCs w:val="24"/>
        </w:rPr>
        <w:t>Rayes</w:t>
      </w:r>
      <w:proofErr w:type="spellEnd"/>
      <w:r w:rsidRPr="00B751AA">
        <w:rPr>
          <w:rFonts w:ascii="Book Antiqua" w:hAnsi="Book Antiqua"/>
          <w:b/>
          <w:sz w:val="24"/>
          <w:szCs w:val="24"/>
        </w:rPr>
        <w:t xml:space="preserve"> J</w:t>
      </w:r>
      <w:r w:rsidRPr="00B751AA">
        <w:rPr>
          <w:rFonts w:ascii="Book Antiqua" w:hAnsi="Book Antiqua"/>
          <w:sz w:val="24"/>
          <w:szCs w:val="24"/>
        </w:rPr>
        <w:t xml:space="preserve">, Watson SP, </w:t>
      </w:r>
      <w:proofErr w:type="spellStart"/>
      <w:r w:rsidRPr="00B751AA">
        <w:rPr>
          <w:rFonts w:ascii="Book Antiqua" w:hAnsi="Book Antiqua"/>
          <w:sz w:val="24"/>
          <w:szCs w:val="24"/>
        </w:rPr>
        <w:t>Nieswandt</w:t>
      </w:r>
      <w:proofErr w:type="spellEnd"/>
      <w:r w:rsidRPr="00B751AA">
        <w:rPr>
          <w:rFonts w:ascii="Book Antiqua" w:hAnsi="Book Antiqua"/>
          <w:sz w:val="24"/>
          <w:szCs w:val="24"/>
        </w:rPr>
        <w:t xml:space="preserve"> B. Functional significance of the platelet immune receptors GPVI and CLEC-2. </w:t>
      </w:r>
      <w:r w:rsidRPr="00B751AA">
        <w:rPr>
          <w:rFonts w:ascii="Book Antiqua" w:hAnsi="Book Antiqua"/>
          <w:i/>
          <w:sz w:val="24"/>
          <w:szCs w:val="24"/>
        </w:rPr>
        <w:t>J Clin Invest</w:t>
      </w:r>
      <w:r w:rsidRPr="00B751AA">
        <w:rPr>
          <w:rFonts w:ascii="Book Antiqua" w:hAnsi="Book Antiqua"/>
          <w:sz w:val="24"/>
          <w:szCs w:val="24"/>
        </w:rPr>
        <w:t xml:space="preserve"> 2019; </w:t>
      </w:r>
      <w:r w:rsidRPr="00B751AA">
        <w:rPr>
          <w:rFonts w:ascii="Book Antiqua" w:hAnsi="Book Antiqua"/>
          <w:b/>
          <w:sz w:val="24"/>
          <w:szCs w:val="24"/>
        </w:rPr>
        <w:t>129</w:t>
      </w:r>
      <w:r w:rsidRPr="00B751AA">
        <w:rPr>
          <w:rFonts w:ascii="Book Antiqua" w:hAnsi="Book Antiqua"/>
          <w:sz w:val="24"/>
          <w:szCs w:val="24"/>
        </w:rPr>
        <w:t>: 12-23 [PMID: 30601137 DOI: 10.1172/JCI122955]</w:t>
      </w:r>
    </w:p>
    <w:p w14:paraId="4D9B111C"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35 </w:t>
      </w:r>
      <w:r w:rsidRPr="00B751AA">
        <w:rPr>
          <w:rFonts w:ascii="Book Antiqua" w:hAnsi="Book Antiqua"/>
          <w:b/>
          <w:sz w:val="24"/>
          <w:szCs w:val="24"/>
        </w:rPr>
        <w:t>Hisada Y</w:t>
      </w:r>
      <w:r w:rsidRPr="00B751AA">
        <w:rPr>
          <w:rFonts w:ascii="Book Antiqua" w:hAnsi="Book Antiqua"/>
          <w:sz w:val="24"/>
          <w:szCs w:val="24"/>
        </w:rPr>
        <w:t xml:space="preserve">, </w:t>
      </w:r>
      <w:proofErr w:type="spellStart"/>
      <w:r w:rsidRPr="00B751AA">
        <w:rPr>
          <w:rFonts w:ascii="Book Antiqua" w:hAnsi="Book Antiqua"/>
          <w:sz w:val="24"/>
          <w:szCs w:val="24"/>
        </w:rPr>
        <w:t>Mackman</w:t>
      </w:r>
      <w:proofErr w:type="spellEnd"/>
      <w:r w:rsidRPr="00B751AA">
        <w:rPr>
          <w:rFonts w:ascii="Book Antiqua" w:hAnsi="Book Antiqua"/>
          <w:sz w:val="24"/>
          <w:szCs w:val="24"/>
        </w:rPr>
        <w:t xml:space="preserve"> N. Cancer-associated pathways and biomarkers of venous thrombosis. </w:t>
      </w:r>
      <w:r w:rsidRPr="00B751AA">
        <w:rPr>
          <w:rFonts w:ascii="Book Antiqua" w:hAnsi="Book Antiqua"/>
          <w:i/>
          <w:sz w:val="24"/>
          <w:szCs w:val="24"/>
        </w:rPr>
        <w:t>Blood</w:t>
      </w:r>
      <w:r w:rsidRPr="00B751AA">
        <w:rPr>
          <w:rFonts w:ascii="Book Antiqua" w:hAnsi="Book Antiqua"/>
          <w:sz w:val="24"/>
          <w:szCs w:val="24"/>
        </w:rPr>
        <w:t xml:space="preserve"> 2017; </w:t>
      </w:r>
      <w:r w:rsidRPr="00B751AA">
        <w:rPr>
          <w:rFonts w:ascii="Book Antiqua" w:hAnsi="Book Antiqua"/>
          <w:b/>
          <w:sz w:val="24"/>
          <w:szCs w:val="24"/>
        </w:rPr>
        <w:t>130</w:t>
      </w:r>
      <w:r w:rsidRPr="00B751AA">
        <w:rPr>
          <w:rFonts w:ascii="Book Antiqua" w:hAnsi="Book Antiqua"/>
          <w:sz w:val="24"/>
          <w:szCs w:val="24"/>
        </w:rPr>
        <w:t>: 1499-1506 [PMID: 28807983 DOI: 10.1182/blood-2017-03-743211]</w:t>
      </w:r>
    </w:p>
    <w:p w14:paraId="50EC3856"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36 </w:t>
      </w:r>
      <w:r w:rsidRPr="00B751AA">
        <w:rPr>
          <w:rFonts w:ascii="Book Antiqua" w:hAnsi="Book Antiqua"/>
          <w:b/>
          <w:sz w:val="24"/>
          <w:szCs w:val="24"/>
        </w:rPr>
        <w:t>Lowe KL</w:t>
      </w:r>
      <w:r w:rsidRPr="00B751AA">
        <w:rPr>
          <w:rFonts w:ascii="Book Antiqua" w:hAnsi="Book Antiqua"/>
          <w:sz w:val="24"/>
          <w:szCs w:val="24"/>
        </w:rPr>
        <w:t xml:space="preserve">, Navarro-Nunez L, Watson SP. Platelet CLEC-2 and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in cancer metastasis. </w:t>
      </w:r>
      <w:proofErr w:type="spellStart"/>
      <w:r w:rsidRPr="00B751AA">
        <w:rPr>
          <w:rFonts w:ascii="Book Antiqua" w:hAnsi="Book Antiqua"/>
          <w:i/>
          <w:sz w:val="24"/>
          <w:szCs w:val="24"/>
        </w:rPr>
        <w:t>Thromb</w:t>
      </w:r>
      <w:proofErr w:type="spellEnd"/>
      <w:r w:rsidRPr="00B751AA">
        <w:rPr>
          <w:rFonts w:ascii="Book Antiqua" w:hAnsi="Book Antiqua"/>
          <w:i/>
          <w:sz w:val="24"/>
          <w:szCs w:val="24"/>
        </w:rPr>
        <w:t xml:space="preserve"> Res</w:t>
      </w:r>
      <w:r w:rsidRPr="00B751AA">
        <w:rPr>
          <w:rFonts w:ascii="Book Antiqua" w:hAnsi="Book Antiqua"/>
          <w:sz w:val="24"/>
          <w:szCs w:val="24"/>
        </w:rPr>
        <w:t xml:space="preserve"> 2012; </w:t>
      </w:r>
      <w:r w:rsidRPr="00B751AA">
        <w:rPr>
          <w:rFonts w:ascii="Book Antiqua" w:hAnsi="Book Antiqua"/>
          <w:b/>
          <w:sz w:val="24"/>
          <w:szCs w:val="24"/>
        </w:rPr>
        <w:t>129 Suppl 1</w:t>
      </w:r>
      <w:r w:rsidRPr="00B751AA">
        <w:rPr>
          <w:rFonts w:ascii="Book Antiqua" w:hAnsi="Book Antiqua"/>
          <w:sz w:val="24"/>
          <w:szCs w:val="24"/>
        </w:rPr>
        <w:t>: S30-S37 [PMID: 22682130 DOI: 10.1016/S0049-3848(12)70013-0]</w:t>
      </w:r>
    </w:p>
    <w:p w14:paraId="113A1AEE"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37 </w:t>
      </w:r>
      <w:r w:rsidRPr="00B751AA">
        <w:rPr>
          <w:rFonts w:ascii="Book Antiqua" w:hAnsi="Book Antiqua"/>
          <w:b/>
          <w:sz w:val="24"/>
          <w:szCs w:val="24"/>
        </w:rPr>
        <w:t>Suzuki-Inoue K</w:t>
      </w:r>
      <w:r w:rsidRPr="00B751AA">
        <w:rPr>
          <w:rFonts w:ascii="Book Antiqua" w:hAnsi="Book Antiqua"/>
          <w:sz w:val="24"/>
          <w:szCs w:val="24"/>
        </w:rPr>
        <w:t>. CLEC-2/</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and </w:t>
      </w:r>
      <w:proofErr w:type="spellStart"/>
      <w:r w:rsidRPr="00B751AA">
        <w:rPr>
          <w:rFonts w:ascii="Book Antiqua" w:hAnsi="Book Antiqua"/>
          <w:sz w:val="24"/>
          <w:szCs w:val="24"/>
        </w:rPr>
        <w:t>thromboinflammation</w:t>
      </w:r>
      <w:proofErr w:type="spellEnd"/>
      <w:r w:rsidRPr="00B751AA">
        <w:rPr>
          <w:rFonts w:ascii="Book Antiqua" w:hAnsi="Book Antiqua"/>
          <w:sz w:val="24"/>
          <w:szCs w:val="24"/>
        </w:rPr>
        <w:t xml:space="preserve">. </w:t>
      </w:r>
      <w:r w:rsidRPr="00B751AA">
        <w:rPr>
          <w:rFonts w:ascii="Book Antiqua" w:hAnsi="Book Antiqua"/>
          <w:i/>
          <w:sz w:val="24"/>
          <w:szCs w:val="24"/>
        </w:rPr>
        <w:t>Blood</w:t>
      </w:r>
      <w:r w:rsidRPr="00B751AA">
        <w:rPr>
          <w:rFonts w:ascii="Book Antiqua" w:hAnsi="Book Antiqua"/>
          <w:sz w:val="24"/>
          <w:szCs w:val="24"/>
        </w:rPr>
        <w:t xml:space="preserve"> 2017; </w:t>
      </w:r>
      <w:r w:rsidRPr="00B751AA">
        <w:rPr>
          <w:rFonts w:ascii="Book Antiqua" w:hAnsi="Book Antiqua"/>
          <w:b/>
          <w:sz w:val="24"/>
          <w:szCs w:val="24"/>
        </w:rPr>
        <w:t>129</w:t>
      </w:r>
      <w:r w:rsidRPr="00B751AA">
        <w:rPr>
          <w:rFonts w:ascii="Book Antiqua" w:hAnsi="Book Antiqua"/>
          <w:sz w:val="24"/>
          <w:szCs w:val="24"/>
        </w:rPr>
        <w:t>: 1896-1898 [PMID: 28385772 DOI: 10.1182/blood-2017-02-764670]</w:t>
      </w:r>
    </w:p>
    <w:p w14:paraId="7D27CE36"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38 </w:t>
      </w:r>
      <w:r w:rsidRPr="00B751AA">
        <w:rPr>
          <w:rFonts w:ascii="Book Antiqua" w:hAnsi="Book Antiqua"/>
          <w:b/>
          <w:sz w:val="24"/>
          <w:szCs w:val="24"/>
        </w:rPr>
        <w:t>Takemoto A</w:t>
      </w:r>
      <w:r w:rsidRPr="00B751AA">
        <w:rPr>
          <w:rFonts w:ascii="Book Antiqua" w:hAnsi="Book Antiqua"/>
          <w:sz w:val="24"/>
          <w:szCs w:val="24"/>
        </w:rPr>
        <w:t xml:space="preserve">, Miyata K, Fujita N. Platelet-activating factor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from discovery to drug development. </w:t>
      </w:r>
      <w:r w:rsidRPr="00B751AA">
        <w:rPr>
          <w:rFonts w:ascii="Book Antiqua" w:hAnsi="Book Antiqua"/>
          <w:i/>
          <w:sz w:val="24"/>
          <w:szCs w:val="24"/>
        </w:rPr>
        <w:t>Cancer Metastasis Rev</w:t>
      </w:r>
      <w:r w:rsidRPr="00B751AA">
        <w:rPr>
          <w:rFonts w:ascii="Book Antiqua" w:hAnsi="Book Antiqua"/>
          <w:sz w:val="24"/>
          <w:szCs w:val="24"/>
        </w:rPr>
        <w:t xml:space="preserve"> 2017; </w:t>
      </w:r>
      <w:r w:rsidRPr="00B751AA">
        <w:rPr>
          <w:rFonts w:ascii="Book Antiqua" w:hAnsi="Book Antiqua"/>
          <w:b/>
          <w:sz w:val="24"/>
          <w:szCs w:val="24"/>
        </w:rPr>
        <w:t>36</w:t>
      </w:r>
      <w:r w:rsidRPr="00B751AA">
        <w:rPr>
          <w:rFonts w:ascii="Book Antiqua" w:hAnsi="Book Antiqua"/>
          <w:sz w:val="24"/>
          <w:szCs w:val="24"/>
        </w:rPr>
        <w:t>: 225-234 [PMID: 28674748 DOI: 10.1007/s10555-017-9672-2]</w:t>
      </w:r>
    </w:p>
    <w:p w14:paraId="7B1EDED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39 </w:t>
      </w:r>
      <w:r w:rsidRPr="00B751AA">
        <w:rPr>
          <w:rFonts w:ascii="Book Antiqua" w:hAnsi="Book Antiqua"/>
          <w:b/>
          <w:sz w:val="24"/>
          <w:szCs w:val="24"/>
        </w:rPr>
        <w:t>Ogasawara S</w:t>
      </w:r>
      <w:r w:rsidRPr="00B751AA">
        <w:rPr>
          <w:rFonts w:ascii="Book Antiqua" w:hAnsi="Book Antiqua"/>
          <w:sz w:val="24"/>
          <w:szCs w:val="24"/>
        </w:rPr>
        <w:t xml:space="preserve">, Kaneko MK, </w:t>
      </w:r>
      <w:proofErr w:type="spellStart"/>
      <w:r w:rsidRPr="00B751AA">
        <w:rPr>
          <w:rFonts w:ascii="Book Antiqua" w:hAnsi="Book Antiqua"/>
          <w:sz w:val="24"/>
          <w:szCs w:val="24"/>
        </w:rPr>
        <w:t>Honma</w:t>
      </w:r>
      <w:proofErr w:type="spellEnd"/>
      <w:r w:rsidRPr="00B751AA">
        <w:rPr>
          <w:rFonts w:ascii="Book Antiqua" w:hAnsi="Book Antiqua"/>
          <w:sz w:val="24"/>
          <w:szCs w:val="24"/>
        </w:rPr>
        <w:t xml:space="preserve"> R, Oki H, </w:t>
      </w:r>
      <w:proofErr w:type="spellStart"/>
      <w:r w:rsidRPr="00B751AA">
        <w:rPr>
          <w:rFonts w:ascii="Book Antiqua" w:hAnsi="Book Antiqua"/>
          <w:sz w:val="24"/>
          <w:szCs w:val="24"/>
        </w:rPr>
        <w:t>Fujii</w:t>
      </w:r>
      <w:proofErr w:type="spellEnd"/>
      <w:r w:rsidRPr="00B751AA">
        <w:rPr>
          <w:rFonts w:ascii="Book Antiqua" w:hAnsi="Book Antiqua"/>
          <w:sz w:val="24"/>
          <w:szCs w:val="24"/>
        </w:rPr>
        <w:t xml:space="preserve"> Y, Takagi M, Suzuki H, Kato Y. Establishment of Mouse Monoclonal Antibody LpMab-13 Against Human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proofErr w:type="spellStart"/>
      <w:r w:rsidRPr="00B751AA">
        <w:rPr>
          <w:rFonts w:ascii="Book Antiqua" w:hAnsi="Book Antiqua"/>
          <w:i/>
          <w:sz w:val="24"/>
          <w:szCs w:val="24"/>
        </w:rPr>
        <w:t>Monoclon</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Antib</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Immunodiagn</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Immunother</w:t>
      </w:r>
      <w:proofErr w:type="spellEnd"/>
      <w:r w:rsidRPr="00B751AA">
        <w:rPr>
          <w:rFonts w:ascii="Book Antiqua" w:hAnsi="Book Antiqua"/>
          <w:sz w:val="24"/>
          <w:szCs w:val="24"/>
        </w:rPr>
        <w:t xml:space="preserve"> 2016; </w:t>
      </w:r>
      <w:r w:rsidRPr="00B751AA">
        <w:rPr>
          <w:rFonts w:ascii="Book Antiqua" w:hAnsi="Book Antiqua"/>
          <w:b/>
          <w:sz w:val="24"/>
          <w:szCs w:val="24"/>
        </w:rPr>
        <w:t>35</w:t>
      </w:r>
      <w:r w:rsidRPr="00B751AA">
        <w:rPr>
          <w:rFonts w:ascii="Book Antiqua" w:hAnsi="Book Antiqua"/>
          <w:sz w:val="24"/>
          <w:szCs w:val="24"/>
        </w:rPr>
        <w:t>: 155-162 [PMID: 27328060 DOI: 10.1089/mab.2016.0006]</w:t>
      </w:r>
    </w:p>
    <w:p w14:paraId="6A577CE6"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40 </w:t>
      </w:r>
      <w:r w:rsidRPr="00B751AA">
        <w:rPr>
          <w:rFonts w:ascii="Book Antiqua" w:hAnsi="Book Antiqua"/>
          <w:b/>
          <w:sz w:val="24"/>
          <w:szCs w:val="24"/>
        </w:rPr>
        <w:t>Yamada S</w:t>
      </w:r>
      <w:r w:rsidRPr="00B751AA">
        <w:rPr>
          <w:rFonts w:ascii="Book Antiqua" w:hAnsi="Book Antiqua"/>
          <w:sz w:val="24"/>
          <w:szCs w:val="24"/>
        </w:rPr>
        <w:t xml:space="preserve">, Ogasawara S, Kaneko MK, Kato Y. LpMab-23: A Cancer-Specific Monoclonal Antibody Against Human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proofErr w:type="spellStart"/>
      <w:r w:rsidRPr="00B751AA">
        <w:rPr>
          <w:rFonts w:ascii="Book Antiqua" w:hAnsi="Book Antiqua"/>
          <w:i/>
          <w:sz w:val="24"/>
          <w:szCs w:val="24"/>
        </w:rPr>
        <w:t>Monoclon</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Antib</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Immunodiagn</w:t>
      </w:r>
      <w:proofErr w:type="spellEnd"/>
      <w:r w:rsidRPr="00B751AA">
        <w:rPr>
          <w:rFonts w:ascii="Book Antiqua" w:hAnsi="Book Antiqua"/>
          <w:i/>
          <w:sz w:val="24"/>
          <w:szCs w:val="24"/>
        </w:rPr>
        <w:t xml:space="preserve"> </w:t>
      </w:r>
      <w:proofErr w:type="spellStart"/>
      <w:r w:rsidRPr="00B751AA">
        <w:rPr>
          <w:rFonts w:ascii="Book Antiqua" w:hAnsi="Book Antiqua"/>
          <w:i/>
          <w:sz w:val="24"/>
          <w:szCs w:val="24"/>
        </w:rPr>
        <w:t>Immunother</w:t>
      </w:r>
      <w:proofErr w:type="spellEnd"/>
      <w:r w:rsidRPr="00B751AA">
        <w:rPr>
          <w:rFonts w:ascii="Book Antiqua" w:hAnsi="Book Antiqua"/>
          <w:sz w:val="24"/>
          <w:szCs w:val="24"/>
        </w:rPr>
        <w:t xml:space="preserve"> 2017; </w:t>
      </w:r>
      <w:r w:rsidRPr="00B751AA">
        <w:rPr>
          <w:rFonts w:ascii="Book Antiqua" w:hAnsi="Book Antiqua"/>
          <w:b/>
          <w:sz w:val="24"/>
          <w:szCs w:val="24"/>
        </w:rPr>
        <w:t>36</w:t>
      </w:r>
      <w:r w:rsidRPr="00B751AA">
        <w:rPr>
          <w:rFonts w:ascii="Book Antiqua" w:hAnsi="Book Antiqua"/>
          <w:sz w:val="24"/>
          <w:szCs w:val="24"/>
        </w:rPr>
        <w:t>: 72-76 [PMID: 28387591 DOI: 10.1089/mab.2017.0001]</w:t>
      </w:r>
    </w:p>
    <w:p w14:paraId="395F7692"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41 </w:t>
      </w:r>
      <w:proofErr w:type="spellStart"/>
      <w:r w:rsidRPr="00B751AA">
        <w:rPr>
          <w:rFonts w:ascii="Book Antiqua" w:hAnsi="Book Antiqua"/>
          <w:b/>
          <w:sz w:val="24"/>
          <w:szCs w:val="24"/>
        </w:rPr>
        <w:t>Suchanski</w:t>
      </w:r>
      <w:proofErr w:type="spellEnd"/>
      <w:r w:rsidRPr="00B751AA">
        <w:rPr>
          <w:rFonts w:ascii="Book Antiqua" w:hAnsi="Book Antiqua"/>
          <w:b/>
          <w:sz w:val="24"/>
          <w:szCs w:val="24"/>
        </w:rPr>
        <w:t xml:space="preserve"> J</w:t>
      </w:r>
      <w:r w:rsidRPr="00B751AA">
        <w:rPr>
          <w:rFonts w:ascii="Book Antiqua" w:hAnsi="Book Antiqua"/>
          <w:sz w:val="24"/>
          <w:szCs w:val="24"/>
        </w:rPr>
        <w:t xml:space="preserve">, </w:t>
      </w:r>
      <w:proofErr w:type="spellStart"/>
      <w:r w:rsidRPr="00B751AA">
        <w:rPr>
          <w:rFonts w:ascii="Book Antiqua" w:hAnsi="Book Antiqua"/>
          <w:sz w:val="24"/>
          <w:szCs w:val="24"/>
        </w:rPr>
        <w:t>Tejchman</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Zacharski</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Piotrowska</w:t>
      </w:r>
      <w:proofErr w:type="spellEnd"/>
      <w:r w:rsidRPr="00B751AA">
        <w:rPr>
          <w:rFonts w:ascii="Book Antiqua" w:hAnsi="Book Antiqua"/>
          <w:sz w:val="24"/>
          <w:szCs w:val="24"/>
        </w:rPr>
        <w:t xml:space="preserve"> A, </w:t>
      </w:r>
      <w:proofErr w:type="spellStart"/>
      <w:r w:rsidRPr="00B751AA">
        <w:rPr>
          <w:rFonts w:ascii="Book Antiqua" w:hAnsi="Book Antiqua"/>
          <w:sz w:val="24"/>
          <w:szCs w:val="24"/>
        </w:rPr>
        <w:t>Grzegrzolka</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Chodaczek</w:t>
      </w:r>
      <w:proofErr w:type="spellEnd"/>
      <w:r w:rsidRPr="00B751AA">
        <w:rPr>
          <w:rFonts w:ascii="Book Antiqua" w:hAnsi="Book Antiqua"/>
          <w:sz w:val="24"/>
          <w:szCs w:val="24"/>
        </w:rPr>
        <w:t xml:space="preserve"> G, </w:t>
      </w:r>
      <w:proofErr w:type="spellStart"/>
      <w:r w:rsidRPr="00B751AA">
        <w:rPr>
          <w:rFonts w:ascii="Book Antiqua" w:hAnsi="Book Antiqua"/>
          <w:sz w:val="24"/>
          <w:szCs w:val="24"/>
        </w:rPr>
        <w:t>Nowinska</w:t>
      </w:r>
      <w:proofErr w:type="spellEnd"/>
      <w:r w:rsidRPr="00B751AA">
        <w:rPr>
          <w:rFonts w:ascii="Book Antiqua" w:hAnsi="Book Antiqua"/>
          <w:sz w:val="24"/>
          <w:szCs w:val="24"/>
        </w:rPr>
        <w:t xml:space="preserve"> K, </w:t>
      </w:r>
      <w:proofErr w:type="spellStart"/>
      <w:r w:rsidRPr="00B751AA">
        <w:rPr>
          <w:rFonts w:ascii="Book Antiqua" w:hAnsi="Book Antiqua"/>
          <w:sz w:val="24"/>
          <w:szCs w:val="24"/>
        </w:rPr>
        <w:t>Rys</w:t>
      </w:r>
      <w:proofErr w:type="spellEnd"/>
      <w:r w:rsidRPr="00B751AA">
        <w:rPr>
          <w:rFonts w:ascii="Book Antiqua" w:hAnsi="Book Antiqua"/>
          <w:sz w:val="24"/>
          <w:szCs w:val="24"/>
        </w:rPr>
        <w:t xml:space="preserve"> J, </w:t>
      </w:r>
      <w:proofErr w:type="spellStart"/>
      <w:r w:rsidRPr="00B751AA">
        <w:rPr>
          <w:rFonts w:ascii="Book Antiqua" w:hAnsi="Book Antiqua"/>
          <w:sz w:val="24"/>
          <w:szCs w:val="24"/>
        </w:rPr>
        <w:t>Dziegiel</w:t>
      </w:r>
      <w:proofErr w:type="spellEnd"/>
      <w:r w:rsidRPr="00B751AA">
        <w:rPr>
          <w:rFonts w:ascii="Book Antiqua" w:hAnsi="Book Antiqua"/>
          <w:sz w:val="24"/>
          <w:szCs w:val="24"/>
        </w:rPr>
        <w:t xml:space="preserve"> P, </w:t>
      </w:r>
      <w:proofErr w:type="spellStart"/>
      <w:r w:rsidRPr="00B751AA">
        <w:rPr>
          <w:rFonts w:ascii="Book Antiqua" w:hAnsi="Book Antiqua"/>
          <w:sz w:val="24"/>
          <w:szCs w:val="24"/>
        </w:rPr>
        <w:t>Kieda</w:t>
      </w:r>
      <w:proofErr w:type="spellEnd"/>
      <w:r w:rsidRPr="00B751AA">
        <w:rPr>
          <w:rFonts w:ascii="Book Antiqua" w:hAnsi="Book Antiqua"/>
          <w:sz w:val="24"/>
          <w:szCs w:val="24"/>
        </w:rPr>
        <w:t xml:space="preserve"> C, </w:t>
      </w:r>
      <w:proofErr w:type="spellStart"/>
      <w:r w:rsidRPr="00B751AA">
        <w:rPr>
          <w:rFonts w:ascii="Book Antiqua" w:hAnsi="Book Antiqua"/>
          <w:sz w:val="24"/>
          <w:szCs w:val="24"/>
        </w:rPr>
        <w:t>Ugorski</w:t>
      </w:r>
      <w:proofErr w:type="spellEnd"/>
      <w:r w:rsidRPr="00B751AA">
        <w:rPr>
          <w:rFonts w:ascii="Book Antiqua" w:hAnsi="Book Antiqua"/>
          <w:sz w:val="24"/>
          <w:szCs w:val="24"/>
        </w:rPr>
        <w:t xml:space="preserve"> M.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increases the migration of human fibroblasts and affects the endothelial cell network formation: A possible role for cancer-associated fibroblasts in breast cancer progression. </w:t>
      </w:r>
      <w:proofErr w:type="spellStart"/>
      <w:r w:rsidRPr="00B751AA">
        <w:rPr>
          <w:rFonts w:ascii="Book Antiqua" w:hAnsi="Book Antiqua"/>
          <w:i/>
          <w:sz w:val="24"/>
          <w:szCs w:val="24"/>
        </w:rPr>
        <w:t>PLoS</w:t>
      </w:r>
      <w:proofErr w:type="spellEnd"/>
      <w:r w:rsidRPr="00B751AA">
        <w:rPr>
          <w:rFonts w:ascii="Book Antiqua" w:hAnsi="Book Antiqua"/>
          <w:i/>
          <w:sz w:val="24"/>
          <w:szCs w:val="24"/>
        </w:rPr>
        <w:t xml:space="preserve"> One</w:t>
      </w:r>
      <w:r w:rsidRPr="00B751AA">
        <w:rPr>
          <w:rFonts w:ascii="Book Antiqua" w:hAnsi="Book Antiqua"/>
          <w:sz w:val="24"/>
          <w:szCs w:val="24"/>
        </w:rPr>
        <w:t xml:space="preserve"> 2017; </w:t>
      </w:r>
      <w:r w:rsidRPr="00B751AA">
        <w:rPr>
          <w:rFonts w:ascii="Book Antiqua" w:hAnsi="Book Antiqua"/>
          <w:b/>
          <w:sz w:val="24"/>
          <w:szCs w:val="24"/>
        </w:rPr>
        <w:t>12</w:t>
      </w:r>
      <w:r w:rsidRPr="00B751AA">
        <w:rPr>
          <w:rFonts w:ascii="Book Antiqua" w:hAnsi="Book Antiqua"/>
          <w:sz w:val="24"/>
          <w:szCs w:val="24"/>
        </w:rPr>
        <w:t>: e0184970 [PMID: 28938000 DOI: 10.1371/journal.pone.0184970]</w:t>
      </w:r>
    </w:p>
    <w:p w14:paraId="1E5491EA"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42 </w:t>
      </w:r>
      <w:proofErr w:type="spellStart"/>
      <w:r w:rsidRPr="00B751AA">
        <w:rPr>
          <w:rFonts w:ascii="Book Antiqua" w:hAnsi="Book Antiqua"/>
          <w:b/>
          <w:sz w:val="24"/>
          <w:szCs w:val="24"/>
        </w:rPr>
        <w:t>Cueni</w:t>
      </w:r>
      <w:proofErr w:type="spellEnd"/>
      <w:r w:rsidRPr="00B751AA">
        <w:rPr>
          <w:rFonts w:ascii="Book Antiqua" w:hAnsi="Book Antiqua"/>
          <w:b/>
          <w:sz w:val="24"/>
          <w:szCs w:val="24"/>
        </w:rPr>
        <w:t xml:space="preserve"> LN</w:t>
      </w:r>
      <w:r w:rsidRPr="00B751AA">
        <w:rPr>
          <w:rFonts w:ascii="Book Antiqua" w:hAnsi="Book Antiqua"/>
          <w:sz w:val="24"/>
          <w:szCs w:val="24"/>
        </w:rPr>
        <w:t xml:space="preserve">, </w:t>
      </w:r>
      <w:proofErr w:type="spellStart"/>
      <w:r w:rsidRPr="00B751AA">
        <w:rPr>
          <w:rFonts w:ascii="Book Antiqua" w:hAnsi="Book Antiqua"/>
          <w:sz w:val="24"/>
          <w:szCs w:val="24"/>
        </w:rPr>
        <w:t>Hegyi</w:t>
      </w:r>
      <w:proofErr w:type="spellEnd"/>
      <w:r w:rsidRPr="00B751AA">
        <w:rPr>
          <w:rFonts w:ascii="Book Antiqua" w:hAnsi="Book Antiqua"/>
          <w:sz w:val="24"/>
          <w:szCs w:val="24"/>
        </w:rPr>
        <w:t xml:space="preserve"> I, Shin JW, </w:t>
      </w:r>
      <w:proofErr w:type="spellStart"/>
      <w:r w:rsidRPr="00B751AA">
        <w:rPr>
          <w:rFonts w:ascii="Book Antiqua" w:hAnsi="Book Antiqua"/>
          <w:sz w:val="24"/>
          <w:szCs w:val="24"/>
        </w:rPr>
        <w:t>Albinger-Hegyi</w:t>
      </w:r>
      <w:proofErr w:type="spellEnd"/>
      <w:r w:rsidRPr="00B751AA">
        <w:rPr>
          <w:rFonts w:ascii="Book Antiqua" w:hAnsi="Book Antiqua"/>
          <w:sz w:val="24"/>
          <w:szCs w:val="24"/>
        </w:rPr>
        <w:t xml:space="preserve"> A, Gruber S, </w:t>
      </w:r>
      <w:proofErr w:type="spellStart"/>
      <w:r w:rsidRPr="00B751AA">
        <w:rPr>
          <w:rFonts w:ascii="Book Antiqua" w:hAnsi="Book Antiqua"/>
          <w:sz w:val="24"/>
          <w:szCs w:val="24"/>
        </w:rPr>
        <w:t>Kunstfeld</w:t>
      </w:r>
      <w:proofErr w:type="spellEnd"/>
      <w:r w:rsidRPr="00B751AA">
        <w:rPr>
          <w:rFonts w:ascii="Book Antiqua" w:hAnsi="Book Antiqua"/>
          <w:sz w:val="24"/>
          <w:szCs w:val="24"/>
        </w:rPr>
        <w:t xml:space="preserve"> R, </w:t>
      </w:r>
      <w:proofErr w:type="spellStart"/>
      <w:r w:rsidRPr="00B751AA">
        <w:rPr>
          <w:rFonts w:ascii="Book Antiqua" w:hAnsi="Book Antiqua"/>
          <w:sz w:val="24"/>
          <w:szCs w:val="24"/>
        </w:rPr>
        <w:t>Moch</w:t>
      </w:r>
      <w:proofErr w:type="spellEnd"/>
      <w:r w:rsidRPr="00B751AA">
        <w:rPr>
          <w:rFonts w:ascii="Book Antiqua" w:hAnsi="Book Antiqua"/>
          <w:sz w:val="24"/>
          <w:szCs w:val="24"/>
        </w:rPr>
        <w:t xml:space="preserve"> H, </w:t>
      </w:r>
      <w:proofErr w:type="spellStart"/>
      <w:r w:rsidRPr="00B751AA">
        <w:rPr>
          <w:rFonts w:ascii="Book Antiqua" w:hAnsi="Book Antiqua"/>
          <w:sz w:val="24"/>
          <w:szCs w:val="24"/>
        </w:rPr>
        <w:t>Detmar</w:t>
      </w:r>
      <w:proofErr w:type="spellEnd"/>
      <w:r w:rsidRPr="00B751AA">
        <w:rPr>
          <w:rFonts w:ascii="Book Antiqua" w:hAnsi="Book Antiqua"/>
          <w:sz w:val="24"/>
          <w:szCs w:val="24"/>
        </w:rPr>
        <w:t xml:space="preserve"> M. Tumor </w:t>
      </w:r>
      <w:proofErr w:type="spellStart"/>
      <w:r w:rsidRPr="00B751AA">
        <w:rPr>
          <w:rFonts w:ascii="Book Antiqua" w:hAnsi="Book Antiqua"/>
          <w:sz w:val="24"/>
          <w:szCs w:val="24"/>
        </w:rPr>
        <w:t>lymphangiogenesis</w:t>
      </w:r>
      <w:proofErr w:type="spellEnd"/>
      <w:r w:rsidRPr="00B751AA">
        <w:rPr>
          <w:rFonts w:ascii="Book Antiqua" w:hAnsi="Book Antiqua"/>
          <w:sz w:val="24"/>
          <w:szCs w:val="24"/>
        </w:rPr>
        <w:t xml:space="preserve"> and metastasis to lymph nodes induced by cancer cell expression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w:t>
      </w:r>
      <w:r w:rsidRPr="00B751AA">
        <w:rPr>
          <w:rFonts w:ascii="Book Antiqua" w:hAnsi="Book Antiqua"/>
          <w:i/>
          <w:sz w:val="24"/>
          <w:szCs w:val="24"/>
        </w:rPr>
        <w:t xml:space="preserve">Am J </w:t>
      </w:r>
      <w:proofErr w:type="spellStart"/>
      <w:r w:rsidRPr="00B751AA">
        <w:rPr>
          <w:rFonts w:ascii="Book Antiqua" w:hAnsi="Book Antiqua"/>
          <w:i/>
          <w:sz w:val="24"/>
          <w:szCs w:val="24"/>
        </w:rPr>
        <w:t>Pathol</w:t>
      </w:r>
      <w:proofErr w:type="spellEnd"/>
      <w:r w:rsidRPr="00B751AA">
        <w:rPr>
          <w:rFonts w:ascii="Book Antiqua" w:hAnsi="Book Antiqua"/>
          <w:sz w:val="24"/>
          <w:szCs w:val="24"/>
        </w:rPr>
        <w:t xml:space="preserve"> 2010; </w:t>
      </w:r>
      <w:r w:rsidRPr="00B751AA">
        <w:rPr>
          <w:rFonts w:ascii="Book Antiqua" w:hAnsi="Book Antiqua"/>
          <w:b/>
          <w:sz w:val="24"/>
          <w:szCs w:val="24"/>
        </w:rPr>
        <w:t>177</w:t>
      </w:r>
      <w:r w:rsidRPr="00B751AA">
        <w:rPr>
          <w:rFonts w:ascii="Book Antiqua" w:hAnsi="Book Antiqua"/>
          <w:sz w:val="24"/>
          <w:szCs w:val="24"/>
        </w:rPr>
        <w:t>: 1004-1016 [PMID: 20616339 DOI: 10.2353/ajpath.2010.090703]</w:t>
      </w:r>
    </w:p>
    <w:p w14:paraId="2D6E6D70"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43 </w:t>
      </w:r>
      <w:r w:rsidRPr="00B751AA">
        <w:rPr>
          <w:rFonts w:ascii="Book Antiqua" w:hAnsi="Book Antiqua"/>
          <w:b/>
          <w:sz w:val="24"/>
          <w:szCs w:val="24"/>
        </w:rPr>
        <w:t>Huber GF</w:t>
      </w:r>
      <w:r w:rsidRPr="00B751AA">
        <w:rPr>
          <w:rFonts w:ascii="Book Antiqua" w:hAnsi="Book Antiqua"/>
          <w:sz w:val="24"/>
          <w:szCs w:val="24"/>
        </w:rPr>
        <w:t xml:space="preserve">, </w:t>
      </w:r>
      <w:proofErr w:type="spellStart"/>
      <w:r w:rsidRPr="00B751AA">
        <w:rPr>
          <w:rFonts w:ascii="Book Antiqua" w:hAnsi="Book Antiqua"/>
          <w:sz w:val="24"/>
          <w:szCs w:val="24"/>
        </w:rPr>
        <w:t>Fritzsche</w:t>
      </w:r>
      <w:proofErr w:type="spellEnd"/>
      <w:r w:rsidRPr="00B751AA">
        <w:rPr>
          <w:rFonts w:ascii="Book Antiqua" w:hAnsi="Book Antiqua"/>
          <w:sz w:val="24"/>
          <w:szCs w:val="24"/>
        </w:rPr>
        <w:t xml:space="preserve"> FR, </w:t>
      </w:r>
      <w:proofErr w:type="spellStart"/>
      <w:r w:rsidRPr="00B751AA">
        <w:rPr>
          <w:rFonts w:ascii="Book Antiqua" w:hAnsi="Book Antiqua"/>
          <w:sz w:val="24"/>
          <w:szCs w:val="24"/>
        </w:rPr>
        <w:t>Züllig</w:t>
      </w:r>
      <w:proofErr w:type="spellEnd"/>
      <w:r w:rsidRPr="00B751AA">
        <w:rPr>
          <w:rFonts w:ascii="Book Antiqua" w:hAnsi="Book Antiqua"/>
          <w:sz w:val="24"/>
          <w:szCs w:val="24"/>
        </w:rPr>
        <w:t xml:space="preserve"> L, Storz M, Graf N, </w:t>
      </w:r>
      <w:proofErr w:type="spellStart"/>
      <w:r w:rsidRPr="00B751AA">
        <w:rPr>
          <w:rFonts w:ascii="Book Antiqua" w:hAnsi="Book Antiqua"/>
          <w:sz w:val="24"/>
          <w:szCs w:val="24"/>
        </w:rPr>
        <w:t>Haerle</w:t>
      </w:r>
      <w:proofErr w:type="spellEnd"/>
      <w:r w:rsidRPr="00B751AA">
        <w:rPr>
          <w:rFonts w:ascii="Book Antiqua" w:hAnsi="Book Antiqua"/>
          <w:sz w:val="24"/>
          <w:szCs w:val="24"/>
        </w:rPr>
        <w:t xml:space="preserve"> SK, </w:t>
      </w:r>
      <w:proofErr w:type="spellStart"/>
      <w:r w:rsidRPr="00B751AA">
        <w:rPr>
          <w:rFonts w:ascii="Book Antiqua" w:hAnsi="Book Antiqua"/>
          <w:sz w:val="24"/>
          <w:szCs w:val="24"/>
        </w:rPr>
        <w:t>Jochum</w:t>
      </w:r>
      <w:proofErr w:type="spellEnd"/>
      <w:r w:rsidRPr="00B751AA">
        <w:rPr>
          <w:rFonts w:ascii="Book Antiqua" w:hAnsi="Book Antiqua"/>
          <w:sz w:val="24"/>
          <w:szCs w:val="24"/>
        </w:rPr>
        <w:t xml:space="preserve"> W, </w:t>
      </w:r>
      <w:proofErr w:type="spellStart"/>
      <w:r w:rsidRPr="00B751AA">
        <w:rPr>
          <w:rFonts w:ascii="Book Antiqua" w:hAnsi="Book Antiqua"/>
          <w:sz w:val="24"/>
          <w:szCs w:val="24"/>
        </w:rPr>
        <w:t>Stoeckli</w:t>
      </w:r>
      <w:proofErr w:type="spellEnd"/>
      <w:r w:rsidRPr="00B751AA">
        <w:rPr>
          <w:rFonts w:ascii="Book Antiqua" w:hAnsi="Book Antiqua"/>
          <w:sz w:val="24"/>
          <w:szCs w:val="24"/>
        </w:rPr>
        <w:t xml:space="preserve"> SJ, </w:t>
      </w:r>
      <w:proofErr w:type="spellStart"/>
      <w:r w:rsidRPr="00B751AA">
        <w:rPr>
          <w:rFonts w:ascii="Book Antiqua" w:hAnsi="Book Antiqua"/>
          <w:sz w:val="24"/>
          <w:szCs w:val="24"/>
        </w:rPr>
        <w:t>Moch</w:t>
      </w:r>
      <w:proofErr w:type="spellEnd"/>
      <w:r w:rsidRPr="00B751AA">
        <w:rPr>
          <w:rFonts w:ascii="Book Antiqua" w:hAnsi="Book Antiqua"/>
          <w:sz w:val="24"/>
          <w:szCs w:val="24"/>
        </w:rPr>
        <w:t xml:space="preserve"> H.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expression correlates with sentinel lymph node metastasis in early squamous cell carcinomas of the oral cavity and oropharynx. </w:t>
      </w:r>
      <w:r w:rsidRPr="00B751AA">
        <w:rPr>
          <w:rFonts w:ascii="Book Antiqua" w:hAnsi="Book Antiqua"/>
          <w:i/>
          <w:sz w:val="24"/>
          <w:szCs w:val="24"/>
        </w:rPr>
        <w:t>Int J Cancer</w:t>
      </w:r>
      <w:r w:rsidRPr="00B751AA">
        <w:rPr>
          <w:rFonts w:ascii="Book Antiqua" w:hAnsi="Book Antiqua"/>
          <w:sz w:val="24"/>
          <w:szCs w:val="24"/>
        </w:rPr>
        <w:t xml:space="preserve"> 2011; </w:t>
      </w:r>
      <w:r w:rsidRPr="00B751AA">
        <w:rPr>
          <w:rFonts w:ascii="Book Antiqua" w:hAnsi="Book Antiqua"/>
          <w:b/>
          <w:sz w:val="24"/>
          <w:szCs w:val="24"/>
        </w:rPr>
        <w:t>129</w:t>
      </w:r>
      <w:r w:rsidRPr="00B751AA">
        <w:rPr>
          <w:rFonts w:ascii="Book Antiqua" w:hAnsi="Book Antiqua"/>
          <w:sz w:val="24"/>
          <w:szCs w:val="24"/>
        </w:rPr>
        <w:t>: 1404-1409 [PMID: 21105028 DOI: 10.1002/ijc.25795]</w:t>
      </w:r>
    </w:p>
    <w:p w14:paraId="00693AB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44 </w:t>
      </w:r>
      <w:r w:rsidRPr="00B751AA">
        <w:rPr>
          <w:rFonts w:ascii="Book Antiqua" w:hAnsi="Book Antiqua"/>
          <w:b/>
          <w:sz w:val="24"/>
          <w:szCs w:val="24"/>
        </w:rPr>
        <w:t>Tong L</w:t>
      </w:r>
      <w:r w:rsidRPr="00B751AA">
        <w:rPr>
          <w:rFonts w:ascii="Book Antiqua" w:hAnsi="Book Antiqua"/>
          <w:sz w:val="24"/>
          <w:szCs w:val="24"/>
        </w:rPr>
        <w:t xml:space="preserve">, Yuan S, Feng F, Zhang H. Role of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expression in esophageal squamous cell carcinoma: a retrospective study. </w:t>
      </w:r>
      <w:r w:rsidRPr="00B751AA">
        <w:rPr>
          <w:rFonts w:ascii="Book Antiqua" w:hAnsi="Book Antiqua"/>
          <w:i/>
          <w:sz w:val="24"/>
          <w:szCs w:val="24"/>
        </w:rPr>
        <w:t>Dis Esophagus</w:t>
      </w:r>
      <w:r w:rsidRPr="00B751AA">
        <w:rPr>
          <w:rFonts w:ascii="Book Antiqua" w:hAnsi="Book Antiqua"/>
          <w:sz w:val="24"/>
          <w:szCs w:val="24"/>
        </w:rPr>
        <w:t xml:space="preserve"> 2012; </w:t>
      </w:r>
      <w:r w:rsidRPr="00B751AA">
        <w:rPr>
          <w:rFonts w:ascii="Book Antiqua" w:hAnsi="Book Antiqua"/>
          <w:b/>
          <w:sz w:val="24"/>
          <w:szCs w:val="24"/>
        </w:rPr>
        <w:t>25</w:t>
      </w:r>
      <w:r w:rsidRPr="00B751AA">
        <w:rPr>
          <w:rFonts w:ascii="Book Antiqua" w:hAnsi="Book Antiqua"/>
          <w:sz w:val="24"/>
          <w:szCs w:val="24"/>
        </w:rPr>
        <w:t>: 72-80 [PMID: 21895849 DOI: 10.1111/j.1442-2050.2011.01211.x]</w:t>
      </w:r>
    </w:p>
    <w:p w14:paraId="5FFDDD2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45 </w:t>
      </w:r>
      <w:r w:rsidRPr="00B751AA">
        <w:rPr>
          <w:rFonts w:ascii="Book Antiqua" w:hAnsi="Book Antiqua"/>
          <w:b/>
          <w:sz w:val="24"/>
          <w:szCs w:val="24"/>
        </w:rPr>
        <w:t>Khuu C</w:t>
      </w:r>
      <w:r w:rsidRPr="00B751AA">
        <w:rPr>
          <w:rFonts w:ascii="Book Antiqua" w:hAnsi="Book Antiqua"/>
          <w:sz w:val="24"/>
          <w:szCs w:val="24"/>
        </w:rPr>
        <w:t xml:space="preserve">, </w:t>
      </w:r>
      <w:proofErr w:type="spellStart"/>
      <w:r w:rsidRPr="00B751AA">
        <w:rPr>
          <w:rFonts w:ascii="Book Antiqua" w:hAnsi="Book Antiqua"/>
          <w:sz w:val="24"/>
          <w:szCs w:val="24"/>
        </w:rPr>
        <w:t>Sehic</w:t>
      </w:r>
      <w:proofErr w:type="spellEnd"/>
      <w:r w:rsidRPr="00B751AA">
        <w:rPr>
          <w:rFonts w:ascii="Book Antiqua" w:hAnsi="Book Antiqua"/>
          <w:sz w:val="24"/>
          <w:szCs w:val="24"/>
        </w:rPr>
        <w:t xml:space="preserve"> A, Eide L, </w:t>
      </w:r>
      <w:proofErr w:type="spellStart"/>
      <w:r w:rsidRPr="00B751AA">
        <w:rPr>
          <w:rFonts w:ascii="Book Antiqua" w:hAnsi="Book Antiqua"/>
          <w:sz w:val="24"/>
          <w:szCs w:val="24"/>
        </w:rPr>
        <w:t>Osmundsen</w:t>
      </w:r>
      <w:proofErr w:type="spellEnd"/>
      <w:r w:rsidRPr="00B751AA">
        <w:rPr>
          <w:rFonts w:ascii="Book Antiqua" w:hAnsi="Book Antiqua"/>
          <w:sz w:val="24"/>
          <w:szCs w:val="24"/>
        </w:rPr>
        <w:t xml:space="preserve"> H. Anti-proliferative Properties of miR-20b and miR-363 from the miR-106a-363 Cluster on Human Carcinoma Cells. </w:t>
      </w:r>
      <w:proofErr w:type="spellStart"/>
      <w:r w:rsidRPr="00B751AA">
        <w:rPr>
          <w:rFonts w:ascii="Book Antiqua" w:hAnsi="Book Antiqua"/>
          <w:i/>
          <w:sz w:val="24"/>
          <w:szCs w:val="24"/>
        </w:rPr>
        <w:t>Microrna</w:t>
      </w:r>
      <w:proofErr w:type="spellEnd"/>
      <w:r w:rsidRPr="00B751AA">
        <w:rPr>
          <w:rFonts w:ascii="Book Antiqua" w:hAnsi="Book Antiqua"/>
          <w:sz w:val="24"/>
          <w:szCs w:val="24"/>
        </w:rPr>
        <w:t xml:space="preserve"> 2016; </w:t>
      </w:r>
      <w:r w:rsidRPr="00B751AA">
        <w:rPr>
          <w:rFonts w:ascii="Book Antiqua" w:hAnsi="Book Antiqua"/>
          <w:b/>
          <w:sz w:val="24"/>
          <w:szCs w:val="24"/>
        </w:rPr>
        <w:t>5</w:t>
      </w:r>
      <w:r w:rsidRPr="00B751AA">
        <w:rPr>
          <w:rFonts w:ascii="Book Antiqua" w:hAnsi="Book Antiqua"/>
          <w:sz w:val="24"/>
          <w:szCs w:val="24"/>
        </w:rPr>
        <w:t>: 19-35 [PMID: 27001184 DOI: 10.2174/2211536605666160322151813]</w:t>
      </w:r>
    </w:p>
    <w:p w14:paraId="29196813"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46 </w:t>
      </w:r>
      <w:r w:rsidRPr="00B751AA">
        <w:rPr>
          <w:rFonts w:ascii="Book Antiqua" w:hAnsi="Book Antiqua"/>
          <w:b/>
          <w:sz w:val="24"/>
          <w:szCs w:val="24"/>
        </w:rPr>
        <w:t>Chuang WY</w:t>
      </w:r>
      <w:r w:rsidRPr="00B751AA">
        <w:rPr>
          <w:rFonts w:ascii="Book Antiqua" w:hAnsi="Book Antiqua"/>
          <w:sz w:val="24"/>
          <w:szCs w:val="24"/>
        </w:rPr>
        <w:t xml:space="preserve">, Yeh CJ, Chao YK, Liu YH, Chang YS, Tseng CK, Chang HK, Wan YL, Hsueh C. Concordant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expression in cancer-associated fibroblasts and tumor cells is an adverse prognostic factor in esophageal squamous cell carcinoma. </w:t>
      </w:r>
      <w:r w:rsidRPr="00B751AA">
        <w:rPr>
          <w:rFonts w:ascii="Book Antiqua" w:hAnsi="Book Antiqua"/>
          <w:i/>
          <w:sz w:val="24"/>
          <w:szCs w:val="24"/>
        </w:rPr>
        <w:t xml:space="preserve">Int J Clin Exp </w:t>
      </w:r>
      <w:proofErr w:type="spellStart"/>
      <w:r w:rsidRPr="00B751AA">
        <w:rPr>
          <w:rFonts w:ascii="Book Antiqua" w:hAnsi="Book Antiqua"/>
          <w:i/>
          <w:sz w:val="24"/>
          <w:szCs w:val="24"/>
        </w:rPr>
        <w:t>Pathol</w:t>
      </w:r>
      <w:proofErr w:type="spellEnd"/>
      <w:r w:rsidRPr="00B751AA">
        <w:rPr>
          <w:rFonts w:ascii="Book Antiqua" w:hAnsi="Book Antiqua"/>
          <w:sz w:val="24"/>
          <w:szCs w:val="24"/>
        </w:rPr>
        <w:t xml:space="preserve"> 2014; </w:t>
      </w:r>
      <w:r w:rsidRPr="00B751AA">
        <w:rPr>
          <w:rFonts w:ascii="Book Antiqua" w:hAnsi="Book Antiqua"/>
          <w:b/>
          <w:sz w:val="24"/>
          <w:szCs w:val="24"/>
        </w:rPr>
        <w:t>7</w:t>
      </w:r>
      <w:r w:rsidRPr="00B751AA">
        <w:rPr>
          <w:rFonts w:ascii="Book Antiqua" w:hAnsi="Book Antiqua"/>
          <w:sz w:val="24"/>
          <w:szCs w:val="24"/>
        </w:rPr>
        <w:t>: 4847-4856 [PMID: 25197355]</w:t>
      </w:r>
    </w:p>
    <w:p w14:paraId="4EBA7964"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47 </w:t>
      </w:r>
      <w:r w:rsidRPr="00B751AA">
        <w:rPr>
          <w:rFonts w:ascii="Book Antiqua" w:hAnsi="Book Antiqua"/>
          <w:b/>
          <w:sz w:val="24"/>
          <w:szCs w:val="24"/>
        </w:rPr>
        <w:t>Astarita JL</w:t>
      </w:r>
      <w:r w:rsidRPr="00B751AA">
        <w:rPr>
          <w:rFonts w:ascii="Book Antiqua" w:hAnsi="Book Antiqua"/>
          <w:sz w:val="24"/>
          <w:szCs w:val="24"/>
        </w:rPr>
        <w:t xml:space="preserve">, Acton SE, Turley SJ. </w:t>
      </w:r>
      <w:proofErr w:type="spellStart"/>
      <w:r w:rsidRPr="00B751AA">
        <w:rPr>
          <w:rFonts w:ascii="Book Antiqua" w:hAnsi="Book Antiqua"/>
          <w:sz w:val="24"/>
          <w:szCs w:val="24"/>
        </w:rPr>
        <w:t>Podoplanin</w:t>
      </w:r>
      <w:proofErr w:type="spellEnd"/>
      <w:r w:rsidRPr="00B751AA">
        <w:rPr>
          <w:rFonts w:ascii="Book Antiqua" w:hAnsi="Book Antiqua"/>
          <w:sz w:val="24"/>
          <w:szCs w:val="24"/>
        </w:rPr>
        <w:t xml:space="preserve">: emerging functions in development, the immune system, and cancer. </w:t>
      </w:r>
      <w:r w:rsidRPr="00B751AA">
        <w:rPr>
          <w:rFonts w:ascii="Book Antiqua" w:hAnsi="Book Antiqua"/>
          <w:i/>
          <w:sz w:val="24"/>
          <w:szCs w:val="24"/>
        </w:rPr>
        <w:t>Front Immunol</w:t>
      </w:r>
      <w:r w:rsidRPr="00B751AA">
        <w:rPr>
          <w:rFonts w:ascii="Book Antiqua" w:hAnsi="Book Antiqua"/>
          <w:sz w:val="24"/>
          <w:szCs w:val="24"/>
        </w:rPr>
        <w:t xml:space="preserve"> 2012; </w:t>
      </w:r>
      <w:r w:rsidRPr="00B751AA">
        <w:rPr>
          <w:rFonts w:ascii="Book Antiqua" w:hAnsi="Book Antiqua"/>
          <w:b/>
          <w:sz w:val="24"/>
          <w:szCs w:val="24"/>
        </w:rPr>
        <w:t>3</w:t>
      </w:r>
      <w:r w:rsidRPr="00B751AA">
        <w:rPr>
          <w:rFonts w:ascii="Book Antiqua" w:hAnsi="Book Antiqua"/>
          <w:sz w:val="24"/>
          <w:szCs w:val="24"/>
        </w:rPr>
        <w:t>: 283 [PMID: 22988448 DOI: 10.3389/fimmu.2012.00283]</w:t>
      </w:r>
    </w:p>
    <w:p w14:paraId="62CFDF0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t xml:space="preserve">48 </w:t>
      </w:r>
      <w:r w:rsidRPr="00B751AA">
        <w:rPr>
          <w:rFonts w:ascii="Book Antiqua" w:hAnsi="Book Antiqua"/>
          <w:b/>
          <w:sz w:val="24"/>
          <w:szCs w:val="24"/>
        </w:rPr>
        <w:t>Yu J</w:t>
      </w:r>
      <w:r w:rsidRPr="00B751AA">
        <w:rPr>
          <w:rFonts w:ascii="Book Antiqua" w:hAnsi="Book Antiqua"/>
          <w:sz w:val="24"/>
          <w:szCs w:val="24"/>
        </w:rPr>
        <w:t xml:space="preserve">, Li N, Wang X, Ren H, Wang W, Wang S, Song Y, Liu Y, Li Y, Zhou X, Luo A, Liu Z, </w:t>
      </w:r>
      <w:proofErr w:type="spellStart"/>
      <w:r w:rsidRPr="00B751AA">
        <w:rPr>
          <w:rFonts w:ascii="Book Antiqua" w:hAnsi="Book Antiqua"/>
          <w:sz w:val="24"/>
          <w:szCs w:val="24"/>
        </w:rPr>
        <w:t>Jin</w:t>
      </w:r>
      <w:proofErr w:type="spellEnd"/>
      <w:r w:rsidRPr="00B751AA">
        <w:rPr>
          <w:rFonts w:ascii="Book Antiqua" w:hAnsi="Book Antiqua"/>
          <w:sz w:val="24"/>
          <w:szCs w:val="24"/>
        </w:rPr>
        <w:t xml:space="preserve"> J. Circulating serum microRNA-345 correlates with unfavorable pathological response to preoperative chemoradiotherapy in locally advanced rectal cancer. </w:t>
      </w:r>
      <w:proofErr w:type="spellStart"/>
      <w:r w:rsidRPr="00B751AA">
        <w:rPr>
          <w:rFonts w:ascii="Book Antiqua" w:hAnsi="Book Antiqua"/>
          <w:i/>
          <w:sz w:val="24"/>
          <w:szCs w:val="24"/>
        </w:rPr>
        <w:t>Oncotarget</w:t>
      </w:r>
      <w:proofErr w:type="spellEnd"/>
      <w:r w:rsidRPr="00B751AA">
        <w:rPr>
          <w:rFonts w:ascii="Book Antiqua" w:hAnsi="Book Antiqua"/>
          <w:sz w:val="24"/>
          <w:szCs w:val="24"/>
        </w:rPr>
        <w:t xml:space="preserve"> 2016; </w:t>
      </w:r>
      <w:r w:rsidRPr="00B751AA">
        <w:rPr>
          <w:rFonts w:ascii="Book Antiqua" w:hAnsi="Book Antiqua"/>
          <w:b/>
          <w:sz w:val="24"/>
          <w:szCs w:val="24"/>
        </w:rPr>
        <w:t>7</w:t>
      </w:r>
      <w:r w:rsidRPr="00B751AA">
        <w:rPr>
          <w:rFonts w:ascii="Book Antiqua" w:hAnsi="Book Antiqua"/>
          <w:sz w:val="24"/>
          <w:szCs w:val="24"/>
        </w:rPr>
        <w:t>: 64233-64243 [PMID: 27572313 DOI: 10.18632/oncotarget.11649]</w:t>
      </w:r>
    </w:p>
    <w:p w14:paraId="5BABC005" w14:textId="77777777" w:rsidR="00B751AA" w:rsidRPr="00B751AA" w:rsidRDefault="00B751AA" w:rsidP="00B751AA">
      <w:pPr>
        <w:snapToGrid w:val="0"/>
        <w:spacing w:after="0" w:line="360" w:lineRule="auto"/>
        <w:jc w:val="both"/>
        <w:rPr>
          <w:rFonts w:ascii="Book Antiqua" w:hAnsi="Book Antiqua"/>
          <w:sz w:val="24"/>
          <w:szCs w:val="24"/>
        </w:rPr>
      </w:pPr>
      <w:r w:rsidRPr="00B751AA">
        <w:rPr>
          <w:rFonts w:ascii="Book Antiqua" w:hAnsi="Book Antiqua"/>
          <w:sz w:val="24"/>
          <w:szCs w:val="24"/>
        </w:rPr>
        <w:lastRenderedPageBreak/>
        <w:t xml:space="preserve">49 </w:t>
      </w:r>
      <w:r w:rsidRPr="00B751AA">
        <w:rPr>
          <w:rFonts w:ascii="Book Antiqua" w:hAnsi="Book Antiqua"/>
          <w:b/>
          <w:sz w:val="24"/>
          <w:szCs w:val="24"/>
        </w:rPr>
        <w:t>Song B</w:t>
      </w:r>
      <w:r w:rsidRPr="00B751AA">
        <w:rPr>
          <w:rFonts w:ascii="Book Antiqua" w:hAnsi="Book Antiqua"/>
          <w:sz w:val="24"/>
          <w:szCs w:val="24"/>
        </w:rPr>
        <w:t xml:space="preserve">, Yan J, Liu C, Zhou H, Zheng Y. Tumor Suppressor Role of miR-363-3p in Gastric Cancer. </w:t>
      </w:r>
      <w:r w:rsidRPr="00B751AA">
        <w:rPr>
          <w:rFonts w:ascii="Book Antiqua" w:hAnsi="Book Antiqua"/>
          <w:i/>
          <w:sz w:val="24"/>
          <w:szCs w:val="24"/>
        </w:rPr>
        <w:t xml:space="preserve">Med Sci </w:t>
      </w:r>
      <w:proofErr w:type="spellStart"/>
      <w:r w:rsidRPr="00B751AA">
        <w:rPr>
          <w:rFonts w:ascii="Book Antiqua" w:hAnsi="Book Antiqua"/>
          <w:i/>
          <w:sz w:val="24"/>
          <w:szCs w:val="24"/>
        </w:rPr>
        <w:t>Monit</w:t>
      </w:r>
      <w:proofErr w:type="spellEnd"/>
      <w:r w:rsidRPr="00B751AA">
        <w:rPr>
          <w:rFonts w:ascii="Book Antiqua" w:hAnsi="Book Antiqua"/>
          <w:sz w:val="24"/>
          <w:szCs w:val="24"/>
        </w:rPr>
        <w:t xml:space="preserve"> 2015; </w:t>
      </w:r>
      <w:r w:rsidRPr="00B751AA">
        <w:rPr>
          <w:rFonts w:ascii="Book Antiqua" w:hAnsi="Book Antiqua"/>
          <w:b/>
          <w:sz w:val="24"/>
          <w:szCs w:val="24"/>
        </w:rPr>
        <w:t>21</w:t>
      </w:r>
      <w:r w:rsidRPr="00B751AA">
        <w:rPr>
          <w:rFonts w:ascii="Book Antiqua" w:hAnsi="Book Antiqua"/>
          <w:sz w:val="24"/>
          <w:szCs w:val="24"/>
        </w:rPr>
        <w:t>: 4074-4080 [PMID: 26709677 DOI: 10.12659/MSM.896556]</w:t>
      </w:r>
    </w:p>
    <w:p w14:paraId="66F26DA9" w14:textId="77777777" w:rsidR="00BB36AA" w:rsidRPr="00B751AA" w:rsidRDefault="00BB36AA" w:rsidP="00B751AA">
      <w:pPr>
        <w:snapToGrid w:val="0"/>
        <w:spacing w:after="0" w:line="360" w:lineRule="auto"/>
        <w:jc w:val="both"/>
        <w:rPr>
          <w:rFonts w:ascii="Book Antiqua" w:hAnsi="Book Antiqua"/>
          <w:color w:val="000000" w:themeColor="text1"/>
          <w:sz w:val="24"/>
          <w:szCs w:val="24"/>
          <w:lang w:val="fr-FR"/>
        </w:rPr>
      </w:pPr>
      <w:r w:rsidRPr="00B751AA">
        <w:rPr>
          <w:rFonts w:ascii="Book Antiqua" w:hAnsi="Book Antiqua"/>
          <w:color w:val="000000" w:themeColor="text1"/>
          <w:sz w:val="24"/>
          <w:szCs w:val="24"/>
          <w:lang w:val="fr-FR"/>
        </w:rPr>
        <w:br w:type="page"/>
      </w:r>
    </w:p>
    <w:p w14:paraId="7D65D12B" w14:textId="77777777" w:rsidR="00BB36AA" w:rsidRPr="00B751AA" w:rsidRDefault="00BB36AA" w:rsidP="00B751AA">
      <w:pPr>
        <w:adjustRightInd w:val="0"/>
        <w:snapToGrid w:val="0"/>
        <w:spacing w:after="0" w:line="360" w:lineRule="auto"/>
        <w:jc w:val="both"/>
        <w:rPr>
          <w:rFonts w:ascii="Book Antiqua" w:hAnsi="Book Antiqua"/>
          <w:b/>
          <w:sz w:val="24"/>
          <w:szCs w:val="24"/>
        </w:rPr>
      </w:pPr>
      <w:r w:rsidRPr="00B751AA">
        <w:rPr>
          <w:rFonts w:ascii="Book Antiqua" w:hAnsi="Book Antiqua"/>
          <w:b/>
          <w:sz w:val="24"/>
          <w:szCs w:val="24"/>
        </w:rPr>
        <w:lastRenderedPageBreak/>
        <w:t>Footnotes</w:t>
      </w:r>
    </w:p>
    <w:p w14:paraId="46166A96" w14:textId="77777777" w:rsidR="00FE6179" w:rsidRPr="00B751AA" w:rsidRDefault="00BB36AA" w:rsidP="00B751AA">
      <w:pPr>
        <w:adjustRightInd w:val="0"/>
        <w:snapToGrid w:val="0"/>
        <w:spacing w:after="0" w:line="360" w:lineRule="auto"/>
        <w:jc w:val="both"/>
        <w:rPr>
          <w:rFonts w:ascii="Book Antiqua" w:hAnsi="Book Antiqua" w:cs="Arial"/>
          <w:sz w:val="24"/>
          <w:szCs w:val="24"/>
          <w:lang w:val="fr-FR"/>
        </w:rPr>
      </w:pPr>
      <w:r w:rsidRPr="00B751AA">
        <w:rPr>
          <w:rFonts w:ascii="Book Antiqua" w:hAnsi="Book Antiqua"/>
          <w:b/>
          <w:color w:val="000000"/>
          <w:sz w:val="24"/>
          <w:szCs w:val="24"/>
          <w:lang w:val="hu-HU"/>
        </w:rPr>
        <w:t xml:space="preserve">Institutional review board statement: </w:t>
      </w:r>
      <w:r w:rsidRPr="00B751AA">
        <w:rPr>
          <w:rFonts w:ascii="Book Antiqua" w:hAnsi="Book Antiqua" w:cs="Arial"/>
          <w:sz w:val="24"/>
          <w:szCs w:val="24"/>
          <w:lang w:val="fr-FR"/>
        </w:rPr>
        <w:t>The use of human tissue samples and clinical data was approved by the ethics commitee of the University Hospital of Cologne (Germany), all patients provided signed informed consent, and the research was carried out in accordance with the Helsinki Declaration.</w:t>
      </w:r>
    </w:p>
    <w:p w14:paraId="6503E205" w14:textId="77777777" w:rsidR="00BB36AA" w:rsidRPr="00B751AA" w:rsidRDefault="00BB36AA" w:rsidP="00B751AA">
      <w:pPr>
        <w:adjustRightInd w:val="0"/>
        <w:snapToGrid w:val="0"/>
        <w:spacing w:after="0" w:line="360" w:lineRule="auto"/>
        <w:jc w:val="both"/>
        <w:rPr>
          <w:rFonts w:ascii="Book Antiqua" w:hAnsi="Book Antiqua" w:cs="Arial"/>
          <w:sz w:val="24"/>
          <w:szCs w:val="24"/>
          <w:lang w:val="fr-FR"/>
        </w:rPr>
      </w:pPr>
    </w:p>
    <w:p w14:paraId="6102B860" w14:textId="77777777" w:rsidR="00BB36AA" w:rsidRPr="00B751AA" w:rsidRDefault="00BB36AA" w:rsidP="00B751AA">
      <w:pPr>
        <w:adjustRightInd w:val="0"/>
        <w:snapToGrid w:val="0"/>
        <w:spacing w:after="0" w:line="360" w:lineRule="auto"/>
        <w:jc w:val="both"/>
        <w:rPr>
          <w:rFonts w:ascii="Book Antiqua" w:hAnsi="Book Antiqua" w:cs="Arial"/>
          <w:sz w:val="24"/>
          <w:szCs w:val="24"/>
          <w:lang w:val="fr-FR"/>
        </w:rPr>
      </w:pPr>
      <w:r w:rsidRPr="00B751AA">
        <w:rPr>
          <w:rFonts w:ascii="Book Antiqua" w:hAnsi="Book Antiqua" w:cstheme="minorBidi"/>
          <w:b/>
          <w:sz w:val="24"/>
          <w:szCs w:val="24"/>
          <w:lang w:val="hu-HU"/>
        </w:rPr>
        <w:t xml:space="preserve">Conflict-of-interest statement: </w:t>
      </w:r>
      <w:r w:rsidRPr="00B751AA">
        <w:rPr>
          <w:rFonts w:ascii="Book Antiqua" w:hAnsi="Book Antiqua" w:cs="Arial"/>
          <w:sz w:val="24"/>
          <w:szCs w:val="24"/>
          <w:lang w:val="fr-FR"/>
        </w:rPr>
        <w:t>The authors disclose any conflicts of interests.</w:t>
      </w:r>
    </w:p>
    <w:p w14:paraId="40681D8E" w14:textId="77777777" w:rsidR="00BB36AA" w:rsidRPr="00B751AA" w:rsidRDefault="00BB36AA" w:rsidP="00B751AA">
      <w:pPr>
        <w:adjustRightInd w:val="0"/>
        <w:snapToGrid w:val="0"/>
        <w:spacing w:after="0" w:line="360" w:lineRule="auto"/>
        <w:jc w:val="both"/>
        <w:rPr>
          <w:rFonts w:ascii="Book Antiqua" w:hAnsi="Book Antiqua" w:cs="Arial"/>
          <w:sz w:val="24"/>
          <w:szCs w:val="24"/>
          <w:lang w:val="fr-FR"/>
        </w:rPr>
      </w:pPr>
    </w:p>
    <w:p w14:paraId="7542B2E4" w14:textId="77777777" w:rsidR="00BB36AA" w:rsidRPr="00B751AA" w:rsidRDefault="00BB36AA" w:rsidP="00B751AA">
      <w:pPr>
        <w:adjustRightInd w:val="0"/>
        <w:snapToGrid w:val="0"/>
        <w:spacing w:after="0" w:line="360" w:lineRule="auto"/>
        <w:jc w:val="both"/>
        <w:rPr>
          <w:rFonts w:ascii="Book Antiqua" w:hAnsi="Book Antiqua" w:cstheme="minorHAnsi"/>
          <w:sz w:val="24"/>
          <w:szCs w:val="24"/>
        </w:rPr>
      </w:pPr>
      <w:r w:rsidRPr="00B751AA">
        <w:rPr>
          <w:rFonts w:ascii="Book Antiqua" w:hAnsi="Book Antiqua" w:cstheme="minorHAnsi"/>
          <w:b/>
          <w:sz w:val="24"/>
          <w:szCs w:val="24"/>
        </w:rPr>
        <w:t>Data sharing statement</w:t>
      </w:r>
      <w:r w:rsidRPr="00B751AA">
        <w:rPr>
          <w:rFonts w:ascii="Book Antiqua" w:hAnsi="Book Antiqua" w:cstheme="minorHAnsi"/>
          <w:sz w:val="24"/>
          <w:szCs w:val="24"/>
        </w:rPr>
        <w:t>: No additional data are available.</w:t>
      </w:r>
    </w:p>
    <w:p w14:paraId="1AD5BAA9" w14:textId="77777777" w:rsidR="00BB36AA" w:rsidRPr="00B751AA" w:rsidRDefault="00BB36AA" w:rsidP="00B751AA">
      <w:pPr>
        <w:adjustRightInd w:val="0"/>
        <w:snapToGrid w:val="0"/>
        <w:spacing w:after="0" w:line="360" w:lineRule="auto"/>
        <w:jc w:val="both"/>
        <w:rPr>
          <w:rFonts w:ascii="Book Antiqua" w:hAnsi="Book Antiqua" w:cstheme="minorHAnsi"/>
          <w:sz w:val="24"/>
          <w:szCs w:val="24"/>
        </w:rPr>
      </w:pPr>
    </w:p>
    <w:p w14:paraId="1466932E" w14:textId="77777777" w:rsidR="00BB36AA" w:rsidRPr="00B751AA" w:rsidRDefault="00BB36AA" w:rsidP="00B751AA">
      <w:pPr>
        <w:adjustRightInd w:val="0"/>
        <w:snapToGrid w:val="0"/>
        <w:spacing w:after="0" w:line="360" w:lineRule="auto"/>
        <w:jc w:val="both"/>
        <w:rPr>
          <w:rFonts w:ascii="Book Antiqua" w:hAnsi="Book Antiqua"/>
          <w:color w:val="000000"/>
          <w:sz w:val="24"/>
          <w:szCs w:val="24"/>
          <w:lang w:val="hu-HU"/>
        </w:rPr>
      </w:pPr>
      <w:bookmarkStart w:id="7" w:name="OLE_LINK856"/>
      <w:r w:rsidRPr="00B751AA">
        <w:rPr>
          <w:rFonts w:ascii="Book Antiqua" w:hAnsi="Book Antiqua"/>
          <w:b/>
          <w:color w:val="000000"/>
          <w:sz w:val="24"/>
          <w:szCs w:val="24"/>
        </w:rPr>
        <w:t>Open-Access:</w:t>
      </w:r>
      <w:r w:rsidRPr="00B751AA">
        <w:rPr>
          <w:rFonts w:ascii="Book Antiqua" w:hAnsi="Book Antiqua"/>
          <w:color w:val="000000"/>
          <w:sz w:val="24"/>
          <w:szCs w:val="24"/>
        </w:rPr>
        <w:t xml:space="preserve"> This article is an open-access </w:t>
      </w:r>
      <w:r w:rsidRPr="00B751AA">
        <w:rPr>
          <w:rFonts w:ascii="Book Antiqua" w:hAnsi="Book Antiqua"/>
          <w:sz w:val="24"/>
          <w:szCs w:val="24"/>
        </w:rPr>
        <w:t xml:space="preserve">article that was selected </w:t>
      </w:r>
      <w:r w:rsidRPr="00B751A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751AA">
        <w:rPr>
          <w:rFonts w:ascii="Book Antiqua" w:hAnsi="Book Antiqua"/>
          <w:color w:val="000000"/>
          <w:sz w:val="24"/>
          <w:szCs w:val="24"/>
        </w:rPr>
        <w:t>NonCommercial</w:t>
      </w:r>
      <w:proofErr w:type="spellEnd"/>
      <w:r w:rsidRPr="00B751A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28FE83" w14:textId="77777777" w:rsidR="00BB36AA" w:rsidRPr="00B751AA" w:rsidRDefault="00BB36AA" w:rsidP="00B751AA">
      <w:pPr>
        <w:adjustRightInd w:val="0"/>
        <w:snapToGrid w:val="0"/>
        <w:spacing w:after="0" w:line="360" w:lineRule="auto"/>
        <w:jc w:val="both"/>
        <w:rPr>
          <w:rFonts w:ascii="Book Antiqua" w:hAnsi="Book Antiqua"/>
          <w:color w:val="000000"/>
          <w:sz w:val="24"/>
          <w:szCs w:val="24"/>
          <w:lang w:val="hu-HU"/>
        </w:rPr>
      </w:pPr>
    </w:p>
    <w:p w14:paraId="45B8C746" w14:textId="77777777" w:rsidR="00BB36AA" w:rsidRPr="00B751AA" w:rsidRDefault="00BB36AA" w:rsidP="00B751AA">
      <w:pPr>
        <w:adjustRightInd w:val="0"/>
        <w:snapToGrid w:val="0"/>
        <w:spacing w:after="0" w:line="360" w:lineRule="auto"/>
        <w:jc w:val="both"/>
        <w:rPr>
          <w:rFonts w:ascii="Book Antiqua" w:hAnsi="Book Antiqua"/>
          <w:b/>
          <w:bCs/>
          <w:color w:val="000000"/>
          <w:sz w:val="24"/>
          <w:szCs w:val="24"/>
          <w:lang w:eastAsia="zh-CN"/>
        </w:rPr>
      </w:pPr>
      <w:r w:rsidRPr="00B751AA">
        <w:rPr>
          <w:rFonts w:ascii="Book Antiqua" w:hAnsi="Book Antiqua"/>
          <w:b/>
          <w:bCs/>
          <w:color w:val="000000"/>
          <w:sz w:val="24"/>
          <w:szCs w:val="24"/>
          <w:lang w:eastAsia="pl-PL"/>
        </w:rPr>
        <w:t>Manuscript source:</w:t>
      </w:r>
      <w:r w:rsidRPr="00B751AA">
        <w:rPr>
          <w:rFonts w:ascii="Book Antiqua" w:hAnsi="Book Antiqua"/>
          <w:b/>
          <w:bCs/>
          <w:color w:val="000000"/>
          <w:sz w:val="24"/>
          <w:szCs w:val="24"/>
          <w:lang w:eastAsia="zh-CN"/>
        </w:rPr>
        <w:t xml:space="preserve"> </w:t>
      </w:r>
      <w:r w:rsidR="004041F3" w:rsidRPr="004041F3">
        <w:rPr>
          <w:rFonts w:ascii="Book Antiqua" w:hAnsi="Book Antiqua"/>
          <w:bCs/>
          <w:color w:val="000000"/>
          <w:sz w:val="24"/>
          <w:szCs w:val="24"/>
          <w:lang w:eastAsia="pl-PL"/>
        </w:rPr>
        <w:t xml:space="preserve">Invited </w:t>
      </w:r>
      <w:r w:rsidRPr="00B751AA">
        <w:rPr>
          <w:rFonts w:ascii="Book Antiqua" w:hAnsi="Book Antiqua"/>
          <w:bCs/>
          <w:color w:val="000000"/>
          <w:sz w:val="24"/>
          <w:szCs w:val="24"/>
          <w:lang w:eastAsia="pl-PL"/>
        </w:rPr>
        <w:t>manuscript</w:t>
      </w:r>
    </w:p>
    <w:bookmarkEnd w:id="7"/>
    <w:p w14:paraId="5CC1A08B" w14:textId="77777777" w:rsidR="00BB36AA" w:rsidRPr="00B751AA" w:rsidRDefault="00BB36AA" w:rsidP="00B751AA">
      <w:pPr>
        <w:widowControl w:val="0"/>
        <w:adjustRightInd w:val="0"/>
        <w:snapToGrid w:val="0"/>
        <w:spacing w:after="0" w:line="360" w:lineRule="auto"/>
        <w:jc w:val="both"/>
        <w:rPr>
          <w:rFonts w:ascii="Book Antiqua" w:hAnsi="Book Antiqua"/>
          <w:b/>
          <w:kern w:val="2"/>
          <w:sz w:val="24"/>
          <w:szCs w:val="24"/>
          <w:lang w:eastAsia="zh-CN"/>
        </w:rPr>
      </w:pPr>
    </w:p>
    <w:p w14:paraId="0B38E5B7" w14:textId="77777777" w:rsidR="00BB36AA" w:rsidRPr="00B751AA" w:rsidRDefault="00BB36AA" w:rsidP="00B751AA">
      <w:pPr>
        <w:widowControl w:val="0"/>
        <w:adjustRightInd w:val="0"/>
        <w:snapToGrid w:val="0"/>
        <w:spacing w:after="0" w:line="360" w:lineRule="auto"/>
        <w:jc w:val="both"/>
        <w:rPr>
          <w:rFonts w:ascii="Book Antiqua" w:hAnsi="Book Antiqua"/>
          <w:b/>
          <w:kern w:val="2"/>
          <w:sz w:val="24"/>
          <w:szCs w:val="24"/>
          <w:lang w:eastAsia="zh-CN"/>
        </w:rPr>
      </w:pPr>
      <w:r w:rsidRPr="00B751AA">
        <w:rPr>
          <w:rFonts w:ascii="Book Antiqua" w:hAnsi="Book Antiqua"/>
          <w:b/>
          <w:kern w:val="2"/>
          <w:sz w:val="24"/>
          <w:szCs w:val="24"/>
          <w:lang w:eastAsia="zh-CN"/>
        </w:rPr>
        <w:t xml:space="preserve">Peer-review started: </w:t>
      </w:r>
      <w:r w:rsidR="004041F3">
        <w:rPr>
          <w:rFonts w:ascii="Book Antiqua" w:hAnsi="Book Antiqua"/>
          <w:kern w:val="2"/>
          <w:sz w:val="24"/>
          <w:szCs w:val="24"/>
          <w:lang w:eastAsia="zh-CN"/>
        </w:rPr>
        <w:t>December</w:t>
      </w:r>
      <w:r w:rsidRPr="00B751AA">
        <w:rPr>
          <w:rFonts w:ascii="Book Antiqua" w:hAnsi="Book Antiqua"/>
          <w:kern w:val="2"/>
          <w:sz w:val="24"/>
          <w:szCs w:val="24"/>
          <w:lang w:eastAsia="zh-CN"/>
        </w:rPr>
        <w:t xml:space="preserve"> </w:t>
      </w:r>
      <w:r w:rsidR="004041F3">
        <w:rPr>
          <w:rFonts w:ascii="Book Antiqua" w:hAnsi="Book Antiqua"/>
          <w:kern w:val="2"/>
          <w:sz w:val="24"/>
          <w:szCs w:val="24"/>
          <w:lang w:eastAsia="zh-CN"/>
        </w:rPr>
        <w:t>30</w:t>
      </w:r>
      <w:r w:rsidRPr="00B751AA">
        <w:rPr>
          <w:rFonts w:ascii="Book Antiqua" w:hAnsi="Book Antiqua"/>
          <w:kern w:val="2"/>
          <w:sz w:val="24"/>
          <w:szCs w:val="24"/>
          <w:lang w:eastAsia="zh-CN"/>
        </w:rPr>
        <w:t>, 2019</w:t>
      </w:r>
    </w:p>
    <w:p w14:paraId="20D16291" w14:textId="77777777" w:rsidR="00BB36AA" w:rsidRPr="00B751AA" w:rsidRDefault="00BB36AA" w:rsidP="00B751AA">
      <w:pPr>
        <w:widowControl w:val="0"/>
        <w:adjustRightInd w:val="0"/>
        <w:snapToGrid w:val="0"/>
        <w:spacing w:after="0" w:line="360" w:lineRule="auto"/>
        <w:jc w:val="both"/>
        <w:rPr>
          <w:rFonts w:ascii="Book Antiqua" w:hAnsi="Book Antiqua"/>
          <w:b/>
          <w:kern w:val="2"/>
          <w:sz w:val="24"/>
          <w:szCs w:val="24"/>
          <w:lang w:eastAsia="zh-CN"/>
        </w:rPr>
      </w:pPr>
      <w:r w:rsidRPr="00B751AA">
        <w:rPr>
          <w:rFonts w:ascii="Book Antiqua" w:hAnsi="Book Antiqua"/>
          <w:b/>
          <w:kern w:val="2"/>
          <w:sz w:val="24"/>
          <w:szCs w:val="24"/>
          <w:lang w:eastAsia="zh-CN"/>
        </w:rPr>
        <w:t xml:space="preserve">First decision: </w:t>
      </w:r>
      <w:r w:rsidR="004041F3">
        <w:rPr>
          <w:rFonts w:ascii="Book Antiqua" w:hAnsi="Book Antiqua"/>
          <w:kern w:val="2"/>
          <w:sz w:val="24"/>
          <w:szCs w:val="24"/>
          <w:lang w:eastAsia="zh-CN"/>
        </w:rPr>
        <w:t>January</w:t>
      </w:r>
      <w:r w:rsidRPr="00B751AA">
        <w:rPr>
          <w:rFonts w:ascii="Book Antiqua" w:hAnsi="Book Antiqua"/>
          <w:kern w:val="2"/>
          <w:sz w:val="24"/>
          <w:szCs w:val="24"/>
          <w:lang w:eastAsia="zh-CN"/>
        </w:rPr>
        <w:t xml:space="preserve"> </w:t>
      </w:r>
      <w:r w:rsidR="004041F3">
        <w:rPr>
          <w:rFonts w:ascii="Book Antiqua" w:hAnsi="Book Antiqua"/>
          <w:kern w:val="2"/>
          <w:sz w:val="24"/>
          <w:szCs w:val="24"/>
          <w:lang w:eastAsia="zh-CN"/>
        </w:rPr>
        <w:t>19</w:t>
      </w:r>
      <w:r w:rsidRPr="00B751AA">
        <w:rPr>
          <w:rFonts w:ascii="Book Antiqua" w:hAnsi="Book Antiqua"/>
          <w:kern w:val="2"/>
          <w:sz w:val="24"/>
          <w:szCs w:val="24"/>
          <w:lang w:eastAsia="zh-CN"/>
        </w:rPr>
        <w:t>, 20</w:t>
      </w:r>
      <w:r w:rsidR="004041F3">
        <w:rPr>
          <w:rFonts w:ascii="Book Antiqua" w:hAnsi="Book Antiqua"/>
          <w:kern w:val="2"/>
          <w:sz w:val="24"/>
          <w:szCs w:val="24"/>
          <w:lang w:eastAsia="zh-CN"/>
        </w:rPr>
        <w:t>20</w:t>
      </w:r>
    </w:p>
    <w:p w14:paraId="1BBF1A49" w14:textId="77777777" w:rsidR="00BB36AA" w:rsidRPr="00B751AA" w:rsidRDefault="00BB36AA" w:rsidP="00B751AA">
      <w:pPr>
        <w:widowControl w:val="0"/>
        <w:adjustRightInd w:val="0"/>
        <w:snapToGrid w:val="0"/>
        <w:spacing w:after="0" w:line="360" w:lineRule="auto"/>
        <w:jc w:val="both"/>
        <w:rPr>
          <w:rFonts w:ascii="Book Antiqua" w:hAnsi="Book Antiqua"/>
          <w:b/>
          <w:kern w:val="2"/>
          <w:sz w:val="24"/>
          <w:szCs w:val="24"/>
          <w:lang w:eastAsia="zh-CN"/>
        </w:rPr>
      </w:pPr>
      <w:r w:rsidRPr="00B751AA">
        <w:rPr>
          <w:rFonts w:ascii="Book Antiqua" w:hAnsi="Book Antiqua"/>
          <w:b/>
          <w:kern w:val="2"/>
          <w:sz w:val="24"/>
          <w:szCs w:val="24"/>
          <w:lang w:eastAsia="zh-CN"/>
        </w:rPr>
        <w:t>Article in press:</w:t>
      </w:r>
    </w:p>
    <w:p w14:paraId="0D60328C" w14:textId="77777777" w:rsidR="00BB36AA" w:rsidRPr="00B751AA" w:rsidRDefault="00BB36AA" w:rsidP="00B751AA">
      <w:pPr>
        <w:adjustRightInd w:val="0"/>
        <w:snapToGrid w:val="0"/>
        <w:spacing w:after="0" w:line="360" w:lineRule="auto"/>
        <w:jc w:val="both"/>
        <w:rPr>
          <w:rFonts w:ascii="Book Antiqua" w:hAnsi="Book Antiqua" w:cstheme="minorHAnsi"/>
          <w:b/>
          <w:sz w:val="24"/>
          <w:szCs w:val="24"/>
          <w:lang w:val="hu-HU"/>
        </w:rPr>
      </w:pPr>
    </w:p>
    <w:p w14:paraId="3E7FD809" w14:textId="77777777" w:rsidR="00BB36AA" w:rsidRPr="00B751AA" w:rsidRDefault="00BB36AA" w:rsidP="00B751AA">
      <w:pPr>
        <w:widowControl w:val="0"/>
        <w:adjustRightInd w:val="0"/>
        <w:snapToGrid w:val="0"/>
        <w:spacing w:after="0" w:line="360" w:lineRule="auto"/>
        <w:jc w:val="both"/>
        <w:rPr>
          <w:rFonts w:ascii="Book Antiqua" w:eastAsia="微软雅黑" w:hAnsi="Book Antiqua" w:cs="宋体"/>
          <w:sz w:val="24"/>
          <w:szCs w:val="24"/>
          <w:lang w:eastAsia="zh-CN"/>
        </w:rPr>
      </w:pPr>
      <w:r w:rsidRPr="00B751AA">
        <w:rPr>
          <w:rFonts w:ascii="Book Antiqua" w:hAnsi="Book Antiqua" w:cs="宋体"/>
          <w:b/>
          <w:sz w:val="24"/>
          <w:szCs w:val="24"/>
          <w:lang w:eastAsia="zh-CN"/>
        </w:rPr>
        <w:t xml:space="preserve">Specialty type: </w:t>
      </w:r>
      <w:r w:rsidRPr="00B751AA">
        <w:rPr>
          <w:rFonts w:ascii="Book Antiqua" w:eastAsia="微软雅黑" w:hAnsi="Book Antiqua" w:cs="宋体"/>
          <w:sz w:val="24"/>
          <w:szCs w:val="24"/>
          <w:lang w:eastAsia="zh-CN"/>
        </w:rPr>
        <w:t>Gastroenterology and hepatology</w:t>
      </w:r>
    </w:p>
    <w:p w14:paraId="498FAD6E"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b/>
          <w:sz w:val="24"/>
          <w:szCs w:val="24"/>
          <w:lang w:eastAsia="zh-CN"/>
        </w:rPr>
        <w:t xml:space="preserve">Country/Territory of origin: </w:t>
      </w:r>
      <w:r w:rsidR="004041F3" w:rsidRPr="004041F3">
        <w:rPr>
          <w:rFonts w:ascii="Book Antiqua" w:hAnsi="Book Antiqua" w:cs="宋体"/>
          <w:sz w:val="24"/>
          <w:szCs w:val="24"/>
          <w:lang w:eastAsia="zh-CN"/>
        </w:rPr>
        <w:t>Germany</w:t>
      </w:r>
    </w:p>
    <w:p w14:paraId="27FD3ED6" w14:textId="77777777" w:rsidR="00BB36AA" w:rsidRPr="00B751AA" w:rsidRDefault="00BB36AA" w:rsidP="00B751AA">
      <w:pPr>
        <w:widowControl w:val="0"/>
        <w:adjustRightInd w:val="0"/>
        <w:snapToGrid w:val="0"/>
        <w:spacing w:after="0" w:line="360" w:lineRule="auto"/>
        <w:jc w:val="both"/>
        <w:rPr>
          <w:rFonts w:ascii="Book Antiqua" w:hAnsi="Book Antiqua" w:cs="宋体"/>
          <w:b/>
          <w:sz w:val="24"/>
          <w:szCs w:val="24"/>
          <w:lang w:eastAsia="zh-CN"/>
        </w:rPr>
      </w:pPr>
      <w:r w:rsidRPr="00B751AA">
        <w:rPr>
          <w:rFonts w:ascii="Book Antiqua" w:hAnsi="Book Antiqua" w:cs="宋体"/>
          <w:b/>
          <w:sz w:val="24"/>
          <w:szCs w:val="24"/>
          <w:lang w:eastAsia="zh-CN"/>
        </w:rPr>
        <w:t>Peer-review report’s scientific quality classification</w:t>
      </w:r>
    </w:p>
    <w:p w14:paraId="39606478"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sz w:val="24"/>
          <w:szCs w:val="24"/>
          <w:lang w:eastAsia="zh-CN"/>
        </w:rPr>
        <w:t xml:space="preserve">Grade A (Excellent): </w:t>
      </w:r>
      <w:r w:rsidR="004041F3">
        <w:rPr>
          <w:rFonts w:ascii="Book Antiqua" w:hAnsi="Book Antiqua" w:cs="宋体"/>
          <w:sz w:val="24"/>
          <w:szCs w:val="24"/>
          <w:lang w:eastAsia="zh-CN"/>
        </w:rPr>
        <w:t>0</w:t>
      </w:r>
    </w:p>
    <w:p w14:paraId="41FB296F"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sz w:val="24"/>
          <w:szCs w:val="24"/>
          <w:lang w:eastAsia="zh-CN"/>
        </w:rPr>
        <w:t xml:space="preserve">Grade B (Very good): </w:t>
      </w:r>
      <w:r w:rsidR="004041F3">
        <w:rPr>
          <w:rFonts w:ascii="Book Antiqua" w:hAnsi="Book Antiqua" w:cs="宋体"/>
          <w:sz w:val="24"/>
          <w:szCs w:val="24"/>
          <w:lang w:eastAsia="zh-CN"/>
        </w:rPr>
        <w:t>B</w:t>
      </w:r>
    </w:p>
    <w:p w14:paraId="5B7158FF"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sz w:val="24"/>
          <w:szCs w:val="24"/>
          <w:lang w:eastAsia="zh-CN"/>
        </w:rPr>
        <w:t xml:space="preserve">Grade C (Good): </w:t>
      </w:r>
      <w:r w:rsidR="004041F3">
        <w:rPr>
          <w:rFonts w:ascii="Book Antiqua" w:hAnsi="Book Antiqua" w:cs="宋体"/>
          <w:sz w:val="24"/>
          <w:szCs w:val="24"/>
          <w:lang w:eastAsia="zh-CN"/>
        </w:rPr>
        <w:t>0</w:t>
      </w:r>
    </w:p>
    <w:p w14:paraId="26700807" w14:textId="77777777" w:rsidR="00BB36AA" w:rsidRPr="00B751AA" w:rsidRDefault="00BB36AA" w:rsidP="00B751AA">
      <w:pPr>
        <w:widowControl w:val="0"/>
        <w:adjustRightInd w:val="0"/>
        <w:snapToGrid w:val="0"/>
        <w:spacing w:after="0" w:line="360" w:lineRule="auto"/>
        <w:jc w:val="both"/>
        <w:rPr>
          <w:rFonts w:ascii="Book Antiqua" w:hAnsi="Book Antiqua" w:cs="宋体"/>
          <w:sz w:val="24"/>
          <w:szCs w:val="24"/>
          <w:lang w:eastAsia="zh-CN"/>
        </w:rPr>
      </w:pPr>
      <w:r w:rsidRPr="00B751AA">
        <w:rPr>
          <w:rFonts w:ascii="Book Antiqua" w:hAnsi="Book Antiqua" w:cs="宋体"/>
          <w:sz w:val="24"/>
          <w:szCs w:val="24"/>
          <w:lang w:eastAsia="zh-CN"/>
        </w:rPr>
        <w:t xml:space="preserve">Grade D (Fair): </w:t>
      </w:r>
      <w:r w:rsidR="004041F3">
        <w:rPr>
          <w:rFonts w:ascii="Book Antiqua" w:hAnsi="Book Antiqua" w:cs="宋体"/>
          <w:sz w:val="24"/>
          <w:szCs w:val="24"/>
          <w:lang w:eastAsia="zh-CN"/>
        </w:rPr>
        <w:t>D</w:t>
      </w:r>
    </w:p>
    <w:p w14:paraId="32F0C2C5" w14:textId="77777777" w:rsidR="00BB36AA" w:rsidRPr="00B751AA" w:rsidRDefault="00BB36AA" w:rsidP="00B751AA">
      <w:pPr>
        <w:widowControl w:val="0"/>
        <w:adjustRightInd w:val="0"/>
        <w:snapToGrid w:val="0"/>
        <w:spacing w:after="0" w:line="360" w:lineRule="auto"/>
        <w:jc w:val="both"/>
        <w:rPr>
          <w:rFonts w:ascii="Book Antiqua" w:eastAsia="等线" w:hAnsi="Book Antiqua"/>
          <w:kern w:val="2"/>
          <w:sz w:val="24"/>
          <w:szCs w:val="24"/>
          <w:lang w:val="hu-HU" w:eastAsia="zh-CN"/>
        </w:rPr>
      </w:pPr>
      <w:r w:rsidRPr="00B751AA">
        <w:rPr>
          <w:rFonts w:ascii="Book Antiqua" w:hAnsi="Book Antiqua" w:cs="宋体"/>
          <w:sz w:val="24"/>
          <w:szCs w:val="24"/>
          <w:lang w:eastAsia="zh-CN"/>
        </w:rPr>
        <w:lastRenderedPageBreak/>
        <w:t>Grade E (Poor): 0</w:t>
      </w:r>
    </w:p>
    <w:p w14:paraId="596CCB51" w14:textId="77777777" w:rsidR="00BB36AA" w:rsidRPr="00B751AA" w:rsidRDefault="00BB36AA" w:rsidP="00B751AA">
      <w:pPr>
        <w:widowControl w:val="0"/>
        <w:adjustRightInd w:val="0"/>
        <w:snapToGrid w:val="0"/>
        <w:spacing w:after="0" w:line="360" w:lineRule="auto"/>
        <w:jc w:val="both"/>
        <w:rPr>
          <w:rFonts w:ascii="Book Antiqua" w:eastAsia="等线" w:hAnsi="Book Antiqua"/>
          <w:kern w:val="2"/>
          <w:sz w:val="24"/>
          <w:szCs w:val="24"/>
          <w:lang w:eastAsia="zh-CN"/>
        </w:rPr>
      </w:pPr>
    </w:p>
    <w:p w14:paraId="3DC0D4C4" w14:textId="77777777" w:rsidR="00BB36AA" w:rsidRPr="00B751AA" w:rsidRDefault="00BB36AA" w:rsidP="00B751AA">
      <w:pPr>
        <w:widowControl w:val="0"/>
        <w:adjustRightInd w:val="0"/>
        <w:snapToGrid w:val="0"/>
        <w:spacing w:after="0" w:line="360" w:lineRule="auto"/>
        <w:ind w:right="240"/>
        <w:jc w:val="both"/>
        <w:rPr>
          <w:rFonts w:ascii="Book Antiqua" w:hAnsi="Book Antiqua"/>
          <w:b/>
          <w:bCs/>
          <w:color w:val="000000"/>
          <w:kern w:val="2"/>
          <w:sz w:val="24"/>
          <w:szCs w:val="24"/>
          <w:lang w:eastAsia="zh-CN"/>
        </w:rPr>
      </w:pPr>
      <w:bookmarkStart w:id="8" w:name="OLE_LINK139"/>
      <w:bookmarkStart w:id="9" w:name="OLE_LINK140"/>
      <w:r w:rsidRPr="00B751AA">
        <w:rPr>
          <w:rFonts w:ascii="Book Antiqua" w:hAnsi="Book Antiqua"/>
          <w:b/>
          <w:bCs/>
          <w:color w:val="000000"/>
          <w:kern w:val="2"/>
          <w:sz w:val="24"/>
          <w:szCs w:val="24"/>
          <w:lang w:eastAsia="zh-CN"/>
        </w:rPr>
        <w:t>P-Reviewer:</w:t>
      </w:r>
      <w:r w:rsidRPr="00B751AA">
        <w:rPr>
          <w:rFonts w:ascii="Book Antiqua" w:hAnsi="Book Antiqua"/>
          <w:bCs/>
          <w:color w:val="000000"/>
          <w:kern w:val="2"/>
          <w:sz w:val="24"/>
          <w:szCs w:val="24"/>
          <w:lang w:eastAsia="zh-CN"/>
        </w:rPr>
        <w:t xml:space="preserve"> </w:t>
      </w:r>
      <w:r w:rsidR="004041F3" w:rsidRPr="004041F3">
        <w:rPr>
          <w:rFonts w:ascii="Book Antiqua" w:hAnsi="Book Antiqua"/>
          <w:bCs/>
          <w:color w:val="000000"/>
          <w:kern w:val="2"/>
          <w:sz w:val="24"/>
          <w:szCs w:val="24"/>
          <w:lang w:eastAsia="zh-CN"/>
        </w:rPr>
        <w:t>Hashimoto</w:t>
      </w:r>
      <w:r w:rsidR="004041F3">
        <w:rPr>
          <w:rFonts w:ascii="Book Antiqua" w:hAnsi="Book Antiqua"/>
          <w:bCs/>
          <w:color w:val="000000"/>
          <w:kern w:val="2"/>
          <w:sz w:val="24"/>
          <w:szCs w:val="24"/>
          <w:lang w:eastAsia="zh-CN"/>
        </w:rPr>
        <w:t xml:space="preserve"> N, </w:t>
      </w:r>
      <w:proofErr w:type="spellStart"/>
      <w:r w:rsidR="004041F3" w:rsidRPr="004041F3">
        <w:rPr>
          <w:rFonts w:ascii="Book Antiqua" w:hAnsi="Book Antiqua"/>
          <w:bCs/>
          <w:color w:val="000000"/>
          <w:kern w:val="2"/>
          <w:sz w:val="24"/>
          <w:szCs w:val="24"/>
          <w:lang w:eastAsia="zh-CN"/>
        </w:rPr>
        <w:t>Surucu</w:t>
      </w:r>
      <w:proofErr w:type="spellEnd"/>
      <w:r w:rsidR="004041F3">
        <w:rPr>
          <w:rFonts w:ascii="Book Antiqua" w:hAnsi="Book Antiqua"/>
          <w:bCs/>
          <w:color w:val="000000"/>
          <w:kern w:val="2"/>
          <w:sz w:val="24"/>
          <w:szCs w:val="24"/>
          <w:lang w:eastAsia="zh-CN"/>
        </w:rPr>
        <w:t xml:space="preserve"> E</w:t>
      </w:r>
      <w:r w:rsidRPr="00B751AA">
        <w:rPr>
          <w:rFonts w:ascii="Book Antiqua" w:hAnsi="Book Antiqua"/>
          <w:bCs/>
          <w:color w:val="000000"/>
          <w:kern w:val="2"/>
          <w:sz w:val="24"/>
          <w:szCs w:val="24"/>
          <w:lang w:eastAsia="zh-CN"/>
        </w:rPr>
        <w:t xml:space="preserve"> </w:t>
      </w:r>
      <w:r w:rsidRPr="00B751AA">
        <w:rPr>
          <w:rFonts w:ascii="Book Antiqua" w:hAnsi="Book Antiqua"/>
          <w:b/>
          <w:bCs/>
          <w:color w:val="000000"/>
          <w:kern w:val="2"/>
          <w:sz w:val="24"/>
          <w:szCs w:val="24"/>
          <w:lang w:eastAsia="zh-CN"/>
        </w:rPr>
        <w:t>S-Editor:</w:t>
      </w:r>
      <w:r w:rsidRPr="00B751AA">
        <w:rPr>
          <w:rFonts w:ascii="Book Antiqua" w:hAnsi="Book Antiqua"/>
          <w:color w:val="000000"/>
          <w:kern w:val="2"/>
          <w:sz w:val="24"/>
          <w:szCs w:val="24"/>
          <w:lang w:eastAsia="zh-CN"/>
        </w:rPr>
        <w:t xml:space="preserve"> </w:t>
      </w:r>
      <w:r w:rsidRPr="00B751AA">
        <w:rPr>
          <w:rFonts w:ascii="Book Antiqua" w:hAnsi="Book Antiqua"/>
          <w:color w:val="000000"/>
          <w:sz w:val="24"/>
          <w:szCs w:val="24"/>
        </w:rPr>
        <w:t>Dou Y</w:t>
      </w:r>
      <w:r w:rsidRPr="00B751AA">
        <w:rPr>
          <w:rFonts w:ascii="Book Antiqua" w:hAnsi="Book Antiqua"/>
          <w:color w:val="000000"/>
          <w:kern w:val="2"/>
          <w:sz w:val="24"/>
          <w:szCs w:val="24"/>
          <w:lang w:eastAsia="zh-CN"/>
        </w:rPr>
        <w:t xml:space="preserve"> </w:t>
      </w:r>
      <w:r w:rsidRPr="00B751AA">
        <w:rPr>
          <w:rFonts w:ascii="Book Antiqua" w:hAnsi="Book Antiqua"/>
          <w:b/>
          <w:bCs/>
          <w:color w:val="000000"/>
          <w:kern w:val="2"/>
          <w:sz w:val="24"/>
          <w:szCs w:val="24"/>
          <w:lang w:eastAsia="zh-CN"/>
        </w:rPr>
        <w:t>L-Editor:</w:t>
      </w:r>
      <w:r w:rsidRPr="00B751AA">
        <w:rPr>
          <w:rFonts w:ascii="Book Antiqua" w:hAnsi="Book Antiqua"/>
          <w:color w:val="000000"/>
          <w:kern w:val="2"/>
          <w:sz w:val="24"/>
          <w:szCs w:val="24"/>
          <w:lang w:eastAsia="zh-CN"/>
        </w:rPr>
        <w:t xml:space="preserve"> </w:t>
      </w:r>
      <w:r w:rsidRPr="00B751AA">
        <w:rPr>
          <w:rFonts w:ascii="Book Antiqua" w:hAnsi="Book Antiqua"/>
          <w:b/>
          <w:bCs/>
          <w:color w:val="000000"/>
          <w:kern w:val="2"/>
          <w:sz w:val="24"/>
          <w:szCs w:val="24"/>
          <w:lang w:eastAsia="zh-CN"/>
        </w:rPr>
        <w:t>E-Editor:</w:t>
      </w:r>
    </w:p>
    <w:bookmarkEnd w:id="8"/>
    <w:bookmarkEnd w:id="9"/>
    <w:p w14:paraId="29AF4416" w14:textId="77777777" w:rsidR="00BB36AA" w:rsidRPr="00B751AA" w:rsidRDefault="00BB36AA" w:rsidP="00B751AA">
      <w:pPr>
        <w:snapToGrid w:val="0"/>
        <w:spacing w:after="0" w:line="360" w:lineRule="auto"/>
        <w:jc w:val="both"/>
        <w:rPr>
          <w:rFonts w:ascii="Book Antiqua" w:hAnsi="Book Antiqua"/>
          <w:color w:val="000000"/>
          <w:kern w:val="2"/>
          <w:sz w:val="24"/>
          <w:szCs w:val="24"/>
          <w:lang w:eastAsia="zh-CN"/>
        </w:rPr>
      </w:pPr>
      <w:r w:rsidRPr="00B751AA">
        <w:rPr>
          <w:rFonts w:ascii="Book Antiqua" w:hAnsi="Book Antiqua"/>
          <w:color w:val="000000"/>
          <w:kern w:val="2"/>
          <w:sz w:val="24"/>
          <w:szCs w:val="24"/>
          <w:lang w:eastAsia="zh-CN"/>
        </w:rPr>
        <w:br w:type="page"/>
      </w:r>
    </w:p>
    <w:p w14:paraId="43D3D483" w14:textId="77777777" w:rsidR="00B751AA" w:rsidRPr="00B751AA" w:rsidRDefault="00B751AA" w:rsidP="00B751AA">
      <w:pPr>
        <w:adjustRightInd w:val="0"/>
        <w:snapToGrid w:val="0"/>
        <w:spacing w:after="0" w:line="360" w:lineRule="auto"/>
        <w:jc w:val="both"/>
        <w:rPr>
          <w:rFonts w:ascii="Book Antiqua" w:hAnsi="Book Antiqua"/>
          <w:b/>
          <w:sz w:val="24"/>
          <w:szCs w:val="24"/>
          <w:lang w:eastAsia="zh-CN"/>
        </w:rPr>
      </w:pPr>
      <w:r w:rsidRPr="00B751AA">
        <w:rPr>
          <w:rFonts w:ascii="Book Antiqua" w:hAnsi="Book Antiqua"/>
          <w:b/>
          <w:sz w:val="24"/>
          <w:szCs w:val="24"/>
        </w:rPr>
        <w:lastRenderedPageBreak/>
        <w:t>Figure Legends</w:t>
      </w:r>
    </w:p>
    <w:p w14:paraId="308C7B3C"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noProof/>
          <w:sz w:val="24"/>
          <w:szCs w:val="24"/>
          <w:lang w:eastAsia="zh-CN"/>
        </w:rPr>
        <w:drawing>
          <wp:inline distT="0" distB="0" distL="0" distR="0" wp14:anchorId="20634C22" wp14:editId="1C6C81C1">
            <wp:extent cx="4865757" cy="3641697"/>
            <wp:effectExtent l="0" t="0" r="0" b="0"/>
            <wp:docPr id="1" name="图片 1"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72928" cy="3647064"/>
                    </a:xfrm>
                    <a:prstGeom prst="rect">
                      <a:avLst/>
                    </a:prstGeom>
                  </pic:spPr>
                </pic:pic>
              </a:graphicData>
            </a:graphic>
          </wp:inline>
        </w:drawing>
      </w:r>
    </w:p>
    <w:p w14:paraId="186077E1"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bCs/>
          <w:sz w:val="24"/>
          <w:szCs w:val="24"/>
          <w:lang w:val="en-GB"/>
        </w:rPr>
        <w:t>Figure 1</w:t>
      </w:r>
      <w:r w:rsidRPr="00B751AA">
        <w:rPr>
          <w:rFonts w:ascii="Book Antiqua" w:hAnsi="Book Antiqua" w:cs="Arial"/>
          <w:b/>
          <w:sz w:val="24"/>
          <w:szCs w:val="24"/>
          <w:lang w:val="en-GB"/>
        </w:rPr>
        <w:t xml:space="preserve"> </w:t>
      </w:r>
      <w:proofErr w:type="spellStart"/>
      <w:r w:rsidRPr="00B751AA">
        <w:rPr>
          <w:rFonts w:ascii="Book Antiqua" w:hAnsi="Book Antiqua" w:cs="Arial"/>
          <w:b/>
          <w:bCs/>
          <w:sz w:val="24"/>
          <w:szCs w:val="24"/>
          <w:lang w:val="en-GB"/>
        </w:rPr>
        <w:t>Podoplanin</w:t>
      </w:r>
      <w:proofErr w:type="spellEnd"/>
      <w:r w:rsidRPr="00B751AA">
        <w:rPr>
          <w:rFonts w:ascii="Book Antiqua" w:hAnsi="Book Antiqua" w:cs="Arial"/>
          <w:b/>
          <w:bCs/>
          <w:sz w:val="24"/>
          <w:szCs w:val="24"/>
          <w:lang w:val="en-GB"/>
        </w:rPr>
        <w:t xml:space="preserve"> expression and prognosis of squamous cell carcinoma of the </w:t>
      </w:r>
      <w:proofErr w:type="spellStart"/>
      <w:r w:rsidRPr="00B751AA">
        <w:rPr>
          <w:rFonts w:ascii="Book Antiqua" w:hAnsi="Book Antiqua" w:cs="Arial"/>
          <w:b/>
          <w:bCs/>
          <w:sz w:val="24"/>
          <w:szCs w:val="24"/>
          <w:lang w:val="en-GB"/>
        </w:rPr>
        <w:t>esophagus</w:t>
      </w:r>
      <w:proofErr w:type="spellEnd"/>
      <w:r w:rsidRPr="00B751AA">
        <w:rPr>
          <w:rFonts w:ascii="Book Antiqua" w:hAnsi="Book Antiqua" w:cs="Arial"/>
          <w:b/>
          <w:bCs/>
          <w:sz w:val="24"/>
          <w:szCs w:val="24"/>
          <w:lang w:val="en-GB"/>
        </w:rPr>
        <w:t xml:space="preserve"> patients. </w:t>
      </w:r>
      <w:proofErr w:type="spellStart"/>
      <w:r w:rsidRPr="00B751AA">
        <w:rPr>
          <w:rFonts w:ascii="Book Antiqua" w:hAnsi="Book Antiqua" w:cs="Arial"/>
          <w:bCs/>
          <w:sz w:val="24"/>
          <w:szCs w:val="24"/>
          <w:lang w:val="en-GB"/>
        </w:rPr>
        <w:t>Podoplanin</w:t>
      </w:r>
      <w:proofErr w:type="spellEnd"/>
      <w:r w:rsidRPr="00B751AA">
        <w:rPr>
          <w:rFonts w:ascii="Book Antiqua" w:hAnsi="Book Antiqua" w:cs="Arial"/>
          <w:bCs/>
          <w:sz w:val="24"/>
          <w:szCs w:val="24"/>
          <w:lang w:val="en-GB"/>
        </w:rPr>
        <w:t xml:space="preserve"> expression in resected specimen of non-</w:t>
      </w:r>
      <w:proofErr w:type="spellStart"/>
      <w:r w:rsidRPr="00B751AA">
        <w:rPr>
          <w:rFonts w:ascii="Book Antiqua" w:hAnsi="Book Antiqua" w:cs="Arial"/>
          <w:bCs/>
          <w:sz w:val="24"/>
          <w:szCs w:val="24"/>
          <w:lang w:val="en-GB"/>
        </w:rPr>
        <w:t>pretreated</w:t>
      </w:r>
      <w:proofErr w:type="spellEnd"/>
      <w:r w:rsidRPr="00B751AA">
        <w:rPr>
          <w:rFonts w:ascii="Book Antiqua" w:hAnsi="Book Antiqua" w:cs="Arial"/>
          <w:bCs/>
          <w:sz w:val="24"/>
          <w:szCs w:val="24"/>
          <w:lang w:val="en-GB"/>
        </w:rPr>
        <w:t xml:space="preserve"> squamous cell carcinoma of the </w:t>
      </w:r>
      <w:proofErr w:type="spellStart"/>
      <w:r w:rsidRPr="00B751AA">
        <w:rPr>
          <w:rFonts w:ascii="Book Antiqua" w:hAnsi="Book Antiqua" w:cs="Arial"/>
          <w:bCs/>
          <w:sz w:val="24"/>
          <w:szCs w:val="24"/>
          <w:lang w:val="en-GB"/>
        </w:rPr>
        <w:t>esophagus</w:t>
      </w:r>
      <w:proofErr w:type="spellEnd"/>
      <w:r w:rsidRPr="00B751AA">
        <w:rPr>
          <w:rFonts w:ascii="Book Antiqua" w:hAnsi="Book Antiqua" w:cs="Arial"/>
          <w:bCs/>
          <w:sz w:val="24"/>
          <w:szCs w:val="24"/>
          <w:lang w:val="en-GB"/>
        </w:rPr>
        <w:t xml:space="preserve"> patients.</w:t>
      </w:r>
    </w:p>
    <w:p w14:paraId="47E3A65D"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sz w:val="24"/>
          <w:szCs w:val="24"/>
          <w:lang w:val="en-GB"/>
        </w:rPr>
        <w:br w:type="page"/>
      </w:r>
    </w:p>
    <w:p w14:paraId="03721D66" w14:textId="77777777" w:rsidR="00B751AA" w:rsidRPr="00B751AA" w:rsidRDefault="00BD6666" w:rsidP="00B751AA">
      <w:pPr>
        <w:spacing w:after="0" w:line="360" w:lineRule="auto"/>
        <w:jc w:val="both"/>
        <w:rPr>
          <w:rFonts w:ascii="Book Antiqua" w:hAnsi="Book Antiqua" w:cs="Arial"/>
          <w:b/>
          <w:sz w:val="24"/>
          <w:szCs w:val="24"/>
          <w:lang w:val="en-GB"/>
        </w:rPr>
      </w:pPr>
      <w:r>
        <w:rPr>
          <w:noProof/>
          <w:lang w:eastAsia="zh-CN"/>
        </w:rPr>
        <w:lastRenderedPageBreak/>
        <w:drawing>
          <wp:inline distT="0" distB="0" distL="0" distR="0" wp14:anchorId="09BA94F2" wp14:editId="55F0B47F">
            <wp:extent cx="5270500" cy="288163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2881630"/>
                    </a:xfrm>
                    <a:prstGeom prst="rect">
                      <a:avLst/>
                    </a:prstGeom>
                  </pic:spPr>
                </pic:pic>
              </a:graphicData>
            </a:graphic>
          </wp:inline>
        </w:drawing>
      </w:r>
    </w:p>
    <w:p w14:paraId="4BDE7CD7" w14:textId="77777777" w:rsidR="00B751AA" w:rsidRPr="00B751AA" w:rsidRDefault="00B751AA" w:rsidP="00B751AA">
      <w:pPr>
        <w:spacing w:after="0" w:line="360" w:lineRule="auto"/>
        <w:jc w:val="both"/>
        <w:rPr>
          <w:rFonts w:ascii="Book Antiqua" w:hAnsi="Book Antiqua" w:cs="Arial"/>
          <w:sz w:val="24"/>
          <w:szCs w:val="24"/>
          <w:lang w:val="en-GB"/>
        </w:rPr>
      </w:pPr>
      <w:r w:rsidRPr="00B751AA">
        <w:rPr>
          <w:rFonts w:ascii="Book Antiqua" w:hAnsi="Book Antiqua" w:cs="Arial"/>
          <w:b/>
          <w:bCs/>
          <w:sz w:val="24"/>
          <w:szCs w:val="24"/>
          <w:lang w:val="en-GB"/>
        </w:rPr>
        <w:t xml:space="preserve">Figure 2 </w:t>
      </w:r>
      <w:proofErr w:type="spellStart"/>
      <w:r w:rsidRPr="00B751AA">
        <w:rPr>
          <w:rFonts w:ascii="Book Antiqua" w:hAnsi="Book Antiqua" w:cs="Arial"/>
          <w:b/>
          <w:bCs/>
          <w:sz w:val="24"/>
          <w:szCs w:val="24"/>
          <w:lang w:val="en-GB"/>
        </w:rPr>
        <w:t>Podoplanin</w:t>
      </w:r>
      <w:proofErr w:type="spellEnd"/>
      <w:r w:rsidRPr="00B751AA">
        <w:rPr>
          <w:rFonts w:ascii="Book Antiqua" w:hAnsi="Book Antiqua" w:cs="Arial"/>
          <w:b/>
          <w:bCs/>
          <w:sz w:val="24"/>
          <w:szCs w:val="24"/>
          <w:lang w:val="en-GB"/>
        </w:rPr>
        <w:t xml:space="preserve"> expression pre- and post-neoadjuvant treatment. </w:t>
      </w:r>
      <w:r w:rsidRPr="00B751AA">
        <w:rPr>
          <w:rFonts w:ascii="Book Antiqua" w:hAnsi="Book Antiqua" w:cs="Arial"/>
          <w:bCs/>
          <w:sz w:val="24"/>
          <w:szCs w:val="24"/>
          <w:lang w:val="en-GB"/>
        </w:rPr>
        <w:t>A</w:t>
      </w:r>
      <w:r w:rsidR="00871B4E">
        <w:rPr>
          <w:rFonts w:ascii="Book Antiqua" w:hAnsi="Book Antiqua" w:cs="Arial"/>
          <w:bCs/>
          <w:sz w:val="24"/>
          <w:szCs w:val="24"/>
          <w:lang w:val="en-GB"/>
        </w:rPr>
        <w:t xml:space="preserve"> and D</w:t>
      </w:r>
      <w:r w:rsidRPr="00B751AA">
        <w:rPr>
          <w:rFonts w:ascii="Book Antiqua" w:hAnsi="Book Antiqua" w:cs="Arial"/>
          <w:bCs/>
          <w:sz w:val="24"/>
          <w:szCs w:val="24"/>
          <w:lang w:val="en-GB"/>
        </w:rPr>
        <w:t xml:space="preserve">: Pre-treatment biopsies of two patients with </w:t>
      </w:r>
      <w:proofErr w:type="spellStart"/>
      <w:r w:rsidRPr="00B751AA">
        <w:rPr>
          <w:rFonts w:ascii="Book Antiqua" w:hAnsi="Book Antiqua" w:cs="Arial"/>
          <w:bCs/>
          <w:sz w:val="24"/>
          <w:szCs w:val="24"/>
          <w:lang w:val="en-GB"/>
        </w:rPr>
        <w:t>podoplanin</w:t>
      </w:r>
      <w:proofErr w:type="spellEnd"/>
      <w:r w:rsidRPr="00B751AA">
        <w:rPr>
          <w:rFonts w:ascii="Book Antiqua" w:hAnsi="Book Antiqua" w:cs="Arial"/>
          <w:bCs/>
          <w:sz w:val="24"/>
          <w:szCs w:val="24"/>
          <w:lang w:val="en-GB"/>
        </w:rPr>
        <w:t xml:space="preserve"> expression of scores: 3 (</w:t>
      </w:r>
      <w:r w:rsidR="00871B4E">
        <w:rPr>
          <w:rFonts w:ascii="Book Antiqua" w:hAnsi="Book Antiqua" w:cs="Arial" w:hint="eastAsia"/>
          <w:bCs/>
          <w:sz w:val="24"/>
          <w:szCs w:val="24"/>
          <w:lang w:val="en-GB" w:eastAsia="zh-CN"/>
        </w:rPr>
        <w:t>A</w:t>
      </w:r>
      <w:r w:rsidRPr="00B751AA">
        <w:rPr>
          <w:rFonts w:ascii="Book Antiqua" w:hAnsi="Book Antiqua" w:cs="Arial"/>
          <w:bCs/>
          <w:sz w:val="24"/>
          <w:szCs w:val="24"/>
          <w:lang w:val="en-GB"/>
        </w:rPr>
        <w:t>) and 2 (</w:t>
      </w:r>
      <w:r w:rsidR="00871B4E">
        <w:rPr>
          <w:rFonts w:ascii="Book Antiqua" w:hAnsi="Book Antiqua" w:cs="Arial" w:hint="eastAsia"/>
          <w:bCs/>
          <w:sz w:val="24"/>
          <w:szCs w:val="24"/>
          <w:lang w:val="en-GB" w:eastAsia="zh-CN"/>
        </w:rPr>
        <w:t>D</w:t>
      </w:r>
      <w:r w:rsidRPr="00B751AA">
        <w:rPr>
          <w:rFonts w:ascii="Book Antiqua" w:hAnsi="Book Antiqua" w:cs="Arial"/>
          <w:bCs/>
          <w:sz w:val="24"/>
          <w:szCs w:val="24"/>
          <w:lang w:val="en-GB"/>
        </w:rPr>
        <w:t>); B</w:t>
      </w:r>
      <w:r w:rsidR="00871B4E">
        <w:rPr>
          <w:rFonts w:ascii="Book Antiqua" w:hAnsi="Book Antiqua" w:cs="Arial"/>
          <w:bCs/>
          <w:sz w:val="24"/>
          <w:szCs w:val="24"/>
          <w:lang w:val="en-GB"/>
        </w:rPr>
        <w:t xml:space="preserve"> and E</w:t>
      </w:r>
      <w:r w:rsidRPr="00B751AA">
        <w:rPr>
          <w:rFonts w:ascii="Book Antiqua" w:hAnsi="Book Antiqua" w:cs="Arial"/>
          <w:bCs/>
          <w:sz w:val="24"/>
          <w:szCs w:val="24"/>
          <w:lang w:val="en-GB"/>
        </w:rPr>
        <w:t xml:space="preserve">: Matching resection specimen of the same </w:t>
      </w:r>
      <w:r w:rsidR="00B7773D" w:rsidRPr="00B751AA">
        <w:rPr>
          <w:rFonts w:ascii="Book Antiqua" w:hAnsi="Book Antiqua" w:cs="Arial"/>
          <w:sz w:val="24"/>
          <w:szCs w:val="24"/>
          <w:lang w:val="en-GB"/>
        </w:rPr>
        <w:t xml:space="preserve">squamous cell carcinoma of the </w:t>
      </w:r>
      <w:proofErr w:type="spellStart"/>
      <w:r w:rsidR="00B7773D" w:rsidRPr="00B751AA">
        <w:rPr>
          <w:rFonts w:ascii="Book Antiqua" w:hAnsi="Book Antiqua" w:cs="Arial"/>
          <w:sz w:val="24"/>
          <w:szCs w:val="24"/>
          <w:lang w:val="en-GB"/>
        </w:rPr>
        <w:t>esophagus</w:t>
      </w:r>
      <w:proofErr w:type="spellEnd"/>
      <w:r w:rsidR="00B7773D">
        <w:rPr>
          <w:rFonts w:ascii="Book Antiqua" w:hAnsi="Book Antiqua" w:cs="Arial"/>
          <w:sz w:val="24"/>
          <w:szCs w:val="24"/>
          <w:lang w:val="en-GB"/>
        </w:rPr>
        <w:t xml:space="preserve"> (ESCC)</w:t>
      </w:r>
      <w:r w:rsidR="00B7773D" w:rsidRPr="00B751AA">
        <w:rPr>
          <w:rFonts w:ascii="Book Antiqua" w:hAnsi="Book Antiqua" w:cs="Arial"/>
          <w:bCs/>
          <w:sz w:val="24"/>
          <w:szCs w:val="24"/>
          <w:lang w:val="en-GB"/>
        </w:rPr>
        <w:t xml:space="preserve"> </w:t>
      </w:r>
      <w:r w:rsidRPr="00B751AA">
        <w:rPr>
          <w:rFonts w:ascii="Book Antiqua" w:hAnsi="Book Antiqua" w:cs="Arial"/>
          <w:bCs/>
          <w:sz w:val="24"/>
          <w:szCs w:val="24"/>
          <w:lang w:val="en-GB"/>
        </w:rPr>
        <w:t>patients after chemoradiation, Scores: 1 (</w:t>
      </w:r>
      <w:r w:rsidR="00871B4E">
        <w:rPr>
          <w:rFonts w:ascii="Book Antiqua" w:hAnsi="Book Antiqua" w:cs="Arial"/>
          <w:bCs/>
          <w:sz w:val="24"/>
          <w:szCs w:val="24"/>
          <w:lang w:val="en-GB"/>
        </w:rPr>
        <w:t>B</w:t>
      </w:r>
      <w:r w:rsidRPr="00B751AA">
        <w:rPr>
          <w:rFonts w:ascii="Book Antiqua" w:hAnsi="Book Antiqua" w:cs="Arial"/>
          <w:bCs/>
          <w:sz w:val="24"/>
          <w:szCs w:val="24"/>
          <w:lang w:val="en-GB"/>
        </w:rPr>
        <w:t>), 2 (</w:t>
      </w:r>
      <w:r w:rsidR="00871B4E">
        <w:rPr>
          <w:rFonts w:ascii="Book Antiqua" w:hAnsi="Book Antiqua" w:cs="Arial"/>
          <w:bCs/>
          <w:sz w:val="24"/>
          <w:szCs w:val="24"/>
          <w:lang w:val="en-GB"/>
        </w:rPr>
        <w:t>E</w:t>
      </w:r>
      <w:r w:rsidRPr="00B751AA">
        <w:rPr>
          <w:rFonts w:ascii="Book Antiqua" w:hAnsi="Book Antiqua" w:cs="Arial"/>
          <w:bCs/>
          <w:sz w:val="24"/>
          <w:szCs w:val="24"/>
          <w:lang w:val="en-GB"/>
        </w:rPr>
        <w:t>); C</w:t>
      </w:r>
      <w:r w:rsidR="00871B4E">
        <w:rPr>
          <w:rFonts w:ascii="Book Antiqua" w:hAnsi="Book Antiqua" w:cs="Arial"/>
          <w:bCs/>
          <w:sz w:val="24"/>
          <w:szCs w:val="24"/>
          <w:lang w:val="en-GB"/>
        </w:rPr>
        <w:t xml:space="preserve"> and F</w:t>
      </w:r>
      <w:r w:rsidRPr="00B751AA">
        <w:rPr>
          <w:rFonts w:ascii="Book Antiqua" w:hAnsi="Book Antiqua" w:cs="Arial"/>
          <w:bCs/>
          <w:sz w:val="24"/>
          <w:szCs w:val="24"/>
          <w:lang w:val="en-GB"/>
        </w:rPr>
        <w:t>: Resection specimen of two ESCC patients without neoadjuvant treatment, scores: 2 (</w:t>
      </w:r>
      <w:r w:rsidR="00871B4E">
        <w:rPr>
          <w:rFonts w:ascii="Book Antiqua" w:hAnsi="Book Antiqua" w:cs="Arial"/>
          <w:bCs/>
          <w:sz w:val="24"/>
          <w:szCs w:val="24"/>
          <w:lang w:val="en-GB"/>
        </w:rPr>
        <w:t>C</w:t>
      </w:r>
      <w:r w:rsidRPr="00B751AA">
        <w:rPr>
          <w:rFonts w:ascii="Book Antiqua" w:hAnsi="Book Antiqua" w:cs="Arial"/>
          <w:bCs/>
          <w:sz w:val="24"/>
          <w:szCs w:val="24"/>
          <w:lang w:val="en-GB"/>
        </w:rPr>
        <w:t>), 3 (</w:t>
      </w:r>
      <w:r w:rsidR="00871B4E">
        <w:rPr>
          <w:rFonts w:ascii="Book Antiqua" w:hAnsi="Book Antiqua" w:cs="Arial"/>
          <w:bCs/>
          <w:sz w:val="24"/>
          <w:szCs w:val="24"/>
          <w:lang w:val="en-GB"/>
        </w:rPr>
        <w:t>F</w:t>
      </w:r>
      <w:r w:rsidRPr="00B751AA">
        <w:rPr>
          <w:rFonts w:ascii="Book Antiqua" w:hAnsi="Book Antiqua" w:cs="Arial"/>
          <w:bCs/>
          <w:sz w:val="24"/>
          <w:szCs w:val="24"/>
          <w:lang w:val="en-GB"/>
        </w:rPr>
        <w:t xml:space="preserve">), at T-category 3; 40 </w:t>
      </w:r>
      <w:r>
        <w:rPr>
          <w:rFonts w:ascii="Book Antiqua" w:hAnsi="Book Antiqua" w:cs="Arial"/>
          <w:bCs/>
          <w:sz w:val="24"/>
          <w:szCs w:val="24"/>
          <w:lang w:val="en-GB"/>
        </w:rPr>
        <w:t>×</w:t>
      </w:r>
      <w:r w:rsidRPr="00B751AA">
        <w:rPr>
          <w:rFonts w:ascii="Book Antiqua" w:hAnsi="Book Antiqua" w:cs="Arial"/>
          <w:bCs/>
          <w:sz w:val="24"/>
          <w:szCs w:val="24"/>
          <w:lang w:val="en-GB"/>
        </w:rPr>
        <w:t xml:space="preserve">. Score 1: 0-5% </w:t>
      </w:r>
      <w:proofErr w:type="spellStart"/>
      <w:r w:rsidRPr="00B751AA">
        <w:rPr>
          <w:rFonts w:ascii="Book Antiqua" w:hAnsi="Book Antiqua" w:cs="Arial"/>
          <w:bCs/>
          <w:sz w:val="24"/>
          <w:szCs w:val="24"/>
          <w:lang w:val="en-GB"/>
        </w:rPr>
        <w:t>tumor</w:t>
      </w:r>
      <w:proofErr w:type="spellEnd"/>
      <w:r w:rsidRPr="00B751AA">
        <w:rPr>
          <w:rFonts w:ascii="Book Antiqua" w:hAnsi="Book Antiqua" w:cs="Arial"/>
          <w:bCs/>
          <w:sz w:val="24"/>
          <w:szCs w:val="24"/>
          <w:lang w:val="en-GB"/>
        </w:rPr>
        <w:t xml:space="preserve"> cells stained by D2-40 </w:t>
      </w:r>
      <w:proofErr w:type="spellStart"/>
      <w:r w:rsidRPr="00B751AA">
        <w:rPr>
          <w:rFonts w:ascii="Book Antiqua" w:hAnsi="Book Antiqua" w:cs="Arial"/>
          <w:bCs/>
          <w:sz w:val="24"/>
          <w:szCs w:val="24"/>
          <w:lang w:val="en-GB"/>
        </w:rPr>
        <w:t>mab</w:t>
      </w:r>
      <w:proofErr w:type="spellEnd"/>
      <w:r w:rsidRPr="00B751AA">
        <w:rPr>
          <w:rFonts w:ascii="Book Antiqua" w:hAnsi="Book Antiqua" w:cs="Arial"/>
          <w:bCs/>
          <w:sz w:val="24"/>
          <w:szCs w:val="24"/>
          <w:lang w:val="en-GB"/>
        </w:rPr>
        <w:t>, score 2: 6</w:t>
      </w:r>
      <w:r>
        <w:rPr>
          <w:rFonts w:ascii="Book Antiqua" w:hAnsi="Book Antiqua" w:cs="Arial"/>
          <w:bCs/>
          <w:sz w:val="24"/>
          <w:szCs w:val="24"/>
          <w:lang w:val="en-GB"/>
        </w:rPr>
        <w:t>%</w:t>
      </w:r>
      <w:r w:rsidRPr="00B751AA">
        <w:rPr>
          <w:rFonts w:ascii="Book Antiqua" w:hAnsi="Book Antiqua" w:cs="Arial"/>
          <w:bCs/>
          <w:sz w:val="24"/>
          <w:szCs w:val="24"/>
          <w:lang w:val="en-GB"/>
        </w:rPr>
        <w:t>-35%, score 3: 36</w:t>
      </w:r>
      <w:r>
        <w:rPr>
          <w:rFonts w:ascii="Book Antiqua" w:hAnsi="Book Antiqua" w:cs="Arial"/>
          <w:bCs/>
          <w:sz w:val="24"/>
          <w:szCs w:val="24"/>
          <w:lang w:val="en-GB"/>
        </w:rPr>
        <w:t>%</w:t>
      </w:r>
      <w:r w:rsidRPr="00B751AA">
        <w:rPr>
          <w:rFonts w:ascii="Book Antiqua" w:hAnsi="Book Antiqua" w:cs="Arial"/>
          <w:bCs/>
          <w:sz w:val="24"/>
          <w:szCs w:val="24"/>
          <w:lang w:val="en-GB"/>
        </w:rPr>
        <w:t>-65%.</w:t>
      </w:r>
      <w:r>
        <w:rPr>
          <w:rFonts w:ascii="Book Antiqua" w:hAnsi="Book Antiqua" w:cs="Arial"/>
          <w:bCs/>
          <w:sz w:val="24"/>
          <w:szCs w:val="24"/>
          <w:lang w:val="en-GB"/>
        </w:rPr>
        <w:t xml:space="preserve"> ESCC: </w:t>
      </w:r>
      <w:r w:rsidRPr="00B751AA">
        <w:rPr>
          <w:rFonts w:ascii="Book Antiqua" w:hAnsi="Book Antiqua" w:cs="Arial"/>
          <w:sz w:val="24"/>
          <w:szCs w:val="24"/>
          <w:lang w:val="en-GB"/>
        </w:rPr>
        <w:t xml:space="preserve">Squamous cell carcinoma of the </w:t>
      </w:r>
      <w:proofErr w:type="spellStart"/>
      <w:r w:rsidRPr="00B751AA">
        <w:rPr>
          <w:rFonts w:ascii="Book Antiqua" w:hAnsi="Book Antiqua" w:cs="Arial"/>
          <w:sz w:val="24"/>
          <w:szCs w:val="24"/>
          <w:lang w:val="en-GB"/>
        </w:rPr>
        <w:t>esophagus</w:t>
      </w:r>
      <w:proofErr w:type="spellEnd"/>
      <w:r w:rsidRPr="00B751AA">
        <w:rPr>
          <w:rFonts w:ascii="Book Antiqua" w:hAnsi="Book Antiqua" w:cs="Arial"/>
          <w:sz w:val="24"/>
          <w:szCs w:val="24"/>
          <w:lang w:val="en-GB"/>
        </w:rPr>
        <w:t xml:space="preserve">. </w:t>
      </w:r>
    </w:p>
    <w:p w14:paraId="31681315"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sz w:val="24"/>
          <w:szCs w:val="24"/>
          <w:lang w:val="en-GB"/>
        </w:rPr>
        <w:br w:type="page"/>
      </w:r>
    </w:p>
    <w:p w14:paraId="00B0D158"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noProof/>
          <w:sz w:val="24"/>
          <w:szCs w:val="24"/>
          <w:lang w:eastAsia="zh-CN"/>
        </w:rPr>
        <w:lastRenderedPageBreak/>
        <w:drawing>
          <wp:inline distT="0" distB="0" distL="0" distR="0" wp14:anchorId="0E4948E7" wp14:editId="2C7E7473">
            <wp:extent cx="4131158" cy="2878372"/>
            <wp:effectExtent l="0" t="0" r="3175" b="0"/>
            <wp:docPr id="3" name="图片 3"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0678" cy="2885005"/>
                    </a:xfrm>
                    <a:prstGeom prst="rect">
                      <a:avLst/>
                    </a:prstGeom>
                  </pic:spPr>
                </pic:pic>
              </a:graphicData>
            </a:graphic>
          </wp:inline>
        </w:drawing>
      </w:r>
    </w:p>
    <w:p w14:paraId="1A5BBFBD" w14:textId="77777777" w:rsidR="00B751AA" w:rsidRDefault="00B751AA" w:rsidP="00B751AA">
      <w:pPr>
        <w:spacing w:after="0" w:line="360" w:lineRule="auto"/>
        <w:jc w:val="both"/>
        <w:rPr>
          <w:rFonts w:ascii="Book Antiqua" w:hAnsi="Book Antiqua" w:cs="Arial"/>
          <w:bCs/>
          <w:sz w:val="24"/>
          <w:szCs w:val="24"/>
          <w:lang w:val="fr-FR"/>
        </w:rPr>
      </w:pPr>
      <w:r w:rsidRPr="00B751AA">
        <w:rPr>
          <w:rFonts w:ascii="Book Antiqua" w:hAnsi="Book Antiqua" w:cs="Arial"/>
          <w:b/>
          <w:bCs/>
          <w:sz w:val="24"/>
          <w:szCs w:val="24"/>
          <w:lang w:val="fr-FR"/>
        </w:rPr>
        <w:t xml:space="preserve">Figure 3 miR-363 and podoplanin expression for 29 non-pretreated </w:t>
      </w:r>
      <w:r w:rsidRPr="00B751AA">
        <w:rPr>
          <w:rFonts w:ascii="Book Antiqua" w:hAnsi="Book Antiqua" w:cs="Arial"/>
          <w:b/>
          <w:bCs/>
          <w:sz w:val="24"/>
          <w:szCs w:val="24"/>
          <w:lang w:val="en-GB"/>
        </w:rPr>
        <w:t xml:space="preserve">squamous cell carcinoma of the </w:t>
      </w:r>
      <w:proofErr w:type="spellStart"/>
      <w:r w:rsidRPr="00B751AA">
        <w:rPr>
          <w:rFonts w:ascii="Book Antiqua" w:hAnsi="Book Antiqua" w:cs="Arial"/>
          <w:b/>
          <w:bCs/>
          <w:sz w:val="24"/>
          <w:szCs w:val="24"/>
          <w:lang w:val="en-GB"/>
        </w:rPr>
        <w:t>esophagus</w:t>
      </w:r>
      <w:proofErr w:type="spellEnd"/>
      <w:r w:rsidRPr="00B751AA">
        <w:rPr>
          <w:rFonts w:ascii="Book Antiqua" w:hAnsi="Book Antiqua" w:cs="Arial"/>
          <w:b/>
          <w:bCs/>
          <w:sz w:val="24"/>
          <w:szCs w:val="24"/>
          <w:lang w:val="fr-FR"/>
        </w:rPr>
        <w:t xml:space="preserve"> patients.</w:t>
      </w:r>
      <w:r w:rsidRPr="00B751AA">
        <w:rPr>
          <w:rFonts w:ascii="Book Antiqua" w:hAnsi="Book Antiqua" w:cs="Arial"/>
          <w:bCs/>
          <w:sz w:val="24"/>
          <w:szCs w:val="24"/>
          <w:lang w:val="fr-FR"/>
        </w:rPr>
        <w:t xml:space="preserve"> Relative miR-363 expression compared to immunohistochemically stained podoplanin protein expression in resected tissue specimen.</w:t>
      </w:r>
    </w:p>
    <w:p w14:paraId="4CD773ED" w14:textId="77777777" w:rsidR="004C7F71" w:rsidRDefault="004C7F71" w:rsidP="00B751AA">
      <w:pPr>
        <w:spacing w:after="0" w:line="360" w:lineRule="auto"/>
        <w:jc w:val="both"/>
        <w:rPr>
          <w:rFonts w:ascii="Book Antiqua" w:hAnsi="Book Antiqua" w:cs="Arial"/>
          <w:bCs/>
          <w:sz w:val="24"/>
          <w:szCs w:val="24"/>
          <w:lang w:val="fr-FR"/>
        </w:rPr>
      </w:pPr>
    </w:p>
    <w:p w14:paraId="00872E45"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noProof/>
          <w:sz w:val="24"/>
          <w:szCs w:val="24"/>
          <w:lang w:eastAsia="zh-CN"/>
        </w:rPr>
        <w:drawing>
          <wp:inline distT="0" distB="0" distL="0" distR="0" wp14:anchorId="0A4631E7" wp14:editId="41F52164">
            <wp:extent cx="4122188" cy="3212327"/>
            <wp:effectExtent l="0" t="0" r="0" b="7620"/>
            <wp:docPr id="4" name="图片 4" descr="图片包含 文字,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874" cy="3226888"/>
                    </a:xfrm>
                    <a:prstGeom prst="rect">
                      <a:avLst/>
                    </a:prstGeom>
                  </pic:spPr>
                </pic:pic>
              </a:graphicData>
            </a:graphic>
          </wp:inline>
        </w:drawing>
      </w:r>
    </w:p>
    <w:p w14:paraId="5D06BCB8" w14:textId="77777777" w:rsidR="00B751AA" w:rsidRPr="00B751AA" w:rsidRDefault="00B751AA" w:rsidP="00B751AA">
      <w:pPr>
        <w:spacing w:after="0" w:line="360" w:lineRule="auto"/>
        <w:jc w:val="both"/>
        <w:rPr>
          <w:rFonts w:ascii="Book Antiqua" w:hAnsi="Book Antiqua" w:cs="Arial"/>
          <w:b/>
          <w:sz w:val="24"/>
          <w:szCs w:val="24"/>
          <w:lang w:val="en-GB"/>
        </w:rPr>
      </w:pPr>
      <w:r w:rsidRPr="00B751AA">
        <w:rPr>
          <w:rFonts w:ascii="Book Antiqua" w:hAnsi="Book Antiqua" w:cs="Arial"/>
          <w:b/>
          <w:bCs/>
          <w:sz w:val="24"/>
          <w:szCs w:val="24"/>
          <w:lang w:val="fr-FR"/>
        </w:rPr>
        <w:t xml:space="preserve">Figure 4 miR-363 expression and prognosis of 26 </w:t>
      </w:r>
      <w:r w:rsidRPr="00B751AA">
        <w:rPr>
          <w:rFonts w:ascii="Book Antiqua" w:hAnsi="Book Antiqua" w:cs="Arial"/>
          <w:b/>
          <w:bCs/>
          <w:sz w:val="24"/>
          <w:szCs w:val="24"/>
          <w:lang w:val="en-GB"/>
        </w:rPr>
        <w:t xml:space="preserve">squamous cell carcinoma of the </w:t>
      </w:r>
      <w:proofErr w:type="spellStart"/>
      <w:r w:rsidRPr="00B751AA">
        <w:rPr>
          <w:rFonts w:ascii="Book Antiqua" w:hAnsi="Book Antiqua" w:cs="Arial"/>
          <w:b/>
          <w:bCs/>
          <w:sz w:val="24"/>
          <w:szCs w:val="24"/>
          <w:lang w:val="en-GB"/>
        </w:rPr>
        <w:t>esophagus</w:t>
      </w:r>
      <w:proofErr w:type="spellEnd"/>
      <w:r w:rsidRPr="00B751AA">
        <w:rPr>
          <w:rFonts w:ascii="Book Antiqua" w:hAnsi="Book Antiqua" w:cs="Arial"/>
          <w:b/>
          <w:bCs/>
          <w:sz w:val="24"/>
          <w:szCs w:val="24"/>
          <w:lang w:val="fr-FR"/>
        </w:rPr>
        <w:t xml:space="preserve"> patients. </w:t>
      </w:r>
      <w:r w:rsidRPr="00B751AA">
        <w:rPr>
          <w:rFonts w:ascii="Book Antiqua" w:hAnsi="Book Antiqua" w:cs="Arial"/>
          <w:bCs/>
          <w:sz w:val="24"/>
          <w:szCs w:val="24"/>
          <w:lang w:val="fr-FR"/>
        </w:rPr>
        <w:t>Subgrouping by relative miR-363 expression &lt; 7 and ≥ 7.</w:t>
      </w:r>
    </w:p>
    <w:p w14:paraId="6682CCC3" w14:textId="77777777" w:rsidR="00BB36AA" w:rsidRPr="00B751AA" w:rsidRDefault="00B751AA" w:rsidP="004C7F71">
      <w:pPr>
        <w:spacing w:after="0" w:line="360" w:lineRule="auto"/>
        <w:jc w:val="both"/>
        <w:rPr>
          <w:rFonts w:ascii="Book Antiqua" w:hAnsi="Book Antiqua" w:cs="Arial"/>
          <w:b/>
          <w:sz w:val="24"/>
          <w:szCs w:val="24"/>
          <w:lang w:val="fr-FR"/>
        </w:rPr>
      </w:pPr>
      <w:r w:rsidRPr="00B751AA">
        <w:rPr>
          <w:rFonts w:ascii="Book Antiqua" w:hAnsi="Book Antiqua" w:cs="Arial"/>
          <w:b/>
          <w:sz w:val="24"/>
          <w:szCs w:val="24"/>
          <w:lang w:val="en-GB"/>
        </w:rPr>
        <w:lastRenderedPageBreak/>
        <w:t xml:space="preserve"> </w:t>
      </w:r>
      <w:r w:rsidR="00BB36AA" w:rsidRPr="00B751AA">
        <w:rPr>
          <w:rFonts w:ascii="Book Antiqua" w:hAnsi="Book Antiqua" w:cs="Arial"/>
          <w:b/>
          <w:sz w:val="24"/>
          <w:szCs w:val="24"/>
          <w:lang w:val="en-GB"/>
        </w:rPr>
        <w:t xml:space="preserve">Table 1 Demographics, therapy and prognosis of </w:t>
      </w:r>
      <w:proofErr w:type="spellStart"/>
      <w:r w:rsidR="00BB36AA" w:rsidRPr="00B751AA">
        <w:rPr>
          <w:rFonts w:ascii="Book Antiqua" w:hAnsi="Book Antiqua" w:cs="Arial"/>
          <w:b/>
          <w:sz w:val="24"/>
          <w:szCs w:val="24"/>
          <w:lang w:val="en-GB"/>
        </w:rPr>
        <w:t>esophageal</w:t>
      </w:r>
      <w:proofErr w:type="spellEnd"/>
      <w:r w:rsidR="00BB36AA" w:rsidRPr="00B751AA">
        <w:rPr>
          <w:rFonts w:ascii="Book Antiqua" w:hAnsi="Book Antiqua" w:cs="Arial"/>
          <w:b/>
          <w:sz w:val="24"/>
          <w:szCs w:val="24"/>
          <w:lang w:val="en-GB"/>
        </w:rPr>
        <w:t xml:space="preserve"> cancer patients</w:t>
      </w:r>
    </w:p>
    <w:tbl>
      <w:tblPr>
        <w:tblpPr w:leftFromText="141" w:rightFromText="141" w:vertAnchor="text" w:horzAnchor="page" w:tblpX="1835" w:tblpY="-124"/>
        <w:tblW w:w="8614" w:type="dxa"/>
        <w:tblBorders>
          <w:top w:val="single" w:sz="4" w:space="0" w:color="auto"/>
          <w:bottom w:val="single" w:sz="4" w:space="0" w:color="auto"/>
        </w:tblBorders>
        <w:tblLook w:val="04A0" w:firstRow="1" w:lastRow="0" w:firstColumn="1" w:lastColumn="0" w:noHBand="0" w:noVBand="1"/>
      </w:tblPr>
      <w:tblGrid>
        <w:gridCol w:w="2071"/>
        <w:gridCol w:w="1134"/>
        <w:gridCol w:w="1015"/>
        <w:gridCol w:w="1134"/>
        <w:gridCol w:w="1134"/>
        <w:gridCol w:w="1134"/>
        <w:gridCol w:w="992"/>
      </w:tblGrid>
      <w:tr w:rsidR="00B7773D" w:rsidRPr="00B751AA" w14:paraId="7B251544" w14:textId="77777777" w:rsidTr="0052322B">
        <w:tc>
          <w:tcPr>
            <w:tcW w:w="2071" w:type="dxa"/>
            <w:vMerge w:val="restart"/>
            <w:tcBorders>
              <w:top w:val="single" w:sz="4" w:space="0" w:color="auto"/>
            </w:tcBorders>
            <w:shd w:val="clear" w:color="auto" w:fill="auto"/>
          </w:tcPr>
          <w:p w14:paraId="42F64C0D" w14:textId="77777777" w:rsidR="00B7773D" w:rsidRPr="00B7773D" w:rsidRDefault="00B7773D" w:rsidP="0052322B">
            <w:pPr>
              <w:snapToGrid w:val="0"/>
              <w:spacing w:after="0" w:line="360" w:lineRule="auto"/>
              <w:jc w:val="both"/>
              <w:rPr>
                <w:rFonts w:ascii="Book Antiqua" w:eastAsia="Calibri" w:hAnsi="Book Antiqua"/>
                <w:b/>
                <w:bCs/>
                <w:sz w:val="24"/>
                <w:szCs w:val="24"/>
              </w:rPr>
            </w:pPr>
          </w:p>
        </w:tc>
        <w:tc>
          <w:tcPr>
            <w:tcW w:w="2149" w:type="dxa"/>
            <w:gridSpan w:val="2"/>
            <w:tcBorders>
              <w:top w:val="single" w:sz="4" w:space="0" w:color="auto"/>
              <w:bottom w:val="single" w:sz="4" w:space="0" w:color="auto"/>
            </w:tcBorders>
            <w:shd w:val="clear" w:color="auto" w:fill="auto"/>
          </w:tcPr>
          <w:p w14:paraId="7DD0682F"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Total</w:t>
            </w:r>
          </w:p>
        </w:tc>
        <w:tc>
          <w:tcPr>
            <w:tcW w:w="2268" w:type="dxa"/>
            <w:gridSpan w:val="2"/>
            <w:tcBorders>
              <w:top w:val="single" w:sz="4" w:space="0" w:color="auto"/>
              <w:bottom w:val="single" w:sz="4" w:space="0" w:color="auto"/>
            </w:tcBorders>
            <w:shd w:val="clear" w:color="auto" w:fill="auto"/>
          </w:tcPr>
          <w:p w14:paraId="3F39CEA2"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ESCC</w:t>
            </w:r>
          </w:p>
        </w:tc>
        <w:tc>
          <w:tcPr>
            <w:tcW w:w="2126" w:type="dxa"/>
            <w:gridSpan w:val="2"/>
            <w:tcBorders>
              <w:top w:val="single" w:sz="4" w:space="0" w:color="auto"/>
              <w:bottom w:val="single" w:sz="4" w:space="0" w:color="auto"/>
            </w:tcBorders>
            <w:shd w:val="clear" w:color="auto" w:fill="auto"/>
          </w:tcPr>
          <w:p w14:paraId="27B8E48F"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EAC</w:t>
            </w:r>
          </w:p>
        </w:tc>
      </w:tr>
      <w:tr w:rsidR="00B7773D" w:rsidRPr="00B751AA" w14:paraId="05DCA67D" w14:textId="77777777" w:rsidTr="0052322B">
        <w:tc>
          <w:tcPr>
            <w:tcW w:w="2071" w:type="dxa"/>
            <w:vMerge/>
            <w:tcBorders>
              <w:bottom w:val="single" w:sz="4" w:space="0" w:color="auto"/>
            </w:tcBorders>
            <w:shd w:val="clear" w:color="auto" w:fill="auto"/>
          </w:tcPr>
          <w:p w14:paraId="58ADD14E"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p>
        </w:tc>
        <w:tc>
          <w:tcPr>
            <w:tcW w:w="1134" w:type="dxa"/>
            <w:tcBorders>
              <w:top w:val="single" w:sz="4" w:space="0" w:color="auto"/>
              <w:bottom w:val="single" w:sz="4" w:space="0" w:color="auto"/>
            </w:tcBorders>
            <w:shd w:val="clear" w:color="auto" w:fill="auto"/>
          </w:tcPr>
          <w:p w14:paraId="1F438411" w14:textId="77777777" w:rsidR="00B7773D" w:rsidRPr="00B7773D" w:rsidRDefault="00B7773D" w:rsidP="0052322B">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015" w:type="dxa"/>
            <w:tcBorders>
              <w:top w:val="single" w:sz="4" w:space="0" w:color="auto"/>
              <w:bottom w:val="single" w:sz="4" w:space="0" w:color="auto"/>
            </w:tcBorders>
            <w:shd w:val="clear" w:color="auto" w:fill="auto"/>
          </w:tcPr>
          <w:p w14:paraId="7C2E34C6"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5Y-SR</w:t>
            </w:r>
            <w:r>
              <w:rPr>
                <w:rFonts w:ascii="Book Antiqua" w:eastAsia="Calibri" w:hAnsi="Book Antiqua"/>
                <w:b/>
                <w:bCs/>
                <w:sz w:val="24"/>
                <w:szCs w:val="24"/>
                <w:lang w:val="de-DE"/>
              </w:rPr>
              <w:t xml:space="preserve"> (%)</w:t>
            </w:r>
          </w:p>
        </w:tc>
        <w:tc>
          <w:tcPr>
            <w:tcW w:w="1134" w:type="dxa"/>
            <w:tcBorders>
              <w:top w:val="single" w:sz="4" w:space="0" w:color="auto"/>
              <w:bottom w:val="single" w:sz="4" w:space="0" w:color="auto"/>
            </w:tcBorders>
            <w:shd w:val="clear" w:color="auto" w:fill="auto"/>
          </w:tcPr>
          <w:p w14:paraId="13AB7D67" w14:textId="77777777" w:rsidR="00B7773D" w:rsidRPr="00B7773D" w:rsidRDefault="00B7773D" w:rsidP="0052322B">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134" w:type="dxa"/>
            <w:tcBorders>
              <w:top w:val="single" w:sz="4" w:space="0" w:color="auto"/>
              <w:bottom w:val="single" w:sz="4" w:space="0" w:color="auto"/>
            </w:tcBorders>
            <w:shd w:val="clear" w:color="auto" w:fill="auto"/>
          </w:tcPr>
          <w:p w14:paraId="34F69A6E"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5Y-SR</w:t>
            </w:r>
            <w:r>
              <w:rPr>
                <w:rFonts w:ascii="Book Antiqua" w:eastAsia="Calibri" w:hAnsi="Book Antiqua"/>
                <w:b/>
                <w:bCs/>
                <w:sz w:val="24"/>
                <w:szCs w:val="24"/>
                <w:lang w:val="de-DE"/>
              </w:rPr>
              <w:t xml:space="preserve"> (%)</w:t>
            </w:r>
          </w:p>
        </w:tc>
        <w:tc>
          <w:tcPr>
            <w:tcW w:w="1134" w:type="dxa"/>
            <w:tcBorders>
              <w:top w:val="single" w:sz="4" w:space="0" w:color="auto"/>
              <w:bottom w:val="single" w:sz="4" w:space="0" w:color="auto"/>
            </w:tcBorders>
            <w:shd w:val="clear" w:color="auto" w:fill="auto"/>
          </w:tcPr>
          <w:p w14:paraId="738F48C5" w14:textId="77777777" w:rsidR="00B7773D" w:rsidRPr="00B7773D" w:rsidRDefault="00B7773D" w:rsidP="0052322B">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992" w:type="dxa"/>
            <w:tcBorders>
              <w:top w:val="single" w:sz="4" w:space="0" w:color="auto"/>
              <w:bottom w:val="single" w:sz="4" w:space="0" w:color="auto"/>
            </w:tcBorders>
            <w:shd w:val="clear" w:color="auto" w:fill="auto"/>
          </w:tcPr>
          <w:p w14:paraId="5AE7B376" w14:textId="77777777" w:rsidR="00B7773D" w:rsidRPr="00B7773D" w:rsidRDefault="00B7773D" w:rsidP="0052322B">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5Y-SR</w:t>
            </w:r>
            <w:r>
              <w:rPr>
                <w:rFonts w:ascii="Book Antiqua" w:eastAsia="Calibri" w:hAnsi="Book Antiqua"/>
                <w:b/>
                <w:bCs/>
                <w:sz w:val="24"/>
                <w:szCs w:val="24"/>
                <w:lang w:val="de-DE"/>
              </w:rPr>
              <w:t xml:space="preserve"> (%)</w:t>
            </w:r>
          </w:p>
        </w:tc>
      </w:tr>
      <w:tr w:rsidR="00BB36AA" w:rsidRPr="00B751AA" w14:paraId="5546DA38" w14:textId="77777777" w:rsidTr="0052322B">
        <w:trPr>
          <w:trHeight w:val="85"/>
        </w:trPr>
        <w:tc>
          <w:tcPr>
            <w:tcW w:w="2071" w:type="dxa"/>
            <w:tcBorders>
              <w:top w:val="single" w:sz="4" w:space="0" w:color="auto"/>
            </w:tcBorders>
            <w:shd w:val="clear" w:color="auto" w:fill="auto"/>
          </w:tcPr>
          <w:p w14:paraId="7CEBBD1B"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Total </w:t>
            </w:r>
            <w:r w:rsidR="00B7773D" w:rsidRPr="00B7773D">
              <w:rPr>
                <w:rFonts w:ascii="Book Antiqua" w:eastAsia="Calibri" w:hAnsi="Book Antiqua"/>
                <w:bCs/>
                <w:sz w:val="24"/>
                <w:szCs w:val="24"/>
                <w:lang w:val="de-DE"/>
              </w:rPr>
              <w:t>study cohort</w:t>
            </w:r>
          </w:p>
        </w:tc>
        <w:tc>
          <w:tcPr>
            <w:tcW w:w="1134" w:type="dxa"/>
            <w:tcBorders>
              <w:top w:val="single" w:sz="4" w:space="0" w:color="auto"/>
            </w:tcBorders>
            <w:shd w:val="clear" w:color="auto" w:fill="auto"/>
          </w:tcPr>
          <w:p w14:paraId="7AC2C1B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195</w:t>
            </w:r>
          </w:p>
        </w:tc>
        <w:tc>
          <w:tcPr>
            <w:tcW w:w="1015" w:type="dxa"/>
            <w:tcBorders>
              <w:top w:val="single" w:sz="4" w:space="0" w:color="auto"/>
            </w:tcBorders>
            <w:shd w:val="clear" w:color="auto" w:fill="auto"/>
          </w:tcPr>
          <w:p w14:paraId="1C8FAFDB"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tcBorders>
              <w:top w:val="single" w:sz="4" w:space="0" w:color="auto"/>
            </w:tcBorders>
            <w:shd w:val="clear" w:color="auto" w:fill="auto"/>
          </w:tcPr>
          <w:p w14:paraId="4F5A1496"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90</w:t>
            </w:r>
          </w:p>
        </w:tc>
        <w:tc>
          <w:tcPr>
            <w:tcW w:w="1134" w:type="dxa"/>
            <w:tcBorders>
              <w:top w:val="single" w:sz="4" w:space="0" w:color="auto"/>
            </w:tcBorders>
            <w:shd w:val="clear" w:color="auto" w:fill="auto"/>
          </w:tcPr>
          <w:p w14:paraId="4DD4A8E4"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tcBorders>
              <w:top w:val="single" w:sz="4" w:space="0" w:color="auto"/>
            </w:tcBorders>
            <w:shd w:val="clear" w:color="auto" w:fill="auto"/>
          </w:tcPr>
          <w:p w14:paraId="726009F8"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105</w:t>
            </w:r>
          </w:p>
        </w:tc>
        <w:tc>
          <w:tcPr>
            <w:tcW w:w="992" w:type="dxa"/>
            <w:tcBorders>
              <w:top w:val="single" w:sz="4" w:space="0" w:color="auto"/>
            </w:tcBorders>
            <w:shd w:val="clear" w:color="auto" w:fill="auto"/>
          </w:tcPr>
          <w:p w14:paraId="696B5272"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26</w:t>
            </w:r>
          </w:p>
        </w:tc>
      </w:tr>
      <w:tr w:rsidR="00BB36AA" w:rsidRPr="00B751AA" w14:paraId="3EA4E921" w14:textId="77777777" w:rsidTr="0052322B">
        <w:tc>
          <w:tcPr>
            <w:tcW w:w="2071" w:type="dxa"/>
            <w:shd w:val="clear" w:color="auto" w:fill="auto"/>
          </w:tcPr>
          <w:p w14:paraId="1A2E8B62"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Median </w:t>
            </w:r>
            <w:r w:rsidR="00B7773D" w:rsidRPr="00B7773D">
              <w:rPr>
                <w:rFonts w:ascii="Book Antiqua" w:eastAsia="Calibri" w:hAnsi="Book Antiqua"/>
                <w:bCs/>
                <w:sz w:val="24"/>
                <w:szCs w:val="24"/>
                <w:lang w:val="de-DE"/>
              </w:rPr>
              <w:t>age</w:t>
            </w:r>
            <w:r w:rsidR="00B7773D">
              <w:rPr>
                <w:rFonts w:ascii="Book Antiqua" w:eastAsia="Calibri" w:hAnsi="Book Antiqua" w:hint="eastAsia"/>
                <w:bCs/>
                <w:sz w:val="24"/>
                <w:szCs w:val="24"/>
                <w:lang w:val="de-DE"/>
              </w:rPr>
              <w:t xml:space="preserve"> </w:t>
            </w:r>
            <w:r w:rsidR="00B7773D">
              <w:rPr>
                <w:rFonts w:ascii="Book Antiqua" w:eastAsia="Calibri" w:hAnsi="Book Antiqua"/>
                <w:bCs/>
                <w:sz w:val="24"/>
                <w:szCs w:val="24"/>
                <w:lang w:val="de-DE"/>
              </w:rPr>
              <w:t>(yr)</w:t>
            </w:r>
          </w:p>
        </w:tc>
        <w:tc>
          <w:tcPr>
            <w:tcW w:w="1134" w:type="dxa"/>
            <w:shd w:val="clear" w:color="auto" w:fill="auto"/>
          </w:tcPr>
          <w:p w14:paraId="06A5FDCE"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60.4 </w:t>
            </w:r>
          </w:p>
        </w:tc>
        <w:tc>
          <w:tcPr>
            <w:tcW w:w="1015" w:type="dxa"/>
            <w:shd w:val="clear" w:color="auto" w:fill="auto"/>
          </w:tcPr>
          <w:p w14:paraId="29067B17"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w:t>
            </w:r>
          </w:p>
        </w:tc>
        <w:tc>
          <w:tcPr>
            <w:tcW w:w="1134" w:type="dxa"/>
            <w:shd w:val="clear" w:color="auto" w:fill="auto"/>
          </w:tcPr>
          <w:p w14:paraId="78ACDE1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60</w:t>
            </w:r>
          </w:p>
        </w:tc>
        <w:tc>
          <w:tcPr>
            <w:tcW w:w="1134" w:type="dxa"/>
            <w:shd w:val="clear" w:color="auto" w:fill="auto"/>
          </w:tcPr>
          <w:p w14:paraId="1AD23104"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w:t>
            </w:r>
          </w:p>
        </w:tc>
        <w:tc>
          <w:tcPr>
            <w:tcW w:w="1134" w:type="dxa"/>
            <w:shd w:val="clear" w:color="auto" w:fill="auto"/>
          </w:tcPr>
          <w:p w14:paraId="0CAF33B5"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62</w:t>
            </w:r>
          </w:p>
        </w:tc>
        <w:tc>
          <w:tcPr>
            <w:tcW w:w="992" w:type="dxa"/>
            <w:shd w:val="clear" w:color="auto" w:fill="auto"/>
          </w:tcPr>
          <w:p w14:paraId="385F64A5"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w:t>
            </w:r>
          </w:p>
        </w:tc>
      </w:tr>
      <w:tr w:rsidR="00BB36AA" w:rsidRPr="00B751AA" w14:paraId="7A617190" w14:textId="77777777" w:rsidTr="0052322B">
        <w:trPr>
          <w:trHeight w:val="310"/>
        </w:trPr>
        <w:tc>
          <w:tcPr>
            <w:tcW w:w="2071" w:type="dxa"/>
            <w:shd w:val="clear" w:color="auto" w:fill="auto"/>
          </w:tcPr>
          <w:p w14:paraId="57907300"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Gender</w:t>
            </w:r>
          </w:p>
        </w:tc>
        <w:tc>
          <w:tcPr>
            <w:tcW w:w="1134" w:type="dxa"/>
            <w:shd w:val="clear" w:color="auto" w:fill="auto"/>
          </w:tcPr>
          <w:p w14:paraId="5B98A2F0"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015" w:type="dxa"/>
            <w:shd w:val="clear" w:color="auto" w:fill="auto"/>
          </w:tcPr>
          <w:p w14:paraId="09AFA629"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3286259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5F5E1D7A"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389DAD8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992" w:type="dxa"/>
            <w:shd w:val="clear" w:color="auto" w:fill="auto"/>
          </w:tcPr>
          <w:p w14:paraId="1418116E"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r>
      <w:tr w:rsidR="00B7773D" w:rsidRPr="00B751AA" w14:paraId="21CB3897" w14:textId="77777777" w:rsidTr="0052322B">
        <w:trPr>
          <w:trHeight w:val="248"/>
        </w:trPr>
        <w:tc>
          <w:tcPr>
            <w:tcW w:w="2071" w:type="dxa"/>
            <w:shd w:val="clear" w:color="auto" w:fill="auto"/>
          </w:tcPr>
          <w:p w14:paraId="074EA1E5"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lang w:val="de-DE"/>
              </w:rPr>
            </w:pPr>
            <w:r w:rsidRPr="00B7773D">
              <w:rPr>
                <w:rFonts w:ascii="Book Antiqua" w:eastAsia="Calibri" w:hAnsi="Book Antiqua"/>
                <w:bCs/>
                <w:sz w:val="24"/>
                <w:szCs w:val="24"/>
                <w:lang w:val="de-DE"/>
              </w:rPr>
              <w:t>Male</w:t>
            </w:r>
          </w:p>
        </w:tc>
        <w:tc>
          <w:tcPr>
            <w:tcW w:w="1134" w:type="dxa"/>
            <w:shd w:val="clear" w:color="auto" w:fill="auto"/>
          </w:tcPr>
          <w:p w14:paraId="6EA575FA"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155</w:t>
            </w:r>
          </w:p>
        </w:tc>
        <w:tc>
          <w:tcPr>
            <w:tcW w:w="1015" w:type="dxa"/>
            <w:shd w:val="clear" w:color="auto" w:fill="auto"/>
          </w:tcPr>
          <w:p w14:paraId="5CABE2F7"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28</w:t>
            </w:r>
          </w:p>
        </w:tc>
        <w:tc>
          <w:tcPr>
            <w:tcW w:w="1134" w:type="dxa"/>
            <w:shd w:val="clear" w:color="auto" w:fill="auto"/>
          </w:tcPr>
          <w:p w14:paraId="492F1457"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61</w:t>
            </w:r>
          </w:p>
        </w:tc>
        <w:tc>
          <w:tcPr>
            <w:tcW w:w="1134" w:type="dxa"/>
            <w:shd w:val="clear" w:color="auto" w:fill="auto"/>
          </w:tcPr>
          <w:p w14:paraId="2E2C3C0D"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25</w:t>
            </w:r>
          </w:p>
        </w:tc>
        <w:tc>
          <w:tcPr>
            <w:tcW w:w="1134" w:type="dxa"/>
            <w:shd w:val="clear" w:color="auto" w:fill="auto"/>
          </w:tcPr>
          <w:p w14:paraId="72088E85"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94</w:t>
            </w:r>
          </w:p>
        </w:tc>
        <w:tc>
          <w:tcPr>
            <w:tcW w:w="992" w:type="dxa"/>
            <w:shd w:val="clear" w:color="auto" w:fill="auto"/>
          </w:tcPr>
          <w:p w14:paraId="4D506F50"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31</w:t>
            </w:r>
          </w:p>
        </w:tc>
      </w:tr>
      <w:tr w:rsidR="00B7773D" w:rsidRPr="00B751AA" w14:paraId="4B99F713" w14:textId="77777777" w:rsidTr="0052322B">
        <w:trPr>
          <w:trHeight w:val="728"/>
        </w:trPr>
        <w:tc>
          <w:tcPr>
            <w:tcW w:w="2071" w:type="dxa"/>
            <w:shd w:val="clear" w:color="auto" w:fill="auto"/>
          </w:tcPr>
          <w:p w14:paraId="0C46BB3F"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lang w:val="de-DE"/>
              </w:rPr>
            </w:pPr>
            <w:r w:rsidRPr="00B7773D">
              <w:rPr>
                <w:rFonts w:ascii="Book Antiqua" w:eastAsia="Calibri" w:hAnsi="Book Antiqua"/>
                <w:bCs/>
                <w:sz w:val="24"/>
                <w:szCs w:val="24"/>
                <w:lang w:val="de-DE"/>
              </w:rPr>
              <w:t>Female</w:t>
            </w:r>
          </w:p>
        </w:tc>
        <w:tc>
          <w:tcPr>
            <w:tcW w:w="1134" w:type="dxa"/>
            <w:shd w:val="clear" w:color="auto" w:fill="auto"/>
          </w:tcPr>
          <w:p w14:paraId="108A10D1"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40</w:t>
            </w:r>
          </w:p>
        </w:tc>
        <w:tc>
          <w:tcPr>
            <w:tcW w:w="1015" w:type="dxa"/>
            <w:shd w:val="clear" w:color="auto" w:fill="auto"/>
          </w:tcPr>
          <w:p w14:paraId="1BB3ECD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26</w:t>
            </w:r>
          </w:p>
        </w:tc>
        <w:tc>
          <w:tcPr>
            <w:tcW w:w="1134" w:type="dxa"/>
            <w:shd w:val="clear" w:color="auto" w:fill="auto"/>
          </w:tcPr>
          <w:p w14:paraId="6092599C"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29</w:t>
            </w:r>
          </w:p>
        </w:tc>
        <w:tc>
          <w:tcPr>
            <w:tcW w:w="1134" w:type="dxa"/>
            <w:shd w:val="clear" w:color="auto" w:fill="auto"/>
          </w:tcPr>
          <w:p w14:paraId="69849D85"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32</w:t>
            </w:r>
          </w:p>
        </w:tc>
        <w:tc>
          <w:tcPr>
            <w:tcW w:w="1134" w:type="dxa"/>
            <w:shd w:val="clear" w:color="auto" w:fill="auto"/>
          </w:tcPr>
          <w:p w14:paraId="1F9BEE14"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11</w:t>
            </w:r>
          </w:p>
        </w:tc>
        <w:tc>
          <w:tcPr>
            <w:tcW w:w="992" w:type="dxa"/>
            <w:shd w:val="clear" w:color="auto" w:fill="auto"/>
          </w:tcPr>
          <w:p w14:paraId="3C094B49"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12</w:t>
            </w:r>
          </w:p>
        </w:tc>
      </w:tr>
      <w:tr w:rsidR="00BB36AA" w:rsidRPr="00B751AA" w14:paraId="54EDED69" w14:textId="77777777" w:rsidTr="0052322B">
        <w:trPr>
          <w:trHeight w:val="279"/>
        </w:trPr>
        <w:tc>
          <w:tcPr>
            <w:tcW w:w="2071" w:type="dxa"/>
            <w:shd w:val="clear" w:color="auto" w:fill="auto"/>
          </w:tcPr>
          <w:p w14:paraId="6CA87FA6" w14:textId="77777777" w:rsidR="00BB36AA" w:rsidRPr="00B7773D" w:rsidRDefault="00BB36AA" w:rsidP="0052322B">
            <w:pPr>
              <w:snapToGrid w:val="0"/>
              <w:spacing w:after="0" w:line="360" w:lineRule="auto"/>
              <w:jc w:val="both"/>
              <w:rPr>
                <w:rFonts w:ascii="Book Antiqua" w:eastAsia="Calibri" w:hAnsi="Book Antiqua"/>
                <w:bCs/>
                <w:sz w:val="24"/>
                <w:szCs w:val="24"/>
              </w:rPr>
            </w:pPr>
            <w:r w:rsidRPr="00B7773D">
              <w:rPr>
                <w:rFonts w:ascii="Book Antiqua" w:eastAsia="Calibri" w:hAnsi="Book Antiqua"/>
                <w:bCs/>
                <w:sz w:val="24"/>
                <w:szCs w:val="24"/>
              </w:rPr>
              <w:t>Therapy</w:t>
            </w:r>
          </w:p>
        </w:tc>
        <w:tc>
          <w:tcPr>
            <w:tcW w:w="1134" w:type="dxa"/>
            <w:shd w:val="clear" w:color="auto" w:fill="auto"/>
          </w:tcPr>
          <w:p w14:paraId="1735E4CA"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015" w:type="dxa"/>
            <w:shd w:val="clear" w:color="auto" w:fill="auto"/>
          </w:tcPr>
          <w:p w14:paraId="0996D900"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7B0F90A4"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1F2CD3E6"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15C9DCD3"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992" w:type="dxa"/>
            <w:shd w:val="clear" w:color="auto" w:fill="auto"/>
          </w:tcPr>
          <w:p w14:paraId="7C293BF4"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r>
      <w:tr w:rsidR="00B7773D" w:rsidRPr="00B751AA" w14:paraId="2379C5ED" w14:textId="77777777" w:rsidTr="0052322B">
        <w:trPr>
          <w:trHeight w:val="326"/>
        </w:trPr>
        <w:tc>
          <w:tcPr>
            <w:tcW w:w="2071" w:type="dxa"/>
            <w:shd w:val="clear" w:color="auto" w:fill="auto"/>
          </w:tcPr>
          <w:p w14:paraId="46B9B308"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rPr>
            </w:pPr>
            <w:r w:rsidRPr="00B7773D">
              <w:rPr>
                <w:rFonts w:ascii="Book Antiqua" w:eastAsia="Calibri" w:hAnsi="Book Antiqua"/>
                <w:bCs/>
                <w:sz w:val="24"/>
                <w:szCs w:val="24"/>
              </w:rPr>
              <w:t>Surgery only</w:t>
            </w:r>
          </w:p>
        </w:tc>
        <w:tc>
          <w:tcPr>
            <w:tcW w:w="1134" w:type="dxa"/>
            <w:shd w:val="clear" w:color="auto" w:fill="auto"/>
          </w:tcPr>
          <w:p w14:paraId="5D16043C" w14:textId="77777777" w:rsidR="00B7773D" w:rsidRPr="00B7773D" w:rsidRDefault="00B7773D" w:rsidP="0052322B">
            <w:pPr>
              <w:snapToGrid w:val="0"/>
              <w:spacing w:after="0" w:line="360" w:lineRule="auto"/>
              <w:jc w:val="both"/>
              <w:rPr>
                <w:rFonts w:ascii="Book Antiqua" w:eastAsia="Calibri" w:hAnsi="Book Antiqua"/>
                <w:bCs/>
                <w:sz w:val="24"/>
                <w:szCs w:val="24"/>
              </w:rPr>
            </w:pPr>
            <w:r w:rsidRPr="00B7773D">
              <w:rPr>
                <w:rFonts w:ascii="Book Antiqua" w:eastAsia="Calibri" w:hAnsi="Book Antiqua"/>
                <w:bCs/>
                <w:sz w:val="24"/>
                <w:szCs w:val="24"/>
                <w:lang w:val="de-DE"/>
              </w:rPr>
              <w:t>89</w:t>
            </w:r>
          </w:p>
        </w:tc>
        <w:tc>
          <w:tcPr>
            <w:tcW w:w="1015" w:type="dxa"/>
            <w:shd w:val="clear" w:color="auto" w:fill="auto"/>
          </w:tcPr>
          <w:p w14:paraId="30AD52D5"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29</w:t>
            </w:r>
          </w:p>
        </w:tc>
        <w:tc>
          <w:tcPr>
            <w:tcW w:w="1134" w:type="dxa"/>
            <w:shd w:val="clear" w:color="auto" w:fill="auto"/>
          </w:tcPr>
          <w:p w14:paraId="044F717A"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32</w:t>
            </w:r>
          </w:p>
        </w:tc>
        <w:tc>
          <w:tcPr>
            <w:tcW w:w="1134" w:type="dxa"/>
            <w:shd w:val="clear" w:color="auto" w:fill="auto"/>
          </w:tcPr>
          <w:p w14:paraId="76C0FC5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shd w:val="clear" w:color="auto" w:fill="auto"/>
          </w:tcPr>
          <w:p w14:paraId="649E213F"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 57</w:t>
            </w:r>
          </w:p>
        </w:tc>
        <w:tc>
          <w:tcPr>
            <w:tcW w:w="992" w:type="dxa"/>
            <w:shd w:val="clear" w:color="auto" w:fill="auto"/>
          </w:tcPr>
          <w:p w14:paraId="216E6733"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31</w:t>
            </w:r>
          </w:p>
        </w:tc>
      </w:tr>
      <w:tr w:rsidR="00B7773D" w:rsidRPr="00B751AA" w14:paraId="0773AD19" w14:textId="77777777" w:rsidTr="0052322B">
        <w:trPr>
          <w:trHeight w:val="1115"/>
        </w:trPr>
        <w:tc>
          <w:tcPr>
            <w:tcW w:w="2071" w:type="dxa"/>
            <w:shd w:val="clear" w:color="auto" w:fill="auto"/>
          </w:tcPr>
          <w:p w14:paraId="11AAE9FF"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rPr>
            </w:pPr>
            <w:proofErr w:type="spellStart"/>
            <w:r w:rsidRPr="00B7773D">
              <w:rPr>
                <w:rFonts w:ascii="Book Antiqua" w:eastAsia="Calibri" w:hAnsi="Book Antiqua"/>
                <w:bCs/>
                <w:sz w:val="24"/>
                <w:szCs w:val="24"/>
              </w:rPr>
              <w:t>RTx</w:t>
            </w:r>
            <w:proofErr w:type="spellEnd"/>
            <w:r w:rsidRPr="00B7773D">
              <w:rPr>
                <w:rFonts w:ascii="Book Antiqua" w:eastAsia="Calibri" w:hAnsi="Book Antiqua"/>
                <w:bCs/>
                <w:sz w:val="24"/>
                <w:szCs w:val="24"/>
              </w:rPr>
              <w:t>/</w:t>
            </w:r>
            <w:proofErr w:type="spellStart"/>
            <w:r w:rsidRPr="00B7773D">
              <w:rPr>
                <w:rFonts w:ascii="Book Antiqua" w:eastAsia="Calibri" w:hAnsi="Book Antiqua"/>
                <w:bCs/>
                <w:sz w:val="24"/>
                <w:szCs w:val="24"/>
              </w:rPr>
              <w:t>CTx</w:t>
            </w:r>
            <w:proofErr w:type="spellEnd"/>
            <w:r w:rsidRPr="00B7773D">
              <w:rPr>
                <w:rFonts w:ascii="Book Antiqua" w:eastAsia="Calibri" w:hAnsi="Book Antiqua"/>
                <w:bCs/>
                <w:sz w:val="24"/>
                <w:szCs w:val="24"/>
              </w:rPr>
              <w:t xml:space="preserve"> + surgery</w:t>
            </w:r>
          </w:p>
        </w:tc>
        <w:tc>
          <w:tcPr>
            <w:tcW w:w="1134" w:type="dxa"/>
            <w:shd w:val="clear" w:color="auto" w:fill="auto"/>
          </w:tcPr>
          <w:p w14:paraId="64DF8765"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106</w:t>
            </w:r>
          </w:p>
        </w:tc>
        <w:tc>
          <w:tcPr>
            <w:tcW w:w="1015" w:type="dxa"/>
            <w:shd w:val="clear" w:color="auto" w:fill="auto"/>
          </w:tcPr>
          <w:p w14:paraId="6E5A0A86"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shd w:val="clear" w:color="auto" w:fill="auto"/>
          </w:tcPr>
          <w:p w14:paraId="0F52B8E9"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58</w:t>
            </w:r>
          </w:p>
          <w:p w14:paraId="738C6A6E"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6CDBE91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27</w:t>
            </w:r>
          </w:p>
        </w:tc>
        <w:tc>
          <w:tcPr>
            <w:tcW w:w="1134" w:type="dxa"/>
            <w:shd w:val="clear" w:color="auto" w:fill="auto"/>
          </w:tcPr>
          <w:p w14:paraId="4B8AA76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 xml:space="preserve"> 48</w:t>
            </w:r>
          </w:p>
        </w:tc>
        <w:tc>
          <w:tcPr>
            <w:tcW w:w="992" w:type="dxa"/>
            <w:shd w:val="clear" w:color="auto" w:fill="auto"/>
          </w:tcPr>
          <w:p w14:paraId="2145A264"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28</w:t>
            </w:r>
          </w:p>
        </w:tc>
      </w:tr>
      <w:tr w:rsidR="00BB36AA" w:rsidRPr="00B751AA" w14:paraId="478309D5" w14:textId="77777777" w:rsidTr="0052322B">
        <w:trPr>
          <w:trHeight w:val="295"/>
        </w:trPr>
        <w:tc>
          <w:tcPr>
            <w:tcW w:w="2071" w:type="dxa"/>
            <w:shd w:val="clear" w:color="auto" w:fill="auto"/>
          </w:tcPr>
          <w:p w14:paraId="7BC45898" w14:textId="77777777" w:rsidR="00BB36AA" w:rsidRPr="00B7773D" w:rsidRDefault="00BB36AA" w:rsidP="0052322B">
            <w:pPr>
              <w:snapToGrid w:val="0"/>
              <w:spacing w:after="0" w:line="360" w:lineRule="auto"/>
              <w:jc w:val="both"/>
              <w:rPr>
                <w:rFonts w:ascii="Book Antiqua" w:eastAsia="Calibri" w:hAnsi="Book Antiqua"/>
                <w:bCs/>
                <w:sz w:val="24"/>
                <w:szCs w:val="24"/>
              </w:rPr>
            </w:pPr>
            <w:r w:rsidRPr="00B7773D">
              <w:rPr>
                <w:rFonts w:ascii="Book Antiqua" w:eastAsia="Calibri" w:hAnsi="Book Antiqua"/>
                <w:bCs/>
                <w:sz w:val="24"/>
                <w:szCs w:val="24"/>
              </w:rPr>
              <w:t>T-category</w:t>
            </w:r>
          </w:p>
        </w:tc>
        <w:tc>
          <w:tcPr>
            <w:tcW w:w="1134" w:type="dxa"/>
            <w:shd w:val="clear" w:color="auto" w:fill="auto"/>
          </w:tcPr>
          <w:p w14:paraId="3687A81F"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015" w:type="dxa"/>
            <w:shd w:val="clear" w:color="auto" w:fill="auto"/>
          </w:tcPr>
          <w:p w14:paraId="0D496C21"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54C5F0AC"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48AEE9A6"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1134" w:type="dxa"/>
            <w:shd w:val="clear" w:color="auto" w:fill="auto"/>
          </w:tcPr>
          <w:p w14:paraId="7946661C"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c>
          <w:tcPr>
            <w:tcW w:w="992" w:type="dxa"/>
            <w:shd w:val="clear" w:color="auto" w:fill="auto"/>
          </w:tcPr>
          <w:p w14:paraId="1CC83417"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p>
        </w:tc>
      </w:tr>
      <w:tr w:rsidR="00B7773D" w:rsidRPr="00B751AA" w14:paraId="2DCCAB62" w14:textId="77777777" w:rsidTr="0052322B">
        <w:trPr>
          <w:trHeight w:val="341"/>
        </w:trPr>
        <w:tc>
          <w:tcPr>
            <w:tcW w:w="2071" w:type="dxa"/>
            <w:shd w:val="clear" w:color="auto" w:fill="auto"/>
          </w:tcPr>
          <w:p w14:paraId="091D020E"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rPr>
            </w:pPr>
            <w:r w:rsidRPr="00B7773D">
              <w:rPr>
                <w:rFonts w:ascii="Book Antiqua" w:eastAsia="Calibri" w:hAnsi="Book Antiqua"/>
                <w:bCs/>
                <w:sz w:val="24"/>
                <w:szCs w:val="24"/>
              </w:rPr>
              <w:t>pT2</w:t>
            </w:r>
          </w:p>
        </w:tc>
        <w:tc>
          <w:tcPr>
            <w:tcW w:w="1134" w:type="dxa"/>
            <w:shd w:val="clear" w:color="auto" w:fill="auto"/>
          </w:tcPr>
          <w:p w14:paraId="38E4861D" w14:textId="77777777" w:rsidR="00B7773D" w:rsidRPr="00B7773D" w:rsidRDefault="00B7773D" w:rsidP="0052322B">
            <w:pPr>
              <w:snapToGrid w:val="0"/>
              <w:spacing w:after="0" w:line="360" w:lineRule="auto"/>
              <w:jc w:val="both"/>
              <w:rPr>
                <w:rFonts w:ascii="Book Antiqua" w:eastAsia="Calibri" w:hAnsi="Book Antiqua"/>
                <w:bCs/>
                <w:sz w:val="24"/>
                <w:szCs w:val="24"/>
              </w:rPr>
            </w:pPr>
            <w:r w:rsidRPr="00B7773D">
              <w:rPr>
                <w:rFonts w:ascii="Book Antiqua" w:eastAsia="Calibri" w:hAnsi="Book Antiqua"/>
                <w:bCs/>
                <w:sz w:val="24"/>
                <w:szCs w:val="24"/>
                <w:lang w:val="de-DE"/>
              </w:rPr>
              <w:t>30</w:t>
            </w:r>
          </w:p>
        </w:tc>
        <w:tc>
          <w:tcPr>
            <w:tcW w:w="1015" w:type="dxa"/>
            <w:shd w:val="clear" w:color="auto" w:fill="auto"/>
          </w:tcPr>
          <w:p w14:paraId="31F9D4C3"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46</w:t>
            </w:r>
          </w:p>
        </w:tc>
        <w:tc>
          <w:tcPr>
            <w:tcW w:w="1134" w:type="dxa"/>
            <w:shd w:val="clear" w:color="auto" w:fill="auto"/>
          </w:tcPr>
          <w:p w14:paraId="58640897"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w:t>
            </w:r>
          </w:p>
        </w:tc>
        <w:tc>
          <w:tcPr>
            <w:tcW w:w="1134" w:type="dxa"/>
            <w:shd w:val="clear" w:color="auto" w:fill="auto"/>
          </w:tcPr>
          <w:p w14:paraId="10AA7B33"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62</w:t>
            </w:r>
          </w:p>
        </w:tc>
        <w:tc>
          <w:tcPr>
            <w:tcW w:w="1134" w:type="dxa"/>
            <w:shd w:val="clear" w:color="auto" w:fill="auto"/>
          </w:tcPr>
          <w:p w14:paraId="77450E0B"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24</w:t>
            </w:r>
          </w:p>
        </w:tc>
        <w:tc>
          <w:tcPr>
            <w:tcW w:w="992" w:type="dxa"/>
            <w:shd w:val="clear" w:color="auto" w:fill="auto"/>
          </w:tcPr>
          <w:p w14:paraId="2F38B6E1"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43</w:t>
            </w:r>
          </w:p>
        </w:tc>
      </w:tr>
      <w:tr w:rsidR="00B7773D" w:rsidRPr="00B751AA" w14:paraId="120BCBD4" w14:textId="77777777" w:rsidTr="0052322B">
        <w:trPr>
          <w:trHeight w:val="650"/>
        </w:trPr>
        <w:tc>
          <w:tcPr>
            <w:tcW w:w="2071" w:type="dxa"/>
            <w:shd w:val="clear" w:color="auto" w:fill="auto"/>
          </w:tcPr>
          <w:p w14:paraId="1FD799AF" w14:textId="77777777" w:rsidR="00B7773D" w:rsidRPr="00B7773D" w:rsidRDefault="00B7773D" w:rsidP="0052322B">
            <w:pPr>
              <w:snapToGrid w:val="0"/>
              <w:spacing w:after="0" w:line="360" w:lineRule="auto"/>
              <w:ind w:firstLineChars="50" w:firstLine="120"/>
              <w:jc w:val="both"/>
              <w:rPr>
                <w:rFonts w:ascii="Book Antiqua" w:eastAsia="Calibri" w:hAnsi="Book Antiqua"/>
                <w:bCs/>
                <w:sz w:val="24"/>
                <w:szCs w:val="24"/>
              </w:rPr>
            </w:pPr>
            <w:proofErr w:type="spellStart"/>
            <w:r w:rsidRPr="00B7773D">
              <w:rPr>
                <w:rFonts w:ascii="Book Antiqua" w:eastAsia="Calibri" w:hAnsi="Book Antiqua"/>
                <w:bCs/>
                <w:sz w:val="24"/>
                <w:szCs w:val="24"/>
              </w:rPr>
              <w:t>cT</w:t>
            </w:r>
            <w:proofErr w:type="spellEnd"/>
            <w:r w:rsidRPr="00B7773D">
              <w:rPr>
                <w:rFonts w:ascii="Book Antiqua" w:eastAsia="Calibri" w:hAnsi="Book Antiqua"/>
                <w:bCs/>
                <w:sz w:val="24"/>
                <w:szCs w:val="24"/>
              </w:rPr>
              <w:t>/pT3</w:t>
            </w:r>
          </w:p>
        </w:tc>
        <w:tc>
          <w:tcPr>
            <w:tcW w:w="1134" w:type="dxa"/>
            <w:shd w:val="clear" w:color="auto" w:fill="auto"/>
          </w:tcPr>
          <w:p w14:paraId="2D2F8234"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165</w:t>
            </w:r>
          </w:p>
        </w:tc>
        <w:tc>
          <w:tcPr>
            <w:tcW w:w="1015" w:type="dxa"/>
            <w:shd w:val="clear" w:color="auto" w:fill="auto"/>
          </w:tcPr>
          <w:p w14:paraId="12A2BE24"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25</w:t>
            </w:r>
          </w:p>
        </w:tc>
        <w:tc>
          <w:tcPr>
            <w:tcW w:w="1134" w:type="dxa"/>
            <w:shd w:val="clear" w:color="auto" w:fill="auto"/>
          </w:tcPr>
          <w:p w14:paraId="086515DE"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84</w:t>
            </w:r>
          </w:p>
        </w:tc>
        <w:tc>
          <w:tcPr>
            <w:tcW w:w="1134" w:type="dxa"/>
            <w:shd w:val="clear" w:color="auto" w:fill="auto"/>
          </w:tcPr>
          <w:p w14:paraId="29048E43"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24</w:t>
            </w:r>
          </w:p>
        </w:tc>
        <w:tc>
          <w:tcPr>
            <w:tcW w:w="1134" w:type="dxa"/>
            <w:shd w:val="clear" w:color="auto" w:fill="auto"/>
          </w:tcPr>
          <w:p w14:paraId="2ED2650D"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81</w:t>
            </w:r>
          </w:p>
        </w:tc>
        <w:tc>
          <w:tcPr>
            <w:tcW w:w="992" w:type="dxa"/>
            <w:shd w:val="clear" w:color="auto" w:fill="auto"/>
          </w:tcPr>
          <w:p w14:paraId="587B6CDA" w14:textId="77777777" w:rsidR="00B7773D" w:rsidRPr="00B7773D" w:rsidRDefault="00B7773D"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26</w:t>
            </w:r>
          </w:p>
        </w:tc>
      </w:tr>
      <w:tr w:rsidR="00BB36AA" w:rsidRPr="00B751AA" w14:paraId="19B105F9" w14:textId="77777777" w:rsidTr="0052322B">
        <w:tc>
          <w:tcPr>
            <w:tcW w:w="2071" w:type="dxa"/>
            <w:shd w:val="clear" w:color="auto" w:fill="auto"/>
          </w:tcPr>
          <w:p w14:paraId="69973551"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Endoscopic biopsy</w:t>
            </w:r>
          </w:p>
        </w:tc>
        <w:tc>
          <w:tcPr>
            <w:tcW w:w="1134" w:type="dxa"/>
            <w:shd w:val="clear" w:color="auto" w:fill="auto"/>
          </w:tcPr>
          <w:p w14:paraId="68E55232"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104</w:t>
            </w:r>
          </w:p>
        </w:tc>
        <w:tc>
          <w:tcPr>
            <w:tcW w:w="1015" w:type="dxa"/>
            <w:shd w:val="clear" w:color="auto" w:fill="auto"/>
          </w:tcPr>
          <w:p w14:paraId="408F25F9"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25</w:t>
            </w:r>
          </w:p>
        </w:tc>
        <w:tc>
          <w:tcPr>
            <w:tcW w:w="1134" w:type="dxa"/>
            <w:shd w:val="clear" w:color="auto" w:fill="auto"/>
          </w:tcPr>
          <w:p w14:paraId="4EB0AB2E"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58</w:t>
            </w:r>
          </w:p>
        </w:tc>
        <w:tc>
          <w:tcPr>
            <w:tcW w:w="1134" w:type="dxa"/>
            <w:shd w:val="clear" w:color="auto" w:fill="auto"/>
          </w:tcPr>
          <w:p w14:paraId="6AA3E8DD"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22</w:t>
            </w:r>
          </w:p>
        </w:tc>
        <w:tc>
          <w:tcPr>
            <w:tcW w:w="1134" w:type="dxa"/>
            <w:shd w:val="clear" w:color="auto" w:fill="auto"/>
          </w:tcPr>
          <w:p w14:paraId="2D29485E"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46</w:t>
            </w:r>
          </w:p>
        </w:tc>
        <w:tc>
          <w:tcPr>
            <w:tcW w:w="992" w:type="dxa"/>
            <w:shd w:val="clear" w:color="auto" w:fill="auto"/>
          </w:tcPr>
          <w:p w14:paraId="23CA0F13" w14:textId="77777777" w:rsidR="00BB36AA" w:rsidRPr="00B7773D" w:rsidRDefault="00BB36AA" w:rsidP="0052322B">
            <w:pPr>
              <w:snapToGrid w:val="0"/>
              <w:spacing w:after="0" w:line="360" w:lineRule="auto"/>
              <w:jc w:val="both"/>
              <w:rPr>
                <w:rFonts w:ascii="Book Antiqua" w:eastAsia="Calibri" w:hAnsi="Book Antiqua"/>
                <w:bCs/>
                <w:sz w:val="24"/>
                <w:szCs w:val="24"/>
                <w:lang w:val="de-DE"/>
              </w:rPr>
            </w:pPr>
            <w:r w:rsidRPr="00B7773D">
              <w:rPr>
                <w:rFonts w:ascii="Book Antiqua" w:eastAsia="Calibri" w:hAnsi="Book Antiqua"/>
                <w:bCs/>
                <w:sz w:val="24"/>
                <w:szCs w:val="24"/>
                <w:lang w:val="de-DE"/>
              </w:rPr>
              <w:t>29</w:t>
            </w:r>
          </w:p>
        </w:tc>
      </w:tr>
    </w:tbl>
    <w:p w14:paraId="373EF288" w14:textId="77777777" w:rsidR="00BB36AA" w:rsidRPr="00B751AA" w:rsidRDefault="00BB36AA" w:rsidP="00B751AA">
      <w:pPr>
        <w:adjustRightInd w:val="0"/>
        <w:snapToGrid w:val="0"/>
        <w:spacing w:after="0" w:line="360" w:lineRule="auto"/>
        <w:jc w:val="both"/>
        <w:rPr>
          <w:rFonts w:ascii="Book Antiqua" w:hAnsi="Book Antiqua" w:cs="Arial"/>
          <w:bCs/>
          <w:sz w:val="24"/>
          <w:szCs w:val="24"/>
          <w:lang w:val="en-GB"/>
        </w:rPr>
      </w:pPr>
      <w:r w:rsidRPr="00B751AA">
        <w:rPr>
          <w:rFonts w:ascii="Book Antiqua" w:hAnsi="Book Antiqua" w:cs="Arial"/>
          <w:bCs/>
          <w:sz w:val="24"/>
          <w:szCs w:val="24"/>
          <w:lang w:val="en-GB"/>
        </w:rPr>
        <w:t>5Y-SR</w:t>
      </w:r>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5-year survival rate; EAC</w:t>
      </w:r>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 xml:space="preserve">Adenocarcinoma </w:t>
      </w:r>
      <w:r w:rsidR="00DF1C41" w:rsidRPr="00B751AA">
        <w:rPr>
          <w:rFonts w:ascii="Book Antiqua" w:hAnsi="Book Antiqua" w:cs="Arial"/>
          <w:bCs/>
          <w:sz w:val="24"/>
          <w:szCs w:val="24"/>
          <w:lang w:val="en-GB"/>
        </w:rPr>
        <w:t xml:space="preserve">of the </w:t>
      </w:r>
      <w:proofErr w:type="spellStart"/>
      <w:r w:rsidR="00DF1C41" w:rsidRPr="00B751AA">
        <w:rPr>
          <w:rFonts w:ascii="Book Antiqua" w:hAnsi="Book Antiqua" w:cs="Arial"/>
          <w:bCs/>
          <w:sz w:val="24"/>
          <w:szCs w:val="24"/>
          <w:lang w:val="en-GB"/>
        </w:rPr>
        <w:t>esophagus</w:t>
      </w:r>
      <w:proofErr w:type="spellEnd"/>
      <w:r w:rsidRPr="00B751AA">
        <w:rPr>
          <w:rFonts w:ascii="Book Antiqua" w:hAnsi="Book Antiqua" w:cs="Arial"/>
          <w:bCs/>
          <w:sz w:val="24"/>
          <w:szCs w:val="24"/>
          <w:lang w:val="en-GB"/>
        </w:rPr>
        <w:t>; ESCC</w:t>
      </w:r>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 xml:space="preserve">Squamous </w:t>
      </w:r>
      <w:r w:rsidRPr="00B751AA">
        <w:rPr>
          <w:rFonts w:ascii="Book Antiqua" w:hAnsi="Book Antiqua" w:cs="Arial"/>
          <w:bCs/>
          <w:sz w:val="24"/>
          <w:szCs w:val="24"/>
          <w:lang w:val="en-GB"/>
        </w:rPr>
        <w:t xml:space="preserve">cell carcinoma of the </w:t>
      </w:r>
      <w:proofErr w:type="spellStart"/>
      <w:r w:rsidRPr="00B751AA">
        <w:rPr>
          <w:rFonts w:ascii="Book Antiqua" w:hAnsi="Book Antiqua" w:cs="Arial"/>
          <w:bCs/>
          <w:sz w:val="24"/>
          <w:szCs w:val="24"/>
          <w:lang w:val="en-GB"/>
        </w:rPr>
        <w:t>esophagus</w:t>
      </w:r>
      <w:proofErr w:type="spellEnd"/>
      <w:r w:rsidRPr="00B751AA">
        <w:rPr>
          <w:rFonts w:ascii="Book Antiqua" w:hAnsi="Book Antiqua" w:cs="Arial"/>
          <w:bCs/>
          <w:sz w:val="24"/>
          <w:szCs w:val="24"/>
          <w:lang w:val="en-GB"/>
        </w:rPr>
        <w:t xml:space="preserve">; </w:t>
      </w:r>
      <w:proofErr w:type="spellStart"/>
      <w:r w:rsidRPr="00B751AA">
        <w:rPr>
          <w:rFonts w:ascii="Book Antiqua" w:hAnsi="Book Antiqua" w:cs="Arial"/>
          <w:bCs/>
          <w:sz w:val="24"/>
          <w:szCs w:val="24"/>
          <w:lang w:val="en-GB"/>
        </w:rPr>
        <w:t>pT</w:t>
      </w:r>
      <w:proofErr w:type="spellEnd"/>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Pathologic</w:t>
      </w:r>
      <w:r w:rsidR="00B7773D">
        <w:rPr>
          <w:rFonts w:ascii="Book Antiqua" w:hAnsi="Book Antiqua" w:cs="Arial"/>
          <w:bCs/>
          <w:sz w:val="24"/>
          <w:szCs w:val="24"/>
          <w:lang w:val="en-GB"/>
        </w:rPr>
        <w:t xml:space="preserve"> </w:t>
      </w:r>
      <w:proofErr w:type="spellStart"/>
      <w:r w:rsidR="00B7773D">
        <w:rPr>
          <w:rFonts w:ascii="Book Antiqua" w:hAnsi="Book Antiqua" w:cs="Arial"/>
          <w:bCs/>
          <w:sz w:val="24"/>
          <w:szCs w:val="24"/>
          <w:lang w:val="en-GB"/>
        </w:rPr>
        <w:t>tumor</w:t>
      </w:r>
      <w:proofErr w:type="spellEnd"/>
      <w:r w:rsidRPr="00B751AA">
        <w:rPr>
          <w:rFonts w:ascii="Book Antiqua" w:hAnsi="Book Antiqua" w:cs="Arial"/>
          <w:bCs/>
          <w:sz w:val="24"/>
          <w:szCs w:val="24"/>
          <w:lang w:val="en-GB"/>
        </w:rPr>
        <w:t xml:space="preserve">; </w:t>
      </w:r>
      <w:proofErr w:type="spellStart"/>
      <w:r w:rsidRPr="00B751AA">
        <w:rPr>
          <w:rFonts w:ascii="Book Antiqua" w:hAnsi="Book Antiqua" w:cs="Arial"/>
          <w:bCs/>
          <w:sz w:val="24"/>
          <w:szCs w:val="24"/>
          <w:lang w:val="en-GB"/>
        </w:rPr>
        <w:t>cT</w:t>
      </w:r>
      <w:proofErr w:type="spellEnd"/>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 xml:space="preserve">Clinical </w:t>
      </w:r>
      <w:proofErr w:type="spellStart"/>
      <w:r w:rsidRPr="00B751AA">
        <w:rPr>
          <w:rFonts w:ascii="Book Antiqua" w:hAnsi="Book Antiqua" w:cs="Arial"/>
          <w:bCs/>
          <w:sz w:val="24"/>
          <w:szCs w:val="24"/>
          <w:lang w:val="en-GB"/>
        </w:rPr>
        <w:t>tumor</w:t>
      </w:r>
      <w:proofErr w:type="spellEnd"/>
      <w:r w:rsidRPr="00B751AA">
        <w:rPr>
          <w:rFonts w:ascii="Book Antiqua" w:hAnsi="Book Antiqua" w:cs="Arial"/>
          <w:bCs/>
          <w:sz w:val="24"/>
          <w:szCs w:val="24"/>
          <w:lang w:val="en-GB"/>
        </w:rPr>
        <w:t xml:space="preserve"> category; </w:t>
      </w:r>
      <w:proofErr w:type="spellStart"/>
      <w:r w:rsidRPr="00B751AA">
        <w:rPr>
          <w:rFonts w:ascii="Book Antiqua" w:hAnsi="Book Antiqua" w:cs="Arial"/>
          <w:bCs/>
          <w:sz w:val="24"/>
          <w:szCs w:val="24"/>
          <w:lang w:val="en-GB"/>
        </w:rPr>
        <w:t>RTx</w:t>
      </w:r>
      <w:proofErr w:type="spellEnd"/>
      <w:r w:rsidRPr="00B751AA">
        <w:rPr>
          <w:rFonts w:ascii="Book Antiqua" w:hAnsi="Book Antiqua" w:cs="Arial"/>
          <w:bCs/>
          <w:sz w:val="24"/>
          <w:szCs w:val="24"/>
          <w:lang w:val="en-GB"/>
        </w:rPr>
        <w:t>/</w:t>
      </w:r>
      <w:proofErr w:type="spellStart"/>
      <w:r w:rsidRPr="00B751AA">
        <w:rPr>
          <w:rFonts w:ascii="Book Antiqua" w:hAnsi="Book Antiqua" w:cs="Arial"/>
          <w:bCs/>
          <w:sz w:val="24"/>
          <w:szCs w:val="24"/>
          <w:lang w:val="en-GB"/>
        </w:rPr>
        <w:t>CTx</w:t>
      </w:r>
      <w:proofErr w:type="spellEnd"/>
      <w:r w:rsidR="00B7773D">
        <w:rPr>
          <w:rFonts w:ascii="Book Antiqua" w:hAnsi="Book Antiqua" w:cs="Arial"/>
          <w:bCs/>
          <w:sz w:val="24"/>
          <w:szCs w:val="24"/>
          <w:lang w:val="en-GB"/>
        </w:rPr>
        <w:t>:</w:t>
      </w:r>
      <w:r w:rsidRPr="00B751AA">
        <w:rPr>
          <w:rFonts w:ascii="Book Antiqua" w:hAnsi="Book Antiqua" w:cs="Arial"/>
          <w:bCs/>
          <w:sz w:val="24"/>
          <w:szCs w:val="24"/>
          <w:lang w:val="en-GB"/>
        </w:rPr>
        <w:t xml:space="preserve"> </w:t>
      </w:r>
      <w:r w:rsidR="00B7773D" w:rsidRPr="00B751AA">
        <w:rPr>
          <w:rFonts w:ascii="Book Antiqua" w:hAnsi="Book Antiqua" w:cs="Arial"/>
          <w:bCs/>
          <w:sz w:val="24"/>
          <w:szCs w:val="24"/>
          <w:lang w:val="en-GB"/>
        </w:rPr>
        <w:t xml:space="preserve">Neoadjuvant </w:t>
      </w:r>
      <w:r w:rsidRPr="00B751AA">
        <w:rPr>
          <w:rFonts w:ascii="Book Antiqua" w:hAnsi="Book Antiqua" w:cs="Arial"/>
          <w:bCs/>
          <w:sz w:val="24"/>
          <w:szCs w:val="24"/>
          <w:lang w:val="en-GB"/>
        </w:rPr>
        <w:t>radio-/chemotherapy.</w:t>
      </w:r>
    </w:p>
    <w:p w14:paraId="04EB136B" w14:textId="77777777" w:rsidR="00BB36AA" w:rsidRPr="00B751AA" w:rsidRDefault="00BB36AA" w:rsidP="00B751AA">
      <w:pPr>
        <w:snapToGrid w:val="0"/>
        <w:spacing w:after="0" w:line="360" w:lineRule="auto"/>
        <w:jc w:val="both"/>
        <w:rPr>
          <w:rFonts w:ascii="Book Antiqua" w:hAnsi="Book Antiqua" w:cs="Arial"/>
          <w:bCs/>
          <w:sz w:val="24"/>
          <w:szCs w:val="24"/>
          <w:lang w:val="en-GB"/>
        </w:rPr>
      </w:pPr>
      <w:r w:rsidRPr="00B751AA">
        <w:rPr>
          <w:rFonts w:ascii="Book Antiqua" w:hAnsi="Book Antiqua" w:cs="Arial"/>
          <w:bCs/>
          <w:sz w:val="24"/>
          <w:szCs w:val="24"/>
          <w:lang w:val="en-GB"/>
        </w:rPr>
        <w:br w:type="page"/>
      </w:r>
    </w:p>
    <w:p w14:paraId="49549256" w14:textId="77777777" w:rsidR="00BB36AA" w:rsidRPr="00B751AA" w:rsidRDefault="00BB36AA" w:rsidP="00B751AA">
      <w:pPr>
        <w:adjustRightInd w:val="0"/>
        <w:snapToGrid w:val="0"/>
        <w:spacing w:after="0" w:line="360" w:lineRule="auto"/>
        <w:jc w:val="both"/>
        <w:rPr>
          <w:rFonts w:ascii="Book Antiqua" w:hAnsi="Book Antiqua" w:cs="Arial"/>
          <w:b/>
          <w:sz w:val="24"/>
          <w:szCs w:val="24"/>
        </w:rPr>
      </w:pPr>
      <w:r w:rsidRPr="00B751AA">
        <w:rPr>
          <w:rFonts w:ascii="Book Antiqua" w:hAnsi="Book Antiqua" w:cs="Arial"/>
          <w:b/>
          <w:sz w:val="24"/>
          <w:szCs w:val="24"/>
        </w:rPr>
        <w:lastRenderedPageBreak/>
        <w:t xml:space="preserve">Table 2 </w:t>
      </w:r>
      <w:proofErr w:type="spellStart"/>
      <w:r w:rsidRPr="00B751AA">
        <w:rPr>
          <w:rFonts w:ascii="Book Antiqua" w:hAnsi="Book Antiqua" w:cs="Arial"/>
          <w:b/>
          <w:sz w:val="24"/>
          <w:szCs w:val="24"/>
        </w:rPr>
        <w:t>Podoplanin</w:t>
      </w:r>
      <w:proofErr w:type="spellEnd"/>
      <w:r w:rsidRPr="00B751AA">
        <w:rPr>
          <w:rFonts w:ascii="Book Antiqua" w:hAnsi="Book Antiqua" w:cs="Arial"/>
          <w:b/>
          <w:sz w:val="24"/>
          <w:szCs w:val="24"/>
        </w:rPr>
        <w:t xml:space="preserve"> expression in esophageal cancer </w:t>
      </w:r>
      <w:r w:rsidR="00B7773D" w:rsidRPr="00B7773D">
        <w:rPr>
          <w:rFonts w:ascii="Book Antiqua" w:hAnsi="Book Antiqua" w:cs="Arial"/>
          <w:b/>
          <w:sz w:val="24"/>
          <w:szCs w:val="24"/>
          <w:lang w:val="en-GB"/>
        </w:rPr>
        <w:t xml:space="preserve">squamous cell carcinoma of the </w:t>
      </w:r>
      <w:proofErr w:type="spellStart"/>
      <w:r w:rsidR="00B7773D" w:rsidRPr="00B7773D">
        <w:rPr>
          <w:rFonts w:ascii="Book Antiqua" w:hAnsi="Book Antiqua" w:cs="Arial"/>
          <w:b/>
          <w:sz w:val="24"/>
          <w:szCs w:val="24"/>
          <w:lang w:val="en-GB"/>
        </w:rPr>
        <w:t>esophagus</w:t>
      </w:r>
      <w:proofErr w:type="spellEnd"/>
      <w:r w:rsidR="00B7773D" w:rsidRPr="00B7773D">
        <w:rPr>
          <w:rFonts w:ascii="Book Antiqua" w:hAnsi="Book Antiqua" w:cs="Arial"/>
          <w:b/>
          <w:i/>
          <w:iCs/>
          <w:sz w:val="24"/>
          <w:szCs w:val="24"/>
        </w:rPr>
        <w:t xml:space="preserve"> </w:t>
      </w:r>
      <w:r w:rsidRPr="00B7773D">
        <w:rPr>
          <w:rFonts w:ascii="Book Antiqua" w:hAnsi="Book Antiqua" w:cs="Arial"/>
          <w:b/>
          <w:i/>
          <w:iCs/>
          <w:sz w:val="24"/>
          <w:szCs w:val="24"/>
        </w:rPr>
        <w:t>vs</w:t>
      </w:r>
      <w:r w:rsidRPr="00B751AA">
        <w:rPr>
          <w:rFonts w:ascii="Book Antiqua" w:hAnsi="Book Antiqua" w:cs="Arial"/>
          <w:b/>
          <w:sz w:val="24"/>
          <w:szCs w:val="24"/>
        </w:rPr>
        <w:t xml:space="preserve"> </w:t>
      </w:r>
      <w:r w:rsidR="00DF1C41" w:rsidRPr="00B751AA">
        <w:rPr>
          <w:rFonts w:ascii="Book Antiqua" w:hAnsi="Book Antiqua" w:cs="Arial"/>
          <w:b/>
          <w:sz w:val="24"/>
          <w:szCs w:val="24"/>
        </w:rPr>
        <w:t>adenocarcinoma of the esophagus</w:t>
      </w:r>
    </w:p>
    <w:tbl>
      <w:tblPr>
        <w:tblW w:w="8721" w:type="dxa"/>
        <w:tblInd w:w="-284" w:type="dxa"/>
        <w:tblBorders>
          <w:top w:val="single" w:sz="4" w:space="0" w:color="auto"/>
          <w:bottom w:val="single" w:sz="4" w:space="0" w:color="auto"/>
        </w:tblBorders>
        <w:tblLayout w:type="fixed"/>
        <w:tblLook w:val="04A0" w:firstRow="1" w:lastRow="0" w:firstColumn="1" w:lastColumn="0" w:noHBand="0" w:noVBand="1"/>
      </w:tblPr>
      <w:tblGrid>
        <w:gridCol w:w="1952"/>
        <w:gridCol w:w="680"/>
        <w:gridCol w:w="1453"/>
        <w:gridCol w:w="836"/>
        <w:gridCol w:w="1453"/>
        <w:gridCol w:w="894"/>
        <w:gridCol w:w="1453"/>
      </w:tblGrid>
      <w:tr w:rsidR="00B7773D" w:rsidRPr="00B751AA" w14:paraId="557D36A3" w14:textId="77777777" w:rsidTr="002F632A">
        <w:tc>
          <w:tcPr>
            <w:tcW w:w="1952" w:type="dxa"/>
            <w:vMerge w:val="restart"/>
            <w:shd w:val="clear" w:color="auto" w:fill="auto"/>
          </w:tcPr>
          <w:p w14:paraId="4C7EDC5C" w14:textId="77777777" w:rsidR="00B7773D" w:rsidRPr="00B7773D" w:rsidRDefault="00B7773D" w:rsidP="00B751AA">
            <w:pPr>
              <w:snapToGrid w:val="0"/>
              <w:spacing w:after="0" w:line="360" w:lineRule="auto"/>
              <w:jc w:val="both"/>
              <w:rPr>
                <w:rFonts w:ascii="Book Antiqua" w:eastAsia="Calibri" w:hAnsi="Book Antiqua"/>
                <w:b/>
                <w:bCs/>
                <w:sz w:val="24"/>
                <w:szCs w:val="24"/>
              </w:rPr>
            </w:pPr>
          </w:p>
        </w:tc>
        <w:tc>
          <w:tcPr>
            <w:tcW w:w="2133" w:type="dxa"/>
            <w:gridSpan w:val="2"/>
            <w:tcBorders>
              <w:bottom w:val="nil"/>
            </w:tcBorders>
            <w:shd w:val="clear" w:color="auto" w:fill="auto"/>
          </w:tcPr>
          <w:p w14:paraId="39D89D93"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Total</w:t>
            </w:r>
          </w:p>
        </w:tc>
        <w:tc>
          <w:tcPr>
            <w:tcW w:w="2289" w:type="dxa"/>
            <w:gridSpan w:val="2"/>
            <w:tcBorders>
              <w:bottom w:val="nil"/>
            </w:tcBorders>
            <w:shd w:val="clear" w:color="auto" w:fill="auto"/>
          </w:tcPr>
          <w:p w14:paraId="4621D64F"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ESCC</w:t>
            </w:r>
          </w:p>
        </w:tc>
        <w:tc>
          <w:tcPr>
            <w:tcW w:w="2347" w:type="dxa"/>
            <w:gridSpan w:val="2"/>
            <w:tcBorders>
              <w:bottom w:val="nil"/>
            </w:tcBorders>
            <w:shd w:val="clear" w:color="auto" w:fill="auto"/>
          </w:tcPr>
          <w:p w14:paraId="1B278099"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EAC</w:t>
            </w:r>
          </w:p>
        </w:tc>
      </w:tr>
      <w:tr w:rsidR="00B7773D" w:rsidRPr="00B751AA" w14:paraId="00A70CD7" w14:textId="77777777" w:rsidTr="002F632A">
        <w:tc>
          <w:tcPr>
            <w:tcW w:w="1952" w:type="dxa"/>
            <w:vMerge/>
            <w:tcBorders>
              <w:bottom w:val="single" w:sz="4" w:space="0" w:color="auto"/>
            </w:tcBorders>
            <w:shd w:val="clear" w:color="auto" w:fill="auto"/>
          </w:tcPr>
          <w:p w14:paraId="3FA5E8E0"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p>
        </w:tc>
        <w:tc>
          <w:tcPr>
            <w:tcW w:w="680" w:type="dxa"/>
            <w:tcBorders>
              <w:top w:val="nil"/>
              <w:bottom w:val="single" w:sz="4" w:space="0" w:color="auto"/>
            </w:tcBorders>
            <w:shd w:val="clear" w:color="auto" w:fill="auto"/>
          </w:tcPr>
          <w:p w14:paraId="5AE3B529" w14:textId="77777777" w:rsidR="00B7773D" w:rsidRPr="00B7773D" w:rsidRDefault="00B7773D" w:rsidP="00B751AA">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453" w:type="dxa"/>
            <w:tcBorders>
              <w:top w:val="nil"/>
              <w:bottom w:val="single" w:sz="4" w:space="0" w:color="auto"/>
            </w:tcBorders>
            <w:shd w:val="clear" w:color="auto" w:fill="auto"/>
          </w:tcPr>
          <w:p w14:paraId="6CA9D34A"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Podoplanin &gt; 5% (HPE</w:t>
            </w:r>
            <w:r w:rsidR="002F632A">
              <w:rPr>
                <w:rFonts w:ascii="Book Antiqua" w:eastAsia="Calibri" w:hAnsi="Book Antiqua"/>
                <w:b/>
                <w:bCs/>
                <w:sz w:val="24"/>
                <w:szCs w:val="24"/>
                <w:lang w:val="de-DE"/>
              </w:rPr>
              <w:t>, %</w:t>
            </w:r>
            <w:r w:rsidRPr="00B7773D">
              <w:rPr>
                <w:rFonts w:ascii="Book Antiqua" w:eastAsia="Calibri" w:hAnsi="Book Antiqua"/>
                <w:b/>
                <w:bCs/>
                <w:sz w:val="24"/>
                <w:szCs w:val="24"/>
                <w:lang w:val="de-DE"/>
              </w:rPr>
              <w:t>)</w:t>
            </w:r>
          </w:p>
        </w:tc>
        <w:tc>
          <w:tcPr>
            <w:tcW w:w="836" w:type="dxa"/>
            <w:tcBorders>
              <w:top w:val="nil"/>
              <w:bottom w:val="single" w:sz="4" w:space="0" w:color="auto"/>
            </w:tcBorders>
            <w:shd w:val="clear" w:color="auto" w:fill="auto"/>
          </w:tcPr>
          <w:p w14:paraId="4A1B9F37" w14:textId="77777777" w:rsidR="00B7773D" w:rsidRPr="00B7773D" w:rsidRDefault="00B7773D" w:rsidP="00B751AA">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453" w:type="dxa"/>
            <w:tcBorders>
              <w:top w:val="nil"/>
              <w:bottom w:val="single" w:sz="4" w:space="0" w:color="auto"/>
            </w:tcBorders>
            <w:shd w:val="clear" w:color="auto" w:fill="auto"/>
          </w:tcPr>
          <w:p w14:paraId="20B7D906"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Podoplanin &gt; 5% (HPE</w:t>
            </w:r>
            <w:r w:rsidR="002F632A">
              <w:rPr>
                <w:rFonts w:ascii="Book Antiqua" w:eastAsia="Calibri" w:hAnsi="Book Antiqua"/>
                <w:b/>
                <w:bCs/>
                <w:sz w:val="24"/>
                <w:szCs w:val="24"/>
                <w:lang w:val="de-DE"/>
              </w:rPr>
              <w:t>, %</w:t>
            </w:r>
            <w:r w:rsidRPr="00B7773D">
              <w:rPr>
                <w:rFonts w:ascii="Book Antiqua" w:eastAsia="Calibri" w:hAnsi="Book Antiqua"/>
                <w:b/>
                <w:bCs/>
                <w:sz w:val="24"/>
                <w:szCs w:val="24"/>
                <w:lang w:val="de-DE"/>
              </w:rPr>
              <w:t>)</w:t>
            </w:r>
          </w:p>
        </w:tc>
        <w:tc>
          <w:tcPr>
            <w:tcW w:w="894" w:type="dxa"/>
            <w:tcBorders>
              <w:top w:val="nil"/>
              <w:bottom w:val="single" w:sz="4" w:space="0" w:color="auto"/>
            </w:tcBorders>
            <w:shd w:val="clear" w:color="auto" w:fill="auto"/>
          </w:tcPr>
          <w:p w14:paraId="480D7F11" w14:textId="77777777" w:rsidR="00B7773D" w:rsidRPr="00B7773D" w:rsidRDefault="00B7773D" w:rsidP="00B751AA">
            <w:pPr>
              <w:snapToGrid w:val="0"/>
              <w:spacing w:after="0" w:line="360" w:lineRule="auto"/>
              <w:jc w:val="both"/>
              <w:rPr>
                <w:rFonts w:ascii="Book Antiqua" w:eastAsia="Calibri" w:hAnsi="Book Antiqua"/>
                <w:b/>
                <w:bCs/>
                <w:i/>
                <w:iCs/>
                <w:sz w:val="24"/>
                <w:szCs w:val="24"/>
                <w:lang w:val="de-DE"/>
              </w:rPr>
            </w:pPr>
            <w:r w:rsidRPr="00B7773D">
              <w:rPr>
                <w:rFonts w:ascii="Book Antiqua" w:eastAsia="Calibri" w:hAnsi="Book Antiqua"/>
                <w:b/>
                <w:bCs/>
                <w:i/>
                <w:iCs/>
                <w:sz w:val="24"/>
                <w:szCs w:val="24"/>
                <w:lang w:val="de-DE"/>
              </w:rPr>
              <w:t>n</w:t>
            </w:r>
          </w:p>
        </w:tc>
        <w:tc>
          <w:tcPr>
            <w:tcW w:w="1453" w:type="dxa"/>
            <w:tcBorders>
              <w:top w:val="nil"/>
              <w:bottom w:val="single" w:sz="4" w:space="0" w:color="auto"/>
            </w:tcBorders>
            <w:shd w:val="clear" w:color="auto" w:fill="auto"/>
          </w:tcPr>
          <w:p w14:paraId="48D07861" w14:textId="77777777" w:rsidR="00B7773D" w:rsidRPr="00B7773D" w:rsidRDefault="00B7773D" w:rsidP="00B751AA">
            <w:pPr>
              <w:snapToGrid w:val="0"/>
              <w:spacing w:after="0" w:line="360" w:lineRule="auto"/>
              <w:jc w:val="both"/>
              <w:rPr>
                <w:rFonts w:ascii="Book Antiqua" w:eastAsia="Calibri" w:hAnsi="Book Antiqua"/>
                <w:b/>
                <w:bCs/>
                <w:sz w:val="24"/>
                <w:szCs w:val="24"/>
                <w:lang w:val="de-DE"/>
              </w:rPr>
            </w:pPr>
            <w:r w:rsidRPr="00B7773D">
              <w:rPr>
                <w:rFonts w:ascii="Book Antiqua" w:eastAsia="Calibri" w:hAnsi="Book Antiqua"/>
                <w:b/>
                <w:bCs/>
                <w:sz w:val="24"/>
                <w:szCs w:val="24"/>
                <w:lang w:val="de-DE"/>
              </w:rPr>
              <w:t>Podoplanin &gt; 5% (HPE</w:t>
            </w:r>
            <w:r w:rsidR="002F632A">
              <w:rPr>
                <w:rFonts w:ascii="Book Antiqua" w:eastAsia="Calibri" w:hAnsi="Book Antiqua"/>
                <w:b/>
                <w:bCs/>
                <w:sz w:val="24"/>
                <w:szCs w:val="24"/>
                <w:lang w:val="de-DE"/>
              </w:rPr>
              <w:t>, %</w:t>
            </w:r>
            <w:r w:rsidRPr="00B7773D">
              <w:rPr>
                <w:rFonts w:ascii="Book Antiqua" w:eastAsia="Calibri" w:hAnsi="Book Antiqua"/>
                <w:b/>
                <w:bCs/>
                <w:sz w:val="24"/>
                <w:szCs w:val="24"/>
                <w:lang w:val="de-DE"/>
              </w:rPr>
              <w:t>)</w:t>
            </w:r>
          </w:p>
        </w:tc>
      </w:tr>
      <w:tr w:rsidR="00BB36AA" w:rsidRPr="00B751AA" w14:paraId="72218B26" w14:textId="77777777" w:rsidTr="002F632A">
        <w:tc>
          <w:tcPr>
            <w:tcW w:w="1952" w:type="dxa"/>
            <w:tcBorders>
              <w:top w:val="single" w:sz="4" w:space="0" w:color="auto"/>
              <w:bottom w:val="nil"/>
            </w:tcBorders>
            <w:shd w:val="clear" w:color="auto" w:fill="auto"/>
          </w:tcPr>
          <w:p w14:paraId="23A4414A"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 xml:space="preserve">Total </w:t>
            </w:r>
            <w:r w:rsidR="00B7773D" w:rsidRPr="002F632A">
              <w:rPr>
                <w:rFonts w:ascii="Book Antiqua" w:eastAsia="Calibri" w:hAnsi="Book Antiqua"/>
                <w:bCs/>
                <w:sz w:val="24"/>
                <w:szCs w:val="24"/>
                <w:lang w:val="de-DE"/>
              </w:rPr>
              <w:t>study cohort</w:t>
            </w:r>
          </w:p>
        </w:tc>
        <w:tc>
          <w:tcPr>
            <w:tcW w:w="680" w:type="dxa"/>
            <w:tcBorders>
              <w:top w:val="single" w:sz="4" w:space="0" w:color="auto"/>
              <w:bottom w:val="nil"/>
            </w:tcBorders>
            <w:shd w:val="clear" w:color="auto" w:fill="auto"/>
          </w:tcPr>
          <w:p w14:paraId="6F697BAA"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195</w:t>
            </w:r>
          </w:p>
        </w:tc>
        <w:tc>
          <w:tcPr>
            <w:tcW w:w="1453" w:type="dxa"/>
            <w:tcBorders>
              <w:top w:val="single" w:sz="4" w:space="0" w:color="auto"/>
              <w:bottom w:val="nil"/>
            </w:tcBorders>
            <w:shd w:val="clear" w:color="auto" w:fill="auto"/>
          </w:tcPr>
          <w:p w14:paraId="3CBA0E8C"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13</w:t>
            </w:r>
          </w:p>
        </w:tc>
        <w:tc>
          <w:tcPr>
            <w:tcW w:w="836" w:type="dxa"/>
            <w:tcBorders>
              <w:top w:val="single" w:sz="4" w:space="0" w:color="auto"/>
              <w:bottom w:val="nil"/>
            </w:tcBorders>
            <w:shd w:val="clear" w:color="auto" w:fill="auto"/>
          </w:tcPr>
          <w:p w14:paraId="48CCF4BD"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90</w:t>
            </w:r>
          </w:p>
        </w:tc>
        <w:tc>
          <w:tcPr>
            <w:tcW w:w="1453" w:type="dxa"/>
            <w:tcBorders>
              <w:top w:val="single" w:sz="4" w:space="0" w:color="auto"/>
              <w:bottom w:val="nil"/>
            </w:tcBorders>
            <w:shd w:val="clear" w:color="auto" w:fill="auto"/>
          </w:tcPr>
          <w:p w14:paraId="79D5D55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26</w:t>
            </w:r>
          </w:p>
        </w:tc>
        <w:tc>
          <w:tcPr>
            <w:tcW w:w="894" w:type="dxa"/>
            <w:tcBorders>
              <w:top w:val="single" w:sz="4" w:space="0" w:color="auto"/>
              <w:bottom w:val="nil"/>
            </w:tcBorders>
            <w:shd w:val="clear" w:color="auto" w:fill="auto"/>
          </w:tcPr>
          <w:p w14:paraId="1B6767C5"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105</w:t>
            </w:r>
          </w:p>
        </w:tc>
        <w:tc>
          <w:tcPr>
            <w:tcW w:w="1453" w:type="dxa"/>
            <w:tcBorders>
              <w:top w:val="single" w:sz="4" w:space="0" w:color="auto"/>
              <w:bottom w:val="nil"/>
            </w:tcBorders>
            <w:shd w:val="clear" w:color="auto" w:fill="auto"/>
          </w:tcPr>
          <w:p w14:paraId="6904A457"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w:t>
            </w:r>
          </w:p>
        </w:tc>
      </w:tr>
      <w:tr w:rsidR="00BB36AA" w:rsidRPr="00B751AA" w14:paraId="4905E81A" w14:textId="77777777" w:rsidTr="002F632A">
        <w:trPr>
          <w:trHeight w:val="325"/>
        </w:trPr>
        <w:tc>
          <w:tcPr>
            <w:tcW w:w="1952" w:type="dxa"/>
            <w:tcBorders>
              <w:top w:val="nil"/>
              <w:bottom w:val="nil"/>
            </w:tcBorders>
            <w:shd w:val="clear" w:color="auto" w:fill="auto"/>
          </w:tcPr>
          <w:p w14:paraId="0BE42014"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Gender</w:t>
            </w:r>
          </w:p>
        </w:tc>
        <w:tc>
          <w:tcPr>
            <w:tcW w:w="680" w:type="dxa"/>
            <w:tcBorders>
              <w:top w:val="nil"/>
              <w:bottom w:val="nil"/>
            </w:tcBorders>
            <w:shd w:val="clear" w:color="auto" w:fill="auto"/>
          </w:tcPr>
          <w:p w14:paraId="49AF48B3"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6484E606"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36" w:type="dxa"/>
            <w:tcBorders>
              <w:top w:val="nil"/>
              <w:bottom w:val="nil"/>
            </w:tcBorders>
            <w:shd w:val="clear" w:color="auto" w:fill="auto"/>
          </w:tcPr>
          <w:p w14:paraId="59795CB4"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1FE64E25"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94" w:type="dxa"/>
            <w:tcBorders>
              <w:top w:val="nil"/>
              <w:bottom w:val="nil"/>
            </w:tcBorders>
            <w:shd w:val="clear" w:color="auto" w:fill="auto"/>
          </w:tcPr>
          <w:p w14:paraId="6150925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6B0C1170"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r>
      <w:tr w:rsidR="00B7773D" w:rsidRPr="00B751AA" w14:paraId="12406501" w14:textId="77777777" w:rsidTr="002F632A">
        <w:trPr>
          <w:trHeight w:val="326"/>
        </w:trPr>
        <w:tc>
          <w:tcPr>
            <w:tcW w:w="1952" w:type="dxa"/>
            <w:tcBorders>
              <w:top w:val="nil"/>
              <w:bottom w:val="nil"/>
            </w:tcBorders>
            <w:shd w:val="clear" w:color="auto" w:fill="auto"/>
          </w:tcPr>
          <w:p w14:paraId="02A61560" w14:textId="77777777" w:rsidR="00B7773D" w:rsidRPr="002F632A" w:rsidRDefault="00B7773D" w:rsidP="00B7773D">
            <w:pPr>
              <w:snapToGrid w:val="0"/>
              <w:spacing w:after="0" w:line="360" w:lineRule="auto"/>
              <w:ind w:firstLineChars="50" w:firstLine="120"/>
              <w:jc w:val="both"/>
              <w:rPr>
                <w:rFonts w:ascii="Book Antiqua" w:eastAsia="Calibri" w:hAnsi="Book Antiqua"/>
                <w:bCs/>
                <w:sz w:val="24"/>
                <w:szCs w:val="24"/>
                <w:lang w:val="de-DE"/>
              </w:rPr>
            </w:pPr>
            <w:r w:rsidRPr="002F632A">
              <w:rPr>
                <w:rFonts w:ascii="Book Antiqua" w:eastAsia="Calibri" w:hAnsi="Book Antiqua"/>
                <w:bCs/>
                <w:sz w:val="24"/>
                <w:szCs w:val="24"/>
                <w:lang w:val="de-DE"/>
              </w:rPr>
              <w:t>Male</w:t>
            </w:r>
          </w:p>
        </w:tc>
        <w:tc>
          <w:tcPr>
            <w:tcW w:w="680" w:type="dxa"/>
            <w:tcBorders>
              <w:top w:val="nil"/>
              <w:bottom w:val="nil"/>
            </w:tcBorders>
            <w:shd w:val="clear" w:color="auto" w:fill="auto"/>
          </w:tcPr>
          <w:p w14:paraId="388EB4E1"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155</w:t>
            </w:r>
          </w:p>
        </w:tc>
        <w:tc>
          <w:tcPr>
            <w:tcW w:w="1453" w:type="dxa"/>
            <w:tcBorders>
              <w:top w:val="nil"/>
              <w:bottom w:val="nil"/>
            </w:tcBorders>
            <w:shd w:val="clear" w:color="auto" w:fill="auto"/>
          </w:tcPr>
          <w:p w14:paraId="55BDEDA3"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10</w:t>
            </w:r>
          </w:p>
        </w:tc>
        <w:tc>
          <w:tcPr>
            <w:tcW w:w="836" w:type="dxa"/>
            <w:tcBorders>
              <w:top w:val="nil"/>
              <w:bottom w:val="nil"/>
            </w:tcBorders>
            <w:shd w:val="clear" w:color="auto" w:fill="auto"/>
          </w:tcPr>
          <w:p w14:paraId="72526525"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61</w:t>
            </w:r>
          </w:p>
        </w:tc>
        <w:tc>
          <w:tcPr>
            <w:tcW w:w="1453" w:type="dxa"/>
            <w:tcBorders>
              <w:top w:val="nil"/>
              <w:bottom w:val="nil"/>
            </w:tcBorders>
            <w:shd w:val="clear" w:color="auto" w:fill="auto"/>
          </w:tcPr>
          <w:p w14:paraId="5DFF41F6"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23</w:t>
            </w:r>
          </w:p>
        </w:tc>
        <w:tc>
          <w:tcPr>
            <w:tcW w:w="894" w:type="dxa"/>
            <w:tcBorders>
              <w:top w:val="nil"/>
              <w:bottom w:val="nil"/>
            </w:tcBorders>
            <w:shd w:val="clear" w:color="auto" w:fill="auto"/>
          </w:tcPr>
          <w:p w14:paraId="24926E95"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94</w:t>
            </w:r>
          </w:p>
        </w:tc>
        <w:tc>
          <w:tcPr>
            <w:tcW w:w="1453" w:type="dxa"/>
            <w:tcBorders>
              <w:top w:val="nil"/>
              <w:bottom w:val="nil"/>
            </w:tcBorders>
            <w:shd w:val="clear" w:color="auto" w:fill="auto"/>
          </w:tcPr>
          <w:p w14:paraId="20A91968"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w:t>
            </w:r>
          </w:p>
        </w:tc>
      </w:tr>
      <w:tr w:rsidR="00B7773D" w:rsidRPr="00B751AA" w14:paraId="0EF4D5F1" w14:textId="77777777" w:rsidTr="002F632A">
        <w:trPr>
          <w:trHeight w:val="650"/>
        </w:trPr>
        <w:tc>
          <w:tcPr>
            <w:tcW w:w="1952" w:type="dxa"/>
            <w:tcBorders>
              <w:top w:val="nil"/>
              <w:bottom w:val="nil"/>
            </w:tcBorders>
            <w:shd w:val="clear" w:color="auto" w:fill="auto"/>
          </w:tcPr>
          <w:p w14:paraId="4B6F9002" w14:textId="77777777" w:rsidR="00B7773D" w:rsidRPr="002F632A" w:rsidRDefault="00B7773D" w:rsidP="00B7773D">
            <w:pPr>
              <w:snapToGrid w:val="0"/>
              <w:spacing w:after="0" w:line="360" w:lineRule="auto"/>
              <w:ind w:firstLineChars="50" w:firstLine="120"/>
              <w:jc w:val="both"/>
              <w:rPr>
                <w:rFonts w:ascii="Book Antiqua" w:eastAsia="Calibri" w:hAnsi="Book Antiqua"/>
                <w:bCs/>
                <w:sz w:val="24"/>
                <w:szCs w:val="24"/>
                <w:lang w:val="de-DE"/>
              </w:rPr>
            </w:pPr>
            <w:r w:rsidRPr="002F632A">
              <w:rPr>
                <w:rFonts w:ascii="Book Antiqua" w:eastAsia="Calibri" w:hAnsi="Book Antiqua"/>
                <w:bCs/>
                <w:sz w:val="24"/>
                <w:szCs w:val="24"/>
                <w:lang w:val="de-DE"/>
              </w:rPr>
              <w:t>Female</w:t>
            </w:r>
          </w:p>
        </w:tc>
        <w:tc>
          <w:tcPr>
            <w:tcW w:w="680" w:type="dxa"/>
            <w:tcBorders>
              <w:top w:val="nil"/>
              <w:bottom w:val="nil"/>
            </w:tcBorders>
            <w:shd w:val="clear" w:color="auto" w:fill="auto"/>
          </w:tcPr>
          <w:p w14:paraId="11F482DB"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40</w:t>
            </w:r>
          </w:p>
        </w:tc>
        <w:tc>
          <w:tcPr>
            <w:tcW w:w="1453" w:type="dxa"/>
            <w:tcBorders>
              <w:top w:val="nil"/>
              <w:bottom w:val="nil"/>
            </w:tcBorders>
            <w:shd w:val="clear" w:color="auto" w:fill="auto"/>
          </w:tcPr>
          <w:p w14:paraId="6C4CD523"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25</w:t>
            </w:r>
          </w:p>
        </w:tc>
        <w:tc>
          <w:tcPr>
            <w:tcW w:w="836" w:type="dxa"/>
            <w:tcBorders>
              <w:top w:val="nil"/>
              <w:bottom w:val="nil"/>
            </w:tcBorders>
            <w:shd w:val="clear" w:color="auto" w:fill="auto"/>
          </w:tcPr>
          <w:p w14:paraId="5A9987CA"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29</w:t>
            </w:r>
          </w:p>
        </w:tc>
        <w:tc>
          <w:tcPr>
            <w:tcW w:w="1453" w:type="dxa"/>
            <w:tcBorders>
              <w:top w:val="nil"/>
              <w:bottom w:val="nil"/>
            </w:tcBorders>
            <w:shd w:val="clear" w:color="auto" w:fill="auto"/>
          </w:tcPr>
          <w:p w14:paraId="4EFB35C3"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32</w:t>
            </w:r>
          </w:p>
        </w:tc>
        <w:tc>
          <w:tcPr>
            <w:tcW w:w="894" w:type="dxa"/>
            <w:tcBorders>
              <w:top w:val="nil"/>
              <w:bottom w:val="nil"/>
            </w:tcBorders>
            <w:shd w:val="clear" w:color="auto" w:fill="auto"/>
          </w:tcPr>
          <w:p w14:paraId="164A4A77"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11</w:t>
            </w:r>
          </w:p>
        </w:tc>
        <w:tc>
          <w:tcPr>
            <w:tcW w:w="1453" w:type="dxa"/>
            <w:tcBorders>
              <w:top w:val="nil"/>
              <w:bottom w:val="nil"/>
            </w:tcBorders>
            <w:shd w:val="clear" w:color="auto" w:fill="auto"/>
          </w:tcPr>
          <w:p w14:paraId="3B177BCA"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9</w:t>
            </w:r>
          </w:p>
        </w:tc>
      </w:tr>
      <w:tr w:rsidR="00BB36AA" w:rsidRPr="00B751AA" w14:paraId="4A320373" w14:textId="77777777" w:rsidTr="002F632A">
        <w:trPr>
          <w:trHeight w:val="340"/>
        </w:trPr>
        <w:tc>
          <w:tcPr>
            <w:tcW w:w="1952" w:type="dxa"/>
            <w:tcBorders>
              <w:top w:val="nil"/>
              <w:bottom w:val="nil"/>
            </w:tcBorders>
            <w:shd w:val="clear" w:color="auto" w:fill="auto"/>
          </w:tcPr>
          <w:p w14:paraId="61C0450E" w14:textId="77777777" w:rsidR="00BB36AA" w:rsidRPr="002F632A" w:rsidRDefault="00BB36AA" w:rsidP="00B751AA">
            <w:pPr>
              <w:snapToGrid w:val="0"/>
              <w:spacing w:after="0" w:line="360" w:lineRule="auto"/>
              <w:jc w:val="both"/>
              <w:rPr>
                <w:rFonts w:ascii="Book Antiqua" w:eastAsia="Calibri" w:hAnsi="Book Antiqua"/>
                <w:bCs/>
                <w:sz w:val="24"/>
                <w:szCs w:val="24"/>
              </w:rPr>
            </w:pPr>
            <w:r w:rsidRPr="002F632A">
              <w:rPr>
                <w:rFonts w:ascii="Book Antiqua" w:eastAsia="Calibri" w:hAnsi="Book Antiqua"/>
                <w:bCs/>
                <w:sz w:val="24"/>
                <w:szCs w:val="24"/>
              </w:rPr>
              <w:t>Therapy</w:t>
            </w:r>
          </w:p>
        </w:tc>
        <w:tc>
          <w:tcPr>
            <w:tcW w:w="680" w:type="dxa"/>
            <w:tcBorders>
              <w:top w:val="nil"/>
              <w:bottom w:val="nil"/>
            </w:tcBorders>
            <w:shd w:val="clear" w:color="auto" w:fill="auto"/>
          </w:tcPr>
          <w:p w14:paraId="2826275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5AC10F99"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36" w:type="dxa"/>
            <w:tcBorders>
              <w:top w:val="nil"/>
              <w:bottom w:val="nil"/>
            </w:tcBorders>
            <w:shd w:val="clear" w:color="auto" w:fill="auto"/>
          </w:tcPr>
          <w:p w14:paraId="3B80413D"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4253A723"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94" w:type="dxa"/>
            <w:tcBorders>
              <w:top w:val="nil"/>
              <w:bottom w:val="nil"/>
            </w:tcBorders>
            <w:shd w:val="clear" w:color="auto" w:fill="auto"/>
          </w:tcPr>
          <w:p w14:paraId="1E3FCBB9"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1077422A"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r>
      <w:tr w:rsidR="00B7773D" w:rsidRPr="00B751AA" w14:paraId="21358FE6" w14:textId="77777777" w:rsidTr="002F632A">
        <w:trPr>
          <w:trHeight w:val="326"/>
        </w:trPr>
        <w:tc>
          <w:tcPr>
            <w:tcW w:w="1952" w:type="dxa"/>
            <w:tcBorders>
              <w:top w:val="nil"/>
              <w:bottom w:val="nil"/>
            </w:tcBorders>
            <w:shd w:val="clear" w:color="auto" w:fill="auto"/>
          </w:tcPr>
          <w:p w14:paraId="7BBB2379" w14:textId="77777777" w:rsidR="00B7773D" w:rsidRPr="002F632A" w:rsidRDefault="00B7773D" w:rsidP="002F632A">
            <w:pPr>
              <w:snapToGrid w:val="0"/>
              <w:spacing w:after="0" w:line="360" w:lineRule="auto"/>
              <w:ind w:firstLineChars="50" w:firstLine="120"/>
              <w:jc w:val="both"/>
              <w:rPr>
                <w:rFonts w:ascii="Book Antiqua" w:eastAsia="Calibri" w:hAnsi="Book Antiqua"/>
                <w:bCs/>
                <w:sz w:val="24"/>
                <w:szCs w:val="24"/>
              </w:rPr>
            </w:pPr>
            <w:r w:rsidRPr="002F632A">
              <w:rPr>
                <w:rFonts w:ascii="Book Antiqua" w:eastAsia="Calibri" w:hAnsi="Book Antiqua"/>
                <w:bCs/>
                <w:sz w:val="24"/>
                <w:szCs w:val="24"/>
              </w:rPr>
              <w:t>Surgery only</w:t>
            </w:r>
          </w:p>
        </w:tc>
        <w:tc>
          <w:tcPr>
            <w:tcW w:w="680" w:type="dxa"/>
            <w:tcBorders>
              <w:top w:val="nil"/>
              <w:bottom w:val="nil"/>
            </w:tcBorders>
            <w:shd w:val="clear" w:color="auto" w:fill="auto"/>
          </w:tcPr>
          <w:p w14:paraId="554CCAD9" w14:textId="77777777" w:rsidR="00B7773D" w:rsidRPr="002F632A" w:rsidRDefault="00B7773D" w:rsidP="00B7773D">
            <w:pPr>
              <w:snapToGrid w:val="0"/>
              <w:spacing w:after="0" w:line="360" w:lineRule="auto"/>
              <w:jc w:val="both"/>
              <w:rPr>
                <w:rFonts w:ascii="Book Antiqua" w:eastAsia="Calibri" w:hAnsi="Book Antiqua"/>
                <w:bCs/>
                <w:sz w:val="24"/>
                <w:szCs w:val="24"/>
              </w:rPr>
            </w:pPr>
            <w:r w:rsidRPr="002F632A">
              <w:rPr>
                <w:rFonts w:ascii="Book Antiqua" w:eastAsia="Calibri" w:hAnsi="Book Antiqua"/>
                <w:bCs/>
                <w:sz w:val="24"/>
                <w:szCs w:val="24"/>
                <w:lang w:val="de-DE"/>
              </w:rPr>
              <w:t>89</w:t>
            </w:r>
          </w:p>
        </w:tc>
        <w:tc>
          <w:tcPr>
            <w:tcW w:w="1453" w:type="dxa"/>
            <w:tcBorders>
              <w:top w:val="nil"/>
              <w:bottom w:val="nil"/>
            </w:tcBorders>
            <w:shd w:val="clear" w:color="auto" w:fill="auto"/>
          </w:tcPr>
          <w:p w14:paraId="7E0EC444"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19</w:t>
            </w:r>
          </w:p>
        </w:tc>
        <w:tc>
          <w:tcPr>
            <w:tcW w:w="836" w:type="dxa"/>
            <w:tcBorders>
              <w:top w:val="nil"/>
              <w:bottom w:val="nil"/>
            </w:tcBorders>
            <w:shd w:val="clear" w:color="auto" w:fill="auto"/>
          </w:tcPr>
          <w:p w14:paraId="178C51F4"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32</w:t>
            </w:r>
          </w:p>
        </w:tc>
        <w:tc>
          <w:tcPr>
            <w:tcW w:w="1453" w:type="dxa"/>
            <w:tcBorders>
              <w:top w:val="nil"/>
              <w:bottom w:val="nil"/>
            </w:tcBorders>
            <w:shd w:val="clear" w:color="auto" w:fill="auto"/>
          </w:tcPr>
          <w:p w14:paraId="7D30AAD2"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50</w:t>
            </w:r>
          </w:p>
        </w:tc>
        <w:tc>
          <w:tcPr>
            <w:tcW w:w="894" w:type="dxa"/>
            <w:tcBorders>
              <w:top w:val="nil"/>
              <w:bottom w:val="nil"/>
            </w:tcBorders>
            <w:shd w:val="clear" w:color="auto" w:fill="auto"/>
          </w:tcPr>
          <w:p w14:paraId="4F16286F"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57</w:t>
            </w:r>
          </w:p>
        </w:tc>
        <w:tc>
          <w:tcPr>
            <w:tcW w:w="1453" w:type="dxa"/>
            <w:tcBorders>
              <w:top w:val="nil"/>
              <w:bottom w:val="nil"/>
            </w:tcBorders>
            <w:shd w:val="clear" w:color="auto" w:fill="auto"/>
          </w:tcPr>
          <w:p w14:paraId="201A04C4"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w:t>
            </w:r>
          </w:p>
        </w:tc>
      </w:tr>
      <w:tr w:rsidR="00B7773D" w:rsidRPr="00B751AA" w14:paraId="01C0FAC1" w14:textId="77777777" w:rsidTr="002F632A">
        <w:trPr>
          <w:trHeight w:val="1053"/>
        </w:trPr>
        <w:tc>
          <w:tcPr>
            <w:tcW w:w="1952" w:type="dxa"/>
            <w:tcBorders>
              <w:top w:val="nil"/>
              <w:bottom w:val="nil"/>
            </w:tcBorders>
            <w:shd w:val="clear" w:color="auto" w:fill="auto"/>
          </w:tcPr>
          <w:p w14:paraId="1EDE22FA" w14:textId="77777777" w:rsidR="00B7773D" w:rsidRPr="002F632A" w:rsidRDefault="00B7773D" w:rsidP="002F632A">
            <w:pPr>
              <w:snapToGrid w:val="0"/>
              <w:spacing w:after="0" w:line="360" w:lineRule="auto"/>
              <w:ind w:firstLineChars="50" w:firstLine="120"/>
              <w:jc w:val="both"/>
              <w:rPr>
                <w:rFonts w:ascii="Book Antiqua" w:eastAsia="Calibri" w:hAnsi="Book Antiqua"/>
                <w:bCs/>
                <w:sz w:val="24"/>
                <w:szCs w:val="24"/>
              </w:rPr>
            </w:pPr>
            <w:proofErr w:type="spellStart"/>
            <w:r w:rsidRPr="002F632A">
              <w:rPr>
                <w:rFonts w:ascii="Book Antiqua" w:eastAsia="Calibri" w:hAnsi="Book Antiqua"/>
                <w:bCs/>
                <w:sz w:val="24"/>
                <w:szCs w:val="24"/>
              </w:rPr>
              <w:t>RTx</w:t>
            </w:r>
            <w:proofErr w:type="spellEnd"/>
            <w:r w:rsidRPr="002F632A">
              <w:rPr>
                <w:rFonts w:ascii="Book Antiqua" w:eastAsia="Calibri" w:hAnsi="Book Antiqua"/>
                <w:bCs/>
                <w:sz w:val="24"/>
                <w:szCs w:val="24"/>
              </w:rPr>
              <w:t>/</w:t>
            </w:r>
            <w:proofErr w:type="spellStart"/>
            <w:r w:rsidRPr="002F632A">
              <w:rPr>
                <w:rFonts w:ascii="Book Antiqua" w:eastAsia="Calibri" w:hAnsi="Book Antiqua"/>
                <w:bCs/>
                <w:sz w:val="24"/>
                <w:szCs w:val="24"/>
              </w:rPr>
              <w:t>CTx</w:t>
            </w:r>
            <w:proofErr w:type="spellEnd"/>
            <w:r w:rsidRPr="002F632A">
              <w:rPr>
                <w:rFonts w:ascii="Book Antiqua" w:eastAsia="Calibri" w:hAnsi="Book Antiqua"/>
                <w:bCs/>
                <w:sz w:val="24"/>
                <w:szCs w:val="24"/>
              </w:rPr>
              <w:t xml:space="preserve"> + </w:t>
            </w:r>
            <w:r w:rsidR="002F632A" w:rsidRPr="002F632A">
              <w:rPr>
                <w:rFonts w:ascii="Book Antiqua" w:eastAsia="Calibri" w:hAnsi="Book Antiqua"/>
                <w:bCs/>
                <w:sz w:val="24"/>
                <w:szCs w:val="24"/>
              </w:rPr>
              <w:t>surgery</w:t>
            </w:r>
          </w:p>
        </w:tc>
        <w:tc>
          <w:tcPr>
            <w:tcW w:w="680" w:type="dxa"/>
            <w:tcBorders>
              <w:top w:val="nil"/>
              <w:bottom w:val="nil"/>
            </w:tcBorders>
            <w:shd w:val="clear" w:color="auto" w:fill="auto"/>
          </w:tcPr>
          <w:p w14:paraId="4AF0A20B"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106</w:t>
            </w:r>
          </w:p>
        </w:tc>
        <w:tc>
          <w:tcPr>
            <w:tcW w:w="1453" w:type="dxa"/>
            <w:tcBorders>
              <w:top w:val="nil"/>
              <w:bottom w:val="nil"/>
            </w:tcBorders>
            <w:shd w:val="clear" w:color="auto" w:fill="auto"/>
          </w:tcPr>
          <w:p w14:paraId="0C8555F1"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7</w:t>
            </w:r>
          </w:p>
        </w:tc>
        <w:tc>
          <w:tcPr>
            <w:tcW w:w="836" w:type="dxa"/>
            <w:tcBorders>
              <w:top w:val="nil"/>
              <w:bottom w:val="nil"/>
            </w:tcBorders>
            <w:shd w:val="clear" w:color="auto" w:fill="auto"/>
          </w:tcPr>
          <w:p w14:paraId="723EBF23" w14:textId="77777777" w:rsidR="00B7773D" w:rsidRPr="002F632A" w:rsidRDefault="00B7773D"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58</w:t>
            </w:r>
          </w:p>
        </w:tc>
        <w:tc>
          <w:tcPr>
            <w:tcW w:w="1453" w:type="dxa"/>
            <w:tcBorders>
              <w:top w:val="nil"/>
              <w:bottom w:val="nil"/>
            </w:tcBorders>
            <w:shd w:val="clear" w:color="auto" w:fill="auto"/>
          </w:tcPr>
          <w:p w14:paraId="6C379195"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11</w:t>
            </w:r>
          </w:p>
        </w:tc>
        <w:tc>
          <w:tcPr>
            <w:tcW w:w="894" w:type="dxa"/>
            <w:tcBorders>
              <w:top w:val="nil"/>
              <w:bottom w:val="nil"/>
            </w:tcBorders>
            <w:shd w:val="clear" w:color="auto" w:fill="auto"/>
          </w:tcPr>
          <w:p w14:paraId="2AD8E250"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48</w:t>
            </w:r>
          </w:p>
        </w:tc>
        <w:tc>
          <w:tcPr>
            <w:tcW w:w="1453" w:type="dxa"/>
            <w:tcBorders>
              <w:top w:val="nil"/>
              <w:bottom w:val="nil"/>
            </w:tcBorders>
            <w:shd w:val="clear" w:color="auto" w:fill="auto"/>
          </w:tcPr>
          <w:p w14:paraId="5D6EE12A"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w:t>
            </w:r>
          </w:p>
        </w:tc>
      </w:tr>
      <w:tr w:rsidR="00BB36AA" w:rsidRPr="00B751AA" w14:paraId="0AD77DC9" w14:textId="77777777" w:rsidTr="002F632A">
        <w:trPr>
          <w:trHeight w:val="325"/>
        </w:trPr>
        <w:tc>
          <w:tcPr>
            <w:tcW w:w="1952" w:type="dxa"/>
            <w:tcBorders>
              <w:top w:val="nil"/>
              <w:bottom w:val="nil"/>
            </w:tcBorders>
            <w:shd w:val="clear" w:color="auto" w:fill="auto"/>
          </w:tcPr>
          <w:p w14:paraId="63606034" w14:textId="77777777" w:rsidR="00BB36AA" w:rsidRPr="002F632A" w:rsidRDefault="00BB36AA" w:rsidP="00B751AA">
            <w:pPr>
              <w:snapToGrid w:val="0"/>
              <w:spacing w:after="0" w:line="360" w:lineRule="auto"/>
              <w:jc w:val="both"/>
              <w:rPr>
                <w:rFonts w:ascii="Book Antiqua" w:eastAsia="Calibri" w:hAnsi="Book Antiqua"/>
                <w:bCs/>
                <w:sz w:val="24"/>
                <w:szCs w:val="24"/>
              </w:rPr>
            </w:pPr>
            <w:r w:rsidRPr="002F632A">
              <w:rPr>
                <w:rFonts w:ascii="Book Antiqua" w:eastAsia="Calibri" w:hAnsi="Book Antiqua"/>
                <w:bCs/>
                <w:sz w:val="24"/>
                <w:szCs w:val="24"/>
              </w:rPr>
              <w:t>T-category</w:t>
            </w:r>
          </w:p>
        </w:tc>
        <w:tc>
          <w:tcPr>
            <w:tcW w:w="680" w:type="dxa"/>
            <w:tcBorders>
              <w:top w:val="nil"/>
              <w:bottom w:val="nil"/>
            </w:tcBorders>
            <w:shd w:val="clear" w:color="auto" w:fill="auto"/>
          </w:tcPr>
          <w:p w14:paraId="03579D8A"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534357CD"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36" w:type="dxa"/>
            <w:tcBorders>
              <w:top w:val="nil"/>
              <w:bottom w:val="nil"/>
            </w:tcBorders>
            <w:shd w:val="clear" w:color="auto" w:fill="auto"/>
          </w:tcPr>
          <w:p w14:paraId="598C34C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72D29ACD"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894" w:type="dxa"/>
            <w:tcBorders>
              <w:top w:val="nil"/>
              <w:bottom w:val="nil"/>
            </w:tcBorders>
            <w:shd w:val="clear" w:color="auto" w:fill="auto"/>
          </w:tcPr>
          <w:p w14:paraId="14898DC1"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c>
          <w:tcPr>
            <w:tcW w:w="1453" w:type="dxa"/>
            <w:tcBorders>
              <w:top w:val="nil"/>
              <w:bottom w:val="nil"/>
            </w:tcBorders>
            <w:shd w:val="clear" w:color="auto" w:fill="auto"/>
          </w:tcPr>
          <w:p w14:paraId="7C0FF283"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p>
        </w:tc>
      </w:tr>
      <w:tr w:rsidR="00B7773D" w:rsidRPr="00B751AA" w14:paraId="00441AE7" w14:textId="77777777" w:rsidTr="002F632A">
        <w:trPr>
          <w:trHeight w:val="388"/>
        </w:trPr>
        <w:tc>
          <w:tcPr>
            <w:tcW w:w="1952" w:type="dxa"/>
            <w:tcBorders>
              <w:top w:val="nil"/>
              <w:bottom w:val="nil"/>
            </w:tcBorders>
            <w:shd w:val="clear" w:color="auto" w:fill="auto"/>
          </w:tcPr>
          <w:p w14:paraId="0801349B" w14:textId="77777777" w:rsidR="00B7773D" w:rsidRPr="002F632A" w:rsidRDefault="00B7773D" w:rsidP="002F632A">
            <w:pPr>
              <w:snapToGrid w:val="0"/>
              <w:spacing w:after="0" w:line="360" w:lineRule="auto"/>
              <w:ind w:firstLineChars="50" w:firstLine="120"/>
              <w:jc w:val="both"/>
              <w:rPr>
                <w:rFonts w:ascii="Book Antiqua" w:eastAsia="Calibri" w:hAnsi="Book Antiqua"/>
                <w:bCs/>
                <w:sz w:val="24"/>
                <w:szCs w:val="24"/>
              </w:rPr>
            </w:pPr>
            <w:r w:rsidRPr="002F632A">
              <w:rPr>
                <w:rFonts w:ascii="Book Antiqua" w:eastAsia="Calibri" w:hAnsi="Book Antiqua"/>
                <w:bCs/>
                <w:sz w:val="24"/>
                <w:szCs w:val="24"/>
              </w:rPr>
              <w:t>pT2</w:t>
            </w:r>
          </w:p>
        </w:tc>
        <w:tc>
          <w:tcPr>
            <w:tcW w:w="680" w:type="dxa"/>
            <w:tcBorders>
              <w:top w:val="nil"/>
              <w:bottom w:val="nil"/>
            </w:tcBorders>
            <w:shd w:val="clear" w:color="auto" w:fill="auto"/>
          </w:tcPr>
          <w:p w14:paraId="314BD4B5" w14:textId="77777777" w:rsidR="00B7773D" w:rsidRPr="002F632A" w:rsidRDefault="00B7773D" w:rsidP="00B7773D">
            <w:pPr>
              <w:snapToGrid w:val="0"/>
              <w:spacing w:after="0" w:line="360" w:lineRule="auto"/>
              <w:jc w:val="both"/>
              <w:rPr>
                <w:rFonts w:ascii="Book Antiqua" w:eastAsia="Calibri" w:hAnsi="Book Antiqua"/>
                <w:bCs/>
                <w:sz w:val="24"/>
                <w:szCs w:val="24"/>
              </w:rPr>
            </w:pPr>
            <w:r w:rsidRPr="002F632A">
              <w:rPr>
                <w:rFonts w:ascii="Book Antiqua" w:eastAsia="Calibri" w:hAnsi="Book Antiqua"/>
                <w:bCs/>
                <w:sz w:val="24"/>
                <w:szCs w:val="24"/>
                <w:lang w:val="de-DE"/>
              </w:rPr>
              <w:t>30</w:t>
            </w:r>
          </w:p>
        </w:tc>
        <w:tc>
          <w:tcPr>
            <w:tcW w:w="1453" w:type="dxa"/>
            <w:tcBorders>
              <w:top w:val="nil"/>
              <w:bottom w:val="nil"/>
            </w:tcBorders>
            <w:shd w:val="clear" w:color="auto" w:fill="auto"/>
          </w:tcPr>
          <w:p w14:paraId="452BF8A6"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w:t>
            </w:r>
          </w:p>
        </w:tc>
        <w:tc>
          <w:tcPr>
            <w:tcW w:w="836" w:type="dxa"/>
            <w:tcBorders>
              <w:top w:val="nil"/>
              <w:bottom w:val="nil"/>
            </w:tcBorders>
            <w:shd w:val="clear" w:color="auto" w:fill="auto"/>
          </w:tcPr>
          <w:p w14:paraId="42EECA6D"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6</w:t>
            </w:r>
          </w:p>
        </w:tc>
        <w:tc>
          <w:tcPr>
            <w:tcW w:w="1453" w:type="dxa"/>
            <w:tcBorders>
              <w:top w:val="nil"/>
              <w:bottom w:val="nil"/>
            </w:tcBorders>
            <w:shd w:val="clear" w:color="auto" w:fill="auto"/>
          </w:tcPr>
          <w:p w14:paraId="5DD8946F"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17</w:t>
            </w:r>
          </w:p>
        </w:tc>
        <w:tc>
          <w:tcPr>
            <w:tcW w:w="894" w:type="dxa"/>
            <w:tcBorders>
              <w:top w:val="nil"/>
              <w:bottom w:val="nil"/>
            </w:tcBorders>
            <w:shd w:val="clear" w:color="auto" w:fill="auto"/>
          </w:tcPr>
          <w:p w14:paraId="58C3422F"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24</w:t>
            </w:r>
          </w:p>
        </w:tc>
        <w:tc>
          <w:tcPr>
            <w:tcW w:w="1453" w:type="dxa"/>
            <w:tcBorders>
              <w:top w:val="nil"/>
              <w:bottom w:val="nil"/>
            </w:tcBorders>
            <w:shd w:val="clear" w:color="auto" w:fill="auto"/>
          </w:tcPr>
          <w:p w14:paraId="55CEF970"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0</w:t>
            </w:r>
          </w:p>
        </w:tc>
      </w:tr>
      <w:tr w:rsidR="00B7773D" w:rsidRPr="00B751AA" w14:paraId="28AD0B58" w14:textId="77777777" w:rsidTr="002F632A">
        <w:trPr>
          <w:trHeight w:val="499"/>
        </w:trPr>
        <w:tc>
          <w:tcPr>
            <w:tcW w:w="1952" w:type="dxa"/>
            <w:tcBorders>
              <w:top w:val="nil"/>
              <w:bottom w:val="nil"/>
            </w:tcBorders>
            <w:shd w:val="clear" w:color="auto" w:fill="auto"/>
          </w:tcPr>
          <w:p w14:paraId="4FC8C1E5" w14:textId="77777777" w:rsidR="00B7773D" w:rsidRPr="002F632A" w:rsidRDefault="00B7773D" w:rsidP="002F632A">
            <w:pPr>
              <w:snapToGrid w:val="0"/>
              <w:spacing w:after="0" w:line="360" w:lineRule="auto"/>
              <w:ind w:firstLineChars="50" w:firstLine="120"/>
              <w:jc w:val="both"/>
              <w:rPr>
                <w:rFonts w:ascii="Book Antiqua" w:eastAsia="Calibri" w:hAnsi="Book Antiqua"/>
                <w:bCs/>
                <w:sz w:val="24"/>
                <w:szCs w:val="24"/>
              </w:rPr>
            </w:pPr>
            <w:proofErr w:type="spellStart"/>
            <w:r w:rsidRPr="002F632A">
              <w:rPr>
                <w:rFonts w:ascii="Book Antiqua" w:eastAsia="Calibri" w:hAnsi="Book Antiqua"/>
                <w:bCs/>
                <w:sz w:val="24"/>
                <w:szCs w:val="24"/>
              </w:rPr>
              <w:t>cT</w:t>
            </w:r>
            <w:proofErr w:type="spellEnd"/>
            <w:r w:rsidRPr="002F632A">
              <w:rPr>
                <w:rFonts w:ascii="Book Antiqua" w:eastAsia="Calibri" w:hAnsi="Book Antiqua"/>
                <w:bCs/>
                <w:sz w:val="24"/>
                <w:szCs w:val="24"/>
              </w:rPr>
              <w:t>/pT3</w:t>
            </w:r>
          </w:p>
        </w:tc>
        <w:tc>
          <w:tcPr>
            <w:tcW w:w="680" w:type="dxa"/>
            <w:tcBorders>
              <w:top w:val="nil"/>
              <w:bottom w:val="nil"/>
            </w:tcBorders>
            <w:shd w:val="clear" w:color="auto" w:fill="auto"/>
          </w:tcPr>
          <w:p w14:paraId="63C34DF3"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165</w:t>
            </w:r>
          </w:p>
        </w:tc>
        <w:tc>
          <w:tcPr>
            <w:tcW w:w="1453" w:type="dxa"/>
            <w:tcBorders>
              <w:top w:val="nil"/>
              <w:bottom w:val="nil"/>
            </w:tcBorders>
            <w:shd w:val="clear" w:color="auto" w:fill="auto"/>
          </w:tcPr>
          <w:p w14:paraId="569250BF" w14:textId="77777777" w:rsidR="00B7773D" w:rsidRPr="002F632A" w:rsidRDefault="00B7773D"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14</w:t>
            </w:r>
          </w:p>
        </w:tc>
        <w:tc>
          <w:tcPr>
            <w:tcW w:w="836" w:type="dxa"/>
            <w:tcBorders>
              <w:top w:val="nil"/>
              <w:bottom w:val="nil"/>
            </w:tcBorders>
            <w:shd w:val="clear" w:color="auto" w:fill="auto"/>
          </w:tcPr>
          <w:p w14:paraId="463097B0"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84</w:t>
            </w:r>
          </w:p>
        </w:tc>
        <w:tc>
          <w:tcPr>
            <w:tcW w:w="1453" w:type="dxa"/>
            <w:tcBorders>
              <w:top w:val="nil"/>
              <w:bottom w:val="nil"/>
            </w:tcBorders>
            <w:shd w:val="clear" w:color="auto" w:fill="auto"/>
          </w:tcPr>
          <w:p w14:paraId="51380EC8"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27</w:t>
            </w:r>
          </w:p>
        </w:tc>
        <w:tc>
          <w:tcPr>
            <w:tcW w:w="894" w:type="dxa"/>
            <w:tcBorders>
              <w:top w:val="nil"/>
              <w:bottom w:val="nil"/>
            </w:tcBorders>
            <w:shd w:val="clear" w:color="auto" w:fill="auto"/>
          </w:tcPr>
          <w:p w14:paraId="6E9BF24F"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81</w:t>
            </w:r>
          </w:p>
        </w:tc>
        <w:tc>
          <w:tcPr>
            <w:tcW w:w="1453" w:type="dxa"/>
            <w:tcBorders>
              <w:top w:val="nil"/>
              <w:bottom w:val="nil"/>
            </w:tcBorders>
            <w:shd w:val="clear" w:color="auto" w:fill="auto"/>
          </w:tcPr>
          <w:p w14:paraId="6FABB0DD" w14:textId="77777777" w:rsidR="00B7773D" w:rsidRPr="002F632A" w:rsidRDefault="00B7773D" w:rsidP="00B7773D">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w:t>
            </w:r>
          </w:p>
        </w:tc>
      </w:tr>
      <w:tr w:rsidR="00BB36AA" w:rsidRPr="00B751AA" w14:paraId="7F615286" w14:textId="77777777" w:rsidTr="002F632A">
        <w:tc>
          <w:tcPr>
            <w:tcW w:w="1952" w:type="dxa"/>
            <w:tcBorders>
              <w:top w:val="nil"/>
              <w:bottom w:val="single" w:sz="4" w:space="0" w:color="auto"/>
            </w:tcBorders>
            <w:shd w:val="clear" w:color="auto" w:fill="auto"/>
          </w:tcPr>
          <w:p w14:paraId="1198E897"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Endoscopic biopsy</w:t>
            </w:r>
          </w:p>
        </w:tc>
        <w:tc>
          <w:tcPr>
            <w:tcW w:w="680" w:type="dxa"/>
            <w:tcBorders>
              <w:top w:val="nil"/>
              <w:bottom w:val="single" w:sz="4" w:space="0" w:color="auto"/>
            </w:tcBorders>
            <w:shd w:val="clear" w:color="auto" w:fill="auto"/>
          </w:tcPr>
          <w:p w14:paraId="321FB67B"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104</w:t>
            </w:r>
          </w:p>
        </w:tc>
        <w:tc>
          <w:tcPr>
            <w:tcW w:w="1453" w:type="dxa"/>
            <w:tcBorders>
              <w:top w:val="nil"/>
              <w:bottom w:val="single" w:sz="4" w:space="0" w:color="auto"/>
            </w:tcBorders>
            <w:shd w:val="clear" w:color="auto" w:fill="auto"/>
          </w:tcPr>
          <w:p w14:paraId="05A86D6B"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7</w:t>
            </w:r>
          </w:p>
        </w:tc>
        <w:tc>
          <w:tcPr>
            <w:tcW w:w="836" w:type="dxa"/>
            <w:tcBorders>
              <w:top w:val="nil"/>
              <w:bottom w:val="single" w:sz="4" w:space="0" w:color="auto"/>
            </w:tcBorders>
            <w:shd w:val="clear" w:color="auto" w:fill="auto"/>
          </w:tcPr>
          <w:p w14:paraId="297A6875"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58</w:t>
            </w:r>
          </w:p>
        </w:tc>
        <w:tc>
          <w:tcPr>
            <w:tcW w:w="1453" w:type="dxa"/>
            <w:tcBorders>
              <w:top w:val="nil"/>
              <w:bottom w:val="single" w:sz="4" w:space="0" w:color="auto"/>
            </w:tcBorders>
            <w:shd w:val="clear" w:color="auto" w:fill="auto"/>
          </w:tcPr>
          <w:p w14:paraId="58060806"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38</w:t>
            </w:r>
          </w:p>
        </w:tc>
        <w:tc>
          <w:tcPr>
            <w:tcW w:w="894" w:type="dxa"/>
            <w:tcBorders>
              <w:top w:val="nil"/>
              <w:bottom w:val="single" w:sz="4" w:space="0" w:color="auto"/>
            </w:tcBorders>
            <w:shd w:val="clear" w:color="auto" w:fill="auto"/>
          </w:tcPr>
          <w:p w14:paraId="7A6EBEDE"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46</w:t>
            </w:r>
          </w:p>
        </w:tc>
        <w:tc>
          <w:tcPr>
            <w:tcW w:w="1453" w:type="dxa"/>
            <w:tcBorders>
              <w:top w:val="nil"/>
              <w:bottom w:val="single" w:sz="4" w:space="0" w:color="auto"/>
            </w:tcBorders>
            <w:shd w:val="clear" w:color="auto" w:fill="auto"/>
          </w:tcPr>
          <w:p w14:paraId="059D520C" w14:textId="77777777" w:rsidR="00BB36AA" w:rsidRPr="002F632A" w:rsidRDefault="00BB36AA" w:rsidP="00B751AA">
            <w:pPr>
              <w:snapToGrid w:val="0"/>
              <w:spacing w:after="0" w:line="360" w:lineRule="auto"/>
              <w:jc w:val="both"/>
              <w:rPr>
                <w:rFonts w:ascii="Book Antiqua" w:eastAsia="Calibri" w:hAnsi="Book Antiqua"/>
                <w:bCs/>
                <w:sz w:val="24"/>
                <w:szCs w:val="24"/>
                <w:lang w:val="de-DE"/>
              </w:rPr>
            </w:pPr>
            <w:r w:rsidRPr="002F632A">
              <w:rPr>
                <w:rFonts w:ascii="Book Antiqua" w:eastAsia="Calibri" w:hAnsi="Book Antiqua"/>
                <w:bCs/>
                <w:sz w:val="24"/>
                <w:szCs w:val="24"/>
                <w:lang w:val="de-DE"/>
              </w:rPr>
              <w:t>2</w:t>
            </w:r>
          </w:p>
        </w:tc>
      </w:tr>
    </w:tbl>
    <w:p w14:paraId="53A7D969" w14:textId="77777777" w:rsidR="002F632A" w:rsidRDefault="00BB36AA" w:rsidP="00B751AA">
      <w:pPr>
        <w:adjustRightInd w:val="0"/>
        <w:snapToGrid w:val="0"/>
        <w:spacing w:after="0" w:line="360" w:lineRule="auto"/>
        <w:jc w:val="both"/>
        <w:rPr>
          <w:rFonts w:ascii="Book Antiqua" w:hAnsi="Book Antiqua" w:cs="Arial"/>
          <w:bCs/>
          <w:color w:val="000000"/>
          <w:kern w:val="1"/>
          <w:sz w:val="24"/>
          <w:szCs w:val="24"/>
          <w:lang w:val="fr-FR"/>
        </w:rPr>
      </w:pPr>
      <w:r w:rsidRPr="00B751AA">
        <w:rPr>
          <w:rFonts w:ascii="Book Antiqua" w:hAnsi="Book Antiqua" w:cs="Arial"/>
          <w:bCs/>
          <w:color w:val="000000"/>
          <w:kern w:val="1"/>
          <w:sz w:val="24"/>
          <w:szCs w:val="24"/>
          <w:lang w:val="fr-FR"/>
        </w:rPr>
        <w:t xml:space="preserve">Biopsies and resected specimen of patients with adeno- and squamous cell carcinoma, scoring by immunohistochemically stained D2-40. </w:t>
      </w:r>
    </w:p>
    <w:p w14:paraId="694C7F5D" w14:textId="77777777" w:rsidR="00DF1C41" w:rsidRPr="002F632A" w:rsidRDefault="00BB36AA" w:rsidP="00B751AA">
      <w:pPr>
        <w:adjustRightInd w:val="0"/>
        <w:snapToGrid w:val="0"/>
        <w:spacing w:after="0" w:line="360" w:lineRule="auto"/>
        <w:jc w:val="both"/>
        <w:rPr>
          <w:rFonts w:ascii="Book Antiqua" w:hAnsi="Book Antiqua" w:cs="Arial"/>
          <w:bCs/>
          <w:color w:val="000000"/>
          <w:kern w:val="1"/>
          <w:sz w:val="24"/>
          <w:szCs w:val="24"/>
          <w:lang w:val="fr-FR"/>
        </w:rPr>
      </w:pPr>
      <w:r w:rsidRPr="00B751AA">
        <w:rPr>
          <w:rFonts w:ascii="Book Antiqua" w:hAnsi="Book Antiqua" w:cs="Arial"/>
          <w:bCs/>
          <w:color w:val="000000"/>
          <w:kern w:val="1"/>
          <w:sz w:val="24"/>
          <w:szCs w:val="24"/>
          <w:lang w:val="fr-FR"/>
        </w:rPr>
        <w:t>HPE</w:t>
      </w:r>
      <w:r w:rsidR="002F632A">
        <w:rPr>
          <w:rFonts w:ascii="Book Antiqua" w:hAnsi="Book Antiqua" w:cs="Arial"/>
          <w:bCs/>
          <w:color w:val="000000"/>
          <w:kern w:val="1"/>
          <w:sz w:val="24"/>
          <w:szCs w:val="24"/>
          <w:lang w:val="fr-FR"/>
        </w:rPr>
        <w:t>:</w:t>
      </w:r>
      <w:r w:rsidRPr="00B751AA">
        <w:rPr>
          <w:rFonts w:ascii="Book Antiqua" w:hAnsi="Book Antiqua" w:cs="Arial"/>
          <w:bCs/>
          <w:color w:val="000000"/>
          <w:kern w:val="1"/>
          <w:sz w:val="24"/>
          <w:szCs w:val="24"/>
          <w:lang w:val="fr-FR"/>
        </w:rPr>
        <w:t xml:space="preserve"> </w:t>
      </w:r>
      <w:r w:rsidR="002F632A" w:rsidRPr="00B751AA">
        <w:rPr>
          <w:rFonts w:ascii="Book Antiqua" w:hAnsi="Book Antiqua" w:cs="Arial"/>
          <w:bCs/>
          <w:color w:val="000000"/>
          <w:kern w:val="1"/>
          <w:sz w:val="24"/>
          <w:szCs w:val="24"/>
          <w:lang w:val="fr-FR"/>
        </w:rPr>
        <w:t xml:space="preserve">High </w:t>
      </w:r>
      <w:r w:rsidRPr="00B751AA">
        <w:rPr>
          <w:rFonts w:ascii="Book Antiqua" w:hAnsi="Book Antiqua" w:cs="Arial"/>
          <w:bCs/>
          <w:color w:val="000000"/>
          <w:kern w:val="1"/>
          <w:sz w:val="24"/>
          <w:szCs w:val="24"/>
          <w:lang w:val="fr-FR"/>
        </w:rPr>
        <w:t>podoplanin expression</w:t>
      </w:r>
      <w:r w:rsidR="002F632A">
        <w:rPr>
          <w:rFonts w:ascii="Book Antiqua" w:hAnsi="Book Antiqua" w:cs="Arial"/>
          <w:bCs/>
          <w:color w:val="000000"/>
          <w:kern w:val="1"/>
          <w:sz w:val="24"/>
          <w:szCs w:val="24"/>
          <w:lang w:val="fr-FR"/>
        </w:rPr>
        <w:t xml:space="preserve">; </w:t>
      </w:r>
      <w:r w:rsidR="002F632A" w:rsidRPr="00B751AA">
        <w:rPr>
          <w:rFonts w:ascii="Book Antiqua" w:hAnsi="Book Antiqua" w:cs="Arial"/>
          <w:bCs/>
          <w:sz w:val="24"/>
          <w:szCs w:val="24"/>
          <w:lang w:val="en-GB"/>
        </w:rPr>
        <w:t>EAC</w:t>
      </w:r>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Adenocarcinoma of the </w:t>
      </w:r>
      <w:proofErr w:type="spellStart"/>
      <w:r w:rsidR="002F632A" w:rsidRPr="00B751AA">
        <w:rPr>
          <w:rFonts w:ascii="Book Antiqua" w:hAnsi="Book Antiqua" w:cs="Arial"/>
          <w:bCs/>
          <w:sz w:val="24"/>
          <w:szCs w:val="24"/>
          <w:lang w:val="en-GB"/>
        </w:rPr>
        <w:t>esophagus</w:t>
      </w:r>
      <w:proofErr w:type="spellEnd"/>
      <w:r w:rsidR="002F632A" w:rsidRPr="00B751AA">
        <w:rPr>
          <w:rFonts w:ascii="Book Antiqua" w:hAnsi="Book Antiqua" w:cs="Arial"/>
          <w:bCs/>
          <w:sz w:val="24"/>
          <w:szCs w:val="24"/>
          <w:lang w:val="en-GB"/>
        </w:rPr>
        <w:t>; ESCC</w:t>
      </w:r>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Squamous cell carcinoma of the </w:t>
      </w:r>
      <w:proofErr w:type="spellStart"/>
      <w:r w:rsidR="002F632A" w:rsidRPr="00B751AA">
        <w:rPr>
          <w:rFonts w:ascii="Book Antiqua" w:hAnsi="Book Antiqua" w:cs="Arial"/>
          <w:bCs/>
          <w:sz w:val="24"/>
          <w:szCs w:val="24"/>
          <w:lang w:val="en-GB"/>
        </w:rPr>
        <w:t>esophagus</w:t>
      </w:r>
      <w:proofErr w:type="spellEnd"/>
      <w:r w:rsidR="002F632A" w:rsidRPr="00B751AA">
        <w:rPr>
          <w:rFonts w:ascii="Book Antiqua" w:hAnsi="Book Antiqua" w:cs="Arial"/>
          <w:bCs/>
          <w:sz w:val="24"/>
          <w:szCs w:val="24"/>
          <w:lang w:val="en-GB"/>
        </w:rPr>
        <w:t xml:space="preserve">; </w:t>
      </w:r>
      <w:proofErr w:type="spellStart"/>
      <w:r w:rsidR="002F632A" w:rsidRPr="00B751AA">
        <w:rPr>
          <w:rFonts w:ascii="Book Antiqua" w:hAnsi="Book Antiqua" w:cs="Arial"/>
          <w:bCs/>
          <w:sz w:val="24"/>
          <w:szCs w:val="24"/>
          <w:lang w:val="en-GB"/>
        </w:rPr>
        <w:t>pT</w:t>
      </w:r>
      <w:proofErr w:type="spellEnd"/>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Pathologic</w:t>
      </w:r>
      <w:r w:rsidR="002F632A">
        <w:rPr>
          <w:rFonts w:ascii="Book Antiqua" w:hAnsi="Book Antiqua" w:cs="Arial"/>
          <w:bCs/>
          <w:sz w:val="24"/>
          <w:szCs w:val="24"/>
          <w:lang w:val="en-GB"/>
        </w:rPr>
        <w:t xml:space="preserve"> </w:t>
      </w:r>
      <w:proofErr w:type="spellStart"/>
      <w:r w:rsidR="002F632A">
        <w:rPr>
          <w:rFonts w:ascii="Book Antiqua" w:hAnsi="Book Antiqua" w:cs="Arial"/>
          <w:bCs/>
          <w:sz w:val="24"/>
          <w:szCs w:val="24"/>
          <w:lang w:val="en-GB"/>
        </w:rPr>
        <w:t>tumor</w:t>
      </w:r>
      <w:proofErr w:type="spellEnd"/>
      <w:r w:rsidR="002F632A" w:rsidRPr="00B751AA">
        <w:rPr>
          <w:rFonts w:ascii="Book Antiqua" w:hAnsi="Book Antiqua" w:cs="Arial"/>
          <w:bCs/>
          <w:sz w:val="24"/>
          <w:szCs w:val="24"/>
          <w:lang w:val="en-GB"/>
        </w:rPr>
        <w:t xml:space="preserve">; </w:t>
      </w:r>
      <w:proofErr w:type="spellStart"/>
      <w:r w:rsidR="002F632A" w:rsidRPr="00B751AA">
        <w:rPr>
          <w:rFonts w:ascii="Book Antiqua" w:hAnsi="Book Antiqua" w:cs="Arial"/>
          <w:bCs/>
          <w:sz w:val="24"/>
          <w:szCs w:val="24"/>
          <w:lang w:val="en-GB"/>
        </w:rPr>
        <w:t>cT</w:t>
      </w:r>
      <w:proofErr w:type="spellEnd"/>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Clinical </w:t>
      </w:r>
      <w:proofErr w:type="spellStart"/>
      <w:r w:rsidR="002F632A" w:rsidRPr="00B751AA">
        <w:rPr>
          <w:rFonts w:ascii="Book Antiqua" w:hAnsi="Book Antiqua" w:cs="Arial"/>
          <w:bCs/>
          <w:sz w:val="24"/>
          <w:szCs w:val="24"/>
          <w:lang w:val="en-GB"/>
        </w:rPr>
        <w:t>tumor</w:t>
      </w:r>
      <w:proofErr w:type="spellEnd"/>
      <w:r w:rsidR="002F632A" w:rsidRPr="00B751AA">
        <w:rPr>
          <w:rFonts w:ascii="Book Antiqua" w:hAnsi="Book Antiqua" w:cs="Arial"/>
          <w:bCs/>
          <w:sz w:val="24"/>
          <w:szCs w:val="24"/>
          <w:lang w:val="en-GB"/>
        </w:rPr>
        <w:t xml:space="preserve"> category; </w:t>
      </w:r>
      <w:proofErr w:type="spellStart"/>
      <w:r w:rsidR="002F632A" w:rsidRPr="00B751AA">
        <w:rPr>
          <w:rFonts w:ascii="Book Antiqua" w:hAnsi="Book Antiqua" w:cs="Arial"/>
          <w:bCs/>
          <w:sz w:val="24"/>
          <w:szCs w:val="24"/>
          <w:lang w:val="en-GB"/>
        </w:rPr>
        <w:t>RTx</w:t>
      </w:r>
      <w:proofErr w:type="spellEnd"/>
      <w:r w:rsidR="002F632A" w:rsidRPr="00B751AA">
        <w:rPr>
          <w:rFonts w:ascii="Book Antiqua" w:hAnsi="Book Antiqua" w:cs="Arial"/>
          <w:bCs/>
          <w:sz w:val="24"/>
          <w:szCs w:val="24"/>
          <w:lang w:val="en-GB"/>
        </w:rPr>
        <w:t>/</w:t>
      </w:r>
      <w:proofErr w:type="spellStart"/>
      <w:r w:rsidR="002F632A" w:rsidRPr="00B751AA">
        <w:rPr>
          <w:rFonts w:ascii="Book Antiqua" w:hAnsi="Book Antiqua" w:cs="Arial"/>
          <w:bCs/>
          <w:sz w:val="24"/>
          <w:szCs w:val="24"/>
          <w:lang w:val="en-GB"/>
        </w:rPr>
        <w:t>CTx</w:t>
      </w:r>
      <w:proofErr w:type="spellEnd"/>
      <w:r w:rsidR="002F632A">
        <w:rPr>
          <w:rFonts w:ascii="Book Antiqua" w:hAnsi="Book Antiqua" w:cs="Arial"/>
          <w:bCs/>
          <w:sz w:val="24"/>
          <w:szCs w:val="24"/>
          <w:lang w:val="en-GB"/>
        </w:rPr>
        <w:t>:</w:t>
      </w:r>
      <w:r w:rsidR="002F632A" w:rsidRPr="00B751AA">
        <w:rPr>
          <w:rFonts w:ascii="Book Antiqua" w:hAnsi="Book Antiqua" w:cs="Arial"/>
          <w:bCs/>
          <w:sz w:val="24"/>
          <w:szCs w:val="24"/>
          <w:lang w:val="en-GB"/>
        </w:rPr>
        <w:t xml:space="preserve"> Neoadjuvant radio-/chemotherapy.</w:t>
      </w:r>
    </w:p>
    <w:p w14:paraId="36BEF40B" w14:textId="77777777" w:rsidR="00BB36AA" w:rsidRPr="00B751AA" w:rsidRDefault="00BB36AA" w:rsidP="00B751AA">
      <w:pPr>
        <w:snapToGrid w:val="0"/>
        <w:spacing w:after="0" w:line="360" w:lineRule="auto"/>
        <w:jc w:val="both"/>
        <w:rPr>
          <w:rFonts w:ascii="Book Antiqua" w:hAnsi="Book Antiqua"/>
          <w:color w:val="000000" w:themeColor="text1"/>
          <w:sz w:val="24"/>
          <w:szCs w:val="24"/>
          <w:lang w:val="fr-FR"/>
        </w:rPr>
      </w:pPr>
      <w:r w:rsidRPr="00B751AA">
        <w:rPr>
          <w:rFonts w:ascii="Book Antiqua" w:hAnsi="Book Antiqua"/>
          <w:color w:val="000000" w:themeColor="text1"/>
          <w:sz w:val="24"/>
          <w:szCs w:val="24"/>
          <w:lang w:val="fr-FR"/>
        </w:rPr>
        <w:br w:type="page"/>
      </w:r>
    </w:p>
    <w:p w14:paraId="56A51AFE" w14:textId="77777777" w:rsidR="00BB36AA" w:rsidRPr="00B751AA" w:rsidRDefault="00BB36AA" w:rsidP="00B751AA">
      <w:pPr>
        <w:adjustRightInd w:val="0"/>
        <w:snapToGrid w:val="0"/>
        <w:spacing w:after="0" w:line="360" w:lineRule="auto"/>
        <w:jc w:val="both"/>
        <w:rPr>
          <w:rFonts w:ascii="Book Antiqua" w:hAnsi="Book Antiqua"/>
          <w:color w:val="000000" w:themeColor="text1"/>
          <w:sz w:val="24"/>
          <w:szCs w:val="24"/>
          <w:lang w:val="fr-FR"/>
        </w:rPr>
      </w:pPr>
      <w:r w:rsidRPr="00B751AA">
        <w:rPr>
          <w:rFonts w:ascii="Book Antiqua" w:hAnsi="Book Antiqua" w:cs="Arial"/>
          <w:b/>
          <w:sz w:val="24"/>
          <w:szCs w:val="24"/>
        </w:rPr>
        <w:lastRenderedPageBreak/>
        <w:t xml:space="preserve">Table 3 </w:t>
      </w:r>
      <w:proofErr w:type="spellStart"/>
      <w:r w:rsidRPr="00B751AA">
        <w:rPr>
          <w:rFonts w:ascii="Book Antiqua" w:hAnsi="Book Antiqua" w:cs="Arial"/>
          <w:b/>
          <w:sz w:val="24"/>
          <w:szCs w:val="24"/>
        </w:rPr>
        <w:t>Podoplanin</w:t>
      </w:r>
      <w:proofErr w:type="spellEnd"/>
      <w:r w:rsidRPr="00B751AA">
        <w:rPr>
          <w:rFonts w:ascii="Book Antiqua" w:hAnsi="Book Antiqua" w:cs="Arial"/>
          <w:b/>
          <w:sz w:val="24"/>
          <w:szCs w:val="24"/>
        </w:rPr>
        <w:t xml:space="preserve"> expression and tumor progression</w:t>
      </w:r>
    </w:p>
    <w:tbl>
      <w:tblPr>
        <w:tblpPr w:leftFromText="141" w:rightFromText="141" w:vertAnchor="text" w:horzAnchor="margin" w:tblpY="174"/>
        <w:tblW w:w="0" w:type="auto"/>
        <w:tblBorders>
          <w:top w:val="single" w:sz="4" w:space="0" w:color="auto"/>
          <w:bottom w:val="single" w:sz="4" w:space="0" w:color="auto"/>
        </w:tblBorders>
        <w:tblLayout w:type="fixed"/>
        <w:tblLook w:val="04A0" w:firstRow="1" w:lastRow="0" w:firstColumn="1" w:lastColumn="0" w:noHBand="0" w:noVBand="1"/>
      </w:tblPr>
      <w:tblGrid>
        <w:gridCol w:w="2093"/>
        <w:gridCol w:w="1234"/>
        <w:gridCol w:w="1778"/>
        <w:gridCol w:w="1506"/>
        <w:gridCol w:w="1574"/>
      </w:tblGrid>
      <w:tr w:rsidR="00BB36AA" w:rsidRPr="00B751AA" w14:paraId="39AED5EB" w14:textId="77777777" w:rsidTr="0055432A">
        <w:trPr>
          <w:trHeight w:val="498"/>
        </w:trPr>
        <w:tc>
          <w:tcPr>
            <w:tcW w:w="2093" w:type="dxa"/>
            <w:tcBorders>
              <w:top w:val="single" w:sz="4" w:space="0" w:color="auto"/>
              <w:bottom w:val="single" w:sz="4" w:space="0" w:color="auto"/>
            </w:tcBorders>
            <w:shd w:val="clear" w:color="auto" w:fill="auto"/>
          </w:tcPr>
          <w:p w14:paraId="170969AD"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 xml:space="preserve">Resected </w:t>
            </w:r>
            <w:r w:rsidR="002F632A" w:rsidRPr="00B751AA">
              <w:rPr>
                <w:rFonts w:ascii="Book Antiqua" w:hAnsi="Book Antiqua" w:cs="Arial"/>
                <w:b/>
                <w:sz w:val="24"/>
                <w:szCs w:val="24"/>
                <w:lang w:val="fr-FR"/>
              </w:rPr>
              <w:t>tissue</w:t>
            </w:r>
          </w:p>
        </w:tc>
        <w:tc>
          <w:tcPr>
            <w:tcW w:w="1234" w:type="dxa"/>
            <w:tcBorders>
              <w:top w:val="single" w:sz="4" w:space="0" w:color="auto"/>
              <w:bottom w:val="single" w:sz="4" w:space="0" w:color="auto"/>
            </w:tcBorders>
            <w:shd w:val="clear" w:color="auto" w:fill="auto"/>
          </w:tcPr>
          <w:p w14:paraId="5F27DECC"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Score</w:t>
            </w:r>
          </w:p>
        </w:tc>
        <w:tc>
          <w:tcPr>
            <w:tcW w:w="1778" w:type="dxa"/>
            <w:tcBorders>
              <w:top w:val="single" w:sz="4" w:space="0" w:color="auto"/>
              <w:bottom w:val="single" w:sz="4" w:space="0" w:color="auto"/>
            </w:tcBorders>
            <w:shd w:val="clear" w:color="auto" w:fill="auto"/>
          </w:tcPr>
          <w:p w14:paraId="179B26DB"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Podoplanin</w:t>
            </w:r>
            <w:r w:rsidR="002F632A">
              <w:rPr>
                <w:rFonts w:ascii="Book Antiqua" w:hAnsi="Book Antiqua" w:cs="Arial"/>
                <w:b/>
                <w:sz w:val="24"/>
                <w:szCs w:val="24"/>
                <w:lang w:val="fr-FR"/>
              </w:rPr>
              <w:t>,</w:t>
            </w:r>
            <w:r w:rsidRPr="00B751AA">
              <w:rPr>
                <w:rFonts w:ascii="Book Antiqua" w:hAnsi="Book Antiqua" w:cs="Arial"/>
                <w:b/>
                <w:sz w:val="24"/>
                <w:szCs w:val="24"/>
                <w:lang w:val="fr-FR"/>
              </w:rPr>
              <w:t xml:space="preserve"> %</w:t>
            </w:r>
          </w:p>
        </w:tc>
        <w:tc>
          <w:tcPr>
            <w:tcW w:w="1506" w:type="dxa"/>
            <w:tcBorders>
              <w:top w:val="single" w:sz="4" w:space="0" w:color="auto"/>
              <w:bottom w:val="single" w:sz="4" w:space="0" w:color="auto"/>
            </w:tcBorders>
            <w:shd w:val="clear" w:color="auto" w:fill="auto"/>
          </w:tcPr>
          <w:p w14:paraId="362E64DE"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Patients</w:t>
            </w:r>
            <w:r w:rsidR="002F632A">
              <w:rPr>
                <w:rFonts w:ascii="Book Antiqua" w:hAnsi="Book Antiqua" w:cs="Arial"/>
                <w:b/>
                <w:sz w:val="24"/>
                <w:szCs w:val="24"/>
                <w:lang w:val="fr-FR"/>
              </w:rPr>
              <w:t>,</w:t>
            </w:r>
            <w:r w:rsidRPr="00B751AA">
              <w:rPr>
                <w:rFonts w:ascii="Book Antiqua" w:hAnsi="Book Antiqua" w:cs="Arial"/>
                <w:b/>
                <w:sz w:val="24"/>
                <w:szCs w:val="24"/>
                <w:lang w:val="fr-FR"/>
              </w:rPr>
              <w:t xml:space="preserve"> </w:t>
            </w:r>
            <w:r w:rsidRPr="002F632A">
              <w:rPr>
                <w:rFonts w:ascii="Book Antiqua" w:hAnsi="Book Antiqua" w:cs="Arial"/>
                <w:b/>
                <w:i/>
                <w:iCs/>
                <w:sz w:val="24"/>
                <w:szCs w:val="24"/>
                <w:lang w:val="fr-FR"/>
              </w:rPr>
              <w:t>n</w:t>
            </w:r>
          </w:p>
        </w:tc>
        <w:tc>
          <w:tcPr>
            <w:tcW w:w="1574" w:type="dxa"/>
            <w:tcBorders>
              <w:top w:val="single" w:sz="4" w:space="0" w:color="auto"/>
              <w:bottom w:val="single" w:sz="4" w:space="0" w:color="auto"/>
            </w:tcBorders>
            <w:shd w:val="clear" w:color="auto" w:fill="auto"/>
          </w:tcPr>
          <w:p w14:paraId="2CE0732A"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Patients</w:t>
            </w:r>
            <w:r w:rsidR="002F632A">
              <w:rPr>
                <w:rFonts w:ascii="Book Antiqua" w:hAnsi="Book Antiqua" w:cs="Arial"/>
                <w:b/>
                <w:sz w:val="24"/>
                <w:szCs w:val="24"/>
                <w:lang w:val="fr-FR"/>
              </w:rPr>
              <w:t>,</w:t>
            </w:r>
            <w:r w:rsidRPr="00B751AA">
              <w:rPr>
                <w:rFonts w:ascii="Book Antiqua" w:hAnsi="Book Antiqua" w:cs="Arial"/>
                <w:b/>
                <w:sz w:val="24"/>
                <w:szCs w:val="24"/>
                <w:lang w:val="fr-FR"/>
              </w:rPr>
              <w:t xml:space="preserve"> %</w:t>
            </w:r>
          </w:p>
        </w:tc>
      </w:tr>
      <w:tr w:rsidR="002F632A" w:rsidRPr="00B751AA" w14:paraId="712C3566" w14:textId="77777777" w:rsidTr="0055432A">
        <w:trPr>
          <w:trHeight w:val="374"/>
        </w:trPr>
        <w:tc>
          <w:tcPr>
            <w:tcW w:w="2093" w:type="dxa"/>
            <w:vMerge w:val="restart"/>
            <w:tcBorders>
              <w:top w:val="single" w:sz="4" w:space="0" w:color="auto"/>
            </w:tcBorders>
            <w:shd w:val="clear" w:color="auto" w:fill="auto"/>
          </w:tcPr>
          <w:p w14:paraId="0351730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pT2</w:t>
            </w:r>
            <w:r>
              <w:rPr>
                <w:rFonts w:ascii="Book Antiqua" w:hAnsi="Book Antiqua" w:cs="Arial"/>
                <w:sz w:val="24"/>
                <w:szCs w:val="24"/>
                <w:lang w:val="fr-FR"/>
              </w:rPr>
              <w:t>,</w:t>
            </w:r>
            <w:r w:rsidRPr="00B751AA">
              <w:rPr>
                <w:rFonts w:ascii="Book Antiqua" w:hAnsi="Book Antiqua" w:cs="Arial"/>
                <w:sz w:val="24"/>
                <w:szCs w:val="24"/>
                <w:lang w:val="fr-FR"/>
              </w:rPr>
              <w:t xml:space="preserve"> </w:t>
            </w:r>
            <w:r w:rsidRPr="002F632A">
              <w:rPr>
                <w:rFonts w:ascii="Book Antiqua" w:hAnsi="Book Antiqua" w:cs="Arial"/>
                <w:i/>
                <w:iCs/>
                <w:sz w:val="24"/>
                <w:szCs w:val="24"/>
                <w:lang w:val="fr-FR"/>
              </w:rPr>
              <w:t>n</w:t>
            </w:r>
            <w:r>
              <w:rPr>
                <w:rFonts w:ascii="Book Antiqua" w:hAnsi="Book Antiqua" w:cs="Arial"/>
                <w:sz w:val="24"/>
                <w:szCs w:val="24"/>
                <w:lang w:val="fr-FR"/>
              </w:rPr>
              <w:t xml:space="preserve"> </w:t>
            </w:r>
            <w:r w:rsidRPr="00B751AA">
              <w:rPr>
                <w:rFonts w:ascii="Book Antiqua" w:hAnsi="Book Antiqua" w:cs="Arial"/>
                <w:sz w:val="24"/>
                <w:szCs w:val="24"/>
                <w:lang w:val="fr-FR"/>
              </w:rPr>
              <w:t>=</w:t>
            </w:r>
            <w:r>
              <w:rPr>
                <w:rFonts w:ascii="Book Antiqua" w:hAnsi="Book Antiqua" w:cs="Arial"/>
                <w:sz w:val="24"/>
                <w:szCs w:val="24"/>
                <w:lang w:val="fr-FR"/>
              </w:rPr>
              <w:t xml:space="preserve"> </w:t>
            </w:r>
            <w:r w:rsidRPr="00B751AA">
              <w:rPr>
                <w:rFonts w:ascii="Book Antiqua" w:hAnsi="Book Antiqua" w:cs="Arial"/>
                <w:sz w:val="24"/>
                <w:szCs w:val="24"/>
                <w:lang w:val="fr-FR"/>
              </w:rPr>
              <w:t>6</w:t>
            </w:r>
          </w:p>
        </w:tc>
        <w:tc>
          <w:tcPr>
            <w:tcW w:w="1234" w:type="dxa"/>
            <w:tcBorders>
              <w:top w:val="single" w:sz="4" w:space="0" w:color="auto"/>
            </w:tcBorders>
            <w:shd w:val="clear" w:color="auto" w:fill="auto"/>
          </w:tcPr>
          <w:p w14:paraId="66B6F1D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778" w:type="dxa"/>
            <w:tcBorders>
              <w:top w:val="single" w:sz="4" w:space="0" w:color="auto"/>
            </w:tcBorders>
            <w:shd w:val="clear" w:color="auto" w:fill="auto"/>
          </w:tcPr>
          <w:p w14:paraId="1369A41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506" w:type="dxa"/>
            <w:tcBorders>
              <w:top w:val="single" w:sz="4" w:space="0" w:color="auto"/>
            </w:tcBorders>
            <w:shd w:val="clear" w:color="auto" w:fill="auto"/>
          </w:tcPr>
          <w:p w14:paraId="56C82FE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w:t>
            </w:r>
          </w:p>
        </w:tc>
        <w:tc>
          <w:tcPr>
            <w:tcW w:w="1574" w:type="dxa"/>
            <w:tcBorders>
              <w:top w:val="single" w:sz="4" w:space="0" w:color="auto"/>
            </w:tcBorders>
            <w:shd w:val="clear" w:color="auto" w:fill="auto"/>
          </w:tcPr>
          <w:p w14:paraId="58E2002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83</w:t>
            </w:r>
          </w:p>
        </w:tc>
      </w:tr>
      <w:tr w:rsidR="002F632A" w:rsidRPr="00B751AA" w14:paraId="17B0A0F3" w14:textId="77777777" w:rsidTr="0055432A">
        <w:trPr>
          <w:trHeight w:val="374"/>
        </w:trPr>
        <w:tc>
          <w:tcPr>
            <w:tcW w:w="2093" w:type="dxa"/>
            <w:vMerge/>
            <w:shd w:val="clear" w:color="auto" w:fill="auto"/>
          </w:tcPr>
          <w:p w14:paraId="48097F78"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2F6BEA59"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778" w:type="dxa"/>
            <w:shd w:val="clear" w:color="auto" w:fill="auto"/>
          </w:tcPr>
          <w:p w14:paraId="5A0A244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506" w:type="dxa"/>
            <w:shd w:val="clear" w:color="auto" w:fill="auto"/>
          </w:tcPr>
          <w:p w14:paraId="521FCB95"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574" w:type="dxa"/>
            <w:shd w:val="clear" w:color="auto" w:fill="auto"/>
          </w:tcPr>
          <w:p w14:paraId="28D1E7A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17</w:t>
            </w:r>
          </w:p>
        </w:tc>
      </w:tr>
      <w:tr w:rsidR="002F632A" w:rsidRPr="00B751AA" w14:paraId="613C8069" w14:textId="77777777" w:rsidTr="0055432A">
        <w:trPr>
          <w:trHeight w:val="374"/>
        </w:trPr>
        <w:tc>
          <w:tcPr>
            <w:tcW w:w="2093" w:type="dxa"/>
            <w:vMerge/>
            <w:shd w:val="clear" w:color="auto" w:fill="auto"/>
          </w:tcPr>
          <w:p w14:paraId="6E1B555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29A65E0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778" w:type="dxa"/>
            <w:shd w:val="clear" w:color="auto" w:fill="auto"/>
          </w:tcPr>
          <w:p w14:paraId="6E72D20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506" w:type="dxa"/>
            <w:shd w:val="clear" w:color="auto" w:fill="auto"/>
          </w:tcPr>
          <w:p w14:paraId="45F0C81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574" w:type="dxa"/>
            <w:shd w:val="clear" w:color="auto" w:fill="auto"/>
          </w:tcPr>
          <w:p w14:paraId="4139CB64"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r w:rsidR="002F632A" w:rsidRPr="00B751AA" w14:paraId="79D95E79" w14:textId="77777777" w:rsidTr="0055432A">
        <w:trPr>
          <w:trHeight w:val="374"/>
        </w:trPr>
        <w:tc>
          <w:tcPr>
            <w:tcW w:w="2093" w:type="dxa"/>
            <w:vMerge w:val="restart"/>
            <w:shd w:val="clear" w:color="auto" w:fill="auto"/>
          </w:tcPr>
          <w:p w14:paraId="6917281D" w14:textId="77777777" w:rsidR="002F632A" w:rsidRPr="00B751AA" w:rsidRDefault="002F632A" w:rsidP="00B751AA">
            <w:pPr>
              <w:snapToGrid w:val="0"/>
              <w:spacing w:after="0" w:line="360" w:lineRule="auto"/>
              <w:jc w:val="both"/>
              <w:rPr>
                <w:rFonts w:ascii="Book Antiqua" w:hAnsi="Book Antiqua"/>
                <w:sz w:val="24"/>
                <w:szCs w:val="24"/>
              </w:rPr>
            </w:pPr>
            <w:r w:rsidRPr="00B751AA">
              <w:rPr>
                <w:rFonts w:ascii="Book Antiqua" w:hAnsi="Book Antiqua" w:cs="Arial"/>
                <w:sz w:val="24"/>
                <w:szCs w:val="24"/>
                <w:lang w:val="fr-FR"/>
              </w:rPr>
              <w:t>pT3/4</w:t>
            </w:r>
            <w:r>
              <w:rPr>
                <w:rFonts w:ascii="Book Antiqua" w:hAnsi="Book Antiqua" w:cs="Arial"/>
                <w:sz w:val="24"/>
                <w:szCs w:val="24"/>
                <w:lang w:val="fr-FR"/>
              </w:rPr>
              <w:t>,</w:t>
            </w:r>
            <w:r w:rsidRPr="00B751AA">
              <w:rPr>
                <w:rFonts w:ascii="Book Antiqua" w:hAnsi="Book Antiqua" w:cs="Arial"/>
                <w:sz w:val="24"/>
                <w:szCs w:val="24"/>
                <w:lang w:val="fr-FR"/>
              </w:rPr>
              <w:t xml:space="preserve"> </w:t>
            </w:r>
            <w:r w:rsidRPr="002F632A">
              <w:rPr>
                <w:rFonts w:ascii="Book Antiqua" w:hAnsi="Book Antiqua" w:cs="Arial"/>
                <w:i/>
                <w:iCs/>
                <w:sz w:val="24"/>
                <w:szCs w:val="24"/>
                <w:lang w:val="fr-FR"/>
              </w:rPr>
              <w:t>n</w:t>
            </w:r>
            <w:r>
              <w:rPr>
                <w:rFonts w:ascii="Book Antiqua" w:hAnsi="Book Antiqua" w:cs="Arial"/>
                <w:sz w:val="24"/>
                <w:szCs w:val="24"/>
                <w:lang w:val="fr-FR"/>
              </w:rPr>
              <w:t xml:space="preserve"> </w:t>
            </w:r>
            <w:r w:rsidRPr="00B751AA">
              <w:rPr>
                <w:rFonts w:ascii="Book Antiqua" w:hAnsi="Book Antiqua" w:cs="Arial"/>
                <w:sz w:val="24"/>
                <w:szCs w:val="24"/>
                <w:lang w:val="fr-FR"/>
              </w:rPr>
              <w:t>=</w:t>
            </w:r>
            <w:r>
              <w:rPr>
                <w:rFonts w:ascii="Book Antiqua" w:hAnsi="Book Antiqua" w:cs="Arial"/>
                <w:sz w:val="24"/>
                <w:szCs w:val="24"/>
                <w:lang w:val="fr-FR"/>
              </w:rPr>
              <w:t xml:space="preserve"> </w:t>
            </w:r>
            <w:r w:rsidRPr="00B751AA">
              <w:rPr>
                <w:rFonts w:ascii="Book Antiqua" w:hAnsi="Book Antiqua" w:cs="Arial"/>
                <w:sz w:val="24"/>
                <w:szCs w:val="24"/>
                <w:lang w:val="fr-FR"/>
              </w:rPr>
              <w:t>26</w:t>
            </w:r>
          </w:p>
        </w:tc>
        <w:tc>
          <w:tcPr>
            <w:tcW w:w="1234" w:type="dxa"/>
            <w:shd w:val="clear" w:color="auto" w:fill="auto"/>
          </w:tcPr>
          <w:p w14:paraId="386AD6EC"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778" w:type="dxa"/>
            <w:shd w:val="clear" w:color="auto" w:fill="auto"/>
          </w:tcPr>
          <w:p w14:paraId="75C3F545"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506" w:type="dxa"/>
            <w:shd w:val="clear" w:color="auto" w:fill="auto"/>
          </w:tcPr>
          <w:p w14:paraId="79A55A97"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11</w:t>
            </w:r>
          </w:p>
        </w:tc>
        <w:tc>
          <w:tcPr>
            <w:tcW w:w="1574" w:type="dxa"/>
            <w:shd w:val="clear" w:color="auto" w:fill="auto"/>
          </w:tcPr>
          <w:p w14:paraId="57913CE1"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43</w:t>
            </w:r>
          </w:p>
        </w:tc>
      </w:tr>
      <w:tr w:rsidR="002F632A" w:rsidRPr="00B751AA" w14:paraId="0E341C4B" w14:textId="77777777" w:rsidTr="0055432A">
        <w:trPr>
          <w:trHeight w:val="374"/>
        </w:trPr>
        <w:tc>
          <w:tcPr>
            <w:tcW w:w="2093" w:type="dxa"/>
            <w:vMerge/>
            <w:shd w:val="clear" w:color="auto" w:fill="auto"/>
          </w:tcPr>
          <w:p w14:paraId="230A46E3" w14:textId="77777777" w:rsidR="002F632A" w:rsidRPr="00B751AA" w:rsidRDefault="002F632A" w:rsidP="00B751AA">
            <w:pPr>
              <w:snapToGrid w:val="0"/>
              <w:spacing w:after="0" w:line="360" w:lineRule="auto"/>
              <w:jc w:val="both"/>
              <w:rPr>
                <w:rFonts w:ascii="Book Antiqua" w:hAnsi="Book Antiqua"/>
                <w:sz w:val="24"/>
                <w:szCs w:val="24"/>
              </w:rPr>
            </w:pPr>
          </w:p>
        </w:tc>
        <w:tc>
          <w:tcPr>
            <w:tcW w:w="1234" w:type="dxa"/>
            <w:shd w:val="clear" w:color="auto" w:fill="auto"/>
          </w:tcPr>
          <w:p w14:paraId="5C4E40E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778" w:type="dxa"/>
            <w:shd w:val="clear" w:color="auto" w:fill="auto"/>
          </w:tcPr>
          <w:p w14:paraId="411D31A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506" w:type="dxa"/>
            <w:shd w:val="clear" w:color="auto" w:fill="auto"/>
          </w:tcPr>
          <w:p w14:paraId="18072CB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10</w:t>
            </w:r>
          </w:p>
        </w:tc>
        <w:tc>
          <w:tcPr>
            <w:tcW w:w="1574" w:type="dxa"/>
            <w:shd w:val="clear" w:color="auto" w:fill="auto"/>
          </w:tcPr>
          <w:p w14:paraId="664C0A4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38</w:t>
            </w:r>
          </w:p>
        </w:tc>
      </w:tr>
      <w:tr w:rsidR="002F632A" w:rsidRPr="00B751AA" w14:paraId="7523D10E" w14:textId="77777777" w:rsidTr="0055432A">
        <w:trPr>
          <w:trHeight w:val="374"/>
        </w:trPr>
        <w:tc>
          <w:tcPr>
            <w:tcW w:w="2093" w:type="dxa"/>
            <w:vMerge/>
            <w:shd w:val="clear" w:color="auto" w:fill="auto"/>
          </w:tcPr>
          <w:p w14:paraId="002E2771"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05ABC464"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778" w:type="dxa"/>
            <w:shd w:val="clear" w:color="auto" w:fill="auto"/>
          </w:tcPr>
          <w:p w14:paraId="2999D57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506" w:type="dxa"/>
            <w:shd w:val="clear" w:color="auto" w:fill="auto"/>
          </w:tcPr>
          <w:p w14:paraId="0DA02E9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w:t>
            </w:r>
          </w:p>
        </w:tc>
        <w:tc>
          <w:tcPr>
            <w:tcW w:w="1574" w:type="dxa"/>
            <w:shd w:val="clear" w:color="auto" w:fill="auto"/>
          </w:tcPr>
          <w:p w14:paraId="5527DBB0"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19</w:t>
            </w:r>
          </w:p>
        </w:tc>
      </w:tr>
      <w:tr w:rsidR="002F632A" w:rsidRPr="00B751AA" w14:paraId="23189A89" w14:textId="77777777" w:rsidTr="0055432A">
        <w:trPr>
          <w:trHeight w:val="374"/>
        </w:trPr>
        <w:tc>
          <w:tcPr>
            <w:tcW w:w="2093" w:type="dxa"/>
            <w:vMerge w:val="restart"/>
            <w:shd w:val="clear" w:color="auto" w:fill="auto"/>
          </w:tcPr>
          <w:p w14:paraId="7A17EDA2"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pN0</w:t>
            </w:r>
            <w:r>
              <w:rPr>
                <w:rFonts w:ascii="Book Antiqua" w:hAnsi="Book Antiqua" w:cs="Arial"/>
                <w:sz w:val="24"/>
                <w:szCs w:val="24"/>
                <w:lang w:val="fr-FR"/>
              </w:rPr>
              <w:t>,</w:t>
            </w:r>
            <w:r w:rsidRPr="00B751AA">
              <w:rPr>
                <w:rFonts w:ascii="Book Antiqua" w:hAnsi="Book Antiqua" w:cs="Arial"/>
                <w:sz w:val="24"/>
                <w:szCs w:val="24"/>
                <w:lang w:val="fr-FR"/>
              </w:rPr>
              <w:t xml:space="preserve"> </w:t>
            </w:r>
            <w:r w:rsidRPr="002F632A">
              <w:rPr>
                <w:rFonts w:ascii="Book Antiqua" w:hAnsi="Book Antiqua" w:cs="Arial"/>
                <w:i/>
                <w:iCs/>
                <w:sz w:val="24"/>
                <w:szCs w:val="24"/>
                <w:lang w:val="fr-FR"/>
              </w:rPr>
              <w:t>n</w:t>
            </w:r>
            <w:r>
              <w:rPr>
                <w:rFonts w:ascii="Book Antiqua" w:hAnsi="Book Antiqua" w:cs="Arial"/>
                <w:sz w:val="24"/>
                <w:szCs w:val="24"/>
                <w:lang w:val="fr-FR"/>
              </w:rPr>
              <w:t xml:space="preserve"> </w:t>
            </w:r>
            <w:r w:rsidRPr="00B751AA">
              <w:rPr>
                <w:rFonts w:ascii="Book Antiqua" w:hAnsi="Book Antiqua" w:cs="Arial"/>
                <w:sz w:val="24"/>
                <w:szCs w:val="24"/>
                <w:lang w:val="fr-FR"/>
              </w:rPr>
              <w:t>=</w:t>
            </w:r>
            <w:r>
              <w:rPr>
                <w:rFonts w:ascii="Book Antiqua" w:hAnsi="Book Antiqua" w:cs="Arial"/>
                <w:sz w:val="24"/>
                <w:szCs w:val="24"/>
                <w:lang w:val="fr-FR"/>
              </w:rPr>
              <w:t xml:space="preserve"> </w:t>
            </w:r>
            <w:r w:rsidRPr="00B751AA">
              <w:rPr>
                <w:rFonts w:ascii="Book Antiqua" w:hAnsi="Book Antiqua" w:cs="Arial"/>
                <w:sz w:val="24"/>
                <w:szCs w:val="24"/>
                <w:lang w:val="fr-FR"/>
              </w:rPr>
              <w:t>11</w:t>
            </w:r>
          </w:p>
        </w:tc>
        <w:tc>
          <w:tcPr>
            <w:tcW w:w="1234" w:type="dxa"/>
            <w:shd w:val="clear" w:color="auto" w:fill="auto"/>
          </w:tcPr>
          <w:p w14:paraId="03046142"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778" w:type="dxa"/>
            <w:shd w:val="clear" w:color="auto" w:fill="auto"/>
          </w:tcPr>
          <w:p w14:paraId="5A13C8C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506" w:type="dxa"/>
            <w:shd w:val="clear" w:color="auto" w:fill="auto"/>
          </w:tcPr>
          <w:p w14:paraId="4409CBFD"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7</w:t>
            </w:r>
          </w:p>
        </w:tc>
        <w:tc>
          <w:tcPr>
            <w:tcW w:w="1574" w:type="dxa"/>
            <w:shd w:val="clear" w:color="auto" w:fill="auto"/>
          </w:tcPr>
          <w:p w14:paraId="46E3900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64</w:t>
            </w:r>
          </w:p>
        </w:tc>
      </w:tr>
      <w:tr w:rsidR="002F632A" w:rsidRPr="00B751AA" w14:paraId="1D55C263" w14:textId="77777777" w:rsidTr="0055432A">
        <w:trPr>
          <w:trHeight w:val="374"/>
        </w:trPr>
        <w:tc>
          <w:tcPr>
            <w:tcW w:w="2093" w:type="dxa"/>
            <w:vMerge/>
            <w:shd w:val="clear" w:color="auto" w:fill="auto"/>
          </w:tcPr>
          <w:p w14:paraId="01ED2C4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02C83D3E"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778" w:type="dxa"/>
            <w:shd w:val="clear" w:color="auto" w:fill="auto"/>
          </w:tcPr>
          <w:p w14:paraId="56E235C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506" w:type="dxa"/>
            <w:shd w:val="clear" w:color="auto" w:fill="auto"/>
          </w:tcPr>
          <w:p w14:paraId="3F355A31"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574" w:type="dxa"/>
            <w:shd w:val="clear" w:color="auto" w:fill="auto"/>
          </w:tcPr>
          <w:p w14:paraId="7CD1F29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18</w:t>
            </w:r>
          </w:p>
        </w:tc>
      </w:tr>
      <w:tr w:rsidR="002F632A" w:rsidRPr="00B751AA" w14:paraId="2E0BB4B4" w14:textId="77777777" w:rsidTr="0055432A">
        <w:trPr>
          <w:trHeight w:val="374"/>
        </w:trPr>
        <w:tc>
          <w:tcPr>
            <w:tcW w:w="2093" w:type="dxa"/>
            <w:vMerge/>
            <w:shd w:val="clear" w:color="auto" w:fill="auto"/>
          </w:tcPr>
          <w:p w14:paraId="7E0F16EB"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23EF361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778" w:type="dxa"/>
            <w:shd w:val="clear" w:color="auto" w:fill="auto"/>
          </w:tcPr>
          <w:p w14:paraId="2AFB3952"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506" w:type="dxa"/>
            <w:shd w:val="clear" w:color="auto" w:fill="auto"/>
          </w:tcPr>
          <w:p w14:paraId="02D2C94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574" w:type="dxa"/>
            <w:shd w:val="clear" w:color="auto" w:fill="auto"/>
          </w:tcPr>
          <w:p w14:paraId="6B8024AB"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18</w:t>
            </w:r>
          </w:p>
        </w:tc>
      </w:tr>
      <w:tr w:rsidR="002F632A" w:rsidRPr="00B751AA" w14:paraId="7150BE33" w14:textId="77777777" w:rsidTr="0055432A">
        <w:trPr>
          <w:trHeight w:val="374"/>
        </w:trPr>
        <w:tc>
          <w:tcPr>
            <w:tcW w:w="2093" w:type="dxa"/>
            <w:vMerge w:val="restart"/>
            <w:shd w:val="clear" w:color="auto" w:fill="auto"/>
          </w:tcPr>
          <w:p w14:paraId="12201C42"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pN+</w:t>
            </w:r>
            <w:r>
              <w:rPr>
                <w:rFonts w:ascii="Book Antiqua" w:hAnsi="Book Antiqua" w:cs="Arial"/>
                <w:sz w:val="24"/>
                <w:szCs w:val="24"/>
                <w:lang w:val="fr-FR"/>
              </w:rPr>
              <w:t>,</w:t>
            </w:r>
            <w:r w:rsidRPr="00B751AA">
              <w:rPr>
                <w:rFonts w:ascii="Book Antiqua" w:hAnsi="Book Antiqua" w:cs="Arial"/>
                <w:sz w:val="24"/>
                <w:szCs w:val="24"/>
                <w:lang w:val="fr-FR"/>
              </w:rPr>
              <w:t xml:space="preserve"> </w:t>
            </w:r>
            <w:r w:rsidRPr="002F632A">
              <w:rPr>
                <w:rFonts w:ascii="Book Antiqua" w:hAnsi="Book Antiqua" w:cs="Arial"/>
                <w:i/>
                <w:iCs/>
                <w:sz w:val="24"/>
                <w:szCs w:val="24"/>
                <w:lang w:val="fr-FR"/>
              </w:rPr>
              <w:t>n</w:t>
            </w:r>
            <w:r>
              <w:rPr>
                <w:rFonts w:ascii="Book Antiqua" w:hAnsi="Book Antiqua" w:cs="Arial"/>
                <w:sz w:val="24"/>
                <w:szCs w:val="24"/>
                <w:lang w:val="fr-FR"/>
              </w:rPr>
              <w:t xml:space="preserve"> </w:t>
            </w:r>
            <w:r w:rsidRPr="00B751AA">
              <w:rPr>
                <w:rFonts w:ascii="Book Antiqua" w:hAnsi="Book Antiqua" w:cs="Arial"/>
                <w:sz w:val="24"/>
                <w:szCs w:val="24"/>
                <w:lang w:val="fr-FR"/>
              </w:rPr>
              <w:t>=</w:t>
            </w:r>
            <w:r>
              <w:rPr>
                <w:rFonts w:ascii="Book Antiqua" w:hAnsi="Book Antiqua" w:cs="Arial"/>
                <w:sz w:val="24"/>
                <w:szCs w:val="24"/>
                <w:lang w:val="fr-FR"/>
              </w:rPr>
              <w:t xml:space="preserve"> </w:t>
            </w:r>
            <w:r w:rsidRPr="00B751AA">
              <w:rPr>
                <w:rFonts w:ascii="Book Antiqua" w:hAnsi="Book Antiqua" w:cs="Arial"/>
                <w:sz w:val="24"/>
                <w:szCs w:val="24"/>
                <w:lang w:val="fr-FR"/>
              </w:rPr>
              <w:t>21</w:t>
            </w:r>
          </w:p>
        </w:tc>
        <w:tc>
          <w:tcPr>
            <w:tcW w:w="1234" w:type="dxa"/>
            <w:shd w:val="clear" w:color="auto" w:fill="auto"/>
          </w:tcPr>
          <w:p w14:paraId="74E8D2A9"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778" w:type="dxa"/>
            <w:shd w:val="clear" w:color="auto" w:fill="auto"/>
          </w:tcPr>
          <w:p w14:paraId="22E69090"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506" w:type="dxa"/>
            <w:shd w:val="clear" w:color="auto" w:fill="auto"/>
          </w:tcPr>
          <w:p w14:paraId="02449ED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9</w:t>
            </w:r>
          </w:p>
        </w:tc>
        <w:tc>
          <w:tcPr>
            <w:tcW w:w="1574" w:type="dxa"/>
            <w:shd w:val="clear" w:color="auto" w:fill="auto"/>
          </w:tcPr>
          <w:p w14:paraId="1D8E25E7"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43</w:t>
            </w:r>
          </w:p>
        </w:tc>
      </w:tr>
      <w:tr w:rsidR="002F632A" w:rsidRPr="00B751AA" w14:paraId="41DA1F1B" w14:textId="77777777" w:rsidTr="0055432A">
        <w:trPr>
          <w:trHeight w:val="374"/>
        </w:trPr>
        <w:tc>
          <w:tcPr>
            <w:tcW w:w="2093" w:type="dxa"/>
            <w:vMerge/>
            <w:shd w:val="clear" w:color="auto" w:fill="auto"/>
          </w:tcPr>
          <w:p w14:paraId="419D8C9C"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54280DAB"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778" w:type="dxa"/>
            <w:shd w:val="clear" w:color="auto" w:fill="auto"/>
          </w:tcPr>
          <w:p w14:paraId="1FA14086"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506" w:type="dxa"/>
            <w:shd w:val="clear" w:color="auto" w:fill="auto"/>
          </w:tcPr>
          <w:p w14:paraId="083521A3"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9</w:t>
            </w:r>
          </w:p>
        </w:tc>
        <w:tc>
          <w:tcPr>
            <w:tcW w:w="1574" w:type="dxa"/>
            <w:shd w:val="clear" w:color="auto" w:fill="auto"/>
          </w:tcPr>
          <w:p w14:paraId="79580C3B"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43</w:t>
            </w:r>
          </w:p>
        </w:tc>
      </w:tr>
      <w:tr w:rsidR="002F632A" w:rsidRPr="00B751AA" w14:paraId="27F61BC0" w14:textId="77777777" w:rsidTr="0055432A">
        <w:trPr>
          <w:trHeight w:val="374"/>
        </w:trPr>
        <w:tc>
          <w:tcPr>
            <w:tcW w:w="2093" w:type="dxa"/>
            <w:vMerge/>
            <w:shd w:val="clear" w:color="auto" w:fill="auto"/>
          </w:tcPr>
          <w:p w14:paraId="67E82965"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p>
        </w:tc>
        <w:tc>
          <w:tcPr>
            <w:tcW w:w="1234" w:type="dxa"/>
            <w:shd w:val="clear" w:color="auto" w:fill="auto"/>
          </w:tcPr>
          <w:p w14:paraId="5088F8A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778" w:type="dxa"/>
            <w:shd w:val="clear" w:color="auto" w:fill="auto"/>
          </w:tcPr>
          <w:p w14:paraId="31B9281E"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506" w:type="dxa"/>
            <w:shd w:val="clear" w:color="auto" w:fill="auto"/>
          </w:tcPr>
          <w:p w14:paraId="2744D8DF"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574" w:type="dxa"/>
            <w:shd w:val="clear" w:color="auto" w:fill="auto"/>
          </w:tcPr>
          <w:p w14:paraId="1740B1EA" w14:textId="77777777" w:rsidR="002F632A" w:rsidRPr="00B751AA" w:rsidRDefault="002F632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14</w:t>
            </w:r>
          </w:p>
        </w:tc>
      </w:tr>
    </w:tbl>
    <w:p w14:paraId="27936201" w14:textId="77777777" w:rsidR="002F632A" w:rsidRDefault="00BB36AA" w:rsidP="00B751AA">
      <w:pPr>
        <w:adjustRightInd w:val="0"/>
        <w:snapToGrid w:val="0"/>
        <w:spacing w:after="0" w:line="360" w:lineRule="auto"/>
        <w:jc w:val="both"/>
        <w:rPr>
          <w:rFonts w:ascii="Book Antiqua" w:hAnsi="Book Antiqua" w:cs="Arial"/>
          <w:sz w:val="24"/>
          <w:szCs w:val="24"/>
        </w:rPr>
      </w:pPr>
      <w:r w:rsidRPr="00B751AA">
        <w:rPr>
          <w:rFonts w:ascii="Book Antiqua" w:hAnsi="Book Antiqua" w:cs="Arial"/>
          <w:sz w:val="24"/>
          <w:szCs w:val="24"/>
        </w:rPr>
        <w:t xml:space="preserve">Resected tumor specimen of non-pretreated primary surgery </w:t>
      </w:r>
      <w:r w:rsidR="002F632A" w:rsidRPr="00B751AA">
        <w:rPr>
          <w:rFonts w:ascii="Book Antiqua" w:hAnsi="Book Antiqua" w:cs="Arial"/>
          <w:bCs/>
          <w:sz w:val="24"/>
          <w:szCs w:val="24"/>
          <w:lang w:val="en-GB"/>
        </w:rPr>
        <w:t xml:space="preserve">squamous cell carcinoma of the </w:t>
      </w:r>
      <w:proofErr w:type="spellStart"/>
      <w:r w:rsidR="002F632A" w:rsidRPr="00B751AA">
        <w:rPr>
          <w:rFonts w:ascii="Book Antiqua" w:hAnsi="Book Antiqua" w:cs="Arial"/>
          <w:bCs/>
          <w:sz w:val="24"/>
          <w:szCs w:val="24"/>
          <w:lang w:val="en-GB"/>
        </w:rPr>
        <w:t>esophagus</w:t>
      </w:r>
      <w:proofErr w:type="spellEnd"/>
      <w:r w:rsidR="002F632A" w:rsidRPr="00B751AA">
        <w:rPr>
          <w:rFonts w:ascii="Book Antiqua" w:hAnsi="Book Antiqua" w:cs="Arial"/>
          <w:sz w:val="24"/>
          <w:szCs w:val="24"/>
        </w:rPr>
        <w:t xml:space="preserve"> </w:t>
      </w:r>
      <w:r w:rsidRPr="00B751AA">
        <w:rPr>
          <w:rFonts w:ascii="Book Antiqua" w:hAnsi="Book Antiqua" w:cs="Arial"/>
          <w:sz w:val="24"/>
          <w:szCs w:val="24"/>
        </w:rPr>
        <w:t>patients</w:t>
      </w:r>
      <w:r w:rsidR="002F632A">
        <w:rPr>
          <w:rFonts w:ascii="Book Antiqua" w:hAnsi="Book Antiqua" w:cs="Arial"/>
          <w:sz w:val="24"/>
          <w:szCs w:val="24"/>
        </w:rPr>
        <w:t>,</w:t>
      </w:r>
      <w:r w:rsidRPr="00B751AA">
        <w:rPr>
          <w:rFonts w:ascii="Book Antiqua" w:hAnsi="Book Antiqua" w:cs="Arial"/>
          <w:sz w:val="24"/>
          <w:szCs w:val="24"/>
        </w:rPr>
        <w:t xml:space="preserve"> </w:t>
      </w:r>
      <w:r w:rsidRPr="002F632A">
        <w:rPr>
          <w:rFonts w:ascii="Book Antiqua" w:hAnsi="Book Antiqua" w:cs="Arial"/>
          <w:i/>
          <w:iCs/>
          <w:sz w:val="24"/>
          <w:szCs w:val="24"/>
        </w:rPr>
        <w:t>n</w:t>
      </w:r>
      <w:r w:rsidR="002F632A">
        <w:rPr>
          <w:rFonts w:ascii="Book Antiqua" w:hAnsi="Book Antiqua" w:cs="Arial"/>
          <w:sz w:val="24"/>
          <w:szCs w:val="24"/>
        </w:rPr>
        <w:t xml:space="preserve"> </w:t>
      </w:r>
      <w:r w:rsidRPr="00B751AA">
        <w:rPr>
          <w:rFonts w:ascii="Book Antiqua" w:hAnsi="Book Antiqua" w:cs="Arial"/>
          <w:sz w:val="24"/>
          <w:szCs w:val="24"/>
        </w:rPr>
        <w:t>=</w:t>
      </w:r>
      <w:r w:rsidR="002F632A">
        <w:rPr>
          <w:rFonts w:ascii="Book Antiqua" w:hAnsi="Book Antiqua" w:cs="Arial"/>
          <w:sz w:val="24"/>
          <w:szCs w:val="24"/>
        </w:rPr>
        <w:t xml:space="preserve"> </w:t>
      </w:r>
      <w:r w:rsidRPr="00B751AA">
        <w:rPr>
          <w:rFonts w:ascii="Book Antiqua" w:hAnsi="Book Antiqua" w:cs="Arial"/>
          <w:sz w:val="24"/>
          <w:szCs w:val="24"/>
        </w:rPr>
        <w:t xml:space="preserve">32; </w:t>
      </w:r>
    </w:p>
    <w:p w14:paraId="5C237E41" w14:textId="77777777" w:rsidR="00BB36AA" w:rsidRPr="00B751AA" w:rsidRDefault="00BB36AA" w:rsidP="00B751AA">
      <w:pPr>
        <w:adjustRightInd w:val="0"/>
        <w:snapToGrid w:val="0"/>
        <w:spacing w:after="0" w:line="360" w:lineRule="auto"/>
        <w:jc w:val="both"/>
        <w:rPr>
          <w:rFonts w:ascii="Book Antiqua" w:hAnsi="Book Antiqua"/>
          <w:color w:val="000000" w:themeColor="text1"/>
          <w:sz w:val="24"/>
          <w:szCs w:val="24"/>
          <w:lang w:val="fr-FR"/>
        </w:rPr>
      </w:pPr>
      <w:proofErr w:type="spellStart"/>
      <w:r w:rsidRPr="00B751AA">
        <w:rPr>
          <w:rFonts w:ascii="Book Antiqua" w:hAnsi="Book Antiqua" w:cs="Arial"/>
          <w:sz w:val="24"/>
          <w:szCs w:val="24"/>
        </w:rPr>
        <w:t>pT</w:t>
      </w:r>
      <w:proofErr w:type="spellEnd"/>
      <w:r w:rsidR="002F632A">
        <w:rPr>
          <w:rFonts w:ascii="Book Antiqua" w:hAnsi="Book Antiqua" w:cs="Arial"/>
          <w:sz w:val="24"/>
          <w:szCs w:val="24"/>
        </w:rPr>
        <w:t>:</w:t>
      </w:r>
      <w:r w:rsidRPr="00B751AA">
        <w:rPr>
          <w:rFonts w:ascii="Book Antiqua" w:hAnsi="Book Antiqua" w:cs="Arial"/>
          <w:sz w:val="24"/>
          <w:szCs w:val="24"/>
        </w:rPr>
        <w:t xml:space="preserve"> </w:t>
      </w:r>
      <w:r w:rsidR="002F632A" w:rsidRPr="00B751AA">
        <w:rPr>
          <w:rFonts w:ascii="Book Antiqua" w:hAnsi="Book Antiqua" w:cs="Arial"/>
          <w:sz w:val="24"/>
          <w:szCs w:val="24"/>
        </w:rPr>
        <w:t xml:space="preserve">Pathologic </w:t>
      </w:r>
      <w:r w:rsidRPr="00B751AA">
        <w:rPr>
          <w:rFonts w:ascii="Book Antiqua" w:hAnsi="Book Antiqua" w:cs="Arial"/>
          <w:sz w:val="24"/>
          <w:szCs w:val="24"/>
        </w:rPr>
        <w:t>tumor category; pN0</w:t>
      </w:r>
      <w:r w:rsidR="002F632A">
        <w:rPr>
          <w:rFonts w:ascii="Book Antiqua" w:hAnsi="Book Antiqua" w:cs="Arial"/>
          <w:sz w:val="24"/>
          <w:szCs w:val="24"/>
        </w:rPr>
        <w:t>:</w:t>
      </w:r>
      <w:r w:rsidRPr="00B751AA">
        <w:rPr>
          <w:rFonts w:ascii="Book Antiqua" w:hAnsi="Book Antiqua" w:cs="Arial"/>
          <w:sz w:val="24"/>
          <w:szCs w:val="24"/>
        </w:rPr>
        <w:t xml:space="preserve"> </w:t>
      </w:r>
      <w:r w:rsidR="002F632A" w:rsidRPr="00B751AA">
        <w:rPr>
          <w:rFonts w:ascii="Book Antiqua" w:hAnsi="Book Antiqua" w:cs="Arial"/>
          <w:sz w:val="24"/>
          <w:szCs w:val="24"/>
        </w:rPr>
        <w:t xml:space="preserve">No </w:t>
      </w:r>
      <w:r w:rsidRPr="00B751AA">
        <w:rPr>
          <w:rFonts w:ascii="Book Antiqua" w:hAnsi="Book Antiqua" w:cs="Arial"/>
          <w:sz w:val="24"/>
          <w:szCs w:val="24"/>
        </w:rPr>
        <w:t xml:space="preserve">lymph node metastases; </w:t>
      </w:r>
      <w:proofErr w:type="spellStart"/>
      <w:r w:rsidRPr="00B751AA">
        <w:rPr>
          <w:rFonts w:ascii="Book Antiqua" w:hAnsi="Book Antiqua" w:cs="Arial"/>
          <w:sz w:val="24"/>
          <w:szCs w:val="24"/>
        </w:rPr>
        <w:t>pN</w:t>
      </w:r>
      <w:proofErr w:type="spellEnd"/>
      <w:r w:rsidRPr="00B751AA">
        <w:rPr>
          <w:rFonts w:ascii="Book Antiqua" w:hAnsi="Book Antiqua" w:cs="Arial"/>
          <w:sz w:val="24"/>
          <w:szCs w:val="24"/>
        </w:rPr>
        <w:t>+</w:t>
      </w:r>
      <w:r w:rsidR="002F632A">
        <w:rPr>
          <w:rFonts w:ascii="Book Antiqua" w:hAnsi="Book Antiqua" w:cs="Arial"/>
          <w:sz w:val="24"/>
          <w:szCs w:val="24"/>
        </w:rPr>
        <w:t>:</w:t>
      </w:r>
      <w:r w:rsidRPr="00B751AA">
        <w:rPr>
          <w:rFonts w:ascii="Book Antiqua" w:hAnsi="Book Antiqua" w:cs="Arial"/>
          <w:sz w:val="24"/>
          <w:szCs w:val="24"/>
        </w:rPr>
        <w:t xml:space="preserve"> </w:t>
      </w:r>
      <w:r w:rsidR="002F632A" w:rsidRPr="00B751AA">
        <w:rPr>
          <w:rFonts w:ascii="Book Antiqua" w:hAnsi="Book Antiqua" w:cs="Arial"/>
          <w:sz w:val="24"/>
          <w:szCs w:val="24"/>
        </w:rPr>
        <w:t xml:space="preserve">Lymph </w:t>
      </w:r>
      <w:r w:rsidRPr="00B751AA">
        <w:rPr>
          <w:rFonts w:ascii="Book Antiqua" w:hAnsi="Book Antiqua" w:cs="Arial"/>
          <w:sz w:val="24"/>
          <w:szCs w:val="24"/>
        </w:rPr>
        <w:t xml:space="preserve">nodes involved, </w:t>
      </w:r>
      <w:r w:rsidRPr="00B751AA">
        <w:rPr>
          <w:rFonts w:ascii="Book Antiqua" w:hAnsi="Book Antiqua" w:cs="Arial"/>
          <w:bCs/>
          <w:color w:val="000000"/>
          <w:kern w:val="1"/>
          <w:sz w:val="24"/>
          <w:szCs w:val="24"/>
          <w:lang w:val="fr-FR"/>
        </w:rPr>
        <w:t>scoring by immunohistochemical staining of D2-40</w:t>
      </w:r>
      <w:r w:rsidR="002F632A">
        <w:rPr>
          <w:rFonts w:ascii="Book Antiqua" w:hAnsi="Book Antiqua" w:cs="Arial"/>
          <w:bCs/>
          <w:color w:val="000000"/>
          <w:kern w:val="1"/>
          <w:sz w:val="24"/>
          <w:szCs w:val="24"/>
          <w:lang w:val="fr-FR"/>
        </w:rPr>
        <w:t>.</w:t>
      </w:r>
    </w:p>
    <w:p w14:paraId="58AF5ECD" w14:textId="77777777" w:rsidR="00BB36AA" w:rsidRPr="00B751AA" w:rsidRDefault="00BB36AA" w:rsidP="00B751AA">
      <w:pPr>
        <w:snapToGrid w:val="0"/>
        <w:spacing w:after="0" w:line="360" w:lineRule="auto"/>
        <w:jc w:val="both"/>
        <w:rPr>
          <w:rFonts w:ascii="Book Antiqua" w:hAnsi="Book Antiqua"/>
          <w:color w:val="000000" w:themeColor="text1"/>
          <w:sz w:val="24"/>
          <w:szCs w:val="24"/>
          <w:lang w:val="fr-FR"/>
        </w:rPr>
      </w:pPr>
      <w:r w:rsidRPr="00B751AA">
        <w:rPr>
          <w:rFonts w:ascii="Book Antiqua" w:hAnsi="Book Antiqua"/>
          <w:color w:val="000000" w:themeColor="text1"/>
          <w:sz w:val="24"/>
          <w:szCs w:val="24"/>
          <w:lang w:val="fr-FR"/>
        </w:rPr>
        <w:br w:type="page"/>
      </w:r>
    </w:p>
    <w:p w14:paraId="5AD4BA7C" w14:textId="77777777" w:rsidR="00BB36AA" w:rsidRPr="00B751AA" w:rsidRDefault="00BB36AA" w:rsidP="00B751AA">
      <w:pPr>
        <w:adjustRightInd w:val="0"/>
        <w:snapToGrid w:val="0"/>
        <w:spacing w:after="0" w:line="360" w:lineRule="auto"/>
        <w:jc w:val="both"/>
        <w:rPr>
          <w:rFonts w:ascii="Book Antiqua" w:hAnsi="Book Antiqua" w:cs="Arial"/>
          <w:b/>
          <w:bCs/>
          <w:color w:val="000000"/>
          <w:kern w:val="1"/>
          <w:sz w:val="24"/>
          <w:szCs w:val="24"/>
          <w:lang w:val="fr-FR"/>
        </w:rPr>
      </w:pPr>
      <w:r w:rsidRPr="00B751AA">
        <w:rPr>
          <w:rFonts w:ascii="Book Antiqua" w:hAnsi="Book Antiqua" w:cs="Arial"/>
          <w:b/>
          <w:bCs/>
          <w:color w:val="000000"/>
          <w:kern w:val="1"/>
          <w:sz w:val="24"/>
          <w:szCs w:val="24"/>
          <w:lang w:val="fr-FR"/>
        </w:rPr>
        <w:lastRenderedPageBreak/>
        <w:t xml:space="preserve">Table 4 Expression of podoplanin protein differs between tissues resected from neoadjuvantly treated and non-pretreated direct surgery </w:t>
      </w:r>
      <w:r w:rsidR="002F632A" w:rsidRPr="002F632A">
        <w:rPr>
          <w:rFonts w:ascii="Book Antiqua" w:hAnsi="Book Antiqua" w:cs="Arial"/>
          <w:b/>
          <w:sz w:val="24"/>
          <w:szCs w:val="24"/>
          <w:lang w:val="en-GB"/>
        </w:rPr>
        <w:t xml:space="preserve">squamous cell carcinoma of the </w:t>
      </w:r>
      <w:proofErr w:type="spellStart"/>
      <w:r w:rsidR="002F632A" w:rsidRPr="002F632A">
        <w:rPr>
          <w:rFonts w:ascii="Book Antiqua" w:hAnsi="Book Antiqua" w:cs="Arial"/>
          <w:b/>
          <w:sz w:val="24"/>
          <w:szCs w:val="24"/>
          <w:lang w:val="en-GB"/>
        </w:rPr>
        <w:t>esophagus</w:t>
      </w:r>
      <w:proofErr w:type="spellEnd"/>
      <w:r w:rsidR="002F632A" w:rsidRPr="002F632A">
        <w:rPr>
          <w:rFonts w:ascii="Book Antiqua" w:hAnsi="Book Antiqua" w:cs="Arial"/>
          <w:b/>
          <w:color w:val="000000"/>
          <w:kern w:val="1"/>
          <w:sz w:val="24"/>
          <w:szCs w:val="24"/>
          <w:lang w:val="fr-FR"/>
        </w:rPr>
        <w:t xml:space="preserve"> </w:t>
      </w:r>
      <w:r w:rsidRPr="00B751AA">
        <w:rPr>
          <w:rFonts w:ascii="Book Antiqua" w:hAnsi="Book Antiqua" w:cs="Arial"/>
          <w:b/>
          <w:bCs/>
          <w:color w:val="000000"/>
          <w:kern w:val="1"/>
          <w:sz w:val="24"/>
          <w:szCs w:val="24"/>
          <w:lang w:val="fr-FR"/>
        </w:rPr>
        <w:t>patients</w:t>
      </w:r>
    </w:p>
    <w:tbl>
      <w:tblPr>
        <w:tblpPr w:leftFromText="141" w:rightFromText="141" w:vertAnchor="text" w:horzAnchor="margin" w:tblpY="174"/>
        <w:tblW w:w="0" w:type="auto"/>
        <w:tblBorders>
          <w:top w:val="single" w:sz="4" w:space="0" w:color="auto"/>
          <w:bottom w:val="single" w:sz="4" w:space="0" w:color="auto"/>
        </w:tblBorders>
        <w:tblLayout w:type="fixed"/>
        <w:tblLook w:val="04A0" w:firstRow="1" w:lastRow="0" w:firstColumn="1" w:lastColumn="0" w:noHBand="0" w:noVBand="1"/>
      </w:tblPr>
      <w:tblGrid>
        <w:gridCol w:w="2093"/>
        <w:gridCol w:w="1304"/>
        <w:gridCol w:w="1531"/>
        <w:gridCol w:w="1446"/>
        <w:gridCol w:w="1389"/>
      </w:tblGrid>
      <w:tr w:rsidR="002F632A" w:rsidRPr="0052322B" w14:paraId="505F5DB6" w14:textId="77777777" w:rsidTr="0052322B">
        <w:trPr>
          <w:trHeight w:val="311"/>
        </w:trPr>
        <w:tc>
          <w:tcPr>
            <w:tcW w:w="2093" w:type="dxa"/>
            <w:vMerge w:val="restart"/>
            <w:tcBorders>
              <w:top w:val="single" w:sz="4" w:space="0" w:color="auto"/>
              <w:bottom w:val="single" w:sz="4" w:space="0" w:color="auto"/>
            </w:tcBorders>
            <w:shd w:val="clear" w:color="auto" w:fill="auto"/>
          </w:tcPr>
          <w:p w14:paraId="2E0302FC"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Resected tissue</w:t>
            </w:r>
          </w:p>
        </w:tc>
        <w:tc>
          <w:tcPr>
            <w:tcW w:w="2835" w:type="dxa"/>
            <w:gridSpan w:val="2"/>
            <w:tcBorders>
              <w:top w:val="single" w:sz="4" w:space="0" w:color="auto"/>
              <w:bottom w:val="single" w:sz="4" w:space="0" w:color="auto"/>
            </w:tcBorders>
            <w:shd w:val="clear" w:color="auto" w:fill="auto"/>
          </w:tcPr>
          <w:p w14:paraId="44965284"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 xml:space="preserve">Podoplanin </w:t>
            </w:r>
          </w:p>
        </w:tc>
        <w:tc>
          <w:tcPr>
            <w:tcW w:w="2835" w:type="dxa"/>
            <w:gridSpan w:val="2"/>
            <w:tcBorders>
              <w:top w:val="single" w:sz="4" w:space="0" w:color="auto"/>
              <w:bottom w:val="single" w:sz="4" w:space="0" w:color="auto"/>
            </w:tcBorders>
            <w:shd w:val="clear" w:color="auto" w:fill="auto"/>
          </w:tcPr>
          <w:p w14:paraId="55E86B0B"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 xml:space="preserve">Patients </w:t>
            </w:r>
          </w:p>
        </w:tc>
      </w:tr>
      <w:tr w:rsidR="002F632A" w:rsidRPr="0052322B" w14:paraId="1FC648FA" w14:textId="77777777" w:rsidTr="0052322B">
        <w:trPr>
          <w:trHeight w:val="542"/>
        </w:trPr>
        <w:tc>
          <w:tcPr>
            <w:tcW w:w="2093" w:type="dxa"/>
            <w:vMerge/>
            <w:tcBorders>
              <w:top w:val="single" w:sz="4" w:space="0" w:color="auto"/>
              <w:bottom w:val="single" w:sz="4" w:space="0" w:color="auto"/>
            </w:tcBorders>
            <w:shd w:val="clear" w:color="auto" w:fill="auto"/>
          </w:tcPr>
          <w:p w14:paraId="759AEB5A"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p>
        </w:tc>
        <w:tc>
          <w:tcPr>
            <w:tcW w:w="1304" w:type="dxa"/>
            <w:tcBorders>
              <w:top w:val="single" w:sz="4" w:space="0" w:color="auto"/>
              <w:bottom w:val="single" w:sz="4" w:space="0" w:color="auto"/>
            </w:tcBorders>
            <w:shd w:val="clear" w:color="auto" w:fill="auto"/>
          </w:tcPr>
          <w:p w14:paraId="5343CC89"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Score</w:t>
            </w:r>
          </w:p>
        </w:tc>
        <w:tc>
          <w:tcPr>
            <w:tcW w:w="1531" w:type="dxa"/>
            <w:tcBorders>
              <w:top w:val="single" w:sz="4" w:space="0" w:color="auto"/>
              <w:bottom w:val="single" w:sz="4" w:space="0" w:color="auto"/>
            </w:tcBorders>
            <w:shd w:val="clear" w:color="auto" w:fill="auto"/>
          </w:tcPr>
          <w:p w14:paraId="6B0A92E3"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b/>
                <w:sz w:val="24"/>
                <w:szCs w:val="24"/>
                <w:lang w:val="fr-FR"/>
              </w:rPr>
              <w:t>%</w:t>
            </w:r>
          </w:p>
        </w:tc>
        <w:tc>
          <w:tcPr>
            <w:tcW w:w="1446" w:type="dxa"/>
            <w:tcBorders>
              <w:top w:val="single" w:sz="4" w:space="0" w:color="auto"/>
              <w:bottom w:val="single" w:sz="4" w:space="0" w:color="auto"/>
            </w:tcBorders>
            <w:shd w:val="clear" w:color="auto" w:fill="auto"/>
          </w:tcPr>
          <w:p w14:paraId="0FB1F69E" w14:textId="77777777" w:rsidR="002F632A" w:rsidRPr="0052322B" w:rsidRDefault="0052322B" w:rsidP="002F632A">
            <w:pPr>
              <w:snapToGrid w:val="0"/>
              <w:spacing w:after="0" w:line="360" w:lineRule="auto"/>
              <w:ind w:right="-286"/>
              <w:jc w:val="both"/>
              <w:rPr>
                <w:rFonts w:ascii="Book Antiqua" w:hAnsi="Book Antiqua" w:cs="Arial"/>
                <w:b/>
                <w:i/>
                <w:iCs/>
                <w:sz w:val="24"/>
                <w:szCs w:val="24"/>
                <w:lang w:val="fr-FR"/>
              </w:rPr>
            </w:pPr>
            <w:r w:rsidRPr="0052322B">
              <w:rPr>
                <w:rFonts w:ascii="Book Antiqua" w:hAnsi="Book Antiqua" w:cs="Arial"/>
                <w:b/>
                <w:i/>
                <w:iCs/>
                <w:sz w:val="24"/>
                <w:szCs w:val="24"/>
                <w:lang w:val="fr-FR"/>
              </w:rPr>
              <w:t>n</w:t>
            </w:r>
          </w:p>
        </w:tc>
        <w:tc>
          <w:tcPr>
            <w:tcW w:w="1389" w:type="dxa"/>
            <w:tcBorders>
              <w:top w:val="single" w:sz="4" w:space="0" w:color="auto"/>
              <w:bottom w:val="single" w:sz="4" w:space="0" w:color="auto"/>
            </w:tcBorders>
            <w:shd w:val="clear" w:color="auto" w:fill="auto"/>
          </w:tcPr>
          <w:p w14:paraId="394ED175" w14:textId="77777777" w:rsidR="002F632A" w:rsidRPr="0052322B" w:rsidRDefault="002F632A" w:rsidP="002F632A">
            <w:pPr>
              <w:snapToGrid w:val="0"/>
              <w:spacing w:after="0" w:line="360" w:lineRule="auto"/>
              <w:ind w:right="-286"/>
              <w:jc w:val="both"/>
              <w:rPr>
                <w:rFonts w:ascii="Book Antiqua" w:hAnsi="Book Antiqua" w:cs="Arial"/>
                <w:b/>
                <w:sz w:val="24"/>
                <w:szCs w:val="24"/>
                <w:lang w:val="fr-FR"/>
              </w:rPr>
            </w:pPr>
            <w:r w:rsidRPr="0052322B">
              <w:rPr>
                <w:rFonts w:ascii="Book Antiqua" w:hAnsi="Book Antiqua" w:cs="Arial" w:hint="eastAsia"/>
                <w:b/>
                <w:sz w:val="24"/>
                <w:szCs w:val="24"/>
                <w:lang w:val="fr-FR"/>
              </w:rPr>
              <w:t>%</w:t>
            </w:r>
          </w:p>
        </w:tc>
      </w:tr>
      <w:tr w:rsidR="00BB36AA" w:rsidRPr="00B751AA" w14:paraId="4FC2E4C0" w14:textId="77777777" w:rsidTr="0052322B">
        <w:trPr>
          <w:trHeight w:val="374"/>
        </w:trPr>
        <w:tc>
          <w:tcPr>
            <w:tcW w:w="2093" w:type="dxa"/>
            <w:vMerge w:val="restart"/>
            <w:tcBorders>
              <w:top w:val="single" w:sz="4" w:space="0" w:color="auto"/>
            </w:tcBorders>
            <w:shd w:val="clear" w:color="auto" w:fill="auto"/>
          </w:tcPr>
          <w:p w14:paraId="14EA5FA3" w14:textId="77777777" w:rsidR="00BB36AA" w:rsidRPr="0052322B" w:rsidRDefault="00BB36AA" w:rsidP="0052322B">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RTx/CTx + surgery</w:t>
            </w:r>
          </w:p>
        </w:tc>
        <w:tc>
          <w:tcPr>
            <w:tcW w:w="1304" w:type="dxa"/>
            <w:tcBorders>
              <w:top w:val="single" w:sz="4" w:space="0" w:color="auto"/>
            </w:tcBorders>
            <w:shd w:val="clear" w:color="auto" w:fill="auto"/>
          </w:tcPr>
          <w:p w14:paraId="7E63A842"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531" w:type="dxa"/>
            <w:tcBorders>
              <w:top w:val="single" w:sz="4" w:space="0" w:color="auto"/>
            </w:tcBorders>
            <w:shd w:val="clear" w:color="auto" w:fill="auto"/>
          </w:tcPr>
          <w:p w14:paraId="503AE715"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446" w:type="dxa"/>
            <w:tcBorders>
              <w:top w:val="single" w:sz="4" w:space="0" w:color="auto"/>
            </w:tcBorders>
            <w:shd w:val="clear" w:color="auto" w:fill="auto"/>
          </w:tcPr>
          <w:p w14:paraId="7EBFFB40"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51</w:t>
            </w:r>
          </w:p>
        </w:tc>
        <w:tc>
          <w:tcPr>
            <w:tcW w:w="1389" w:type="dxa"/>
            <w:tcBorders>
              <w:top w:val="single" w:sz="4" w:space="0" w:color="auto"/>
            </w:tcBorders>
            <w:shd w:val="clear" w:color="auto" w:fill="auto"/>
          </w:tcPr>
          <w:p w14:paraId="2616B24C"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89</w:t>
            </w:r>
          </w:p>
        </w:tc>
      </w:tr>
      <w:tr w:rsidR="00BB36AA" w:rsidRPr="00B751AA" w14:paraId="242E095A" w14:textId="77777777" w:rsidTr="0052322B">
        <w:trPr>
          <w:trHeight w:val="374"/>
        </w:trPr>
        <w:tc>
          <w:tcPr>
            <w:tcW w:w="2093" w:type="dxa"/>
            <w:vMerge/>
            <w:shd w:val="clear" w:color="auto" w:fill="auto"/>
          </w:tcPr>
          <w:p w14:paraId="02CE7D1C" w14:textId="77777777" w:rsidR="00BB36AA" w:rsidRPr="00B751AA" w:rsidRDefault="00BB36AA" w:rsidP="002F632A">
            <w:pPr>
              <w:snapToGrid w:val="0"/>
              <w:spacing w:after="0" w:line="360" w:lineRule="auto"/>
              <w:ind w:right="-286"/>
              <w:jc w:val="both"/>
              <w:rPr>
                <w:rFonts w:ascii="Book Antiqua" w:hAnsi="Book Antiqua"/>
                <w:sz w:val="24"/>
                <w:szCs w:val="24"/>
              </w:rPr>
            </w:pPr>
          </w:p>
        </w:tc>
        <w:tc>
          <w:tcPr>
            <w:tcW w:w="1304" w:type="dxa"/>
            <w:shd w:val="clear" w:color="auto" w:fill="auto"/>
          </w:tcPr>
          <w:p w14:paraId="46A2491A"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531" w:type="dxa"/>
            <w:shd w:val="clear" w:color="auto" w:fill="auto"/>
          </w:tcPr>
          <w:p w14:paraId="5ADB518C"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446" w:type="dxa"/>
            <w:shd w:val="clear" w:color="auto" w:fill="auto"/>
          </w:tcPr>
          <w:p w14:paraId="2AD4564E"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w:t>
            </w:r>
          </w:p>
        </w:tc>
        <w:tc>
          <w:tcPr>
            <w:tcW w:w="1389" w:type="dxa"/>
            <w:shd w:val="clear" w:color="auto" w:fill="auto"/>
          </w:tcPr>
          <w:p w14:paraId="2EFFBE23"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9</w:t>
            </w:r>
          </w:p>
        </w:tc>
      </w:tr>
      <w:tr w:rsidR="00BB36AA" w:rsidRPr="00B751AA" w14:paraId="1343624C" w14:textId="77777777" w:rsidTr="0052322B">
        <w:trPr>
          <w:trHeight w:val="374"/>
        </w:trPr>
        <w:tc>
          <w:tcPr>
            <w:tcW w:w="2093" w:type="dxa"/>
            <w:vMerge/>
            <w:shd w:val="clear" w:color="auto" w:fill="auto"/>
          </w:tcPr>
          <w:p w14:paraId="152983DC"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p>
        </w:tc>
        <w:tc>
          <w:tcPr>
            <w:tcW w:w="1304" w:type="dxa"/>
            <w:shd w:val="clear" w:color="auto" w:fill="auto"/>
          </w:tcPr>
          <w:p w14:paraId="74B4514E"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531" w:type="dxa"/>
            <w:shd w:val="clear" w:color="auto" w:fill="auto"/>
          </w:tcPr>
          <w:p w14:paraId="44A01AFE"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446" w:type="dxa"/>
            <w:shd w:val="clear" w:color="auto" w:fill="auto"/>
          </w:tcPr>
          <w:p w14:paraId="4D384D47"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389" w:type="dxa"/>
            <w:shd w:val="clear" w:color="auto" w:fill="auto"/>
          </w:tcPr>
          <w:p w14:paraId="03F96FD1"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r>
      <w:tr w:rsidR="00BB36AA" w:rsidRPr="00B751AA" w14:paraId="40E2E6FD" w14:textId="77777777" w:rsidTr="0052322B">
        <w:trPr>
          <w:trHeight w:val="374"/>
        </w:trPr>
        <w:tc>
          <w:tcPr>
            <w:tcW w:w="2093" w:type="dxa"/>
            <w:vMerge w:val="restart"/>
            <w:shd w:val="clear" w:color="auto" w:fill="auto"/>
          </w:tcPr>
          <w:p w14:paraId="1B1EA805" w14:textId="77777777" w:rsidR="00BB36AA" w:rsidRPr="002F632A" w:rsidRDefault="00BB36AA" w:rsidP="002F632A">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Primary surgery</w:t>
            </w:r>
            <w:r w:rsidR="002F632A">
              <w:rPr>
                <w:rFonts w:ascii="Book Antiqua" w:hAnsi="Book Antiqua" w:cs="Arial" w:hint="eastAsia"/>
                <w:sz w:val="24"/>
                <w:szCs w:val="24"/>
                <w:lang w:val="fr-FR"/>
              </w:rPr>
              <w:t xml:space="preserve"> </w:t>
            </w:r>
            <w:r w:rsidRPr="00B751AA">
              <w:rPr>
                <w:rFonts w:ascii="Book Antiqua" w:hAnsi="Book Antiqua" w:cs="Arial"/>
                <w:sz w:val="24"/>
                <w:szCs w:val="24"/>
                <w:lang w:val="fr-FR"/>
              </w:rPr>
              <w:t>non-pretreated</w:t>
            </w:r>
          </w:p>
        </w:tc>
        <w:tc>
          <w:tcPr>
            <w:tcW w:w="1304" w:type="dxa"/>
            <w:shd w:val="clear" w:color="auto" w:fill="auto"/>
          </w:tcPr>
          <w:p w14:paraId="02209A51"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531" w:type="dxa"/>
            <w:shd w:val="clear" w:color="auto" w:fill="auto"/>
          </w:tcPr>
          <w:p w14:paraId="37CCC861"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446" w:type="dxa"/>
            <w:shd w:val="clear" w:color="auto" w:fill="auto"/>
          </w:tcPr>
          <w:p w14:paraId="462FF87F"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16</w:t>
            </w:r>
          </w:p>
        </w:tc>
        <w:tc>
          <w:tcPr>
            <w:tcW w:w="1389" w:type="dxa"/>
            <w:shd w:val="clear" w:color="auto" w:fill="auto"/>
          </w:tcPr>
          <w:p w14:paraId="395D0704"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50</w:t>
            </w:r>
          </w:p>
        </w:tc>
      </w:tr>
      <w:tr w:rsidR="00BB36AA" w:rsidRPr="00B751AA" w14:paraId="4B5C5D89" w14:textId="77777777" w:rsidTr="0052322B">
        <w:trPr>
          <w:trHeight w:val="374"/>
        </w:trPr>
        <w:tc>
          <w:tcPr>
            <w:tcW w:w="2093" w:type="dxa"/>
            <w:vMerge/>
            <w:shd w:val="clear" w:color="auto" w:fill="auto"/>
          </w:tcPr>
          <w:p w14:paraId="5BC45D23" w14:textId="77777777" w:rsidR="00BB36AA" w:rsidRPr="00B751AA" w:rsidRDefault="00BB36AA" w:rsidP="002F632A">
            <w:pPr>
              <w:snapToGrid w:val="0"/>
              <w:spacing w:after="0" w:line="360" w:lineRule="auto"/>
              <w:jc w:val="both"/>
              <w:rPr>
                <w:rFonts w:ascii="Book Antiqua" w:hAnsi="Book Antiqua" w:cs="Arial"/>
                <w:sz w:val="24"/>
                <w:szCs w:val="24"/>
              </w:rPr>
            </w:pPr>
          </w:p>
        </w:tc>
        <w:tc>
          <w:tcPr>
            <w:tcW w:w="1304" w:type="dxa"/>
            <w:shd w:val="clear" w:color="auto" w:fill="auto"/>
          </w:tcPr>
          <w:p w14:paraId="1735F0C4"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2</w:t>
            </w:r>
          </w:p>
        </w:tc>
        <w:tc>
          <w:tcPr>
            <w:tcW w:w="1531" w:type="dxa"/>
            <w:shd w:val="clear" w:color="auto" w:fill="auto"/>
          </w:tcPr>
          <w:p w14:paraId="0B625C02"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6-35</w:t>
            </w:r>
          </w:p>
        </w:tc>
        <w:tc>
          <w:tcPr>
            <w:tcW w:w="1446" w:type="dxa"/>
            <w:shd w:val="clear" w:color="auto" w:fill="auto"/>
          </w:tcPr>
          <w:p w14:paraId="5770732B"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11</w:t>
            </w:r>
          </w:p>
        </w:tc>
        <w:tc>
          <w:tcPr>
            <w:tcW w:w="1389" w:type="dxa"/>
            <w:shd w:val="clear" w:color="auto" w:fill="auto"/>
          </w:tcPr>
          <w:p w14:paraId="0FFF2C8A"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34</w:t>
            </w:r>
          </w:p>
        </w:tc>
      </w:tr>
      <w:tr w:rsidR="00BB36AA" w:rsidRPr="00B751AA" w14:paraId="0AE3EC25" w14:textId="77777777" w:rsidTr="0052322B">
        <w:trPr>
          <w:trHeight w:val="374"/>
        </w:trPr>
        <w:tc>
          <w:tcPr>
            <w:tcW w:w="2093" w:type="dxa"/>
            <w:vMerge/>
            <w:shd w:val="clear" w:color="auto" w:fill="auto"/>
          </w:tcPr>
          <w:p w14:paraId="317D1B79" w14:textId="77777777" w:rsidR="00BB36AA" w:rsidRPr="00B751AA" w:rsidRDefault="00BB36AA" w:rsidP="002F632A">
            <w:pPr>
              <w:snapToGrid w:val="0"/>
              <w:spacing w:after="0" w:line="360" w:lineRule="auto"/>
              <w:jc w:val="both"/>
              <w:rPr>
                <w:rFonts w:ascii="Book Antiqua" w:hAnsi="Book Antiqua"/>
                <w:sz w:val="24"/>
                <w:szCs w:val="24"/>
              </w:rPr>
            </w:pPr>
          </w:p>
        </w:tc>
        <w:tc>
          <w:tcPr>
            <w:tcW w:w="1304" w:type="dxa"/>
            <w:shd w:val="clear" w:color="auto" w:fill="auto"/>
          </w:tcPr>
          <w:p w14:paraId="2793CE78"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531" w:type="dxa"/>
            <w:shd w:val="clear" w:color="auto" w:fill="auto"/>
          </w:tcPr>
          <w:p w14:paraId="6C649F71"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36-65</w:t>
            </w:r>
          </w:p>
        </w:tc>
        <w:tc>
          <w:tcPr>
            <w:tcW w:w="1446" w:type="dxa"/>
            <w:shd w:val="clear" w:color="auto" w:fill="auto"/>
          </w:tcPr>
          <w:p w14:paraId="6B45A7B0"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5</w:t>
            </w:r>
          </w:p>
        </w:tc>
        <w:tc>
          <w:tcPr>
            <w:tcW w:w="1389" w:type="dxa"/>
            <w:shd w:val="clear" w:color="auto" w:fill="auto"/>
          </w:tcPr>
          <w:p w14:paraId="6A3EEBAB" w14:textId="77777777" w:rsidR="00BB36AA" w:rsidRPr="00B751AA" w:rsidRDefault="00BB36AA" w:rsidP="002F632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16</w:t>
            </w:r>
          </w:p>
        </w:tc>
      </w:tr>
    </w:tbl>
    <w:p w14:paraId="64E705EE" w14:textId="77777777" w:rsidR="00BB36AA" w:rsidRPr="00B751AA" w:rsidRDefault="00BB36AA" w:rsidP="00B751AA">
      <w:pPr>
        <w:adjustRightInd w:val="0"/>
        <w:snapToGrid w:val="0"/>
        <w:spacing w:after="0" w:line="360" w:lineRule="auto"/>
        <w:jc w:val="both"/>
        <w:rPr>
          <w:rFonts w:ascii="Book Antiqua" w:hAnsi="Book Antiqua" w:cs="Arial"/>
          <w:b/>
          <w:bCs/>
          <w:color w:val="000000"/>
          <w:kern w:val="1"/>
          <w:sz w:val="24"/>
          <w:szCs w:val="24"/>
          <w:lang w:val="fr-FR"/>
        </w:rPr>
      </w:pPr>
    </w:p>
    <w:p w14:paraId="0DDB6809" w14:textId="77777777" w:rsidR="00BB36AA" w:rsidRPr="00B751AA" w:rsidRDefault="00BB36AA" w:rsidP="00B751AA">
      <w:pPr>
        <w:adjustRightInd w:val="0"/>
        <w:snapToGrid w:val="0"/>
        <w:spacing w:after="0" w:line="360" w:lineRule="auto"/>
        <w:jc w:val="both"/>
        <w:rPr>
          <w:rFonts w:ascii="Book Antiqua" w:hAnsi="Book Antiqua" w:cs="Arial"/>
          <w:b/>
          <w:bCs/>
          <w:color w:val="000000"/>
          <w:kern w:val="1"/>
          <w:sz w:val="24"/>
          <w:szCs w:val="24"/>
          <w:lang w:val="fr-FR"/>
        </w:rPr>
      </w:pPr>
    </w:p>
    <w:p w14:paraId="3532DC50" w14:textId="77777777" w:rsidR="00BB36AA" w:rsidRPr="00B751AA" w:rsidRDefault="00BB36AA" w:rsidP="00B751AA">
      <w:pPr>
        <w:adjustRightInd w:val="0"/>
        <w:snapToGrid w:val="0"/>
        <w:spacing w:after="0" w:line="360" w:lineRule="auto"/>
        <w:jc w:val="both"/>
        <w:rPr>
          <w:rFonts w:ascii="Book Antiqua" w:hAnsi="Book Antiqua"/>
          <w:color w:val="000000" w:themeColor="text1"/>
          <w:sz w:val="24"/>
          <w:szCs w:val="24"/>
          <w:lang w:val="fr-FR"/>
        </w:rPr>
      </w:pPr>
    </w:p>
    <w:p w14:paraId="7B3AC7FE" w14:textId="77777777" w:rsidR="00BB36AA" w:rsidRPr="00B751AA" w:rsidRDefault="00BB36AA" w:rsidP="00B751AA">
      <w:pPr>
        <w:snapToGrid w:val="0"/>
        <w:spacing w:after="0" w:line="360" w:lineRule="auto"/>
        <w:jc w:val="both"/>
        <w:rPr>
          <w:rFonts w:ascii="Book Antiqua" w:hAnsi="Book Antiqua"/>
          <w:sz w:val="24"/>
          <w:szCs w:val="24"/>
          <w:lang w:val="fr-FR"/>
        </w:rPr>
      </w:pPr>
    </w:p>
    <w:p w14:paraId="191760CC" w14:textId="77777777" w:rsidR="00BB36AA" w:rsidRPr="00B751AA" w:rsidRDefault="00BB36AA" w:rsidP="00B751AA">
      <w:pPr>
        <w:snapToGrid w:val="0"/>
        <w:spacing w:after="0" w:line="360" w:lineRule="auto"/>
        <w:jc w:val="both"/>
        <w:rPr>
          <w:rFonts w:ascii="Book Antiqua" w:hAnsi="Book Antiqua"/>
          <w:sz w:val="24"/>
          <w:szCs w:val="24"/>
          <w:lang w:val="fr-FR"/>
        </w:rPr>
      </w:pPr>
    </w:p>
    <w:p w14:paraId="30E93FF6" w14:textId="77777777" w:rsidR="00BB36AA" w:rsidRPr="00B751AA" w:rsidRDefault="00BB36AA" w:rsidP="00B751AA">
      <w:pPr>
        <w:snapToGrid w:val="0"/>
        <w:spacing w:after="0" w:line="360" w:lineRule="auto"/>
        <w:jc w:val="both"/>
        <w:rPr>
          <w:rFonts w:ascii="Book Antiqua" w:hAnsi="Book Antiqua"/>
          <w:sz w:val="24"/>
          <w:szCs w:val="24"/>
          <w:lang w:val="fr-FR"/>
        </w:rPr>
      </w:pPr>
    </w:p>
    <w:p w14:paraId="7F478FA3" w14:textId="77777777" w:rsidR="00BB36AA" w:rsidRPr="00B751AA" w:rsidRDefault="00BB36AA" w:rsidP="00B751AA">
      <w:pPr>
        <w:snapToGrid w:val="0"/>
        <w:spacing w:after="0" w:line="360" w:lineRule="auto"/>
        <w:jc w:val="both"/>
        <w:rPr>
          <w:rFonts w:ascii="Book Antiqua" w:hAnsi="Book Antiqua"/>
          <w:sz w:val="24"/>
          <w:szCs w:val="24"/>
          <w:lang w:val="fr-FR"/>
        </w:rPr>
      </w:pPr>
    </w:p>
    <w:p w14:paraId="775E6728" w14:textId="77777777" w:rsidR="00BB36AA" w:rsidRPr="00B751AA" w:rsidRDefault="00BB36AA" w:rsidP="00B751AA">
      <w:pPr>
        <w:snapToGrid w:val="0"/>
        <w:spacing w:after="0" w:line="360" w:lineRule="auto"/>
        <w:jc w:val="both"/>
        <w:rPr>
          <w:rFonts w:ascii="Book Antiqua" w:hAnsi="Book Antiqua"/>
          <w:sz w:val="24"/>
          <w:szCs w:val="24"/>
          <w:lang w:val="fr-FR"/>
        </w:rPr>
      </w:pPr>
    </w:p>
    <w:p w14:paraId="7BA86EFA" w14:textId="77777777" w:rsidR="00BB36AA" w:rsidRPr="00B751AA" w:rsidRDefault="00BB36AA" w:rsidP="00B751AA">
      <w:pPr>
        <w:snapToGrid w:val="0"/>
        <w:spacing w:after="0" w:line="360" w:lineRule="auto"/>
        <w:jc w:val="both"/>
        <w:rPr>
          <w:rFonts w:ascii="Book Antiqua" w:hAnsi="Book Antiqua"/>
          <w:sz w:val="24"/>
          <w:szCs w:val="24"/>
          <w:lang w:val="fr-FR"/>
        </w:rPr>
      </w:pPr>
    </w:p>
    <w:p w14:paraId="07B659FF" w14:textId="77777777" w:rsidR="00BB36AA" w:rsidRDefault="00BB36AA" w:rsidP="00B751AA">
      <w:pPr>
        <w:tabs>
          <w:tab w:val="left" w:pos="1130"/>
        </w:tabs>
        <w:snapToGrid w:val="0"/>
        <w:spacing w:after="0" w:line="360" w:lineRule="auto"/>
        <w:jc w:val="both"/>
        <w:rPr>
          <w:rFonts w:ascii="Book Antiqua" w:hAnsi="Book Antiqua" w:cs="Arial"/>
          <w:bCs/>
          <w:color w:val="000000"/>
          <w:kern w:val="1"/>
          <w:sz w:val="24"/>
          <w:szCs w:val="24"/>
          <w:lang w:val="fr-FR"/>
        </w:rPr>
      </w:pPr>
      <w:r w:rsidRPr="00B751AA">
        <w:rPr>
          <w:rFonts w:ascii="Book Antiqua" w:hAnsi="Book Antiqua" w:cs="Arial"/>
          <w:color w:val="000000"/>
          <w:kern w:val="1"/>
          <w:sz w:val="24"/>
          <w:szCs w:val="24"/>
        </w:rPr>
        <w:t xml:space="preserve">Resected tissue specimen: neoadjuvant chemoradiation </w:t>
      </w:r>
      <w:r w:rsidR="0052322B" w:rsidRPr="00B751AA">
        <w:rPr>
          <w:rFonts w:ascii="Book Antiqua" w:hAnsi="Book Antiqua" w:cs="Arial"/>
          <w:bCs/>
          <w:sz w:val="24"/>
          <w:szCs w:val="24"/>
          <w:lang w:val="en-GB"/>
        </w:rPr>
        <w:t xml:space="preserve">squamous cell carcinoma of the </w:t>
      </w:r>
      <w:proofErr w:type="spellStart"/>
      <w:r w:rsidR="0052322B" w:rsidRPr="00B751AA">
        <w:rPr>
          <w:rFonts w:ascii="Book Antiqua" w:hAnsi="Book Antiqua" w:cs="Arial"/>
          <w:bCs/>
          <w:sz w:val="24"/>
          <w:szCs w:val="24"/>
          <w:lang w:val="en-GB"/>
        </w:rPr>
        <w:t>esophagus</w:t>
      </w:r>
      <w:proofErr w:type="spellEnd"/>
      <w:r w:rsidR="0052322B" w:rsidRPr="00B751AA">
        <w:rPr>
          <w:rFonts w:ascii="Book Antiqua" w:hAnsi="Book Antiqua" w:cs="Arial"/>
          <w:color w:val="000000"/>
          <w:kern w:val="1"/>
          <w:sz w:val="24"/>
          <w:szCs w:val="24"/>
        </w:rPr>
        <w:t xml:space="preserve"> </w:t>
      </w:r>
      <w:r w:rsidR="0052322B">
        <w:rPr>
          <w:rFonts w:ascii="Book Antiqua" w:hAnsi="Book Antiqua" w:cs="Arial"/>
          <w:color w:val="000000"/>
          <w:kern w:val="1"/>
          <w:sz w:val="24"/>
          <w:szCs w:val="24"/>
        </w:rPr>
        <w:t>(</w:t>
      </w:r>
      <w:r w:rsidRPr="00B751AA">
        <w:rPr>
          <w:rFonts w:ascii="Book Antiqua" w:hAnsi="Book Antiqua" w:cs="Arial"/>
          <w:color w:val="000000"/>
          <w:kern w:val="1"/>
          <w:sz w:val="24"/>
          <w:szCs w:val="24"/>
        </w:rPr>
        <w:t>ESCC</w:t>
      </w:r>
      <w:r w:rsidR="0052322B">
        <w:rPr>
          <w:rFonts w:ascii="Book Antiqua" w:hAnsi="Book Antiqua" w:cs="Arial"/>
          <w:color w:val="000000"/>
          <w:kern w:val="1"/>
          <w:sz w:val="24"/>
          <w:szCs w:val="24"/>
        </w:rPr>
        <w:t>)</w:t>
      </w:r>
      <w:r w:rsidRPr="00B751AA">
        <w:rPr>
          <w:rFonts w:ascii="Book Antiqua" w:hAnsi="Book Antiqua" w:cs="Arial"/>
          <w:color w:val="000000"/>
          <w:kern w:val="1"/>
          <w:sz w:val="24"/>
          <w:szCs w:val="24"/>
        </w:rPr>
        <w:t xml:space="preserve"> patients</w:t>
      </w:r>
      <w:r w:rsidR="002F632A">
        <w:rPr>
          <w:rFonts w:ascii="Book Antiqua" w:hAnsi="Book Antiqua" w:cs="Arial"/>
          <w:color w:val="000000"/>
          <w:kern w:val="1"/>
          <w:sz w:val="24"/>
          <w:szCs w:val="24"/>
        </w:rPr>
        <w:t>,</w:t>
      </w:r>
      <w:r w:rsidRPr="00B751AA">
        <w:rPr>
          <w:rFonts w:ascii="Book Antiqua" w:hAnsi="Book Antiqua" w:cs="Arial"/>
          <w:color w:val="000000"/>
          <w:kern w:val="1"/>
          <w:sz w:val="24"/>
          <w:szCs w:val="24"/>
        </w:rPr>
        <w:t xml:space="preserve"> </w:t>
      </w:r>
      <w:r w:rsidRPr="002F632A">
        <w:rPr>
          <w:rFonts w:ascii="Book Antiqua" w:hAnsi="Book Antiqua" w:cs="Arial"/>
          <w:i/>
          <w:iCs/>
          <w:color w:val="000000"/>
          <w:kern w:val="1"/>
          <w:sz w:val="24"/>
          <w:szCs w:val="24"/>
        </w:rPr>
        <w:t>n</w:t>
      </w:r>
      <w:r w:rsidR="002F632A">
        <w:rPr>
          <w:rFonts w:ascii="Book Antiqua" w:hAnsi="Book Antiqua" w:cs="Arial"/>
          <w:color w:val="000000"/>
          <w:kern w:val="1"/>
          <w:sz w:val="24"/>
          <w:szCs w:val="24"/>
        </w:rPr>
        <w:t xml:space="preserve"> </w:t>
      </w:r>
      <w:r w:rsidRPr="00B751AA">
        <w:rPr>
          <w:rFonts w:ascii="Book Antiqua" w:hAnsi="Book Antiqua" w:cs="Arial"/>
          <w:color w:val="000000"/>
          <w:kern w:val="1"/>
          <w:sz w:val="24"/>
          <w:szCs w:val="24"/>
        </w:rPr>
        <w:t>= 58</w:t>
      </w:r>
      <w:r w:rsidRPr="00B751AA">
        <w:rPr>
          <w:rFonts w:ascii="Book Antiqua" w:hAnsi="Book Antiqua" w:cs="Arial"/>
          <w:bCs/>
          <w:color w:val="000000"/>
          <w:kern w:val="1"/>
          <w:sz w:val="24"/>
          <w:szCs w:val="24"/>
          <w:lang w:val="fr-FR"/>
        </w:rPr>
        <w:t xml:space="preserve"> and non-pretreated direct surgery ESCC patients</w:t>
      </w:r>
      <w:r w:rsidR="002F632A">
        <w:rPr>
          <w:rFonts w:ascii="Book Antiqua" w:hAnsi="Book Antiqua" w:cs="Arial"/>
          <w:bCs/>
          <w:color w:val="000000"/>
          <w:kern w:val="1"/>
          <w:sz w:val="24"/>
          <w:szCs w:val="24"/>
          <w:lang w:val="fr-FR"/>
        </w:rPr>
        <w:t>,</w:t>
      </w:r>
      <w:r w:rsidRPr="00B751AA">
        <w:rPr>
          <w:rFonts w:ascii="Book Antiqua" w:hAnsi="Book Antiqua" w:cs="Arial"/>
          <w:bCs/>
          <w:color w:val="000000"/>
          <w:kern w:val="1"/>
          <w:sz w:val="24"/>
          <w:szCs w:val="24"/>
          <w:lang w:val="fr-FR"/>
        </w:rPr>
        <w:t xml:space="preserve"> </w:t>
      </w:r>
      <w:r w:rsidRPr="002F632A">
        <w:rPr>
          <w:rFonts w:ascii="Book Antiqua" w:hAnsi="Book Antiqua" w:cs="Arial"/>
          <w:bCs/>
          <w:i/>
          <w:iCs/>
          <w:color w:val="000000"/>
          <w:kern w:val="1"/>
          <w:sz w:val="24"/>
          <w:szCs w:val="24"/>
          <w:lang w:val="fr-FR"/>
        </w:rPr>
        <w:t>n</w:t>
      </w:r>
      <w:r w:rsidR="002F632A">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w:t>
      </w:r>
      <w:r w:rsidR="002F632A">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 xml:space="preserve">32, scoring by immunohistochemically stained D2-40, </w:t>
      </w:r>
      <w:r w:rsidR="002F632A" w:rsidRPr="002F632A">
        <w:rPr>
          <w:rFonts w:ascii="Book Antiqua" w:hAnsi="Book Antiqua" w:cs="Arial"/>
          <w:bCs/>
          <w:i/>
          <w:iCs/>
          <w:color w:val="000000"/>
          <w:kern w:val="1"/>
          <w:sz w:val="24"/>
          <w:szCs w:val="24"/>
          <w:lang w:val="fr-FR"/>
        </w:rPr>
        <w:t>P</w:t>
      </w:r>
      <w:r w:rsidR="002F632A">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&lt;</w:t>
      </w:r>
      <w:r w:rsidR="002F632A">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0.001.</w:t>
      </w:r>
    </w:p>
    <w:p w14:paraId="79A731C6" w14:textId="77777777" w:rsidR="002F632A" w:rsidRPr="00B751AA" w:rsidRDefault="002F632A" w:rsidP="00B751AA">
      <w:pPr>
        <w:tabs>
          <w:tab w:val="left" w:pos="1130"/>
        </w:tabs>
        <w:snapToGrid w:val="0"/>
        <w:spacing w:after="0" w:line="360" w:lineRule="auto"/>
        <w:jc w:val="both"/>
        <w:rPr>
          <w:rFonts w:ascii="Book Antiqua" w:hAnsi="Book Antiqua"/>
          <w:sz w:val="24"/>
          <w:szCs w:val="24"/>
          <w:lang w:val="fr-FR"/>
        </w:rPr>
      </w:pPr>
      <w:proofErr w:type="spellStart"/>
      <w:r w:rsidRPr="00B751AA">
        <w:rPr>
          <w:rFonts w:ascii="Book Antiqua" w:hAnsi="Book Antiqua" w:cs="Arial"/>
          <w:bCs/>
          <w:sz w:val="24"/>
          <w:szCs w:val="24"/>
          <w:lang w:val="en-GB"/>
        </w:rPr>
        <w:t>RTx</w:t>
      </w:r>
      <w:proofErr w:type="spellEnd"/>
      <w:r w:rsidRPr="00B751AA">
        <w:rPr>
          <w:rFonts w:ascii="Book Antiqua" w:hAnsi="Book Antiqua" w:cs="Arial"/>
          <w:bCs/>
          <w:sz w:val="24"/>
          <w:szCs w:val="24"/>
          <w:lang w:val="en-GB"/>
        </w:rPr>
        <w:t>/</w:t>
      </w:r>
      <w:proofErr w:type="spellStart"/>
      <w:r w:rsidRPr="00B751AA">
        <w:rPr>
          <w:rFonts w:ascii="Book Antiqua" w:hAnsi="Book Antiqua" w:cs="Arial"/>
          <w:bCs/>
          <w:sz w:val="24"/>
          <w:szCs w:val="24"/>
          <w:lang w:val="en-GB"/>
        </w:rPr>
        <w:t>CTx</w:t>
      </w:r>
      <w:proofErr w:type="spellEnd"/>
      <w:r>
        <w:rPr>
          <w:rFonts w:ascii="Book Antiqua" w:hAnsi="Book Antiqua" w:cs="Arial"/>
          <w:bCs/>
          <w:sz w:val="24"/>
          <w:szCs w:val="24"/>
          <w:lang w:val="en-GB"/>
        </w:rPr>
        <w:t>:</w:t>
      </w:r>
      <w:r w:rsidRPr="00B751AA">
        <w:rPr>
          <w:rFonts w:ascii="Book Antiqua" w:hAnsi="Book Antiqua" w:cs="Arial"/>
          <w:bCs/>
          <w:sz w:val="24"/>
          <w:szCs w:val="24"/>
          <w:lang w:val="en-GB"/>
        </w:rPr>
        <w:t xml:space="preserve"> Neoadjuvant radio-/chemotherapy.</w:t>
      </w:r>
    </w:p>
    <w:p w14:paraId="1E2D643B" w14:textId="77777777" w:rsidR="00BB36AA" w:rsidRPr="00B751AA" w:rsidRDefault="00BB36AA" w:rsidP="00B751AA">
      <w:pPr>
        <w:snapToGrid w:val="0"/>
        <w:spacing w:after="0" w:line="360" w:lineRule="auto"/>
        <w:jc w:val="both"/>
        <w:rPr>
          <w:rFonts w:ascii="Book Antiqua" w:hAnsi="Book Antiqua"/>
          <w:sz w:val="24"/>
          <w:szCs w:val="24"/>
          <w:lang w:val="fr-FR"/>
        </w:rPr>
      </w:pPr>
      <w:r w:rsidRPr="00B751AA">
        <w:rPr>
          <w:rFonts w:ascii="Book Antiqua" w:hAnsi="Book Antiqua"/>
          <w:sz w:val="24"/>
          <w:szCs w:val="24"/>
          <w:lang w:val="fr-FR"/>
        </w:rPr>
        <w:br w:type="page"/>
      </w:r>
    </w:p>
    <w:p w14:paraId="4E6AE31B" w14:textId="77777777" w:rsidR="00BB36AA" w:rsidRPr="00B751AA" w:rsidRDefault="00BB36AA" w:rsidP="00B751AA">
      <w:pPr>
        <w:snapToGrid w:val="0"/>
        <w:spacing w:after="0" w:line="360" w:lineRule="auto"/>
        <w:jc w:val="both"/>
        <w:rPr>
          <w:rFonts w:ascii="Book Antiqua" w:hAnsi="Book Antiqua"/>
          <w:sz w:val="24"/>
          <w:szCs w:val="24"/>
          <w:lang w:val="fr-FR"/>
        </w:rPr>
      </w:pPr>
      <w:r w:rsidRPr="00B751AA">
        <w:rPr>
          <w:rFonts w:ascii="Book Antiqua" w:hAnsi="Book Antiqua"/>
          <w:sz w:val="24"/>
          <w:szCs w:val="24"/>
          <w:lang w:val="fr-FR"/>
        </w:rPr>
        <w:lastRenderedPageBreak/>
        <w:t>T</w:t>
      </w:r>
      <w:r w:rsidRPr="00B751AA">
        <w:rPr>
          <w:rFonts w:ascii="Book Antiqua" w:hAnsi="Book Antiqua" w:cs="Arial"/>
          <w:b/>
          <w:sz w:val="24"/>
          <w:szCs w:val="24"/>
        </w:rPr>
        <w:t xml:space="preserve">able 5 </w:t>
      </w:r>
      <w:proofErr w:type="spellStart"/>
      <w:r w:rsidRPr="00B751AA">
        <w:rPr>
          <w:rFonts w:ascii="Book Antiqua" w:hAnsi="Book Antiqua" w:cs="Arial"/>
          <w:b/>
          <w:sz w:val="24"/>
          <w:szCs w:val="24"/>
        </w:rPr>
        <w:t>Podoplanin</w:t>
      </w:r>
      <w:proofErr w:type="spellEnd"/>
      <w:r w:rsidRPr="00B751AA">
        <w:rPr>
          <w:rFonts w:ascii="Book Antiqua" w:hAnsi="Book Antiqua" w:cs="Arial"/>
          <w:b/>
          <w:sz w:val="24"/>
          <w:szCs w:val="24"/>
        </w:rPr>
        <w:t xml:space="preserve"> expression pre- and post-neoadjuvant </w:t>
      </w:r>
      <w:proofErr w:type="spellStart"/>
      <w:r w:rsidRPr="00B751AA">
        <w:rPr>
          <w:rFonts w:ascii="Book Antiqua" w:hAnsi="Book Antiqua" w:cs="Arial"/>
          <w:b/>
          <w:sz w:val="24"/>
          <w:szCs w:val="24"/>
        </w:rPr>
        <w:t>chemoradiaton</w:t>
      </w:r>
      <w:proofErr w:type="spellEnd"/>
    </w:p>
    <w:tbl>
      <w:tblPr>
        <w:tblpPr w:leftFromText="141" w:rightFromText="141" w:vertAnchor="text" w:horzAnchor="margin" w:tblpXSpec="center" w:tblpY="223"/>
        <w:tblW w:w="8472" w:type="dxa"/>
        <w:tblBorders>
          <w:top w:val="single" w:sz="4" w:space="0" w:color="auto"/>
          <w:bottom w:val="single" w:sz="4" w:space="0" w:color="auto"/>
        </w:tblBorders>
        <w:tblLayout w:type="fixed"/>
        <w:tblLook w:val="04A0" w:firstRow="1" w:lastRow="0" w:firstColumn="1" w:lastColumn="0" w:noHBand="0" w:noVBand="1"/>
      </w:tblPr>
      <w:tblGrid>
        <w:gridCol w:w="2802"/>
        <w:gridCol w:w="1417"/>
        <w:gridCol w:w="992"/>
        <w:gridCol w:w="993"/>
        <w:gridCol w:w="1162"/>
        <w:gridCol w:w="1106"/>
      </w:tblGrid>
      <w:tr w:rsidR="00BB36AA" w:rsidRPr="00B751AA" w14:paraId="3B262995" w14:textId="77777777" w:rsidTr="0052322B">
        <w:trPr>
          <w:trHeight w:val="498"/>
        </w:trPr>
        <w:tc>
          <w:tcPr>
            <w:tcW w:w="4219" w:type="dxa"/>
            <w:gridSpan w:val="2"/>
            <w:tcBorders>
              <w:top w:val="single" w:sz="4" w:space="0" w:color="auto"/>
              <w:bottom w:val="single" w:sz="4" w:space="0" w:color="auto"/>
            </w:tcBorders>
            <w:shd w:val="clear" w:color="auto" w:fill="auto"/>
          </w:tcPr>
          <w:p w14:paraId="75975B12"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Endoscopic biopsies pre RTx/CTx</w:t>
            </w:r>
          </w:p>
        </w:tc>
        <w:tc>
          <w:tcPr>
            <w:tcW w:w="4253" w:type="dxa"/>
            <w:gridSpan w:val="4"/>
            <w:tcBorders>
              <w:top w:val="single" w:sz="4" w:space="0" w:color="auto"/>
              <w:bottom w:val="single" w:sz="4" w:space="0" w:color="auto"/>
            </w:tcBorders>
            <w:shd w:val="clear" w:color="auto" w:fill="auto"/>
          </w:tcPr>
          <w:p w14:paraId="4A8DC0B1"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Post RTx/CTx resected tissue</w:t>
            </w:r>
          </w:p>
        </w:tc>
      </w:tr>
      <w:tr w:rsidR="00BB36AA" w:rsidRPr="00B751AA" w14:paraId="3FB308AC" w14:textId="77777777" w:rsidTr="0052322B">
        <w:trPr>
          <w:trHeight w:val="374"/>
        </w:trPr>
        <w:tc>
          <w:tcPr>
            <w:tcW w:w="2802" w:type="dxa"/>
            <w:tcBorders>
              <w:top w:val="single" w:sz="4" w:space="0" w:color="auto"/>
              <w:bottom w:val="single" w:sz="4" w:space="0" w:color="auto"/>
            </w:tcBorders>
            <w:shd w:val="clear" w:color="auto" w:fill="auto"/>
          </w:tcPr>
          <w:p w14:paraId="42160675"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Podoplanin expression</w:t>
            </w:r>
          </w:p>
        </w:tc>
        <w:tc>
          <w:tcPr>
            <w:tcW w:w="1417" w:type="dxa"/>
            <w:tcBorders>
              <w:top w:val="single" w:sz="4" w:space="0" w:color="auto"/>
              <w:bottom w:val="single" w:sz="4" w:space="0" w:color="auto"/>
            </w:tcBorders>
            <w:shd w:val="clear" w:color="auto" w:fill="auto"/>
          </w:tcPr>
          <w:p w14:paraId="62027B5C" w14:textId="77777777" w:rsidR="00BB36AA" w:rsidRPr="0052322B" w:rsidRDefault="00BB36AA" w:rsidP="00B751AA">
            <w:pPr>
              <w:snapToGrid w:val="0"/>
              <w:spacing w:after="0" w:line="360" w:lineRule="auto"/>
              <w:jc w:val="both"/>
              <w:rPr>
                <w:rFonts w:ascii="Book Antiqua" w:hAnsi="Book Antiqua" w:cs="Arial"/>
                <w:b/>
                <w:sz w:val="24"/>
                <w:szCs w:val="24"/>
              </w:rPr>
            </w:pPr>
            <w:r w:rsidRPr="00B751AA">
              <w:rPr>
                <w:rFonts w:ascii="Book Antiqua" w:hAnsi="Book Antiqua" w:cs="Arial"/>
                <w:b/>
                <w:sz w:val="24"/>
                <w:szCs w:val="24"/>
              </w:rPr>
              <w:t>Patients</w:t>
            </w:r>
            <w:r w:rsidR="0052322B">
              <w:rPr>
                <w:rFonts w:ascii="Book Antiqua" w:hAnsi="Book Antiqua" w:cs="Arial"/>
                <w:b/>
                <w:sz w:val="24"/>
                <w:szCs w:val="24"/>
              </w:rPr>
              <w:t>,</w:t>
            </w:r>
            <w:r w:rsidRPr="00B751AA">
              <w:rPr>
                <w:rFonts w:ascii="Book Antiqua" w:hAnsi="Book Antiqua" w:cs="Arial"/>
                <w:b/>
                <w:sz w:val="24"/>
                <w:szCs w:val="24"/>
              </w:rPr>
              <w:t xml:space="preserve"> </w:t>
            </w:r>
            <w:r w:rsidR="0052322B" w:rsidRPr="0052322B">
              <w:rPr>
                <w:rFonts w:ascii="Book Antiqua" w:hAnsi="Book Antiqua" w:cs="Arial"/>
                <w:b/>
                <w:i/>
                <w:iCs/>
                <w:sz w:val="24"/>
                <w:szCs w:val="24"/>
              </w:rPr>
              <w:t>n</w:t>
            </w:r>
          </w:p>
        </w:tc>
        <w:tc>
          <w:tcPr>
            <w:tcW w:w="992" w:type="dxa"/>
            <w:tcBorders>
              <w:top w:val="single" w:sz="4" w:space="0" w:color="auto"/>
              <w:bottom w:val="single" w:sz="4" w:space="0" w:color="auto"/>
            </w:tcBorders>
            <w:shd w:val="clear" w:color="auto" w:fill="auto"/>
          </w:tcPr>
          <w:p w14:paraId="144375DB"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0-5%</w:t>
            </w:r>
          </w:p>
        </w:tc>
        <w:tc>
          <w:tcPr>
            <w:tcW w:w="993" w:type="dxa"/>
            <w:tcBorders>
              <w:top w:val="single" w:sz="4" w:space="0" w:color="auto"/>
              <w:bottom w:val="single" w:sz="4" w:space="0" w:color="auto"/>
            </w:tcBorders>
            <w:shd w:val="clear" w:color="auto" w:fill="auto"/>
          </w:tcPr>
          <w:p w14:paraId="7B0D0894"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6</w:t>
            </w:r>
            <w:r w:rsidR="0052322B">
              <w:rPr>
                <w:rFonts w:ascii="Book Antiqua" w:hAnsi="Book Antiqua" w:cs="Arial"/>
                <w:b/>
                <w:sz w:val="24"/>
                <w:szCs w:val="24"/>
                <w:lang w:val="fr-FR"/>
              </w:rPr>
              <w:t>%</w:t>
            </w:r>
            <w:r w:rsidRPr="00B751AA">
              <w:rPr>
                <w:rFonts w:ascii="Book Antiqua" w:hAnsi="Book Antiqua" w:cs="Arial"/>
                <w:b/>
                <w:sz w:val="24"/>
                <w:szCs w:val="24"/>
                <w:lang w:val="fr-FR"/>
              </w:rPr>
              <w:t>-35</w:t>
            </w:r>
            <w:r w:rsidR="0052322B">
              <w:rPr>
                <w:rFonts w:ascii="Book Antiqua" w:hAnsi="Book Antiqua" w:cs="Arial"/>
                <w:b/>
                <w:sz w:val="24"/>
                <w:szCs w:val="24"/>
                <w:lang w:val="fr-FR"/>
              </w:rPr>
              <w:t>%</w:t>
            </w:r>
          </w:p>
        </w:tc>
        <w:tc>
          <w:tcPr>
            <w:tcW w:w="1162" w:type="dxa"/>
            <w:tcBorders>
              <w:top w:val="single" w:sz="4" w:space="0" w:color="auto"/>
              <w:bottom w:val="single" w:sz="4" w:space="0" w:color="auto"/>
            </w:tcBorders>
            <w:shd w:val="clear" w:color="auto" w:fill="auto"/>
          </w:tcPr>
          <w:p w14:paraId="3E0F148B" w14:textId="77777777" w:rsidR="00BB36AA" w:rsidRPr="00B751AA" w:rsidRDefault="00BB36AA" w:rsidP="00B751AA">
            <w:pPr>
              <w:snapToGrid w:val="0"/>
              <w:spacing w:after="0" w:line="360" w:lineRule="auto"/>
              <w:ind w:right="-286"/>
              <w:jc w:val="both"/>
              <w:rPr>
                <w:rFonts w:ascii="Book Antiqua" w:hAnsi="Book Antiqua" w:cs="Arial"/>
                <w:b/>
                <w:sz w:val="24"/>
                <w:szCs w:val="24"/>
                <w:lang w:val="fr-FR"/>
              </w:rPr>
            </w:pPr>
            <w:r w:rsidRPr="00B751AA">
              <w:rPr>
                <w:rFonts w:ascii="Book Antiqua" w:hAnsi="Book Antiqua" w:cs="Arial"/>
                <w:b/>
                <w:sz w:val="24"/>
                <w:szCs w:val="24"/>
                <w:lang w:val="fr-FR"/>
              </w:rPr>
              <w:t>36</w:t>
            </w:r>
            <w:r w:rsidR="0052322B">
              <w:rPr>
                <w:rFonts w:ascii="Book Antiqua" w:hAnsi="Book Antiqua" w:cs="Arial"/>
                <w:b/>
                <w:sz w:val="24"/>
                <w:szCs w:val="24"/>
                <w:lang w:val="fr-FR"/>
              </w:rPr>
              <w:t>%</w:t>
            </w:r>
            <w:r w:rsidRPr="00B751AA">
              <w:rPr>
                <w:rFonts w:ascii="Book Antiqua" w:hAnsi="Book Antiqua" w:cs="Arial"/>
                <w:b/>
                <w:sz w:val="24"/>
                <w:szCs w:val="24"/>
                <w:lang w:val="fr-FR"/>
              </w:rPr>
              <w:t>-65</w:t>
            </w:r>
            <w:r w:rsidR="0052322B">
              <w:rPr>
                <w:rFonts w:ascii="Book Antiqua" w:hAnsi="Book Antiqua" w:cs="Arial"/>
                <w:b/>
                <w:sz w:val="24"/>
                <w:szCs w:val="24"/>
                <w:lang w:val="fr-FR"/>
              </w:rPr>
              <w:t>%</w:t>
            </w:r>
          </w:p>
        </w:tc>
        <w:tc>
          <w:tcPr>
            <w:tcW w:w="1106" w:type="dxa"/>
            <w:tcBorders>
              <w:top w:val="single" w:sz="4" w:space="0" w:color="auto"/>
              <w:bottom w:val="single" w:sz="4" w:space="0" w:color="auto"/>
            </w:tcBorders>
            <w:shd w:val="clear" w:color="auto" w:fill="auto"/>
          </w:tcPr>
          <w:p w14:paraId="6393FF39" w14:textId="77777777" w:rsidR="00BB36AA" w:rsidRPr="0052322B" w:rsidRDefault="0052322B" w:rsidP="0052322B">
            <w:pPr>
              <w:snapToGrid w:val="0"/>
              <w:spacing w:line="360" w:lineRule="auto"/>
              <w:ind w:right="-286"/>
              <w:jc w:val="both"/>
              <w:rPr>
                <w:rFonts w:ascii="Book Antiqua" w:hAnsi="Book Antiqua" w:cs="Arial"/>
                <w:b/>
                <w:lang w:val="fr-FR"/>
              </w:rPr>
            </w:pPr>
            <w:r w:rsidRPr="0052322B">
              <w:rPr>
                <w:rFonts w:ascii="Book Antiqua" w:hAnsi="Book Antiqua" w:cs="Arial"/>
                <w:b/>
                <w:sz w:val="24"/>
                <w:szCs w:val="24"/>
                <w:lang w:val="fr-FR"/>
              </w:rPr>
              <w:t>&gt;</w:t>
            </w:r>
            <w:r>
              <w:rPr>
                <w:rFonts w:ascii="Book Antiqua" w:hAnsi="Book Antiqua" w:cs="Arial"/>
                <w:b/>
                <w:lang w:val="fr-FR"/>
              </w:rPr>
              <w:t xml:space="preserve"> </w:t>
            </w:r>
            <w:r w:rsidR="00BB36AA" w:rsidRPr="0052322B">
              <w:rPr>
                <w:rFonts w:ascii="Book Antiqua" w:hAnsi="Book Antiqua" w:cs="Arial"/>
                <w:b/>
                <w:lang w:val="fr-FR"/>
              </w:rPr>
              <w:t>65</w:t>
            </w:r>
            <w:r>
              <w:rPr>
                <w:rFonts w:ascii="Book Antiqua" w:hAnsi="Book Antiqua" w:cs="Arial"/>
                <w:b/>
                <w:lang w:val="fr-FR"/>
              </w:rPr>
              <w:t>%</w:t>
            </w:r>
          </w:p>
        </w:tc>
      </w:tr>
      <w:tr w:rsidR="00BB36AA" w:rsidRPr="00B751AA" w14:paraId="476BF585" w14:textId="77777777" w:rsidTr="0052322B">
        <w:trPr>
          <w:trHeight w:val="374"/>
        </w:trPr>
        <w:tc>
          <w:tcPr>
            <w:tcW w:w="2802" w:type="dxa"/>
            <w:tcBorders>
              <w:top w:val="single" w:sz="4" w:space="0" w:color="auto"/>
            </w:tcBorders>
            <w:shd w:val="clear" w:color="auto" w:fill="auto"/>
          </w:tcPr>
          <w:p w14:paraId="52607597"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0-5%</w:t>
            </w:r>
          </w:p>
        </w:tc>
        <w:tc>
          <w:tcPr>
            <w:tcW w:w="1417" w:type="dxa"/>
            <w:tcBorders>
              <w:top w:val="single" w:sz="4" w:space="0" w:color="auto"/>
            </w:tcBorders>
            <w:shd w:val="clear" w:color="auto" w:fill="auto"/>
          </w:tcPr>
          <w:p w14:paraId="598C0A28" w14:textId="77777777" w:rsidR="00BB36AA" w:rsidRPr="00B751AA" w:rsidRDefault="00BB36AA" w:rsidP="00B751AA">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35</w:t>
            </w:r>
          </w:p>
        </w:tc>
        <w:tc>
          <w:tcPr>
            <w:tcW w:w="992" w:type="dxa"/>
            <w:tcBorders>
              <w:top w:val="single" w:sz="4" w:space="0" w:color="auto"/>
            </w:tcBorders>
            <w:shd w:val="clear" w:color="auto" w:fill="auto"/>
          </w:tcPr>
          <w:p w14:paraId="6C6E7460"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34</w:t>
            </w:r>
          </w:p>
        </w:tc>
        <w:tc>
          <w:tcPr>
            <w:tcW w:w="993" w:type="dxa"/>
            <w:tcBorders>
              <w:top w:val="single" w:sz="4" w:space="0" w:color="auto"/>
            </w:tcBorders>
            <w:shd w:val="clear" w:color="auto" w:fill="auto"/>
          </w:tcPr>
          <w:p w14:paraId="64736A87"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162" w:type="dxa"/>
            <w:tcBorders>
              <w:top w:val="single" w:sz="4" w:space="0" w:color="auto"/>
            </w:tcBorders>
            <w:shd w:val="clear" w:color="auto" w:fill="auto"/>
          </w:tcPr>
          <w:p w14:paraId="3ACAAD5C"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106" w:type="dxa"/>
            <w:tcBorders>
              <w:top w:val="single" w:sz="4" w:space="0" w:color="auto"/>
            </w:tcBorders>
            <w:shd w:val="clear" w:color="auto" w:fill="auto"/>
          </w:tcPr>
          <w:p w14:paraId="0C6986FB"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r w:rsidR="00BB36AA" w:rsidRPr="00B751AA" w14:paraId="2969CFA7" w14:textId="77777777" w:rsidTr="0052322B">
        <w:trPr>
          <w:trHeight w:val="374"/>
        </w:trPr>
        <w:tc>
          <w:tcPr>
            <w:tcW w:w="2802" w:type="dxa"/>
            <w:shd w:val="clear" w:color="auto" w:fill="auto"/>
          </w:tcPr>
          <w:p w14:paraId="13B6BAD9" w14:textId="77777777" w:rsidR="00BB36AA" w:rsidRPr="00B751AA" w:rsidRDefault="00BB36AA" w:rsidP="00B751AA">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6</w:t>
            </w:r>
            <w:r w:rsidR="0052322B">
              <w:rPr>
                <w:rFonts w:ascii="Book Antiqua" w:hAnsi="Book Antiqua" w:cs="Arial"/>
                <w:sz w:val="24"/>
                <w:szCs w:val="24"/>
                <w:lang w:val="fr-FR"/>
              </w:rPr>
              <w:t>%</w:t>
            </w:r>
            <w:r w:rsidRPr="00B751AA">
              <w:rPr>
                <w:rFonts w:ascii="Book Antiqua" w:hAnsi="Book Antiqua" w:cs="Arial"/>
                <w:sz w:val="24"/>
                <w:szCs w:val="24"/>
                <w:lang w:val="fr-FR"/>
              </w:rPr>
              <w:t>-35%</w:t>
            </w:r>
          </w:p>
        </w:tc>
        <w:tc>
          <w:tcPr>
            <w:tcW w:w="1417" w:type="dxa"/>
            <w:shd w:val="clear" w:color="auto" w:fill="auto"/>
          </w:tcPr>
          <w:p w14:paraId="642ACDE7" w14:textId="77777777" w:rsidR="00BB36AA" w:rsidRPr="00B751AA" w:rsidRDefault="00BB36AA" w:rsidP="00B751AA">
            <w:pPr>
              <w:snapToGrid w:val="0"/>
              <w:spacing w:after="0" w:line="360" w:lineRule="auto"/>
              <w:jc w:val="both"/>
              <w:rPr>
                <w:rFonts w:ascii="Book Antiqua" w:hAnsi="Book Antiqua" w:cs="Arial"/>
                <w:sz w:val="24"/>
                <w:szCs w:val="24"/>
                <w:lang w:val="fr-FR"/>
              </w:rPr>
            </w:pPr>
            <w:r w:rsidRPr="00B751AA">
              <w:rPr>
                <w:rFonts w:ascii="Book Antiqua" w:hAnsi="Book Antiqua" w:cs="Arial"/>
                <w:sz w:val="24"/>
                <w:szCs w:val="24"/>
                <w:lang w:val="fr-FR"/>
              </w:rPr>
              <w:t>14</w:t>
            </w:r>
          </w:p>
        </w:tc>
        <w:tc>
          <w:tcPr>
            <w:tcW w:w="992" w:type="dxa"/>
            <w:shd w:val="clear" w:color="auto" w:fill="auto"/>
          </w:tcPr>
          <w:p w14:paraId="592A042A"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10</w:t>
            </w:r>
          </w:p>
        </w:tc>
        <w:tc>
          <w:tcPr>
            <w:tcW w:w="993" w:type="dxa"/>
            <w:shd w:val="clear" w:color="auto" w:fill="auto"/>
          </w:tcPr>
          <w:p w14:paraId="3BEE92A7"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1162" w:type="dxa"/>
            <w:shd w:val="clear" w:color="auto" w:fill="auto"/>
          </w:tcPr>
          <w:p w14:paraId="4A7CF0E0"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106" w:type="dxa"/>
            <w:shd w:val="clear" w:color="auto" w:fill="auto"/>
          </w:tcPr>
          <w:p w14:paraId="3631A3E8"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r w:rsidR="00BB36AA" w:rsidRPr="00B751AA" w14:paraId="63F7BE58" w14:textId="77777777" w:rsidTr="0052322B">
        <w:trPr>
          <w:trHeight w:val="374"/>
        </w:trPr>
        <w:tc>
          <w:tcPr>
            <w:tcW w:w="2802" w:type="dxa"/>
            <w:shd w:val="clear" w:color="auto" w:fill="auto"/>
          </w:tcPr>
          <w:p w14:paraId="5B50015F" w14:textId="77777777" w:rsidR="00BB36AA" w:rsidRPr="00B751AA" w:rsidRDefault="00BB36AA" w:rsidP="00B751AA">
            <w:pPr>
              <w:snapToGrid w:val="0"/>
              <w:spacing w:after="0" w:line="360" w:lineRule="auto"/>
              <w:jc w:val="both"/>
              <w:rPr>
                <w:rFonts w:ascii="Book Antiqua" w:hAnsi="Book Antiqua"/>
                <w:sz w:val="24"/>
                <w:szCs w:val="24"/>
              </w:rPr>
            </w:pPr>
            <w:r w:rsidRPr="00B751AA">
              <w:rPr>
                <w:rFonts w:ascii="Book Antiqua" w:hAnsi="Book Antiqua" w:cs="Arial"/>
                <w:sz w:val="24"/>
                <w:szCs w:val="24"/>
                <w:lang w:val="fr-FR"/>
              </w:rPr>
              <w:t>36</w:t>
            </w:r>
            <w:r w:rsidR="0052322B">
              <w:rPr>
                <w:rFonts w:ascii="Book Antiqua" w:hAnsi="Book Antiqua" w:cs="Arial"/>
                <w:sz w:val="24"/>
                <w:szCs w:val="24"/>
                <w:lang w:val="fr-FR"/>
              </w:rPr>
              <w:t>%</w:t>
            </w:r>
            <w:r w:rsidRPr="00B751AA">
              <w:rPr>
                <w:rFonts w:ascii="Book Antiqua" w:hAnsi="Book Antiqua" w:cs="Arial"/>
                <w:sz w:val="24"/>
                <w:szCs w:val="24"/>
                <w:lang w:val="fr-FR"/>
              </w:rPr>
              <w:t>-65%</w:t>
            </w:r>
          </w:p>
        </w:tc>
        <w:tc>
          <w:tcPr>
            <w:tcW w:w="1417" w:type="dxa"/>
            <w:shd w:val="clear" w:color="auto" w:fill="auto"/>
          </w:tcPr>
          <w:p w14:paraId="27519332" w14:textId="77777777" w:rsidR="00BB36AA" w:rsidRPr="00B751AA" w:rsidRDefault="00BB36AA" w:rsidP="00B751AA">
            <w:pPr>
              <w:snapToGrid w:val="0"/>
              <w:spacing w:after="0" w:line="360" w:lineRule="auto"/>
              <w:jc w:val="both"/>
              <w:rPr>
                <w:rFonts w:ascii="Book Antiqua" w:hAnsi="Book Antiqua" w:cs="Arial"/>
                <w:sz w:val="24"/>
                <w:szCs w:val="24"/>
              </w:rPr>
            </w:pPr>
            <w:r w:rsidRPr="00B751AA">
              <w:rPr>
                <w:rFonts w:ascii="Book Antiqua" w:hAnsi="Book Antiqua" w:cs="Arial"/>
                <w:sz w:val="24"/>
                <w:szCs w:val="24"/>
              </w:rPr>
              <w:t>3</w:t>
            </w:r>
          </w:p>
        </w:tc>
        <w:tc>
          <w:tcPr>
            <w:tcW w:w="992" w:type="dxa"/>
            <w:shd w:val="clear" w:color="auto" w:fill="auto"/>
          </w:tcPr>
          <w:p w14:paraId="7F88BE66"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993" w:type="dxa"/>
            <w:shd w:val="clear" w:color="auto" w:fill="auto"/>
          </w:tcPr>
          <w:p w14:paraId="3BFD5C12"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162" w:type="dxa"/>
            <w:shd w:val="clear" w:color="auto" w:fill="auto"/>
          </w:tcPr>
          <w:p w14:paraId="01C1F2B0"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106" w:type="dxa"/>
            <w:shd w:val="clear" w:color="auto" w:fill="auto"/>
          </w:tcPr>
          <w:p w14:paraId="0887FCBE"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r w:rsidR="00BB36AA" w:rsidRPr="00B751AA" w14:paraId="709E4E7E" w14:textId="77777777" w:rsidTr="0052322B">
        <w:trPr>
          <w:trHeight w:val="372"/>
        </w:trPr>
        <w:tc>
          <w:tcPr>
            <w:tcW w:w="2802" w:type="dxa"/>
            <w:shd w:val="clear" w:color="auto" w:fill="auto"/>
          </w:tcPr>
          <w:p w14:paraId="324E2514" w14:textId="77777777" w:rsidR="00BB36AA" w:rsidRPr="0052322B" w:rsidRDefault="0052322B" w:rsidP="0052322B">
            <w:pPr>
              <w:snapToGrid w:val="0"/>
              <w:spacing w:line="360" w:lineRule="auto"/>
              <w:jc w:val="both"/>
              <w:rPr>
                <w:rFonts w:ascii="Book Antiqua" w:hAnsi="Book Antiqua"/>
              </w:rPr>
            </w:pPr>
            <w:r w:rsidRPr="0052322B">
              <w:rPr>
                <w:rFonts w:ascii="Book Antiqua" w:hAnsi="Book Antiqua" w:cs="Arial"/>
                <w:sz w:val="24"/>
                <w:szCs w:val="24"/>
                <w:lang w:val="fr-FR"/>
              </w:rPr>
              <w:t>&gt;</w:t>
            </w:r>
            <w:r>
              <w:rPr>
                <w:rFonts w:ascii="Book Antiqua" w:hAnsi="Book Antiqua" w:cs="Arial"/>
                <w:lang w:val="fr-FR"/>
              </w:rPr>
              <w:t xml:space="preserve"> </w:t>
            </w:r>
            <w:r w:rsidR="00BB36AA" w:rsidRPr="0052322B">
              <w:rPr>
                <w:rFonts w:ascii="Book Antiqua" w:hAnsi="Book Antiqua" w:cs="Arial"/>
                <w:lang w:val="fr-FR"/>
              </w:rPr>
              <w:t>65%</w:t>
            </w:r>
          </w:p>
        </w:tc>
        <w:tc>
          <w:tcPr>
            <w:tcW w:w="1417" w:type="dxa"/>
            <w:shd w:val="clear" w:color="auto" w:fill="auto"/>
          </w:tcPr>
          <w:p w14:paraId="7AF14921" w14:textId="77777777" w:rsidR="00BB36AA" w:rsidRPr="00B751AA" w:rsidRDefault="00BB36AA" w:rsidP="00B751AA">
            <w:pPr>
              <w:snapToGrid w:val="0"/>
              <w:spacing w:after="0" w:line="360" w:lineRule="auto"/>
              <w:jc w:val="both"/>
              <w:rPr>
                <w:rFonts w:ascii="Book Antiqua" w:hAnsi="Book Antiqua" w:cs="Arial"/>
                <w:sz w:val="24"/>
                <w:szCs w:val="24"/>
              </w:rPr>
            </w:pPr>
            <w:r w:rsidRPr="00B751AA">
              <w:rPr>
                <w:rFonts w:ascii="Book Antiqua" w:hAnsi="Book Antiqua" w:cs="Arial"/>
                <w:sz w:val="24"/>
                <w:szCs w:val="24"/>
              </w:rPr>
              <w:t>4</w:t>
            </w:r>
          </w:p>
        </w:tc>
        <w:tc>
          <w:tcPr>
            <w:tcW w:w="992" w:type="dxa"/>
            <w:shd w:val="clear" w:color="auto" w:fill="auto"/>
          </w:tcPr>
          <w:p w14:paraId="158F612A"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3</w:t>
            </w:r>
          </w:p>
        </w:tc>
        <w:tc>
          <w:tcPr>
            <w:tcW w:w="993" w:type="dxa"/>
            <w:shd w:val="clear" w:color="auto" w:fill="auto"/>
          </w:tcPr>
          <w:p w14:paraId="388F4A92"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1</w:t>
            </w:r>
          </w:p>
        </w:tc>
        <w:tc>
          <w:tcPr>
            <w:tcW w:w="1162" w:type="dxa"/>
            <w:shd w:val="clear" w:color="auto" w:fill="auto"/>
          </w:tcPr>
          <w:p w14:paraId="6C2C935C"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c>
          <w:tcPr>
            <w:tcW w:w="1106" w:type="dxa"/>
            <w:shd w:val="clear" w:color="auto" w:fill="auto"/>
          </w:tcPr>
          <w:p w14:paraId="051E25D7" w14:textId="77777777" w:rsidR="00BB36AA" w:rsidRPr="00B751AA" w:rsidRDefault="00BB36AA" w:rsidP="00B751AA">
            <w:pPr>
              <w:snapToGrid w:val="0"/>
              <w:spacing w:after="0" w:line="360" w:lineRule="auto"/>
              <w:ind w:right="-286"/>
              <w:jc w:val="both"/>
              <w:rPr>
                <w:rFonts w:ascii="Book Antiqua" w:hAnsi="Book Antiqua" w:cs="Arial"/>
                <w:sz w:val="24"/>
                <w:szCs w:val="24"/>
                <w:lang w:val="fr-FR"/>
              </w:rPr>
            </w:pPr>
            <w:r w:rsidRPr="00B751AA">
              <w:rPr>
                <w:rFonts w:ascii="Book Antiqua" w:hAnsi="Book Antiqua" w:cs="Arial"/>
                <w:sz w:val="24"/>
                <w:szCs w:val="24"/>
                <w:lang w:val="fr-FR"/>
              </w:rPr>
              <w:t>0</w:t>
            </w:r>
          </w:p>
        </w:tc>
      </w:tr>
    </w:tbl>
    <w:p w14:paraId="04362A1E" w14:textId="77777777" w:rsidR="0052322B" w:rsidRDefault="00BB36AA" w:rsidP="00B751AA">
      <w:pPr>
        <w:snapToGrid w:val="0"/>
        <w:spacing w:after="0" w:line="360" w:lineRule="auto"/>
        <w:jc w:val="both"/>
        <w:rPr>
          <w:rFonts w:ascii="Book Antiqua" w:hAnsi="Book Antiqua" w:cs="Arial"/>
          <w:bCs/>
          <w:color w:val="000000"/>
          <w:kern w:val="1"/>
          <w:sz w:val="24"/>
          <w:szCs w:val="24"/>
          <w:lang w:val="fr-FR"/>
        </w:rPr>
      </w:pPr>
      <w:r w:rsidRPr="00B751AA">
        <w:rPr>
          <w:rFonts w:ascii="Book Antiqua" w:hAnsi="Book Antiqua" w:cs="Arial"/>
          <w:sz w:val="24"/>
          <w:szCs w:val="24"/>
        </w:rPr>
        <w:t>Comparison of matched biopsies and resected specimen of 56 patients,</w:t>
      </w:r>
      <w:r w:rsidRPr="00B751AA">
        <w:rPr>
          <w:rFonts w:ascii="Book Antiqua" w:hAnsi="Book Antiqua" w:cs="Arial"/>
          <w:bCs/>
          <w:color w:val="000000"/>
          <w:kern w:val="1"/>
          <w:sz w:val="24"/>
          <w:szCs w:val="24"/>
          <w:lang w:val="fr-FR"/>
        </w:rPr>
        <w:t xml:space="preserve"> scoring by immunohistochemically stained D2-40, </w:t>
      </w:r>
      <w:r w:rsidR="0052322B" w:rsidRPr="0052322B">
        <w:rPr>
          <w:rFonts w:ascii="Book Antiqua" w:hAnsi="Book Antiqua" w:cs="Arial"/>
          <w:bCs/>
          <w:i/>
          <w:iCs/>
          <w:color w:val="000000"/>
          <w:kern w:val="1"/>
          <w:sz w:val="24"/>
          <w:szCs w:val="24"/>
          <w:lang w:val="fr-FR"/>
        </w:rPr>
        <w:t>P</w:t>
      </w:r>
      <w:r w:rsidR="0052322B">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&lt;</w:t>
      </w:r>
      <w:r w:rsidR="0052322B">
        <w:rPr>
          <w:rFonts w:ascii="Book Antiqua" w:hAnsi="Book Antiqua" w:cs="Arial"/>
          <w:bCs/>
          <w:color w:val="000000"/>
          <w:kern w:val="1"/>
          <w:sz w:val="24"/>
          <w:szCs w:val="24"/>
          <w:lang w:val="fr-FR"/>
        </w:rPr>
        <w:t xml:space="preserve"> </w:t>
      </w:r>
      <w:r w:rsidRPr="00B751AA">
        <w:rPr>
          <w:rFonts w:ascii="Book Antiqua" w:hAnsi="Book Antiqua" w:cs="Arial"/>
          <w:bCs/>
          <w:color w:val="000000"/>
          <w:kern w:val="1"/>
          <w:sz w:val="24"/>
          <w:szCs w:val="24"/>
          <w:lang w:val="fr-FR"/>
        </w:rPr>
        <w:t xml:space="preserve">0.001. </w:t>
      </w:r>
    </w:p>
    <w:p w14:paraId="2CFA7B92" w14:textId="77777777" w:rsidR="00BB36AA" w:rsidRPr="0052322B" w:rsidRDefault="00BB36AA" w:rsidP="00B751AA">
      <w:pPr>
        <w:snapToGrid w:val="0"/>
        <w:spacing w:after="0" w:line="360" w:lineRule="auto"/>
        <w:jc w:val="both"/>
        <w:rPr>
          <w:rFonts w:ascii="Book Antiqua" w:hAnsi="Book Antiqua"/>
          <w:sz w:val="24"/>
          <w:szCs w:val="24"/>
          <w:lang w:val="fr-FR"/>
        </w:rPr>
      </w:pPr>
      <w:r w:rsidRPr="00B751AA">
        <w:rPr>
          <w:rFonts w:ascii="Book Antiqua" w:hAnsi="Book Antiqua" w:cs="Arial"/>
          <w:bCs/>
          <w:color w:val="000000"/>
          <w:kern w:val="1"/>
          <w:sz w:val="24"/>
          <w:szCs w:val="24"/>
          <w:lang w:val="fr-FR"/>
        </w:rPr>
        <w:t>RTx/CTx</w:t>
      </w:r>
      <w:r w:rsidR="0052322B">
        <w:rPr>
          <w:rFonts w:ascii="Book Antiqua" w:hAnsi="Book Antiqua" w:cs="Arial"/>
          <w:bCs/>
          <w:color w:val="000000"/>
          <w:kern w:val="1"/>
          <w:sz w:val="24"/>
          <w:szCs w:val="24"/>
          <w:lang w:val="fr-FR"/>
        </w:rPr>
        <w:t>:</w:t>
      </w:r>
      <w:r w:rsidRPr="00B751AA">
        <w:rPr>
          <w:rFonts w:ascii="Book Antiqua" w:hAnsi="Book Antiqua" w:cs="Arial"/>
          <w:bCs/>
          <w:color w:val="000000"/>
          <w:kern w:val="1"/>
          <w:sz w:val="24"/>
          <w:szCs w:val="24"/>
          <w:lang w:val="fr-FR"/>
        </w:rPr>
        <w:t xml:space="preserve"> </w:t>
      </w:r>
      <w:r w:rsidR="0052322B" w:rsidRPr="00B751AA">
        <w:rPr>
          <w:rFonts w:ascii="Book Antiqua" w:hAnsi="Book Antiqua" w:cs="Arial"/>
          <w:bCs/>
          <w:color w:val="000000"/>
          <w:kern w:val="1"/>
          <w:sz w:val="24"/>
          <w:szCs w:val="24"/>
          <w:lang w:val="fr-FR"/>
        </w:rPr>
        <w:t xml:space="preserve">Neoadjuvant </w:t>
      </w:r>
      <w:r w:rsidRPr="00B751AA">
        <w:rPr>
          <w:rFonts w:ascii="Book Antiqua" w:hAnsi="Book Antiqua" w:cs="Arial"/>
          <w:bCs/>
          <w:color w:val="000000"/>
          <w:kern w:val="1"/>
          <w:sz w:val="24"/>
          <w:szCs w:val="24"/>
          <w:lang w:val="fr-FR"/>
        </w:rPr>
        <w:t>radio-chemotherapy.</w:t>
      </w:r>
    </w:p>
    <w:sectPr w:rsidR="00BB36AA" w:rsidRPr="0052322B" w:rsidSect="00FE6179">
      <w:footerReference w:type="default" r:id="rId11"/>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8D47E" w14:textId="77777777" w:rsidR="00750259" w:rsidRDefault="00750259" w:rsidP="00FE6179">
      <w:pPr>
        <w:spacing w:after="0" w:line="240" w:lineRule="auto"/>
      </w:pPr>
      <w:r>
        <w:separator/>
      </w:r>
    </w:p>
  </w:endnote>
  <w:endnote w:type="continuationSeparator" w:id="0">
    <w:p w14:paraId="1D120EA6" w14:textId="77777777" w:rsidR="00750259" w:rsidRDefault="00750259" w:rsidP="00FE6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4F196" w14:textId="77777777" w:rsidR="006E47C1" w:rsidRPr="00871B4E" w:rsidRDefault="006E47C1" w:rsidP="00871B4E">
    <w:pPr>
      <w:pStyle w:val="a8"/>
      <w:jc w:val="right"/>
      <w:rPr>
        <w:rFonts w:ascii="Book Antiqua" w:hAnsi="Book Antiqua"/>
        <w:color w:val="000000" w:themeColor="text1"/>
      </w:rPr>
    </w:pPr>
    <w:r w:rsidRPr="00871B4E">
      <w:rPr>
        <w:rFonts w:ascii="Book Antiqua" w:hAnsi="Book Antiqua"/>
        <w:color w:val="000000" w:themeColor="text1"/>
      </w:rPr>
      <w:fldChar w:fldCharType="begin"/>
    </w:r>
    <w:r w:rsidRPr="00871B4E">
      <w:rPr>
        <w:rFonts w:ascii="Book Antiqua" w:hAnsi="Book Antiqua"/>
        <w:color w:val="000000" w:themeColor="text1"/>
      </w:rPr>
      <w:instrText>PAGE  \* Arabic  \* MERGEFORMAT</w:instrText>
    </w:r>
    <w:r w:rsidRPr="00871B4E">
      <w:rPr>
        <w:rFonts w:ascii="Book Antiqua" w:hAnsi="Book Antiqua"/>
        <w:color w:val="000000" w:themeColor="text1"/>
      </w:rPr>
      <w:fldChar w:fldCharType="separate"/>
    </w:r>
    <w:r w:rsidR="00BD6666" w:rsidRPr="00BD6666">
      <w:rPr>
        <w:rFonts w:ascii="Book Antiqua" w:hAnsi="Book Antiqua"/>
        <w:noProof/>
        <w:color w:val="000000" w:themeColor="text1"/>
        <w:lang w:val="zh-CN"/>
      </w:rPr>
      <w:t>28</w:t>
    </w:r>
    <w:r w:rsidRPr="00871B4E">
      <w:rPr>
        <w:rFonts w:ascii="Book Antiqua" w:hAnsi="Book Antiqua"/>
        <w:color w:val="000000" w:themeColor="text1"/>
      </w:rPr>
      <w:fldChar w:fldCharType="end"/>
    </w:r>
    <w:r w:rsidRPr="00871B4E">
      <w:rPr>
        <w:rFonts w:ascii="Book Antiqua" w:hAnsi="Book Antiqua"/>
        <w:color w:val="000000" w:themeColor="text1"/>
        <w:lang w:val="zh-CN"/>
      </w:rPr>
      <w:t>/</w:t>
    </w:r>
    <w:r w:rsidRPr="00871B4E">
      <w:rPr>
        <w:rFonts w:ascii="Book Antiqua" w:hAnsi="Book Antiqua"/>
        <w:color w:val="000000" w:themeColor="text1"/>
      </w:rPr>
      <w:fldChar w:fldCharType="begin"/>
    </w:r>
    <w:r w:rsidRPr="00871B4E">
      <w:rPr>
        <w:rFonts w:ascii="Book Antiqua" w:hAnsi="Book Antiqua"/>
        <w:color w:val="000000" w:themeColor="text1"/>
      </w:rPr>
      <w:instrText>NUMPAGES  \* Arabic  \* MERGEFORMAT</w:instrText>
    </w:r>
    <w:r w:rsidRPr="00871B4E">
      <w:rPr>
        <w:rFonts w:ascii="Book Antiqua" w:hAnsi="Book Antiqua"/>
        <w:color w:val="000000" w:themeColor="text1"/>
      </w:rPr>
      <w:fldChar w:fldCharType="separate"/>
    </w:r>
    <w:r w:rsidR="00BD6666" w:rsidRPr="00BD6666">
      <w:rPr>
        <w:rFonts w:ascii="Book Antiqua" w:hAnsi="Book Antiqua"/>
        <w:noProof/>
        <w:color w:val="000000" w:themeColor="text1"/>
        <w:lang w:val="zh-CN"/>
      </w:rPr>
      <w:t>34</w:t>
    </w:r>
    <w:r w:rsidRPr="00871B4E">
      <w:rPr>
        <w:rFonts w:ascii="Book Antiqua" w:hAnsi="Book Antiqua"/>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8C29F" w14:textId="77777777" w:rsidR="00750259" w:rsidRDefault="00750259" w:rsidP="00FE6179">
      <w:pPr>
        <w:spacing w:after="0" w:line="240" w:lineRule="auto"/>
      </w:pPr>
      <w:r>
        <w:separator/>
      </w:r>
    </w:p>
  </w:footnote>
  <w:footnote w:type="continuationSeparator" w:id="0">
    <w:p w14:paraId="1C64F7EB" w14:textId="77777777" w:rsidR="00750259" w:rsidRDefault="00750259" w:rsidP="00FE6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Calibri" w:hAnsi="Calibri" w:cs="Calibri" w:hint="default"/>
        <w:color w:val="000000"/>
        <w:kern w:val="1"/>
        <w:sz w:val="32"/>
        <w:szCs w:val="44"/>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6" w:hanging="360"/>
      </w:pPr>
      <w:rPr>
        <w:rFonts w:ascii="Arial" w:hAnsi="Arial" w:cs="Arial" w:hint="default"/>
        <w:lang w:val="en-GB"/>
      </w:rPr>
    </w:lvl>
  </w:abstractNum>
  <w:abstractNum w:abstractNumId="3" w15:restartNumberingAfterBreak="0">
    <w:nsid w:val="00000004"/>
    <w:multiLevelType w:val="singleLevel"/>
    <w:tmpl w:val="00000004"/>
    <w:lvl w:ilvl="0">
      <w:start w:val="1"/>
      <w:numFmt w:val="decimal"/>
      <w:lvlText w:val="%1."/>
      <w:lvlJc w:val="left"/>
      <w:pPr>
        <w:tabs>
          <w:tab w:val="num" w:pos="0"/>
        </w:tabs>
        <w:ind w:left="76" w:hanging="360"/>
      </w:pPr>
      <w:rPr>
        <w:rFonts w:ascii="Arial" w:hAnsi="Arial" w:cs="Arial" w:hint="default"/>
        <w:lang w:val="fr-FR"/>
      </w:rPr>
    </w:lvl>
  </w:abstractNum>
  <w:abstractNum w:abstractNumId="4" w15:restartNumberingAfterBreak="0">
    <w:nsid w:val="00000005"/>
    <w:multiLevelType w:val="multilevel"/>
    <w:tmpl w:val="5E28AF2C"/>
    <w:name w:val="WW8Num6"/>
    <w:lvl w:ilvl="0">
      <w:start w:val="1"/>
      <w:numFmt w:val="decimal"/>
      <w:lvlText w:val="%1."/>
      <w:lvlJc w:val="left"/>
      <w:pPr>
        <w:tabs>
          <w:tab w:val="num" w:pos="76"/>
        </w:tabs>
        <w:ind w:left="76" w:hanging="360"/>
      </w:pPr>
      <w:rPr>
        <w:rFonts w:ascii="Arial" w:hAnsi="Arial" w:cs="Arial" w:hint="default"/>
        <w:lang w:val="de-DE"/>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3788" w:hanging="1800"/>
      </w:pPr>
      <w:rPr>
        <w:rFonts w:hint="default"/>
      </w:rPr>
    </w:lvl>
  </w:abstractNum>
  <w:abstractNum w:abstractNumId="5" w15:restartNumberingAfterBreak="0">
    <w:nsid w:val="09C04553"/>
    <w:multiLevelType w:val="hybridMultilevel"/>
    <w:tmpl w:val="2B421204"/>
    <w:lvl w:ilvl="0" w:tplc="A8902D7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D0646C"/>
    <w:multiLevelType w:val="hybridMultilevel"/>
    <w:tmpl w:val="C658A506"/>
    <w:lvl w:ilvl="0" w:tplc="662C0F4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C562BC"/>
    <w:multiLevelType w:val="hybridMultilevel"/>
    <w:tmpl w:val="D0B409E8"/>
    <w:lvl w:ilvl="0" w:tplc="9D66FA88">
      <w:start w:val="1"/>
      <w:numFmt w:val="decimal"/>
      <w:lvlText w:val="%1."/>
      <w:lvlJc w:val="left"/>
      <w:pPr>
        <w:ind w:left="76" w:hanging="360"/>
      </w:pPr>
      <w:rPr>
        <w:rFonts w:hint="default"/>
      </w:rPr>
    </w:lvl>
    <w:lvl w:ilvl="1" w:tplc="04070019">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8" w15:restartNumberingAfterBreak="0">
    <w:nsid w:val="28F62B19"/>
    <w:multiLevelType w:val="hybridMultilevel"/>
    <w:tmpl w:val="0D14342A"/>
    <w:lvl w:ilvl="0" w:tplc="9946AA8E">
      <w:start w:val="5"/>
      <w:numFmt w:val="decimal"/>
      <w:lvlText w:val="%1."/>
      <w:lvlJc w:val="left"/>
      <w:pPr>
        <w:tabs>
          <w:tab w:val="num" w:pos="720"/>
        </w:tabs>
        <w:ind w:left="720" w:hanging="360"/>
      </w:pPr>
    </w:lvl>
    <w:lvl w:ilvl="1" w:tplc="995AA098" w:tentative="1">
      <w:start w:val="1"/>
      <w:numFmt w:val="decimal"/>
      <w:lvlText w:val="%2."/>
      <w:lvlJc w:val="left"/>
      <w:pPr>
        <w:tabs>
          <w:tab w:val="num" w:pos="1440"/>
        </w:tabs>
        <w:ind w:left="1440" w:hanging="360"/>
      </w:pPr>
    </w:lvl>
    <w:lvl w:ilvl="2" w:tplc="7302B508" w:tentative="1">
      <w:start w:val="1"/>
      <w:numFmt w:val="decimal"/>
      <w:lvlText w:val="%3."/>
      <w:lvlJc w:val="left"/>
      <w:pPr>
        <w:tabs>
          <w:tab w:val="num" w:pos="2160"/>
        </w:tabs>
        <w:ind w:left="2160" w:hanging="360"/>
      </w:pPr>
    </w:lvl>
    <w:lvl w:ilvl="3" w:tplc="758AACA6" w:tentative="1">
      <w:start w:val="1"/>
      <w:numFmt w:val="decimal"/>
      <w:lvlText w:val="%4."/>
      <w:lvlJc w:val="left"/>
      <w:pPr>
        <w:tabs>
          <w:tab w:val="num" w:pos="2880"/>
        </w:tabs>
        <w:ind w:left="2880" w:hanging="360"/>
      </w:pPr>
    </w:lvl>
    <w:lvl w:ilvl="4" w:tplc="F8B4D670" w:tentative="1">
      <w:start w:val="1"/>
      <w:numFmt w:val="decimal"/>
      <w:lvlText w:val="%5."/>
      <w:lvlJc w:val="left"/>
      <w:pPr>
        <w:tabs>
          <w:tab w:val="num" w:pos="3600"/>
        </w:tabs>
        <w:ind w:left="3600" w:hanging="360"/>
      </w:pPr>
    </w:lvl>
    <w:lvl w:ilvl="5" w:tplc="19F656F8" w:tentative="1">
      <w:start w:val="1"/>
      <w:numFmt w:val="decimal"/>
      <w:lvlText w:val="%6."/>
      <w:lvlJc w:val="left"/>
      <w:pPr>
        <w:tabs>
          <w:tab w:val="num" w:pos="4320"/>
        </w:tabs>
        <w:ind w:left="4320" w:hanging="360"/>
      </w:pPr>
    </w:lvl>
    <w:lvl w:ilvl="6" w:tplc="DF2AD328" w:tentative="1">
      <w:start w:val="1"/>
      <w:numFmt w:val="decimal"/>
      <w:lvlText w:val="%7."/>
      <w:lvlJc w:val="left"/>
      <w:pPr>
        <w:tabs>
          <w:tab w:val="num" w:pos="5040"/>
        </w:tabs>
        <w:ind w:left="5040" w:hanging="360"/>
      </w:pPr>
    </w:lvl>
    <w:lvl w:ilvl="7" w:tplc="2F1CCF62" w:tentative="1">
      <w:start w:val="1"/>
      <w:numFmt w:val="decimal"/>
      <w:lvlText w:val="%8."/>
      <w:lvlJc w:val="left"/>
      <w:pPr>
        <w:tabs>
          <w:tab w:val="num" w:pos="5760"/>
        </w:tabs>
        <w:ind w:left="5760" w:hanging="360"/>
      </w:pPr>
    </w:lvl>
    <w:lvl w:ilvl="8" w:tplc="9BF0ED0E" w:tentative="1">
      <w:start w:val="1"/>
      <w:numFmt w:val="decimal"/>
      <w:lvlText w:val="%9."/>
      <w:lvlJc w:val="left"/>
      <w:pPr>
        <w:tabs>
          <w:tab w:val="num" w:pos="6480"/>
        </w:tabs>
        <w:ind w:left="6480" w:hanging="360"/>
      </w:pPr>
    </w:lvl>
  </w:abstractNum>
  <w:abstractNum w:abstractNumId="9" w15:restartNumberingAfterBreak="0">
    <w:nsid w:val="2FD24316"/>
    <w:multiLevelType w:val="hybridMultilevel"/>
    <w:tmpl w:val="8F0E9FE4"/>
    <w:lvl w:ilvl="0" w:tplc="A57E635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FD8307F"/>
    <w:multiLevelType w:val="hybridMultilevel"/>
    <w:tmpl w:val="003665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33956CC"/>
    <w:multiLevelType w:val="hybridMultilevel"/>
    <w:tmpl w:val="54024ADC"/>
    <w:lvl w:ilvl="0" w:tplc="3550CF24">
      <w:start w:val="3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237E76"/>
    <w:multiLevelType w:val="hybridMultilevel"/>
    <w:tmpl w:val="654A22A8"/>
    <w:lvl w:ilvl="0" w:tplc="0D84E77E">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A916277"/>
    <w:multiLevelType w:val="hybridMultilevel"/>
    <w:tmpl w:val="BFAC9918"/>
    <w:lvl w:ilvl="0" w:tplc="022225CE">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43535E6"/>
    <w:multiLevelType w:val="hybridMultilevel"/>
    <w:tmpl w:val="0E426EAA"/>
    <w:lvl w:ilvl="0" w:tplc="C882B064">
      <w:start w:val="1"/>
      <w:numFmt w:val="bullet"/>
      <w:lvlText w:val="•"/>
      <w:lvlJc w:val="left"/>
      <w:pPr>
        <w:tabs>
          <w:tab w:val="num" w:pos="720"/>
        </w:tabs>
        <w:ind w:left="720" w:hanging="360"/>
      </w:pPr>
      <w:rPr>
        <w:rFonts w:ascii="Arial" w:hAnsi="Arial" w:hint="default"/>
      </w:rPr>
    </w:lvl>
    <w:lvl w:ilvl="1" w:tplc="5B3450BA">
      <w:start w:val="3353"/>
      <w:numFmt w:val="bullet"/>
      <w:lvlText w:val="–"/>
      <w:lvlJc w:val="left"/>
      <w:pPr>
        <w:tabs>
          <w:tab w:val="num" w:pos="1440"/>
        </w:tabs>
        <w:ind w:left="1440" w:hanging="360"/>
      </w:pPr>
      <w:rPr>
        <w:rFonts w:ascii="Arial" w:hAnsi="Arial" w:hint="default"/>
      </w:rPr>
    </w:lvl>
    <w:lvl w:ilvl="2" w:tplc="705C02CC">
      <w:start w:val="3353"/>
      <w:numFmt w:val="bullet"/>
      <w:lvlText w:val="•"/>
      <w:lvlJc w:val="left"/>
      <w:pPr>
        <w:tabs>
          <w:tab w:val="num" w:pos="2160"/>
        </w:tabs>
        <w:ind w:left="2160" w:hanging="360"/>
      </w:pPr>
      <w:rPr>
        <w:rFonts w:ascii="Arial" w:hAnsi="Arial" w:hint="default"/>
      </w:rPr>
    </w:lvl>
    <w:lvl w:ilvl="3" w:tplc="B0308CD0" w:tentative="1">
      <w:start w:val="1"/>
      <w:numFmt w:val="bullet"/>
      <w:lvlText w:val="•"/>
      <w:lvlJc w:val="left"/>
      <w:pPr>
        <w:tabs>
          <w:tab w:val="num" w:pos="2880"/>
        </w:tabs>
        <w:ind w:left="2880" w:hanging="360"/>
      </w:pPr>
      <w:rPr>
        <w:rFonts w:ascii="Arial" w:hAnsi="Arial" w:hint="default"/>
      </w:rPr>
    </w:lvl>
    <w:lvl w:ilvl="4" w:tplc="8EBEB9DA" w:tentative="1">
      <w:start w:val="1"/>
      <w:numFmt w:val="bullet"/>
      <w:lvlText w:val="•"/>
      <w:lvlJc w:val="left"/>
      <w:pPr>
        <w:tabs>
          <w:tab w:val="num" w:pos="3600"/>
        </w:tabs>
        <w:ind w:left="3600" w:hanging="360"/>
      </w:pPr>
      <w:rPr>
        <w:rFonts w:ascii="Arial" w:hAnsi="Arial" w:hint="default"/>
      </w:rPr>
    </w:lvl>
    <w:lvl w:ilvl="5" w:tplc="7E723BA0" w:tentative="1">
      <w:start w:val="1"/>
      <w:numFmt w:val="bullet"/>
      <w:lvlText w:val="•"/>
      <w:lvlJc w:val="left"/>
      <w:pPr>
        <w:tabs>
          <w:tab w:val="num" w:pos="4320"/>
        </w:tabs>
        <w:ind w:left="4320" w:hanging="360"/>
      </w:pPr>
      <w:rPr>
        <w:rFonts w:ascii="Arial" w:hAnsi="Arial" w:hint="default"/>
      </w:rPr>
    </w:lvl>
    <w:lvl w:ilvl="6" w:tplc="E5F446EA" w:tentative="1">
      <w:start w:val="1"/>
      <w:numFmt w:val="bullet"/>
      <w:lvlText w:val="•"/>
      <w:lvlJc w:val="left"/>
      <w:pPr>
        <w:tabs>
          <w:tab w:val="num" w:pos="5040"/>
        </w:tabs>
        <w:ind w:left="5040" w:hanging="360"/>
      </w:pPr>
      <w:rPr>
        <w:rFonts w:ascii="Arial" w:hAnsi="Arial" w:hint="default"/>
      </w:rPr>
    </w:lvl>
    <w:lvl w:ilvl="7" w:tplc="E6AE2E7A" w:tentative="1">
      <w:start w:val="1"/>
      <w:numFmt w:val="bullet"/>
      <w:lvlText w:val="•"/>
      <w:lvlJc w:val="left"/>
      <w:pPr>
        <w:tabs>
          <w:tab w:val="num" w:pos="5760"/>
        </w:tabs>
        <w:ind w:left="5760" w:hanging="360"/>
      </w:pPr>
      <w:rPr>
        <w:rFonts w:ascii="Arial" w:hAnsi="Arial" w:hint="default"/>
      </w:rPr>
    </w:lvl>
    <w:lvl w:ilvl="8" w:tplc="44AAAC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535AA8"/>
    <w:multiLevelType w:val="hybridMultilevel"/>
    <w:tmpl w:val="28524DE4"/>
    <w:lvl w:ilvl="0" w:tplc="2A4AB33A">
      <w:numFmt w:val="bullet"/>
      <w:lvlText w:val=""/>
      <w:lvlJc w:val="left"/>
      <w:pPr>
        <w:ind w:left="360" w:hanging="360"/>
      </w:pPr>
      <w:rPr>
        <w:rFonts w:ascii="Wingdings" w:eastAsia="宋体"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F6F5D37"/>
    <w:multiLevelType w:val="hybridMultilevel"/>
    <w:tmpl w:val="801C474A"/>
    <w:lvl w:ilvl="0" w:tplc="6C6600E2">
      <w:start w:val="1"/>
      <w:numFmt w:val="bullet"/>
      <w:lvlText w:val="•"/>
      <w:lvlJc w:val="left"/>
      <w:pPr>
        <w:tabs>
          <w:tab w:val="num" w:pos="720"/>
        </w:tabs>
        <w:ind w:left="720" w:hanging="360"/>
      </w:pPr>
      <w:rPr>
        <w:rFonts w:ascii="Arial" w:hAnsi="Arial" w:hint="default"/>
      </w:rPr>
    </w:lvl>
    <w:lvl w:ilvl="1" w:tplc="1744EAE6" w:tentative="1">
      <w:start w:val="1"/>
      <w:numFmt w:val="bullet"/>
      <w:lvlText w:val="•"/>
      <w:lvlJc w:val="left"/>
      <w:pPr>
        <w:tabs>
          <w:tab w:val="num" w:pos="1440"/>
        </w:tabs>
        <w:ind w:left="1440" w:hanging="360"/>
      </w:pPr>
      <w:rPr>
        <w:rFonts w:ascii="Arial" w:hAnsi="Arial" w:hint="default"/>
      </w:rPr>
    </w:lvl>
    <w:lvl w:ilvl="2" w:tplc="0D80224E" w:tentative="1">
      <w:start w:val="1"/>
      <w:numFmt w:val="bullet"/>
      <w:lvlText w:val="•"/>
      <w:lvlJc w:val="left"/>
      <w:pPr>
        <w:tabs>
          <w:tab w:val="num" w:pos="2160"/>
        </w:tabs>
        <w:ind w:left="2160" w:hanging="360"/>
      </w:pPr>
      <w:rPr>
        <w:rFonts w:ascii="Arial" w:hAnsi="Arial" w:hint="default"/>
      </w:rPr>
    </w:lvl>
    <w:lvl w:ilvl="3" w:tplc="9022FFF0" w:tentative="1">
      <w:start w:val="1"/>
      <w:numFmt w:val="bullet"/>
      <w:lvlText w:val="•"/>
      <w:lvlJc w:val="left"/>
      <w:pPr>
        <w:tabs>
          <w:tab w:val="num" w:pos="2880"/>
        </w:tabs>
        <w:ind w:left="2880" w:hanging="360"/>
      </w:pPr>
      <w:rPr>
        <w:rFonts w:ascii="Arial" w:hAnsi="Arial" w:hint="default"/>
      </w:rPr>
    </w:lvl>
    <w:lvl w:ilvl="4" w:tplc="5024F934" w:tentative="1">
      <w:start w:val="1"/>
      <w:numFmt w:val="bullet"/>
      <w:lvlText w:val="•"/>
      <w:lvlJc w:val="left"/>
      <w:pPr>
        <w:tabs>
          <w:tab w:val="num" w:pos="3600"/>
        </w:tabs>
        <w:ind w:left="3600" w:hanging="360"/>
      </w:pPr>
      <w:rPr>
        <w:rFonts w:ascii="Arial" w:hAnsi="Arial" w:hint="default"/>
      </w:rPr>
    </w:lvl>
    <w:lvl w:ilvl="5" w:tplc="018E2430" w:tentative="1">
      <w:start w:val="1"/>
      <w:numFmt w:val="bullet"/>
      <w:lvlText w:val="•"/>
      <w:lvlJc w:val="left"/>
      <w:pPr>
        <w:tabs>
          <w:tab w:val="num" w:pos="4320"/>
        </w:tabs>
        <w:ind w:left="4320" w:hanging="360"/>
      </w:pPr>
      <w:rPr>
        <w:rFonts w:ascii="Arial" w:hAnsi="Arial" w:hint="default"/>
      </w:rPr>
    </w:lvl>
    <w:lvl w:ilvl="6" w:tplc="9A94B5CE" w:tentative="1">
      <w:start w:val="1"/>
      <w:numFmt w:val="bullet"/>
      <w:lvlText w:val="•"/>
      <w:lvlJc w:val="left"/>
      <w:pPr>
        <w:tabs>
          <w:tab w:val="num" w:pos="5040"/>
        </w:tabs>
        <w:ind w:left="5040" w:hanging="360"/>
      </w:pPr>
      <w:rPr>
        <w:rFonts w:ascii="Arial" w:hAnsi="Arial" w:hint="default"/>
      </w:rPr>
    </w:lvl>
    <w:lvl w:ilvl="7" w:tplc="357663A8" w:tentative="1">
      <w:start w:val="1"/>
      <w:numFmt w:val="bullet"/>
      <w:lvlText w:val="•"/>
      <w:lvlJc w:val="left"/>
      <w:pPr>
        <w:tabs>
          <w:tab w:val="num" w:pos="5760"/>
        </w:tabs>
        <w:ind w:left="5760" w:hanging="360"/>
      </w:pPr>
      <w:rPr>
        <w:rFonts w:ascii="Arial" w:hAnsi="Arial" w:hint="default"/>
      </w:rPr>
    </w:lvl>
    <w:lvl w:ilvl="8" w:tplc="9BC0A5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C80627"/>
    <w:multiLevelType w:val="hybridMultilevel"/>
    <w:tmpl w:val="81041828"/>
    <w:lvl w:ilvl="0" w:tplc="E42C07A4">
      <w:numFmt w:val="bullet"/>
      <w:lvlText w:val=""/>
      <w:lvlJc w:val="left"/>
      <w:pPr>
        <w:ind w:left="360" w:hanging="360"/>
      </w:pPr>
      <w:rPr>
        <w:rFonts w:ascii="Wingdings" w:eastAsia="宋体"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FA73A09"/>
    <w:multiLevelType w:val="hybridMultilevel"/>
    <w:tmpl w:val="3CC4A144"/>
    <w:lvl w:ilvl="0" w:tplc="F4A05668">
      <w:numFmt w:val="bullet"/>
      <w:lvlText w:val=""/>
      <w:lvlJc w:val="left"/>
      <w:pPr>
        <w:ind w:left="360" w:hanging="360"/>
      </w:pPr>
      <w:rPr>
        <w:rFonts w:ascii="Wingdings" w:eastAsia="宋体" w:hAnsi="Wingdings" w:cs="Arial" w:hint="default"/>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13E2645"/>
    <w:multiLevelType w:val="multilevel"/>
    <w:tmpl w:val="A8BA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146B4F"/>
    <w:multiLevelType w:val="multilevel"/>
    <w:tmpl w:val="0FD6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10"/>
  </w:num>
  <w:num w:numId="7">
    <w:abstractNumId w:val="7"/>
  </w:num>
  <w:num w:numId="8">
    <w:abstractNumId w:val="9"/>
  </w:num>
  <w:num w:numId="9">
    <w:abstractNumId w:val="13"/>
  </w:num>
  <w:num w:numId="10">
    <w:abstractNumId w:val="5"/>
  </w:num>
  <w:num w:numId="11">
    <w:abstractNumId w:val="12"/>
  </w:num>
  <w:num w:numId="12">
    <w:abstractNumId w:val="16"/>
  </w:num>
  <w:num w:numId="13">
    <w:abstractNumId w:val="14"/>
  </w:num>
  <w:num w:numId="14">
    <w:abstractNumId w:val="20"/>
  </w:num>
  <w:num w:numId="15">
    <w:abstractNumId w:val="19"/>
  </w:num>
  <w:num w:numId="16">
    <w:abstractNumId w:val="8"/>
  </w:num>
  <w:num w:numId="17">
    <w:abstractNumId w:val="6"/>
  </w:num>
  <w:num w:numId="18">
    <w:abstractNumId w:val="11"/>
  </w:num>
  <w:num w:numId="19">
    <w:abstractNumId w:val="17"/>
  </w:num>
  <w:num w:numId="20">
    <w:abstractNumId w:val="1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179"/>
    <w:rsid w:val="001E0043"/>
    <w:rsid w:val="00214A4B"/>
    <w:rsid w:val="002F632A"/>
    <w:rsid w:val="004041F3"/>
    <w:rsid w:val="004C7F71"/>
    <w:rsid w:val="004E5AA9"/>
    <w:rsid w:val="0052322B"/>
    <w:rsid w:val="0055432A"/>
    <w:rsid w:val="006D6E61"/>
    <w:rsid w:val="006E47C1"/>
    <w:rsid w:val="00750259"/>
    <w:rsid w:val="00871B4E"/>
    <w:rsid w:val="00997CAC"/>
    <w:rsid w:val="00B751AA"/>
    <w:rsid w:val="00B7773D"/>
    <w:rsid w:val="00B82004"/>
    <w:rsid w:val="00BB36AA"/>
    <w:rsid w:val="00BD6666"/>
    <w:rsid w:val="00CB6068"/>
    <w:rsid w:val="00D233A8"/>
    <w:rsid w:val="00D7664E"/>
    <w:rsid w:val="00DF0C2A"/>
    <w:rsid w:val="00DF1C41"/>
    <w:rsid w:val="00E62BE4"/>
    <w:rsid w:val="00E71B6F"/>
    <w:rsid w:val="00EA4735"/>
    <w:rsid w:val="00EE4E4E"/>
    <w:rsid w:val="00FE61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6FAF2"/>
  <w15:chartTrackingRefBased/>
  <w15:docId w15:val="{1D11FEA9-DB84-7A47-BFB6-DC861D6FC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1AA"/>
    <w:pPr>
      <w:spacing w:after="160" w:line="259" w:lineRule="auto"/>
    </w:pPr>
    <w:rPr>
      <w:rFonts w:eastAsia="宋体" w:hAnsi="Times New Roman" w:cs="Times New Roman"/>
      <w:kern w:val="0"/>
      <w:sz w:val="22"/>
      <w:szCs w:val="22"/>
      <w:lang w:eastAsia="en-US"/>
    </w:rPr>
  </w:style>
  <w:style w:type="paragraph" w:styleId="1">
    <w:name w:val="heading 1"/>
    <w:basedOn w:val="a"/>
    <w:next w:val="a"/>
    <w:link w:val="10"/>
    <w:qFormat/>
    <w:rsid w:val="00FE6179"/>
    <w:pPr>
      <w:keepNext/>
      <w:numPr>
        <w:numId w:val="1"/>
      </w:numPr>
      <w:suppressAutoHyphens/>
      <w:spacing w:after="0" w:line="240" w:lineRule="auto"/>
      <w:outlineLvl w:val="0"/>
    </w:pPr>
    <w:rPr>
      <w:rFonts w:ascii="Arial" w:eastAsiaTheme="minorEastAsia" w:hAnsi="Arial" w:cs="Arial"/>
      <w:b/>
      <w:color w:val="000000"/>
      <w:sz w:val="24"/>
      <w:szCs w:val="20"/>
      <w:lang w:val="x-none" w:eastAsia="ar-SA"/>
    </w:rPr>
  </w:style>
  <w:style w:type="paragraph" w:styleId="2">
    <w:name w:val="heading 2"/>
    <w:basedOn w:val="a"/>
    <w:next w:val="a"/>
    <w:link w:val="20"/>
    <w:qFormat/>
    <w:rsid w:val="00FE6179"/>
    <w:pPr>
      <w:keepNext/>
      <w:numPr>
        <w:ilvl w:val="1"/>
        <w:numId w:val="1"/>
      </w:numPr>
      <w:suppressAutoHyphens/>
      <w:spacing w:before="240" w:after="60" w:line="276" w:lineRule="auto"/>
      <w:outlineLvl w:val="1"/>
    </w:pPr>
    <w:rPr>
      <w:rFonts w:ascii="Cambria" w:eastAsiaTheme="minorEastAsia" w:hAnsi="Cambria" w:cs="Cambria"/>
      <w:b/>
      <w:bCs/>
      <w:i/>
      <w:iCs/>
      <w:sz w:val="28"/>
      <w:szCs w:val="28"/>
      <w:lang w:val="x-none" w:eastAsia="ar-SA"/>
    </w:rPr>
  </w:style>
  <w:style w:type="paragraph" w:styleId="3">
    <w:name w:val="heading 3"/>
    <w:basedOn w:val="a"/>
    <w:next w:val="a"/>
    <w:link w:val="30"/>
    <w:qFormat/>
    <w:rsid w:val="00FE6179"/>
    <w:pPr>
      <w:keepNext/>
      <w:numPr>
        <w:ilvl w:val="2"/>
        <w:numId w:val="1"/>
      </w:numPr>
      <w:suppressAutoHyphens/>
      <w:spacing w:before="240" w:after="60" w:line="276" w:lineRule="auto"/>
      <w:outlineLvl w:val="2"/>
    </w:pPr>
    <w:rPr>
      <w:rFonts w:ascii="Cambria" w:eastAsiaTheme="minorEastAsia" w:hAnsi="Cambria" w:cs="Cambria"/>
      <w:b/>
      <w:bCs/>
      <w:sz w:val="26"/>
      <w:szCs w:val="26"/>
      <w:lang w:val="x-none" w:eastAsia="ar-SA"/>
    </w:rPr>
  </w:style>
  <w:style w:type="paragraph" w:styleId="8">
    <w:name w:val="heading 8"/>
    <w:basedOn w:val="a"/>
    <w:next w:val="a"/>
    <w:link w:val="80"/>
    <w:qFormat/>
    <w:rsid w:val="00FE6179"/>
    <w:pPr>
      <w:keepNext/>
      <w:keepLines/>
      <w:numPr>
        <w:ilvl w:val="7"/>
        <w:numId w:val="1"/>
      </w:numPr>
      <w:suppressAutoHyphens/>
      <w:spacing w:before="200" w:after="0" w:line="276" w:lineRule="auto"/>
      <w:outlineLvl w:val="7"/>
    </w:pPr>
    <w:rPr>
      <w:rFonts w:ascii="Cambria" w:eastAsiaTheme="minorEastAsia" w:hAnsi="Cambria" w:cs="Cambria"/>
      <w:color w:val="404040"/>
      <w:sz w:val="20"/>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E6179"/>
    <w:rPr>
      <w:color w:val="0000FF"/>
      <w:u w:val="single"/>
    </w:rPr>
  </w:style>
  <w:style w:type="character" w:customStyle="1" w:styleId="10">
    <w:name w:val="标题 1 字符"/>
    <w:basedOn w:val="a0"/>
    <w:link w:val="1"/>
    <w:rsid w:val="00FE6179"/>
    <w:rPr>
      <w:rFonts w:ascii="Arial" w:hAnsi="Arial" w:cs="Arial"/>
      <w:b/>
      <w:color w:val="000000"/>
      <w:kern w:val="0"/>
      <w:sz w:val="24"/>
      <w:szCs w:val="20"/>
      <w:lang w:val="x-none" w:eastAsia="ar-SA"/>
    </w:rPr>
  </w:style>
  <w:style w:type="character" w:customStyle="1" w:styleId="20">
    <w:name w:val="标题 2 字符"/>
    <w:basedOn w:val="a0"/>
    <w:link w:val="2"/>
    <w:rsid w:val="00FE6179"/>
    <w:rPr>
      <w:rFonts w:ascii="Cambria" w:hAnsi="Cambria" w:cs="Cambria"/>
      <w:b/>
      <w:bCs/>
      <w:i/>
      <w:iCs/>
      <w:kern w:val="0"/>
      <w:sz w:val="28"/>
      <w:szCs w:val="28"/>
      <w:lang w:val="x-none" w:eastAsia="ar-SA"/>
    </w:rPr>
  </w:style>
  <w:style w:type="character" w:customStyle="1" w:styleId="30">
    <w:name w:val="标题 3 字符"/>
    <w:basedOn w:val="a0"/>
    <w:link w:val="3"/>
    <w:rsid w:val="00FE6179"/>
    <w:rPr>
      <w:rFonts w:ascii="Cambria" w:hAnsi="Cambria" w:cs="Cambria"/>
      <w:b/>
      <w:bCs/>
      <w:kern w:val="0"/>
      <w:sz w:val="26"/>
      <w:szCs w:val="26"/>
      <w:lang w:val="x-none" w:eastAsia="ar-SA"/>
    </w:rPr>
  </w:style>
  <w:style w:type="character" w:customStyle="1" w:styleId="80">
    <w:name w:val="标题 8 字符"/>
    <w:basedOn w:val="a0"/>
    <w:link w:val="8"/>
    <w:rsid w:val="00FE6179"/>
    <w:rPr>
      <w:rFonts w:ascii="Cambria" w:hAnsi="Cambria" w:cs="Cambria"/>
      <w:color w:val="404040"/>
      <w:kern w:val="0"/>
      <w:sz w:val="20"/>
      <w:szCs w:val="20"/>
      <w:lang w:val="x-none" w:eastAsia="ar-SA"/>
    </w:rPr>
  </w:style>
  <w:style w:type="character" w:customStyle="1" w:styleId="WW8Num1z0">
    <w:name w:val="WW8Num1z0"/>
    <w:rsid w:val="00FE6179"/>
    <w:rPr>
      <w:rFonts w:hint="default"/>
    </w:rPr>
  </w:style>
  <w:style w:type="character" w:customStyle="1" w:styleId="WW8Num1z1">
    <w:name w:val="WW8Num1z1"/>
    <w:rsid w:val="00FE6179"/>
  </w:style>
  <w:style w:type="character" w:customStyle="1" w:styleId="WW8Num1z2">
    <w:name w:val="WW8Num1z2"/>
    <w:rsid w:val="00FE6179"/>
  </w:style>
  <w:style w:type="character" w:customStyle="1" w:styleId="WW8Num1z3">
    <w:name w:val="WW8Num1z3"/>
    <w:rsid w:val="00FE6179"/>
  </w:style>
  <w:style w:type="character" w:customStyle="1" w:styleId="WW8Num1z4">
    <w:name w:val="WW8Num1z4"/>
    <w:rsid w:val="00FE6179"/>
  </w:style>
  <w:style w:type="character" w:customStyle="1" w:styleId="WW8Num1z5">
    <w:name w:val="WW8Num1z5"/>
    <w:rsid w:val="00FE6179"/>
  </w:style>
  <w:style w:type="character" w:customStyle="1" w:styleId="WW8Num1z6">
    <w:name w:val="WW8Num1z6"/>
    <w:rsid w:val="00FE6179"/>
  </w:style>
  <w:style w:type="character" w:customStyle="1" w:styleId="WW8Num1z7">
    <w:name w:val="WW8Num1z7"/>
    <w:rsid w:val="00FE6179"/>
  </w:style>
  <w:style w:type="character" w:customStyle="1" w:styleId="WW8Num1z8">
    <w:name w:val="WW8Num1z8"/>
    <w:rsid w:val="00FE6179"/>
  </w:style>
  <w:style w:type="character" w:customStyle="1" w:styleId="WW8Num2z0">
    <w:name w:val="WW8Num2z0"/>
    <w:rsid w:val="00FE6179"/>
    <w:rPr>
      <w:rFonts w:ascii="Calibri" w:hAnsi="Calibri" w:cs="Calibri" w:hint="default"/>
      <w:color w:val="000000"/>
      <w:kern w:val="1"/>
      <w:sz w:val="32"/>
      <w:szCs w:val="44"/>
    </w:rPr>
  </w:style>
  <w:style w:type="character" w:customStyle="1" w:styleId="WW8Num2z1">
    <w:name w:val="WW8Num2z1"/>
    <w:rsid w:val="00FE6179"/>
  </w:style>
  <w:style w:type="character" w:customStyle="1" w:styleId="WW8Num2z2">
    <w:name w:val="WW8Num2z2"/>
    <w:rsid w:val="00FE6179"/>
    <w:rPr>
      <w:rFonts w:ascii="Calibri" w:eastAsia="Times New Roman" w:hAnsi="Calibri" w:cs="Times New Roman"/>
    </w:rPr>
  </w:style>
  <w:style w:type="character" w:customStyle="1" w:styleId="WW8Num2z3">
    <w:name w:val="WW8Num2z3"/>
    <w:rsid w:val="00FE6179"/>
  </w:style>
  <w:style w:type="character" w:customStyle="1" w:styleId="WW8Num2z4">
    <w:name w:val="WW8Num2z4"/>
    <w:rsid w:val="00FE6179"/>
  </w:style>
  <w:style w:type="character" w:customStyle="1" w:styleId="WW8Num2z5">
    <w:name w:val="WW8Num2z5"/>
    <w:rsid w:val="00FE6179"/>
  </w:style>
  <w:style w:type="character" w:customStyle="1" w:styleId="WW8Num2z6">
    <w:name w:val="WW8Num2z6"/>
    <w:rsid w:val="00FE6179"/>
  </w:style>
  <w:style w:type="character" w:customStyle="1" w:styleId="WW8Num2z7">
    <w:name w:val="WW8Num2z7"/>
    <w:rsid w:val="00FE6179"/>
  </w:style>
  <w:style w:type="character" w:customStyle="1" w:styleId="WW8Num2z8">
    <w:name w:val="WW8Num2z8"/>
    <w:rsid w:val="00FE6179"/>
  </w:style>
  <w:style w:type="character" w:customStyle="1" w:styleId="WW8Num3z0">
    <w:name w:val="WW8Num3z0"/>
    <w:rsid w:val="00FE6179"/>
    <w:rPr>
      <w:rFonts w:ascii="Arial" w:hAnsi="Arial" w:cs="Arial" w:hint="default"/>
      <w:lang w:val="en-GB"/>
    </w:rPr>
  </w:style>
  <w:style w:type="character" w:customStyle="1" w:styleId="WW8Num3z1">
    <w:name w:val="WW8Num3z1"/>
    <w:rsid w:val="00FE6179"/>
  </w:style>
  <w:style w:type="character" w:customStyle="1" w:styleId="WW8Num3z2">
    <w:name w:val="WW8Num3z2"/>
    <w:rsid w:val="00FE6179"/>
  </w:style>
  <w:style w:type="character" w:customStyle="1" w:styleId="WW8Num3z3">
    <w:name w:val="WW8Num3z3"/>
    <w:rsid w:val="00FE6179"/>
  </w:style>
  <w:style w:type="character" w:customStyle="1" w:styleId="WW8Num3z4">
    <w:name w:val="WW8Num3z4"/>
    <w:rsid w:val="00FE6179"/>
  </w:style>
  <w:style w:type="character" w:customStyle="1" w:styleId="WW8Num3z5">
    <w:name w:val="WW8Num3z5"/>
    <w:rsid w:val="00FE6179"/>
  </w:style>
  <w:style w:type="character" w:customStyle="1" w:styleId="WW8Num3z6">
    <w:name w:val="WW8Num3z6"/>
    <w:rsid w:val="00FE6179"/>
  </w:style>
  <w:style w:type="character" w:customStyle="1" w:styleId="WW8Num3z7">
    <w:name w:val="WW8Num3z7"/>
    <w:rsid w:val="00FE6179"/>
  </w:style>
  <w:style w:type="character" w:customStyle="1" w:styleId="WW8Num3z8">
    <w:name w:val="WW8Num3z8"/>
    <w:rsid w:val="00FE6179"/>
  </w:style>
  <w:style w:type="character" w:customStyle="1" w:styleId="WW8Num4z0">
    <w:name w:val="WW8Num4z0"/>
    <w:rsid w:val="00FE6179"/>
    <w:rPr>
      <w:rFonts w:ascii="Arial" w:hAnsi="Arial" w:cs="Arial" w:hint="default"/>
      <w:lang w:val="fr-FR"/>
    </w:rPr>
  </w:style>
  <w:style w:type="character" w:customStyle="1" w:styleId="WW8Num4z1">
    <w:name w:val="WW8Num4z1"/>
    <w:rsid w:val="00FE6179"/>
  </w:style>
  <w:style w:type="character" w:customStyle="1" w:styleId="WW8Num4z2">
    <w:name w:val="WW8Num4z2"/>
    <w:rsid w:val="00FE6179"/>
  </w:style>
  <w:style w:type="character" w:customStyle="1" w:styleId="WW8Num4z3">
    <w:name w:val="WW8Num4z3"/>
    <w:rsid w:val="00FE6179"/>
  </w:style>
  <w:style w:type="character" w:customStyle="1" w:styleId="WW8Num4z4">
    <w:name w:val="WW8Num4z4"/>
    <w:rsid w:val="00FE6179"/>
  </w:style>
  <w:style w:type="character" w:customStyle="1" w:styleId="WW8Num4z5">
    <w:name w:val="WW8Num4z5"/>
    <w:rsid w:val="00FE6179"/>
  </w:style>
  <w:style w:type="character" w:customStyle="1" w:styleId="WW8Num4z6">
    <w:name w:val="WW8Num4z6"/>
    <w:rsid w:val="00FE6179"/>
  </w:style>
  <w:style w:type="character" w:customStyle="1" w:styleId="WW8Num4z7">
    <w:name w:val="WW8Num4z7"/>
    <w:rsid w:val="00FE6179"/>
  </w:style>
  <w:style w:type="character" w:customStyle="1" w:styleId="WW8Num4z8">
    <w:name w:val="WW8Num4z8"/>
    <w:rsid w:val="00FE6179"/>
  </w:style>
  <w:style w:type="character" w:customStyle="1" w:styleId="WW8Num5z0">
    <w:name w:val="WW8Num5z0"/>
    <w:rsid w:val="00FE6179"/>
    <w:rPr>
      <w:rFonts w:hint="default"/>
    </w:rPr>
  </w:style>
  <w:style w:type="character" w:customStyle="1" w:styleId="WW8Num5z1">
    <w:name w:val="WW8Num5z1"/>
    <w:rsid w:val="00FE6179"/>
  </w:style>
  <w:style w:type="character" w:customStyle="1" w:styleId="WW8Num5z2">
    <w:name w:val="WW8Num5z2"/>
    <w:rsid w:val="00FE6179"/>
  </w:style>
  <w:style w:type="character" w:customStyle="1" w:styleId="WW8Num5z3">
    <w:name w:val="WW8Num5z3"/>
    <w:rsid w:val="00FE6179"/>
  </w:style>
  <w:style w:type="character" w:customStyle="1" w:styleId="WW8Num5z4">
    <w:name w:val="WW8Num5z4"/>
    <w:rsid w:val="00FE6179"/>
  </w:style>
  <w:style w:type="character" w:customStyle="1" w:styleId="WW8Num5z5">
    <w:name w:val="WW8Num5z5"/>
    <w:rsid w:val="00FE6179"/>
  </w:style>
  <w:style w:type="character" w:customStyle="1" w:styleId="WW8Num5z6">
    <w:name w:val="WW8Num5z6"/>
    <w:rsid w:val="00FE6179"/>
  </w:style>
  <w:style w:type="character" w:customStyle="1" w:styleId="WW8Num5z7">
    <w:name w:val="WW8Num5z7"/>
    <w:rsid w:val="00FE6179"/>
  </w:style>
  <w:style w:type="character" w:customStyle="1" w:styleId="WW8Num5z8">
    <w:name w:val="WW8Num5z8"/>
    <w:rsid w:val="00FE6179"/>
  </w:style>
  <w:style w:type="character" w:customStyle="1" w:styleId="WW8Num6z0">
    <w:name w:val="WW8Num6z0"/>
    <w:rsid w:val="00FE6179"/>
    <w:rPr>
      <w:rFonts w:ascii="Arial" w:hAnsi="Arial" w:cs="Arial" w:hint="default"/>
      <w:lang w:val="de-DE"/>
    </w:rPr>
  </w:style>
  <w:style w:type="character" w:customStyle="1" w:styleId="WW8Num6z1">
    <w:name w:val="WW8Num6z1"/>
    <w:rsid w:val="00FE6179"/>
  </w:style>
  <w:style w:type="character" w:customStyle="1" w:styleId="WW8Num6z2">
    <w:name w:val="WW8Num6z2"/>
    <w:rsid w:val="00FE6179"/>
  </w:style>
  <w:style w:type="character" w:customStyle="1" w:styleId="WW8Num6z3">
    <w:name w:val="WW8Num6z3"/>
    <w:rsid w:val="00FE6179"/>
  </w:style>
  <w:style w:type="character" w:customStyle="1" w:styleId="WW8Num6z4">
    <w:name w:val="WW8Num6z4"/>
    <w:rsid w:val="00FE6179"/>
  </w:style>
  <w:style w:type="character" w:customStyle="1" w:styleId="WW8Num6z5">
    <w:name w:val="WW8Num6z5"/>
    <w:rsid w:val="00FE6179"/>
  </w:style>
  <w:style w:type="character" w:customStyle="1" w:styleId="WW8Num6z6">
    <w:name w:val="WW8Num6z6"/>
    <w:rsid w:val="00FE6179"/>
  </w:style>
  <w:style w:type="character" w:customStyle="1" w:styleId="WW8Num6z7">
    <w:name w:val="WW8Num6z7"/>
    <w:rsid w:val="00FE6179"/>
  </w:style>
  <w:style w:type="character" w:customStyle="1" w:styleId="WW8Num6z8">
    <w:name w:val="WW8Num6z8"/>
    <w:rsid w:val="00FE6179"/>
  </w:style>
  <w:style w:type="character" w:customStyle="1" w:styleId="WW8Num7z0">
    <w:name w:val="WW8Num7z0"/>
    <w:rsid w:val="00FE6179"/>
    <w:rPr>
      <w:rFonts w:hint="default"/>
    </w:rPr>
  </w:style>
  <w:style w:type="character" w:customStyle="1" w:styleId="WW8Num7z1">
    <w:name w:val="WW8Num7z1"/>
    <w:rsid w:val="00FE6179"/>
  </w:style>
  <w:style w:type="character" w:customStyle="1" w:styleId="WW8Num7z2">
    <w:name w:val="WW8Num7z2"/>
    <w:rsid w:val="00FE6179"/>
  </w:style>
  <w:style w:type="character" w:customStyle="1" w:styleId="WW8Num7z3">
    <w:name w:val="WW8Num7z3"/>
    <w:rsid w:val="00FE6179"/>
  </w:style>
  <w:style w:type="character" w:customStyle="1" w:styleId="WW8Num7z4">
    <w:name w:val="WW8Num7z4"/>
    <w:rsid w:val="00FE6179"/>
  </w:style>
  <w:style w:type="character" w:customStyle="1" w:styleId="WW8Num7z5">
    <w:name w:val="WW8Num7z5"/>
    <w:rsid w:val="00FE6179"/>
  </w:style>
  <w:style w:type="character" w:customStyle="1" w:styleId="WW8Num7z6">
    <w:name w:val="WW8Num7z6"/>
    <w:rsid w:val="00FE6179"/>
  </w:style>
  <w:style w:type="character" w:customStyle="1" w:styleId="WW8Num7z7">
    <w:name w:val="WW8Num7z7"/>
    <w:rsid w:val="00FE6179"/>
  </w:style>
  <w:style w:type="character" w:customStyle="1" w:styleId="WW8Num7z8">
    <w:name w:val="WW8Num7z8"/>
    <w:rsid w:val="00FE6179"/>
  </w:style>
  <w:style w:type="character" w:customStyle="1" w:styleId="WW8Num8z0">
    <w:name w:val="WW8Num8z0"/>
    <w:rsid w:val="00FE6179"/>
    <w:rPr>
      <w:rFonts w:hint="default"/>
      <w:lang w:val="de-DE"/>
    </w:rPr>
  </w:style>
  <w:style w:type="character" w:customStyle="1" w:styleId="WW8Num8z1">
    <w:name w:val="WW8Num8z1"/>
    <w:rsid w:val="00FE6179"/>
  </w:style>
  <w:style w:type="character" w:customStyle="1" w:styleId="WW8Num8z2">
    <w:name w:val="WW8Num8z2"/>
    <w:rsid w:val="00FE6179"/>
  </w:style>
  <w:style w:type="character" w:customStyle="1" w:styleId="WW8Num8z3">
    <w:name w:val="WW8Num8z3"/>
    <w:rsid w:val="00FE6179"/>
  </w:style>
  <w:style w:type="character" w:customStyle="1" w:styleId="WW8Num8z4">
    <w:name w:val="WW8Num8z4"/>
    <w:rsid w:val="00FE6179"/>
  </w:style>
  <w:style w:type="character" w:customStyle="1" w:styleId="WW8Num8z5">
    <w:name w:val="WW8Num8z5"/>
    <w:rsid w:val="00FE6179"/>
  </w:style>
  <w:style w:type="character" w:customStyle="1" w:styleId="WW8Num8z6">
    <w:name w:val="WW8Num8z6"/>
    <w:rsid w:val="00FE6179"/>
  </w:style>
  <w:style w:type="character" w:customStyle="1" w:styleId="WW8Num8z7">
    <w:name w:val="WW8Num8z7"/>
    <w:rsid w:val="00FE6179"/>
  </w:style>
  <w:style w:type="character" w:customStyle="1" w:styleId="WW8Num8z8">
    <w:name w:val="WW8Num8z8"/>
    <w:rsid w:val="00FE6179"/>
  </w:style>
  <w:style w:type="character" w:customStyle="1" w:styleId="WW8Num9z0">
    <w:name w:val="WW8Num9z0"/>
    <w:rsid w:val="00FE6179"/>
    <w:rPr>
      <w:rFonts w:hint="default"/>
    </w:rPr>
  </w:style>
  <w:style w:type="character" w:customStyle="1" w:styleId="WW8Num9z1">
    <w:name w:val="WW8Num9z1"/>
    <w:rsid w:val="00FE6179"/>
  </w:style>
  <w:style w:type="character" w:customStyle="1" w:styleId="WW8Num9z2">
    <w:name w:val="WW8Num9z2"/>
    <w:rsid w:val="00FE6179"/>
  </w:style>
  <w:style w:type="character" w:customStyle="1" w:styleId="WW8Num9z3">
    <w:name w:val="WW8Num9z3"/>
    <w:rsid w:val="00FE6179"/>
  </w:style>
  <w:style w:type="character" w:customStyle="1" w:styleId="WW8Num9z4">
    <w:name w:val="WW8Num9z4"/>
    <w:rsid w:val="00FE6179"/>
  </w:style>
  <w:style w:type="character" w:customStyle="1" w:styleId="WW8Num9z5">
    <w:name w:val="WW8Num9z5"/>
    <w:rsid w:val="00FE6179"/>
  </w:style>
  <w:style w:type="character" w:customStyle="1" w:styleId="WW8Num9z6">
    <w:name w:val="WW8Num9z6"/>
    <w:rsid w:val="00FE6179"/>
  </w:style>
  <w:style w:type="character" w:customStyle="1" w:styleId="WW8Num9z7">
    <w:name w:val="WW8Num9z7"/>
    <w:rsid w:val="00FE6179"/>
  </w:style>
  <w:style w:type="character" w:customStyle="1" w:styleId="WW8Num9z8">
    <w:name w:val="WW8Num9z8"/>
    <w:rsid w:val="00FE6179"/>
  </w:style>
  <w:style w:type="character" w:customStyle="1" w:styleId="WW8Num10z0">
    <w:name w:val="WW8Num10z0"/>
    <w:rsid w:val="00FE6179"/>
    <w:rPr>
      <w:rFonts w:ascii="Arial" w:eastAsia="Times New Roman" w:hAnsi="Arial" w:cs="Arial" w:hint="default"/>
    </w:rPr>
  </w:style>
  <w:style w:type="character" w:customStyle="1" w:styleId="WW8Num10z1">
    <w:name w:val="WW8Num10z1"/>
    <w:rsid w:val="00FE6179"/>
    <w:rPr>
      <w:rFonts w:ascii="Courier New" w:hAnsi="Courier New" w:cs="Courier New" w:hint="default"/>
    </w:rPr>
  </w:style>
  <w:style w:type="character" w:customStyle="1" w:styleId="WW8Num10z2">
    <w:name w:val="WW8Num10z2"/>
    <w:rsid w:val="00FE6179"/>
    <w:rPr>
      <w:rFonts w:ascii="Wingdings" w:hAnsi="Wingdings" w:cs="Wingdings" w:hint="default"/>
    </w:rPr>
  </w:style>
  <w:style w:type="character" w:customStyle="1" w:styleId="WW8Num10z3">
    <w:name w:val="WW8Num10z3"/>
    <w:rsid w:val="00FE6179"/>
    <w:rPr>
      <w:rFonts w:ascii="Symbol" w:hAnsi="Symbol" w:cs="Symbol" w:hint="default"/>
    </w:rPr>
  </w:style>
  <w:style w:type="character" w:customStyle="1" w:styleId="WW8Num11z0">
    <w:name w:val="WW8Num11z0"/>
    <w:rsid w:val="00FE6179"/>
    <w:rPr>
      <w:rFonts w:hint="default"/>
    </w:rPr>
  </w:style>
  <w:style w:type="character" w:customStyle="1" w:styleId="WW8Num11z1">
    <w:name w:val="WW8Num11z1"/>
    <w:rsid w:val="00FE6179"/>
  </w:style>
  <w:style w:type="character" w:customStyle="1" w:styleId="WW8Num11z2">
    <w:name w:val="WW8Num11z2"/>
    <w:rsid w:val="00FE6179"/>
  </w:style>
  <w:style w:type="character" w:customStyle="1" w:styleId="WW8Num11z3">
    <w:name w:val="WW8Num11z3"/>
    <w:rsid w:val="00FE6179"/>
  </w:style>
  <w:style w:type="character" w:customStyle="1" w:styleId="WW8Num11z4">
    <w:name w:val="WW8Num11z4"/>
    <w:rsid w:val="00FE6179"/>
  </w:style>
  <w:style w:type="character" w:customStyle="1" w:styleId="WW8Num11z5">
    <w:name w:val="WW8Num11z5"/>
    <w:rsid w:val="00FE6179"/>
  </w:style>
  <w:style w:type="character" w:customStyle="1" w:styleId="WW8Num11z6">
    <w:name w:val="WW8Num11z6"/>
    <w:rsid w:val="00FE6179"/>
  </w:style>
  <w:style w:type="character" w:customStyle="1" w:styleId="WW8Num11z7">
    <w:name w:val="WW8Num11z7"/>
    <w:rsid w:val="00FE6179"/>
  </w:style>
  <w:style w:type="character" w:customStyle="1" w:styleId="WW8Num11z8">
    <w:name w:val="WW8Num11z8"/>
    <w:rsid w:val="00FE6179"/>
  </w:style>
  <w:style w:type="character" w:customStyle="1" w:styleId="WW8Num12z0">
    <w:name w:val="WW8Num12z0"/>
    <w:rsid w:val="00FE6179"/>
    <w:rPr>
      <w:rFonts w:hint="default"/>
    </w:rPr>
  </w:style>
  <w:style w:type="character" w:customStyle="1" w:styleId="WW8Num12z1">
    <w:name w:val="WW8Num12z1"/>
    <w:rsid w:val="00FE6179"/>
  </w:style>
  <w:style w:type="character" w:customStyle="1" w:styleId="WW8Num12z2">
    <w:name w:val="WW8Num12z2"/>
    <w:rsid w:val="00FE6179"/>
  </w:style>
  <w:style w:type="character" w:customStyle="1" w:styleId="WW8Num12z3">
    <w:name w:val="WW8Num12z3"/>
    <w:rsid w:val="00FE6179"/>
  </w:style>
  <w:style w:type="character" w:customStyle="1" w:styleId="WW8Num12z4">
    <w:name w:val="WW8Num12z4"/>
    <w:rsid w:val="00FE6179"/>
  </w:style>
  <w:style w:type="character" w:customStyle="1" w:styleId="WW8Num12z5">
    <w:name w:val="WW8Num12z5"/>
    <w:rsid w:val="00FE6179"/>
  </w:style>
  <w:style w:type="character" w:customStyle="1" w:styleId="WW8Num12z6">
    <w:name w:val="WW8Num12z6"/>
    <w:rsid w:val="00FE6179"/>
  </w:style>
  <w:style w:type="character" w:customStyle="1" w:styleId="WW8Num12z7">
    <w:name w:val="WW8Num12z7"/>
    <w:rsid w:val="00FE6179"/>
  </w:style>
  <w:style w:type="character" w:customStyle="1" w:styleId="WW8Num12z8">
    <w:name w:val="WW8Num12z8"/>
    <w:rsid w:val="00FE6179"/>
  </w:style>
  <w:style w:type="character" w:customStyle="1" w:styleId="WW8Num13z0">
    <w:name w:val="WW8Num13z0"/>
    <w:rsid w:val="00FE6179"/>
    <w:rPr>
      <w:rFonts w:ascii="Arial" w:hAnsi="Arial" w:cs="Arial" w:hint="default"/>
    </w:rPr>
  </w:style>
  <w:style w:type="character" w:customStyle="1" w:styleId="Absatz-Standardschriftart1">
    <w:name w:val="Absatz-Standardschriftart1"/>
    <w:rsid w:val="00FE6179"/>
  </w:style>
  <w:style w:type="character" w:customStyle="1" w:styleId="berschrift1Zchn">
    <w:name w:val="Überschrift 1 Zchn"/>
    <w:rsid w:val="00FE6179"/>
    <w:rPr>
      <w:rFonts w:ascii="Arial" w:hAnsi="Arial" w:cs="Arial"/>
      <w:b/>
      <w:color w:val="000000"/>
      <w:sz w:val="24"/>
    </w:rPr>
  </w:style>
  <w:style w:type="character" w:customStyle="1" w:styleId="berschrift2Zchn">
    <w:name w:val="Überschrift 2 Zchn"/>
    <w:rsid w:val="00FE6179"/>
    <w:rPr>
      <w:rFonts w:ascii="Cambria" w:hAnsi="Cambria" w:cs="Cambria"/>
      <w:b/>
      <w:bCs/>
      <w:i/>
      <w:iCs/>
      <w:sz w:val="28"/>
      <w:szCs w:val="28"/>
    </w:rPr>
  </w:style>
  <w:style w:type="character" w:customStyle="1" w:styleId="berschrift3Zchn">
    <w:name w:val="Überschrift 3 Zchn"/>
    <w:rsid w:val="00FE6179"/>
    <w:rPr>
      <w:rFonts w:ascii="Cambria" w:hAnsi="Cambria" w:cs="Cambria"/>
      <w:b/>
      <w:bCs/>
      <w:sz w:val="26"/>
      <w:szCs w:val="26"/>
    </w:rPr>
  </w:style>
  <w:style w:type="character" w:customStyle="1" w:styleId="berschrift8Zchn">
    <w:name w:val="Überschrift 8 Zchn"/>
    <w:rsid w:val="00FE6179"/>
    <w:rPr>
      <w:rFonts w:ascii="Cambria" w:hAnsi="Cambria" w:cs="Cambria"/>
      <w:color w:val="404040"/>
    </w:rPr>
  </w:style>
  <w:style w:type="character" w:customStyle="1" w:styleId="Funotenzeichen1">
    <w:name w:val="Fußnotenzeichen1"/>
    <w:rsid w:val="00FE6179"/>
  </w:style>
  <w:style w:type="character" w:customStyle="1" w:styleId="FuzeileZchn">
    <w:name w:val="Fußzeile Zchn"/>
    <w:uiPriority w:val="99"/>
    <w:rsid w:val="00FE6179"/>
    <w:rPr>
      <w:rFonts w:ascii="Shruti" w:hAnsi="Shruti" w:cs="Shruti"/>
      <w:sz w:val="24"/>
      <w:szCs w:val="24"/>
      <w:lang w:val="en-US"/>
    </w:rPr>
  </w:style>
  <w:style w:type="character" w:styleId="a4">
    <w:name w:val="page number"/>
    <w:basedOn w:val="Absatz-Standardschriftart1"/>
    <w:rsid w:val="00FE6179"/>
  </w:style>
  <w:style w:type="character" w:customStyle="1" w:styleId="TextkrperZchn">
    <w:name w:val="Textkörper Zchn"/>
    <w:rsid w:val="00FE6179"/>
    <w:rPr>
      <w:rFonts w:ascii="Arial" w:hAnsi="Arial" w:cs="Arial"/>
      <w:sz w:val="22"/>
    </w:rPr>
  </w:style>
  <w:style w:type="character" w:customStyle="1" w:styleId="25cmErCharCharChar">
    <w:name w:val="25 cm + Er... Char Char Char"/>
    <w:rsid w:val="00FE6179"/>
    <w:rPr>
      <w:rFonts w:ascii="Arial" w:hAnsi="Arial" w:cs="Arial"/>
      <w:color w:val="000000"/>
      <w:sz w:val="24"/>
    </w:rPr>
  </w:style>
  <w:style w:type="character" w:customStyle="1" w:styleId="KopfzeileZchn">
    <w:name w:val="Kopfzeile Zchn"/>
    <w:rsid w:val="00FE6179"/>
    <w:rPr>
      <w:sz w:val="24"/>
      <w:szCs w:val="24"/>
    </w:rPr>
  </w:style>
  <w:style w:type="character" w:customStyle="1" w:styleId="SprechblasentextZchn">
    <w:name w:val="Sprechblasentext Zchn"/>
    <w:rsid w:val="00FE6179"/>
    <w:rPr>
      <w:rFonts w:ascii="Tahoma" w:hAnsi="Tahoma" w:cs="Tahoma"/>
      <w:sz w:val="16"/>
      <w:szCs w:val="16"/>
    </w:rPr>
  </w:style>
  <w:style w:type="character" w:customStyle="1" w:styleId="KommentartextZchn">
    <w:name w:val="Kommentartext Zchn"/>
    <w:rsid w:val="00FE6179"/>
    <w:rPr>
      <w:rFonts w:ascii="Calibri" w:hAnsi="Calibri" w:cs="Calibri"/>
    </w:rPr>
  </w:style>
  <w:style w:type="character" w:customStyle="1" w:styleId="KommentarthemaZchn">
    <w:name w:val="Kommentarthema Zchn"/>
    <w:rsid w:val="00FE6179"/>
    <w:rPr>
      <w:rFonts w:ascii="Calibri" w:hAnsi="Calibri" w:cs="Calibri"/>
      <w:b/>
      <w:bCs/>
    </w:rPr>
  </w:style>
  <w:style w:type="character" w:customStyle="1" w:styleId="volume">
    <w:name w:val="volume"/>
    <w:basedOn w:val="Absatz-Standardschriftart1"/>
    <w:rsid w:val="00FE6179"/>
  </w:style>
  <w:style w:type="character" w:customStyle="1" w:styleId="issue">
    <w:name w:val="issue"/>
    <w:basedOn w:val="Absatz-Standardschriftart1"/>
    <w:rsid w:val="00FE6179"/>
  </w:style>
  <w:style w:type="character" w:customStyle="1" w:styleId="pages">
    <w:name w:val="pages"/>
    <w:basedOn w:val="Absatz-Standardschriftart1"/>
    <w:rsid w:val="00FE6179"/>
  </w:style>
  <w:style w:type="character" w:customStyle="1" w:styleId="A30">
    <w:name w:val="A3"/>
    <w:rsid w:val="00FE6179"/>
    <w:rPr>
      <w:rFonts w:cs="Times"/>
      <w:color w:val="000000"/>
      <w:sz w:val="15"/>
      <w:szCs w:val="15"/>
    </w:rPr>
  </w:style>
  <w:style w:type="character" w:customStyle="1" w:styleId="A10">
    <w:name w:val="A1"/>
    <w:rsid w:val="00FE6179"/>
    <w:rPr>
      <w:rFonts w:cs="Times"/>
      <w:i/>
      <w:iCs/>
      <w:color w:val="000000"/>
      <w:sz w:val="20"/>
      <w:szCs w:val="20"/>
    </w:rPr>
  </w:style>
  <w:style w:type="character" w:customStyle="1" w:styleId="Absatz-Standardschriftart5">
    <w:name w:val="Absatz-Standardschriftart5"/>
    <w:rsid w:val="00FE6179"/>
  </w:style>
  <w:style w:type="paragraph" w:customStyle="1" w:styleId="berschrift">
    <w:name w:val="Überschrift"/>
    <w:basedOn w:val="a"/>
    <w:next w:val="a5"/>
    <w:rsid w:val="00FE6179"/>
    <w:pPr>
      <w:keepNext/>
      <w:widowControl w:val="0"/>
      <w:suppressAutoHyphens/>
      <w:autoSpaceDE w:val="0"/>
      <w:spacing w:before="240" w:after="120" w:line="240" w:lineRule="auto"/>
    </w:pPr>
    <w:rPr>
      <w:rFonts w:ascii="Arial" w:eastAsia="微软雅黑" w:hAnsi="Arial" w:cs="Mangal"/>
      <w:sz w:val="28"/>
      <w:szCs w:val="28"/>
      <w:lang w:eastAsia="ar-SA"/>
    </w:rPr>
  </w:style>
  <w:style w:type="paragraph" w:styleId="a5">
    <w:name w:val="Body Text"/>
    <w:basedOn w:val="a"/>
    <w:link w:val="a6"/>
    <w:rsid w:val="00FE6179"/>
    <w:pPr>
      <w:suppressAutoHyphens/>
      <w:spacing w:after="0" w:line="240" w:lineRule="auto"/>
      <w:jc w:val="both"/>
    </w:pPr>
    <w:rPr>
      <w:rFonts w:ascii="Arial" w:eastAsiaTheme="minorEastAsia" w:hAnsi="Arial" w:cs="Arial"/>
      <w:szCs w:val="20"/>
      <w:lang w:val="x-none" w:eastAsia="ar-SA"/>
    </w:rPr>
  </w:style>
  <w:style w:type="character" w:customStyle="1" w:styleId="a6">
    <w:name w:val="正文文本 字符"/>
    <w:basedOn w:val="a0"/>
    <w:link w:val="a5"/>
    <w:rsid w:val="00FE6179"/>
    <w:rPr>
      <w:rFonts w:ascii="Arial" w:hAnsi="Arial" w:cs="Arial"/>
      <w:kern w:val="0"/>
      <w:sz w:val="22"/>
      <w:szCs w:val="20"/>
      <w:lang w:val="x-none" w:eastAsia="ar-SA"/>
    </w:rPr>
  </w:style>
  <w:style w:type="paragraph" w:styleId="a7">
    <w:name w:val="List"/>
    <w:basedOn w:val="a5"/>
    <w:rsid w:val="00FE6179"/>
    <w:rPr>
      <w:rFonts w:cs="Mangal"/>
    </w:rPr>
  </w:style>
  <w:style w:type="paragraph" w:customStyle="1" w:styleId="Beschriftung1">
    <w:name w:val="Beschriftung1"/>
    <w:basedOn w:val="a"/>
    <w:rsid w:val="00FE6179"/>
    <w:pPr>
      <w:widowControl w:val="0"/>
      <w:suppressLineNumbers/>
      <w:suppressAutoHyphens/>
      <w:autoSpaceDE w:val="0"/>
      <w:spacing w:before="120" w:after="120" w:line="240" w:lineRule="auto"/>
    </w:pPr>
    <w:rPr>
      <w:rFonts w:ascii="Shruti" w:eastAsiaTheme="minorEastAsia" w:hAnsi="Shruti" w:cs="Mangal"/>
      <w:i/>
      <w:iCs/>
      <w:sz w:val="24"/>
      <w:szCs w:val="24"/>
      <w:lang w:eastAsia="ar-SA"/>
    </w:rPr>
  </w:style>
  <w:style w:type="paragraph" w:customStyle="1" w:styleId="Verzeichnis">
    <w:name w:val="Verzeichnis"/>
    <w:basedOn w:val="a"/>
    <w:rsid w:val="00FE6179"/>
    <w:pPr>
      <w:widowControl w:val="0"/>
      <w:suppressLineNumbers/>
      <w:suppressAutoHyphens/>
      <w:autoSpaceDE w:val="0"/>
      <w:spacing w:after="0" w:line="240" w:lineRule="auto"/>
    </w:pPr>
    <w:rPr>
      <w:rFonts w:ascii="Shruti" w:eastAsiaTheme="minorEastAsia" w:hAnsi="Shruti" w:cs="Mangal"/>
      <w:sz w:val="24"/>
      <w:szCs w:val="24"/>
      <w:lang w:eastAsia="ar-SA"/>
    </w:rPr>
  </w:style>
  <w:style w:type="paragraph" w:styleId="a8">
    <w:name w:val="footer"/>
    <w:basedOn w:val="a"/>
    <w:link w:val="a9"/>
    <w:uiPriority w:val="99"/>
    <w:rsid w:val="00FE6179"/>
    <w:pPr>
      <w:widowControl w:val="0"/>
      <w:tabs>
        <w:tab w:val="center" w:pos="4536"/>
        <w:tab w:val="right" w:pos="9072"/>
      </w:tabs>
      <w:suppressAutoHyphens/>
      <w:autoSpaceDE w:val="0"/>
      <w:spacing w:after="0" w:line="240" w:lineRule="auto"/>
    </w:pPr>
    <w:rPr>
      <w:rFonts w:ascii="Shruti" w:eastAsiaTheme="minorEastAsia" w:hAnsi="Shruti" w:cs="Shruti"/>
      <w:sz w:val="24"/>
      <w:szCs w:val="24"/>
      <w:lang w:eastAsia="ar-SA"/>
    </w:rPr>
  </w:style>
  <w:style w:type="character" w:customStyle="1" w:styleId="a9">
    <w:name w:val="页脚 字符"/>
    <w:basedOn w:val="a0"/>
    <w:link w:val="a8"/>
    <w:uiPriority w:val="99"/>
    <w:rsid w:val="00FE6179"/>
    <w:rPr>
      <w:rFonts w:ascii="Shruti" w:hAnsi="Shruti" w:cs="Shruti"/>
      <w:kern w:val="0"/>
      <w:sz w:val="24"/>
      <w:lang w:eastAsia="ar-SA"/>
    </w:rPr>
  </w:style>
  <w:style w:type="paragraph" w:customStyle="1" w:styleId="StandardArial">
    <w:name w:val="Standard + Arial"/>
    <w:basedOn w:val="a"/>
    <w:rsid w:val="00FE6179"/>
    <w:pPr>
      <w:suppressAutoHyphens/>
      <w:spacing w:before="60" w:after="60" w:line="360" w:lineRule="auto"/>
      <w:jc w:val="both"/>
    </w:pPr>
    <w:rPr>
      <w:rFonts w:ascii="Arial" w:eastAsiaTheme="minorEastAsia" w:hAnsi="Arial" w:cs="Arial"/>
      <w:color w:val="000000"/>
      <w:sz w:val="24"/>
      <w:szCs w:val="20"/>
      <w:lang w:val="x-none" w:eastAsia="ar-SA"/>
    </w:rPr>
  </w:style>
  <w:style w:type="paragraph" w:styleId="aa">
    <w:name w:val="header"/>
    <w:basedOn w:val="a"/>
    <w:link w:val="ab"/>
    <w:rsid w:val="00FE6179"/>
    <w:pPr>
      <w:tabs>
        <w:tab w:val="center" w:pos="4536"/>
        <w:tab w:val="right" w:pos="9072"/>
      </w:tabs>
      <w:suppressAutoHyphens/>
      <w:spacing w:after="0" w:line="240" w:lineRule="auto"/>
    </w:pPr>
    <w:rPr>
      <w:rFonts w:ascii="Times New Roman" w:eastAsiaTheme="minorEastAsia"/>
      <w:sz w:val="24"/>
      <w:szCs w:val="24"/>
      <w:lang w:val="x-none" w:eastAsia="ar-SA"/>
    </w:rPr>
  </w:style>
  <w:style w:type="character" w:customStyle="1" w:styleId="ab">
    <w:name w:val="页眉 字符"/>
    <w:basedOn w:val="a0"/>
    <w:link w:val="aa"/>
    <w:rsid w:val="00FE6179"/>
    <w:rPr>
      <w:rFonts w:ascii="Times New Roman" w:hAnsi="Times New Roman" w:cs="Times New Roman"/>
      <w:kern w:val="0"/>
      <w:sz w:val="24"/>
      <w:lang w:val="x-none" w:eastAsia="ar-SA"/>
    </w:rPr>
  </w:style>
  <w:style w:type="paragraph" w:customStyle="1" w:styleId="body">
    <w:name w:val="body"/>
    <w:basedOn w:val="a"/>
    <w:rsid w:val="00FE6179"/>
    <w:pPr>
      <w:suppressAutoHyphens/>
      <w:spacing w:before="100" w:after="100" w:line="240" w:lineRule="auto"/>
    </w:pPr>
    <w:rPr>
      <w:rFonts w:ascii="Times New Roman" w:eastAsiaTheme="minorEastAsia"/>
      <w:sz w:val="24"/>
      <w:szCs w:val="24"/>
      <w:lang w:val="de-DE" w:eastAsia="ar-SA"/>
    </w:rPr>
  </w:style>
  <w:style w:type="paragraph" w:customStyle="1" w:styleId="FarbigeListe-Akzent11">
    <w:name w:val="Farbige Liste - Akzent 11"/>
    <w:basedOn w:val="a"/>
    <w:rsid w:val="00FE6179"/>
    <w:pPr>
      <w:suppressAutoHyphens/>
      <w:spacing w:after="200" w:line="276" w:lineRule="auto"/>
      <w:ind w:left="708"/>
    </w:pPr>
    <w:rPr>
      <w:rFonts w:ascii="Calibri" w:eastAsiaTheme="minorEastAsia" w:hAnsi="Calibri" w:cs="Calibri"/>
      <w:lang w:val="de-DE" w:eastAsia="ar-SA"/>
    </w:rPr>
  </w:style>
  <w:style w:type="paragraph" w:customStyle="1" w:styleId="Textkrper21">
    <w:name w:val="Textkörper 21"/>
    <w:basedOn w:val="a"/>
    <w:rsid w:val="00FE6179"/>
    <w:pPr>
      <w:suppressAutoHyphens/>
      <w:overflowPunct w:val="0"/>
      <w:autoSpaceDE w:val="0"/>
      <w:spacing w:after="0" w:line="240" w:lineRule="auto"/>
      <w:textAlignment w:val="baseline"/>
    </w:pPr>
    <w:rPr>
      <w:rFonts w:ascii="Times New Roman" w:eastAsiaTheme="minorEastAsia"/>
      <w:sz w:val="24"/>
      <w:szCs w:val="20"/>
      <w:lang w:val="de-DE" w:eastAsia="ar-SA"/>
    </w:rPr>
  </w:style>
  <w:style w:type="paragraph" w:styleId="ac">
    <w:name w:val="Balloon Text"/>
    <w:basedOn w:val="a"/>
    <w:link w:val="ad"/>
    <w:rsid w:val="00FE6179"/>
    <w:pPr>
      <w:suppressAutoHyphens/>
      <w:spacing w:after="0" w:line="240" w:lineRule="auto"/>
    </w:pPr>
    <w:rPr>
      <w:rFonts w:ascii="Tahoma" w:eastAsiaTheme="minorEastAsia" w:hAnsi="Tahoma" w:cs="Tahoma"/>
      <w:sz w:val="16"/>
      <w:szCs w:val="16"/>
      <w:lang w:val="x-none" w:eastAsia="ar-SA"/>
    </w:rPr>
  </w:style>
  <w:style w:type="character" w:customStyle="1" w:styleId="ad">
    <w:name w:val="批注框文本 字符"/>
    <w:basedOn w:val="a0"/>
    <w:link w:val="ac"/>
    <w:rsid w:val="00FE6179"/>
    <w:rPr>
      <w:rFonts w:ascii="Tahoma" w:hAnsi="Tahoma" w:cs="Tahoma"/>
      <w:kern w:val="0"/>
      <w:sz w:val="16"/>
      <w:szCs w:val="16"/>
      <w:lang w:val="x-none" w:eastAsia="ar-SA"/>
    </w:rPr>
  </w:style>
  <w:style w:type="paragraph" w:customStyle="1" w:styleId="Kommentartext1">
    <w:name w:val="Kommentartext1"/>
    <w:basedOn w:val="a"/>
    <w:rsid w:val="00FE6179"/>
    <w:pPr>
      <w:suppressAutoHyphens/>
      <w:spacing w:after="200" w:line="276" w:lineRule="auto"/>
    </w:pPr>
    <w:rPr>
      <w:rFonts w:ascii="Calibri" w:eastAsiaTheme="minorEastAsia" w:hAnsi="Calibri" w:cs="Calibri"/>
      <w:sz w:val="20"/>
      <w:szCs w:val="20"/>
      <w:lang w:val="x-none" w:eastAsia="ar-SA"/>
    </w:rPr>
  </w:style>
  <w:style w:type="paragraph" w:styleId="ae">
    <w:name w:val="annotation text"/>
    <w:basedOn w:val="a"/>
    <w:link w:val="af"/>
    <w:uiPriority w:val="99"/>
    <w:semiHidden/>
    <w:unhideWhenUsed/>
    <w:rsid w:val="00FE6179"/>
  </w:style>
  <w:style w:type="character" w:customStyle="1" w:styleId="af">
    <w:name w:val="批注文字 字符"/>
    <w:basedOn w:val="a0"/>
    <w:link w:val="ae"/>
    <w:uiPriority w:val="99"/>
    <w:semiHidden/>
    <w:rsid w:val="00FE6179"/>
    <w:rPr>
      <w:rFonts w:eastAsia="宋体" w:hAnsi="Times New Roman" w:cs="Times New Roman"/>
      <w:kern w:val="0"/>
      <w:sz w:val="22"/>
      <w:szCs w:val="22"/>
      <w:lang w:eastAsia="en-US"/>
    </w:rPr>
  </w:style>
  <w:style w:type="paragraph" w:styleId="af0">
    <w:name w:val="annotation subject"/>
    <w:basedOn w:val="Kommentartext1"/>
    <w:next w:val="Kommentartext1"/>
    <w:link w:val="af1"/>
    <w:rsid w:val="00FE6179"/>
    <w:rPr>
      <w:b/>
      <w:bCs/>
    </w:rPr>
  </w:style>
  <w:style w:type="character" w:customStyle="1" w:styleId="af1">
    <w:name w:val="批注主题 字符"/>
    <w:basedOn w:val="af"/>
    <w:link w:val="af0"/>
    <w:rsid w:val="00FE6179"/>
    <w:rPr>
      <w:rFonts w:ascii="Calibri" w:eastAsia="宋体" w:hAnsi="Calibri" w:cs="Calibri"/>
      <w:b/>
      <w:bCs/>
      <w:kern w:val="0"/>
      <w:sz w:val="20"/>
      <w:szCs w:val="20"/>
      <w:lang w:val="x-none" w:eastAsia="ar-SA"/>
    </w:rPr>
  </w:style>
  <w:style w:type="paragraph" w:customStyle="1" w:styleId="FarbigeSchattierung-Akzent11">
    <w:name w:val="Farbige Schattierung - Akzent 11"/>
    <w:rsid w:val="00FE6179"/>
    <w:pPr>
      <w:suppressAutoHyphens/>
    </w:pPr>
    <w:rPr>
      <w:rFonts w:ascii="Calibri" w:hAnsi="Calibri" w:cs="Calibri"/>
      <w:kern w:val="0"/>
      <w:sz w:val="22"/>
      <w:szCs w:val="22"/>
      <w:lang w:val="de-DE" w:eastAsia="ar-SA"/>
    </w:rPr>
  </w:style>
  <w:style w:type="paragraph" w:customStyle="1" w:styleId="berschriftb">
    <w:name w:val="Überschrift b"/>
    <w:basedOn w:val="a"/>
    <w:rsid w:val="00FE6179"/>
    <w:pPr>
      <w:suppressAutoHyphens/>
      <w:spacing w:after="0" w:line="240" w:lineRule="auto"/>
    </w:pPr>
    <w:rPr>
      <w:rFonts w:ascii="Arial" w:eastAsiaTheme="minorEastAsia" w:hAnsi="Arial" w:cs="Arial"/>
      <w:b/>
      <w:szCs w:val="20"/>
      <w:lang w:val="de-DE" w:eastAsia="ar-SA"/>
    </w:rPr>
  </w:style>
  <w:style w:type="paragraph" w:styleId="af2">
    <w:name w:val="Normal (Web)"/>
    <w:basedOn w:val="a"/>
    <w:rsid w:val="00FE6179"/>
    <w:pPr>
      <w:suppressAutoHyphens/>
      <w:spacing w:before="100" w:after="100" w:line="240" w:lineRule="auto"/>
    </w:pPr>
    <w:rPr>
      <w:rFonts w:ascii="Times New Roman" w:eastAsiaTheme="minorEastAsia"/>
      <w:sz w:val="24"/>
      <w:szCs w:val="24"/>
      <w:lang w:val="de-DE" w:eastAsia="ar-SA"/>
    </w:rPr>
  </w:style>
  <w:style w:type="paragraph" w:customStyle="1" w:styleId="Dokumentstruktur1">
    <w:name w:val="Dokumentstruktur1"/>
    <w:basedOn w:val="a"/>
    <w:rsid w:val="00FE6179"/>
    <w:pPr>
      <w:widowControl w:val="0"/>
      <w:shd w:val="clear" w:color="auto" w:fill="000080"/>
      <w:suppressAutoHyphens/>
      <w:autoSpaceDE w:val="0"/>
      <w:spacing w:after="0" w:line="240" w:lineRule="auto"/>
    </w:pPr>
    <w:rPr>
      <w:rFonts w:ascii="Tahoma" w:eastAsiaTheme="minorEastAsia" w:hAnsi="Tahoma" w:cs="Tahoma"/>
      <w:sz w:val="20"/>
      <w:szCs w:val="20"/>
      <w:lang w:eastAsia="ar-SA"/>
    </w:rPr>
  </w:style>
  <w:style w:type="paragraph" w:customStyle="1" w:styleId="Default">
    <w:name w:val="Default"/>
    <w:rsid w:val="00FE6179"/>
    <w:pPr>
      <w:suppressAutoHyphens/>
      <w:autoSpaceDE w:val="0"/>
    </w:pPr>
    <w:rPr>
      <w:rFonts w:ascii="Times" w:hAnsi="Times" w:cs="Times"/>
      <w:color w:val="000000"/>
      <w:kern w:val="0"/>
      <w:sz w:val="24"/>
      <w:lang w:val="de-DE" w:eastAsia="ar-SA"/>
    </w:rPr>
  </w:style>
  <w:style w:type="paragraph" w:customStyle="1" w:styleId="Pa3">
    <w:name w:val="Pa3"/>
    <w:basedOn w:val="Default"/>
    <w:next w:val="Default"/>
    <w:rsid w:val="00FE6179"/>
    <w:pPr>
      <w:spacing w:line="201" w:lineRule="atLeast"/>
    </w:pPr>
    <w:rPr>
      <w:rFonts w:cs="Times New Roman"/>
      <w:color w:val="auto"/>
    </w:rPr>
  </w:style>
  <w:style w:type="paragraph" w:customStyle="1" w:styleId="Pa5">
    <w:name w:val="Pa5"/>
    <w:basedOn w:val="Default"/>
    <w:next w:val="Default"/>
    <w:rsid w:val="00FE6179"/>
    <w:pPr>
      <w:spacing w:line="201" w:lineRule="atLeast"/>
    </w:pPr>
    <w:rPr>
      <w:rFonts w:cs="Times New Roman"/>
      <w:color w:val="auto"/>
    </w:rPr>
  </w:style>
  <w:style w:type="paragraph" w:customStyle="1" w:styleId="Pa7">
    <w:name w:val="Pa7"/>
    <w:basedOn w:val="Default"/>
    <w:next w:val="Default"/>
    <w:rsid w:val="00FE6179"/>
    <w:pPr>
      <w:spacing w:line="181" w:lineRule="atLeast"/>
    </w:pPr>
    <w:rPr>
      <w:rFonts w:cs="Times New Roman"/>
      <w:color w:val="auto"/>
    </w:rPr>
  </w:style>
  <w:style w:type="paragraph" w:customStyle="1" w:styleId="Pa6">
    <w:name w:val="Pa6"/>
    <w:basedOn w:val="Default"/>
    <w:next w:val="Default"/>
    <w:rsid w:val="00FE6179"/>
    <w:pPr>
      <w:spacing w:line="201" w:lineRule="atLeast"/>
    </w:pPr>
    <w:rPr>
      <w:rFonts w:cs="Times New Roman"/>
      <w:color w:val="auto"/>
    </w:rPr>
  </w:style>
  <w:style w:type="paragraph" w:customStyle="1" w:styleId="Pa0">
    <w:name w:val="Pa0"/>
    <w:basedOn w:val="Default"/>
    <w:next w:val="Default"/>
    <w:rsid w:val="00FE6179"/>
    <w:pPr>
      <w:spacing w:line="161" w:lineRule="atLeast"/>
    </w:pPr>
    <w:rPr>
      <w:rFonts w:cs="Times New Roman"/>
      <w:color w:val="auto"/>
    </w:rPr>
  </w:style>
  <w:style w:type="paragraph" w:styleId="af3">
    <w:name w:val="List Paragraph"/>
    <w:basedOn w:val="a"/>
    <w:qFormat/>
    <w:rsid w:val="00FE6179"/>
    <w:pPr>
      <w:widowControl w:val="0"/>
      <w:suppressAutoHyphens/>
      <w:autoSpaceDE w:val="0"/>
      <w:spacing w:after="0" w:line="240" w:lineRule="auto"/>
      <w:ind w:left="708"/>
    </w:pPr>
    <w:rPr>
      <w:rFonts w:ascii="Shruti" w:eastAsiaTheme="minorEastAsia" w:hAnsi="Shruti" w:cs="Shruti"/>
      <w:sz w:val="24"/>
      <w:szCs w:val="24"/>
      <w:lang w:eastAsia="ar-SA"/>
    </w:rPr>
  </w:style>
  <w:style w:type="paragraph" w:customStyle="1" w:styleId="Rahmeninhalt">
    <w:name w:val="Rahmeninhalt"/>
    <w:basedOn w:val="a5"/>
    <w:rsid w:val="00FE6179"/>
  </w:style>
  <w:style w:type="paragraph" w:customStyle="1" w:styleId="TabellenInhalt">
    <w:name w:val="Tabellen Inhalt"/>
    <w:basedOn w:val="a"/>
    <w:rsid w:val="00FE6179"/>
    <w:pPr>
      <w:widowControl w:val="0"/>
      <w:suppressLineNumbers/>
      <w:suppressAutoHyphens/>
      <w:autoSpaceDE w:val="0"/>
      <w:spacing w:after="0" w:line="240" w:lineRule="auto"/>
    </w:pPr>
    <w:rPr>
      <w:rFonts w:ascii="Shruti" w:eastAsiaTheme="minorEastAsia" w:hAnsi="Shruti" w:cs="Shruti"/>
      <w:sz w:val="24"/>
      <w:szCs w:val="24"/>
      <w:lang w:eastAsia="ar-SA"/>
    </w:rPr>
  </w:style>
  <w:style w:type="table" w:styleId="af4">
    <w:name w:val="Table Grid"/>
    <w:basedOn w:val="a1"/>
    <w:uiPriority w:val="59"/>
    <w:rsid w:val="00FE6179"/>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next w:val="af4"/>
    <w:uiPriority w:val="39"/>
    <w:rsid w:val="00FE6179"/>
    <w:rPr>
      <w:rFonts w:ascii="Calibri" w:eastAsia="Calibri" w:hAnsi="Calibri"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1"/>
    <w:next w:val="af4"/>
    <w:uiPriority w:val="39"/>
    <w:rsid w:val="00FE6179"/>
    <w:rPr>
      <w:rFonts w:ascii="Calibri" w:eastAsia="Calibri" w:hAnsi="Calibri"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semiHidden/>
    <w:unhideWhenUsed/>
    <w:rsid w:val="00FE6179"/>
    <w:rPr>
      <w:sz w:val="16"/>
      <w:szCs w:val="16"/>
    </w:rPr>
  </w:style>
  <w:style w:type="paragraph" w:styleId="af6">
    <w:name w:val="Revision"/>
    <w:hidden/>
    <w:uiPriority w:val="99"/>
    <w:semiHidden/>
    <w:rsid w:val="00FE6179"/>
    <w:rPr>
      <w:rFonts w:ascii="Shruti" w:hAnsi="Shruti" w:cs="Shruti"/>
      <w:kern w:val="0"/>
      <w:sz w:val="24"/>
      <w:lang w:eastAsia="ar-SA"/>
    </w:rPr>
  </w:style>
  <w:style w:type="paragraph" w:customStyle="1" w:styleId="title1">
    <w:name w:val="title1"/>
    <w:basedOn w:val="a"/>
    <w:rsid w:val="00FE6179"/>
    <w:pPr>
      <w:spacing w:after="0" w:line="240" w:lineRule="auto"/>
    </w:pPr>
    <w:rPr>
      <w:rFonts w:ascii="Times New Roman" w:eastAsiaTheme="minorEastAsia"/>
      <w:sz w:val="27"/>
      <w:szCs w:val="27"/>
      <w:lang w:val="de-DE" w:eastAsia="de-DE"/>
    </w:rPr>
  </w:style>
  <w:style w:type="paragraph" w:customStyle="1" w:styleId="desc2">
    <w:name w:val="desc2"/>
    <w:basedOn w:val="a"/>
    <w:rsid w:val="00FE6179"/>
    <w:pPr>
      <w:spacing w:after="0" w:line="240" w:lineRule="auto"/>
    </w:pPr>
    <w:rPr>
      <w:rFonts w:ascii="Times New Roman" w:eastAsiaTheme="minorEastAsia"/>
      <w:sz w:val="26"/>
      <w:szCs w:val="26"/>
      <w:lang w:val="de-DE" w:eastAsia="de-DE"/>
    </w:rPr>
  </w:style>
  <w:style w:type="paragraph" w:customStyle="1" w:styleId="details1">
    <w:name w:val="details1"/>
    <w:basedOn w:val="a"/>
    <w:rsid w:val="00FE6179"/>
    <w:pPr>
      <w:spacing w:after="0" w:line="240" w:lineRule="auto"/>
    </w:pPr>
    <w:rPr>
      <w:rFonts w:ascii="Times New Roman" w:eastAsiaTheme="minorEastAsia"/>
      <w:lang w:val="de-DE" w:eastAsia="de-DE"/>
    </w:rPr>
  </w:style>
  <w:style w:type="character" w:customStyle="1" w:styleId="jrnl">
    <w:name w:val="jrnl"/>
    <w:rsid w:val="00FE6179"/>
  </w:style>
  <w:style w:type="character" w:customStyle="1" w:styleId="normaltextrun">
    <w:name w:val="normaltextrun"/>
    <w:basedOn w:val="a0"/>
    <w:rsid w:val="00BB36AA"/>
  </w:style>
  <w:style w:type="paragraph" w:customStyle="1" w:styleId="paragraph">
    <w:name w:val="paragraph"/>
    <w:basedOn w:val="a"/>
    <w:rsid w:val="00BB36AA"/>
    <w:pPr>
      <w:spacing w:before="100" w:beforeAutospacing="1" w:after="100" w:afterAutospacing="1" w:line="240" w:lineRule="auto"/>
    </w:pPr>
    <w:rPr>
      <w:rFonts w:asci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2027712">
      <w:bodyDiv w:val="1"/>
      <w:marLeft w:val="0"/>
      <w:marRight w:val="0"/>
      <w:marTop w:val="0"/>
      <w:marBottom w:val="0"/>
      <w:divBdr>
        <w:top w:val="none" w:sz="0" w:space="0" w:color="auto"/>
        <w:left w:val="none" w:sz="0" w:space="0" w:color="auto"/>
        <w:bottom w:val="none" w:sz="0" w:space="0" w:color="auto"/>
        <w:right w:val="none" w:sz="0" w:space="0" w:color="auto"/>
      </w:divBdr>
    </w:div>
    <w:div w:id="1175267174">
      <w:bodyDiv w:val="1"/>
      <w:marLeft w:val="0"/>
      <w:marRight w:val="0"/>
      <w:marTop w:val="0"/>
      <w:marBottom w:val="0"/>
      <w:divBdr>
        <w:top w:val="none" w:sz="0" w:space="0" w:color="auto"/>
        <w:left w:val="none" w:sz="0" w:space="0" w:color="auto"/>
        <w:bottom w:val="none" w:sz="0" w:space="0" w:color="auto"/>
        <w:right w:val="none" w:sz="0" w:space="0" w:color="auto"/>
      </w:divBdr>
    </w:div>
    <w:div w:id="1415514379">
      <w:bodyDiv w:val="1"/>
      <w:marLeft w:val="0"/>
      <w:marRight w:val="0"/>
      <w:marTop w:val="0"/>
      <w:marBottom w:val="0"/>
      <w:divBdr>
        <w:top w:val="none" w:sz="0" w:space="0" w:color="auto"/>
        <w:left w:val="none" w:sz="0" w:space="0" w:color="auto"/>
        <w:bottom w:val="none" w:sz="0" w:space="0" w:color="auto"/>
        <w:right w:val="none" w:sz="0" w:space="0" w:color="auto"/>
      </w:divBdr>
    </w:div>
    <w:div w:id="21079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32534</Words>
  <Characters>185446</Characters>
  <Application>Microsoft Office Word</Application>
  <DocSecurity>0</DocSecurity>
  <Lines>1545</Lines>
  <Paragraphs>435</Paragraphs>
  <ScaleCrop>false</ScaleCrop>
  <Company/>
  <LinksUpToDate>false</LinksUpToDate>
  <CharactersWithSpaces>217545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vg519</dc:creator>
  <cp:keywords/>
  <dc:description/>
  <cp:lastModifiedBy>Liansheng Ma</cp:lastModifiedBy>
  <cp:revision>2</cp:revision>
  <dcterms:created xsi:type="dcterms:W3CDTF">2020-05-29T21:42:00Z</dcterms:created>
  <dcterms:modified xsi:type="dcterms:W3CDTF">2020-05-29T21:42:00Z</dcterms:modified>
</cp:coreProperties>
</file>