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9CC0" w14:textId="2012C95A" w:rsidR="00EA02E8" w:rsidRPr="00EA02E8" w:rsidRDefault="00EA02E8" w:rsidP="0046571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kern w:val="2"/>
          <w:sz w:val="24"/>
          <w:szCs w:val="24"/>
          <w:lang w:val="en-US" w:eastAsia="zh-CN"/>
        </w:rPr>
      </w:pPr>
      <w:bookmarkStart w:id="0" w:name="_Hlk33636598"/>
      <w:r w:rsidRPr="00EA02E8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>Name</w:t>
      </w:r>
      <w:r w:rsidR="00277F7A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>of</w:t>
      </w:r>
      <w:r w:rsidR="00277F7A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>Journal:</w:t>
      </w:r>
      <w:r w:rsidR="00277F7A">
        <w:rPr>
          <w:rFonts w:ascii="Book Antiqua" w:eastAsia="Times New Roman" w:hAnsi="Book Antiqua" w:cs="宋体"/>
          <w:b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World</w:t>
      </w:r>
      <w:r w:rsidR="00277F7A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Journal</w:t>
      </w:r>
      <w:r w:rsidR="00277F7A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Gastroenterology</w:t>
      </w:r>
    </w:p>
    <w:p w14:paraId="196647EC" w14:textId="77777777" w:rsidR="00EA02E8" w:rsidRPr="00EA02E8" w:rsidRDefault="00EA02E8" w:rsidP="0046571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kern w:val="2"/>
          <w:sz w:val="24"/>
          <w:szCs w:val="24"/>
          <w:lang w:val="en-GB" w:eastAsia="zh-CN"/>
        </w:rPr>
      </w:pPr>
      <w:r w:rsidRPr="00EA02E8">
        <w:rPr>
          <w:rFonts w:ascii="Book Antiqua" w:eastAsia="Times New Roman" w:hAnsi="Book Antiqua"/>
          <w:b/>
          <w:bCs/>
          <w:kern w:val="2"/>
          <w:sz w:val="24"/>
          <w:szCs w:val="24"/>
          <w:lang w:val="en-US" w:eastAsia="zh-CN"/>
        </w:rPr>
        <w:t>Manuscript</w:t>
      </w:r>
      <w:r w:rsidR="00277F7A">
        <w:rPr>
          <w:rFonts w:ascii="Book Antiqua" w:eastAsia="Times New Roman" w:hAnsi="Book Antiqua"/>
          <w:b/>
          <w:bCs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Times New Roman" w:hAnsi="Book Antiqua"/>
          <w:b/>
          <w:bCs/>
          <w:kern w:val="2"/>
          <w:sz w:val="24"/>
          <w:szCs w:val="24"/>
          <w:lang w:val="en-US" w:eastAsia="zh-CN"/>
        </w:rPr>
        <w:t>NO</w:t>
      </w:r>
      <w:r w:rsidRPr="00EA02E8">
        <w:rPr>
          <w:rFonts w:ascii="Book Antiqua" w:eastAsia="宋体" w:hAnsi="Book Antiqua" w:cs="Arial"/>
          <w:b/>
          <w:kern w:val="2"/>
          <w:sz w:val="24"/>
          <w:szCs w:val="24"/>
          <w:lang w:val="en" w:eastAsia="zh-CN"/>
        </w:rPr>
        <w:t>:</w:t>
      </w:r>
      <w:r w:rsidR="00277F7A">
        <w:rPr>
          <w:rFonts w:ascii="Book Antiqua" w:eastAsia="宋体" w:hAnsi="Book Antiqua" w:cs="Arial"/>
          <w:b/>
          <w:kern w:val="2"/>
          <w:sz w:val="24"/>
          <w:szCs w:val="24"/>
          <w:lang w:val="en" w:eastAsia="zh-CN"/>
        </w:rPr>
        <w:t xml:space="preserve"> </w:t>
      </w:r>
      <w:r w:rsidRPr="00EA02E8">
        <w:rPr>
          <w:rFonts w:ascii="Book Antiqua" w:eastAsia="宋体" w:hAnsi="Book Antiqua" w:cs="Arial"/>
          <w:bCs/>
          <w:kern w:val="2"/>
          <w:sz w:val="24"/>
          <w:szCs w:val="24"/>
          <w:lang w:val="en" w:eastAsia="zh-CN"/>
        </w:rPr>
        <w:t>53451</w:t>
      </w:r>
    </w:p>
    <w:p w14:paraId="03E1D7DE" w14:textId="77777777" w:rsidR="00EA02E8" w:rsidRPr="00EA02E8" w:rsidRDefault="00EA02E8" w:rsidP="0046571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</w:pPr>
      <w:bookmarkStart w:id="1" w:name="OLE_LINK4"/>
      <w:bookmarkStart w:id="2" w:name="OLE_LINK3"/>
      <w:r w:rsidRPr="00EA02E8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Manuscript</w:t>
      </w:r>
      <w:r w:rsidR="00277F7A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>Type:</w:t>
      </w:r>
      <w:r w:rsidR="00277F7A">
        <w:rPr>
          <w:rFonts w:ascii="Book Antiqua" w:eastAsia="宋体" w:hAnsi="Book Antiqua"/>
          <w:b/>
          <w:kern w:val="2"/>
          <w:sz w:val="24"/>
          <w:szCs w:val="24"/>
          <w:lang w:val="en-US" w:eastAsia="zh-CN"/>
        </w:rPr>
        <w:t xml:space="preserve"> </w:t>
      </w:r>
      <w:bookmarkEnd w:id="1"/>
      <w:bookmarkEnd w:id="2"/>
      <w:r w:rsidRPr="00EA02E8">
        <w:rPr>
          <w:rFonts w:ascii="Book Antiqua" w:hAnsi="Book Antiqua" w:cs="Arial"/>
          <w:kern w:val="2"/>
          <w:sz w:val="24"/>
          <w:szCs w:val="24"/>
          <w:lang w:val="en-US" w:eastAsia="zh-CN"/>
        </w:rPr>
        <w:t>SYSTEMATIC</w:t>
      </w:r>
      <w:r w:rsidR="00277F7A">
        <w:rPr>
          <w:rFonts w:ascii="Book Antiqua" w:hAnsi="Book Antiqua" w:cs="Arial"/>
          <w:kern w:val="2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hAnsi="Book Antiqua" w:cs="Arial"/>
          <w:kern w:val="2"/>
          <w:sz w:val="24"/>
          <w:szCs w:val="24"/>
          <w:lang w:val="en-US" w:eastAsia="zh-CN"/>
        </w:rPr>
        <w:t>REVIEW</w:t>
      </w:r>
    </w:p>
    <w:bookmarkEnd w:id="0"/>
    <w:p w14:paraId="0A231CCB" w14:textId="77777777" w:rsidR="008054D7" w:rsidRPr="00EA02E8" w:rsidRDefault="008054D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14:paraId="0014539E" w14:textId="77777777" w:rsidR="00CD7FA8" w:rsidRPr="00EA02E8" w:rsidRDefault="0091655D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  <w:bookmarkStart w:id="3" w:name="OLE_LINK34"/>
      <w:bookmarkStart w:id="4" w:name="OLE_LINK35"/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EA02E8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celiac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EA02E8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disease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: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EA02E8">
        <w:rPr>
          <w:rFonts w:ascii="Book Antiqua" w:hAnsi="Book Antiqua"/>
          <w:b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assessing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rationale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genotyping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683AAA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first-line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437EF4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screening</w:t>
      </w:r>
    </w:p>
    <w:bookmarkEnd w:id="3"/>
    <w:bookmarkEnd w:id="4"/>
    <w:p w14:paraId="26D88CE5" w14:textId="77777777" w:rsidR="00A7108F" w:rsidRDefault="00A7108F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14:paraId="5CA20562" w14:textId="77777777" w:rsidR="00EA02E8" w:rsidRDefault="00EA02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4"/>
          <w:szCs w:val="24"/>
          <w:lang w:val="en-US" w:eastAsia="zh-CN"/>
        </w:rPr>
      </w:pPr>
      <w:r w:rsidRPr="00EA02E8">
        <w:rPr>
          <w:rFonts w:ascii="Book Antiqua" w:hAnsi="Book Antiqua"/>
          <w:sz w:val="24"/>
          <w:szCs w:val="24"/>
        </w:rPr>
        <w:t>Poddighe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D</w:t>
      </w:r>
      <w:r w:rsidR="00277F7A">
        <w:rPr>
          <w:rFonts w:ascii="Book Antiqua" w:eastAsia="宋体" w:hAnsi="Book Antiqua" w:cs="Calibri"/>
          <w:i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i/>
          <w:sz w:val="24"/>
          <w:szCs w:val="24"/>
          <w:lang w:val="en-US" w:eastAsia="zh-CN"/>
        </w:rPr>
        <w:t>et</w:t>
      </w:r>
      <w:r w:rsidR="00277F7A">
        <w:rPr>
          <w:rFonts w:ascii="Book Antiqua" w:eastAsia="宋体" w:hAnsi="Book Antiqua" w:cs="Calibri"/>
          <w:i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i/>
          <w:sz w:val="24"/>
          <w:szCs w:val="24"/>
          <w:lang w:val="en-US" w:eastAsia="zh-CN"/>
        </w:rPr>
        <w:t>al.</w:t>
      </w:r>
      <w:r w:rsidR="00277F7A">
        <w:rPr>
          <w:rFonts w:ascii="Book Antiqua" w:eastAsia="宋体" w:hAnsi="Book Antiqua" w:cs="Calibri"/>
          <w:sz w:val="24"/>
          <w:szCs w:val="24"/>
          <w:lang w:val="en-US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Epidemiological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importance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of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HLA-DQB1*02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carrier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status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in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CD</w:t>
      </w:r>
      <w:r w:rsidR="00277F7A">
        <w:rPr>
          <w:rFonts w:ascii="Book Antiqua" w:eastAsia="宋体" w:hAnsi="Book Antiqua" w:cs="Calibri"/>
          <w:sz w:val="24"/>
          <w:szCs w:val="24"/>
          <w:lang w:val="en-US" w:eastAsia="zh-CN"/>
        </w:rPr>
        <w:t xml:space="preserve"> </w:t>
      </w:r>
      <w:r w:rsidRPr="00EA02E8">
        <w:rPr>
          <w:rFonts w:ascii="Book Antiqua" w:eastAsia="宋体" w:hAnsi="Book Antiqua" w:cs="Calibri"/>
          <w:sz w:val="24"/>
          <w:szCs w:val="24"/>
          <w:lang w:val="en-US" w:eastAsia="zh-CN"/>
        </w:rPr>
        <w:t>patients</w:t>
      </w:r>
    </w:p>
    <w:p w14:paraId="4EB5600F" w14:textId="77777777" w:rsidR="00EA02E8" w:rsidRPr="00EA02E8" w:rsidRDefault="00EA02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14:paraId="1F330907" w14:textId="77777777" w:rsidR="008054D7" w:rsidRDefault="000B2013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A02E8">
        <w:rPr>
          <w:rFonts w:ascii="Book Antiqua" w:hAnsi="Book Antiqua"/>
          <w:sz w:val="24"/>
          <w:szCs w:val="24"/>
        </w:rPr>
        <w:t>Dimitri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Poddighe,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437EF4" w:rsidRPr="00EA02E8">
        <w:rPr>
          <w:rFonts w:ascii="Book Antiqua" w:hAnsi="Book Antiqua"/>
          <w:sz w:val="24"/>
          <w:szCs w:val="24"/>
        </w:rPr>
        <w:t>Chiara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437EF4" w:rsidRPr="00EA02E8">
        <w:rPr>
          <w:rFonts w:ascii="Book Antiqua" w:hAnsi="Book Antiqua"/>
          <w:sz w:val="24"/>
          <w:szCs w:val="24"/>
        </w:rPr>
        <w:t>Rebuffi,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A51733" w:rsidRPr="00EA02E8">
        <w:rPr>
          <w:rFonts w:ascii="Book Antiqua" w:hAnsi="Book Antiqua"/>
          <w:sz w:val="24"/>
          <w:szCs w:val="24"/>
        </w:rPr>
        <w:t>Annalisa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A51733" w:rsidRPr="00EA02E8">
        <w:rPr>
          <w:rFonts w:ascii="Book Antiqua" w:hAnsi="Book Antiqua"/>
          <w:sz w:val="24"/>
          <w:szCs w:val="24"/>
        </w:rPr>
        <w:t>De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A51733" w:rsidRPr="00EA02E8">
        <w:rPr>
          <w:rFonts w:ascii="Book Antiqua" w:hAnsi="Book Antiqua"/>
          <w:sz w:val="24"/>
          <w:szCs w:val="24"/>
        </w:rPr>
        <w:t>Silvestri</w:t>
      </w:r>
      <w:r w:rsidR="00EA02E8">
        <w:rPr>
          <w:rFonts w:ascii="Book Antiqua" w:hAnsi="Book Antiqua"/>
          <w:sz w:val="24"/>
          <w:szCs w:val="24"/>
        </w:rPr>
        <w:t>,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437EF4" w:rsidRPr="00EA02E8">
        <w:rPr>
          <w:rFonts w:ascii="Book Antiqua" w:hAnsi="Book Antiqua"/>
          <w:sz w:val="24"/>
          <w:szCs w:val="24"/>
        </w:rPr>
        <w:t>Cristina</w:t>
      </w:r>
      <w:r w:rsidR="00277F7A">
        <w:rPr>
          <w:rFonts w:ascii="Book Antiqua" w:hAnsi="Book Antiqua"/>
          <w:sz w:val="24"/>
          <w:szCs w:val="24"/>
        </w:rPr>
        <w:t xml:space="preserve"> </w:t>
      </w:r>
      <w:r w:rsidR="00437EF4" w:rsidRPr="00EA02E8">
        <w:rPr>
          <w:rFonts w:ascii="Book Antiqua" w:hAnsi="Book Antiqua"/>
          <w:sz w:val="24"/>
          <w:szCs w:val="24"/>
        </w:rPr>
        <w:t>Capittini</w:t>
      </w:r>
    </w:p>
    <w:p w14:paraId="03EE0266" w14:textId="77777777" w:rsidR="00EA02E8" w:rsidRPr="00EA02E8" w:rsidRDefault="00EA02E8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DEC703" w14:textId="42069EF4" w:rsidR="00C60354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  <w:color w:val="000000"/>
          <w:lang w:val="en-US"/>
        </w:rPr>
      </w:pPr>
      <w:r w:rsidRPr="00EA02E8">
        <w:rPr>
          <w:rFonts w:ascii="Book Antiqua" w:hAnsi="Book Antiqua"/>
          <w:b/>
          <w:bCs/>
        </w:rPr>
        <w:t>Dimitri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Poddighe,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bookmarkStart w:id="5" w:name="_Hlk34685316"/>
      <w:r w:rsidR="00C60354" w:rsidRPr="00EA02E8">
        <w:rPr>
          <w:rFonts w:ascii="Book Antiqua" w:hAnsi="Book Antiqua"/>
          <w:bCs/>
          <w:color w:val="000000"/>
          <w:lang w:val="en-US"/>
        </w:rPr>
        <w:t>Department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C60354" w:rsidRPr="00EA02E8">
        <w:rPr>
          <w:rFonts w:ascii="Book Antiqua" w:hAnsi="Book Antiqua"/>
          <w:bCs/>
          <w:color w:val="000000"/>
          <w:lang w:val="en-US"/>
        </w:rPr>
        <w:t>of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C60354" w:rsidRPr="00EA02E8">
        <w:rPr>
          <w:rFonts w:ascii="Book Antiqua" w:hAnsi="Book Antiqua"/>
          <w:bCs/>
          <w:color w:val="000000"/>
          <w:lang w:val="en-US"/>
        </w:rPr>
        <w:t>Medicine,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277F7A" w:rsidRPr="00EA02E8">
        <w:rPr>
          <w:rFonts w:ascii="Book Antiqua" w:hAnsi="Book Antiqua"/>
          <w:bCs/>
          <w:color w:val="000000"/>
          <w:lang w:val="en-US"/>
        </w:rPr>
        <w:t>School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277F7A" w:rsidRPr="00EA02E8">
        <w:rPr>
          <w:rFonts w:ascii="Book Antiqua" w:hAnsi="Book Antiqua"/>
          <w:bCs/>
          <w:color w:val="000000"/>
          <w:lang w:val="en-US"/>
        </w:rPr>
        <w:t>of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277F7A" w:rsidRPr="00EA02E8">
        <w:rPr>
          <w:rFonts w:ascii="Book Antiqua" w:hAnsi="Book Antiqua"/>
          <w:bCs/>
          <w:color w:val="000000"/>
          <w:lang w:val="en-US"/>
        </w:rPr>
        <w:t>Medicine</w:t>
      </w:r>
      <w:r w:rsidR="00277F7A">
        <w:rPr>
          <w:rFonts w:ascii="Book Antiqua" w:hAnsi="Book Antiqua"/>
          <w:bCs/>
          <w:color w:val="000000"/>
          <w:lang w:val="en-US"/>
        </w:rPr>
        <w:t xml:space="preserve">, </w:t>
      </w:r>
      <w:r w:rsidR="00C60354" w:rsidRPr="00EA02E8">
        <w:rPr>
          <w:rFonts w:ascii="Book Antiqua" w:hAnsi="Book Antiqua"/>
          <w:bCs/>
          <w:color w:val="000000"/>
          <w:lang w:val="en-US"/>
        </w:rPr>
        <w:t>Nazarbayev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C60354" w:rsidRPr="00EA02E8">
        <w:rPr>
          <w:rFonts w:ascii="Book Antiqua" w:hAnsi="Book Antiqua"/>
          <w:bCs/>
          <w:color w:val="000000"/>
          <w:lang w:val="en-US"/>
        </w:rPr>
        <w:t>University,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FB40D6">
        <w:rPr>
          <w:rFonts w:ascii="Book Antiqua" w:hAnsi="Book Antiqua"/>
          <w:bCs/>
          <w:color w:val="000000"/>
          <w:lang w:val="en-US"/>
        </w:rPr>
        <w:t>Nur-Sultan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010000,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Kazakhstan</w:t>
      </w:r>
      <w:bookmarkEnd w:id="5"/>
    </w:p>
    <w:p w14:paraId="6985B4A0" w14:textId="77777777" w:rsidR="00EA02E8" w:rsidRPr="00EA02E8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</w:p>
    <w:p w14:paraId="496F459A" w14:textId="31205092" w:rsidR="0091655D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bCs/>
          <w:color w:val="000000"/>
          <w:lang w:val="en-US"/>
        </w:rPr>
      </w:pPr>
      <w:bookmarkStart w:id="6" w:name="_Hlk34685798"/>
      <w:r w:rsidRPr="00EA02E8">
        <w:rPr>
          <w:rFonts w:ascii="Book Antiqua" w:hAnsi="Book Antiqua"/>
          <w:b/>
          <w:bCs/>
        </w:rPr>
        <w:t>Chiara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Rebuffi</w:t>
      </w:r>
      <w:bookmarkEnd w:id="6"/>
      <w:r w:rsidRPr="00EA02E8">
        <w:rPr>
          <w:rFonts w:ascii="Book Antiqua" w:hAnsi="Book Antiqua"/>
          <w:b/>
          <w:bCs/>
        </w:rPr>
        <w:t>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Grant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Office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and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Scientific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Documentation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Center,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proofErr w:type="spellStart"/>
      <w:r w:rsidR="0091655D" w:rsidRPr="00EA02E8">
        <w:rPr>
          <w:rFonts w:ascii="Book Antiqua" w:hAnsi="Book Antiqua"/>
          <w:bCs/>
          <w:color w:val="000000"/>
          <w:lang w:val="en-US"/>
        </w:rPr>
        <w:t>Fondazione</w:t>
      </w:r>
      <w:proofErr w:type="spellEnd"/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IRCCS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proofErr w:type="spellStart"/>
      <w:r w:rsidR="0091655D" w:rsidRPr="00EA02E8">
        <w:rPr>
          <w:rFonts w:ascii="Book Antiqua" w:hAnsi="Book Antiqua"/>
          <w:bCs/>
          <w:color w:val="000000"/>
          <w:lang w:val="en-US"/>
        </w:rPr>
        <w:t>Policlinico</w:t>
      </w:r>
      <w:proofErr w:type="spellEnd"/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="0091655D" w:rsidRPr="00EA02E8">
        <w:rPr>
          <w:rFonts w:ascii="Book Antiqua" w:hAnsi="Book Antiqua"/>
          <w:bCs/>
          <w:color w:val="000000"/>
          <w:lang w:val="en-US"/>
        </w:rPr>
        <w:t>San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proofErr w:type="spellStart"/>
      <w:r w:rsidR="0091655D" w:rsidRPr="00EA02E8">
        <w:rPr>
          <w:rFonts w:ascii="Book Antiqua" w:hAnsi="Book Antiqua"/>
          <w:bCs/>
          <w:color w:val="000000"/>
          <w:lang w:val="en-US"/>
        </w:rPr>
        <w:t>Matteo</w:t>
      </w:r>
      <w:proofErr w:type="spellEnd"/>
      <w:r w:rsidR="0091655D" w:rsidRPr="00EA02E8">
        <w:rPr>
          <w:rFonts w:ascii="Book Antiqua" w:hAnsi="Book Antiqua"/>
          <w:bCs/>
          <w:color w:val="000000"/>
          <w:lang w:val="en-US"/>
        </w:rPr>
        <w:t>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Pavia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27100,</w:t>
      </w:r>
      <w:r w:rsidR="00277F7A">
        <w:rPr>
          <w:rFonts w:ascii="Book Antiqua" w:hAnsi="Book Antiqua"/>
          <w:bCs/>
          <w:color w:val="000000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lang w:val="en-US"/>
        </w:rPr>
        <w:t>Italy</w:t>
      </w:r>
    </w:p>
    <w:p w14:paraId="4CCDF8DD" w14:textId="77777777" w:rsidR="00EA02E8" w:rsidRPr="00EA02E8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</w:p>
    <w:p w14:paraId="14D120E9" w14:textId="0CD9B19C" w:rsidR="00A51733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  <w:bookmarkStart w:id="7" w:name="_Hlk34685825"/>
      <w:r w:rsidRPr="00EA02E8">
        <w:rPr>
          <w:rFonts w:ascii="Book Antiqua" w:hAnsi="Book Antiqua"/>
          <w:b/>
          <w:bCs/>
        </w:rPr>
        <w:t>Annalisa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De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Silvestri</w:t>
      </w:r>
      <w:bookmarkEnd w:id="7"/>
      <w:r w:rsidRPr="00EA02E8">
        <w:rPr>
          <w:rFonts w:ascii="Book Antiqua" w:hAnsi="Book Antiqua"/>
          <w:b/>
          <w:bCs/>
        </w:rPr>
        <w:t>,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Cristina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Capittini,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Scientific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Direction,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Clinical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Epidemiology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and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Biometric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0661A4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Unit,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proofErr w:type="spellStart"/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Fondazione</w:t>
      </w:r>
      <w:proofErr w:type="spellEnd"/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IRCCS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proofErr w:type="spellStart"/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Policlinico</w:t>
      </w:r>
      <w:proofErr w:type="spellEnd"/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San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proofErr w:type="spellStart"/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Matteo</w:t>
      </w:r>
      <w:proofErr w:type="spellEnd"/>
      <w:r w:rsidR="00333DF9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Pavia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27100,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Italy</w:t>
      </w:r>
    </w:p>
    <w:p w14:paraId="35E85054" w14:textId="77777777" w:rsidR="00EA02E8" w:rsidRPr="00EA02E8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</w:p>
    <w:p w14:paraId="2C5E7D82" w14:textId="167F6A5E" w:rsidR="0091655D" w:rsidRPr="00EA02E8" w:rsidRDefault="00EA02E8" w:rsidP="00465713">
      <w:pPr>
        <w:pStyle w:val="a3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="Times New Roman"/>
          <w:bCs/>
          <w:color w:val="000000"/>
          <w:lang w:val="en-US" w:eastAsia="en-US"/>
        </w:rPr>
      </w:pPr>
      <w:bookmarkStart w:id="8" w:name="_Hlk34685769"/>
      <w:r w:rsidRPr="00EA02E8">
        <w:rPr>
          <w:rFonts w:ascii="Book Antiqua" w:hAnsi="Book Antiqua"/>
          <w:b/>
          <w:bCs/>
        </w:rPr>
        <w:t>Cristina</w:t>
      </w:r>
      <w:r w:rsidR="00277F7A">
        <w:rPr>
          <w:rFonts w:ascii="Book Antiqua" w:hAnsi="Book Antiqua"/>
          <w:b/>
          <w:bCs/>
        </w:rPr>
        <w:t xml:space="preserve"> </w:t>
      </w:r>
      <w:r w:rsidRPr="00EA02E8">
        <w:rPr>
          <w:rFonts w:ascii="Book Antiqua" w:hAnsi="Book Antiqua"/>
          <w:b/>
          <w:bCs/>
        </w:rPr>
        <w:t>Capittini</w:t>
      </w:r>
      <w:bookmarkEnd w:id="8"/>
      <w:r w:rsidRPr="00EA02E8">
        <w:rPr>
          <w:rFonts w:ascii="Book Antiqua" w:hAnsi="Book Antiqua"/>
          <w:b/>
          <w:bCs/>
        </w:rPr>
        <w:t>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Department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of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Biology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and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Biotechnology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"Lazzaro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Spallanzani",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University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91655D"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of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Pavia</w:t>
      </w:r>
      <w:r w:rsidR="00B614B6">
        <w:rPr>
          <w:rFonts w:ascii="Book Antiqua" w:eastAsia="Calibri" w:hAnsi="Book Antiqua" w:cs="Times New Roman"/>
          <w:bCs/>
          <w:color w:val="000000"/>
          <w:lang w:val="en-US" w:eastAsia="en-US"/>
        </w:rPr>
        <w:t>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="00B614B6" w:rsidRPr="00EA02E8">
        <w:rPr>
          <w:rFonts w:ascii="Book Antiqua" w:hAnsi="Book Antiqua"/>
          <w:bCs/>
          <w:color w:val="000000"/>
          <w:lang w:val="en-US"/>
        </w:rPr>
        <w:t>Pavia</w:t>
      </w:r>
      <w:r w:rsidR="00B614B6">
        <w:rPr>
          <w:rFonts w:ascii="Book Antiqua" w:hAnsi="Book Antiqua"/>
          <w:bCs/>
          <w:color w:val="000000"/>
          <w:lang w:val="en-US"/>
        </w:rPr>
        <w:t xml:space="preserve"> </w:t>
      </w:r>
      <w:r w:rsidR="00B614B6" w:rsidRPr="00EA02E8">
        <w:rPr>
          <w:rFonts w:ascii="Book Antiqua" w:hAnsi="Book Antiqua"/>
          <w:bCs/>
          <w:color w:val="000000"/>
          <w:lang w:val="en-US"/>
        </w:rPr>
        <w:t>27100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,</w:t>
      </w:r>
      <w:r w:rsidR="00277F7A">
        <w:rPr>
          <w:rFonts w:ascii="Book Antiqua" w:eastAsia="Calibri" w:hAnsi="Book Antiqua" w:cs="Times New Roman"/>
          <w:bCs/>
          <w:color w:val="000000"/>
          <w:lang w:val="en-US" w:eastAsia="en-US"/>
        </w:rPr>
        <w:t xml:space="preserve"> </w:t>
      </w:r>
      <w:r w:rsidRPr="00EA02E8">
        <w:rPr>
          <w:rFonts w:ascii="Book Antiqua" w:eastAsia="Calibri" w:hAnsi="Book Antiqua" w:cs="Times New Roman"/>
          <w:bCs/>
          <w:color w:val="000000"/>
          <w:lang w:val="en-US" w:eastAsia="en-US"/>
        </w:rPr>
        <w:t>Italy</w:t>
      </w:r>
    </w:p>
    <w:p w14:paraId="4001B9A5" w14:textId="77777777" w:rsidR="00333DF9" w:rsidRPr="00EA02E8" w:rsidRDefault="00333DF9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1D3BCB7B" w14:textId="77777777" w:rsidR="00277F7A" w:rsidRPr="00EA02E8" w:rsidRDefault="00EA02E8" w:rsidP="00465713">
      <w:pPr>
        <w:pStyle w:val="EndNoteBibliography"/>
        <w:adjustRightInd w:val="0"/>
        <w:snapToGrid w:val="0"/>
        <w:spacing w:after="0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EA02E8">
        <w:rPr>
          <w:rFonts w:ascii="Book Antiqua" w:eastAsia="宋体" w:hAnsi="Book Antiqua"/>
          <w:b/>
          <w:sz w:val="24"/>
          <w:szCs w:val="24"/>
          <w:lang w:val="en-GB"/>
        </w:rPr>
        <w:t>Author</w:t>
      </w:r>
      <w:r w:rsidR="00277F7A">
        <w:rPr>
          <w:rFonts w:ascii="Book Antiqua" w:eastAsia="宋体" w:hAnsi="Book Antiqua"/>
          <w:b/>
          <w:sz w:val="24"/>
          <w:szCs w:val="24"/>
          <w:lang w:val="en-GB"/>
        </w:rPr>
        <w:t xml:space="preserve"> </w:t>
      </w:r>
      <w:r w:rsidRPr="00EA02E8">
        <w:rPr>
          <w:rFonts w:ascii="Book Antiqua" w:eastAsia="宋体" w:hAnsi="Book Antiqua"/>
          <w:b/>
          <w:sz w:val="24"/>
          <w:szCs w:val="24"/>
          <w:lang w:val="en-GB"/>
        </w:rPr>
        <w:t>contributions:</w:t>
      </w:r>
      <w:r w:rsidR="00277F7A">
        <w:rPr>
          <w:rFonts w:ascii="Book Antiqua" w:eastAsia="宋体" w:hAnsi="Book Antiqua"/>
          <w:b/>
          <w:sz w:val="24"/>
          <w:szCs w:val="24"/>
          <w:lang w:val="en-GB" w:eastAsia="zh-CN"/>
        </w:rPr>
        <w:t xml:space="preserve"> </w:t>
      </w:r>
      <w:proofErr w:type="spellStart"/>
      <w:r w:rsidR="00277F7A" w:rsidRPr="00EA02E8">
        <w:rPr>
          <w:rFonts w:ascii="Book Antiqua" w:hAnsi="Book Antiqua"/>
          <w:sz w:val="24"/>
          <w:szCs w:val="24"/>
        </w:rPr>
        <w:t>Poddighe</w:t>
      </w:r>
      <w:proofErr w:type="spellEnd"/>
      <w:r w:rsidR="00277F7A">
        <w:rPr>
          <w:rFonts w:ascii="Book Antiqua" w:hAnsi="Book Antiqua"/>
          <w:sz w:val="24"/>
          <w:szCs w:val="24"/>
        </w:rPr>
        <w:t xml:space="preserve"> </w:t>
      </w:r>
      <w:r w:rsidR="00277F7A" w:rsidRPr="00EA02E8">
        <w:rPr>
          <w:rFonts w:ascii="Book Antiqua" w:hAnsi="Book Antiqua"/>
          <w:sz w:val="24"/>
          <w:szCs w:val="24"/>
        </w:rPr>
        <w:t>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conceived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this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manuscript;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277F7A" w:rsidRPr="00EA02E8">
        <w:rPr>
          <w:rFonts w:ascii="Book Antiqua" w:hAnsi="Book Antiqua"/>
          <w:sz w:val="24"/>
          <w:szCs w:val="24"/>
        </w:rPr>
        <w:t>Poddighe</w:t>
      </w:r>
      <w:proofErr w:type="spellEnd"/>
      <w:r w:rsidR="00277F7A">
        <w:rPr>
          <w:rFonts w:ascii="Book Antiqua" w:hAnsi="Book Antiqua"/>
          <w:sz w:val="24"/>
          <w:szCs w:val="24"/>
        </w:rPr>
        <w:t xml:space="preserve"> </w:t>
      </w:r>
      <w:r w:rsidR="00277F7A" w:rsidRPr="00EA02E8">
        <w:rPr>
          <w:rFonts w:ascii="Book Antiqua" w:hAnsi="Book Antiqua"/>
          <w:sz w:val="24"/>
          <w:szCs w:val="24"/>
        </w:rPr>
        <w:t>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Capittini</w:t>
      </w:r>
      <w:proofErr w:type="spellEnd"/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C</w:t>
      </w:r>
      <w:r w:rsidR="004E53B4" w:rsidRPr="00EA02E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wrote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this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manuscript;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Rebuffi</w:t>
      </w:r>
      <w:proofErr w:type="spellEnd"/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 xml:space="preserve"> C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,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277F7A" w:rsidRPr="00EA02E8">
        <w:rPr>
          <w:rFonts w:ascii="Book Antiqua" w:hAnsi="Book Antiqua"/>
          <w:sz w:val="24"/>
          <w:szCs w:val="24"/>
        </w:rPr>
        <w:t>Poddighe</w:t>
      </w:r>
      <w:proofErr w:type="spellEnd"/>
      <w:r w:rsidR="00277F7A">
        <w:rPr>
          <w:rFonts w:ascii="Book Antiqua" w:hAnsi="Book Antiqua"/>
          <w:sz w:val="24"/>
          <w:szCs w:val="24"/>
        </w:rPr>
        <w:t xml:space="preserve"> </w:t>
      </w:r>
      <w:r w:rsidR="00277F7A" w:rsidRPr="00EA02E8">
        <w:rPr>
          <w:rFonts w:ascii="Book Antiqua" w:hAnsi="Book Antiqua"/>
          <w:sz w:val="24"/>
          <w:szCs w:val="24"/>
        </w:rPr>
        <w:t>D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,</w:t>
      </w:r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proofErr w:type="spellStart"/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Capittini</w:t>
      </w:r>
      <w:proofErr w:type="spellEnd"/>
      <w:r w:rsidR="004E53B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>C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4E53B4" w:rsidRPr="004E53B4">
        <w:rPr>
          <w:rFonts w:ascii="Book Antiqua" w:hAnsi="Book Antiqua" w:cs="Times New Roman"/>
          <w:bCs/>
          <w:color w:val="000000"/>
          <w:sz w:val="24"/>
          <w:szCs w:val="24"/>
        </w:rPr>
        <w:t xml:space="preserve">De Silvestri A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all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contributed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performed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the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systematic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search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and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literature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277F7A" w:rsidRPr="00EA02E8">
        <w:rPr>
          <w:rFonts w:ascii="Book Antiqua" w:hAnsi="Book Antiqua" w:cs="Times New Roman"/>
          <w:bCs/>
          <w:color w:val="000000"/>
          <w:sz w:val="24"/>
          <w:szCs w:val="24"/>
        </w:rPr>
        <w:t>analysis.</w:t>
      </w:r>
      <w:r w:rsidR="00277F7A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</w:p>
    <w:p w14:paraId="19F9EDAD" w14:textId="77777777" w:rsidR="00EA02E8" w:rsidRDefault="00EA02E8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70C7AECE" w14:textId="799D954B" w:rsidR="00F70E50" w:rsidRDefault="00651BFC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</w:rPr>
      </w:pPr>
      <w:bookmarkStart w:id="9" w:name="_Hlk35119291"/>
      <w:r w:rsidRPr="00651BFC">
        <w:rPr>
          <w:rFonts w:ascii="Book Antiqua" w:eastAsia="宋体" w:hAnsi="Book Antiqua" w:cs="Calibri"/>
          <w:b/>
          <w:sz w:val="24"/>
          <w:szCs w:val="24"/>
          <w:lang w:val="el-GR"/>
        </w:rPr>
        <w:t>Supported by</w:t>
      </w:r>
      <w:r w:rsidRPr="00651BFC">
        <w:rPr>
          <w:rFonts w:ascii="Book Antiqua" w:eastAsia="宋体" w:hAnsi="Book Antiqua" w:cs="Calibri"/>
          <w:sz w:val="24"/>
          <w:szCs w:val="24"/>
          <w:lang w:val="el-GR"/>
        </w:rPr>
        <w:t xml:space="preserve"> </w:t>
      </w:r>
      <w:bookmarkEnd w:id="9"/>
      <w:r w:rsidR="00F70E50">
        <w:rPr>
          <w:rFonts w:ascii="Book Antiqua" w:hAnsi="Book Antiqua"/>
          <w:bCs/>
          <w:color w:val="000000"/>
          <w:sz w:val="24"/>
          <w:szCs w:val="24"/>
        </w:rPr>
        <w:t xml:space="preserve">the </w:t>
      </w:r>
      <w:r w:rsidR="0058570B">
        <w:rPr>
          <w:rFonts w:ascii="Book Antiqua" w:hAnsi="Book Antiqua"/>
          <w:bCs/>
          <w:color w:val="000000"/>
          <w:sz w:val="24"/>
          <w:szCs w:val="24"/>
        </w:rPr>
        <w:t xml:space="preserve">Nazarbayev University </w:t>
      </w:r>
      <w:r w:rsidR="00F70E50" w:rsidRPr="00F70E50">
        <w:rPr>
          <w:rFonts w:ascii="Book Antiqua" w:hAnsi="Book Antiqua"/>
          <w:bCs/>
          <w:color w:val="000000"/>
          <w:sz w:val="24"/>
          <w:szCs w:val="24"/>
        </w:rPr>
        <w:t>Faculty Development Competitive Research Grant 2020-2022</w:t>
      </w:r>
      <w:r>
        <w:rPr>
          <w:rFonts w:ascii="Book Antiqua" w:hAnsi="Book Antiqua"/>
          <w:bCs/>
          <w:color w:val="000000"/>
          <w:sz w:val="24"/>
          <w:szCs w:val="24"/>
        </w:rPr>
        <w:t>, No.</w:t>
      </w:r>
      <w:r w:rsidR="0058570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672D92" w:rsidRPr="00672D92">
        <w:rPr>
          <w:rFonts w:ascii="Book Antiqua" w:hAnsi="Book Antiqua"/>
          <w:bCs/>
          <w:color w:val="000000"/>
          <w:sz w:val="24"/>
          <w:szCs w:val="24"/>
        </w:rPr>
        <w:t>240919FD3912</w:t>
      </w:r>
      <w:r w:rsidR="00F70E50">
        <w:rPr>
          <w:rFonts w:ascii="Book Antiqua" w:hAnsi="Book Antiqua"/>
          <w:bCs/>
          <w:color w:val="000000"/>
          <w:sz w:val="24"/>
          <w:szCs w:val="24"/>
        </w:rPr>
        <w:t>.</w:t>
      </w:r>
    </w:p>
    <w:p w14:paraId="2D755C47" w14:textId="77777777" w:rsidR="00B614B6" w:rsidRDefault="00B614B6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3789FB44" w14:textId="4B712ED6" w:rsidR="00A51733" w:rsidRPr="00EA02E8" w:rsidRDefault="00EA02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bookmarkStart w:id="10" w:name="_Hlk28872359"/>
      <w:r w:rsidRPr="00FB4EA3">
        <w:rPr>
          <w:rFonts w:ascii="Book Antiqua" w:eastAsia="宋体" w:hAnsi="Book Antiqua" w:cs="Calibri"/>
          <w:b/>
          <w:sz w:val="24"/>
          <w:szCs w:val="24"/>
          <w:lang w:val="hu-HU"/>
        </w:rPr>
        <w:lastRenderedPageBreak/>
        <w:t>Corresponding</w:t>
      </w:r>
      <w:r w:rsidR="00277F7A">
        <w:rPr>
          <w:rFonts w:ascii="Book Antiqua" w:eastAsia="宋体" w:hAnsi="Book Antiqua" w:cs="Calibri"/>
          <w:b/>
          <w:sz w:val="24"/>
          <w:szCs w:val="24"/>
          <w:lang w:val="hu-HU"/>
        </w:rPr>
        <w:t xml:space="preserve"> </w:t>
      </w:r>
      <w:r w:rsidRPr="00FB4EA3">
        <w:rPr>
          <w:rFonts w:ascii="Book Antiqua" w:eastAsia="宋体" w:hAnsi="Book Antiqua" w:cs="Calibri"/>
          <w:b/>
          <w:sz w:val="24"/>
          <w:szCs w:val="24"/>
          <w:lang w:val="hu-HU"/>
        </w:rPr>
        <w:t>author:</w:t>
      </w:r>
      <w:bookmarkEnd w:id="10"/>
      <w:r w:rsidR="00277F7A">
        <w:rPr>
          <w:rFonts w:ascii="Book Antiqua" w:eastAsia="宋体" w:hAnsi="Book Antiqua" w:cs="Calibri"/>
          <w:b/>
          <w:sz w:val="24"/>
          <w:szCs w:val="24"/>
          <w:lang w:val="hu-HU"/>
        </w:rPr>
        <w:t xml:space="preserve"> </w:t>
      </w:r>
      <w:proofErr w:type="spellStart"/>
      <w:r w:rsidR="00A5173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Dimitri</w:t>
      </w:r>
      <w:proofErr w:type="spellEnd"/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A5173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Poddighe</w:t>
      </w:r>
      <w:proofErr w:type="spellEnd"/>
      <w:r w:rsidR="00A5173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A51733"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MD,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MSc,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Assistant</w:t>
      </w:r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Professor,</w:t>
      </w:r>
      <w:r w:rsidR="00B614B6" w:rsidRPr="00B614B6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B614B6">
        <w:rPr>
          <w:rFonts w:ascii="Book Antiqua" w:hAnsi="Book Antiqua"/>
          <w:b/>
          <w:color w:val="000000"/>
          <w:sz w:val="24"/>
          <w:szCs w:val="24"/>
          <w:lang w:val="en-US"/>
        </w:rPr>
        <w:t>Medical Specialist in Pediatrics,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Department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Medicine,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School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Medicine,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Nazarbayev</w:t>
      </w:r>
      <w:proofErr w:type="spellEnd"/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University,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77F7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Kerei-Zhanibek</w:t>
      </w:r>
      <w:proofErr w:type="spellEnd"/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eet </w:t>
      </w:r>
      <w:r w:rsidR="00277F7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5/1,</w:t>
      </w:r>
      <w:r w:rsidR="00180FC8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80FC8">
        <w:rPr>
          <w:rFonts w:ascii="Book Antiqua" w:hAnsi="Book Antiqua"/>
          <w:bCs/>
          <w:color w:val="000000"/>
          <w:sz w:val="24"/>
          <w:szCs w:val="24"/>
          <w:lang w:val="en-US"/>
        </w:rPr>
        <w:t>Nur</w:t>
      </w:r>
      <w:proofErr w:type="spellEnd"/>
      <w:r w:rsidR="00180FC8">
        <w:rPr>
          <w:rFonts w:ascii="Book Antiqua" w:hAnsi="Book Antiqua"/>
          <w:bCs/>
          <w:color w:val="000000"/>
          <w:sz w:val="24"/>
          <w:szCs w:val="24"/>
          <w:lang w:val="en-US"/>
        </w:rPr>
        <w:t>-Sultan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010000,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277F7A" w:rsidRPr="00277F7A">
        <w:rPr>
          <w:rFonts w:ascii="Book Antiqua" w:hAnsi="Book Antiqua"/>
          <w:bCs/>
          <w:color w:val="000000"/>
          <w:sz w:val="24"/>
          <w:szCs w:val="24"/>
          <w:lang w:val="en-US"/>
        </w:rPr>
        <w:t>Kazakhstan</w:t>
      </w:r>
      <w:r w:rsidR="00A5173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A5173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dimitri.poddighe@nu.edu.kz</w:t>
      </w:r>
    </w:p>
    <w:p w14:paraId="43791EDE" w14:textId="77777777" w:rsidR="008054D7" w:rsidRDefault="008054D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en-US"/>
        </w:rPr>
      </w:pPr>
    </w:p>
    <w:p w14:paraId="18A20936" w14:textId="77777777" w:rsidR="004E53B4" w:rsidRPr="004E53B4" w:rsidRDefault="004E53B4" w:rsidP="0046571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bookmarkStart w:id="11" w:name="_Hlk28872415"/>
      <w:r w:rsidRPr="004E53B4">
        <w:rPr>
          <w:rFonts w:ascii="Book Antiqua" w:eastAsia="宋体" w:hAnsi="Book Antiqua"/>
          <w:b/>
          <w:sz w:val="24"/>
          <w:szCs w:val="24"/>
          <w:lang w:val="en-GB"/>
        </w:rPr>
        <w:t>Received:</w:t>
      </w:r>
      <w:r w:rsidRPr="004E53B4">
        <w:rPr>
          <w:rFonts w:ascii="Book Antiqua" w:eastAsia="宋体" w:hAnsi="Book Antiqua" w:hint="eastAsia"/>
          <w:b/>
          <w:sz w:val="24"/>
          <w:szCs w:val="24"/>
          <w:lang w:val="en-GB" w:eastAsia="zh-CN"/>
        </w:rPr>
        <w:t xml:space="preserve"> </w:t>
      </w:r>
      <w:r>
        <w:rPr>
          <w:rFonts w:ascii="Book Antiqua" w:eastAsia="宋体" w:hAnsi="Book Antiqua"/>
          <w:sz w:val="24"/>
          <w:szCs w:val="24"/>
          <w:lang w:val="en-GB" w:eastAsia="zh-CN"/>
        </w:rPr>
        <w:t>December</w:t>
      </w:r>
      <w:r w:rsidRPr="004E53B4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</w:t>
      </w:r>
      <w:r>
        <w:rPr>
          <w:rFonts w:ascii="Book Antiqua" w:hAnsi="Book Antiqua"/>
          <w:kern w:val="2"/>
          <w:sz w:val="24"/>
          <w:szCs w:val="24"/>
          <w:lang w:val="en-GB" w:eastAsia="zh-CN"/>
        </w:rPr>
        <w:t>19</w:t>
      </w:r>
      <w:r w:rsidRPr="004E53B4">
        <w:rPr>
          <w:rFonts w:ascii="Book Antiqua" w:eastAsia="宋体" w:hAnsi="Book Antiqua"/>
          <w:sz w:val="24"/>
          <w:szCs w:val="24"/>
          <w:lang w:val="en-GB" w:eastAsia="zh-CN"/>
        </w:rPr>
        <w:t>, 201</w:t>
      </w:r>
      <w:r w:rsidRPr="004E53B4">
        <w:rPr>
          <w:rFonts w:ascii="Book Antiqua" w:eastAsia="宋体" w:hAnsi="Book Antiqua" w:hint="eastAsia"/>
          <w:sz w:val="24"/>
          <w:szCs w:val="24"/>
          <w:lang w:val="en-GB" w:eastAsia="zh-CN"/>
        </w:rPr>
        <w:t>9</w:t>
      </w:r>
    </w:p>
    <w:p w14:paraId="1B4818F0" w14:textId="22B81830" w:rsidR="004E53B4" w:rsidRPr="004E53B4" w:rsidRDefault="004E53B4" w:rsidP="0046571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r w:rsidRPr="004E53B4">
        <w:rPr>
          <w:rFonts w:ascii="Book Antiqua" w:eastAsia="宋体" w:hAnsi="Book Antiqua"/>
          <w:b/>
          <w:sz w:val="24"/>
          <w:szCs w:val="24"/>
          <w:lang w:val="en-GB"/>
        </w:rPr>
        <w:t>Revised:</w:t>
      </w:r>
      <w:r w:rsidRPr="004E53B4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</w:t>
      </w:r>
      <w:r w:rsidR="00BD451F">
        <w:rPr>
          <w:rFonts w:ascii="Book Antiqua" w:eastAsia="宋体" w:hAnsi="Book Antiqua"/>
          <w:sz w:val="24"/>
          <w:szCs w:val="24"/>
          <w:lang w:val="en-GB" w:eastAsia="zh-CN"/>
        </w:rPr>
        <w:t>March</w:t>
      </w:r>
      <w:r w:rsidRPr="004E53B4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</w:t>
      </w:r>
      <w:r>
        <w:rPr>
          <w:rFonts w:ascii="Book Antiqua" w:hAnsi="Book Antiqua"/>
          <w:kern w:val="2"/>
          <w:sz w:val="24"/>
          <w:szCs w:val="24"/>
          <w:lang w:val="en-GB" w:eastAsia="zh-CN"/>
        </w:rPr>
        <w:t>1</w:t>
      </w:r>
      <w:r w:rsidR="00BD451F">
        <w:rPr>
          <w:rFonts w:ascii="Book Antiqua" w:hAnsi="Book Antiqua"/>
          <w:kern w:val="2"/>
          <w:sz w:val="24"/>
          <w:szCs w:val="24"/>
          <w:lang w:val="en-GB" w:eastAsia="zh-CN"/>
        </w:rPr>
        <w:t>0</w:t>
      </w:r>
      <w:r w:rsidRPr="004E53B4">
        <w:rPr>
          <w:rFonts w:ascii="Book Antiqua" w:eastAsia="宋体" w:hAnsi="Book Antiqua"/>
          <w:sz w:val="24"/>
          <w:szCs w:val="24"/>
          <w:lang w:val="en-GB" w:eastAsia="zh-CN"/>
        </w:rPr>
        <w:t>, 2020</w:t>
      </w:r>
    </w:p>
    <w:p w14:paraId="37F16B22" w14:textId="4343C2B3" w:rsidR="004E53B4" w:rsidRPr="004E53B4" w:rsidRDefault="004E53B4" w:rsidP="0046571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r w:rsidRPr="004E53B4">
        <w:rPr>
          <w:rFonts w:ascii="Book Antiqua" w:eastAsia="宋体" w:hAnsi="Book Antiqua"/>
          <w:b/>
          <w:sz w:val="24"/>
          <w:szCs w:val="24"/>
          <w:lang w:val="en-GB"/>
        </w:rPr>
        <w:t>Accepted:</w:t>
      </w:r>
      <w:r w:rsidR="00E13CE3" w:rsidRPr="00E13CE3">
        <w:t xml:space="preserve"> </w:t>
      </w:r>
      <w:r w:rsidR="00E13CE3" w:rsidRPr="00E13CE3">
        <w:rPr>
          <w:rFonts w:ascii="Book Antiqua" w:eastAsia="宋体" w:hAnsi="Book Antiqua"/>
          <w:bCs/>
          <w:sz w:val="24"/>
          <w:szCs w:val="24"/>
          <w:lang w:val="en-GB"/>
        </w:rPr>
        <w:t xml:space="preserve">March 22, 2020 </w:t>
      </w:r>
      <w:r w:rsidRPr="004E53B4">
        <w:rPr>
          <w:rFonts w:eastAsia="宋体"/>
          <w:sz w:val="24"/>
          <w:szCs w:val="24"/>
          <w:lang w:val="el-GR"/>
        </w:rPr>
        <w:t xml:space="preserve"> </w:t>
      </w:r>
    </w:p>
    <w:p w14:paraId="43A7B6D1" w14:textId="4B125B30" w:rsidR="004E53B4" w:rsidRPr="004E53B4" w:rsidRDefault="004E53B4" w:rsidP="00465713">
      <w:pPr>
        <w:snapToGrid w:val="0"/>
        <w:spacing w:after="0" w:line="360" w:lineRule="auto"/>
        <w:jc w:val="both"/>
        <w:rPr>
          <w:rFonts w:ascii="Book Antiqua" w:eastAsia="宋体" w:hAnsi="Book Antiqua" w:hint="eastAsia"/>
          <w:b/>
          <w:sz w:val="24"/>
          <w:szCs w:val="24"/>
          <w:lang w:val="en-GB" w:eastAsia="zh-CN"/>
        </w:rPr>
      </w:pPr>
      <w:r w:rsidRPr="004E53B4">
        <w:rPr>
          <w:rFonts w:ascii="Book Antiqua" w:eastAsia="宋体" w:hAnsi="Book Antiqua"/>
          <w:b/>
          <w:sz w:val="24"/>
          <w:szCs w:val="24"/>
          <w:lang w:val="en-GB"/>
        </w:rPr>
        <w:t xml:space="preserve">Published online: </w:t>
      </w:r>
      <w:r w:rsidR="00585521">
        <w:rPr>
          <w:rFonts w:ascii="Book Antiqua" w:eastAsia="宋体" w:hAnsi="Book Antiqua" w:hint="eastAsia"/>
          <w:b/>
          <w:sz w:val="24"/>
          <w:szCs w:val="24"/>
          <w:lang w:val="en-GB" w:eastAsia="zh-CN"/>
        </w:rPr>
        <w:t xml:space="preserve"> </w:t>
      </w:r>
      <w:r w:rsidR="00585521" w:rsidRPr="00585521">
        <w:rPr>
          <w:rFonts w:ascii="Book Antiqua" w:eastAsia="宋体" w:hAnsi="Book Antiqua"/>
          <w:sz w:val="24"/>
          <w:szCs w:val="24"/>
          <w:lang w:val="en-GB" w:eastAsia="zh-CN"/>
        </w:rPr>
        <w:t>March 28, 2020</w:t>
      </w:r>
    </w:p>
    <w:bookmarkEnd w:id="11"/>
    <w:p w14:paraId="141D4400" w14:textId="77777777" w:rsidR="004E53B4" w:rsidRPr="00EA02E8" w:rsidRDefault="004E53B4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41C65FD5" w14:textId="77777777" w:rsidR="00465713" w:rsidRPr="00465713" w:rsidRDefault="00465713" w:rsidP="00465713">
      <w:pPr>
        <w:adjustRightInd w:val="0"/>
        <w:snapToGrid w:val="0"/>
        <w:spacing w:after="0" w:line="360" w:lineRule="auto"/>
        <w:rPr>
          <w:rFonts w:ascii="Book Antiqua" w:eastAsia="宋体" w:hAnsi="Book Antiqua" w:cs="Calibri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br w:type="page"/>
      </w:r>
      <w:bookmarkStart w:id="12" w:name="_Hlk28872520"/>
      <w:r w:rsidRPr="00465713">
        <w:rPr>
          <w:rFonts w:ascii="Book Antiqua" w:eastAsia="宋体" w:hAnsi="Book Antiqua" w:cs="Calibri"/>
          <w:b/>
          <w:sz w:val="24"/>
          <w:szCs w:val="24"/>
          <w:lang w:val="en-US"/>
        </w:rPr>
        <w:lastRenderedPageBreak/>
        <w:t>Abstract</w:t>
      </w:r>
    </w:p>
    <w:p w14:paraId="7257522E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4"/>
          <w:szCs w:val="24"/>
          <w:lang w:val="en-US" w:eastAsia="zh-CN"/>
        </w:rPr>
      </w:pPr>
      <w:r w:rsidRPr="00465713">
        <w:rPr>
          <w:rFonts w:ascii="Book Antiqua" w:eastAsia="宋体" w:hAnsi="Book Antiqua" w:cs="Calibri"/>
          <w:sz w:val="24"/>
          <w:szCs w:val="24"/>
          <w:lang w:val="en-US"/>
        </w:rPr>
        <w:t>BACKGROUND</w:t>
      </w:r>
    </w:p>
    <w:bookmarkEnd w:id="12"/>
    <w:p w14:paraId="1AF8ACD1" w14:textId="2675B79F" w:rsidR="008054D7" w:rsidRPr="00EA02E8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 w:rsidR="00465713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(CD)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immune-mediated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disorder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>in which 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immunogenetic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background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(DQ2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heterodimers)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environmental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trigger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(gluten)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well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established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Indeed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factors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necessary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–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sufficient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–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However,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likely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underdiagnosed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countries,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due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several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aspects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fact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mild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atypical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symptoms,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recognized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factors.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possibility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feasibility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strategies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identify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debated.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510A9C60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i/>
          <w:sz w:val="24"/>
          <w:szCs w:val="24"/>
          <w:lang w:val="en-US"/>
        </w:rPr>
      </w:pPr>
    </w:p>
    <w:p w14:paraId="1F1DEF89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3" w:name="_Hlk29286169"/>
      <w:r w:rsidRPr="00465713">
        <w:rPr>
          <w:rFonts w:ascii="Book Antiqua" w:eastAsia="宋体" w:hAnsi="Book Antiqua"/>
          <w:sz w:val="24"/>
          <w:szCs w:val="24"/>
          <w:lang w:val="en-US"/>
        </w:rPr>
        <w:t>AIM</w:t>
      </w:r>
    </w:p>
    <w:bookmarkEnd w:id="13"/>
    <w:p w14:paraId="5A7B1A62" w14:textId="77777777" w:rsidR="00EF4492" w:rsidRPr="00EA02E8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evidence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main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epidemiological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importance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F449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3FB0039C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4" w:name="_Hlk33637087"/>
    </w:p>
    <w:p w14:paraId="5E8741A0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5" w:name="_Hlk29286181"/>
      <w:r w:rsidRPr="00465713">
        <w:rPr>
          <w:rFonts w:ascii="Book Antiqua" w:eastAsia="宋体" w:hAnsi="Book Antiqua"/>
          <w:sz w:val="24"/>
          <w:szCs w:val="24"/>
          <w:lang w:val="en-US"/>
        </w:rPr>
        <w:t>METHODS</w:t>
      </w:r>
    </w:p>
    <w:bookmarkEnd w:id="14"/>
    <w:bookmarkEnd w:id="15"/>
    <w:p w14:paraId="05ED7BAF" w14:textId="4B4CC69F" w:rsidR="008054D7" w:rsidRPr="00EA02E8" w:rsidRDefault="00EF4492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search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PubMed,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EMBASE,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Cochrane,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Science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Scopus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databases,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produce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assessing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population.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PRISMA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guidelines,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retrieved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describing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patients’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evidence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work-up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achieve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correct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02AE92EA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i/>
          <w:sz w:val="24"/>
          <w:szCs w:val="24"/>
          <w:lang w:val="en-US"/>
        </w:rPr>
      </w:pPr>
      <w:bookmarkStart w:id="16" w:name="_Hlk33637095"/>
    </w:p>
    <w:p w14:paraId="7E46C02B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7" w:name="_Hlk29286194"/>
      <w:r w:rsidRPr="00465713">
        <w:rPr>
          <w:rFonts w:ascii="Book Antiqua" w:eastAsia="宋体" w:hAnsi="Book Antiqua"/>
          <w:sz w:val="24"/>
          <w:szCs w:val="24"/>
          <w:lang w:val="en-US"/>
        </w:rPr>
        <w:t>RESULTS</w:t>
      </w:r>
    </w:p>
    <w:bookmarkEnd w:id="16"/>
    <w:bookmarkEnd w:id="17"/>
    <w:p w14:paraId="7B47356B" w14:textId="77777777" w:rsidR="008054D7" w:rsidRPr="00EA02E8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output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search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medical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literature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consisted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38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providing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respective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pool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4945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94.94%,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meaning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5.06%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completely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lacking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Interestingly,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whereby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lastRenderedPageBreak/>
        <w:t>diabetes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supposed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low,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non-HLA-DQB1*02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dropped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3.65%.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75D94E1E" w14:textId="77777777" w:rsidR="008054D7" w:rsidRPr="00EA02E8" w:rsidRDefault="008054D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2C96C5AB" w14:textId="77777777" w:rsidR="00465713" w:rsidRPr="00465713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/>
        </w:rPr>
      </w:pPr>
      <w:bookmarkStart w:id="18" w:name="_Hlk29286201"/>
      <w:r w:rsidRPr="00465713">
        <w:rPr>
          <w:rFonts w:ascii="Book Antiqua" w:eastAsia="宋体" w:hAnsi="Book Antiqua"/>
          <w:sz w:val="24"/>
          <w:szCs w:val="24"/>
          <w:lang w:val="en-US"/>
        </w:rPr>
        <w:t>CONCLUSION</w:t>
      </w:r>
    </w:p>
    <w:bookmarkEnd w:id="18"/>
    <w:p w14:paraId="2F29F2D6" w14:textId="77777777" w:rsidR="008B7D54" w:rsidRPr="00EA02E8" w:rsidRDefault="008054D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16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465713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95</w:t>
      </w:r>
      <w:r w:rsidR="00465713" w:rsidRPr="00EA02E8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-96%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factors,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like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465713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465713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diabetes</w:t>
      </w:r>
      <w:r w:rsidR="00465713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6571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465713" w:rsidRPr="00EA02E8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comorbidity)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exploited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cost-effective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approach: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implemented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low-cost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detect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individual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algorithm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</w:p>
    <w:p w14:paraId="7755BAAE" w14:textId="77777777" w:rsidR="00111252" w:rsidRPr="00EA02E8" w:rsidRDefault="00111252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2EE7953B" w14:textId="77777777" w:rsidR="008B7D54" w:rsidRPr="00465713" w:rsidRDefault="00465713" w:rsidP="0046571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4"/>
          <w:szCs w:val="24"/>
          <w:lang w:val="en-US" w:eastAsia="zh-CN"/>
        </w:rPr>
      </w:pPr>
      <w:bookmarkStart w:id="19" w:name="_Hlk28872569"/>
      <w:r w:rsidRPr="00465713">
        <w:rPr>
          <w:rFonts w:ascii="Book Antiqua" w:eastAsia="宋体" w:hAnsi="Book Antiqua" w:cs="Calibri"/>
          <w:b/>
          <w:sz w:val="24"/>
          <w:szCs w:val="24"/>
          <w:lang w:val="en-US"/>
        </w:rPr>
        <w:t>Key</w:t>
      </w:r>
      <w:r w:rsidRPr="00465713">
        <w:rPr>
          <w:rFonts w:ascii="Book Antiqua" w:eastAsia="宋体" w:hAnsi="Book Antiqua" w:cs="Calibri"/>
          <w:b/>
          <w:sz w:val="24"/>
          <w:szCs w:val="24"/>
          <w:lang w:val="en-US" w:eastAsia="zh-CN"/>
        </w:rPr>
        <w:t xml:space="preserve"> </w:t>
      </w:r>
      <w:r w:rsidRPr="00465713">
        <w:rPr>
          <w:rFonts w:ascii="Book Antiqua" w:eastAsia="宋体" w:hAnsi="Book Antiqua" w:cs="Calibri"/>
          <w:b/>
          <w:sz w:val="24"/>
          <w:szCs w:val="24"/>
          <w:lang w:val="en-US"/>
        </w:rPr>
        <w:t>words:</w:t>
      </w:r>
      <w:bookmarkEnd w:id="19"/>
      <w:r w:rsidRPr="00465713">
        <w:rPr>
          <w:rFonts w:ascii="Book Antiqua" w:eastAsia="宋体" w:hAnsi="Book Antiqua" w:cs="Calibri"/>
          <w:b/>
          <w:sz w:val="24"/>
          <w:szCs w:val="24"/>
          <w:lang w:val="en-US"/>
        </w:rPr>
        <w:t xml:space="preserve"> 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Children;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HLA-DQB1*02;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heterodimer;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B7D54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</w:p>
    <w:p w14:paraId="0554C131" w14:textId="77777777" w:rsidR="008054D7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highlight w:val="yellow"/>
          <w:lang w:val="en-US"/>
        </w:rPr>
      </w:pPr>
    </w:p>
    <w:p w14:paraId="53C7156D" w14:textId="1B952912" w:rsidR="00585521" w:rsidRDefault="00465713" w:rsidP="00585521">
      <w:pPr>
        <w:adjustRightInd w:val="0"/>
        <w:snapToGrid w:val="0"/>
        <w:spacing w:line="360" w:lineRule="auto"/>
        <w:rPr>
          <w:rFonts w:ascii="Book Antiqua" w:eastAsia="宋体" w:hAnsi="Book Antiqua" w:hint="eastAsia"/>
          <w:iCs/>
          <w:sz w:val="24"/>
          <w:szCs w:val="24"/>
        </w:rPr>
      </w:pPr>
      <w:r w:rsidRPr="00EA02E8">
        <w:rPr>
          <w:rFonts w:ascii="Book Antiqua" w:hAnsi="Book Antiqua"/>
          <w:sz w:val="24"/>
          <w:szCs w:val="24"/>
        </w:rPr>
        <w:t>Poddighe</w:t>
      </w:r>
      <w:r w:rsidRPr="00465713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D,</w:t>
      </w:r>
      <w:r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Rebuffi</w:t>
      </w:r>
      <w:r w:rsidRPr="00465713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C,</w:t>
      </w:r>
      <w:r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De</w:t>
      </w:r>
      <w:r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Silvestri</w:t>
      </w:r>
      <w:r w:rsidRPr="00465713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, </w:t>
      </w:r>
      <w:r w:rsidRPr="00EA02E8">
        <w:rPr>
          <w:rFonts w:ascii="Book Antiqua" w:hAnsi="Book Antiqua"/>
          <w:sz w:val="24"/>
          <w:szCs w:val="24"/>
        </w:rPr>
        <w:t>Capittini</w:t>
      </w:r>
      <w:r w:rsidRPr="00465713">
        <w:rPr>
          <w:rFonts w:ascii="Book Antiqua" w:hAnsi="Book Antiqua"/>
          <w:sz w:val="24"/>
          <w:szCs w:val="24"/>
        </w:rPr>
        <w:t xml:space="preserve"> </w:t>
      </w:r>
      <w:r w:rsidRPr="00EA02E8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  <w:r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465713">
        <w:rPr>
          <w:rFonts w:ascii="Book Antiqua" w:hAnsi="Book Antiqua"/>
          <w:bCs/>
          <w:color w:val="000000"/>
          <w:sz w:val="24"/>
          <w:szCs w:val="24"/>
          <w:lang w:val="en-US"/>
        </w:rPr>
        <w:t>Carrier frequency of HLA-DQB1*02 allele in patients affected with celiac disease: A systematic review assessing the potential rationale of a targeted allelic genotyping as a first-line screening</w:t>
      </w:r>
      <w:r>
        <w:rPr>
          <w:rFonts w:ascii="Book Antiqua" w:hAnsi="Book Antiqua" w:hint="eastAsia"/>
          <w:bCs/>
          <w:color w:val="000000"/>
          <w:sz w:val="24"/>
          <w:szCs w:val="24"/>
          <w:lang w:val="en-US" w:eastAsia="zh-CN"/>
        </w:rPr>
        <w:t>.</w:t>
      </w:r>
      <w:r>
        <w:rPr>
          <w:rFonts w:ascii="Book Antiqua" w:hAnsi="Book Antiqua"/>
          <w:bCs/>
          <w:color w:val="000000"/>
          <w:sz w:val="24"/>
          <w:szCs w:val="24"/>
          <w:lang w:val="en-US" w:eastAsia="zh-CN"/>
        </w:rPr>
        <w:t xml:space="preserve"> </w:t>
      </w:r>
      <w:r w:rsidRPr="00465713">
        <w:rPr>
          <w:rFonts w:ascii="Book Antiqua" w:eastAsia="宋体" w:hAnsi="Book Antiqua" w:cs="Arial"/>
          <w:bCs/>
          <w:i/>
          <w:iCs/>
          <w:sz w:val="24"/>
          <w:szCs w:val="24"/>
          <w:lang w:val="en-US"/>
        </w:rPr>
        <w:t xml:space="preserve">World J </w:t>
      </w:r>
      <w:proofErr w:type="spellStart"/>
      <w:r w:rsidRPr="00465713">
        <w:rPr>
          <w:rFonts w:ascii="Book Antiqua" w:eastAsia="宋体" w:hAnsi="Book Antiqua" w:cs="Arial"/>
          <w:bCs/>
          <w:i/>
          <w:iCs/>
          <w:sz w:val="24"/>
          <w:szCs w:val="24"/>
          <w:lang w:val="en-US"/>
        </w:rPr>
        <w:t>Gastroenterol</w:t>
      </w:r>
      <w:proofErr w:type="spellEnd"/>
      <w:r w:rsidRPr="00465713">
        <w:rPr>
          <w:rFonts w:ascii="Book Antiqua" w:eastAsia="宋体" w:hAnsi="Book Antiqua" w:cs="Arial"/>
          <w:bCs/>
          <w:i/>
          <w:iCs/>
          <w:sz w:val="24"/>
          <w:szCs w:val="24"/>
          <w:lang w:val="en-US"/>
        </w:rPr>
        <w:t xml:space="preserve"> </w:t>
      </w:r>
      <w:bookmarkStart w:id="20" w:name="_GoBack"/>
      <w:r w:rsidR="00585521" w:rsidRPr="008B398F">
        <w:rPr>
          <w:rFonts w:ascii="Book Antiqua" w:eastAsia="宋体" w:hAnsi="Book Antiqua"/>
          <w:iCs/>
          <w:sz w:val="24"/>
          <w:szCs w:val="24"/>
        </w:rPr>
        <w:t>2020;</w:t>
      </w:r>
      <w:r w:rsidR="00585521">
        <w:rPr>
          <w:rFonts w:ascii="Book Antiqua" w:eastAsia="宋体" w:hAnsi="Book Antiqua" w:hint="eastAsia"/>
          <w:iCs/>
          <w:sz w:val="24"/>
          <w:szCs w:val="24"/>
          <w:lang w:eastAsia="zh-CN"/>
        </w:rPr>
        <w:t xml:space="preserve"> </w:t>
      </w:r>
      <w:r w:rsidR="00585521" w:rsidRPr="008B398F">
        <w:rPr>
          <w:rFonts w:ascii="Book Antiqua" w:eastAsia="宋体" w:hAnsi="Book Antiqua"/>
          <w:iCs/>
          <w:sz w:val="24"/>
          <w:szCs w:val="24"/>
        </w:rPr>
        <w:t xml:space="preserve">26(12): </w:t>
      </w:r>
      <w:r w:rsidR="00585521">
        <w:rPr>
          <w:rFonts w:ascii="Book Antiqua" w:eastAsia="宋体" w:hAnsi="Book Antiqua" w:hint="eastAsia"/>
          <w:iCs/>
          <w:sz w:val="24"/>
          <w:szCs w:val="24"/>
        </w:rPr>
        <w:t>1</w:t>
      </w:r>
      <w:r w:rsidR="00585521">
        <w:rPr>
          <w:rFonts w:ascii="Book Antiqua" w:eastAsia="宋体" w:hAnsi="Book Antiqua" w:hint="eastAsia"/>
          <w:iCs/>
          <w:sz w:val="24"/>
          <w:szCs w:val="24"/>
          <w:lang w:eastAsia="zh-CN"/>
        </w:rPr>
        <w:t>365</w:t>
      </w:r>
      <w:r w:rsidR="00585521" w:rsidRPr="008B398F">
        <w:rPr>
          <w:rFonts w:ascii="Book Antiqua" w:eastAsia="宋体" w:hAnsi="Book Antiqua"/>
          <w:iCs/>
          <w:sz w:val="24"/>
          <w:szCs w:val="24"/>
        </w:rPr>
        <w:t>-</w:t>
      </w:r>
      <w:r w:rsidR="00585521">
        <w:rPr>
          <w:rFonts w:ascii="Book Antiqua" w:eastAsia="宋体" w:hAnsi="Book Antiqua" w:hint="eastAsia"/>
          <w:iCs/>
          <w:sz w:val="24"/>
          <w:szCs w:val="24"/>
        </w:rPr>
        <w:t>1</w:t>
      </w:r>
      <w:r w:rsidR="00585521">
        <w:rPr>
          <w:rFonts w:ascii="Book Antiqua" w:eastAsia="宋体" w:hAnsi="Book Antiqua" w:hint="eastAsia"/>
          <w:iCs/>
          <w:sz w:val="24"/>
          <w:szCs w:val="24"/>
          <w:lang w:eastAsia="zh-CN"/>
        </w:rPr>
        <w:t>38</w:t>
      </w:r>
      <w:r w:rsidR="00585521">
        <w:rPr>
          <w:rFonts w:ascii="Book Antiqua" w:eastAsia="宋体" w:hAnsi="Book Antiqua" w:hint="eastAsia"/>
          <w:iCs/>
          <w:sz w:val="24"/>
          <w:szCs w:val="24"/>
        </w:rPr>
        <w:t>1</w:t>
      </w:r>
      <w:bookmarkEnd w:id="20"/>
    </w:p>
    <w:p w14:paraId="178DCB58" w14:textId="18C62319" w:rsidR="00585521" w:rsidRDefault="00585521" w:rsidP="00585521">
      <w:pPr>
        <w:adjustRightInd w:val="0"/>
        <w:snapToGrid w:val="0"/>
        <w:spacing w:line="360" w:lineRule="auto"/>
        <w:rPr>
          <w:rFonts w:ascii="Book Antiqua" w:eastAsia="宋体" w:hAnsi="Book Antiqua" w:hint="eastAsia"/>
          <w:iCs/>
          <w:sz w:val="24"/>
          <w:szCs w:val="24"/>
        </w:rPr>
      </w:pPr>
      <w:r w:rsidRPr="008B398F">
        <w:rPr>
          <w:rFonts w:ascii="Book Antiqua" w:eastAsia="宋体" w:hAnsi="Book Antiqua"/>
          <w:b/>
          <w:iCs/>
          <w:sz w:val="24"/>
          <w:szCs w:val="24"/>
        </w:rPr>
        <w:t>URL:</w:t>
      </w:r>
      <w:r w:rsidRPr="008B398F">
        <w:rPr>
          <w:rFonts w:ascii="Book Antiqua" w:eastAsia="宋体" w:hAnsi="Book Antiqua"/>
          <w:iCs/>
          <w:sz w:val="24"/>
          <w:szCs w:val="24"/>
        </w:rPr>
        <w:t xml:space="preserve"> https://www.wjgnet.com/1007-9327/full/v26/i12/</w:t>
      </w:r>
      <w:r>
        <w:rPr>
          <w:rFonts w:ascii="Book Antiqua" w:eastAsia="宋体" w:hAnsi="Book Antiqua" w:hint="eastAsia"/>
          <w:iCs/>
          <w:sz w:val="24"/>
          <w:szCs w:val="24"/>
        </w:rPr>
        <w:t>1</w:t>
      </w:r>
      <w:r>
        <w:rPr>
          <w:rFonts w:ascii="Book Antiqua" w:eastAsia="宋体" w:hAnsi="Book Antiqua" w:hint="eastAsia"/>
          <w:iCs/>
          <w:sz w:val="24"/>
          <w:szCs w:val="24"/>
          <w:lang w:eastAsia="zh-CN"/>
        </w:rPr>
        <w:t>365</w:t>
      </w:r>
      <w:r w:rsidRPr="008B398F">
        <w:rPr>
          <w:rFonts w:ascii="Book Antiqua" w:eastAsia="宋体" w:hAnsi="Book Antiqua"/>
          <w:iCs/>
          <w:sz w:val="24"/>
          <w:szCs w:val="24"/>
        </w:rPr>
        <w:t>.htm</w:t>
      </w:r>
    </w:p>
    <w:p w14:paraId="1F843697" w14:textId="5F0E1613" w:rsidR="00465713" w:rsidRPr="0078380F" w:rsidRDefault="00585521" w:rsidP="005855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 w:eastAsia="zh-CN"/>
        </w:rPr>
      </w:pPr>
      <w:r w:rsidRPr="008B398F">
        <w:rPr>
          <w:rFonts w:ascii="Book Antiqua" w:eastAsia="宋体" w:hAnsi="Book Antiqua"/>
          <w:b/>
          <w:iCs/>
          <w:sz w:val="24"/>
          <w:szCs w:val="24"/>
        </w:rPr>
        <w:t xml:space="preserve">DOI: </w:t>
      </w:r>
      <w:r w:rsidRPr="008B398F">
        <w:rPr>
          <w:rFonts w:ascii="Book Antiqua" w:eastAsia="宋体" w:hAnsi="Book Antiqua"/>
          <w:iCs/>
          <w:sz w:val="24"/>
          <w:szCs w:val="24"/>
        </w:rPr>
        <w:t>https://dx.doi.org/10.3748/wjg.v26.i12.</w:t>
      </w:r>
      <w:r>
        <w:rPr>
          <w:rFonts w:ascii="Book Antiqua" w:eastAsia="宋体" w:hAnsi="Book Antiqua" w:hint="eastAsia"/>
          <w:iCs/>
          <w:sz w:val="24"/>
          <w:szCs w:val="24"/>
        </w:rPr>
        <w:t>1</w:t>
      </w:r>
      <w:r>
        <w:rPr>
          <w:rFonts w:ascii="Book Antiqua" w:eastAsia="宋体" w:hAnsi="Book Antiqua" w:hint="eastAsia"/>
          <w:iCs/>
          <w:sz w:val="24"/>
          <w:szCs w:val="24"/>
          <w:lang w:eastAsia="zh-CN"/>
        </w:rPr>
        <w:t>365</w:t>
      </w:r>
    </w:p>
    <w:p w14:paraId="2E2F04C4" w14:textId="77777777" w:rsidR="00465713" w:rsidRPr="00EA02E8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highlight w:val="yellow"/>
          <w:lang w:val="en-US"/>
        </w:rPr>
      </w:pPr>
    </w:p>
    <w:p w14:paraId="5CD698BC" w14:textId="77777777" w:rsidR="008054D7" w:rsidRPr="00EA02E8" w:rsidRDefault="00465713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bookmarkStart w:id="21" w:name="_Hlk28268548"/>
      <w:r w:rsidRPr="00FB4EA3">
        <w:rPr>
          <w:rFonts w:ascii="Book Antiqua" w:eastAsia="宋体" w:hAnsi="Book Antiqua"/>
          <w:b/>
          <w:sz w:val="24"/>
          <w:szCs w:val="24"/>
        </w:rPr>
        <w:t>Core tip:</w:t>
      </w:r>
      <w:bookmarkEnd w:id="21"/>
      <w:r w:rsidR="00277F7A">
        <w:rPr>
          <w:rFonts w:ascii="Book Antiqua" w:hAnsi="Book Antiqua"/>
          <w:b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well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known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g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enotyping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useful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individual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susceptibility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 w:rsidR="00DF28D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 w:rsidR="00DF28D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absolute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–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discriminatory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power: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color w:val="000000"/>
          <w:sz w:val="24"/>
          <w:szCs w:val="24"/>
          <w:lang w:val="en-US"/>
        </w:rPr>
        <w:t>Indeed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unlikely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carry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coding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MHC-DQ2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MHC-DQ8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heterodimers,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E4562"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Here,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aim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providing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evidence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epidemiological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importance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patients.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Briefly,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based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38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(which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provided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pool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4945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overall),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variant.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DF28DB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95</w:t>
      </w:r>
      <w:r w:rsidR="00DF28DB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-96%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carry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allele.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exploited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cost-effective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approach: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28DB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DF28DB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implemented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low-cost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algorithm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resulting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EC1608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</w:p>
    <w:p w14:paraId="2FAE53B7" w14:textId="77777777" w:rsidR="008054D7" w:rsidRPr="00EA02E8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4DCE7124" w14:textId="77777777" w:rsidR="00DF28DB" w:rsidRPr="00DF28DB" w:rsidRDefault="00465713" w:rsidP="00DF28D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color w:val="000000"/>
          <w:sz w:val="24"/>
          <w:szCs w:val="24"/>
          <w:lang w:val="en-US"/>
        </w:rPr>
        <w:br w:type="page"/>
      </w:r>
      <w:bookmarkStart w:id="22" w:name="_Hlk27562550"/>
      <w:r w:rsidR="00DF28DB" w:rsidRPr="00DF28DB">
        <w:rPr>
          <w:rFonts w:ascii="Book Antiqua" w:hAnsi="Book Antiqua"/>
          <w:b/>
          <w:color w:val="000000"/>
          <w:sz w:val="24"/>
          <w:szCs w:val="24"/>
          <w:u w:val="single"/>
          <w:lang w:val="en-US"/>
        </w:rPr>
        <w:lastRenderedPageBreak/>
        <w:t>INTRODUCTION</w:t>
      </w:r>
    </w:p>
    <w:bookmarkEnd w:id="22"/>
    <w:p w14:paraId="03D74DDF" w14:textId="77777777" w:rsidR="000B2013" w:rsidRPr="00EA02E8" w:rsidRDefault="00DF28DB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systemic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triggered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dietary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intake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gluten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minority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DC1172" w:rsidRPr="00DC1172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DC1172" w:rsidRPr="00DC1172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1]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world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estimated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1%,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despite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geographical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ethnic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variations.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Recent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epidemiological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analyses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suggested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greater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0B2013" w:rsidRPr="00EA02E8">
        <w:rPr>
          <w:rFonts w:ascii="Book Antiqua" w:hAnsi="Book Antiqua"/>
          <w:color w:val="000000"/>
          <w:sz w:val="24"/>
          <w:szCs w:val="24"/>
          <w:lang w:val="en-US"/>
        </w:rPr>
        <w:t>1</w:t>
      </w:r>
      <w:proofErr w:type="gramStart"/>
      <w:r w:rsidR="000B2013" w:rsidRPr="001306DC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="00DC1172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DC1172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2-4]</w:t>
      </w:r>
      <w:r w:rsidR="000B2013" w:rsidRPr="001306D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75D304AD" w14:textId="060DD9C4" w:rsidR="000B2013" w:rsidRPr="00F70E50" w:rsidRDefault="000B2013" w:rsidP="009B2E9E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landscape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non-communicable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autoimmune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peculiar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etiological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aspects.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mentioned,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necessary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environmental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trigger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well-known,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namely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dietary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exposure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gluten,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lead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minority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expressing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heterodimers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Respectively,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antigen-presenting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molecules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encoded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DQA1*0501-DQB1*02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DQA1*0301-DQB1*0302.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North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America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Europe,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immunogenetic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30</w:t>
      </w:r>
      <w:r w:rsidR="008F577C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-40%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minority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3%)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actually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life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despite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comparable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exposure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gluten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foods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[1</w:t>
      </w:r>
      <w:r w:rsidR="001306DC">
        <w:rPr>
          <w:rFonts w:ascii="Book Antiqua" w:hAnsi="Book Antiqua" w:hint="eastAsia"/>
          <w:color w:val="000000"/>
          <w:sz w:val="24"/>
          <w:szCs w:val="24"/>
          <w:vertAlign w:val="superscript"/>
          <w:lang w:val="en-US" w:eastAsia="zh-CN"/>
        </w:rPr>
        <w:t>,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3B67688B" w14:textId="548F7E77" w:rsidR="00A737C5" w:rsidRPr="00EA02E8" w:rsidRDefault="000B2013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However,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under-diagnosed,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countries.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so-called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“celiac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iceberg”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epidemiological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model,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minority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emerged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iceberg)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well-evident,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iceberg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water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surface)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atypical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pauci-symptomatic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presentation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making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under-considered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significantly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delayed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[2,5]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Case-finding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strategies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helped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diagnose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family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factors,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numerical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impact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terms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diagnoses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quite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limited.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factors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,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Moreover,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extremely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variable,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means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periodically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repeated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737C5" w:rsidRPr="00EA02E8">
        <w:rPr>
          <w:rFonts w:ascii="Book Antiqua" w:hAnsi="Book Antiqua"/>
          <w:color w:val="000000"/>
          <w:sz w:val="24"/>
          <w:szCs w:val="24"/>
          <w:lang w:val="en-US"/>
        </w:rPr>
        <w:t>at-risk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0922748A" w14:textId="6F5D3BD8" w:rsidR="00437EF4" w:rsidRPr="00EA02E8" w:rsidRDefault="00A737C5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debate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opportunity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implement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universal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strategies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still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open,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especially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experience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worse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consequences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adults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delayed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diagnosis,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their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longer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life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expectancy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growth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process</w:t>
      </w:r>
      <w:r w:rsidR="00437EF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[6,8-11]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09DD9605" w14:textId="77777777" w:rsidR="000B2013" w:rsidRPr="00EA02E8" w:rsidRDefault="00A737C5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course,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propose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universal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h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owever,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identification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cheap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exclude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larger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never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assessed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percentage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allele,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74EED" w:rsidRPr="00EA02E8">
        <w:rPr>
          <w:rFonts w:ascii="Book Antiqua" w:hAnsi="Book Antiqua"/>
          <w:color w:val="000000"/>
          <w:sz w:val="24"/>
          <w:szCs w:val="24"/>
          <w:lang w:val="en-US"/>
        </w:rPr>
        <w:t>specifically.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14D10706" w14:textId="77777777" w:rsidR="00B1497E" w:rsidRPr="00EA02E8" w:rsidRDefault="00B1497E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noProof/>
          <w:color w:val="000000"/>
          <w:sz w:val="24"/>
          <w:szCs w:val="24"/>
          <w:lang w:val="en-US"/>
        </w:rPr>
      </w:pPr>
    </w:p>
    <w:p w14:paraId="3207366A" w14:textId="77777777" w:rsidR="001329DF" w:rsidRPr="001329DF" w:rsidRDefault="001329DF" w:rsidP="001329D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</w:pPr>
      <w:bookmarkStart w:id="23" w:name="_Hlk27568397"/>
      <w:r w:rsidRPr="001329DF"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  <w:t>MATERIALS AND METHODS</w:t>
      </w:r>
    </w:p>
    <w:bookmarkEnd w:id="23"/>
    <w:p w14:paraId="59BF540D" w14:textId="77777777" w:rsidR="003C7C4D" w:rsidRPr="001329DF" w:rsidRDefault="003C7C4D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Protocol</w:t>
      </w:r>
    </w:p>
    <w:p w14:paraId="1C0864DF" w14:textId="77777777" w:rsidR="00E92F34" w:rsidRPr="00EA02E8" w:rsidRDefault="00A76276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PRISMA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guidelines</w:t>
      </w:r>
      <w:r w:rsidR="00D06D93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A5373" w:rsidRPr="001329DF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B1C88" w:rsidRPr="001329DF">
        <w:rPr>
          <w:rFonts w:ascii="Book Antiqua" w:hAnsi="Book Antiqua"/>
          <w:color w:val="000000"/>
          <w:sz w:val="24"/>
          <w:szCs w:val="24"/>
          <w:lang w:val="en-US"/>
        </w:rPr>
        <w:t>Figure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1,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shows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complete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06D93" w:rsidRPr="001329DF">
        <w:rPr>
          <w:rFonts w:ascii="Book Antiqua" w:hAnsi="Book Antiqua"/>
          <w:color w:val="000000"/>
          <w:sz w:val="24"/>
          <w:szCs w:val="24"/>
          <w:lang w:val="en-US"/>
        </w:rPr>
        <w:t>PRISMA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flow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diagram.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1329DF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1329DF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 w:rsidRPr="001329D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1329DF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1655D"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aimed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evaluating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variant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C7C4D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(coding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sym w:font="Symbol" w:char="F062"/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chain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heterodimer)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diagnosed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091272F1" w14:textId="77777777" w:rsidR="004E7644" w:rsidRPr="00EA02E8" w:rsidRDefault="004E7644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23D0364F" w14:textId="2B92EA3D" w:rsidR="008C0CE8" w:rsidRPr="001329DF" w:rsidRDefault="008C0C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Search</w:t>
      </w:r>
      <w:r w:rsidR="00277F7A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364B7D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</w:t>
      </w: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trategy</w:t>
      </w:r>
    </w:p>
    <w:p w14:paraId="05C0355E" w14:textId="77777777" w:rsidR="00F407DE" w:rsidRPr="00EA02E8" w:rsidRDefault="008C0C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search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PubMed,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EMBASE,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Science,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Scopus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Cochrane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databases,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retrieving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series,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case–control,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cross-sectional,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retrospective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ies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describing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patients’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detail.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searched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English,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French,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Spanish,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Italian,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German,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Portuguese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A546B" w:rsidRPr="00EA02E8">
        <w:rPr>
          <w:rFonts w:ascii="Book Antiqua" w:hAnsi="Book Antiqua"/>
          <w:color w:val="000000"/>
          <w:sz w:val="24"/>
          <w:szCs w:val="24"/>
          <w:lang w:val="en-US"/>
        </w:rPr>
        <w:t>published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September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201</w:t>
      </w:r>
      <w:r w:rsidR="00E92F34" w:rsidRPr="00EA02E8">
        <w:rPr>
          <w:rFonts w:ascii="Book Antiqua" w:hAnsi="Book Antiqua"/>
          <w:color w:val="000000"/>
          <w:sz w:val="24"/>
          <w:szCs w:val="24"/>
          <w:lang w:val="en-US"/>
        </w:rPr>
        <w:t>9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39CC0142" w14:textId="6E62C8B2" w:rsidR="00E92F34" w:rsidRPr="00EA02E8" w:rsidRDefault="00B82D70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detail,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expert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librarian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searches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medical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color w:val="000000"/>
          <w:sz w:val="24"/>
          <w:szCs w:val="24"/>
          <w:lang w:val="en-US"/>
        </w:rPr>
        <w:t>datab</w:t>
      </w:r>
      <w:r w:rsidR="00111252" w:rsidRPr="001329DF">
        <w:rPr>
          <w:rFonts w:ascii="Book Antiqua" w:hAnsi="Book Antiqua"/>
          <w:color w:val="000000"/>
          <w:sz w:val="24"/>
          <w:szCs w:val="24"/>
          <w:lang w:val="en-US"/>
        </w:rPr>
        <w:t>ases</w:t>
      </w:r>
      <w:r w:rsidR="001329DF" w:rsidRPr="001329DF">
        <w:rPr>
          <w:rFonts w:ascii="Book Antiqua" w:eastAsia="Segoe UI Emoji" w:hAnsi="Book Antiqua" w:cs="Segoe UI Emoji"/>
          <w:color w:val="000000"/>
          <w:sz w:val="24"/>
          <w:szCs w:val="24"/>
          <w:lang w:val="en-US" w:eastAsia="zh-CN"/>
        </w:rPr>
        <w:t>: (</w:t>
      </w:r>
      <w:r w:rsidRPr="001329DF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PubMed: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disease"[Mesh]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“coeliac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Antigens"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[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"HLA-DQ2"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"HLA-DQB1*02")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("alleles"[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"Genes"[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type*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genotype[Mesh]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*)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1329D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1329D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2)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57373" w:rsidRPr="00EA02E8">
        <w:rPr>
          <w:rFonts w:ascii="Book Antiqua" w:hAnsi="Book Antiqua"/>
          <w:color w:val="000000"/>
          <w:sz w:val="24"/>
          <w:szCs w:val="24"/>
          <w:lang w:val="en-US"/>
        </w:rPr>
        <w:t>EMBASE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('celiac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disease'/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disease':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disease':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CD:ti,ab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('HLA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antigen'/exp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'HLA-DQB1':ti,ab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'HLA-DQ2:ti,ab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'HLA-DQB1*02':ti,ab)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('allele'/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'Gene'/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gene:ti,ab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genes:ti,ab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variant*: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type*: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'genotype'/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*: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951B09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AND [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embase</w:t>
      </w:r>
      <w:proofErr w:type="spellEnd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]/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lim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1329D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1329D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Web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Science: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 xml:space="preserve">TS=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“coeliac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Antigen*"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"HLA-DQ2"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"HLA-DQB1*02")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type*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*)</w:t>
      </w:r>
      <w:r w:rsidR="001329DF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1329D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1329DF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4)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Scopus: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“coeliac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("HLA-DQ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Antigen*"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"HLA-DQ2"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"HLA-DQB1*02")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type*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*):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ti,ab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;</w:t>
      </w:r>
      <w:r w:rsidR="001329DF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 </w:t>
      </w:r>
      <w:r w:rsidR="00A22765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 xml:space="preserve">and </w:t>
      </w:r>
      <w:r w:rsidR="001329DF">
        <w:rPr>
          <w:rFonts w:ascii="Book Antiqua" w:hAnsi="Book Antiqua"/>
          <w:color w:val="000000"/>
          <w:sz w:val="24"/>
          <w:szCs w:val="24"/>
          <w:lang w:val="en-US" w:eastAsia="zh-CN"/>
        </w:rPr>
        <w:t>(</w:t>
      </w:r>
      <w:r w:rsidR="00951B09">
        <w:rPr>
          <w:rFonts w:ascii="Book Antiqua" w:hAnsi="Book Antiqua"/>
          <w:color w:val="000000"/>
          <w:sz w:val="24"/>
          <w:szCs w:val="24"/>
          <w:lang w:val="en-US"/>
        </w:rPr>
        <w:t>5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Cochrane: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("celiac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disease"[Mesh]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"celiac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disease"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“coeliac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disease”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CD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("HLA-DQ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Antigens"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[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"HLA-DQB1"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"HLA-DQ2"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"HLA-DQB1*02"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("alleles"[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allel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"Genes"[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MeSH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gene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genes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variant*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type*</w:t>
      </w:r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951B09" w:rsidRPr="00951B09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genotype[Mesh]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genotyp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*</w:t>
      </w:r>
      <w:r w:rsidR="006674EC" w:rsidRPr="00EA02E8">
        <w:rPr>
          <w:rFonts w:ascii="Book Antiqua" w:hAnsi="Book Antiqua"/>
          <w:color w:val="000000"/>
          <w:sz w:val="24"/>
          <w:szCs w:val="24"/>
          <w:lang w:val="en-US"/>
        </w:rPr>
        <w:t>:</w:t>
      </w:r>
      <w:proofErr w:type="spellStart"/>
      <w:r w:rsidR="006674EC" w:rsidRPr="00EA02E8">
        <w:rPr>
          <w:rFonts w:ascii="Book Antiqua" w:hAnsi="Book Antiqua"/>
          <w:color w:val="000000"/>
          <w:sz w:val="24"/>
          <w:szCs w:val="24"/>
          <w:lang w:val="en-US"/>
        </w:rPr>
        <w:t>ti,ab,kw</w:t>
      </w:r>
      <w:proofErr w:type="spellEnd"/>
      <w:r w:rsidR="008054D7" w:rsidRPr="00EA02E8">
        <w:rPr>
          <w:rFonts w:ascii="Book Antiqua" w:hAnsi="Book Antiqua"/>
          <w:color w:val="000000"/>
          <w:sz w:val="24"/>
          <w:szCs w:val="24"/>
          <w:lang w:val="en-US"/>
        </w:rPr>
        <w:t>).</w:t>
      </w:r>
    </w:p>
    <w:p w14:paraId="62591DF6" w14:textId="77777777" w:rsidR="004E7644" w:rsidRPr="00EA02E8" w:rsidRDefault="004E7644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0FDF502B" w14:textId="063DF464" w:rsidR="008C0CE8" w:rsidRPr="001329DF" w:rsidRDefault="008C0C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Data</w:t>
      </w:r>
      <w:r w:rsidR="00277F7A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7D617C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e</w:t>
      </w: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xtraction</w:t>
      </w:r>
    </w:p>
    <w:p w14:paraId="05134762" w14:textId="5017E3C1" w:rsidR="00C975BC" w:rsidRDefault="008C0CE8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critical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reading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articles,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investigators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independently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data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extraction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inclusion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criteria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patients’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detail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defined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within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total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respective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population.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defining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based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typical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histopathological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findings,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addition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serology,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referred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criteria,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Meeuwisse</w:t>
      </w:r>
      <w:proofErr w:type="spell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12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Walker-Smith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r w:rsidR="00A822D0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[1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A822D0" w:rsidRPr="00EA02E8">
        <w:rPr>
          <w:rFonts w:ascii="Book Antiqua" w:hAnsi="Book Antiqua"/>
          <w:color w:val="000000"/>
          <w:sz w:val="24"/>
          <w:szCs w:val="24"/>
          <w:lang w:val="en-US"/>
        </w:rPr>
        <w:t>Husby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A822D0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</w:t>
      </w:r>
      <w:r w:rsidR="001A5373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r w:rsidR="001A5373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[1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4]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period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detail,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following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items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extracted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study: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author's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last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name,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publication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date,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country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origin,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numbers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male/female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patient’s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range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(in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terms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82D70" w:rsidRPr="00EA02E8">
        <w:rPr>
          <w:rFonts w:ascii="Book Antiqua" w:hAnsi="Book Antiqua"/>
          <w:color w:val="000000"/>
          <w:sz w:val="24"/>
          <w:szCs w:val="24"/>
          <w:lang w:val="en-US"/>
        </w:rPr>
        <w:t>not).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4FA63233" w14:textId="77777777" w:rsidR="001329DF" w:rsidRPr="00EA02E8" w:rsidRDefault="001329DF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highlight w:val="yellow"/>
          <w:lang w:val="en-US"/>
        </w:rPr>
      </w:pPr>
    </w:p>
    <w:p w14:paraId="35E09FD3" w14:textId="77777777" w:rsidR="001329DF" w:rsidRPr="001329DF" w:rsidRDefault="001329DF" w:rsidP="001329D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sz w:val="24"/>
          <w:szCs w:val="24"/>
          <w:u w:val="single"/>
          <w:lang w:val="en-US"/>
        </w:rPr>
      </w:pPr>
      <w:bookmarkStart w:id="24" w:name="_Hlk27141703"/>
      <w:r w:rsidRPr="001329DF">
        <w:rPr>
          <w:rFonts w:ascii="Book Antiqua" w:eastAsia="宋体" w:hAnsi="Book Antiqua" w:cs="Arial"/>
          <w:b/>
          <w:sz w:val="24"/>
          <w:szCs w:val="24"/>
          <w:u w:val="single"/>
          <w:lang w:val="en-US"/>
        </w:rPr>
        <w:t>RESULTS</w:t>
      </w:r>
    </w:p>
    <w:bookmarkEnd w:id="24"/>
    <w:p w14:paraId="05603E91" w14:textId="77777777" w:rsidR="00D174C1" w:rsidRPr="001329DF" w:rsidRDefault="00D174C1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Study</w:t>
      </w:r>
      <w:r w:rsidR="00277F7A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1329DF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selection </w:t>
      </w:r>
    </w:p>
    <w:p w14:paraId="584CFD24" w14:textId="2AD0525C" w:rsidR="00B82D70" w:rsidRPr="00EA02E8" w:rsidRDefault="00B82D70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process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literature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selection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PRISMA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guidelines,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summarized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Figure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1.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result,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112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full-text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been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identified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potentially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eligible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respective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However,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summarized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Table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06D93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1,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3</w:t>
      </w:r>
      <w:r w:rsidR="008054D7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8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studies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were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finally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included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present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review,</w:t>
      </w:r>
      <w:r w:rsidR="00277F7A"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1329DF">
        <w:rPr>
          <w:rFonts w:ascii="Book Antiqua" w:hAnsi="Book Antiqua"/>
          <w:bCs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provided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enough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details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appropriately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evidence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work-up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achieve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correct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D06D93" w:rsidRPr="001306DC">
        <w:rPr>
          <w:rFonts w:ascii="Book Antiqua" w:hAnsi="Book Antiqua"/>
          <w:bCs/>
          <w:color w:val="000000"/>
          <w:sz w:val="24"/>
          <w:szCs w:val="24"/>
          <w:vertAlign w:val="superscript"/>
          <w:lang w:val="en-US"/>
        </w:rPr>
        <w:t>[15-56]</w:t>
      </w:r>
      <w:r w:rsidR="005674BE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</w:p>
    <w:p w14:paraId="1C983E53" w14:textId="77777777" w:rsidR="00FC5CE1" w:rsidRPr="00EA02E8" w:rsidRDefault="00B82D70" w:rsidP="00C8492D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already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mentioned,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aim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adults.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research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output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retrieved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full-length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describing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lastRenderedPageBreak/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resolution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details.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paper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had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complete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group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CD;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enough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certainly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many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E92F3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allele.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reporting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necessarily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excluded,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since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endpoint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opulation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many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them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C5CE1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variant.</w:t>
      </w:r>
    </w:p>
    <w:p w14:paraId="179BAD61" w14:textId="77777777" w:rsidR="003C7C4D" w:rsidRPr="00EA02E8" w:rsidRDefault="00E92F34" w:rsidP="001329DF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After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selection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papers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required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excluded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researches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biased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namely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resul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preliminary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Moreover,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focus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current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recommendations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case-finding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strategies,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possible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pre-selected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(autoimmune)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comorbidity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particular,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diabetes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(DM1).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must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followed-up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onset,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due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common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background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predisposition,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aims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preliminary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useful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design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mass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majority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comorbidity,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11125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actually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likely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delayed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remain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undiagnosed.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4A5710B2" w14:textId="77777777" w:rsidR="004E7644" w:rsidRPr="00EA02E8" w:rsidRDefault="004E7644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092847D2" w14:textId="77777777" w:rsidR="003C7C4D" w:rsidRPr="001329DF" w:rsidRDefault="003C7C4D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Study</w:t>
      </w:r>
      <w:r w:rsidR="00277F7A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1329DF" w:rsidRPr="001329DF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quality</w:t>
      </w:r>
    </w:p>
    <w:p w14:paraId="6957FDE1" w14:textId="77777777" w:rsidR="004E7644" w:rsidRPr="00EA02E8" w:rsidRDefault="003C7C4D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quality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selected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terms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laboratory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description,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statistical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features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assessed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PRISMA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standards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8A7AC4" w:rsidRPr="00EA02E8">
        <w:rPr>
          <w:rFonts w:ascii="Book Antiqua" w:hAnsi="Book Antiqua"/>
          <w:color w:val="000000"/>
          <w:sz w:val="24"/>
          <w:szCs w:val="24"/>
          <w:lang w:val="en-US"/>
        </w:rPr>
        <w:t>appropriate.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6FB3A296" w14:textId="77777777" w:rsidR="004E7644" w:rsidRPr="00EA02E8" w:rsidRDefault="004E7644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59714C60" w14:textId="77777777" w:rsidR="0065309E" w:rsidRPr="00EB3B8C" w:rsidRDefault="008054D7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</w:pPr>
      <w:r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Carrier</w:t>
      </w:r>
      <w:r w:rsidR="00D06D93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s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frequency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of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the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HLA-DQB1*02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carriers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in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the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CD</w:t>
      </w:r>
      <w:r w:rsidR="00277F7A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 xml:space="preserve"> </w:t>
      </w:r>
      <w:r w:rsidR="00FC5CE1" w:rsidRPr="00EB3B8C">
        <w:rPr>
          <w:rFonts w:ascii="Book Antiqua" w:hAnsi="Book Antiqua"/>
          <w:b/>
          <w:i/>
          <w:iCs/>
          <w:color w:val="000000"/>
          <w:sz w:val="24"/>
          <w:szCs w:val="24"/>
          <w:lang w:val="en-US"/>
        </w:rPr>
        <w:t>population</w:t>
      </w:r>
    </w:p>
    <w:p w14:paraId="6A8BF0B0" w14:textId="5B3309FB" w:rsidR="008D037F" w:rsidRPr="00EA02E8" w:rsidRDefault="00CC7960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Based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on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82D70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3</w:t>
      </w:r>
      <w:r w:rsidR="008054D7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8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selected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articles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(Table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1)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total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5065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affected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 w:rsidRPr="00EB3B8C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bCs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review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available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120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them.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4945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genotyped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4695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250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different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lastRenderedPageBreak/>
        <w:t>both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loci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HLA-DQB1*0302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others).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94.94%,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meaning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5.06%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completely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lacking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.</w:t>
      </w:r>
    </w:p>
    <w:p w14:paraId="159D8CC5" w14:textId="188F27F4" w:rsidR="002F48D7" w:rsidRPr="00EA02E8" w:rsidRDefault="002F48D7" w:rsidP="00EB3B8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</w:t>
      </w:r>
      <w:r w:rsidR="008D037F" w:rsidRPr="00EB3B8C">
        <w:rPr>
          <w:rFonts w:ascii="Book Antiqua" w:hAnsi="Book Antiqua"/>
          <w:bCs/>
          <w:i/>
          <w:iCs/>
          <w:color w:val="000000"/>
          <w:sz w:val="24"/>
          <w:szCs w:val="24"/>
          <w:lang w:val="en-US"/>
        </w:rPr>
        <w:t>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=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2710)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considered,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similar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figures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obtained: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94.69%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allele,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5.31%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lacking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D037F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variant.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</w:p>
    <w:p w14:paraId="582E2C92" w14:textId="3A394A0B" w:rsidR="004E7644" w:rsidRPr="00EA02E8" w:rsidRDefault="004E7644" w:rsidP="00EB3B8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Finally,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whereby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supposed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established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low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(&lt;</w:t>
      </w:r>
      <w:r w:rsidR="00C8492D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3%),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non-HLA-DQB1*02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dropped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up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3.65%.</w:t>
      </w:r>
    </w:p>
    <w:p w14:paraId="7E70B00E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4"/>
          <w:szCs w:val="24"/>
          <w:lang w:val="en-US"/>
        </w:rPr>
      </w:pPr>
    </w:p>
    <w:p w14:paraId="441F132E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</w:pPr>
      <w:bookmarkStart w:id="25" w:name="_Hlk27141721"/>
      <w:r w:rsidRPr="00EB3B8C">
        <w:rPr>
          <w:rFonts w:ascii="Book Antiqua" w:eastAsia="宋体" w:hAnsi="Book Antiqua" w:cs="Arial"/>
          <w:b/>
          <w:sz w:val="24"/>
          <w:szCs w:val="24"/>
          <w:u w:val="single"/>
          <w:lang w:val="en-US"/>
        </w:rPr>
        <w:t>DISCUSSION</w:t>
      </w:r>
    </w:p>
    <w:bookmarkEnd w:id="25"/>
    <w:p w14:paraId="772F9C8E" w14:textId="77777777" w:rsidR="00974EED" w:rsidRPr="00EA02E8" w:rsidRDefault="00974EED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demonstrate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95%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copy.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Importantly,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figure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raises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EB3B8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96%,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finding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contribute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implementation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cost-effective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preliminary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existence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32978"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64063" w:rsidRPr="00EA02E8">
        <w:rPr>
          <w:rFonts w:ascii="Book Antiqua" w:hAnsi="Book Antiqua"/>
          <w:color w:val="000000"/>
          <w:sz w:val="24"/>
          <w:szCs w:val="24"/>
          <w:lang w:val="en-US"/>
        </w:rPr>
        <w:t>help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6406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optimize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same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time,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extend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possibility,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population.</w:t>
      </w:r>
    </w:p>
    <w:p w14:paraId="7895F369" w14:textId="11D55B73" w:rsidR="0037060B" w:rsidRPr="00EA02E8" w:rsidRDefault="0037060B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introduction,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background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fundamental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determine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coupled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DQA1*0501-DQB1*02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DQA1*0301-DQB1*0302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respectively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code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class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II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MHC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heterodimers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DQ8,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demonstrated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expressed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61B02" w:rsidRPr="00EA02E8">
        <w:rPr>
          <w:rFonts w:ascii="Book Antiqua" w:hAnsi="Book Antiqua"/>
          <w:color w:val="000000"/>
          <w:sz w:val="24"/>
          <w:szCs w:val="24"/>
          <w:lang w:val="en-US"/>
        </w:rPr>
        <w:t>confirmed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61B02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h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predictive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value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absence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coding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MHC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-DQ2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-DQ8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r w:rsidR="00E22B59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,</w:t>
      </w:r>
      <w:r w:rsidR="00E22B59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Practically,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applied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suspect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whenever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h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istopathological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findings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straightforward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concomitant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diseases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imp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airs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reliability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141EFA" w:rsidRPr="00C8492D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e.g.</w:t>
      </w:r>
      <w:r w:rsidR="007D617C">
        <w:rPr>
          <w:rFonts w:ascii="Book Antiqua" w:hAnsi="Book Antiqua" w:hint="eastAsia"/>
          <w:i/>
          <w:iCs/>
          <w:color w:val="000000"/>
          <w:sz w:val="24"/>
          <w:szCs w:val="24"/>
          <w:lang w:val="en-US" w:eastAsia="zh-CN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IgA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deficiency,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Common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Variable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Immunodeficiency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C8492D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C8492D" w:rsidRPr="00C8492D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al</w:t>
      </w:r>
      <w:r w:rsidR="00141EFA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FF64B1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high-resolution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loci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particularly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useful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refine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and/or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complete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work-up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complex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absence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heterodimers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respectively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rule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support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course,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routine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expensive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completely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inappropriate,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disease)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large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part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30</w:t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-40%,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ethnic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variability)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possesses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background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potentially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14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2BA7FEDA" w14:textId="742A56D2" w:rsidR="0037060B" w:rsidRPr="00EA02E8" w:rsidRDefault="00C60354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everal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investigated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relationship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between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characteristics,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histopathological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features,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onset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21,25,46,52]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regard,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original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gradient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particular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genotype: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people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homozygo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DQ2/DQ8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heterozygosity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highest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importantly,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comparable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development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carrying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double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</w:t>
      </w:r>
      <w:r w:rsidR="006F7BE1" w:rsidRPr="00EA02E8">
        <w:rPr>
          <w:rFonts w:ascii="Book Antiqua" w:hAnsi="Book Antiqua"/>
          <w:color w:val="000000"/>
          <w:sz w:val="24"/>
          <w:szCs w:val="24"/>
          <w:lang w:val="en-US"/>
        </w:rPr>
        <w:t>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matter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paired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HLA-DQA1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27,43,57</w:t>
      </w:r>
      <w:r w:rsidR="00BF07B1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Recently,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meta-analysis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group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supported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thi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finding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(OR</w:t>
      </w:r>
      <w:r w:rsidR="00EB3B8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EB3B8C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5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compared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emphasized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single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“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dose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”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771A37" w:rsidRPr="00EA02E8">
        <w:rPr>
          <w:rFonts w:ascii="Book Antiqua" w:hAnsi="Book Antiqua"/>
          <w:color w:val="000000"/>
          <w:sz w:val="24"/>
          <w:szCs w:val="24"/>
          <w:lang w:val="en-US"/>
        </w:rPr>
        <w:t>relatively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high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(OR</w:t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sym w:font="Symbol" w:char="F0BB"/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4)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regards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C8492D" w:rsidRPr="00C8492D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8492D" w:rsidRPr="00C8492D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58-59]</w:t>
      </w:r>
      <w:r w:rsidR="00DF01B6"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detail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90</w:t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-95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C8492D" w:rsidRPr="00C8492D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8492D" w:rsidRPr="00C8492D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58]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monocentric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experience,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&gt;</w:t>
      </w:r>
      <w:r w:rsidR="00C8492D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95%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[50]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speculated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knowledge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potentially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used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implementation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targeting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exclusively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first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step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followed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screening,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applied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positive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7060B"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r w:rsidR="00822E89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11,</w:t>
      </w:r>
      <w:r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50]</w:t>
      </w:r>
      <w:r w:rsidR="00F70E50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66E8C6D6" w14:textId="65836726" w:rsidR="0037060B" w:rsidRPr="00EA02E8" w:rsidRDefault="0037060B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idea,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decided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quantitively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assess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actual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among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thus,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understand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positive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undergo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basically,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carrying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heterodimer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acceptably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low,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prevent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request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periodical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Anyway,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symptoms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consistent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course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0B20F130" w14:textId="2BBAD53D" w:rsidR="00203EAD" w:rsidRPr="00EA02E8" w:rsidRDefault="0037060B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estimated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(including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adults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devoid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looking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status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identify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95%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concomitantly,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rule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error)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lifetime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disease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60</w:t>
      </w:r>
      <w:r w:rsidR="0037022A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-70%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non-predisposed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never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receive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unless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consistent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symptoms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appear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point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existence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other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explanation.</w:t>
      </w:r>
    </w:p>
    <w:p w14:paraId="09D17211" w14:textId="39935749" w:rsidR="005C33AD" w:rsidRPr="00EA02E8" w:rsidRDefault="00203EA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Actually,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consideration,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error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over-estimated.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Indeed,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describing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cohorts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low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prevalence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concomitant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C60354" w:rsidRPr="00C906C6">
        <w:rPr>
          <w:rFonts w:ascii="Book Antiqua" w:hAnsi="Book Antiqua"/>
          <w:color w:val="000000"/>
          <w:sz w:val="24"/>
          <w:szCs w:val="24"/>
          <w:lang w:val="en-US"/>
        </w:rPr>
        <w:t>Table</w:t>
      </w:r>
      <w:r w:rsidR="00277F7A" w:rsidRPr="00C906C6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C906C6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percentage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non-HLA-DQB1*02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decrease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3.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6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5%.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Although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predisposition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relies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heterodimers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well,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disease-genotype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association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less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strong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importantly,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role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resulted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relevant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evidenced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several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studies.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northwestern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Mexico,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including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0707F" w:rsidRPr="0020707F">
        <w:rPr>
          <w:rFonts w:ascii="Book Antiqua" w:hAnsi="Book Antiqua"/>
          <w:color w:val="000000"/>
          <w:sz w:val="24"/>
          <w:szCs w:val="24"/>
          <w:lang w:val="en-US"/>
        </w:rPr>
        <w:t>Mejía</w:t>
      </w:r>
      <w:proofErr w:type="spellEnd"/>
      <w:r w:rsidR="0020707F" w:rsidRPr="0020707F">
        <w:rPr>
          <w:rFonts w:ascii="Book Antiqua" w:hAnsi="Book Antiqua"/>
          <w:color w:val="000000"/>
          <w:sz w:val="24"/>
          <w:szCs w:val="24"/>
          <w:lang w:val="en-US"/>
        </w:rPr>
        <w:t>-León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C60354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0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showed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HLA-DQ8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combinations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conferred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highest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combination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diseases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0707F" w:rsidRPr="0020707F">
        <w:rPr>
          <w:rFonts w:ascii="Book Antiqua" w:hAnsi="Book Antiqua"/>
          <w:color w:val="000000"/>
          <w:sz w:val="24"/>
          <w:szCs w:val="24"/>
          <w:lang w:val="en-US"/>
        </w:rPr>
        <w:t>Smigoc</w:t>
      </w:r>
      <w:proofErr w:type="spellEnd"/>
      <w:r w:rsidR="0020707F" w:rsidRPr="0020707F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0707F" w:rsidRPr="0020707F">
        <w:rPr>
          <w:rFonts w:ascii="Book Antiqua" w:hAnsi="Book Antiqua"/>
          <w:color w:val="000000"/>
          <w:sz w:val="24"/>
          <w:szCs w:val="24"/>
          <w:lang w:val="en-US"/>
        </w:rPr>
        <w:t>Schweiger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5C33AD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1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present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52%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76%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their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Slovenian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respectively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Mitchell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5C33AD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2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described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DQ2/DQ8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176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Scottish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50</w:t>
      </w:r>
      <w:r w:rsidR="0037022A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%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-55%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importantly,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associated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20%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summary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homozygous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general,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heterozygous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copy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expected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4311AF6C" w14:textId="26CD168B" w:rsidR="005C33AD" w:rsidRPr="00EA02E8" w:rsidRDefault="005C33A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Moreover,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paired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cohort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1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+CD.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Dezsofi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r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[26]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4%,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10.6%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Viken</w:t>
      </w:r>
      <w:proofErr w:type="spellEnd"/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1306DC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1306DC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1306DC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1306DC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1306DC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44]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adopted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similar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larger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design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investigate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class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II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Norwegian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coexisting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Whereas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DQ8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homo-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heterozygous)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exceed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CD-only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cohort,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CD+DM1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exceed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percentage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spellStart"/>
      <w:r w:rsidR="0020707F" w:rsidRPr="00793B53">
        <w:rPr>
          <w:rFonts w:ascii="Book Antiqua" w:eastAsia="MS MinNew Roman" w:hAnsi="Book Antiqua"/>
          <w:bCs/>
          <w:iCs/>
          <w:sz w:val="24"/>
          <w:szCs w:val="24"/>
          <w:lang w:val="en-US" w:eastAsia="it-IT"/>
        </w:rPr>
        <w:t>Kauma</w:t>
      </w:r>
      <w:proofErr w:type="spellEnd"/>
      <w:r w:rsidR="0020707F" w:rsidRPr="00756F79">
        <w:rPr>
          <w:rFonts w:ascii="Book Antiqua" w:eastAsia="MS MinNew Roman" w:hAnsi="Book Antiqua"/>
          <w:bCs/>
          <w:i/>
          <w:sz w:val="24"/>
          <w:szCs w:val="24"/>
          <w:lang w:val="en-US" w:eastAsia="it-IT"/>
        </w:rPr>
        <w:t xml:space="preserve"> et al</w:t>
      </w:r>
      <w:r w:rsidR="0020707F" w:rsidRPr="00756F79">
        <w:rPr>
          <w:rFonts w:ascii="Book Antiqua" w:eastAsia="MS MinNew Roman" w:hAnsi="Book Antiqua"/>
          <w:bCs/>
          <w:sz w:val="24"/>
          <w:szCs w:val="24"/>
          <w:vertAlign w:val="superscript"/>
          <w:lang w:val="en-US" w:eastAsia="it-IT"/>
        </w:rPr>
        <w:t>[48]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two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groups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(namely,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index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siblings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affected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CD)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concomitant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quite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different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(1/66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4/66,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respectively):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interestingly,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non-HLA-DQB1*02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carriers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much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prevalent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latter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group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(10.6%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vs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3%),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due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higher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HLA-DQB1*0302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(DQ8)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DM1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subgroup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2B63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18839362" w14:textId="77777777" w:rsidR="00974EED" w:rsidRPr="00EA02E8" w:rsidRDefault="00974EE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limited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fact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providing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enough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groups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analyses.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However,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pre-selection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biases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were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carefully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thus,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avoided,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reliable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findings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analysis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purposes.</w:t>
      </w:r>
    </w:p>
    <w:p w14:paraId="0AB9E594" w14:textId="2D03A2FC" w:rsidR="005C33AD" w:rsidRPr="00EA02E8" w:rsidRDefault="00BA065C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potential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HLA-DQB1*02-targeted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addressed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people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does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into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ESPGHAN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groups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risk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(and,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thus,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receiving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periodical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anyway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),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case-finding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leaves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majority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asymptomatic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pauci-symptomatic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undiagnosed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[6</w:t>
      </w:r>
      <w:r w:rsid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3,64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course,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currently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propose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periodical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population,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limited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children,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more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vulnerable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negative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long-term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consequences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undiagnosed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belatedly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diagnosed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(present/not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present)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feasible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after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rigorous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economical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ethical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assessment,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allow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identify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almost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CD-predisposed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children,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around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30-40%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general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pediatric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population.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60-70%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eligible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receive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anymore,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(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periodic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>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 xml:space="preserve">serological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proposed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HLA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-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 xml:space="preserve">DQB1*02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only.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end,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C60354"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also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lead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some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savings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currently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allocated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screening,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we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consider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tests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often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over-requested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="005C33AD" w:rsidRPr="00EA02E8">
        <w:rPr>
          <w:rFonts w:ascii="Book Antiqua" w:hAnsi="Book Antiqua"/>
          <w:color w:val="000000"/>
          <w:sz w:val="24"/>
          <w:szCs w:val="24"/>
          <w:lang w:val="en-US"/>
        </w:rPr>
        <w:t>practitioners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DC4910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4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-6</w:t>
      </w:r>
      <w:r w:rsidR="00DC4910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</w:p>
    <w:p w14:paraId="18A9237A" w14:textId="586E1F21" w:rsidR="005C33AD" w:rsidRPr="00EA02E8" w:rsidRDefault="005C33A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variably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affects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healthcare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gold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standard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combination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methods,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which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usually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begins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include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immunoglobulin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(IgA)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tissue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transglutaminase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(TTG)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IgA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DC4910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7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(including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250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healthy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from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Europe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reported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serum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TTG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€5000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annually,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rising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€11250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anti-endomysium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(EMA)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additionally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Therefore,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Europe,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ELISA-based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TTG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approximately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20€,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total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IgA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proofErr w:type="gramStart"/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measurement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822E89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</w:t>
      </w:r>
      <w:r w:rsidR="00DC4910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8</w:t>
      </w:r>
      <w:r w:rsidR="00C60354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7F5F6C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Identifying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majority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who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because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not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might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significant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lastRenderedPageBreak/>
        <w:t>reduction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sustained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According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findings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review,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&lt;</w:t>
      </w:r>
      <w:r w:rsidR="00C906C6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5%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CD-predisposed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should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symptoms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consistent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during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own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life,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performed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anyway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clinical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basis.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2BC2C874" w14:textId="648858FE" w:rsidR="005C33AD" w:rsidRPr="00EA02E8" w:rsidRDefault="005C33AD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Low-cost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molecular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methods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qualitative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HLA-typing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horizon.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instance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Verma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et</w:t>
      </w:r>
      <w:r w:rsidR="00277F7A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B17AF6" w:rsidRPr="0020707F">
        <w:rPr>
          <w:rFonts w:ascii="Book Antiqua" w:hAnsi="Book Antiqua"/>
          <w:i/>
          <w:iCs/>
          <w:color w:val="000000"/>
          <w:sz w:val="24"/>
          <w:szCs w:val="24"/>
          <w:lang w:val="en-US"/>
        </w:rPr>
        <w:t>al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[</w:t>
      </w:r>
      <w:proofErr w:type="gramEnd"/>
      <w:r w:rsidR="0020707F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69</w:t>
      </w:r>
      <w:r w:rsidR="0020707F" w:rsidRPr="001306DC">
        <w:rPr>
          <w:rFonts w:ascii="Book Antiqua" w:hAnsi="Book Antiqua"/>
          <w:color w:val="000000"/>
          <w:sz w:val="24"/>
          <w:szCs w:val="24"/>
          <w:vertAlign w:val="superscript"/>
          <w:lang w:val="en-US"/>
        </w:rPr>
        <w:t>]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recently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proposed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rapid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typing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method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identify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subjects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genetically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susceptible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CD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perform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342533" w:rsidRPr="00EA02E8">
        <w:rPr>
          <w:rFonts w:ascii="Book Antiqua" w:hAnsi="Book Antiqua"/>
          <w:color w:val="000000"/>
          <w:sz w:val="24"/>
          <w:szCs w:val="24"/>
          <w:lang w:val="en-US"/>
        </w:rPr>
        <w:t>PCR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kit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containing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all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four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target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alleles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17AF6"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5674BE">
        <w:rPr>
          <w:rFonts w:ascii="Book Antiqua" w:hAnsi="Book Antiqua"/>
          <w:color w:val="000000"/>
          <w:sz w:val="24"/>
          <w:szCs w:val="24"/>
          <w:lang w:val="en-US"/>
        </w:rPr>
        <w:t>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genotyping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€15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probably,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further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reduced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using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reagents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detect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Children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receive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only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one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30</w:t>
      </w:r>
      <w:r w:rsidR="0037022A">
        <w:rPr>
          <w:rFonts w:ascii="Book Antiqua" w:hAnsi="Book Antiqua" w:hint="eastAsia"/>
          <w:color w:val="000000"/>
          <w:sz w:val="24"/>
          <w:szCs w:val="24"/>
          <w:lang w:val="en-US" w:eastAsia="zh-CN"/>
        </w:rPr>
        <w:t>%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-40%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them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(those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positive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results)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identified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CD-predisposed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eligible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time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points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established.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6A90C867" w14:textId="1035EB17" w:rsidR="00EB1C88" w:rsidRDefault="00C60354" w:rsidP="00EB3B8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conclusion,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cost-effective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widened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approach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may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very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227F89" w:rsidRPr="00EA02E8">
        <w:rPr>
          <w:rFonts w:ascii="Book Antiqua" w:hAnsi="Book Antiqua"/>
          <w:color w:val="000000"/>
          <w:sz w:val="24"/>
          <w:szCs w:val="24"/>
          <w:lang w:val="en-US"/>
        </w:rPr>
        <w:t>helpful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both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developing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countries,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sustainable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implemented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through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low-cost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targeted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genetic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test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A065C" w:rsidRPr="00EA02E8">
        <w:rPr>
          <w:rFonts w:ascii="Book Antiqua" w:hAnsi="Book Antiqua"/>
          <w:color w:val="000000"/>
          <w:sz w:val="24"/>
          <w:szCs w:val="24"/>
          <w:lang w:val="en-US"/>
        </w:rPr>
        <w:t>presence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along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appropriate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algorithms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for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serological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screening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 xml:space="preserve">the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individuals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B7378B">
        <w:rPr>
          <w:rFonts w:ascii="Book Antiqua" w:hAnsi="Book Antiqua"/>
          <w:color w:val="000000"/>
          <w:sz w:val="24"/>
          <w:szCs w:val="24"/>
          <w:lang w:val="en-US"/>
        </w:rPr>
        <w:t xml:space="preserve">with this specific HLA-DQ predisposition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to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course,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pharmacoeconomic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studies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and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ethical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considerations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would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needed,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before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strategy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="004E7644" w:rsidRPr="00EA02E8">
        <w:rPr>
          <w:rFonts w:ascii="Book Antiqua" w:hAnsi="Book Antiqua"/>
          <w:color w:val="000000"/>
          <w:sz w:val="24"/>
          <w:szCs w:val="24"/>
          <w:lang w:val="en-US"/>
        </w:rPr>
        <w:t>can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be</w:t>
      </w:r>
      <w:r w:rsidR="00277F7A"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proposed.</w:t>
      </w:r>
    </w:p>
    <w:p w14:paraId="73F4A42E" w14:textId="77777777" w:rsidR="00713E21" w:rsidRPr="00EA02E8" w:rsidRDefault="00713E21" w:rsidP="00DA36B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</w:p>
    <w:p w14:paraId="0B4B7CE3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</w:pPr>
      <w:bookmarkStart w:id="26" w:name="_Hlk29215933"/>
      <w:bookmarkStart w:id="27" w:name="_Hlk27569419"/>
      <w:bookmarkStart w:id="28" w:name="_Hlk27141645"/>
      <w:bookmarkStart w:id="29" w:name="_Hlk33639014"/>
      <w:r w:rsidRPr="00EB3B8C">
        <w:rPr>
          <w:rFonts w:ascii="Book Antiqua" w:eastAsia="宋体" w:hAnsi="Book Antiqua" w:cs="Calibri"/>
          <w:b/>
          <w:sz w:val="24"/>
          <w:szCs w:val="24"/>
          <w:u w:val="single"/>
          <w:lang w:val="en-US"/>
        </w:rPr>
        <w:t>ARTICLE HIGHLIGHTS</w:t>
      </w:r>
    </w:p>
    <w:bookmarkEnd w:id="26"/>
    <w:p w14:paraId="6A02D3D3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background</w:t>
      </w:r>
    </w:p>
    <w:bookmarkEnd w:id="27"/>
    <w:p w14:paraId="09852ACF" w14:textId="77777777" w:rsidR="00EB3B8C" w:rsidRDefault="00FB40D6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 w:rsidRPr="00FB40D6">
        <w:rPr>
          <w:rFonts w:ascii="Book Antiqua" w:eastAsia="宋体" w:hAnsi="Book Antiqua" w:cs="Arial"/>
          <w:sz w:val="24"/>
          <w:szCs w:val="24"/>
          <w:lang w:val="en-US"/>
        </w:rPr>
        <w:t xml:space="preserve">Celiac disease (CD)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is an immune-mediated disorder in which the</w:t>
      </w:r>
      <w:r w:rsidRPr="00FB40D6">
        <w:rPr>
          <w:rFonts w:ascii="Book Antiqua" w:eastAsia="宋体" w:hAnsi="Book Antiqua" w:cs="Arial"/>
          <w:sz w:val="24"/>
          <w:szCs w:val="24"/>
          <w:lang w:val="en-US"/>
        </w:rPr>
        <w:t xml:space="preserve"> HLA immunogenetic background (DQ2 and DQ8 heterodimers)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is well known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.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This genetic factor is</w:t>
      </w:r>
      <w:r w:rsidRPr="00FB40D6">
        <w:rPr>
          <w:rFonts w:ascii="Book Antiqua" w:eastAsia="宋体" w:hAnsi="Book Antiqua" w:cs="Arial"/>
          <w:sz w:val="24"/>
          <w:szCs w:val="24"/>
          <w:lang w:val="en-US"/>
        </w:rPr>
        <w:t xml:space="preserve"> necessary – but not sufficient – to develop CD.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 xml:space="preserve"> Basically, almost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 100% of CD patients are carriers of the aforementioned HLA-DQ background and several studies e</w:t>
      </w:r>
      <w:r w:rsidR="00713E21">
        <w:rPr>
          <w:rFonts w:ascii="Book Antiqua" w:eastAsia="宋体" w:hAnsi="Book Antiqua" w:cs="Arial"/>
          <w:sz w:val="24"/>
          <w:szCs w:val="24"/>
          <w:lang w:val="en-US"/>
        </w:rPr>
        <w:t xml:space="preserve">mphasized the main 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role of the </w:t>
      </w:r>
      <w:r w:rsidRPr="00FB40D6">
        <w:rPr>
          <w:rFonts w:ascii="Book Antiqua" w:eastAsia="宋体" w:hAnsi="Book Antiqua" w:cs="Arial"/>
          <w:sz w:val="24"/>
          <w:szCs w:val="24"/>
          <w:lang w:val="en-US"/>
        </w:rPr>
        <w:t>HLA-DQB1*02</w:t>
      </w:r>
      <w:r w:rsidR="00713E21">
        <w:rPr>
          <w:rFonts w:ascii="Book Antiqua" w:eastAsia="宋体" w:hAnsi="Book Antiqua" w:cs="Arial"/>
          <w:sz w:val="24"/>
          <w:szCs w:val="24"/>
          <w:lang w:val="en-US"/>
        </w:rPr>
        <w:t xml:space="preserve"> allele in such a genetic predisposition. </w:t>
      </w:r>
    </w:p>
    <w:p w14:paraId="54C802EB" w14:textId="77777777" w:rsidR="004E667B" w:rsidRPr="00EB3B8C" w:rsidRDefault="004E667B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</w:p>
    <w:p w14:paraId="1824C24C" w14:textId="77777777" w:rsidR="00713E21" w:rsidRDefault="00EB3B8C" w:rsidP="00713E21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motivation</w:t>
      </w:r>
    </w:p>
    <w:p w14:paraId="2520ADCA" w14:textId="77777777" w:rsidR="001306DC" w:rsidRDefault="00713E21" w:rsidP="00EB3B8C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underdiagnosed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in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both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developing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developed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countries,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due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several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aspects</w:t>
      </w:r>
      <w:r w:rsidR="004E667B">
        <w:rPr>
          <w:rFonts w:ascii="Book Antiqua" w:hAnsi="Book Antiqua"/>
          <w:bCs/>
          <w:color w:val="000000"/>
          <w:sz w:val="24"/>
          <w:szCs w:val="24"/>
          <w:lang w:val="en-US"/>
        </w:rPr>
        <w:t>: indeed,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667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many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present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mild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and/or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atypical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symptoms,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without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presence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any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recognized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risk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factors.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Therefore,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possibility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and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feasibility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widened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screening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lastRenderedPageBreak/>
        <w:t>strategies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to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identify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patients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is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4E667B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still 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>debated and this study might provide some additional insig</w:t>
      </w:r>
      <w:r w:rsidR="004E667B">
        <w:rPr>
          <w:rFonts w:ascii="Book Antiqua" w:hAnsi="Book Antiqua"/>
          <w:bCs/>
          <w:color w:val="000000"/>
          <w:sz w:val="24"/>
          <w:szCs w:val="24"/>
          <w:lang w:val="en-US"/>
        </w:rPr>
        <w:t>hts, in order to find novel</w:t>
      </w:r>
      <w:r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screening strategies. </w:t>
      </w:r>
    </w:p>
    <w:p w14:paraId="37BACB66" w14:textId="77777777" w:rsidR="001306DC" w:rsidRDefault="001306DC" w:rsidP="00EB3B8C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0AB01B87" w14:textId="71B7EAE2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objectives</w:t>
      </w:r>
    </w:p>
    <w:p w14:paraId="211CD2E0" w14:textId="77777777" w:rsidR="00713E21" w:rsidRPr="00EA02E8" w:rsidRDefault="00713E21" w:rsidP="00713E2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US"/>
        </w:rPr>
      </w:pP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Our aim was to define and assess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carrier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frequency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specific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allelic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variant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HLA-DQB1*02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(coding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sym w:font="Symbol" w:char="F062"/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chain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DQ2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heterodimer)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in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the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population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of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patients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diagnosed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with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  <w:r w:rsidRPr="00EA02E8">
        <w:rPr>
          <w:rFonts w:ascii="Book Antiqua" w:hAnsi="Book Antiqua"/>
          <w:color w:val="000000"/>
          <w:sz w:val="24"/>
          <w:szCs w:val="24"/>
          <w:lang w:val="en-US"/>
        </w:rPr>
        <w:t>CD.</w:t>
      </w:r>
      <w:r>
        <w:rPr>
          <w:rFonts w:ascii="Book Antiqua" w:hAnsi="Book Antiqua"/>
          <w:color w:val="000000"/>
          <w:sz w:val="24"/>
          <w:szCs w:val="24"/>
          <w:lang w:val="en-US"/>
        </w:rPr>
        <w:t xml:space="preserve"> </w:t>
      </w:r>
    </w:p>
    <w:p w14:paraId="69D2A421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sz w:val="24"/>
          <w:szCs w:val="24"/>
          <w:lang w:val="en-US"/>
        </w:rPr>
      </w:pPr>
    </w:p>
    <w:p w14:paraId="50EF6E23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methods</w:t>
      </w:r>
    </w:p>
    <w:p w14:paraId="053B4F73" w14:textId="409CD89F" w:rsidR="00713E21" w:rsidRDefault="00713E21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>
        <w:rPr>
          <w:rFonts w:ascii="Book Antiqua" w:eastAsia="宋体" w:hAnsi="Book Antiqua" w:cs="Arial"/>
          <w:sz w:val="24"/>
          <w:szCs w:val="24"/>
          <w:lang w:val="en-US"/>
        </w:rPr>
        <w:t xml:space="preserve">In order to achieve our aim, we performed a systematic review, 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>acco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rding to the PRISMA guidelines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 xml:space="preserve">, by retrieving all original articles (case series, case–control, cross-sectional, and retrospective cohort studies) describing CD patients’ HLA-DQB1 genotype in detail.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A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 xml:space="preserve">ny original articles in which CD patients’ HLA-DQB1 genotype was described in such a way and detail that the number of HLA-DQB1*02 carriers could be clearly defined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(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>within the total of the respective CD population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), was considered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 xml:space="preserve">. </w:t>
      </w:r>
    </w:p>
    <w:p w14:paraId="5C2F248D" w14:textId="77777777" w:rsidR="001306DC" w:rsidRPr="00EB3B8C" w:rsidRDefault="001306D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</w:p>
    <w:p w14:paraId="4F639178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results</w:t>
      </w:r>
    </w:p>
    <w:p w14:paraId="39D08641" w14:textId="179A186E" w:rsidR="00713E21" w:rsidRDefault="00713E21" w:rsidP="00623716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 w:rsidRPr="00713E21">
        <w:rPr>
          <w:rFonts w:ascii="Book Antiqua" w:eastAsia="宋体" w:hAnsi="Book Antiqua" w:cs="Arial"/>
          <w:sz w:val="24"/>
          <w:szCs w:val="24"/>
          <w:lang w:val="en-US"/>
        </w:rPr>
        <w:t>As a result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 xml:space="preserve"> of our literature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 search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>, 38 studies were finally included in the present syst</w:t>
      </w:r>
      <w:r>
        <w:rPr>
          <w:rFonts w:ascii="Book Antiqua" w:eastAsia="宋体" w:hAnsi="Book Antiqua" w:cs="Arial"/>
          <w:sz w:val="24"/>
          <w:szCs w:val="24"/>
          <w:lang w:val="en-US"/>
        </w:rPr>
        <w:t>ematic review, since those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 xml:space="preserve"> provided details of the HLA-DQB1 genotype in such a way that could allow to assess the HLA-DQB1*02 carr</w:t>
      </w:r>
      <w:r w:rsidR="00623716">
        <w:rPr>
          <w:rFonts w:ascii="Book Antiqua" w:eastAsia="宋体" w:hAnsi="Book Antiqua" w:cs="Arial"/>
          <w:sz w:val="24"/>
          <w:szCs w:val="24"/>
          <w:lang w:val="en-US"/>
        </w:rPr>
        <w:t>ier frequency among CD patients</w:t>
      </w:r>
      <w:r w:rsidRPr="00713E21">
        <w:rPr>
          <w:rFonts w:ascii="Book Antiqua" w:eastAsia="宋体" w:hAnsi="Book Antiqua" w:cs="Arial"/>
          <w:sz w:val="24"/>
          <w:szCs w:val="24"/>
          <w:lang w:val="en-US"/>
        </w:rPr>
        <w:t>.</w:t>
      </w:r>
      <w:r w:rsidR="00623716" w:rsidRPr="00623716">
        <w:t xml:space="preserve">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A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>mong 4945 HLA-DQ genotyped CD patients, the HLA-DQB1*02 carrier frequency resulted to be 94.94%, meaning that only 5.06% of CD population was completel</w:t>
      </w:r>
      <w:r w:rsidR="00623716">
        <w:rPr>
          <w:rFonts w:ascii="Book Antiqua" w:eastAsia="宋体" w:hAnsi="Book Antiqua" w:cs="Arial"/>
          <w:sz w:val="24"/>
          <w:szCs w:val="24"/>
          <w:lang w:val="en-US"/>
        </w:rPr>
        <w:t xml:space="preserve">y lacking this allelic variant. 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 xml:space="preserve">If only the CD </w:t>
      </w:r>
      <w:r w:rsidR="004E667B">
        <w:rPr>
          <w:rFonts w:ascii="Book Antiqua" w:eastAsia="宋体" w:hAnsi="Book Antiqua" w:cs="Arial"/>
          <w:sz w:val="24"/>
          <w:szCs w:val="24"/>
          <w:lang w:val="en-US"/>
        </w:rPr>
        <w:t>pediatric population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 xml:space="preserve"> is considered, similar figures are obtained: only 5.31% is lacking a copy of thi</w:t>
      </w:r>
      <w:r w:rsidR="00623716">
        <w:rPr>
          <w:rFonts w:ascii="Book Antiqua" w:eastAsia="宋体" w:hAnsi="Book Antiqua" w:cs="Arial"/>
          <w:sz w:val="24"/>
          <w:szCs w:val="24"/>
          <w:lang w:val="en-US"/>
        </w:rPr>
        <w:t xml:space="preserve">s allelic variant.  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>Finally, if we consider only the studies whereby the</w:t>
      </w:r>
      <w:r w:rsidR="003F7AC6">
        <w:rPr>
          <w:rFonts w:ascii="Book Antiqua" w:eastAsia="宋体" w:hAnsi="Book Antiqua" w:cs="Arial"/>
          <w:sz w:val="24"/>
          <w:szCs w:val="24"/>
          <w:lang w:val="en-US"/>
        </w:rPr>
        <w:t xml:space="preserve"> prevalence of CD patients also affected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 xml:space="preserve"> with type 1 diabetes mellitus (DM1) was supposed or clearly </w:t>
      </w:r>
      <w:r w:rsidR="00623716">
        <w:rPr>
          <w:rFonts w:ascii="Book Antiqua" w:eastAsia="宋体" w:hAnsi="Book Antiqua" w:cs="Arial"/>
          <w:sz w:val="24"/>
          <w:szCs w:val="24"/>
          <w:lang w:val="en-US"/>
        </w:rPr>
        <w:t>established to be very low</w:t>
      </w:r>
      <w:r w:rsidR="00623716" w:rsidRPr="00623716">
        <w:rPr>
          <w:rFonts w:ascii="Book Antiqua" w:eastAsia="宋体" w:hAnsi="Book Antiqua" w:cs="Arial"/>
          <w:sz w:val="24"/>
          <w:szCs w:val="24"/>
          <w:lang w:val="en-US"/>
        </w:rPr>
        <w:t>, the frequency of non-HLA-DQB1*02 carriers among CD patients dropped up to 3.65%.</w:t>
      </w:r>
    </w:p>
    <w:p w14:paraId="0DA7FA52" w14:textId="77777777" w:rsidR="001306DC" w:rsidRPr="00713E21" w:rsidRDefault="001306DC" w:rsidP="00623716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</w:p>
    <w:p w14:paraId="1EAF0174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conclusions</w:t>
      </w:r>
    </w:p>
    <w:p w14:paraId="77745C22" w14:textId="7438B0B2" w:rsidR="00584E27" w:rsidRPr="00EB3B8C" w:rsidRDefault="00623716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 w:rsidRPr="00623716">
        <w:rPr>
          <w:rFonts w:ascii="Book Antiqua" w:eastAsia="宋体" w:hAnsi="Book Antiqua" w:cs="Arial"/>
          <w:sz w:val="24"/>
          <w:szCs w:val="24"/>
          <w:lang w:val="en-US"/>
        </w:rPr>
        <w:t>According to the findings of this systematic review, &lt;</w:t>
      </w:r>
      <w:r w:rsidR="00C906C6">
        <w:rPr>
          <w:rFonts w:ascii="Book Antiqua" w:eastAsia="宋体" w:hAnsi="Book Antiqua" w:cs="Arial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Arial"/>
          <w:sz w:val="24"/>
          <w:szCs w:val="24"/>
          <w:lang w:val="en-US"/>
        </w:rPr>
        <w:t>4</w:t>
      </w:r>
      <w:r w:rsidR="00C906C6" w:rsidRPr="00623716">
        <w:rPr>
          <w:rFonts w:ascii="Book Antiqua" w:eastAsia="宋体" w:hAnsi="Book Antiqua" w:cs="Arial"/>
          <w:sz w:val="24"/>
          <w:szCs w:val="24"/>
          <w:lang w:val="en-US"/>
        </w:rPr>
        <w:t>%</w:t>
      </w:r>
      <w:r>
        <w:rPr>
          <w:rFonts w:ascii="Book Antiqua" w:eastAsia="宋体" w:hAnsi="Book Antiqua" w:cs="Arial"/>
          <w:sz w:val="24"/>
          <w:szCs w:val="24"/>
          <w:lang w:val="en-US"/>
        </w:rPr>
        <w:t>-</w:t>
      </w:r>
      <w:r w:rsidRPr="00623716">
        <w:rPr>
          <w:rFonts w:ascii="Book Antiqua" w:eastAsia="宋体" w:hAnsi="Book Antiqua" w:cs="Arial"/>
          <w:sz w:val="24"/>
          <w:szCs w:val="24"/>
          <w:lang w:val="en-US"/>
        </w:rPr>
        <w:t xml:space="preserve">5% of CD-predisposed children may be lost through 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a preliminary evaluation of the presence/absence of </w:t>
      </w:r>
      <w:r w:rsidRPr="00623716">
        <w:rPr>
          <w:rFonts w:ascii="Book Antiqua" w:eastAsia="宋体" w:hAnsi="Book Antiqua" w:cs="Arial"/>
          <w:sz w:val="24"/>
          <w:szCs w:val="24"/>
          <w:lang w:val="en-US"/>
        </w:rPr>
        <w:t>HLA-DQB1*02</w:t>
      </w:r>
      <w:r>
        <w:rPr>
          <w:rFonts w:ascii="Book Antiqua" w:eastAsia="宋体" w:hAnsi="Book Antiqua" w:cs="Arial"/>
          <w:sz w:val="24"/>
          <w:szCs w:val="24"/>
          <w:lang w:val="en-US"/>
        </w:rPr>
        <w:t xml:space="preserve"> </w:t>
      </w:r>
      <w:r>
        <w:rPr>
          <w:rFonts w:ascii="Book Antiqua" w:eastAsia="宋体" w:hAnsi="Book Antiqua" w:cs="Arial"/>
          <w:sz w:val="24"/>
          <w:szCs w:val="24"/>
          <w:lang w:val="en-US"/>
        </w:rPr>
        <w:lastRenderedPageBreak/>
        <w:t xml:space="preserve">allele, regardless of the presence of other HLA-DQB1 and HLA-DQA1 CD-predisposing alleles. </w:t>
      </w:r>
    </w:p>
    <w:p w14:paraId="07B333E4" w14:textId="77777777" w:rsidR="001306DC" w:rsidRDefault="001306D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</w:p>
    <w:p w14:paraId="45FF8DFF" w14:textId="6E673042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</w:pPr>
      <w:r w:rsidRPr="00EB3B8C">
        <w:rPr>
          <w:rFonts w:ascii="Book Antiqua" w:eastAsia="宋体" w:hAnsi="Book Antiqua" w:cs="Arial"/>
          <w:b/>
          <w:i/>
          <w:iCs/>
          <w:sz w:val="24"/>
          <w:szCs w:val="24"/>
          <w:lang w:val="en-US"/>
        </w:rPr>
        <w:t>Research perspectives</w:t>
      </w:r>
    </w:p>
    <w:bookmarkEnd w:id="28"/>
    <w:p w14:paraId="77F73D09" w14:textId="77777777" w:rsidR="00EB3B8C" w:rsidRPr="00EB3B8C" w:rsidRDefault="00584E27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US"/>
        </w:rPr>
      </w:pPr>
      <w:r>
        <w:rPr>
          <w:rFonts w:ascii="Book Antiqua" w:eastAsia="宋体" w:hAnsi="Book Antiqua" w:cs="Arial"/>
          <w:sz w:val="24"/>
          <w:szCs w:val="24"/>
          <w:lang w:val="en-US"/>
        </w:rPr>
        <w:t>A</w:t>
      </w:r>
      <w:r w:rsidRPr="00584E27">
        <w:rPr>
          <w:rFonts w:ascii="Book Antiqua" w:eastAsia="宋体" w:hAnsi="Book Antiqua" w:cs="Arial"/>
          <w:sz w:val="24"/>
          <w:szCs w:val="24"/>
          <w:lang w:val="en-US"/>
        </w:rPr>
        <w:t xml:space="preserve"> cost-effective and widened screening approach may be very helpful in both developed and developing countries, if a sustainable strategy could be implemented through a low-cost targeted genetic test for the HLA-DQB1*02 allelic p</w:t>
      </w:r>
      <w:r w:rsidR="003F7AC6">
        <w:rPr>
          <w:rFonts w:ascii="Book Antiqua" w:eastAsia="宋体" w:hAnsi="Book Antiqua" w:cs="Arial"/>
          <w:sz w:val="24"/>
          <w:szCs w:val="24"/>
          <w:lang w:val="en-US"/>
        </w:rPr>
        <w:t xml:space="preserve">resence, along with appropriate </w:t>
      </w:r>
      <w:r w:rsidRPr="00584E27">
        <w:rPr>
          <w:rFonts w:ascii="Book Antiqua" w:eastAsia="宋体" w:hAnsi="Book Antiqua" w:cs="Arial"/>
          <w:sz w:val="24"/>
          <w:szCs w:val="24"/>
          <w:lang w:val="en-US"/>
        </w:rPr>
        <w:t xml:space="preserve">algorithms for serological screening in individuals resulting to be genetically predisposed to CD. </w:t>
      </w:r>
    </w:p>
    <w:bookmarkEnd w:id="29"/>
    <w:p w14:paraId="7FDD307A" w14:textId="77777777" w:rsidR="00584E27" w:rsidRPr="00EA02E8" w:rsidRDefault="00584E27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</w:p>
    <w:p w14:paraId="6399BB85" w14:textId="5DCB0E4C" w:rsidR="00D06D93" w:rsidRDefault="00D06D93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US"/>
        </w:rPr>
      </w:pPr>
      <w:r w:rsidRPr="00EA02E8">
        <w:rPr>
          <w:rFonts w:ascii="Book Antiqua" w:hAnsi="Book Antiqua"/>
          <w:b/>
          <w:color w:val="000000"/>
          <w:sz w:val="24"/>
          <w:szCs w:val="24"/>
          <w:lang w:val="en-US"/>
        </w:rPr>
        <w:t>REFERENCES</w:t>
      </w:r>
    </w:p>
    <w:p w14:paraId="66DF8CA6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Lindfors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Ciacci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Kurppa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Lundin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KEA,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Makharia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Mearin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ML, Murray JA,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Verdu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Kaukinen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K.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Nat Rev Dis Primers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 [PMID: 30631077 DOI: 10.1038/s41572-018-0054-z]</w:t>
      </w:r>
    </w:p>
    <w:p w14:paraId="2923AA2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Lebwohl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B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Sanders DS, Green PHR.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Lancet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391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70-81 [PMID: 28760445 DOI: 10.1016/S0140-6736(17)31796-8]</w:t>
      </w:r>
    </w:p>
    <w:p w14:paraId="58435895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Rakhimzhanova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Marchenko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Y,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Pediatric Celiac Disease in Central and East Asia: Current Knowledge and Prevalence.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Medicina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(Kaunas)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[PMID: 30642036 DOI: 10.3390/medicina55010011]</w:t>
      </w:r>
    </w:p>
    <w:p w14:paraId="2AAA31BC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Turganbekova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Baymukasheva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Saduakas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Zhanzakova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Abdrakhmanova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S. Genetic predisposition to celiac disease in Kazakhstan: Potential impact on the clinical practice in Central Asia.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PLoS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One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2020;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e0226546 [PMID: 31895924 DOI: 10.1371/journal.pone.0226546]</w:t>
      </w:r>
    </w:p>
    <w:p w14:paraId="5E42B876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Nenna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R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Tiberti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Petrarca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Lucantoni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Mennini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Luparia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Panimolle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Mastrogiorgio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Pietropaoli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Magliocca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Bonamico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M. The celiac iceberg: characterization of the disease in primary schoolchildren.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416-421 [PMID: 23149808 DOI: 10.1097/MPG.0b013e31827b7f64]</w:t>
      </w:r>
    </w:p>
    <w:p w14:paraId="40AB656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Ludvigsson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Card TR,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Kaukinen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Zingone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Sanders DS, Murray JA. Screening for celiac disease in the general population and in high-risk groups.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United European Gastroenterol 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2015;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106-120 [PMID: 25922671 DOI: 10.1177/2050640614561668]</w:t>
      </w:r>
    </w:p>
    <w:p w14:paraId="0A5EE94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Lionetti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E. Case finding for celiac disease is okay, but is it enough?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415-417 [PMID: 23863326 DOI: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>10.1097/MPG.0b013e3182a45676]</w:t>
      </w:r>
    </w:p>
    <w:p w14:paraId="76282B19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8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Ludvigsson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Murray JA. Epidemiology of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 Clin North Am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48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1-18 [PMID: 30711202 DOI: 10.1016/j.gtc.2018.09.004]</w:t>
      </w:r>
    </w:p>
    <w:p w14:paraId="7E0A43E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9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US Preventive Services Task Force.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Bibbins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-Domingo K, Grossman DC, Curry SJ, Barry MJ, Davidson KW,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Doubeni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Ebell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Epling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JW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Herzstein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Kemper AR,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Krist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Kurth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Landefeld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Mangione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CM, Phipps MG, Silverstein M, Simon MA, Tseng CW. Screening for Celiac Disease: US Preventive Services Task Force Recommendation Statement.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JAMA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2017;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317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1252-1257 [PMID: 28350936 DOI: 10.1001/jama.2017.1462]</w:t>
      </w:r>
    </w:p>
    <w:p w14:paraId="6ADC15C9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10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Ludvigsson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. Mortality and malignancy in celiac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Gastrointest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Endosc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N Am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705-722 [PMID: 23083988 DOI: 10.1016/j.giec.2012.07.005]</w:t>
      </w:r>
    </w:p>
    <w:p w14:paraId="183CBFA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11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. Individual screening strategy for pediatric celiac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Eur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177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1871 [PMID: 30225634 DOI: 10.1007/s00431-018-3251-6]</w:t>
      </w:r>
    </w:p>
    <w:p w14:paraId="6D901D7C" w14:textId="5969A2CB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12 </w:t>
      </w:r>
      <w:proofErr w:type="spellStart"/>
      <w:r w:rsidRPr="00355703">
        <w:rPr>
          <w:rFonts w:ascii="Book Antiqua" w:hAnsi="Book Antiqua"/>
          <w:b/>
          <w:bCs/>
          <w:kern w:val="2"/>
          <w:sz w:val="24"/>
          <w:szCs w:val="24"/>
          <w:lang w:val="en-US" w:eastAsia="zh-CN"/>
        </w:rPr>
        <w:t>Meeuwisse</w:t>
      </w:r>
      <w:proofErr w:type="spellEnd"/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GW. Round table discussion. Diagnostic criteria in coeliac disease. </w:t>
      </w:r>
      <w:proofErr w:type="spellStart"/>
      <w:r w:rsidRPr="00355703">
        <w:rPr>
          <w:rFonts w:ascii="Book Antiqua" w:hAnsi="Book Antiqua"/>
          <w:i/>
          <w:iCs/>
          <w:kern w:val="2"/>
          <w:sz w:val="24"/>
          <w:szCs w:val="24"/>
          <w:lang w:val="en-US" w:eastAsia="zh-CN"/>
        </w:rPr>
        <w:t>Acta</w:t>
      </w:r>
      <w:proofErr w:type="spellEnd"/>
      <w:r w:rsidRPr="00355703">
        <w:rPr>
          <w:rFonts w:ascii="Book Antiqua" w:hAnsi="Book Antiqua"/>
          <w:i/>
          <w:iCs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5703">
        <w:rPr>
          <w:rFonts w:ascii="Book Antiqua" w:hAnsi="Book Antiqua"/>
          <w:i/>
          <w:iCs/>
          <w:kern w:val="2"/>
          <w:sz w:val="24"/>
          <w:szCs w:val="24"/>
          <w:lang w:val="en-US" w:eastAsia="zh-CN"/>
        </w:rPr>
        <w:t>Paediatr</w:t>
      </w:r>
      <w:proofErr w:type="spellEnd"/>
      <w:r w:rsidRPr="00355703">
        <w:rPr>
          <w:rFonts w:ascii="Book Antiqua" w:hAnsi="Book Antiqua"/>
          <w:i/>
          <w:iCs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355703">
        <w:rPr>
          <w:rFonts w:ascii="Book Antiqua" w:hAnsi="Book Antiqua"/>
          <w:i/>
          <w:iCs/>
          <w:kern w:val="2"/>
          <w:sz w:val="24"/>
          <w:szCs w:val="24"/>
          <w:lang w:val="en-US" w:eastAsia="zh-CN"/>
        </w:rPr>
        <w:t>Scand</w:t>
      </w:r>
      <w:proofErr w:type="spellEnd"/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1970; </w:t>
      </w:r>
      <w:r w:rsidRPr="00355703">
        <w:rPr>
          <w:rFonts w:ascii="Book Antiqua" w:hAnsi="Book Antiqua"/>
          <w:b/>
          <w:kern w:val="2"/>
          <w:sz w:val="24"/>
          <w:szCs w:val="24"/>
          <w:lang w:val="en-US" w:eastAsia="zh-CN"/>
        </w:rPr>
        <w:t>59</w:t>
      </w:r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>:</w:t>
      </w:r>
      <w:r w:rsid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r w:rsidRPr="00355703">
        <w:rPr>
          <w:rFonts w:ascii="Book Antiqua" w:hAnsi="Book Antiqua"/>
          <w:kern w:val="2"/>
          <w:sz w:val="24"/>
          <w:szCs w:val="24"/>
          <w:lang w:val="en-US" w:eastAsia="zh-CN"/>
        </w:rPr>
        <w:t>461-</w:t>
      </w:r>
      <w:r w:rsidR="007177A6" w:rsidRPr="00355703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464 [DOI: </w:t>
      </w:r>
      <w:r w:rsidR="00F2522D" w:rsidRPr="00355703">
        <w:rPr>
          <w:rFonts w:ascii="Book Antiqua" w:hAnsi="Book Antiqua"/>
          <w:kern w:val="2"/>
          <w:sz w:val="24"/>
          <w:szCs w:val="24"/>
          <w:lang w:val="en-US" w:eastAsia="zh-CN"/>
        </w:rPr>
        <w:t>10.1111/j.1651-2227.1970.tb15545.x]</w:t>
      </w:r>
    </w:p>
    <w:p w14:paraId="4CC81F5F" w14:textId="267F4204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13 </w:t>
      </w:r>
      <w:r w:rsidR="008324DD" w:rsidRPr="00355703">
        <w:rPr>
          <w:rFonts w:ascii="Book Antiqua" w:hAnsi="Book Antiqua"/>
          <w:b/>
          <w:bCs/>
          <w:kern w:val="2"/>
          <w:sz w:val="24"/>
          <w:szCs w:val="24"/>
          <w:lang w:val="en-US" w:eastAsia="zh-CN"/>
        </w:rPr>
        <w:t>Walker-Smith</w:t>
      </w:r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JA, </w:t>
      </w:r>
      <w:proofErr w:type="spellStart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>Guandalini</w:t>
      </w:r>
      <w:proofErr w:type="spellEnd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Schmitz J, </w:t>
      </w:r>
      <w:proofErr w:type="spellStart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>Shmerling</w:t>
      </w:r>
      <w:proofErr w:type="spellEnd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DH, </w:t>
      </w:r>
      <w:proofErr w:type="spellStart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>Visakorpi</w:t>
      </w:r>
      <w:proofErr w:type="spellEnd"/>
      <w:r w:rsidR="008324DD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JK.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Revised criteria for diagnosis of coeliac disease. Report of Working Group of European Society of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Paediatric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Gastroenterology and Nutrition.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Arch Dis Child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909-911 [PMID: 2205160 DOI: 10.1136/adc.65.8.909]</w:t>
      </w:r>
    </w:p>
    <w:p w14:paraId="34686D22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Husby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Koletzko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Korponay-Szabó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Mearin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ML, Phillips A, Shamir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Troncone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Giersiepen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Branski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Lelgeman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Mäki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Ribes-Koninckx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Ventura A, Zimmer KP; ESPGHAN Working Group on Coeliac Disease Diagnosis; ESPGHAN Gastroenterology Committee; European Society for Pediatric Gastroenterology, Hepatology, and Nutrition. European Society for Pediatric Gastroenterology, Hepatology, and Nutrition guidelines for the diagnosis of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136-160 [PMID: 22197856 DOI: 10.1097/MPG.0b013e31821a23d0]</w:t>
      </w:r>
    </w:p>
    <w:p w14:paraId="252F813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15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Congia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Cucca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Frau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Lampis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Melis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Clemente MG, Cao A, De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Virgiliis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S. A gene dosage effect of the DQA1*0501/DQB1*0201 allelic combination influences the clinical heterogeneity of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Hum Immunol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138-142 [PMID: 7928444 DOI: 10.1016/0198-8859(94)90059-0]</w:t>
      </w:r>
    </w:p>
    <w:p w14:paraId="2A7D59A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16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Herrera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Theiler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Augustovski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Chertkoff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Fainboim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DeRosa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Cowan EP,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Satz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ML. Molecular characterization of HLA class II genes in celiac disease patients of Latin American Caucasian origin.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Tissue Antigens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83-87 [PMID: 8016846 DOI: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>10.1111/j.1399-0039.1994.tb02305.x]</w:t>
      </w:r>
    </w:p>
    <w:p w14:paraId="25E5FFE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Fernández-Arquero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Polanco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Escobar H, Figueredo MA, de la Concha EG,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Clerici-Larradet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N. HLA-DQ alleles and susceptibility to celiac disease in Spanish children.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Tissue Antigens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1995;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145-147 [PMID: 7792763 DOI: 10.1111/j.1399-0039.1995.tb02433.x]</w:t>
      </w:r>
    </w:p>
    <w:p w14:paraId="0396909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18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Polvi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Eland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Koskimies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Mäki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Partanen J. HLA DQ and DP in Finnish families with celiac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Eur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1996;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221-234 [PMID: 8803535 DOI: 10.1111/j.1744-313x.1996.tb00117.x]</w:t>
      </w:r>
    </w:p>
    <w:p w14:paraId="4235C4A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19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Doloretta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Macis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Rätsch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IM, De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Virgiliis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Cucca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F. The distribution of DQ genes in the Saharawi population provides only a partial explanation for the high celiac disease prevalence.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Tissue Antigens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2001;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58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402-406 [PMID: 11929591 DOI: 10.1034/j.1399-0039.2001.580609.x]</w:t>
      </w:r>
    </w:p>
    <w:p w14:paraId="23C50AD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20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Kaur G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Sarkar N, Bhatnagar S, Kumar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Rapthap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Bhan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Mehra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NK. Pediatric celiac disease in India is associated with multiple DR3-DQ2 haplotypes.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Hum Immunol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677-682 [PMID: 12121676 DOI: 10.1016/s0198-8859(02)00413-5]</w:t>
      </w:r>
    </w:p>
    <w:p w14:paraId="593C9B7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21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Zubillaga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P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Vidales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Zubillaga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Ormaechea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García-Urkía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Vitoria JC. HLA-DQA1 and HLA-DQB1 genetic markers and clinical presentation in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548-554 [PMID: 12050583 DOI: 10.1097/00005176-200205000-00014]</w:t>
      </w:r>
    </w:p>
    <w:p w14:paraId="0525E0A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22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Mustalahti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Holopainen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Karell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Mäki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Partanen J. Genetic dissection between silent and clinically diagnosed symptomatic forms of coeliac disease in multiplex families.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Dig Liver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842-845 [PMID: 12643291 DOI: 10.1016/s1590-8658(02)80253-5]</w:t>
      </w:r>
    </w:p>
    <w:p w14:paraId="19284322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23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Karinen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H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Kärkkäinen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Pihlajamäki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Janatuinen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Heikkinen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Julkunen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Kosma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Naukkarinen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Laakso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M. HLA genotyping is useful in the evaluation of the risk for coeliac disease in the 1st-degree relatives of patients with coeliac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Scand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1299-1304 [PMID: 17060123 DOI: 10.1080/00365520600684548]</w:t>
      </w:r>
    </w:p>
    <w:p w14:paraId="38A4285F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Kryszak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Louis-Jacques O,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Duerksen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DR, Hill I, Crowe SE, Brown AR,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Procaccini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Wonderly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BA, Hartley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Moreci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Bennett N, Horvath K, Burk M, Fasano A. Detection of Celiac disease in primary care: a multicenter case-finding study in North America.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Am J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2007;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1454-1460 [PMID: 17355413 DOI: 10.1111/j.1572-0241.2007.01173.x]</w:t>
      </w:r>
    </w:p>
    <w:p w14:paraId="0CADA71F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25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Murray JA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Moore SB, Van Dyke CT, Lahr BD,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Dierkhising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Zinsmeister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AR, Melton LJ 3rd,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Kroning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CM, El-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Yousseff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Czaja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AJ. HLA DQ gene dosage and risk and severity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 xml:space="preserve">of celiac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Hepatol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2007;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1406-1412 [PMID: 17919990 DOI: 10.1016/j.cgh.2007.08.013]</w:t>
      </w:r>
    </w:p>
    <w:p w14:paraId="7CF1053C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26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Dezsofi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Szebeni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B, Hermann CS,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Kapitány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Veres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Sipka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Körner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Madácsy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Korponay-Szabó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Rajczy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Arató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A. Frequencies of genetic polymorphisms of TLR4 and CD14 and of HLA-DQ genotypes in children with celiac disease, type 1 diabetes mellitus, or both.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283-287 [PMID: 18728522 DOI: 10.1097/MPG.0b013e31816de885]</w:t>
      </w:r>
    </w:p>
    <w:p w14:paraId="4562B8BF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Megiorni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Mora B,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Bonamico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Barbato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Nenna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Maiella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Lulli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Mazzilli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MC. HLA-DQ and risk gradient for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Hum Immunol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70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55-59 [PMID: 19027045 DOI: 10.1016/j.humimm.2008.10.018]</w:t>
      </w:r>
    </w:p>
    <w:p w14:paraId="77564B3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28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Thomas HJ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Ahmad 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Rajaguru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Barnardo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Warren BF, Jewell DP. Contribution of histological, serological, and genetic factors to the clinical heterogeneity of adult-onset coeliac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Scand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1076-1083 [PMID: 19593686 DOI: 10.1080/00365520903100473]</w:t>
      </w:r>
    </w:p>
    <w:p w14:paraId="4490FA1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29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Martins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Rde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Gandolfi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Modelli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IC, Almeida RC, Castro LC,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Pratesi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R. Serologic screening and genetic testing among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brazilian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patients with celiac disease and their first degree relatives.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Arq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257-262 [PMID: 21140086 DOI: 10.1590/s0004-28032010000300009]</w:t>
      </w:r>
    </w:p>
    <w:p w14:paraId="08D70E5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30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Srivastava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Yachha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SK, Mathias A, Parveen F, Poddar U, Agrawal S. Prevalence, human leukocyte antigen typing and strategy for screening among Asian first-degree relatives of children with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Hepatol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319-324 [PMID: 19929927 DOI: 10.1111/j.1440-1746.2009.06044.x]</w:t>
      </w:r>
    </w:p>
    <w:p w14:paraId="3D4CD141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31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El-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Akawi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ZJ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, Al-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Hattab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Migdady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MA. Frequency of HLA-DQA1*0501 and DQB1*0201 alleles in patients with coeliac disease, their first-degree relatives and controls in Jordan.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Ann Trop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Paediatr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305-309 [PMID: 21118624 DOI: 10.1179/146532810X12858955921195]</w:t>
      </w:r>
    </w:p>
    <w:p w14:paraId="47047B5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32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Alarida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Harown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Di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Pierro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Drago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HLA-DQ2 and -DQ8 genotypes in celiac and healthy Libyan children.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Dig Liver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425-427 [PMID: 19819768 DOI: 10.1016/j.dld.2009.09.004]</w:t>
      </w:r>
    </w:p>
    <w:p w14:paraId="11FB779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33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Castro-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Antunes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Crovella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Brandão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LA, Guimaraes RL, Motta ME, Silva GA. Frequency distribution of HLA DQ2 and DQ8 in celiac patients and first-degree relatives in Recife, northeastern Brazil.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Clinics (Sao Paulo)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2011;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227-231 [PMID: 21484038 DOI: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>10.1590/s1807-59322011000200008]</w:t>
      </w:r>
    </w:p>
    <w:p w14:paraId="7727B94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34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Mubarak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Spierings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Wolters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Otten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HG, ten Kate FJ,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Houwen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RH. Children with celiac disease and high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tTGA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are genetically and phenotypically different.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World J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7114-7120 [PMID: 24222955 DOI: 10.3748/wjg.v19.i41.7114]</w:t>
      </w:r>
    </w:p>
    <w:p w14:paraId="49FC3921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35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Piccini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B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Vascotto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Serracca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Luddi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Margollicci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Balestri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Vindigni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Bassotti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Villanacci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V. HLA-DQ typing in the diagnostic algorithm of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Rev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Esp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Enferm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Dig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248-254 [PMID: 22662777 DOI: 10.4321/s1130-01082012000500005]</w:t>
      </w:r>
    </w:p>
    <w:p w14:paraId="6C287A8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36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Krini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Chouliaras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Kanariou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Varela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Spanou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Panayiotou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Roma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Constantinidou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N. HLA class II high-resolution genotyping in Greek children with celiac disease and impact on disease susceptibility.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Res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72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625-630 [PMID: 23041663 DOI: 10.1038/pr.2012.133]</w:t>
      </w:r>
    </w:p>
    <w:p w14:paraId="67F1A18C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Fernández-Cavada-Pollo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Alcalá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-Peña MI, Vargas-Pérez ML,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Vergara-Prieto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Vallcorba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-Gómez-Del Valle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Melero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-Ruiz 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Márquez-Armenteros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AM, Romero-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Albillos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Narváez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-Rodríguez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Fernández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-de-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Mera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JJ, González-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Roiz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Celiac disease and HLA-DQ genotype: diagnosis of different genetic risk profiles related to the age in Badajoz, southwestern Spain.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Rev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Esp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Enferm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Dig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469-476 [PMID: 24274444 DOI: 10.4321/s1130-01082013000800005]</w:t>
      </w:r>
    </w:p>
    <w:p w14:paraId="3BCF78A9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38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Delgado JF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Amengual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MJ, Veraguas A, Rodríguez E, de Los Santos MM,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Guallarte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MP.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Paediatric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celiac patients carrying the HLA-DR7-DQ2 and HLA-DR3-DQ2 haplotypes display small clinical differences.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Acta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Paediatr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e238-e242 [PMID: 24628273 DOI: 10.1111/apa.12605]</w:t>
      </w:r>
    </w:p>
    <w:p w14:paraId="2154CE7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39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Cilleruelo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, Roman-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Riechmann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Sanchez-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Valverde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Donat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Manuel-Ramos J, Martín-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Orte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López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MJ, García-Novo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García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Pavón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Martín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Ortigosa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Barrio J, Gutierrez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Espìn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Castillejo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Peña-Quintana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Hualde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Sebastián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Calvo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Fernández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De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Manueles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Armas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Urruzuno-Tellerias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Juste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Bousoño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Ribes-Koninckx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Spanish national registry of celiac disease: incidence and clinical presentation.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522-526 [PMID: 24886992 DOI: 10.1097/MPG.0000000000000446]</w:t>
      </w:r>
    </w:p>
    <w:p w14:paraId="4D80F09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40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Stanković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B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Radlović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Leković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Ristić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Radlović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Nikčević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Kotur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Vučićević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Kostić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Pavlović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Zukic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B. HLA genotyping in pediatric celiac disease patients.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Bosn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Basic Med Sci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171-176 [PMID: 25172978 DOI: 10.17305/bjbms.2014.3.28]</w:t>
      </w:r>
    </w:p>
    <w:p w14:paraId="6699958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 xml:space="preserve">41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Uenishi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RH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Gandolfi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Almeida LM, Fritsch PM, Almeida FC,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Nóbrega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YK,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Pratesi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R. Screening for celiac disease in 1st degree relatives: a 10-year follow-up study.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BMC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14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36 [PMID: 24552206 DOI: 10.1186/1471-230X-14-36]</w:t>
      </w:r>
    </w:p>
    <w:p w14:paraId="2D0A7EB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42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Oliveira JR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Cabral AJ, Ferreira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Capelinha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Spínola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Gonçalves R. Celiac disease in children from Madeira island and its prevalence in first degree relatives.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Arq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151-154 [PMID: 25003269 DOI: 10.1590/s0004-28032014000200015]</w:t>
      </w:r>
    </w:p>
    <w:p w14:paraId="06ABF31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43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Almeida LM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Gandolfi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Pratesi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Uenishi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RH, de Almeida FC,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Selleski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Nóbrega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YK. Presence of DQ2.2 Associated with DQ2.5 Increases the Risk for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Autoimmune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2016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5409653 [PMID: 28042478 DOI: 10.1155/2016/5409653]</w:t>
      </w:r>
    </w:p>
    <w:p w14:paraId="0D98C30C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Viken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MK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Flåm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Skrivarhaug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Amundsen SS,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Sollid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Drivvoll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Joner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Dahl-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Jørgensen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Lie BA. HLA class II alleles in Norwegian patients with coexisting type 1 diabetes and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HLA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2017;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89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278-284 [PMID: 28247576 DOI: 10.1111/tan.12986]</w:t>
      </w:r>
    </w:p>
    <w:p w14:paraId="387F5E1B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45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Murad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H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Jazairi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Khansaa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Olabi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Khouri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L. HLA-DQ2 and -DQ8 genotype frequency in Syrian celiac disease children: HLA-DQ relative risks evaluation.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BMC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18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70 [PMID: 29793442 DOI: 10.1186/s12876-018-0802-2]</w:t>
      </w:r>
    </w:p>
    <w:p w14:paraId="0949F4E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46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Martínez-Ojinaga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E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Fernández-Prieto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Molina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Polanco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Urcelay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Núñez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Influence of HLA on clinical and analytical features of pediatric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BMC Gastroenterol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91 [PMID: 31196071 DOI: 10.1186/s12876-019-1014-0]</w:t>
      </w:r>
    </w:p>
    <w:p w14:paraId="7543D84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Capittini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Gaviglio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Brambilla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Marseglia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GL. HLA-DQB1*02 allele in children with celiac disease: Potential usefulness for screening strategies.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Int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342-345 [PMID: 31187602 DOI: 10.1111/iji.12441]</w:t>
      </w:r>
    </w:p>
    <w:p w14:paraId="46CD817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48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Kauma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Kaukinen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Huhtala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Kivelä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Pekki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Salmi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Saavalainen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Lindfors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Kurppa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K. The Phenotype of Celiac Disease Has Low Concordance between Siblings, Despite a Similar Distribution of HLA Haplotypes.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Nutrients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[PMID: 30823533 DOI: 10.3390/nu11020479]</w:t>
      </w:r>
    </w:p>
    <w:p w14:paraId="54EBE846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49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Sdepanian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VL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Lopes LHC, Oliveira RP, Muniz JG. Celiac Disease in First-degree Relatives: Homozygosity of DQB1*02 and At Least One Copy of HLA-DQB1*02 Allele.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e149 [PMID: 31425369 DOI: 10.1097/MPG.0000000000002476]</w:t>
      </w:r>
    </w:p>
    <w:p w14:paraId="793ABAEA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50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. HLA-DQB1*02 Allele in First-degree Relatives of Patients </w:t>
      </w:r>
      <w:proofErr w:type="gram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With</w:t>
      </w:r>
      <w:proofErr w:type="gram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: e148-e149 [PMID: 31425368 DOI: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>10.1097/MPG.0000000000002475]</w:t>
      </w:r>
    </w:p>
    <w:p w14:paraId="5D219C0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51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Lopes LHC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Muniz JG, Oliveira RP,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Sdepanian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VL. Celiac Disease in Brazilian First-degree Relatives: The Odds Are Five Times Greater for HLA DQ2 Homozygous.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68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e77-e80 [PMID: 30601367 DOI: 10.1097/MPG.0000000000002251]</w:t>
      </w:r>
    </w:p>
    <w:p w14:paraId="6D6B2CC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52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Bajor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Szakács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Juhász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Papp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Kocsis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Szegedi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É,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Földi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Farkas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Hegyi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Vincze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Á. HLA-DQ2 homozygosis increases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tTGA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levels at diagnosis but does not influence the clinical phenotype of coeliac disease: A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multicentre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study.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Int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74-81 [PMID: 30779476 DOI: 10.1111/iji.12415]</w:t>
      </w:r>
    </w:p>
    <w:p w14:paraId="43A1BAA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53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. Relevance of HLA-DQB1*02 allele in predisposing to coeliac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Int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274-275 [PMID: 31001909 DOI: 10.1111/iji.12427]</w:t>
      </w:r>
    </w:p>
    <w:p w14:paraId="2E81F23B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Bajor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J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Szakács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Vincze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Á. Response to Letter to the Editor: Relevance of HLA-DQB1*02 allele in predisposing to coeliac disease.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Int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Immunogenet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46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276-277 [PMID: 31304681 DOI: 10.1111/iji.12428]</w:t>
      </w:r>
    </w:p>
    <w:p w14:paraId="4A36944E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55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Al-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Hussaini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Eltayeb-Elsheikh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Alharthi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Osman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Alshahrani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Sandogji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Alrashidi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Bashir MS. HLA-DQ genotypes relative risks for celiac disease in Arabs: A case-control study.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J Dig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602-608 [PMID: 31496112 DOI: 10.1111/1751-2980.12817]</w:t>
      </w:r>
    </w:p>
    <w:p w14:paraId="2AE44A21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56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Ramosaj-Morina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Burek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Kamenaric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Azemi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Spahiu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Grubic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Z,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Zunec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R. HLA Haplotype Association with Celiac Disease in Albanian Pediatric Patients from Kosovo.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Res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Pract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2019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7369014 [PMID: 31281351 DOI: 10.1155/2019/7369014]</w:t>
      </w:r>
    </w:p>
    <w:p w14:paraId="12FCAD02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57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Margaritte-Jeannin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P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Babron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Bourgey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Louka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AS, Clot 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Percopo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Coto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I,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Hugot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JP,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Ascher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H,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Sollid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LM, Greco L,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Clerget-Darpoux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F. HLA-DQ relative risks for coeliac disease in European populations: a study of the European Genetics Cluster on Coeliac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Tissue Antigens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2004;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63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562-567 [PMID: 15140032 DOI: 10.1111/j.0001-2815.2004.00237.x]</w:t>
      </w:r>
    </w:p>
    <w:p w14:paraId="0285D11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58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De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Silvestri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A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Capittini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Valsecchi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Marseglia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Tagliacarne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Scotti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Rebuffi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Pasi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Martinetti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Tinelli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HLA-DQ genetics in children with celiac disease: a meta-analysis suggesting a two-step genetic screening procedure starting with HLA-DQ β chains.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Res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83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564-572 [PMID: 29244800 DOI: 10.1038/pr.2017.307]</w:t>
      </w:r>
    </w:p>
    <w:p w14:paraId="62B3FF87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59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Capittini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C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De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Silvestri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Rebuffi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Tinelli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Poddighe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D. Relevance of HLA-DQB1*02 Allele in the Genetic Predisposition of Children with Celiac Disease: Additional 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 xml:space="preserve">Cues from a Meta-Analysis.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Medicina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(Kaunas)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[PMID: 31121940 DOI: 10.3390/medicina55050190]</w:t>
      </w:r>
    </w:p>
    <w:p w14:paraId="2E5ECE84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60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Mejía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-León ME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, Ruiz-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Dyck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KM, Calderón de la Barca AM. HLA-DQ genetic risk gradient for type 1 diabetes and celiac disease in northwestern Mexico.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Rev Gastroenterol Mex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2015;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80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135-143 [PMID: 26088570 DOI: 10.1016/j.rgmx.2015.03.003]</w:t>
      </w:r>
    </w:p>
    <w:p w14:paraId="06255AB9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61 </w:t>
      </w:r>
      <w:bookmarkStart w:id="30" w:name="_Hlk35377388"/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Smigoc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Schweiger</w:t>
      </w:r>
      <w:bookmarkEnd w:id="30"/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Mendez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Kunilo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Jamnik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Bratanic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Bratina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N,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Battelino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Brecelj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Vidan-Jeras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B. High-risk genotypes HLA-DR3-DQ2/DR3-DQ2 and DR3-DQ2/DR4-DQ8 in co-occurrence of type 1 diabetes and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Autoimmunity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240-247 [PMID: 27138053 DOI: 10.3109/08916934.2016.1164144]</w:t>
      </w:r>
    </w:p>
    <w:p w14:paraId="62162A9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62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Mitchell RT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Sun A, Mayo A, Forgan M, Comrie A, Gillett PM. Coeliac screening in a Scottish cohort of children with type 1 diabetes mellitus: is DQ typing the way forward?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Arch Dis Child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2016;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101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230-233 [PMID: 26718815 DOI: 10.1136/archdischild-2015-309754]</w:t>
      </w:r>
    </w:p>
    <w:p w14:paraId="076CFCB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63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Björck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Brundin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Lörinc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Lynch KF,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Agardh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D. Screening detects a high proportion of celiac disease in young HLA-genotyped children.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Gastroenterol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Nutr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50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49-53 [PMID: 19915493 DOI: 10.1097/MPG.0b013e3181b477a6]</w:t>
      </w:r>
    </w:p>
    <w:p w14:paraId="7B269BE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64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Franceschini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E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Lionetti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ME,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D'Adamo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D'Angelo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Naspi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Malamisura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C. Misuse of serological screening tests for celiac disease in children: A prospective study in Italy.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Dig Liver Dis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1547-1550 [PMID: 31383458 DOI: 10.1016/j.dld.2019.06.016]</w:t>
      </w:r>
    </w:p>
    <w:p w14:paraId="13375D4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65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Ali M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Danner DJ, Fishman DS, Devaraj S. Utilization of Laboratory Testing Algorithms for Celiac Disease in a Pediatric Hospital.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Lab Med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2020;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51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99-104 [PMID: 31209478 DOI: 10.1093/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labmed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/lmz037]</w:t>
      </w:r>
    </w:p>
    <w:p w14:paraId="4E018850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66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Huang Y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Don-Wauchope AC, Grey VL, Mansour M, Brill H, Armstrong D. Improving serological test ordering patterns for the diagnosis of celiac disease through clinical laboratory audit of practice.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Clin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Biochem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2012;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45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455-459 [PMID: 22285379 DOI: 10.1016/j.clinbiochem.2012.01.007]</w:t>
      </w:r>
    </w:p>
    <w:p w14:paraId="2BD74F03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67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Mearns ES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Taylor A, Boulanger T, Craig KJ, Gerber M,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Leffler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DA,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Drahos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J, Sanders DS,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Lebwohl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B. Systematic Literature Review of the Economic Burden of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Pharmacoeconomics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2019;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37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45-61 [PMID: 30221333 DOI: 10.1007/s40273-018-0707-5]</w:t>
      </w:r>
    </w:p>
    <w:p w14:paraId="7DFEF9C8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68 </w:t>
      </w:r>
      <w:proofErr w:type="spellStart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Alessandrini</w:t>
      </w:r>
      <w:proofErr w:type="spellEnd"/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 xml:space="preserve"> S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Giacomoni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Muccioli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F. Mass population screening for celiac disease in children: the experience in Republic of San Marino from 1993 to 2009.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Ital</w:t>
      </w:r>
      <w:proofErr w:type="spellEnd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 xml:space="preserve"> J </w:t>
      </w:r>
      <w:proofErr w:type="spellStart"/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Pediatr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2013;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39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67 [PMID: 24152602 DOI: 10.1186/1824-7288-39-67]</w:t>
      </w:r>
    </w:p>
    <w:p w14:paraId="39C169BD" w14:textId="77777777" w:rsidR="00A72F12" w:rsidRPr="00A72F12" w:rsidRDefault="00A72F12" w:rsidP="00A72F12">
      <w:pPr>
        <w:widowControl w:val="0"/>
        <w:spacing w:after="0" w:line="360" w:lineRule="auto"/>
        <w:jc w:val="both"/>
        <w:rPr>
          <w:rFonts w:ascii="Book Antiqua" w:hAnsi="Book Antiqua"/>
          <w:kern w:val="2"/>
          <w:sz w:val="24"/>
          <w:szCs w:val="24"/>
          <w:lang w:val="en-US" w:eastAsia="zh-CN"/>
        </w:rPr>
      </w:pP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lastRenderedPageBreak/>
        <w:t xml:space="preserve">69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Verma AK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, Singh A,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S,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Lionetti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Galeazzi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T,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Monachesi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Franceschini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E,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Ahuja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V,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Catassi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C, </w:t>
      </w:r>
      <w:proofErr w:type="spellStart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Makharia</w:t>
      </w:r>
      <w:proofErr w:type="spellEnd"/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GK. Validation of a novel single-drop rapid human leukocyte antigen-DQ2/-DQ8 typing method to identify subjects susceptible to celiac disease. </w:t>
      </w:r>
      <w:r w:rsidRPr="00A72F12">
        <w:rPr>
          <w:rFonts w:ascii="Book Antiqua" w:hAnsi="Book Antiqua"/>
          <w:i/>
          <w:kern w:val="2"/>
          <w:sz w:val="24"/>
          <w:szCs w:val="24"/>
          <w:lang w:val="en-US" w:eastAsia="zh-CN"/>
        </w:rPr>
        <w:t>JGH Open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 xml:space="preserve"> 2018; </w:t>
      </w:r>
      <w:r w:rsidRPr="00A72F12">
        <w:rPr>
          <w:rFonts w:ascii="Book Antiqua" w:hAnsi="Book Antiqua"/>
          <w:b/>
          <w:kern w:val="2"/>
          <w:sz w:val="24"/>
          <w:szCs w:val="24"/>
          <w:lang w:val="en-US" w:eastAsia="zh-CN"/>
        </w:rPr>
        <w:t>2</w:t>
      </w:r>
      <w:r w:rsidRPr="00A72F12">
        <w:rPr>
          <w:rFonts w:ascii="Book Antiqua" w:hAnsi="Book Antiqua"/>
          <w:kern w:val="2"/>
          <w:sz w:val="24"/>
          <w:szCs w:val="24"/>
          <w:lang w:val="en-US" w:eastAsia="zh-CN"/>
        </w:rPr>
        <w:t>: 311-316 [PMID: 30619943 DOI: 10.1002/jgh3.12090]</w:t>
      </w:r>
    </w:p>
    <w:p w14:paraId="5957E255" w14:textId="77777777" w:rsidR="00307FEA" w:rsidRPr="00EA02E8" w:rsidRDefault="00307FEA" w:rsidP="0046571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</w:p>
    <w:p w14:paraId="1B92C674" w14:textId="77777777" w:rsidR="00EB3B8C" w:rsidRPr="00EB3B8C" w:rsidRDefault="00EB3B8C" w:rsidP="00EB3B8C">
      <w:pPr>
        <w:adjustRightInd w:val="0"/>
        <w:snapToGrid w:val="0"/>
        <w:spacing w:after="0" w:line="360" w:lineRule="auto"/>
        <w:rPr>
          <w:rFonts w:ascii="Book Antiqua" w:eastAsia="宋体" w:hAnsi="Book Antiqua"/>
          <w:b/>
          <w:sz w:val="24"/>
          <w:szCs w:val="24"/>
          <w:lang w:val="el-GR"/>
        </w:rPr>
      </w:pPr>
      <w:r>
        <w:rPr>
          <w:rFonts w:ascii="Book Antiqua" w:hAnsi="Book Antiqua"/>
          <w:b/>
          <w:color w:val="000000"/>
          <w:sz w:val="24"/>
          <w:szCs w:val="24"/>
          <w:lang w:val="en-US"/>
        </w:rPr>
        <w:br w:type="page"/>
      </w:r>
      <w:bookmarkStart w:id="31" w:name="_Hlk27143351"/>
      <w:bookmarkStart w:id="32" w:name="_Hlk27570199"/>
      <w:r w:rsidRPr="00EB3B8C">
        <w:rPr>
          <w:rFonts w:ascii="Book Antiqua" w:eastAsia="宋体" w:hAnsi="Book Antiqua"/>
          <w:b/>
          <w:sz w:val="24"/>
          <w:szCs w:val="24"/>
          <w:lang w:val="el-GR"/>
        </w:rPr>
        <w:lastRenderedPageBreak/>
        <w:t>Footnotes</w:t>
      </w:r>
    </w:p>
    <w:p w14:paraId="68D40603" w14:textId="77777777" w:rsidR="00EB3B8C" w:rsidRPr="00EB3B8C" w:rsidRDefault="00EB3B8C" w:rsidP="00EB3B8C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NewRomanPSMT"/>
          <w:sz w:val="24"/>
          <w:szCs w:val="24"/>
          <w:lang w:val="en-GB"/>
        </w:rPr>
      </w:pPr>
      <w:bookmarkStart w:id="33" w:name="_Hlk28272023"/>
      <w:bookmarkEnd w:id="31"/>
      <w:r w:rsidRPr="00EB3B8C">
        <w:rPr>
          <w:rFonts w:ascii="Book Antiqua" w:eastAsia="宋体" w:hAnsi="Book Antiqua" w:cs="Tahoma"/>
          <w:b/>
          <w:sz w:val="24"/>
          <w:szCs w:val="24"/>
          <w:lang w:val="en-GB"/>
        </w:rPr>
        <w:t>Conflict-of-interest statement:</w:t>
      </w:r>
      <w:r w:rsidRPr="00EB3B8C">
        <w:rPr>
          <w:rFonts w:ascii="Book Antiqua" w:eastAsia="宋体" w:hAnsi="Book Antiqua" w:cs="Tahoma"/>
          <w:sz w:val="24"/>
          <w:szCs w:val="24"/>
          <w:lang w:val="en-GB"/>
        </w:rPr>
        <w:t xml:space="preserve"> </w:t>
      </w:r>
      <w:bookmarkStart w:id="34" w:name="_Hlk34269915"/>
      <w:r w:rsidRPr="00EB3B8C">
        <w:rPr>
          <w:rFonts w:ascii="Book Antiqua" w:eastAsia="宋体" w:hAnsi="Book Antiqua" w:cs="TimesNewRomanPSMT"/>
          <w:sz w:val="24"/>
          <w:szCs w:val="24"/>
          <w:lang w:val="en-GB"/>
        </w:rPr>
        <w:t>The authors declare that they have no conflict of interest.</w:t>
      </w:r>
      <w:bookmarkEnd w:id="33"/>
    </w:p>
    <w:bookmarkEnd w:id="32"/>
    <w:bookmarkEnd w:id="34"/>
    <w:p w14:paraId="28F791EF" w14:textId="77777777" w:rsidR="00EB3B8C" w:rsidRPr="00EB3B8C" w:rsidRDefault="00EB3B8C" w:rsidP="00EB3B8C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ahoma"/>
          <w:sz w:val="24"/>
          <w:szCs w:val="24"/>
          <w:lang w:val="en-GB"/>
        </w:rPr>
      </w:pPr>
    </w:p>
    <w:p w14:paraId="3CA6466E" w14:textId="77777777" w:rsidR="00EB3B8C" w:rsidRPr="001306DC" w:rsidRDefault="00EB3B8C" w:rsidP="00FB40D6">
      <w:pPr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eastAsia="宋体" w:hAnsi="Book Antiqua" w:cs="Book Antiqua"/>
          <w:iCs/>
          <w:color w:val="000000"/>
          <w:sz w:val="24"/>
        </w:rPr>
      </w:pPr>
      <w:bookmarkStart w:id="35" w:name="_Hlk29216443"/>
      <w:bookmarkStart w:id="36" w:name="_Hlk27570239"/>
      <w:bookmarkStart w:id="37" w:name="_Hlk27143403"/>
      <w:bookmarkStart w:id="38" w:name="_Hlk28272061"/>
      <w:r w:rsidRPr="00EB3B8C">
        <w:rPr>
          <w:rFonts w:ascii="Book Antiqua" w:eastAsia="宋体" w:hAnsi="Book Antiqua"/>
          <w:b/>
          <w:bCs/>
          <w:sz w:val="24"/>
        </w:rPr>
        <w:t>PRISMA 2009 Checklist</w:t>
      </w:r>
      <w:r w:rsidRPr="00EB3B8C">
        <w:rPr>
          <w:rFonts w:ascii="Book Antiqua" w:eastAsia="宋体" w:hAnsi="Book Antiqua"/>
          <w:b/>
          <w:snapToGrid w:val="0"/>
          <w:color w:val="000000"/>
          <w:kern w:val="10"/>
          <w:sz w:val="24"/>
        </w:rPr>
        <w:t xml:space="preserve"> </w:t>
      </w:r>
      <w:r w:rsidRPr="00EB3B8C">
        <w:rPr>
          <w:rFonts w:ascii="Book Antiqua" w:eastAsia="宋体" w:hAnsi="Book Antiqua" w:cs="Tahoma"/>
          <w:b/>
          <w:bCs/>
          <w:color w:val="000000"/>
          <w:sz w:val="24"/>
        </w:rPr>
        <w:t>statement</w:t>
      </w:r>
      <w:r w:rsidRPr="00EB3B8C">
        <w:rPr>
          <w:rFonts w:ascii="Book Antiqua" w:eastAsia="宋体" w:hAnsi="Book Antiqua" w:cs="Book Antiqua"/>
          <w:b/>
          <w:bCs/>
          <w:iCs/>
          <w:color w:val="000000"/>
          <w:sz w:val="24"/>
        </w:rPr>
        <w:t>:</w:t>
      </w:r>
      <w:r w:rsidR="00FB40D6">
        <w:rPr>
          <w:rFonts w:ascii="Book Antiqua" w:eastAsia="宋体" w:hAnsi="Book Antiqua" w:cs="Book Antiqua"/>
          <w:b/>
          <w:bCs/>
          <w:iCs/>
          <w:color w:val="000000"/>
          <w:sz w:val="24"/>
        </w:rPr>
        <w:t xml:space="preserve"> </w:t>
      </w:r>
      <w:r w:rsidR="00FB40D6" w:rsidRPr="001306DC">
        <w:rPr>
          <w:rFonts w:ascii="Book Antiqua" w:eastAsia="宋体" w:hAnsi="Book Antiqua" w:cs="Book Antiqua"/>
          <w:iCs/>
          <w:color w:val="000000"/>
          <w:sz w:val="24"/>
        </w:rPr>
        <w:t>The authors prepared the manuscript according to the PRISMA 2009 Checklist.</w:t>
      </w:r>
    </w:p>
    <w:p w14:paraId="51E8C42D" w14:textId="77777777" w:rsidR="00EB3B8C" w:rsidRPr="00EB3B8C" w:rsidRDefault="00EB3B8C" w:rsidP="00EB3B8C">
      <w:pPr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rPr>
          <w:rFonts w:ascii="Book Antiqua" w:eastAsia="宋体" w:hAnsi="Book Antiqua" w:cs="Book Antiqua"/>
          <w:b/>
          <w:bCs/>
          <w:iCs/>
          <w:color w:val="000000"/>
          <w:sz w:val="24"/>
        </w:rPr>
      </w:pPr>
    </w:p>
    <w:p w14:paraId="69BAC07F" w14:textId="77777777" w:rsidR="00EB3B8C" w:rsidRPr="00EB3B8C" w:rsidRDefault="00EB3B8C" w:rsidP="00EB3B8C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GB"/>
        </w:rPr>
      </w:pPr>
      <w:r w:rsidRPr="00EB3B8C">
        <w:rPr>
          <w:rFonts w:ascii="Book Antiqua" w:eastAsia="宋体" w:hAnsi="Book Antiqua"/>
          <w:b/>
          <w:sz w:val="24"/>
          <w:szCs w:val="24"/>
          <w:lang w:val="en-GB"/>
        </w:rPr>
        <w:t xml:space="preserve">Open-Access: </w:t>
      </w:r>
      <w:r w:rsidRPr="00EB3B8C">
        <w:rPr>
          <w:rFonts w:ascii="Book Antiqua" w:hAnsi="Book Antiqua"/>
          <w:color w:val="000000"/>
          <w:kern w:val="2"/>
          <w:sz w:val="24"/>
          <w:szCs w:val="24"/>
          <w:lang w:val="en-US" w:eastAsia="zh-CN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EB3B8C">
        <w:rPr>
          <w:rFonts w:ascii="Book Antiqua" w:hAnsi="Book Antiqua"/>
          <w:color w:val="000000"/>
          <w:kern w:val="2"/>
          <w:sz w:val="24"/>
          <w:szCs w:val="24"/>
          <w:lang w:val="en-US" w:eastAsia="zh-CN"/>
        </w:rPr>
        <w:t>NonCommercial</w:t>
      </w:r>
      <w:proofErr w:type="spellEnd"/>
      <w:r w:rsidRPr="00EB3B8C">
        <w:rPr>
          <w:rFonts w:ascii="Book Antiqua" w:hAnsi="Book Antiqua"/>
          <w:color w:val="000000"/>
          <w:kern w:val="2"/>
          <w:sz w:val="24"/>
          <w:szCs w:val="24"/>
          <w:lang w:val="en-US"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C77B349" w14:textId="77777777" w:rsidR="00EB3B8C" w:rsidRPr="00EB3B8C" w:rsidRDefault="00EB3B8C" w:rsidP="00EB3B8C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bCs/>
          <w:sz w:val="24"/>
          <w:szCs w:val="24"/>
          <w:lang w:val="en-GB" w:eastAsia="zh-CN"/>
        </w:rPr>
      </w:pPr>
    </w:p>
    <w:p w14:paraId="5725C79E" w14:textId="77777777" w:rsidR="00EB3B8C" w:rsidRPr="00EB3B8C" w:rsidRDefault="00EB3B8C" w:rsidP="00EB3B8C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 w:eastAsia="zh-CN"/>
        </w:rPr>
      </w:pPr>
      <w:bookmarkStart w:id="39" w:name="_Hlk34269957"/>
      <w:r w:rsidRPr="00EB3B8C">
        <w:rPr>
          <w:rFonts w:ascii="Book Antiqua" w:eastAsia="宋体" w:hAnsi="Book Antiqua" w:cs="宋体"/>
          <w:b/>
          <w:sz w:val="24"/>
          <w:szCs w:val="24"/>
          <w:lang w:val="en-GB"/>
        </w:rPr>
        <w:t>Manuscript</w:t>
      </w:r>
      <w:r w:rsidRPr="00EB3B8C">
        <w:rPr>
          <w:rFonts w:ascii="Book Antiqua" w:eastAsia="宋体" w:hAnsi="Book Antiqua" w:cs="宋体" w:hint="eastAsia"/>
          <w:b/>
          <w:sz w:val="24"/>
          <w:szCs w:val="24"/>
          <w:lang w:val="en-GB" w:eastAsia="zh-CN"/>
        </w:rPr>
        <w:t xml:space="preserve"> </w:t>
      </w:r>
      <w:r w:rsidRPr="00EB3B8C">
        <w:rPr>
          <w:rFonts w:ascii="Book Antiqua" w:eastAsia="宋体" w:hAnsi="Book Antiqua" w:cs="宋体"/>
          <w:b/>
          <w:sz w:val="24"/>
          <w:szCs w:val="24"/>
          <w:lang w:val="en-GB"/>
        </w:rPr>
        <w:t>source:</w:t>
      </w:r>
      <w:bookmarkEnd w:id="35"/>
      <w:r w:rsidRPr="00EB3B8C">
        <w:rPr>
          <w:rFonts w:ascii="Book Antiqua" w:eastAsia="宋体" w:hAnsi="Book Antiqua" w:cs="宋体" w:hint="eastAsia"/>
          <w:sz w:val="24"/>
          <w:szCs w:val="24"/>
          <w:lang w:val="en-GB" w:eastAsia="zh-CN"/>
        </w:rPr>
        <w:t xml:space="preserve"> </w:t>
      </w:r>
      <w:bookmarkStart w:id="40" w:name="_Hlk28276239"/>
      <w:r w:rsidRPr="00EB3B8C">
        <w:rPr>
          <w:rFonts w:ascii="Book Antiqua" w:eastAsia="宋体" w:hAnsi="Book Antiqua" w:cs="宋体"/>
          <w:sz w:val="24"/>
          <w:szCs w:val="24"/>
          <w:lang w:val="en-GB"/>
        </w:rPr>
        <w:t>Invited</w:t>
      </w:r>
      <w:r w:rsidRPr="00EB3B8C">
        <w:rPr>
          <w:rFonts w:ascii="Book Antiqua" w:eastAsia="宋体" w:hAnsi="Book Antiqua" w:cs="宋体" w:hint="eastAsia"/>
          <w:sz w:val="24"/>
          <w:szCs w:val="24"/>
          <w:lang w:val="en-GB" w:eastAsia="zh-CN"/>
        </w:rPr>
        <w:t xml:space="preserve"> </w:t>
      </w:r>
      <w:r w:rsidRPr="00EB3B8C">
        <w:rPr>
          <w:rFonts w:ascii="Book Antiqua" w:eastAsia="宋体" w:hAnsi="Book Antiqua" w:cs="宋体"/>
          <w:sz w:val="24"/>
          <w:szCs w:val="24"/>
          <w:lang w:val="en-GB"/>
        </w:rPr>
        <w:t>manuscript</w:t>
      </w:r>
      <w:bookmarkEnd w:id="40"/>
    </w:p>
    <w:bookmarkEnd w:id="36"/>
    <w:p w14:paraId="5F67D8E8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/>
          <w:sz w:val="24"/>
          <w:szCs w:val="24"/>
          <w:lang w:val="el-GR" w:eastAsia="zh-CN"/>
        </w:rPr>
      </w:pPr>
    </w:p>
    <w:p w14:paraId="2DF91453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bookmarkStart w:id="41" w:name="_Hlk29216459"/>
      <w:r w:rsidRPr="00EB3B8C">
        <w:rPr>
          <w:rFonts w:ascii="Book Antiqua" w:eastAsia="宋体" w:hAnsi="Book Antiqua"/>
          <w:b/>
          <w:sz w:val="24"/>
          <w:szCs w:val="24"/>
          <w:lang w:val="en-GB"/>
        </w:rPr>
        <w:t>Peer-review started:</w:t>
      </w:r>
      <w:r w:rsidRPr="00EB3B8C">
        <w:rPr>
          <w:rFonts w:ascii="Book Antiqua" w:eastAsia="宋体" w:hAnsi="Book Antiqua"/>
          <w:sz w:val="24"/>
          <w:szCs w:val="24"/>
          <w:lang w:val="en-GB" w:eastAsia="zh-CN"/>
        </w:rPr>
        <w:t xml:space="preserve"> December</w:t>
      </w:r>
      <w:r w:rsidRPr="00EB3B8C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1</w:t>
      </w:r>
      <w:r>
        <w:rPr>
          <w:rFonts w:ascii="Book Antiqua" w:eastAsia="宋体" w:hAnsi="Book Antiqua"/>
          <w:sz w:val="24"/>
          <w:szCs w:val="24"/>
          <w:lang w:val="en-GB" w:eastAsia="zh-CN"/>
        </w:rPr>
        <w:t>9</w:t>
      </w:r>
      <w:r w:rsidRPr="00EB3B8C">
        <w:rPr>
          <w:rFonts w:ascii="Book Antiqua" w:eastAsia="宋体" w:hAnsi="Book Antiqua"/>
          <w:sz w:val="24"/>
          <w:szCs w:val="24"/>
          <w:lang w:val="en-GB" w:eastAsia="zh-CN"/>
        </w:rPr>
        <w:t>, 201</w:t>
      </w:r>
      <w:r w:rsidRPr="00EB3B8C">
        <w:rPr>
          <w:rFonts w:ascii="Book Antiqua" w:eastAsia="宋体" w:hAnsi="Book Antiqua" w:hint="eastAsia"/>
          <w:sz w:val="24"/>
          <w:szCs w:val="24"/>
          <w:lang w:val="en-GB" w:eastAsia="zh-CN"/>
        </w:rPr>
        <w:t>9</w:t>
      </w:r>
      <w:r w:rsidRPr="00EB3B8C">
        <w:rPr>
          <w:rFonts w:ascii="Book Antiqua" w:eastAsia="宋体" w:hAnsi="Book Antiqua"/>
          <w:sz w:val="24"/>
          <w:szCs w:val="24"/>
          <w:lang w:val="en-GB"/>
        </w:rPr>
        <w:t xml:space="preserve"> </w:t>
      </w:r>
    </w:p>
    <w:p w14:paraId="478D780A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GB"/>
        </w:rPr>
      </w:pPr>
      <w:r w:rsidRPr="00EB3B8C">
        <w:rPr>
          <w:rFonts w:ascii="Book Antiqua" w:eastAsia="宋体" w:hAnsi="Book Antiqua"/>
          <w:b/>
          <w:sz w:val="24"/>
          <w:szCs w:val="24"/>
          <w:lang w:val="en-GB"/>
        </w:rPr>
        <w:t>First decision:</w:t>
      </w:r>
      <w:r w:rsidRPr="00EB3B8C">
        <w:rPr>
          <w:rFonts w:ascii="Book Antiqua" w:eastAsia="宋体" w:hAnsi="Book Antiqua"/>
          <w:sz w:val="24"/>
          <w:szCs w:val="24"/>
          <w:lang w:val="en-GB" w:eastAsia="zh-CN"/>
        </w:rPr>
        <w:t xml:space="preserve"> January</w:t>
      </w:r>
      <w:r w:rsidRPr="00EB3B8C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1</w:t>
      </w:r>
      <w:r>
        <w:rPr>
          <w:rFonts w:ascii="Book Antiqua" w:eastAsia="宋体" w:hAnsi="Book Antiqua"/>
          <w:sz w:val="24"/>
          <w:szCs w:val="24"/>
          <w:lang w:val="en-GB" w:eastAsia="zh-CN"/>
        </w:rPr>
        <w:t>2</w:t>
      </w:r>
      <w:r w:rsidRPr="00EB3B8C">
        <w:rPr>
          <w:rFonts w:ascii="Book Antiqua" w:eastAsia="宋体" w:hAnsi="Book Antiqua"/>
          <w:sz w:val="24"/>
          <w:szCs w:val="24"/>
          <w:lang w:val="en-GB" w:eastAsia="zh-CN"/>
        </w:rPr>
        <w:t>, 20</w:t>
      </w:r>
      <w:r>
        <w:rPr>
          <w:rFonts w:ascii="Book Antiqua" w:eastAsia="宋体" w:hAnsi="Book Antiqua"/>
          <w:sz w:val="24"/>
          <w:szCs w:val="24"/>
          <w:lang w:val="en-GB" w:eastAsia="zh-CN"/>
        </w:rPr>
        <w:t>20</w:t>
      </w:r>
      <w:r w:rsidRPr="00EB3B8C">
        <w:rPr>
          <w:rFonts w:ascii="Book Antiqua" w:eastAsia="宋体" w:hAnsi="Book Antiqua"/>
          <w:sz w:val="24"/>
          <w:szCs w:val="24"/>
          <w:lang w:val="en-GB"/>
        </w:rPr>
        <w:t xml:space="preserve"> </w:t>
      </w:r>
    </w:p>
    <w:p w14:paraId="1942E0D7" w14:textId="3BDA23A0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GB" w:eastAsia="zh-CN"/>
        </w:rPr>
      </w:pPr>
      <w:r w:rsidRPr="00EB3B8C">
        <w:rPr>
          <w:rFonts w:ascii="Book Antiqua" w:eastAsia="宋体" w:hAnsi="Book Antiqua"/>
          <w:b/>
          <w:sz w:val="24"/>
          <w:szCs w:val="24"/>
          <w:lang w:val="en-GB"/>
        </w:rPr>
        <w:t>Article in press:</w:t>
      </w:r>
      <w:r w:rsidRPr="00EB3B8C">
        <w:rPr>
          <w:rFonts w:ascii="Book Antiqua" w:eastAsia="宋体" w:hAnsi="Book Antiqua"/>
          <w:sz w:val="24"/>
          <w:szCs w:val="24"/>
          <w:lang w:val="en-GB"/>
        </w:rPr>
        <w:t xml:space="preserve"> </w:t>
      </w:r>
      <w:bookmarkEnd w:id="41"/>
      <w:r w:rsidR="00585521" w:rsidRPr="00585521">
        <w:rPr>
          <w:rFonts w:ascii="Book Antiqua" w:eastAsia="宋体" w:hAnsi="Book Antiqua"/>
          <w:sz w:val="24"/>
          <w:szCs w:val="24"/>
          <w:lang w:val="en-GB"/>
        </w:rPr>
        <w:t>March 22, 2020</w:t>
      </w:r>
    </w:p>
    <w:p w14:paraId="35B85D57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GB" w:eastAsia="zh-CN"/>
        </w:rPr>
      </w:pPr>
    </w:p>
    <w:p w14:paraId="7CE1A626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l-GR"/>
        </w:rPr>
      </w:pPr>
      <w:bookmarkStart w:id="42" w:name="_Hlk29216517"/>
      <w:r w:rsidRPr="00EB3B8C">
        <w:rPr>
          <w:rFonts w:ascii="Book Antiqua" w:eastAsia="宋体" w:hAnsi="Book Antiqua" w:cs="Helvetica"/>
          <w:b/>
          <w:sz w:val="24"/>
          <w:szCs w:val="24"/>
          <w:lang w:val="el-GR"/>
        </w:rPr>
        <w:t xml:space="preserve">Specialty type: </w:t>
      </w:r>
      <w:r w:rsidRPr="00E700C2">
        <w:rPr>
          <w:rFonts w:ascii="Book Antiqua" w:eastAsia="微软雅黑" w:hAnsi="Book Antiqua" w:cs="宋体"/>
          <w:sz w:val="24"/>
          <w:szCs w:val="24"/>
        </w:rPr>
        <w:t>Gastroenterology and hepatology</w:t>
      </w:r>
    </w:p>
    <w:p w14:paraId="77AFEDF2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l-GR" w:eastAsia="zh-CN"/>
        </w:rPr>
      </w:pPr>
      <w:r w:rsidRPr="00EB3B8C">
        <w:rPr>
          <w:rFonts w:ascii="Book Antiqua" w:eastAsia="宋体" w:hAnsi="Book Antiqua" w:cs="Helvetica"/>
          <w:b/>
          <w:sz w:val="24"/>
          <w:szCs w:val="24"/>
          <w:lang w:val="el-GR"/>
        </w:rPr>
        <w:t xml:space="preserve">Country of origin: </w:t>
      </w:r>
      <w:r w:rsidRPr="00EB3B8C">
        <w:rPr>
          <w:rFonts w:ascii="Book Antiqua" w:eastAsia="宋体" w:hAnsi="Book Antiqua" w:cs="Helvetica"/>
          <w:bCs/>
          <w:sz w:val="24"/>
          <w:szCs w:val="24"/>
          <w:lang w:val="el-GR"/>
        </w:rPr>
        <w:t>Kazakhstan</w:t>
      </w:r>
    </w:p>
    <w:p w14:paraId="33485DB8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l-GR"/>
        </w:rPr>
      </w:pPr>
      <w:r w:rsidRPr="00EB3B8C">
        <w:rPr>
          <w:rFonts w:ascii="Book Antiqua" w:eastAsia="宋体" w:hAnsi="Book Antiqua" w:cs="Helvetica"/>
          <w:b/>
          <w:sz w:val="24"/>
          <w:szCs w:val="24"/>
          <w:lang w:val="el-GR"/>
        </w:rPr>
        <w:t>Peer-review report classification</w:t>
      </w:r>
    </w:p>
    <w:p w14:paraId="7A40189B" w14:textId="7A046E10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l-GR" w:eastAsia="zh-CN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 xml:space="preserve">Grade A (Excellent): </w:t>
      </w:r>
      <w:r w:rsidR="009A0AC7">
        <w:rPr>
          <w:rFonts w:ascii="Book Antiqua" w:eastAsia="宋体" w:hAnsi="Book Antiqua" w:cs="Helvetica"/>
          <w:sz w:val="24"/>
          <w:szCs w:val="24"/>
          <w:lang w:val="el-GR" w:eastAsia="zh-CN"/>
        </w:rPr>
        <w:t>A, A</w:t>
      </w:r>
    </w:p>
    <w:p w14:paraId="07FCFE6E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l-GR" w:eastAsia="zh-CN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 xml:space="preserve">Grade B (Very good): </w:t>
      </w:r>
      <w:r w:rsidRPr="00EB3B8C">
        <w:rPr>
          <w:rFonts w:ascii="Book Antiqua" w:eastAsia="宋体" w:hAnsi="Book Antiqua" w:cs="Helvetica" w:hint="eastAsia"/>
          <w:sz w:val="24"/>
          <w:szCs w:val="24"/>
          <w:lang w:val="el-GR" w:eastAsia="zh-CN"/>
        </w:rPr>
        <w:t>0</w:t>
      </w:r>
    </w:p>
    <w:p w14:paraId="0FB968DA" w14:textId="5E5CED0E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l-GR" w:eastAsia="zh-CN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 xml:space="preserve">Grade C (Good): </w:t>
      </w:r>
      <w:r w:rsidR="009A0AC7">
        <w:rPr>
          <w:rFonts w:ascii="Book Antiqua" w:eastAsia="宋体" w:hAnsi="Book Antiqua" w:cs="Helvetica"/>
          <w:sz w:val="24"/>
          <w:szCs w:val="24"/>
          <w:lang w:val="el-GR" w:eastAsia="zh-CN"/>
        </w:rPr>
        <w:t>C</w:t>
      </w:r>
    </w:p>
    <w:p w14:paraId="56F83116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l-GR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 xml:space="preserve">Grade D (Fair): 0 </w:t>
      </w:r>
    </w:p>
    <w:p w14:paraId="0A7FF42F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Calibri"/>
          <w:noProof/>
          <w:sz w:val="24"/>
          <w:szCs w:val="24"/>
          <w:lang w:val="en-US"/>
        </w:rPr>
      </w:pPr>
      <w:r w:rsidRPr="00EB3B8C">
        <w:rPr>
          <w:rFonts w:ascii="Book Antiqua" w:eastAsia="宋体" w:hAnsi="Book Antiqua" w:cs="Helvetica"/>
          <w:sz w:val="24"/>
          <w:szCs w:val="24"/>
          <w:lang w:val="el-GR"/>
        </w:rPr>
        <w:t>Grade E (Poor): 0</w:t>
      </w:r>
    </w:p>
    <w:bookmarkEnd w:id="42"/>
    <w:p w14:paraId="69C764B8" w14:textId="77777777" w:rsidR="00EB3B8C" w:rsidRPr="00EB3B8C" w:rsidRDefault="00EB3B8C" w:rsidP="00EB3B8C">
      <w:pPr>
        <w:snapToGrid w:val="0"/>
        <w:spacing w:after="0" w:line="360" w:lineRule="auto"/>
        <w:jc w:val="both"/>
        <w:rPr>
          <w:rFonts w:ascii="Book Antiqua" w:eastAsia="宋体" w:hAnsi="Book Antiqua" w:cs="Calibri"/>
          <w:noProof/>
          <w:sz w:val="24"/>
          <w:szCs w:val="24"/>
          <w:lang w:val="en-GB" w:eastAsia="zh-CN"/>
        </w:rPr>
      </w:pPr>
    </w:p>
    <w:p w14:paraId="216FE925" w14:textId="7C50D2F5" w:rsidR="007879CD" w:rsidRDefault="00EB3B8C" w:rsidP="007879CD">
      <w:pPr>
        <w:widowControl w:val="0"/>
        <w:snapToGrid w:val="0"/>
        <w:spacing w:after="0" w:line="360" w:lineRule="auto"/>
        <w:ind w:right="120"/>
        <w:jc w:val="both"/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</w:pPr>
      <w:bookmarkStart w:id="43" w:name="_Hlk29216555"/>
      <w:r w:rsidRPr="00EB3B8C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>P-Reviewer:</w:t>
      </w:r>
      <w:r w:rsidR="009A0AC7" w:rsidRPr="009A0AC7">
        <w:t xml:space="preserve"> </w:t>
      </w:r>
      <w:r w:rsidR="009A0AC7" w:rsidRPr="009A0AC7">
        <w:rPr>
          <w:rFonts w:ascii="Book Antiqua" w:eastAsia="宋体" w:hAnsi="Book Antiqua" w:cs="Courier New"/>
          <w:bCs/>
          <w:kern w:val="2"/>
          <w:sz w:val="24"/>
          <w:szCs w:val="24"/>
          <w:lang w:val="en-US" w:eastAsia="zh-CN"/>
        </w:rPr>
        <w:t>Ciccone MM,</w:t>
      </w:r>
      <w:r w:rsidR="009A0AC7" w:rsidRPr="009A0AC7">
        <w:rPr>
          <w:bCs/>
        </w:rPr>
        <w:t xml:space="preserve"> </w:t>
      </w:r>
      <w:r w:rsidR="009A0AC7" w:rsidRPr="009A0AC7">
        <w:rPr>
          <w:rFonts w:ascii="Book Antiqua" w:eastAsia="宋体" w:hAnsi="Book Antiqua" w:cs="Courier New"/>
          <w:bCs/>
          <w:kern w:val="2"/>
          <w:sz w:val="24"/>
          <w:szCs w:val="24"/>
          <w:lang w:val="en-US" w:eastAsia="zh-CN"/>
        </w:rPr>
        <w:t>Gabriel S,</w:t>
      </w:r>
      <w:r w:rsidR="009A0AC7" w:rsidRPr="009A0AC7">
        <w:rPr>
          <w:bCs/>
        </w:rPr>
        <w:t xml:space="preserve"> </w:t>
      </w:r>
      <w:proofErr w:type="spellStart"/>
      <w:r w:rsidR="009A0AC7" w:rsidRPr="009A0AC7">
        <w:rPr>
          <w:rFonts w:ascii="Book Antiqua" w:eastAsia="宋体" w:hAnsi="Book Antiqua" w:cs="Courier New"/>
          <w:bCs/>
          <w:kern w:val="2"/>
          <w:sz w:val="24"/>
          <w:szCs w:val="24"/>
          <w:lang w:val="en-US" w:eastAsia="zh-CN"/>
        </w:rPr>
        <w:t>Jadallah</w:t>
      </w:r>
      <w:proofErr w:type="spellEnd"/>
      <w:r w:rsidR="009A0AC7" w:rsidRPr="009A0AC7">
        <w:rPr>
          <w:rFonts w:ascii="Book Antiqua" w:eastAsia="宋体" w:hAnsi="Book Antiqua" w:cs="Courier New"/>
          <w:bCs/>
          <w:kern w:val="2"/>
          <w:sz w:val="24"/>
          <w:szCs w:val="24"/>
          <w:lang w:val="en-US" w:eastAsia="zh-CN"/>
        </w:rPr>
        <w:t xml:space="preserve"> KA</w:t>
      </w:r>
      <w:r w:rsidRPr="00EB3B8C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S-Editor: </w:t>
      </w:r>
      <w:r w:rsidRPr="00EB3B8C">
        <w:rPr>
          <w:rFonts w:ascii="Book Antiqua" w:eastAsia="宋体" w:hAnsi="Book Antiqua" w:cs="Courier New" w:hint="eastAsia"/>
          <w:kern w:val="2"/>
          <w:sz w:val="24"/>
          <w:szCs w:val="24"/>
          <w:lang w:val="en-US" w:eastAsia="zh-CN"/>
        </w:rPr>
        <w:t>Wang YQ</w:t>
      </w:r>
      <w:r w:rsidRPr="00EB3B8C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L-Editor:</w:t>
      </w:r>
      <w:r w:rsidR="00585521">
        <w:rPr>
          <w:rFonts w:ascii="Book Antiqua" w:eastAsia="宋体" w:hAnsi="Book Antiqua" w:cs="Courier New" w:hint="eastAsia"/>
          <w:b/>
          <w:kern w:val="2"/>
          <w:sz w:val="24"/>
          <w:szCs w:val="24"/>
          <w:lang w:val="en-US" w:eastAsia="zh-CN"/>
        </w:rPr>
        <w:t xml:space="preserve"> </w:t>
      </w:r>
      <w:r w:rsidR="00585521" w:rsidRPr="00585521">
        <w:rPr>
          <w:rFonts w:ascii="Book Antiqua" w:eastAsia="宋体" w:hAnsi="Book Antiqua" w:cs="Courier New" w:hint="eastAsia"/>
          <w:kern w:val="2"/>
          <w:sz w:val="24"/>
          <w:szCs w:val="24"/>
          <w:lang w:val="en-US" w:eastAsia="zh-CN"/>
        </w:rPr>
        <w:t>A</w:t>
      </w:r>
      <w:r w:rsidRPr="00EB3B8C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E-Editor:</w:t>
      </w:r>
      <w:bookmarkEnd w:id="43"/>
      <w:r w:rsidRPr="00EB3B8C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</w:t>
      </w:r>
      <w:bookmarkEnd w:id="37"/>
      <w:bookmarkEnd w:id="38"/>
      <w:bookmarkEnd w:id="39"/>
      <w:r w:rsidR="00585521" w:rsidRPr="00585521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Zhang YL</w:t>
      </w:r>
    </w:p>
    <w:p w14:paraId="5D500569" w14:textId="77777777" w:rsidR="007879CD" w:rsidRPr="007879CD" w:rsidRDefault="007879CD" w:rsidP="007879CD">
      <w:pPr>
        <w:widowControl w:val="0"/>
        <w:snapToGrid w:val="0"/>
        <w:spacing w:after="0" w:line="360" w:lineRule="auto"/>
        <w:ind w:right="120"/>
        <w:rPr>
          <w:rFonts w:ascii="Book Antiqua" w:eastAsia="宋体" w:hAnsi="Book Antiqua"/>
          <w:b/>
          <w:sz w:val="24"/>
          <w:szCs w:val="24"/>
          <w:lang w:val="el-GR"/>
        </w:rPr>
      </w:pPr>
      <w:r>
        <w:rPr>
          <w:rFonts w:ascii="Book Antiqua" w:eastAsia="宋体" w:hAnsi="Book Antiqua"/>
          <w:b/>
          <w:sz w:val="24"/>
          <w:szCs w:val="24"/>
          <w:lang w:val="el-GR"/>
        </w:rPr>
        <w:br w:type="page"/>
      </w:r>
      <w:bookmarkStart w:id="44" w:name="_Hlk27143547"/>
      <w:r w:rsidRPr="007879CD">
        <w:rPr>
          <w:rFonts w:ascii="Book Antiqua" w:eastAsia="宋体" w:hAnsi="Book Antiqua"/>
          <w:b/>
          <w:sz w:val="24"/>
          <w:szCs w:val="24"/>
          <w:lang w:val="el-GR"/>
        </w:rPr>
        <w:lastRenderedPageBreak/>
        <w:t>Figure Legends</w:t>
      </w:r>
    </w:p>
    <w:bookmarkEnd w:id="44"/>
    <w:p w14:paraId="61EC663C" w14:textId="482F60FE" w:rsidR="00307FEA" w:rsidRPr="00EA02E8" w:rsidRDefault="00E600DC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5CA8C265" wp14:editId="51367987">
            <wp:extent cx="3918151" cy="3772094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8151" cy="37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51D4" w14:textId="77777777" w:rsidR="007879CD" w:rsidRPr="007879CD" w:rsidRDefault="007879CD" w:rsidP="007879CD">
      <w:pPr>
        <w:widowControl w:val="0"/>
        <w:snapToGrid w:val="0"/>
        <w:spacing w:after="0" w:line="360" w:lineRule="auto"/>
        <w:ind w:right="120"/>
        <w:rPr>
          <w:rFonts w:ascii="Book Antiqua" w:eastAsia="宋体" w:hAnsi="Book Antiqua"/>
          <w:b/>
          <w:sz w:val="24"/>
          <w:szCs w:val="24"/>
          <w:lang w:val="el-GR"/>
        </w:rPr>
      </w:pPr>
      <w:r w:rsidRPr="007879CD">
        <w:rPr>
          <w:rFonts w:ascii="Book Antiqua" w:hAnsi="Book Antiqua"/>
          <w:b/>
          <w:color w:val="000000"/>
          <w:sz w:val="24"/>
          <w:szCs w:val="24"/>
          <w:lang w:val="en-US"/>
        </w:rPr>
        <w:t>Figure 1 PRISMA flow-chart of the systematic review.</w:t>
      </w:r>
    </w:p>
    <w:p w14:paraId="00F8FC80" w14:textId="77777777" w:rsidR="00307FEA" w:rsidRPr="007879CD" w:rsidRDefault="00307FEA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l-GR"/>
        </w:rPr>
      </w:pPr>
    </w:p>
    <w:p w14:paraId="51B260D9" w14:textId="77777777" w:rsidR="007879CD" w:rsidRDefault="007879CD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  <w:sectPr w:rsidR="007879CD" w:rsidSect="00EA02E8">
          <w:pgSz w:w="11906" w:h="16838"/>
          <w:pgMar w:top="1134" w:right="1134" w:bottom="1417" w:left="1134" w:header="708" w:footer="708" w:gutter="0"/>
          <w:cols w:space="708"/>
          <w:docGrid w:linePitch="360"/>
        </w:sectPr>
      </w:pPr>
    </w:p>
    <w:p w14:paraId="433A4EEE" w14:textId="06570225" w:rsidR="00307FEA" w:rsidRPr="007879CD" w:rsidRDefault="00307FEA" w:rsidP="0046571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7879CD">
        <w:rPr>
          <w:rFonts w:ascii="Book Antiqua" w:hAnsi="Book Antiqua"/>
          <w:b/>
          <w:sz w:val="24"/>
          <w:szCs w:val="24"/>
          <w:lang w:val="en-US"/>
        </w:rPr>
        <w:lastRenderedPageBreak/>
        <w:t>Table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1</w:t>
      </w:r>
      <w:r w:rsidR="007879CD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Original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articles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selected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and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included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in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this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systematic</w:t>
      </w:r>
      <w:r w:rsidR="00277F7A" w:rsidRPr="007879C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7879CD">
        <w:rPr>
          <w:rFonts w:ascii="Book Antiqua" w:hAnsi="Book Antiqua"/>
          <w:b/>
          <w:sz w:val="24"/>
          <w:szCs w:val="24"/>
          <w:lang w:val="en-US"/>
        </w:rPr>
        <w:t>review</w:t>
      </w:r>
      <w:r w:rsidR="007A14E8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r w:rsidR="007A14E8" w:rsidRPr="007A14E8">
        <w:rPr>
          <w:rFonts w:ascii="Book Antiqua" w:hAnsi="Book Antiqua"/>
          <w:b/>
          <w:i/>
          <w:iCs/>
          <w:sz w:val="24"/>
          <w:szCs w:val="24"/>
          <w:lang w:val="en-US"/>
        </w:rPr>
        <w:t>n</w:t>
      </w:r>
    </w:p>
    <w:tbl>
      <w:tblPr>
        <w:tblW w:w="5755" w:type="pct"/>
        <w:tblInd w:w="-851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583"/>
        <w:gridCol w:w="1152"/>
        <w:gridCol w:w="1586"/>
        <w:gridCol w:w="1148"/>
        <w:gridCol w:w="1295"/>
        <w:gridCol w:w="1295"/>
        <w:gridCol w:w="3178"/>
        <w:gridCol w:w="2871"/>
        <w:gridCol w:w="1145"/>
      </w:tblGrid>
      <w:tr w:rsidR="00C36090" w:rsidRPr="00756F79" w14:paraId="71C6FA1C" w14:textId="77777777" w:rsidTr="00C36090">
        <w:trPr>
          <w:trHeight w:val="96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F2E218" w14:textId="63E6A67D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Ref</w:t>
            </w:r>
            <w:r w:rsidR="00756F79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D88032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Country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EF3C31" w14:textId="6C385118" w:rsidR="003C0F18" w:rsidRPr="00756F79" w:rsidRDefault="00C5105C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 xml:space="preserve">Total </w:t>
            </w:r>
            <w:r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 xml:space="preserve">number of 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CD patients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500F1" w14:textId="3EA0A95F" w:rsidR="003C0F18" w:rsidRPr="00756F79" w:rsidRDefault="00756F79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756F79">
              <w:rPr>
                <w:rFonts w:ascii="Book Antiqua" w:hAnsi="Book Antiqua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="003C0F18"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>Age</w:t>
            </w:r>
            <w:r w:rsidR="00C5105C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5105C">
              <w:rPr>
                <w:rFonts w:ascii="Book Antiqua" w:hAnsi="Book Antiqua"/>
                <w:b/>
                <w:sz w:val="24"/>
                <w:szCs w:val="24"/>
                <w:lang w:val="en-US"/>
              </w:rPr>
              <w:t>yr</w:t>
            </w:r>
            <w:proofErr w:type="spellEnd"/>
            <w:r w:rsidR="00C5105C">
              <w:rPr>
                <w:rFonts w:ascii="Book Antiqua" w:hAnsi="Book Antiqua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57F9D4" w14:textId="49FF9BAA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Sex </w:t>
            </w:r>
            <w:r w:rsidR="00756F79"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>ratio</w:t>
            </w:r>
            <w:r w:rsidR="00756F79">
              <w:rPr>
                <w:rFonts w:ascii="Book Antiqua" w:hAnsi="Book Antiqua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>(M</w:t>
            </w:r>
            <w:r w:rsidR="003271CD">
              <w:rPr>
                <w:rFonts w:ascii="Book Antiqua" w:hAnsi="Book Antiqua"/>
                <w:b/>
                <w:sz w:val="24"/>
                <w:szCs w:val="24"/>
                <w:lang w:val="en-US"/>
              </w:rPr>
              <w:t>/</w:t>
            </w:r>
            <w:r w:rsidRPr="00756F79">
              <w:rPr>
                <w:rFonts w:ascii="Book Antiqua" w:hAnsi="Book Antiqua"/>
                <w:b/>
                <w:sz w:val="24"/>
                <w:szCs w:val="24"/>
                <w:lang w:val="en-US"/>
              </w:rPr>
              <w:t>F)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818BA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HLA-DQB1*02 carriers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961D2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Non-HLA-DQB1*02 carriers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AB5B8" w14:textId="571EADFD" w:rsidR="003C0F18" w:rsidRPr="00756F79" w:rsidRDefault="00756F79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vertAlign w:val="superscript"/>
                <w:lang w:val="en-US" w:eastAsia="it-IT"/>
              </w:rPr>
              <w:t>2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Notes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A1435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 xml:space="preserve">Clinical </w:t>
            </w:r>
          </w:p>
          <w:p w14:paraId="52B61037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Background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35313" w14:textId="26B5416D" w:rsidR="003C0F18" w:rsidRPr="00756F79" w:rsidRDefault="00756F79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/>
                <w:sz w:val="24"/>
                <w:szCs w:val="24"/>
                <w:vertAlign w:val="superscript"/>
                <w:lang w:val="en-US" w:eastAsia="it-IT"/>
              </w:rPr>
              <w:t>3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DM1 patients</w:t>
            </w:r>
            <w:r w:rsidR="00355703">
              <w:rPr>
                <w:rFonts w:ascii="Book Antiqua" w:eastAsiaTheme="minorEastAsia" w:hAnsi="Book Antiqua"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(&lt;</w:t>
            </w:r>
            <w:r w:rsidR="00651BFC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 xml:space="preserve"> </w:t>
            </w:r>
            <w:r w:rsidR="003C0F18" w:rsidRPr="00756F79">
              <w:rPr>
                <w:rFonts w:ascii="Book Antiqua" w:eastAsia="MS MinNew Roman" w:hAnsi="Book Antiqua"/>
                <w:b/>
                <w:sz w:val="24"/>
                <w:szCs w:val="24"/>
                <w:lang w:val="en-US" w:eastAsia="it-IT"/>
              </w:rPr>
              <w:t>3%)</w:t>
            </w:r>
          </w:p>
        </w:tc>
      </w:tr>
      <w:tr w:rsidR="00C36090" w:rsidRPr="003C0F18" w14:paraId="02FBA11B" w14:textId="77777777" w:rsidTr="00C36090">
        <w:trPr>
          <w:trHeight w:val="687"/>
        </w:trPr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975E7D3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Congia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[15]</w:t>
            </w:r>
            <w:r w:rsidRPr="00756F79">
              <w:rPr>
                <w:rFonts w:ascii="Book Antiqua" w:hAnsi="Book Antiqua" w:hint="eastAsia"/>
                <w:bCs/>
                <w:iCs/>
                <w:sz w:val="24"/>
                <w:szCs w:val="24"/>
                <w:lang w:val="en-US" w:eastAsia="zh-CN"/>
              </w:rPr>
              <w:t>,</w:t>
            </w:r>
            <w:r w:rsidRPr="00756F79">
              <w:rPr>
                <w:rFonts w:ascii="Book Antiqua" w:hAnsi="Book Antiqua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1994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B4B79F8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Italy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99303B9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62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</w:tcPr>
          <w:p w14:paraId="4279FAAF" w14:textId="7A742643" w:rsidR="003C0F18" w:rsidRPr="0078380F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 w:eastAsia="zh-CN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Group I</w:t>
            </w:r>
            <w:r w:rsidR="00355703">
              <w:rPr>
                <w:rFonts w:ascii="Book Antiqua" w:hAnsi="Book Antiqua"/>
                <w:sz w:val="24"/>
                <w:szCs w:val="24"/>
                <w:lang w:val="en-US"/>
              </w:rPr>
              <w:t>: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 3.08</w:t>
            </w:r>
            <w:r w:rsidR="0035570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="002C4F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2.05</w:t>
            </w:r>
            <w:r w:rsidR="002C4FA3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;</w:t>
            </w:r>
            <w:r w:rsidR="002C4FA3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Group II</w:t>
            </w:r>
            <w:r w:rsidR="00355703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:</w:t>
            </w:r>
            <w:r w:rsidR="00355703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5.7</w:t>
            </w:r>
            <w:r w:rsidR="002C4F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="002C4F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3.1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C92EE07" w14:textId="77777777" w:rsidR="003C0F18" w:rsidRPr="0078380F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24/38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0BC27650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61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3E418087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auto"/>
          </w:tcPr>
          <w:p w14:paraId="71EC8DFC" w14:textId="12BD1E2B" w:rsidR="003C0F18" w:rsidRPr="00355703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 w:rsidR="007263F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12</w:t>
            </w:r>
            <w:r w:rsidR="007263F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tcBorders>
              <w:top w:val="single" w:sz="4" w:space="0" w:color="auto"/>
            </w:tcBorders>
            <w:shd w:val="clear" w:color="auto" w:fill="auto"/>
          </w:tcPr>
          <w:p w14:paraId="1B0FFFAD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Symptomatic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classified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classic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(group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atypical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(group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II)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4FD03E87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7C0CABA7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282C5740" w14:textId="17E10695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Herrera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,1994</w:t>
            </w:r>
          </w:p>
        </w:tc>
        <w:tc>
          <w:tcPr>
            <w:tcW w:w="474" w:type="pct"/>
            <w:shd w:val="clear" w:color="auto" w:fill="auto"/>
            <w:hideMark/>
          </w:tcPr>
          <w:p w14:paraId="481BE9D6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Argentina</w:t>
            </w:r>
          </w:p>
        </w:tc>
        <w:tc>
          <w:tcPr>
            <w:tcW w:w="345" w:type="pct"/>
            <w:shd w:val="clear" w:color="auto" w:fill="auto"/>
            <w:hideMark/>
          </w:tcPr>
          <w:p w14:paraId="71E69F27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62</w:t>
            </w:r>
          </w:p>
        </w:tc>
        <w:tc>
          <w:tcPr>
            <w:tcW w:w="475" w:type="pct"/>
            <w:shd w:val="clear" w:color="auto" w:fill="auto"/>
          </w:tcPr>
          <w:p w14:paraId="37748C9C" w14:textId="23B3FFDB" w:rsidR="003C0F18" w:rsidRPr="0078380F" w:rsidRDefault="00C2530E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C</w:t>
            </w:r>
            <w:r w:rsidR="003C0F18" w:rsidRPr="0078380F">
              <w:rPr>
                <w:rFonts w:ascii="Book Antiqua" w:hAnsi="Book Antiqua"/>
                <w:sz w:val="24"/>
                <w:szCs w:val="24"/>
                <w:lang w:val="en-US"/>
              </w:rPr>
              <w:t>hildren</w:t>
            </w:r>
          </w:p>
        </w:tc>
        <w:tc>
          <w:tcPr>
            <w:tcW w:w="344" w:type="pct"/>
            <w:shd w:val="clear" w:color="auto" w:fill="auto"/>
            <w:hideMark/>
          </w:tcPr>
          <w:p w14:paraId="0D4316D0" w14:textId="77777777" w:rsidR="003C0F18" w:rsidRPr="0078380F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12/50</w:t>
            </w:r>
          </w:p>
        </w:tc>
        <w:tc>
          <w:tcPr>
            <w:tcW w:w="388" w:type="pct"/>
            <w:shd w:val="clear" w:color="auto" w:fill="auto"/>
          </w:tcPr>
          <w:p w14:paraId="61CEF0BE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51</w:t>
            </w:r>
          </w:p>
        </w:tc>
        <w:tc>
          <w:tcPr>
            <w:tcW w:w="388" w:type="pct"/>
            <w:shd w:val="clear" w:color="auto" w:fill="auto"/>
          </w:tcPr>
          <w:p w14:paraId="5AF6984A" w14:textId="77777777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14:paraId="413D44F8" w14:textId="320C08DF" w:rsidR="003C0F18" w:rsidRPr="00355703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53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 w:rsidR="007263F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12</w:t>
            </w:r>
            <w:r w:rsidR="007263F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68BC21F" w14:textId="3D4D012D" w:rsidR="003C0F18" w:rsidRPr="00EA02E8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gastroenterology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unit</w:t>
            </w:r>
          </w:p>
        </w:tc>
        <w:tc>
          <w:tcPr>
            <w:tcW w:w="343" w:type="pct"/>
            <w:shd w:val="clear" w:color="auto" w:fill="auto"/>
          </w:tcPr>
          <w:p w14:paraId="1AA30BE9" w14:textId="77777777" w:rsidR="003C0F18" w:rsidRPr="00756F79" w:rsidRDefault="003C0F18" w:rsidP="00465713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032027C2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72390C00" w14:textId="34B9F93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proofErr w:type="spellStart"/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Fernández-Arquero</w:t>
            </w:r>
            <w:proofErr w:type="spellEnd"/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>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[17]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 1995</w:t>
            </w:r>
          </w:p>
        </w:tc>
        <w:tc>
          <w:tcPr>
            <w:tcW w:w="474" w:type="pct"/>
            <w:shd w:val="clear" w:color="auto" w:fill="auto"/>
            <w:hideMark/>
          </w:tcPr>
          <w:p w14:paraId="118E4C8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  <w:hideMark/>
          </w:tcPr>
          <w:p w14:paraId="1B1B43B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70</w:t>
            </w:r>
          </w:p>
        </w:tc>
        <w:tc>
          <w:tcPr>
            <w:tcW w:w="475" w:type="pct"/>
            <w:shd w:val="clear" w:color="auto" w:fill="auto"/>
          </w:tcPr>
          <w:p w14:paraId="0002A24D" w14:textId="6EEF9E38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1.7 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  <w:hideMark/>
          </w:tcPr>
          <w:p w14:paraId="00190206" w14:textId="0321F7BB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7AFA9E45" w14:textId="66CD5D9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67</w:t>
            </w:r>
          </w:p>
        </w:tc>
        <w:tc>
          <w:tcPr>
            <w:tcW w:w="388" w:type="pct"/>
            <w:shd w:val="clear" w:color="auto" w:fill="auto"/>
          </w:tcPr>
          <w:p w14:paraId="7B96AF2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14:paraId="5ECB6A20" w14:textId="0136A379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12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3CB3358D" w14:textId="0B5344E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421A3997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54D17F4A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73F69139" w14:textId="0FF5FF8F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proofErr w:type="spellStart"/>
            <w:r w:rsidRPr="007A14E8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Polvi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1996</w:t>
            </w:r>
          </w:p>
        </w:tc>
        <w:tc>
          <w:tcPr>
            <w:tcW w:w="474" w:type="pct"/>
            <w:shd w:val="clear" w:color="auto" w:fill="auto"/>
            <w:hideMark/>
          </w:tcPr>
          <w:p w14:paraId="552E1B9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  <w:hideMark/>
          </w:tcPr>
          <w:p w14:paraId="64E4CC4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</w:t>
            </w:r>
          </w:p>
        </w:tc>
        <w:tc>
          <w:tcPr>
            <w:tcW w:w="475" w:type="pct"/>
            <w:shd w:val="clear" w:color="auto" w:fill="auto"/>
          </w:tcPr>
          <w:p w14:paraId="1DE437F1" w14:textId="4BD2BFB9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Index cases</w:t>
            </w:r>
            <w:r w:rsidR="003271CD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:</w:t>
            </w:r>
            <w:r w:rsidR="003271CD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8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(1-34)</w:t>
            </w:r>
            <w:r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FDR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: NA </w:t>
            </w:r>
          </w:p>
        </w:tc>
        <w:tc>
          <w:tcPr>
            <w:tcW w:w="344" w:type="pct"/>
            <w:shd w:val="clear" w:color="auto" w:fill="auto"/>
            <w:hideMark/>
          </w:tcPr>
          <w:p w14:paraId="5742CF9F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25/24</w:t>
            </w:r>
          </w:p>
        </w:tc>
        <w:tc>
          <w:tcPr>
            <w:tcW w:w="388" w:type="pct"/>
            <w:shd w:val="clear" w:color="auto" w:fill="auto"/>
          </w:tcPr>
          <w:p w14:paraId="3354C41F" w14:textId="00E59FCE" w:rsidR="00872682" w:rsidRPr="00590975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</w:t>
            </w:r>
          </w:p>
        </w:tc>
        <w:tc>
          <w:tcPr>
            <w:tcW w:w="388" w:type="pct"/>
            <w:shd w:val="clear" w:color="auto" w:fill="auto"/>
          </w:tcPr>
          <w:p w14:paraId="55F4B97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287C1320" w14:textId="6E039688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3AF686FF" w14:textId="1AB2CE14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35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clinical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specified)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</w:p>
        </w:tc>
        <w:tc>
          <w:tcPr>
            <w:tcW w:w="343" w:type="pct"/>
            <w:shd w:val="clear" w:color="auto" w:fill="auto"/>
          </w:tcPr>
          <w:p w14:paraId="1EA5AC58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lastRenderedPageBreak/>
              <w:t>+</w:t>
            </w:r>
          </w:p>
        </w:tc>
      </w:tr>
      <w:tr w:rsidR="00C36090" w:rsidRPr="003C0F18" w14:paraId="426EA15C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04A372EB" w14:textId="78E6CD0F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proofErr w:type="spellStart"/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Catassi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[19]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 2001</w:t>
            </w:r>
          </w:p>
        </w:tc>
        <w:tc>
          <w:tcPr>
            <w:tcW w:w="474" w:type="pct"/>
            <w:shd w:val="clear" w:color="auto" w:fill="auto"/>
            <w:hideMark/>
          </w:tcPr>
          <w:p w14:paraId="0D7C4F0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Algeria</w:t>
            </w:r>
          </w:p>
        </w:tc>
        <w:tc>
          <w:tcPr>
            <w:tcW w:w="345" w:type="pct"/>
            <w:shd w:val="clear" w:color="auto" w:fill="auto"/>
            <w:hideMark/>
          </w:tcPr>
          <w:p w14:paraId="74EFA49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79</w:t>
            </w:r>
          </w:p>
        </w:tc>
        <w:tc>
          <w:tcPr>
            <w:tcW w:w="475" w:type="pct"/>
            <w:shd w:val="clear" w:color="auto" w:fill="auto"/>
          </w:tcPr>
          <w:p w14:paraId="288A1CC8" w14:textId="611E489B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8 (2-37)</w:t>
            </w:r>
          </w:p>
        </w:tc>
        <w:tc>
          <w:tcPr>
            <w:tcW w:w="344" w:type="pct"/>
            <w:shd w:val="clear" w:color="auto" w:fill="auto"/>
            <w:hideMark/>
          </w:tcPr>
          <w:p w14:paraId="557EFC19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33/44</w:t>
            </w:r>
          </w:p>
        </w:tc>
        <w:tc>
          <w:tcPr>
            <w:tcW w:w="388" w:type="pct"/>
            <w:shd w:val="clear" w:color="auto" w:fill="auto"/>
          </w:tcPr>
          <w:p w14:paraId="039A23F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68</w:t>
            </w:r>
          </w:p>
          <w:p w14:paraId="4B61E51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</w:p>
        </w:tc>
        <w:tc>
          <w:tcPr>
            <w:tcW w:w="388" w:type="pct"/>
            <w:shd w:val="clear" w:color="auto" w:fill="auto"/>
          </w:tcPr>
          <w:p w14:paraId="059E659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28AC4193" w14:textId="61D43DA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69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735C7792" w14:textId="4FC8CB0C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3D640DB5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261CFD96" w14:textId="77777777" w:rsidTr="00C36090">
        <w:trPr>
          <w:trHeight w:val="687"/>
        </w:trPr>
        <w:tc>
          <w:tcPr>
            <w:tcW w:w="431" w:type="pct"/>
            <w:shd w:val="clear" w:color="auto" w:fill="auto"/>
            <w:hideMark/>
          </w:tcPr>
          <w:p w14:paraId="5CBDDB5D" w14:textId="13201878" w:rsidR="00872682" w:rsidRPr="005D25A4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Kaur</w:t>
            </w:r>
            <w:r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>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[20]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2002</w:t>
            </w:r>
          </w:p>
        </w:tc>
        <w:tc>
          <w:tcPr>
            <w:tcW w:w="474" w:type="pct"/>
            <w:shd w:val="clear" w:color="auto" w:fill="auto"/>
            <w:hideMark/>
          </w:tcPr>
          <w:p w14:paraId="7A9569E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India</w:t>
            </w:r>
          </w:p>
        </w:tc>
        <w:tc>
          <w:tcPr>
            <w:tcW w:w="345" w:type="pct"/>
            <w:shd w:val="clear" w:color="auto" w:fill="auto"/>
            <w:hideMark/>
          </w:tcPr>
          <w:p w14:paraId="510DC5E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35</w:t>
            </w:r>
          </w:p>
        </w:tc>
        <w:tc>
          <w:tcPr>
            <w:tcW w:w="475" w:type="pct"/>
            <w:shd w:val="clear" w:color="auto" w:fill="auto"/>
          </w:tcPr>
          <w:p w14:paraId="6E14356F" w14:textId="5A0AA6A1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8.42 (1.5-15.6)</w:t>
            </w:r>
          </w:p>
        </w:tc>
        <w:tc>
          <w:tcPr>
            <w:tcW w:w="344" w:type="pct"/>
            <w:shd w:val="clear" w:color="auto" w:fill="auto"/>
            <w:hideMark/>
          </w:tcPr>
          <w:p w14:paraId="1852C974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18/17</w:t>
            </w:r>
          </w:p>
        </w:tc>
        <w:tc>
          <w:tcPr>
            <w:tcW w:w="388" w:type="pct"/>
            <w:shd w:val="clear" w:color="auto" w:fill="auto"/>
          </w:tcPr>
          <w:p w14:paraId="3B0730C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35</w:t>
            </w:r>
          </w:p>
        </w:tc>
        <w:tc>
          <w:tcPr>
            <w:tcW w:w="388" w:type="pct"/>
            <w:shd w:val="clear" w:color="auto" w:fill="auto"/>
          </w:tcPr>
          <w:p w14:paraId="1DE7CAC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605B8890" w14:textId="4A71A7AA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3292ECB5" w14:textId="053A053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Symptomatic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</w:p>
        </w:tc>
        <w:tc>
          <w:tcPr>
            <w:tcW w:w="343" w:type="pct"/>
            <w:shd w:val="clear" w:color="auto" w:fill="auto"/>
          </w:tcPr>
          <w:p w14:paraId="498FA0E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64F4E852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49DC0F9B" w14:textId="7BD860B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Zubillaga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[21]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2002</w:t>
            </w:r>
          </w:p>
        </w:tc>
        <w:tc>
          <w:tcPr>
            <w:tcW w:w="474" w:type="pct"/>
            <w:shd w:val="clear" w:color="auto" w:fill="auto"/>
          </w:tcPr>
          <w:p w14:paraId="1A4F85F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77D2908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133</w:t>
            </w:r>
          </w:p>
        </w:tc>
        <w:tc>
          <w:tcPr>
            <w:tcW w:w="475" w:type="pct"/>
            <w:shd w:val="clear" w:color="auto" w:fill="auto"/>
          </w:tcPr>
          <w:p w14:paraId="72DD8C2C" w14:textId="6522590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3.1 (0.5-18)</w:t>
            </w:r>
          </w:p>
        </w:tc>
        <w:tc>
          <w:tcPr>
            <w:tcW w:w="344" w:type="pct"/>
            <w:shd w:val="clear" w:color="auto" w:fill="auto"/>
          </w:tcPr>
          <w:p w14:paraId="385758B0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59/74</w:t>
            </w:r>
          </w:p>
        </w:tc>
        <w:tc>
          <w:tcPr>
            <w:tcW w:w="388" w:type="pct"/>
            <w:shd w:val="clear" w:color="auto" w:fill="auto"/>
          </w:tcPr>
          <w:p w14:paraId="09F2369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132</w:t>
            </w:r>
          </w:p>
        </w:tc>
        <w:tc>
          <w:tcPr>
            <w:tcW w:w="388" w:type="pct"/>
            <w:shd w:val="clear" w:color="auto" w:fill="auto"/>
          </w:tcPr>
          <w:p w14:paraId="2C2468B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0BD10620" w14:textId="71BF7C26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CE4B976" w14:textId="625E178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classic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(71.4%)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non-classic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(21.8%)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3271CD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Nine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asymptomatic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(5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FRD,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DS,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IDDM)</w:t>
            </w:r>
          </w:p>
        </w:tc>
        <w:tc>
          <w:tcPr>
            <w:tcW w:w="343" w:type="pct"/>
            <w:shd w:val="clear" w:color="auto" w:fill="auto"/>
          </w:tcPr>
          <w:p w14:paraId="1DABDAC8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09A1BF42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CDC50B3" w14:textId="68750A5B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Mustalahti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[22]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2002</w:t>
            </w:r>
          </w:p>
        </w:tc>
        <w:tc>
          <w:tcPr>
            <w:tcW w:w="474" w:type="pct"/>
            <w:shd w:val="clear" w:color="auto" w:fill="auto"/>
          </w:tcPr>
          <w:p w14:paraId="0B10BDD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</w:tcPr>
          <w:p w14:paraId="1C4FC0A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56</w:t>
            </w:r>
          </w:p>
        </w:tc>
        <w:tc>
          <w:tcPr>
            <w:tcW w:w="475" w:type="pct"/>
            <w:shd w:val="clear" w:color="auto" w:fill="auto"/>
          </w:tcPr>
          <w:p w14:paraId="3A9E1DC2" w14:textId="115C8E6C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44" w:type="pct"/>
            <w:shd w:val="clear" w:color="auto" w:fill="auto"/>
          </w:tcPr>
          <w:p w14:paraId="5EE86E92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18/38</w:t>
            </w:r>
          </w:p>
        </w:tc>
        <w:tc>
          <w:tcPr>
            <w:tcW w:w="388" w:type="pct"/>
            <w:shd w:val="clear" w:color="auto" w:fill="auto"/>
          </w:tcPr>
          <w:p w14:paraId="15E6C1B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</w:t>
            </w:r>
          </w:p>
        </w:tc>
        <w:tc>
          <w:tcPr>
            <w:tcW w:w="388" w:type="pct"/>
            <w:shd w:val="clear" w:color="auto" w:fill="auto"/>
          </w:tcPr>
          <w:p w14:paraId="50A33C5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214D9BEF" w14:textId="41EA3A9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symptomatic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CD.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3271CD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Seven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undergo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(and,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thus,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have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been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excluded)</w:t>
            </w:r>
          </w:p>
        </w:tc>
        <w:tc>
          <w:tcPr>
            <w:tcW w:w="860" w:type="pct"/>
            <w:shd w:val="clear" w:color="auto" w:fill="auto"/>
          </w:tcPr>
          <w:p w14:paraId="3963F59E" w14:textId="596EE3BE" w:rsidR="00872682" w:rsidRPr="00EA02E8" w:rsidRDefault="003271CD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Twenty-eight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symptomatic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extra-GI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28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asymptomatic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siblings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by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 w:rsidR="00872682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</w:p>
        </w:tc>
        <w:tc>
          <w:tcPr>
            <w:tcW w:w="343" w:type="pct"/>
            <w:shd w:val="clear" w:color="auto" w:fill="auto"/>
          </w:tcPr>
          <w:p w14:paraId="4AD2876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lastRenderedPageBreak/>
              <w:t>+</w:t>
            </w:r>
          </w:p>
        </w:tc>
      </w:tr>
      <w:tr w:rsidR="00C36090" w:rsidRPr="003C0F18" w14:paraId="032DF16E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48B91A90" w14:textId="04C6E14F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5D25A4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Karinen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[23]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2006</w:t>
            </w:r>
          </w:p>
        </w:tc>
        <w:tc>
          <w:tcPr>
            <w:tcW w:w="474" w:type="pct"/>
            <w:shd w:val="clear" w:color="auto" w:fill="auto"/>
          </w:tcPr>
          <w:p w14:paraId="003CD27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</w:tcPr>
          <w:p w14:paraId="3862018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54</w:t>
            </w:r>
          </w:p>
        </w:tc>
        <w:tc>
          <w:tcPr>
            <w:tcW w:w="475" w:type="pct"/>
            <w:shd w:val="clear" w:color="auto" w:fill="auto"/>
          </w:tcPr>
          <w:p w14:paraId="1F13CDA5" w14:textId="03841356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43.7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14.7</w:t>
            </w:r>
            <w:r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(1-79)</w:t>
            </w:r>
          </w:p>
        </w:tc>
        <w:tc>
          <w:tcPr>
            <w:tcW w:w="344" w:type="pct"/>
            <w:shd w:val="clear" w:color="auto" w:fill="auto"/>
          </w:tcPr>
          <w:p w14:paraId="55C4F22E" w14:textId="4A9AB0B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7F8BB43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53</w:t>
            </w:r>
          </w:p>
        </w:tc>
        <w:tc>
          <w:tcPr>
            <w:tcW w:w="388" w:type="pct"/>
            <w:shd w:val="clear" w:color="auto" w:fill="auto"/>
          </w:tcPr>
          <w:p w14:paraId="2D8E66B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4B0783AC" w14:textId="5612116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7A534DB9" w14:textId="19BF2C4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A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(based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clinical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symptoms)</w:t>
            </w:r>
          </w:p>
        </w:tc>
        <w:tc>
          <w:tcPr>
            <w:tcW w:w="343" w:type="pct"/>
            <w:shd w:val="clear" w:color="auto" w:fill="auto"/>
          </w:tcPr>
          <w:p w14:paraId="68D9B627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24C9240C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188D3B0" w14:textId="4AE89FA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Catassi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2007</w:t>
            </w:r>
          </w:p>
        </w:tc>
        <w:tc>
          <w:tcPr>
            <w:tcW w:w="474" w:type="pct"/>
            <w:shd w:val="clear" w:color="auto" w:fill="auto"/>
          </w:tcPr>
          <w:p w14:paraId="792DAD13" w14:textId="2382E9C1" w:rsidR="00872682" w:rsidRPr="0037022A" w:rsidRDefault="00872682" w:rsidP="0037022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/>
                <w:sz w:val="24"/>
                <w:szCs w:val="24"/>
                <w:lang w:val="en-US" w:eastAsia="zh-CN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</w:t>
            </w:r>
            <w:r w:rsidR="0037022A"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>nited States</w:t>
            </w:r>
          </w:p>
        </w:tc>
        <w:tc>
          <w:tcPr>
            <w:tcW w:w="345" w:type="pct"/>
            <w:shd w:val="clear" w:color="auto" w:fill="auto"/>
          </w:tcPr>
          <w:p w14:paraId="68559D3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22</w:t>
            </w:r>
          </w:p>
        </w:tc>
        <w:tc>
          <w:tcPr>
            <w:tcW w:w="475" w:type="pct"/>
            <w:shd w:val="clear" w:color="auto" w:fill="auto"/>
          </w:tcPr>
          <w:p w14:paraId="377C971A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(19-83)</w:t>
            </w:r>
          </w:p>
        </w:tc>
        <w:tc>
          <w:tcPr>
            <w:tcW w:w="344" w:type="pct"/>
            <w:shd w:val="clear" w:color="auto" w:fill="auto"/>
          </w:tcPr>
          <w:p w14:paraId="41BD97A9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18/4</w:t>
            </w:r>
          </w:p>
        </w:tc>
        <w:tc>
          <w:tcPr>
            <w:tcW w:w="388" w:type="pct"/>
            <w:shd w:val="clear" w:color="auto" w:fill="auto"/>
          </w:tcPr>
          <w:p w14:paraId="217018B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21</w:t>
            </w:r>
          </w:p>
        </w:tc>
        <w:tc>
          <w:tcPr>
            <w:tcW w:w="388" w:type="pct"/>
            <w:shd w:val="clear" w:color="auto" w:fill="auto"/>
          </w:tcPr>
          <w:p w14:paraId="64711B0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62264FE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context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multicenter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prospective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study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22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new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diagnoses.</w:t>
            </w:r>
          </w:p>
        </w:tc>
        <w:tc>
          <w:tcPr>
            <w:tcW w:w="860" w:type="pct"/>
            <w:shd w:val="clear" w:color="auto" w:fill="auto"/>
          </w:tcPr>
          <w:p w14:paraId="72D53161" w14:textId="798DA7F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enrollment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</w:p>
        </w:tc>
        <w:tc>
          <w:tcPr>
            <w:tcW w:w="343" w:type="pct"/>
            <w:shd w:val="clear" w:color="auto" w:fill="auto"/>
          </w:tcPr>
          <w:p w14:paraId="77D440DC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58E77D0C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46D432C" w14:textId="1D68B7F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Murray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 xml:space="preserve"> [25]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2007</w:t>
            </w:r>
          </w:p>
        </w:tc>
        <w:tc>
          <w:tcPr>
            <w:tcW w:w="474" w:type="pct"/>
            <w:shd w:val="clear" w:color="auto" w:fill="auto"/>
          </w:tcPr>
          <w:p w14:paraId="7EB6C7C5" w14:textId="1E8E7B78" w:rsidR="00872682" w:rsidRPr="00EA02E8" w:rsidRDefault="008E7857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</w:t>
            </w:r>
            <w:r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>nited States</w:t>
            </w:r>
          </w:p>
        </w:tc>
        <w:tc>
          <w:tcPr>
            <w:tcW w:w="345" w:type="pct"/>
            <w:shd w:val="clear" w:color="auto" w:fill="auto"/>
          </w:tcPr>
          <w:p w14:paraId="451ADA2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84</w:t>
            </w:r>
          </w:p>
        </w:tc>
        <w:tc>
          <w:tcPr>
            <w:tcW w:w="475" w:type="pct"/>
            <w:shd w:val="clear" w:color="auto" w:fill="auto"/>
          </w:tcPr>
          <w:p w14:paraId="322F3713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(26-68)</w:t>
            </w:r>
          </w:p>
        </w:tc>
        <w:tc>
          <w:tcPr>
            <w:tcW w:w="344" w:type="pct"/>
            <w:shd w:val="clear" w:color="auto" w:fill="auto"/>
          </w:tcPr>
          <w:p w14:paraId="58609CE2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35/49</w:t>
            </w:r>
          </w:p>
        </w:tc>
        <w:tc>
          <w:tcPr>
            <w:tcW w:w="388" w:type="pct"/>
            <w:shd w:val="clear" w:color="auto" w:fill="auto"/>
          </w:tcPr>
          <w:p w14:paraId="0D6F60C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80</w:t>
            </w:r>
          </w:p>
        </w:tc>
        <w:tc>
          <w:tcPr>
            <w:tcW w:w="388" w:type="pct"/>
            <w:shd w:val="clear" w:color="auto" w:fill="auto"/>
          </w:tcPr>
          <w:p w14:paraId="04E12BA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14:paraId="4D5492B0" w14:textId="4767492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408C4EC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</w:p>
        </w:tc>
        <w:tc>
          <w:tcPr>
            <w:tcW w:w="343" w:type="pct"/>
            <w:shd w:val="clear" w:color="auto" w:fill="auto"/>
          </w:tcPr>
          <w:p w14:paraId="61B787F4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646AA22F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4D86068" w14:textId="3FF98F3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Dezsofi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 xml:space="preserve"> [26]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2008</w:t>
            </w:r>
          </w:p>
        </w:tc>
        <w:tc>
          <w:tcPr>
            <w:tcW w:w="474" w:type="pct"/>
            <w:shd w:val="clear" w:color="auto" w:fill="auto"/>
          </w:tcPr>
          <w:p w14:paraId="4BF7437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Hungary</w:t>
            </w:r>
          </w:p>
        </w:tc>
        <w:tc>
          <w:tcPr>
            <w:tcW w:w="345" w:type="pct"/>
            <w:shd w:val="clear" w:color="auto" w:fill="auto"/>
          </w:tcPr>
          <w:p w14:paraId="67E4AD6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4ADC716D" w14:textId="606E61B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16 (3-40)</w:t>
            </w:r>
          </w:p>
        </w:tc>
        <w:tc>
          <w:tcPr>
            <w:tcW w:w="344" w:type="pct"/>
            <w:shd w:val="clear" w:color="auto" w:fill="auto"/>
          </w:tcPr>
          <w:p w14:paraId="05F840DC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47/53</w:t>
            </w:r>
          </w:p>
        </w:tc>
        <w:tc>
          <w:tcPr>
            <w:tcW w:w="388" w:type="pct"/>
            <w:shd w:val="clear" w:color="auto" w:fill="auto"/>
          </w:tcPr>
          <w:p w14:paraId="1FDCFEB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96</w:t>
            </w:r>
          </w:p>
        </w:tc>
        <w:tc>
          <w:tcPr>
            <w:tcW w:w="388" w:type="pct"/>
            <w:shd w:val="clear" w:color="auto" w:fill="auto"/>
          </w:tcPr>
          <w:p w14:paraId="7C25185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14:paraId="362465C0" w14:textId="05A78FB0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2D6058FC" w14:textId="3B20923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Anyway,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group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declared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affected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DM1.</w:t>
            </w:r>
          </w:p>
        </w:tc>
        <w:tc>
          <w:tcPr>
            <w:tcW w:w="343" w:type="pct"/>
            <w:shd w:val="clear" w:color="auto" w:fill="auto"/>
          </w:tcPr>
          <w:p w14:paraId="6442740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16E3E7F7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921144D" w14:textId="0630C12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Megiorni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[27]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2009</w:t>
            </w:r>
          </w:p>
        </w:tc>
        <w:tc>
          <w:tcPr>
            <w:tcW w:w="474" w:type="pct"/>
            <w:shd w:val="clear" w:color="auto" w:fill="auto"/>
          </w:tcPr>
          <w:p w14:paraId="6514BA5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Italy</w:t>
            </w:r>
          </w:p>
        </w:tc>
        <w:tc>
          <w:tcPr>
            <w:tcW w:w="345" w:type="pct"/>
            <w:shd w:val="clear" w:color="auto" w:fill="auto"/>
          </w:tcPr>
          <w:p w14:paraId="673CA84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437</w:t>
            </w:r>
          </w:p>
        </w:tc>
        <w:tc>
          <w:tcPr>
            <w:tcW w:w="475" w:type="pct"/>
            <w:shd w:val="clear" w:color="auto" w:fill="auto"/>
          </w:tcPr>
          <w:p w14:paraId="31C064BF" w14:textId="0DB27533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5.7</w:t>
            </w:r>
            <w:r w:rsidR="003271CD"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 (</w:t>
            </w:r>
            <w:r w:rsidR="003271CD">
              <w:rPr>
                <w:rFonts w:ascii="Book Antiqua" w:hAnsi="Book Antiqua"/>
                <w:sz w:val="24"/>
                <w:szCs w:val="24"/>
                <w:lang w:val="en-US"/>
              </w:rPr>
              <w:t>NA; only</w:t>
            </w:r>
            <w:r w:rsidR="003271CD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="003271CD"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 w:rsidR="003271CD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3CE5CBA7" w14:textId="5B85DF7B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56C29E7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392</w:t>
            </w:r>
          </w:p>
        </w:tc>
        <w:tc>
          <w:tcPr>
            <w:tcW w:w="388" w:type="pct"/>
            <w:shd w:val="clear" w:color="auto" w:fill="auto"/>
          </w:tcPr>
          <w:p w14:paraId="0345D1B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45</w:t>
            </w:r>
          </w:p>
        </w:tc>
        <w:tc>
          <w:tcPr>
            <w:tcW w:w="952" w:type="pct"/>
            <w:shd w:val="clear" w:color="auto" w:fill="auto"/>
          </w:tcPr>
          <w:p w14:paraId="288AF97A" w14:textId="39DB54BD" w:rsidR="00872682" w:rsidRPr="0035570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7691864D" w14:textId="658D4E6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“Patients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divided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clinical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manifestations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gastrointestinal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typical,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atypical,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silent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forms”.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further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numerical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information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provided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thus,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cannot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estimated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number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</w:p>
        </w:tc>
        <w:tc>
          <w:tcPr>
            <w:tcW w:w="343" w:type="pct"/>
            <w:shd w:val="clear" w:color="auto" w:fill="auto"/>
          </w:tcPr>
          <w:p w14:paraId="47DA25AB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6A6F4E94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73C91A65" w14:textId="427C2016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 xml:space="preserve">Thomas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>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2009</w:t>
            </w:r>
          </w:p>
        </w:tc>
        <w:tc>
          <w:tcPr>
            <w:tcW w:w="474" w:type="pct"/>
            <w:shd w:val="clear" w:color="auto" w:fill="auto"/>
          </w:tcPr>
          <w:p w14:paraId="05067A4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United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Kingdom</w:t>
            </w:r>
          </w:p>
        </w:tc>
        <w:tc>
          <w:tcPr>
            <w:tcW w:w="345" w:type="pct"/>
            <w:shd w:val="clear" w:color="auto" w:fill="auto"/>
          </w:tcPr>
          <w:p w14:paraId="648E74C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384</w:t>
            </w:r>
          </w:p>
        </w:tc>
        <w:tc>
          <w:tcPr>
            <w:tcW w:w="475" w:type="pct"/>
            <w:shd w:val="clear" w:color="auto" w:fill="auto"/>
          </w:tcPr>
          <w:p w14:paraId="758CD416" w14:textId="1D0D6D8E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44 (16-84)</w:t>
            </w:r>
          </w:p>
        </w:tc>
        <w:tc>
          <w:tcPr>
            <w:tcW w:w="344" w:type="pct"/>
            <w:shd w:val="clear" w:color="auto" w:fill="auto"/>
          </w:tcPr>
          <w:p w14:paraId="36B158AA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102/282</w:t>
            </w:r>
          </w:p>
        </w:tc>
        <w:tc>
          <w:tcPr>
            <w:tcW w:w="388" w:type="pct"/>
            <w:shd w:val="clear" w:color="auto" w:fill="auto"/>
          </w:tcPr>
          <w:p w14:paraId="4CA3313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346</w:t>
            </w:r>
          </w:p>
        </w:tc>
        <w:tc>
          <w:tcPr>
            <w:tcW w:w="388" w:type="pct"/>
            <w:shd w:val="clear" w:color="auto" w:fill="auto"/>
          </w:tcPr>
          <w:p w14:paraId="2BA42BC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14</w:t>
            </w:r>
          </w:p>
        </w:tc>
        <w:tc>
          <w:tcPr>
            <w:tcW w:w="952" w:type="pct"/>
            <w:shd w:val="clear" w:color="auto" w:fill="auto"/>
          </w:tcPr>
          <w:p w14:paraId="5430437D" w14:textId="27309B5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available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360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5A99F637" w14:textId="7906C114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affected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well</w:t>
            </w:r>
          </w:p>
        </w:tc>
        <w:tc>
          <w:tcPr>
            <w:tcW w:w="343" w:type="pct"/>
            <w:shd w:val="clear" w:color="auto" w:fill="auto"/>
          </w:tcPr>
          <w:p w14:paraId="5F8773B8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205E7387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F9BD307" w14:textId="08274848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Martins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[29]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2010</w:t>
            </w:r>
          </w:p>
        </w:tc>
        <w:tc>
          <w:tcPr>
            <w:tcW w:w="474" w:type="pct"/>
            <w:shd w:val="clear" w:color="auto" w:fill="auto"/>
          </w:tcPr>
          <w:p w14:paraId="37FB6ED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43D6EF0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90</w:t>
            </w:r>
          </w:p>
        </w:tc>
        <w:tc>
          <w:tcPr>
            <w:tcW w:w="475" w:type="pct"/>
            <w:shd w:val="clear" w:color="auto" w:fill="auto"/>
          </w:tcPr>
          <w:p w14:paraId="52B1BBC9" w14:textId="0EC3CEF1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15.5 (1-55)</w:t>
            </w:r>
          </w:p>
        </w:tc>
        <w:tc>
          <w:tcPr>
            <w:tcW w:w="344" w:type="pct"/>
            <w:shd w:val="clear" w:color="auto" w:fill="auto"/>
          </w:tcPr>
          <w:p w14:paraId="077DEB29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35/55</w:t>
            </w:r>
          </w:p>
        </w:tc>
        <w:tc>
          <w:tcPr>
            <w:tcW w:w="388" w:type="pct"/>
            <w:shd w:val="clear" w:color="auto" w:fill="auto"/>
          </w:tcPr>
          <w:p w14:paraId="04B32EE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84</w:t>
            </w:r>
          </w:p>
        </w:tc>
        <w:tc>
          <w:tcPr>
            <w:tcW w:w="388" w:type="pct"/>
            <w:shd w:val="clear" w:color="auto" w:fill="auto"/>
          </w:tcPr>
          <w:p w14:paraId="691B37C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952" w:type="pct"/>
            <w:shd w:val="clear" w:color="auto" w:fill="auto"/>
          </w:tcPr>
          <w:p w14:paraId="54386BD1" w14:textId="08E6BCD6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138D218C" w14:textId="60D1648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gastroenterology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unit.</w:t>
            </w:r>
          </w:p>
        </w:tc>
        <w:tc>
          <w:tcPr>
            <w:tcW w:w="343" w:type="pct"/>
            <w:shd w:val="clear" w:color="auto" w:fill="auto"/>
          </w:tcPr>
          <w:p w14:paraId="284CAB90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506126F4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4F4EB4E3" w14:textId="151C9088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Srivastava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[30]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2010</w:t>
            </w:r>
          </w:p>
        </w:tc>
        <w:tc>
          <w:tcPr>
            <w:tcW w:w="474" w:type="pct"/>
            <w:shd w:val="clear" w:color="auto" w:fill="auto"/>
          </w:tcPr>
          <w:p w14:paraId="197E500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India</w:t>
            </w:r>
          </w:p>
        </w:tc>
        <w:tc>
          <w:tcPr>
            <w:tcW w:w="345" w:type="pct"/>
            <w:shd w:val="clear" w:color="auto" w:fill="auto"/>
          </w:tcPr>
          <w:p w14:paraId="1DD0845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30</w:t>
            </w:r>
          </w:p>
        </w:tc>
        <w:tc>
          <w:tcPr>
            <w:tcW w:w="475" w:type="pct"/>
            <w:shd w:val="clear" w:color="auto" w:fill="auto"/>
          </w:tcPr>
          <w:p w14:paraId="2348CC3B" w14:textId="16E70395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9.5 (3-17)</w:t>
            </w:r>
          </w:p>
        </w:tc>
        <w:tc>
          <w:tcPr>
            <w:tcW w:w="344" w:type="pct"/>
            <w:shd w:val="clear" w:color="auto" w:fill="auto"/>
          </w:tcPr>
          <w:p w14:paraId="3ACFC6E8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15/16</w:t>
            </w:r>
          </w:p>
        </w:tc>
        <w:tc>
          <w:tcPr>
            <w:tcW w:w="388" w:type="pct"/>
            <w:shd w:val="clear" w:color="auto" w:fill="auto"/>
          </w:tcPr>
          <w:p w14:paraId="500E731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29</w:t>
            </w:r>
          </w:p>
        </w:tc>
        <w:tc>
          <w:tcPr>
            <w:tcW w:w="388" w:type="pct"/>
            <w:shd w:val="clear" w:color="auto" w:fill="auto"/>
          </w:tcPr>
          <w:p w14:paraId="55623E2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34F64CBC" w14:textId="37813A8E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7EA8C7B" w14:textId="132A046B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were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gastroenterology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unit</w:t>
            </w:r>
          </w:p>
        </w:tc>
        <w:tc>
          <w:tcPr>
            <w:tcW w:w="343" w:type="pct"/>
            <w:shd w:val="clear" w:color="auto" w:fill="auto"/>
          </w:tcPr>
          <w:p w14:paraId="2C1C2FC3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16E6D714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06BA0A3" w14:textId="35D49EB5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El-</w:t>
            </w: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Akawi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[31]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2010</w:t>
            </w:r>
          </w:p>
        </w:tc>
        <w:tc>
          <w:tcPr>
            <w:tcW w:w="474" w:type="pct"/>
            <w:shd w:val="clear" w:color="auto" w:fill="auto"/>
          </w:tcPr>
          <w:p w14:paraId="3BFE3B7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Jordan</w:t>
            </w:r>
          </w:p>
        </w:tc>
        <w:tc>
          <w:tcPr>
            <w:tcW w:w="345" w:type="pct"/>
            <w:shd w:val="clear" w:color="auto" w:fill="auto"/>
          </w:tcPr>
          <w:p w14:paraId="233B610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44</w:t>
            </w:r>
          </w:p>
        </w:tc>
        <w:tc>
          <w:tcPr>
            <w:tcW w:w="475" w:type="pct"/>
            <w:shd w:val="clear" w:color="auto" w:fill="auto"/>
          </w:tcPr>
          <w:p w14:paraId="5D6BA513" w14:textId="73B021BD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13.5 (1-39)</w:t>
            </w:r>
          </w:p>
        </w:tc>
        <w:tc>
          <w:tcPr>
            <w:tcW w:w="344" w:type="pct"/>
            <w:shd w:val="clear" w:color="auto" w:fill="auto"/>
          </w:tcPr>
          <w:p w14:paraId="05A8BBA6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12/32</w:t>
            </w:r>
          </w:p>
        </w:tc>
        <w:tc>
          <w:tcPr>
            <w:tcW w:w="388" w:type="pct"/>
            <w:shd w:val="clear" w:color="auto" w:fill="auto"/>
          </w:tcPr>
          <w:p w14:paraId="3533787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44</w:t>
            </w:r>
          </w:p>
        </w:tc>
        <w:tc>
          <w:tcPr>
            <w:tcW w:w="388" w:type="pct"/>
            <w:shd w:val="clear" w:color="auto" w:fill="auto"/>
          </w:tcPr>
          <w:p w14:paraId="12A0562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2C16CEFF" w14:textId="470B4CCA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available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360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020FCD87" w14:textId="34FF376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334C730F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73C9AC7D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584E0B9" w14:textId="052F2F8C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Alarida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[32]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2010</w:t>
            </w:r>
          </w:p>
        </w:tc>
        <w:tc>
          <w:tcPr>
            <w:tcW w:w="474" w:type="pct"/>
            <w:shd w:val="clear" w:color="auto" w:fill="auto"/>
          </w:tcPr>
          <w:p w14:paraId="25ADE08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Libya</w:t>
            </w:r>
          </w:p>
        </w:tc>
        <w:tc>
          <w:tcPr>
            <w:tcW w:w="345" w:type="pct"/>
            <w:shd w:val="clear" w:color="auto" w:fill="auto"/>
          </w:tcPr>
          <w:p w14:paraId="1A8BE4F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31</w:t>
            </w:r>
          </w:p>
        </w:tc>
        <w:tc>
          <w:tcPr>
            <w:tcW w:w="475" w:type="pct"/>
            <w:shd w:val="clear" w:color="auto" w:fill="auto"/>
          </w:tcPr>
          <w:p w14:paraId="2CB6F8C1" w14:textId="178DC869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9.2 (5-18)</w:t>
            </w:r>
          </w:p>
        </w:tc>
        <w:tc>
          <w:tcPr>
            <w:tcW w:w="344" w:type="pct"/>
            <w:shd w:val="clear" w:color="auto" w:fill="auto"/>
          </w:tcPr>
          <w:p w14:paraId="0271C35B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9/22</w:t>
            </w:r>
          </w:p>
        </w:tc>
        <w:tc>
          <w:tcPr>
            <w:tcW w:w="388" w:type="pct"/>
            <w:shd w:val="clear" w:color="auto" w:fill="auto"/>
          </w:tcPr>
          <w:p w14:paraId="6160393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29</w:t>
            </w:r>
          </w:p>
        </w:tc>
        <w:tc>
          <w:tcPr>
            <w:tcW w:w="388" w:type="pct"/>
            <w:shd w:val="clear" w:color="auto" w:fill="auto"/>
          </w:tcPr>
          <w:p w14:paraId="43801E4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14:paraId="25161063" w14:textId="354E349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5A7F7F34" w14:textId="14456E6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School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children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undergone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mass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through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anti-TG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IgA</w:t>
            </w:r>
          </w:p>
        </w:tc>
        <w:tc>
          <w:tcPr>
            <w:tcW w:w="343" w:type="pct"/>
            <w:shd w:val="clear" w:color="auto" w:fill="auto"/>
          </w:tcPr>
          <w:p w14:paraId="683FD48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2185032D" w14:textId="77777777" w:rsidTr="008E7857">
        <w:trPr>
          <w:trHeight w:val="1843"/>
        </w:trPr>
        <w:tc>
          <w:tcPr>
            <w:tcW w:w="431" w:type="pct"/>
            <w:shd w:val="clear" w:color="auto" w:fill="auto"/>
          </w:tcPr>
          <w:p w14:paraId="4A90CCED" w14:textId="0FEB1B51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Castro-Antunes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[33]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2011</w:t>
            </w:r>
          </w:p>
        </w:tc>
        <w:tc>
          <w:tcPr>
            <w:tcW w:w="474" w:type="pct"/>
            <w:shd w:val="clear" w:color="auto" w:fill="auto"/>
          </w:tcPr>
          <w:p w14:paraId="3012777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4F7DE22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73</w:t>
            </w:r>
          </w:p>
        </w:tc>
        <w:tc>
          <w:tcPr>
            <w:tcW w:w="475" w:type="pct"/>
            <w:shd w:val="clear" w:color="auto" w:fill="auto"/>
          </w:tcPr>
          <w:p w14:paraId="2B58D3EC" w14:textId="132832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  <w:r w:rsidR="003271CD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(children and adults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09C6C69A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37/36</w:t>
            </w:r>
          </w:p>
        </w:tc>
        <w:tc>
          <w:tcPr>
            <w:tcW w:w="388" w:type="pct"/>
            <w:shd w:val="clear" w:color="auto" w:fill="auto"/>
          </w:tcPr>
          <w:p w14:paraId="29BDA87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60</w:t>
            </w:r>
          </w:p>
        </w:tc>
        <w:tc>
          <w:tcPr>
            <w:tcW w:w="388" w:type="pct"/>
            <w:shd w:val="clear" w:color="auto" w:fill="auto"/>
          </w:tcPr>
          <w:p w14:paraId="6BF4784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</w:t>
            </w:r>
          </w:p>
        </w:tc>
        <w:tc>
          <w:tcPr>
            <w:tcW w:w="952" w:type="pct"/>
            <w:shd w:val="clear" w:color="auto" w:fill="auto"/>
          </w:tcPr>
          <w:p w14:paraId="1CB72B97" w14:textId="36B2171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 w:rsidR="003271CD" w:rsidRPr="003271C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 w:rsidR="003271CD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  <w:r w:rsidR="003271CD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;</w:t>
            </w:r>
            <w:r w:rsidRPr="003271CD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undergo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analysis</w:t>
            </w:r>
          </w:p>
        </w:tc>
        <w:tc>
          <w:tcPr>
            <w:tcW w:w="860" w:type="pct"/>
            <w:shd w:val="clear" w:color="auto" w:fill="auto"/>
          </w:tcPr>
          <w:p w14:paraId="3A0FF3A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enrollment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(15: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whose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proportion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specified)</w:t>
            </w:r>
          </w:p>
        </w:tc>
        <w:tc>
          <w:tcPr>
            <w:tcW w:w="343" w:type="pct"/>
            <w:shd w:val="clear" w:color="auto" w:fill="auto"/>
          </w:tcPr>
          <w:p w14:paraId="11025509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lastRenderedPageBreak/>
              <w:t>-</w:t>
            </w:r>
          </w:p>
        </w:tc>
      </w:tr>
      <w:tr w:rsidR="00C36090" w:rsidRPr="003C0F18" w14:paraId="2C7D2E51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9E48792" w14:textId="75D0481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Mubarak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 2012</w:t>
            </w:r>
          </w:p>
        </w:tc>
        <w:tc>
          <w:tcPr>
            <w:tcW w:w="474" w:type="pct"/>
            <w:shd w:val="clear" w:color="auto" w:fill="auto"/>
          </w:tcPr>
          <w:p w14:paraId="6F31B252" w14:textId="02D90B43" w:rsidR="00872682" w:rsidRPr="00EA02E8" w:rsidRDefault="008E7857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the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Netherlands</w:t>
            </w:r>
          </w:p>
        </w:tc>
        <w:tc>
          <w:tcPr>
            <w:tcW w:w="345" w:type="pct"/>
            <w:shd w:val="clear" w:color="auto" w:fill="auto"/>
          </w:tcPr>
          <w:p w14:paraId="6092DC2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70</w:t>
            </w:r>
          </w:p>
        </w:tc>
        <w:tc>
          <w:tcPr>
            <w:tcW w:w="475" w:type="pct"/>
            <w:shd w:val="clear" w:color="auto" w:fill="auto"/>
          </w:tcPr>
          <w:p w14:paraId="2C65FBF2" w14:textId="786C337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5.7 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NA; only</w:t>
            </w:r>
            <w:r w:rsidR="003271CD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5F7F38F8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20/50</w:t>
            </w:r>
          </w:p>
        </w:tc>
        <w:tc>
          <w:tcPr>
            <w:tcW w:w="388" w:type="pct"/>
            <w:shd w:val="clear" w:color="auto" w:fill="auto"/>
          </w:tcPr>
          <w:p w14:paraId="2EB97BE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70</w:t>
            </w:r>
          </w:p>
        </w:tc>
        <w:tc>
          <w:tcPr>
            <w:tcW w:w="388" w:type="pct"/>
            <w:shd w:val="clear" w:color="auto" w:fill="auto"/>
          </w:tcPr>
          <w:p w14:paraId="1CD41A4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1000CDD8" w14:textId="11D497B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09E585DA" w14:textId="1EE2BEA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CE7775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454CC061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34F974BD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428E72D" w14:textId="11A6A9D0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A7695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Mubarak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 2012</w:t>
            </w:r>
          </w:p>
        </w:tc>
        <w:tc>
          <w:tcPr>
            <w:tcW w:w="474" w:type="pct"/>
            <w:shd w:val="clear" w:color="auto" w:fill="auto"/>
          </w:tcPr>
          <w:p w14:paraId="40398968" w14:textId="4428FA53" w:rsidR="00872682" w:rsidRPr="00EA02E8" w:rsidRDefault="008E7857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Theme="minorEastAsia" w:hAnsi="Book Antiqua" w:hint="eastAsia"/>
                <w:sz w:val="24"/>
                <w:szCs w:val="24"/>
                <w:lang w:val="en-US" w:eastAsia="zh-CN"/>
              </w:rPr>
              <w:t xml:space="preserve">the </w:t>
            </w:r>
            <w:r w:rsidR="00872682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Netherlands</w:t>
            </w:r>
          </w:p>
        </w:tc>
        <w:tc>
          <w:tcPr>
            <w:tcW w:w="345" w:type="pct"/>
            <w:shd w:val="clear" w:color="auto" w:fill="auto"/>
          </w:tcPr>
          <w:p w14:paraId="7A592F5F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85</w:t>
            </w:r>
          </w:p>
        </w:tc>
        <w:tc>
          <w:tcPr>
            <w:tcW w:w="475" w:type="pct"/>
            <w:shd w:val="clear" w:color="auto" w:fill="auto"/>
          </w:tcPr>
          <w:p w14:paraId="78184C5D" w14:textId="5888E17E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6.2 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NA; only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57368C83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25/60</w:t>
            </w:r>
          </w:p>
        </w:tc>
        <w:tc>
          <w:tcPr>
            <w:tcW w:w="388" w:type="pct"/>
            <w:shd w:val="clear" w:color="auto" w:fill="auto"/>
          </w:tcPr>
          <w:p w14:paraId="62B959D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81</w:t>
            </w:r>
          </w:p>
        </w:tc>
        <w:tc>
          <w:tcPr>
            <w:tcW w:w="388" w:type="pct"/>
            <w:shd w:val="clear" w:color="auto" w:fill="auto"/>
          </w:tcPr>
          <w:p w14:paraId="7BB7E47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14:paraId="58C5A4BE" w14:textId="450D297A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performed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all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consecutive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time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diagnosis</w:t>
            </w:r>
          </w:p>
        </w:tc>
        <w:tc>
          <w:tcPr>
            <w:tcW w:w="860" w:type="pct"/>
            <w:shd w:val="clear" w:color="auto" w:fill="auto"/>
          </w:tcPr>
          <w:p w14:paraId="314DE750" w14:textId="27C50A5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CE7775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14AFBD2F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7157AE1D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2B5C056" w14:textId="5A46B463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366AA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Piccini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2012</w:t>
            </w:r>
          </w:p>
        </w:tc>
        <w:tc>
          <w:tcPr>
            <w:tcW w:w="474" w:type="pct"/>
            <w:shd w:val="clear" w:color="auto" w:fill="auto"/>
          </w:tcPr>
          <w:p w14:paraId="71A08D0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Italy</w:t>
            </w:r>
          </w:p>
        </w:tc>
        <w:tc>
          <w:tcPr>
            <w:tcW w:w="345" w:type="pct"/>
            <w:shd w:val="clear" w:color="auto" w:fill="auto"/>
          </w:tcPr>
          <w:p w14:paraId="374FA4C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89</w:t>
            </w:r>
          </w:p>
        </w:tc>
        <w:tc>
          <w:tcPr>
            <w:tcW w:w="475" w:type="pct"/>
            <w:shd w:val="clear" w:color="auto" w:fill="auto"/>
          </w:tcPr>
          <w:p w14:paraId="05705E27" w14:textId="5EB61032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  <w:r w:rsidR="00333A6B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(&lt; 18)</w:t>
            </w:r>
          </w:p>
        </w:tc>
        <w:tc>
          <w:tcPr>
            <w:tcW w:w="344" w:type="pct"/>
            <w:shd w:val="clear" w:color="auto" w:fill="auto"/>
          </w:tcPr>
          <w:p w14:paraId="42D8B012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27/62</w:t>
            </w:r>
          </w:p>
        </w:tc>
        <w:tc>
          <w:tcPr>
            <w:tcW w:w="388" w:type="pct"/>
            <w:shd w:val="clear" w:color="auto" w:fill="auto"/>
          </w:tcPr>
          <w:p w14:paraId="0DE77B5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81</w:t>
            </w:r>
          </w:p>
        </w:tc>
        <w:tc>
          <w:tcPr>
            <w:tcW w:w="388" w:type="pct"/>
            <w:shd w:val="clear" w:color="auto" w:fill="auto"/>
          </w:tcPr>
          <w:p w14:paraId="047328B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</w:t>
            </w:r>
          </w:p>
        </w:tc>
        <w:tc>
          <w:tcPr>
            <w:tcW w:w="952" w:type="pct"/>
            <w:shd w:val="clear" w:color="auto" w:fill="auto"/>
          </w:tcPr>
          <w:p w14:paraId="50EE0790" w14:textId="1C422DDD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56A50EA8" w14:textId="10D0643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CE7775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153019B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07E2B375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BF3DB85" w14:textId="0EC2C553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366AA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Krini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2012</w:t>
            </w:r>
          </w:p>
        </w:tc>
        <w:tc>
          <w:tcPr>
            <w:tcW w:w="474" w:type="pct"/>
            <w:shd w:val="clear" w:color="auto" w:fill="auto"/>
          </w:tcPr>
          <w:p w14:paraId="2539242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Greece</w:t>
            </w:r>
          </w:p>
        </w:tc>
        <w:tc>
          <w:tcPr>
            <w:tcW w:w="345" w:type="pct"/>
            <w:shd w:val="clear" w:color="auto" w:fill="auto"/>
          </w:tcPr>
          <w:p w14:paraId="1C2BE34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118</w:t>
            </w:r>
          </w:p>
        </w:tc>
        <w:tc>
          <w:tcPr>
            <w:tcW w:w="475" w:type="pct"/>
            <w:shd w:val="clear" w:color="auto" w:fill="auto"/>
          </w:tcPr>
          <w:p w14:paraId="5ABAD3BD" w14:textId="699B232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(&lt; 18)</w:t>
            </w:r>
          </w:p>
        </w:tc>
        <w:tc>
          <w:tcPr>
            <w:tcW w:w="344" w:type="pct"/>
            <w:shd w:val="clear" w:color="auto" w:fill="auto"/>
          </w:tcPr>
          <w:p w14:paraId="4C59D54C" w14:textId="4C42D28B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2D58A41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105</w:t>
            </w:r>
          </w:p>
        </w:tc>
        <w:tc>
          <w:tcPr>
            <w:tcW w:w="388" w:type="pct"/>
            <w:shd w:val="clear" w:color="auto" w:fill="auto"/>
          </w:tcPr>
          <w:p w14:paraId="3C9B09C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</w:t>
            </w:r>
          </w:p>
        </w:tc>
        <w:tc>
          <w:tcPr>
            <w:tcW w:w="952" w:type="pct"/>
            <w:shd w:val="clear" w:color="auto" w:fill="auto"/>
          </w:tcPr>
          <w:p w14:paraId="22D1E1F8" w14:textId="7F9F73FD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8D6AB0D" w14:textId="40A03BB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CE7775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0E6D0843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0D6BA740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D325313" w14:textId="3091D81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</w:pPr>
            <w:proofErr w:type="spellStart"/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lastRenderedPageBreak/>
              <w:t>Fernández-Cavada-Pollo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[37]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2013</w:t>
            </w:r>
          </w:p>
        </w:tc>
        <w:tc>
          <w:tcPr>
            <w:tcW w:w="474" w:type="pct"/>
            <w:shd w:val="clear" w:color="auto" w:fill="auto"/>
          </w:tcPr>
          <w:p w14:paraId="5EA9C59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320DE27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355</w:t>
            </w:r>
          </w:p>
        </w:tc>
        <w:tc>
          <w:tcPr>
            <w:tcW w:w="475" w:type="pct"/>
            <w:shd w:val="clear" w:color="auto" w:fill="auto"/>
          </w:tcPr>
          <w:p w14:paraId="2F58368E" w14:textId="43824D51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  <w:r w:rsidR="00C36090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(0.5-76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;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: </w:t>
            </w:r>
            <w:r w:rsidRPr="00C3609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n</w:t>
            </w:r>
            <w:r w:rsidR="00C3609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=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214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>,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 adults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: </w:t>
            </w:r>
            <w:r w:rsidRPr="00C3609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n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=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141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6631C412" w14:textId="128B1C25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1E3BC24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335</w:t>
            </w:r>
          </w:p>
        </w:tc>
        <w:tc>
          <w:tcPr>
            <w:tcW w:w="388" w:type="pct"/>
            <w:shd w:val="clear" w:color="auto" w:fill="auto"/>
          </w:tcPr>
          <w:p w14:paraId="7597F7A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20</w:t>
            </w:r>
          </w:p>
        </w:tc>
        <w:tc>
          <w:tcPr>
            <w:tcW w:w="952" w:type="pct"/>
            <w:shd w:val="clear" w:color="auto" w:fill="auto"/>
          </w:tcPr>
          <w:p w14:paraId="62058D4C" w14:textId="2331AA4C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0A0A9AB8" w14:textId="24FD00F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</w:p>
        </w:tc>
        <w:tc>
          <w:tcPr>
            <w:tcW w:w="343" w:type="pct"/>
            <w:shd w:val="clear" w:color="auto" w:fill="auto"/>
          </w:tcPr>
          <w:p w14:paraId="53DE2CDB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2856D5D6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07E762D" w14:textId="3CF8D2AD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366AA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Delgado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6E88904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0813341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91</w:t>
            </w:r>
          </w:p>
        </w:tc>
        <w:tc>
          <w:tcPr>
            <w:tcW w:w="475" w:type="pct"/>
            <w:shd w:val="clear" w:color="auto" w:fill="auto"/>
          </w:tcPr>
          <w:p w14:paraId="63C2BAA9" w14:textId="3D595BFD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6.9 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NA; only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children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407FD0D8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23/68</w:t>
            </w:r>
          </w:p>
        </w:tc>
        <w:tc>
          <w:tcPr>
            <w:tcW w:w="388" w:type="pct"/>
            <w:shd w:val="clear" w:color="auto" w:fill="auto"/>
          </w:tcPr>
          <w:p w14:paraId="027BB41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88</w:t>
            </w:r>
          </w:p>
        </w:tc>
        <w:tc>
          <w:tcPr>
            <w:tcW w:w="388" w:type="pct"/>
            <w:shd w:val="clear" w:color="auto" w:fill="auto"/>
          </w:tcPr>
          <w:p w14:paraId="5EB8334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14:paraId="5B94776C" w14:textId="435EE2FA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9B65D66" w14:textId="38CA38A6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affected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</w:p>
        </w:tc>
        <w:tc>
          <w:tcPr>
            <w:tcW w:w="343" w:type="pct"/>
            <w:shd w:val="clear" w:color="auto" w:fill="auto"/>
          </w:tcPr>
          <w:p w14:paraId="1429F2DD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0442BF5F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7C1E1EE" w14:textId="1285F8F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Cilleruelo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[39]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440544F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1933D24F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513</w:t>
            </w:r>
          </w:p>
        </w:tc>
        <w:tc>
          <w:tcPr>
            <w:tcW w:w="475" w:type="pct"/>
            <w:shd w:val="clear" w:color="auto" w:fill="auto"/>
          </w:tcPr>
          <w:p w14:paraId="7417EFF8" w14:textId="47525A2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(0.5-15)</w:t>
            </w:r>
          </w:p>
        </w:tc>
        <w:tc>
          <w:tcPr>
            <w:tcW w:w="344" w:type="pct"/>
            <w:shd w:val="clear" w:color="auto" w:fill="auto"/>
          </w:tcPr>
          <w:p w14:paraId="555E040A" w14:textId="5AECBE6E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12CDD2B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496</w:t>
            </w:r>
          </w:p>
        </w:tc>
        <w:tc>
          <w:tcPr>
            <w:tcW w:w="388" w:type="pct"/>
            <w:shd w:val="clear" w:color="auto" w:fill="auto"/>
          </w:tcPr>
          <w:p w14:paraId="7D19A39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17</w:t>
            </w:r>
          </w:p>
        </w:tc>
        <w:tc>
          <w:tcPr>
            <w:tcW w:w="952" w:type="pct"/>
            <w:shd w:val="clear" w:color="auto" w:fill="auto"/>
          </w:tcPr>
          <w:p w14:paraId="5BA52A39" w14:textId="034AD6B8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context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multicenter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prospective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study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A51B53B" w14:textId="419BBC5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enrollment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based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classic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atypical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reported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2.2%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Pr="00C36090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n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11)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</w:p>
        </w:tc>
        <w:tc>
          <w:tcPr>
            <w:tcW w:w="343" w:type="pct"/>
            <w:shd w:val="clear" w:color="auto" w:fill="auto"/>
          </w:tcPr>
          <w:p w14:paraId="5BA2812F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35194CE1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1A47F52" w14:textId="220A595F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Stanković</w:t>
            </w:r>
            <w:proofErr w:type="spellEnd"/>
            <w:r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>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[40]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6EB52E46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Serbia</w:t>
            </w:r>
          </w:p>
        </w:tc>
        <w:tc>
          <w:tcPr>
            <w:tcW w:w="345" w:type="pct"/>
            <w:shd w:val="clear" w:color="auto" w:fill="auto"/>
          </w:tcPr>
          <w:p w14:paraId="37BD2A3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73</w:t>
            </w:r>
          </w:p>
        </w:tc>
        <w:tc>
          <w:tcPr>
            <w:tcW w:w="475" w:type="pct"/>
            <w:shd w:val="clear" w:color="auto" w:fill="auto"/>
          </w:tcPr>
          <w:p w14:paraId="31B972B8" w14:textId="4D9B9084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12 (1-22)</w:t>
            </w:r>
          </w:p>
        </w:tc>
        <w:tc>
          <w:tcPr>
            <w:tcW w:w="344" w:type="pct"/>
            <w:shd w:val="clear" w:color="auto" w:fill="auto"/>
          </w:tcPr>
          <w:p w14:paraId="3272BE1C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19/54</w:t>
            </w:r>
          </w:p>
        </w:tc>
        <w:tc>
          <w:tcPr>
            <w:tcW w:w="388" w:type="pct"/>
            <w:shd w:val="clear" w:color="auto" w:fill="auto"/>
          </w:tcPr>
          <w:p w14:paraId="76F3F3A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71</w:t>
            </w:r>
          </w:p>
        </w:tc>
        <w:tc>
          <w:tcPr>
            <w:tcW w:w="388" w:type="pct"/>
            <w:shd w:val="clear" w:color="auto" w:fill="auto"/>
          </w:tcPr>
          <w:p w14:paraId="07D7A32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14:paraId="769A6295" w14:textId="65DEE66E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context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multicenter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prospective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study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1BC4EB69" w14:textId="25A419D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6C87E998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1C822FDF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72A40571" w14:textId="1A09E444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Uenishi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[41]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1971A82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384BB90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475" w:type="pct"/>
            <w:shd w:val="clear" w:color="auto" w:fill="auto"/>
          </w:tcPr>
          <w:p w14:paraId="4C052BFC" w14:textId="7DCF6956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(7-75)</w:t>
            </w:r>
          </w:p>
        </w:tc>
        <w:tc>
          <w:tcPr>
            <w:tcW w:w="344" w:type="pct"/>
            <w:shd w:val="clear" w:color="auto" w:fill="auto"/>
          </w:tcPr>
          <w:p w14:paraId="7D754D77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1/4</w:t>
            </w:r>
          </w:p>
        </w:tc>
        <w:tc>
          <w:tcPr>
            <w:tcW w:w="388" w:type="pct"/>
            <w:shd w:val="clear" w:color="auto" w:fill="auto"/>
          </w:tcPr>
          <w:p w14:paraId="1829D62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388" w:type="pct"/>
            <w:shd w:val="clear" w:color="auto" w:fill="auto"/>
          </w:tcPr>
          <w:p w14:paraId="18095CD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3A3AEF82" w14:textId="640408B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02031470" w14:textId="740FD6C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</w:p>
        </w:tc>
        <w:tc>
          <w:tcPr>
            <w:tcW w:w="343" w:type="pct"/>
            <w:shd w:val="clear" w:color="auto" w:fill="auto"/>
          </w:tcPr>
          <w:p w14:paraId="4B33C7BB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3D79B70F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77CE932" w14:textId="494616F6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Oliveira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[42]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2014</w:t>
            </w:r>
          </w:p>
        </w:tc>
        <w:tc>
          <w:tcPr>
            <w:tcW w:w="474" w:type="pct"/>
            <w:shd w:val="clear" w:color="auto" w:fill="auto"/>
          </w:tcPr>
          <w:p w14:paraId="3E0B0BB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Portugal</w:t>
            </w:r>
          </w:p>
        </w:tc>
        <w:tc>
          <w:tcPr>
            <w:tcW w:w="345" w:type="pct"/>
            <w:shd w:val="clear" w:color="auto" w:fill="auto"/>
          </w:tcPr>
          <w:p w14:paraId="48CC47B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39</w:t>
            </w:r>
          </w:p>
        </w:tc>
        <w:tc>
          <w:tcPr>
            <w:tcW w:w="475" w:type="pct"/>
            <w:shd w:val="clear" w:color="auto" w:fill="auto"/>
          </w:tcPr>
          <w:p w14:paraId="3C4D5C5D" w14:textId="09EF16AA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1.8 (0.5-17)</w:t>
            </w:r>
          </w:p>
        </w:tc>
        <w:tc>
          <w:tcPr>
            <w:tcW w:w="344" w:type="pct"/>
            <w:shd w:val="clear" w:color="auto" w:fill="auto"/>
          </w:tcPr>
          <w:p w14:paraId="7EDD27D5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18/21</w:t>
            </w:r>
          </w:p>
        </w:tc>
        <w:tc>
          <w:tcPr>
            <w:tcW w:w="388" w:type="pct"/>
            <w:shd w:val="clear" w:color="auto" w:fill="auto"/>
          </w:tcPr>
          <w:p w14:paraId="054E249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37</w:t>
            </w:r>
          </w:p>
        </w:tc>
        <w:tc>
          <w:tcPr>
            <w:tcW w:w="388" w:type="pct"/>
            <w:shd w:val="clear" w:color="auto" w:fill="auto"/>
          </w:tcPr>
          <w:p w14:paraId="21DEABC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14:paraId="76706228" w14:textId="1EB06A9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proofErr w:type="gramStart"/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proofErr w:type="gramEnd"/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One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undergo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typing</w:t>
            </w:r>
          </w:p>
        </w:tc>
        <w:tc>
          <w:tcPr>
            <w:tcW w:w="860" w:type="pct"/>
            <w:shd w:val="clear" w:color="auto" w:fill="auto"/>
          </w:tcPr>
          <w:p w14:paraId="50727E3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and/or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</w:p>
        </w:tc>
        <w:tc>
          <w:tcPr>
            <w:tcW w:w="343" w:type="pct"/>
            <w:shd w:val="clear" w:color="auto" w:fill="auto"/>
          </w:tcPr>
          <w:p w14:paraId="5360A3D3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2360BD9D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57B923C2" w14:textId="2FF0003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Almeida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[43]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2016</w:t>
            </w:r>
          </w:p>
        </w:tc>
        <w:tc>
          <w:tcPr>
            <w:tcW w:w="474" w:type="pct"/>
            <w:shd w:val="clear" w:color="auto" w:fill="auto"/>
          </w:tcPr>
          <w:p w14:paraId="749DBD8A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627D4A4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237</w:t>
            </w:r>
          </w:p>
        </w:tc>
        <w:tc>
          <w:tcPr>
            <w:tcW w:w="475" w:type="pct"/>
            <w:shd w:val="clear" w:color="auto" w:fill="auto"/>
          </w:tcPr>
          <w:p w14:paraId="7B98267D" w14:textId="34453A98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22 (1-75)</w:t>
            </w:r>
          </w:p>
        </w:tc>
        <w:tc>
          <w:tcPr>
            <w:tcW w:w="344" w:type="pct"/>
            <w:shd w:val="clear" w:color="auto" w:fill="auto"/>
          </w:tcPr>
          <w:p w14:paraId="1709844C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73/164</w:t>
            </w:r>
          </w:p>
        </w:tc>
        <w:tc>
          <w:tcPr>
            <w:tcW w:w="388" w:type="pct"/>
            <w:shd w:val="clear" w:color="auto" w:fill="auto"/>
          </w:tcPr>
          <w:p w14:paraId="632506E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222</w:t>
            </w:r>
          </w:p>
        </w:tc>
        <w:tc>
          <w:tcPr>
            <w:tcW w:w="388" w:type="pct"/>
            <w:shd w:val="clear" w:color="auto" w:fill="auto"/>
          </w:tcPr>
          <w:p w14:paraId="1E8623E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15</w:t>
            </w:r>
          </w:p>
        </w:tc>
        <w:tc>
          <w:tcPr>
            <w:tcW w:w="952" w:type="pct"/>
            <w:shd w:val="clear" w:color="auto" w:fill="auto"/>
          </w:tcPr>
          <w:p w14:paraId="1B1C5546" w14:textId="5EE5B3F5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290017AD" w14:textId="51301AF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03991900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4E8BD50B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FF80C85" w14:textId="016C77D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Viken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2017</w:t>
            </w:r>
          </w:p>
        </w:tc>
        <w:tc>
          <w:tcPr>
            <w:tcW w:w="474" w:type="pct"/>
            <w:shd w:val="clear" w:color="auto" w:fill="auto"/>
          </w:tcPr>
          <w:p w14:paraId="3A05089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Norway</w:t>
            </w:r>
          </w:p>
        </w:tc>
        <w:tc>
          <w:tcPr>
            <w:tcW w:w="345" w:type="pct"/>
            <w:shd w:val="clear" w:color="auto" w:fill="auto"/>
          </w:tcPr>
          <w:p w14:paraId="6E2713C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327</w:t>
            </w:r>
          </w:p>
        </w:tc>
        <w:tc>
          <w:tcPr>
            <w:tcW w:w="475" w:type="pct"/>
            <w:shd w:val="clear" w:color="auto" w:fill="auto"/>
          </w:tcPr>
          <w:p w14:paraId="6C2F4084" w14:textId="027C1845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 (both c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hildren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and</w:t>
            </w:r>
          </w:p>
          <w:p w14:paraId="6BCAE5D6" w14:textId="25D09F6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a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dults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61E03382" w14:textId="47CF9B0D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7124EA4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310</w:t>
            </w:r>
          </w:p>
        </w:tc>
        <w:tc>
          <w:tcPr>
            <w:tcW w:w="388" w:type="pct"/>
            <w:shd w:val="clear" w:color="auto" w:fill="auto"/>
          </w:tcPr>
          <w:p w14:paraId="303D714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17</w:t>
            </w:r>
          </w:p>
        </w:tc>
        <w:tc>
          <w:tcPr>
            <w:tcW w:w="952" w:type="pct"/>
            <w:shd w:val="clear" w:color="auto" w:fill="auto"/>
          </w:tcPr>
          <w:p w14:paraId="402F7A73" w14:textId="4F7EE0C5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78795674" w14:textId="1BB409C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have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been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excluded.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343" w:type="pct"/>
            <w:shd w:val="clear" w:color="auto" w:fill="auto"/>
          </w:tcPr>
          <w:p w14:paraId="61F6A7AF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1D7885CC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7483B14" w14:textId="2B80E52A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Murad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lastRenderedPageBreak/>
              <w:t>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2018</w:t>
            </w:r>
          </w:p>
        </w:tc>
        <w:tc>
          <w:tcPr>
            <w:tcW w:w="474" w:type="pct"/>
            <w:shd w:val="clear" w:color="auto" w:fill="auto"/>
          </w:tcPr>
          <w:p w14:paraId="590F60E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Syria</w:t>
            </w:r>
          </w:p>
        </w:tc>
        <w:tc>
          <w:tcPr>
            <w:tcW w:w="345" w:type="pct"/>
            <w:shd w:val="clear" w:color="auto" w:fill="auto"/>
          </w:tcPr>
          <w:p w14:paraId="3E057AA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49</w:t>
            </w:r>
          </w:p>
        </w:tc>
        <w:tc>
          <w:tcPr>
            <w:tcW w:w="475" w:type="pct"/>
            <w:shd w:val="clear" w:color="auto" w:fill="auto"/>
          </w:tcPr>
          <w:p w14:paraId="734002E1" w14:textId="5181B69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9.5 (1-18)</w:t>
            </w:r>
          </w:p>
        </w:tc>
        <w:tc>
          <w:tcPr>
            <w:tcW w:w="344" w:type="pct"/>
            <w:shd w:val="clear" w:color="auto" w:fill="auto"/>
          </w:tcPr>
          <w:p w14:paraId="79BB6F3D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14/35</w:t>
            </w:r>
          </w:p>
        </w:tc>
        <w:tc>
          <w:tcPr>
            <w:tcW w:w="388" w:type="pct"/>
            <w:shd w:val="clear" w:color="auto" w:fill="auto"/>
          </w:tcPr>
          <w:p w14:paraId="26A780F5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45</w:t>
            </w:r>
          </w:p>
        </w:tc>
        <w:tc>
          <w:tcPr>
            <w:tcW w:w="388" w:type="pct"/>
            <w:shd w:val="clear" w:color="auto" w:fill="auto"/>
          </w:tcPr>
          <w:p w14:paraId="030AEBFB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952" w:type="pct"/>
            <w:shd w:val="clear" w:color="auto" w:fill="auto"/>
          </w:tcPr>
          <w:p w14:paraId="550BBFC5" w14:textId="784599B6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3EC8BC44" w14:textId="5C3A445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lastRenderedPageBreak/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35EB4310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  <w:tr w:rsidR="00C36090" w:rsidRPr="003C0F18" w14:paraId="280BC390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3E720F99" w14:textId="538E8561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EA02E8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lastRenderedPageBreak/>
              <w:t>Martínez-Ojinaga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38CD273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Spain</w:t>
            </w:r>
          </w:p>
        </w:tc>
        <w:tc>
          <w:tcPr>
            <w:tcW w:w="345" w:type="pct"/>
            <w:shd w:val="clear" w:color="auto" w:fill="auto"/>
          </w:tcPr>
          <w:p w14:paraId="31673404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463</w:t>
            </w:r>
          </w:p>
        </w:tc>
        <w:tc>
          <w:tcPr>
            <w:tcW w:w="475" w:type="pct"/>
            <w:shd w:val="clear" w:color="auto" w:fill="auto"/>
          </w:tcPr>
          <w:p w14:paraId="32878BCD" w14:textId="2126CE6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2.6 (0.6-14)</w:t>
            </w:r>
          </w:p>
        </w:tc>
        <w:tc>
          <w:tcPr>
            <w:tcW w:w="344" w:type="pct"/>
            <w:shd w:val="clear" w:color="auto" w:fill="auto"/>
          </w:tcPr>
          <w:p w14:paraId="150B1669" w14:textId="4E85215F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NANA</w:t>
            </w:r>
          </w:p>
        </w:tc>
        <w:tc>
          <w:tcPr>
            <w:tcW w:w="388" w:type="pct"/>
            <w:shd w:val="clear" w:color="auto" w:fill="auto"/>
          </w:tcPr>
          <w:p w14:paraId="656772F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454</w:t>
            </w:r>
          </w:p>
        </w:tc>
        <w:tc>
          <w:tcPr>
            <w:tcW w:w="388" w:type="pct"/>
            <w:shd w:val="clear" w:color="auto" w:fill="auto"/>
          </w:tcPr>
          <w:p w14:paraId="4CB15540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14:paraId="4A205FF3" w14:textId="5AE03B98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,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570DD61A" w14:textId="675B0A8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(not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specified)</w:t>
            </w:r>
          </w:p>
        </w:tc>
        <w:tc>
          <w:tcPr>
            <w:tcW w:w="343" w:type="pct"/>
            <w:shd w:val="clear" w:color="auto" w:fill="auto"/>
          </w:tcPr>
          <w:p w14:paraId="48DB81B4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7B1A6549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2E1931FE" w14:textId="6D1B1810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Poddighe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[47]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179F9912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Italy</w:t>
            </w:r>
          </w:p>
        </w:tc>
        <w:tc>
          <w:tcPr>
            <w:tcW w:w="345" w:type="pct"/>
            <w:shd w:val="clear" w:color="auto" w:fill="auto"/>
          </w:tcPr>
          <w:p w14:paraId="60BFF91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184</w:t>
            </w:r>
          </w:p>
        </w:tc>
        <w:tc>
          <w:tcPr>
            <w:tcW w:w="475" w:type="pct"/>
            <w:shd w:val="clear" w:color="auto" w:fill="auto"/>
          </w:tcPr>
          <w:p w14:paraId="3FC2DD7D" w14:textId="7BCE14E3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NA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(1-16)</w:t>
            </w:r>
          </w:p>
        </w:tc>
        <w:tc>
          <w:tcPr>
            <w:tcW w:w="344" w:type="pct"/>
            <w:shd w:val="clear" w:color="auto" w:fill="auto"/>
          </w:tcPr>
          <w:p w14:paraId="31B7D5DC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70/114</w:t>
            </w:r>
          </w:p>
        </w:tc>
        <w:tc>
          <w:tcPr>
            <w:tcW w:w="388" w:type="pct"/>
            <w:shd w:val="clear" w:color="auto" w:fill="auto"/>
          </w:tcPr>
          <w:p w14:paraId="74941D67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179</w:t>
            </w:r>
          </w:p>
        </w:tc>
        <w:tc>
          <w:tcPr>
            <w:tcW w:w="388" w:type="pct"/>
            <w:shd w:val="clear" w:color="auto" w:fill="auto"/>
          </w:tcPr>
          <w:p w14:paraId="7138F95E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14:paraId="31C37C37" w14:textId="6DBBBAAC" w:rsidR="00872682" w:rsidRPr="00920AC7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184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,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33812791" w14:textId="7EF6BA6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="00C36090" w:rsidRPr="00C36090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n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C36090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75)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="00C36090" w:rsidRPr="00C36090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n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="00C36090"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 w:rsidR="00C36090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69)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Pr="00C36090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 xml:space="preserve">n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40)</w:t>
            </w:r>
          </w:p>
        </w:tc>
        <w:tc>
          <w:tcPr>
            <w:tcW w:w="343" w:type="pct"/>
            <w:shd w:val="clear" w:color="auto" w:fill="auto"/>
          </w:tcPr>
          <w:p w14:paraId="7CD7BA7E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62C9C28B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0D8FB8B" w14:textId="3F9F8FBB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Kauma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1F36B181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</w:tcPr>
          <w:p w14:paraId="7419A0A3" w14:textId="6FEB8C8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2EC775F1" w14:textId="29773DD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3.08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2.05</w:t>
            </w:r>
            <w:r w:rsidR="00C36090" w:rsidRPr="0078380F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>(</w:t>
            </w:r>
            <w:r w:rsidR="00C36090" w:rsidRPr="0078380F">
              <w:rPr>
                <w:rFonts w:ascii="Book Antiqua" w:hAnsi="Book Antiqua"/>
                <w:sz w:val="24"/>
                <w:szCs w:val="24"/>
                <w:lang w:val="en-US"/>
              </w:rPr>
              <w:t>CD index</w:t>
            </w:r>
            <w:r w:rsidR="00C36090">
              <w:rPr>
                <w:rFonts w:ascii="Book Antiqua" w:hAnsi="Book Antiqua"/>
                <w:sz w:val="24"/>
                <w:szCs w:val="24"/>
                <w:lang w:val="en-US"/>
              </w:rPr>
              <w:t xml:space="preserve"> cases)</w:t>
            </w:r>
          </w:p>
        </w:tc>
        <w:tc>
          <w:tcPr>
            <w:tcW w:w="344" w:type="pct"/>
            <w:shd w:val="clear" w:color="auto" w:fill="auto"/>
          </w:tcPr>
          <w:p w14:paraId="6DD97164" w14:textId="606558BE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19/81</w:t>
            </w:r>
          </w:p>
        </w:tc>
        <w:tc>
          <w:tcPr>
            <w:tcW w:w="388" w:type="pct"/>
            <w:shd w:val="clear" w:color="auto" w:fill="auto"/>
          </w:tcPr>
          <w:p w14:paraId="5B3D9664" w14:textId="1E515936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64</w:t>
            </w:r>
          </w:p>
        </w:tc>
        <w:tc>
          <w:tcPr>
            <w:tcW w:w="388" w:type="pct"/>
            <w:shd w:val="clear" w:color="auto" w:fill="auto"/>
          </w:tcPr>
          <w:p w14:paraId="41F139FE" w14:textId="136D85A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14:paraId="5E4A9A8A" w14:textId="17CF28FB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was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available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132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context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research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study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considering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pairs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siblings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both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affected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</w:p>
        </w:tc>
        <w:tc>
          <w:tcPr>
            <w:tcW w:w="860" w:type="pct"/>
            <w:shd w:val="clear" w:color="auto" w:fill="auto"/>
          </w:tcPr>
          <w:p w14:paraId="6F179518" w14:textId="75B40FC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re is only one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among CD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index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cases</w:t>
            </w:r>
          </w:p>
        </w:tc>
        <w:tc>
          <w:tcPr>
            <w:tcW w:w="343" w:type="pct"/>
            <w:shd w:val="clear" w:color="auto" w:fill="auto"/>
          </w:tcPr>
          <w:p w14:paraId="37A57D6E" w14:textId="0163E241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1F31D939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0ECB1880" w14:textId="094C9EF1" w:rsidR="00872682" w:rsidRPr="00793B53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</w:pPr>
            <w:proofErr w:type="spellStart"/>
            <w:r w:rsidRPr="00793B53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Kauma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[48]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2077AA9D" w14:textId="5CF85060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Finland</w:t>
            </w:r>
          </w:p>
        </w:tc>
        <w:tc>
          <w:tcPr>
            <w:tcW w:w="345" w:type="pct"/>
            <w:shd w:val="clear" w:color="auto" w:fill="auto"/>
          </w:tcPr>
          <w:p w14:paraId="29D917C9" w14:textId="3D3057C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42736F7A" w14:textId="3A7A6092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CD siblings</w:t>
            </w:r>
          </w:p>
          <w:p w14:paraId="08725031" w14:textId="37B60DA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5.7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3.1</w:t>
            </w:r>
          </w:p>
        </w:tc>
        <w:tc>
          <w:tcPr>
            <w:tcW w:w="344" w:type="pct"/>
            <w:shd w:val="clear" w:color="auto" w:fill="auto"/>
          </w:tcPr>
          <w:p w14:paraId="247B16EF" w14:textId="4D22BF20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37/63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212B8BF8" w14:textId="19A21B6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59</w:t>
            </w:r>
          </w:p>
        </w:tc>
        <w:tc>
          <w:tcPr>
            <w:tcW w:w="388" w:type="pct"/>
            <w:shd w:val="clear" w:color="auto" w:fill="auto"/>
          </w:tcPr>
          <w:p w14:paraId="1EA564F7" w14:textId="7B01112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952" w:type="pct"/>
            <w:shd w:val="clear" w:color="auto" w:fill="auto"/>
          </w:tcPr>
          <w:p w14:paraId="4A1F103A" w14:textId="5E8B1C3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See previous notes (same study/article)</w:t>
            </w:r>
          </w:p>
        </w:tc>
        <w:tc>
          <w:tcPr>
            <w:tcW w:w="860" w:type="pct"/>
            <w:shd w:val="clear" w:color="auto" w:fill="auto"/>
          </w:tcPr>
          <w:p w14:paraId="24BE5943" w14:textId="47608350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GI/extra-GI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The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re are 4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among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sibling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cases</w:t>
            </w:r>
          </w:p>
        </w:tc>
        <w:tc>
          <w:tcPr>
            <w:tcW w:w="343" w:type="pct"/>
            <w:shd w:val="clear" w:color="auto" w:fill="auto"/>
          </w:tcPr>
          <w:p w14:paraId="235863B5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-</w:t>
            </w:r>
          </w:p>
          <w:p w14:paraId="3573312A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</w:p>
        </w:tc>
      </w:tr>
      <w:tr w:rsidR="00C36090" w:rsidRPr="003C0F18" w14:paraId="574A7A54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3DCC635D" w14:textId="183C546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vertAlign w:val="superscript"/>
                <w:lang w:val="en-US" w:eastAsia="it-IT"/>
              </w:rPr>
              <w:t>4</w:t>
            </w: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Lopes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[49-51]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650CC7D1" w14:textId="5D7EC0B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Brazil</w:t>
            </w:r>
          </w:p>
        </w:tc>
        <w:tc>
          <w:tcPr>
            <w:tcW w:w="345" w:type="pct"/>
            <w:shd w:val="clear" w:color="auto" w:fill="auto"/>
          </w:tcPr>
          <w:p w14:paraId="365A7F62" w14:textId="62B5243E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475" w:type="pct"/>
            <w:shd w:val="clear" w:color="auto" w:fill="auto"/>
          </w:tcPr>
          <w:p w14:paraId="48D5A001" w14:textId="14A2CDBC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7.5 (6-12)</w:t>
            </w:r>
          </w:p>
        </w:tc>
        <w:tc>
          <w:tcPr>
            <w:tcW w:w="344" w:type="pct"/>
            <w:shd w:val="clear" w:color="auto" w:fill="auto"/>
          </w:tcPr>
          <w:p w14:paraId="46681231" w14:textId="44BB59E6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NA</w:t>
            </w:r>
          </w:p>
        </w:tc>
        <w:tc>
          <w:tcPr>
            <w:tcW w:w="388" w:type="pct"/>
            <w:shd w:val="clear" w:color="auto" w:fill="auto"/>
          </w:tcPr>
          <w:p w14:paraId="218EB4C0" w14:textId="627493A9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</w:p>
        </w:tc>
        <w:tc>
          <w:tcPr>
            <w:tcW w:w="388" w:type="pct"/>
            <w:shd w:val="clear" w:color="auto" w:fill="auto"/>
          </w:tcPr>
          <w:p w14:paraId="7AB8E025" w14:textId="2D51A2B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217BE6B3" w14:textId="6FDF4FF5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[13]</w:t>
            </w:r>
          </w:p>
        </w:tc>
        <w:tc>
          <w:tcPr>
            <w:tcW w:w="860" w:type="pct"/>
            <w:shd w:val="clear" w:color="auto" w:fill="auto"/>
          </w:tcPr>
          <w:p w14:paraId="294E333A" w14:textId="363F9B2A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7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out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114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FDR</w:t>
            </w:r>
          </w:p>
        </w:tc>
        <w:tc>
          <w:tcPr>
            <w:tcW w:w="343" w:type="pct"/>
            <w:shd w:val="clear" w:color="auto" w:fill="auto"/>
          </w:tcPr>
          <w:p w14:paraId="380FF583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4E553DA3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498BE04D" w14:textId="373133EE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vertAlign w:val="superscript"/>
                <w:lang w:val="en-US" w:eastAsia="it-IT"/>
              </w:rPr>
              <w:t>4</w:t>
            </w: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Bajor</w:t>
            </w:r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[52-54]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1628D41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Hungary</w:t>
            </w:r>
          </w:p>
        </w:tc>
        <w:tc>
          <w:tcPr>
            <w:tcW w:w="345" w:type="pct"/>
            <w:shd w:val="clear" w:color="auto" w:fill="auto"/>
          </w:tcPr>
          <w:p w14:paraId="375C982C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105</w:t>
            </w:r>
          </w:p>
        </w:tc>
        <w:tc>
          <w:tcPr>
            <w:tcW w:w="475" w:type="pct"/>
            <w:shd w:val="clear" w:color="auto" w:fill="auto"/>
          </w:tcPr>
          <w:p w14:paraId="0E138AAB" w14:textId="650B609D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31.2 (0.5-78)</w:t>
            </w:r>
          </w:p>
        </w:tc>
        <w:tc>
          <w:tcPr>
            <w:tcW w:w="344" w:type="pct"/>
            <w:shd w:val="clear" w:color="auto" w:fill="auto"/>
          </w:tcPr>
          <w:p w14:paraId="1EBB6AA9" w14:textId="7777777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32/73</w:t>
            </w:r>
          </w:p>
        </w:tc>
        <w:tc>
          <w:tcPr>
            <w:tcW w:w="388" w:type="pct"/>
            <w:shd w:val="clear" w:color="auto" w:fill="auto"/>
          </w:tcPr>
          <w:p w14:paraId="16F79323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97</w:t>
            </w:r>
          </w:p>
        </w:tc>
        <w:tc>
          <w:tcPr>
            <w:tcW w:w="388" w:type="pct"/>
            <w:shd w:val="clear" w:color="auto" w:fill="auto"/>
          </w:tcPr>
          <w:p w14:paraId="32D472F8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8</w:t>
            </w:r>
          </w:p>
        </w:tc>
        <w:tc>
          <w:tcPr>
            <w:tcW w:w="952" w:type="pct"/>
            <w:shd w:val="clear" w:color="auto" w:fill="auto"/>
          </w:tcPr>
          <w:p w14:paraId="1B4B51FD" w14:textId="0086558F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(confirmed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intestinal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biopsy)</w:t>
            </w:r>
          </w:p>
        </w:tc>
        <w:tc>
          <w:tcPr>
            <w:tcW w:w="860" w:type="pct"/>
            <w:shd w:val="clear" w:color="auto" w:fill="auto"/>
          </w:tcPr>
          <w:p w14:paraId="33950BBC" w14:textId="3B2B537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symptoms;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for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case-finding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</w:t>
            </w:r>
          </w:p>
        </w:tc>
        <w:tc>
          <w:tcPr>
            <w:tcW w:w="343" w:type="pct"/>
            <w:shd w:val="clear" w:color="auto" w:fill="auto"/>
          </w:tcPr>
          <w:p w14:paraId="77F0074E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6AF6655A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7161A308" w14:textId="542DF24B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Al-</w:t>
            </w:r>
            <w:proofErr w:type="spellStart"/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Hussaini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[55]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49B864DD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Saudi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Arabia</w:t>
            </w:r>
          </w:p>
        </w:tc>
        <w:tc>
          <w:tcPr>
            <w:tcW w:w="345" w:type="pct"/>
            <w:shd w:val="clear" w:color="auto" w:fill="auto"/>
          </w:tcPr>
          <w:p w14:paraId="42024EF9" w14:textId="7777777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20C13FF6" w14:textId="7DC28098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Group 1</w:t>
            </w:r>
            <w:r w:rsidR="00F41EEA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:</w:t>
            </w:r>
            <w:r w:rsidR="00F41EEA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7</w:t>
            </w:r>
            <w:r w:rsidR="00F41EE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="00F41EE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3.2</w:t>
            </w:r>
          </w:p>
        </w:tc>
        <w:tc>
          <w:tcPr>
            <w:tcW w:w="344" w:type="pct"/>
            <w:shd w:val="clear" w:color="auto" w:fill="auto"/>
          </w:tcPr>
          <w:p w14:paraId="4DE7AA9F" w14:textId="53A01868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19/27</w:t>
            </w:r>
          </w:p>
        </w:tc>
        <w:tc>
          <w:tcPr>
            <w:tcW w:w="388" w:type="pct"/>
            <w:shd w:val="clear" w:color="auto" w:fill="auto"/>
          </w:tcPr>
          <w:p w14:paraId="756A1EBF" w14:textId="7ED9D2AB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43</w:t>
            </w:r>
          </w:p>
        </w:tc>
        <w:tc>
          <w:tcPr>
            <w:tcW w:w="388" w:type="pct"/>
            <w:shd w:val="clear" w:color="auto" w:fill="auto"/>
          </w:tcPr>
          <w:p w14:paraId="34B231CB" w14:textId="38C4806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3</w:t>
            </w:r>
          </w:p>
        </w:tc>
        <w:tc>
          <w:tcPr>
            <w:tcW w:w="952" w:type="pct"/>
            <w:shd w:val="clear" w:color="auto" w:fill="auto"/>
          </w:tcPr>
          <w:p w14:paraId="332D0912" w14:textId="082D23F8" w:rsidR="00872682" w:rsidRPr="00872682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13,14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61C1C696" w14:textId="010653F0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consistent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or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extra-GI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symptoms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roup 1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F41EEA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 xml:space="preserve">n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46)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.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data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about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comorbidity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Pr="00EA7E21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e.g.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IDDM)</w:t>
            </w:r>
          </w:p>
        </w:tc>
        <w:tc>
          <w:tcPr>
            <w:tcW w:w="343" w:type="pct"/>
            <w:shd w:val="clear" w:color="auto" w:fill="auto"/>
          </w:tcPr>
          <w:p w14:paraId="24F520C1" w14:textId="7205237A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+</w:t>
            </w:r>
          </w:p>
        </w:tc>
      </w:tr>
      <w:tr w:rsidR="00C36090" w:rsidRPr="003C0F18" w14:paraId="7526D72E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6F0D725C" w14:textId="2068E73E" w:rsidR="00872682" w:rsidRPr="00F8454B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</w:pPr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lastRenderedPageBreak/>
              <w:t>Al-</w:t>
            </w:r>
            <w:proofErr w:type="spellStart"/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Hussaini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[55]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71E920F7" w14:textId="737BEAB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Saudi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Arabia</w:t>
            </w:r>
          </w:p>
        </w:tc>
        <w:tc>
          <w:tcPr>
            <w:tcW w:w="345" w:type="pct"/>
            <w:shd w:val="clear" w:color="auto" w:fill="auto"/>
          </w:tcPr>
          <w:p w14:paraId="17A29327" w14:textId="73E893B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100</w:t>
            </w:r>
          </w:p>
        </w:tc>
        <w:tc>
          <w:tcPr>
            <w:tcW w:w="475" w:type="pct"/>
            <w:shd w:val="clear" w:color="auto" w:fill="auto"/>
          </w:tcPr>
          <w:p w14:paraId="52F3F68A" w14:textId="454B9E5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Group 2</w:t>
            </w:r>
            <w:r w:rsidR="00F41EEA">
              <w:rPr>
                <w:rFonts w:ascii="Book Antiqua" w:hAnsi="Book Antiqua" w:hint="eastAsia"/>
                <w:sz w:val="24"/>
                <w:szCs w:val="24"/>
                <w:lang w:val="en-US" w:eastAsia="zh-CN"/>
              </w:rPr>
              <w:t>:</w:t>
            </w:r>
            <w:r w:rsidR="00F41EEA">
              <w:rPr>
                <w:rFonts w:ascii="Book Antiqua" w:hAnsi="Book Antiqua"/>
                <w:sz w:val="24"/>
                <w:szCs w:val="24"/>
                <w:lang w:val="en-US" w:eastAsia="zh-CN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11.3</w:t>
            </w:r>
            <w:r w:rsidR="00F41EE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sym w:font="Symbol" w:char="F0B1"/>
            </w:r>
            <w:r w:rsidR="00F41EE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2.5</w:t>
            </w:r>
          </w:p>
        </w:tc>
        <w:tc>
          <w:tcPr>
            <w:tcW w:w="344" w:type="pct"/>
            <w:shd w:val="clear" w:color="auto" w:fill="auto"/>
          </w:tcPr>
          <w:p w14:paraId="7445EEE3" w14:textId="3C7EDD36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11/43</w:t>
            </w:r>
          </w:p>
        </w:tc>
        <w:tc>
          <w:tcPr>
            <w:tcW w:w="388" w:type="pct"/>
            <w:shd w:val="clear" w:color="auto" w:fill="auto"/>
          </w:tcPr>
          <w:p w14:paraId="39EA63BD" w14:textId="69F92AF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45</w:t>
            </w:r>
          </w:p>
        </w:tc>
        <w:tc>
          <w:tcPr>
            <w:tcW w:w="388" w:type="pct"/>
            <w:shd w:val="clear" w:color="auto" w:fill="auto"/>
          </w:tcPr>
          <w:p w14:paraId="70012B70" w14:textId="16F166F3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14:paraId="77EC6976" w14:textId="1BD457E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Refer to the previous notes (same study/ article)</w:t>
            </w:r>
          </w:p>
        </w:tc>
        <w:tc>
          <w:tcPr>
            <w:tcW w:w="860" w:type="pct"/>
            <w:shd w:val="clear" w:color="auto" w:fill="auto"/>
          </w:tcPr>
          <w:p w14:paraId="4396C4C9" w14:textId="29CC4088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through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mass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screening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among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school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children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roup 2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7E21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=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54).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No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data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about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comorbidity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</w:t>
            </w:r>
            <w:r w:rsidRPr="00EA7E21">
              <w:rPr>
                <w:rFonts w:ascii="Book Antiqua" w:eastAsia="MS MinNew Roman" w:hAnsi="Book Antiqua"/>
                <w:i/>
                <w:iCs/>
                <w:sz w:val="24"/>
                <w:szCs w:val="24"/>
                <w:lang w:val="en-US" w:eastAsia="it-IT"/>
              </w:rPr>
              <w:t>e.g.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IDDM)</w:t>
            </w:r>
          </w:p>
        </w:tc>
        <w:tc>
          <w:tcPr>
            <w:tcW w:w="343" w:type="pct"/>
            <w:shd w:val="clear" w:color="auto" w:fill="auto"/>
          </w:tcPr>
          <w:p w14:paraId="0A0822AC" w14:textId="6D007BD0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-</w:t>
            </w:r>
          </w:p>
        </w:tc>
      </w:tr>
      <w:tr w:rsidR="00C36090" w:rsidRPr="003C0F18" w14:paraId="4D2E5AC7" w14:textId="77777777" w:rsidTr="00C36090">
        <w:trPr>
          <w:trHeight w:val="687"/>
        </w:trPr>
        <w:tc>
          <w:tcPr>
            <w:tcW w:w="431" w:type="pct"/>
            <w:shd w:val="clear" w:color="auto" w:fill="auto"/>
          </w:tcPr>
          <w:p w14:paraId="1D686E7B" w14:textId="5CF1BE37" w:rsidR="00872682" w:rsidRPr="00F8454B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</w:pPr>
            <w:proofErr w:type="spellStart"/>
            <w:r w:rsidRPr="00F8454B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Ramosaj-Morina</w:t>
            </w:r>
            <w:proofErr w:type="spellEnd"/>
            <w:r w:rsidRPr="00756F79">
              <w:rPr>
                <w:rFonts w:ascii="Book Antiqua" w:eastAsia="MS MinNew Roman" w:hAnsi="Book Antiqua"/>
                <w:bCs/>
                <w:i/>
                <w:sz w:val="24"/>
                <w:szCs w:val="24"/>
                <w:lang w:val="en-US" w:eastAsia="it-IT"/>
              </w:rPr>
              <w:t xml:space="preserve"> et al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vertAlign w:val="superscript"/>
                <w:lang w:val="en-US" w:eastAsia="it-IT"/>
              </w:rPr>
              <w:t>[56]</w:t>
            </w: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,</w:t>
            </w:r>
            <w:r>
              <w:rPr>
                <w:rFonts w:ascii="Book Antiqua" w:eastAsiaTheme="minorEastAsia" w:hAnsi="Book Antiqua"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756F79">
              <w:rPr>
                <w:rFonts w:ascii="Book Antiqua" w:eastAsia="MS MinNew Roman" w:hAnsi="Book Antiqua"/>
                <w:bCs/>
                <w:iCs/>
                <w:sz w:val="24"/>
                <w:szCs w:val="24"/>
                <w:lang w:val="en-US" w:eastAsia="it-IT"/>
              </w:rPr>
              <w:t>2019</w:t>
            </w:r>
          </w:p>
        </w:tc>
        <w:tc>
          <w:tcPr>
            <w:tcW w:w="474" w:type="pct"/>
            <w:shd w:val="clear" w:color="auto" w:fill="auto"/>
          </w:tcPr>
          <w:p w14:paraId="4A63177C" w14:textId="7051469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Kosovo</w:t>
            </w:r>
          </w:p>
        </w:tc>
        <w:tc>
          <w:tcPr>
            <w:tcW w:w="345" w:type="pct"/>
            <w:shd w:val="clear" w:color="auto" w:fill="auto"/>
          </w:tcPr>
          <w:p w14:paraId="5688CFBB" w14:textId="790D24C1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60</w:t>
            </w:r>
          </w:p>
        </w:tc>
        <w:tc>
          <w:tcPr>
            <w:tcW w:w="475" w:type="pct"/>
            <w:shd w:val="clear" w:color="auto" w:fill="auto"/>
          </w:tcPr>
          <w:p w14:paraId="6D18EA93" w14:textId="371A3094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5.5 (1.5-18)</w:t>
            </w:r>
          </w:p>
        </w:tc>
        <w:tc>
          <w:tcPr>
            <w:tcW w:w="344" w:type="pct"/>
            <w:shd w:val="clear" w:color="auto" w:fill="auto"/>
          </w:tcPr>
          <w:p w14:paraId="6FEBF4D9" w14:textId="77D1F9A7" w:rsidR="00872682" w:rsidRPr="0078380F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8380F">
              <w:rPr>
                <w:rFonts w:ascii="Book Antiqua" w:hAnsi="Book Antiqua"/>
                <w:sz w:val="24"/>
                <w:szCs w:val="24"/>
                <w:lang w:val="en-US"/>
              </w:rPr>
              <w:t>20/40</w:t>
            </w:r>
          </w:p>
        </w:tc>
        <w:tc>
          <w:tcPr>
            <w:tcW w:w="388" w:type="pct"/>
            <w:shd w:val="clear" w:color="auto" w:fill="auto"/>
          </w:tcPr>
          <w:p w14:paraId="4A1D14F4" w14:textId="4D636517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55</w:t>
            </w:r>
          </w:p>
        </w:tc>
        <w:tc>
          <w:tcPr>
            <w:tcW w:w="388" w:type="pct"/>
            <w:shd w:val="clear" w:color="auto" w:fill="auto"/>
          </w:tcPr>
          <w:p w14:paraId="58B9B2AD" w14:textId="792A1312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5</w:t>
            </w:r>
          </w:p>
        </w:tc>
        <w:tc>
          <w:tcPr>
            <w:tcW w:w="952" w:type="pct"/>
            <w:shd w:val="clear" w:color="auto" w:fill="auto"/>
          </w:tcPr>
          <w:p w14:paraId="67086F1C" w14:textId="1E0C625A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HLA-DQ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genotyping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of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patients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previously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diagnosed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with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CD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(ESPGHAN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 xml:space="preserve"> 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criteria)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[</w:t>
            </w:r>
            <w:r w:rsidRPr="00EA02E8"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13,14</w:t>
            </w:r>
            <w:r>
              <w:rPr>
                <w:rFonts w:ascii="Book Antiqua" w:eastAsia="MS MinNew Roman" w:hAnsi="Book Antiqua"/>
                <w:sz w:val="24"/>
                <w:szCs w:val="24"/>
                <w:vertAlign w:val="superscript"/>
                <w:lang w:val="en-US" w:eastAsia="it-IT"/>
              </w:rPr>
              <w:t>]</w:t>
            </w:r>
          </w:p>
        </w:tc>
        <w:tc>
          <w:tcPr>
            <w:tcW w:w="860" w:type="pct"/>
            <w:shd w:val="clear" w:color="auto" w:fill="auto"/>
          </w:tcPr>
          <w:p w14:paraId="499B8453" w14:textId="20ACE94D" w:rsidR="00872682" w:rsidRPr="00EA02E8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</w:pPr>
            <w:r w:rsidRPr="00EA02E8"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N</w:t>
            </w:r>
            <w:r>
              <w:rPr>
                <w:rFonts w:ascii="Book Antiqua" w:eastAsia="MS MinNew Roman" w:hAnsi="Book Antiqua"/>
                <w:sz w:val="24"/>
                <w:szCs w:val="24"/>
                <w:lang w:val="en-US" w:eastAsia="it-IT"/>
              </w:rPr>
              <w:t>A</w:t>
            </w:r>
          </w:p>
        </w:tc>
        <w:tc>
          <w:tcPr>
            <w:tcW w:w="343" w:type="pct"/>
            <w:shd w:val="clear" w:color="auto" w:fill="auto"/>
          </w:tcPr>
          <w:p w14:paraId="6E30475B" w14:textId="77777777" w:rsidR="00872682" w:rsidRPr="00756F79" w:rsidRDefault="00872682" w:rsidP="0087268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</w:pPr>
            <w:r w:rsidRPr="00756F79">
              <w:rPr>
                <w:rFonts w:ascii="Book Antiqua" w:eastAsia="MS MinNew Roman" w:hAnsi="Book Antiqua"/>
                <w:bCs/>
                <w:sz w:val="24"/>
                <w:szCs w:val="24"/>
                <w:lang w:val="en-US" w:eastAsia="it-IT"/>
              </w:rPr>
              <w:t>?</w:t>
            </w:r>
          </w:p>
        </w:tc>
      </w:tr>
    </w:tbl>
    <w:p w14:paraId="150F007D" w14:textId="7107F9A7" w:rsidR="00071530" w:rsidRPr="00872682" w:rsidRDefault="007879CD" w:rsidP="00872682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7879CD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0C07A3">
        <w:rPr>
          <w:rFonts w:ascii="Book Antiqua" w:hAnsi="Book Antiqua"/>
          <w:sz w:val="24"/>
          <w:szCs w:val="24"/>
          <w:lang w:val="en-US"/>
        </w:rPr>
        <w:t xml:space="preserve">This column describe the age of the patients, in terms of </w:t>
      </w:r>
      <w:r w:rsidR="00590975">
        <w:rPr>
          <w:rFonts w:ascii="Book Antiqua" w:hAnsi="Book Antiqua"/>
          <w:sz w:val="24"/>
          <w:szCs w:val="24"/>
          <w:lang w:val="en-US"/>
        </w:rPr>
        <w:t>mean</w:t>
      </w:r>
      <w:r w:rsidR="000C07A3">
        <w:rPr>
          <w:rFonts w:ascii="Book Antiqua" w:hAnsi="Book Antiqua"/>
          <w:sz w:val="24"/>
          <w:szCs w:val="24"/>
          <w:vertAlign w:val="superscript"/>
          <w:lang w:val="en-US"/>
        </w:rPr>
        <w:t xml:space="preserve"> </w:t>
      </w:r>
      <w:r w:rsidR="000C07A3" w:rsidRPr="0078380F">
        <w:rPr>
          <w:rFonts w:ascii="Book Antiqua" w:hAnsi="Book Antiqua"/>
          <w:sz w:val="24"/>
          <w:szCs w:val="24"/>
          <w:lang w:val="en-US"/>
        </w:rPr>
        <w:sym w:font="Symbol" w:char="F0B1"/>
      </w:r>
      <w:r w:rsidR="00590975">
        <w:rPr>
          <w:rFonts w:ascii="Book Antiqua" w:hAnsi="Book Antiqua"/>
          <w:sz w:val="24"/>
          <w:szCs w:val="24"/>
          <w:lang w:val="en-US"/>
        </w:rPr>
        <w:t xml:space="preserve"> SD</w:t>
      </w:r>
      <w:r w:rsidR="000C07A3">
        <w:rPr>
          <w:rFonts w:ascii="Book Antiqua" w:hAnsi="Book Antiqua"/>
          <w:sz w:val="24"/>
          <w:szCs w:val="24"/>
          <w:lang w:val="en-US"/>
        </w:rPr>
        <w:t xml:space="preserve"> or median (age range)</w:t>
      </w:r>
      <w:r w:rsidR="00590975">
        <w:rPr>
          <w:rFonts w:ascii="Book Antiqua" w:hAnsi="Book Antiqua"/>
          <w:sz w:val="24"/>
          <w:szCs w:val="24"/>
          <w:lang w:val="en-US"/>
        </w:rPr>
        <w:t>;</w:t>
      </w:r>
      <w:r w:rsidR="000C07A3">
        <w:rPr>
          <w:rFonts w:ascii="Book Antiqua" w:hAnsi="Book Antiqua"/>
          <w:sz w:val="24"/>
          <w:szCs w:val="24"/>
          <w:lang w:val="en-US"/>
        </w:rPr>
        <w:t xml:space="preserve"> </w:t>
      </w:r>
      <w:r w:rsidR="000C07A3" w:rsidRPr="00756F79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column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describes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version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ESPGHAN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guidelines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that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each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article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refers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to,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provided: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sz w:val="24"/>
          <w:szCs w:val="24"/>
          <w:lang w:val="en-US"/>
        </w:rPr>
        <w:t>If</w:t>
      </w:r>
      <w:r w:rsidR="00872682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superscript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present,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refers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to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reference.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Anyway,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all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this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systematic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review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based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final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(CD)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diagnosis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duodenal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biopsy,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even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no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specific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guidelines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reported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riginal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article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(in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this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case,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no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superscript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number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present)</w:t>
      </w:r>
      <w:r w:rsidRPr="00D02ABC">
        <w:rPr>
          <w:rFonts w:ascii="Book Antiqua" w:hAnsi="Book Antiqua"/>
          <w:sz w:val="24"/>
          <w:szCs w:val="24"/>
          <w:lang w:val="en-US"/>
        </w:rPr>
        <w:t xml:space="preserve">; </w:t>
      </w:r>
      <w:r w:rsidR="000C07A3" w:rsidRPr="00D02ABC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This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column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assesses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presence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of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patients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affected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with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diabetes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872682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(DM1)</w:t>
      </w:r>
      <w:r w:rsidR="00872682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population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of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patients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included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E557D1" w:rsidRPr="00D02ABC">
        <w:rPr>
          <w:rFonts w:ascii="Book Antiqua" w:hAnsi="Book Antiqua"/>
          <w:sz w:val="24"/>
          <w:szCs w:val="24"/>
          <w:lang w:val="en-US"/>
        </w:rPr>
        <w:t>respective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E557D1" w:rsidRPr="00D02ABC">
        <w:rPr>
          <w:rFonts w:ascii="Book Antiqua" w:hAnsi="Book Antiqua"/>
          <w:sz w:val="24"/>
          <w:szCs w:val="24"/>
          <w:lang w:val="en-US"/>
        </w:rPr>
        <w:t>article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(</w:t>
      </w:r>
      <w:r w:rsidR="00307FEA" w:rsidRPr="00872682">
        <w:rPr>
          <w:rFonts w:ascii="Book Antiqua" w:hAnsi="Book Antiqua"/>
          <w:sz w:val="24"/>
          <w:szCs w:val="24"/>
          <w:lang w:val="en-US"/>
        </w:rPr>
        <w:t>+: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indicates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that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study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includes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or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estimated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to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include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&lt;</w:t>
      </w:r>
      <w:r w:rsidR="00590975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3%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of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patients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with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DM1;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872682">
        <w:rPr>
          <w:rFonts w:ascii="Book Antiqua" w:hAnsi="Book Antiqua"/>
          <w:sz w:val="24"/>
          <w:szCs w:val="24"/>
          <w:lang w:val="en-US"/>
        </w:rPr>
        <w:t>?: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indicates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that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article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provided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no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data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to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estimate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actual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percentage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of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CD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patients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affected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with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DM1;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872682">
        <w:rPr>
          <w:rFonts w:ascii="Book Antiqua" w:hAnsi="Book Antiqua"/>
          <w:sz w:val="24"/>
          <w:szCs w:val="24"/>
          <w:lang w:val="en-US"/>
        </w:rPr>
        <w:t>-: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indicates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that</w:t>
      </w:r>
      <w:r w:rsidR="00277F7A" w:rsidRPr="00D02ABC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D02ABC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clearly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indicates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number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DM1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and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those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least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3%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of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E557D1" w:rsidRPr="00EA02E8">
        <w:rPr>
          <w:rFonts w:ascii="Book Antiqua" w:hAnsi="Book Antiqua"/>
          <w:sz w:val="24"/>
          <w:szCs w:val="24"/>
          <w:lang w:val="en-US"/>
        </w:rPr>
        <w:t>study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cohort)</w:t>
      </w:r>
      <w:r>
        <w:rPr>
          <w:rFonts w:ascii="Book Antiqua" w:hAnsi="Book Antiqua"/>
          <w:sz w:val="24"/>
          <w:szCs w:val="24"/>
          <w:lang w:val="en-US"/>
        </w:rPr>
        <w:t xml:space="preserve">; </w:t>
      </w:r>
      <w:r w:rsidR="000C07A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These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articles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have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been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completed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with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additional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references,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order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to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provide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all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necessary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information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about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HLA-DQB1</w:t>
      </w:r>
      <w:r w:rsidR="00E557D1" w:rsidRPr="00EA02E8">
        <w:rPr>
          <w:rFonts w:ascii="Book Antiqua" w:hAnsi="Book Antiqua"/>
          <w:sz w:val="24"/>
          <w:szCs w:val="24"/>
          <w:lang w:val="en-US"/>
        </w:rPr>
        <w:t>*02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E557D1" w:rsidRPr="00EA02E8">
        <w:rPr>
          <w:rFonts w:ascii="Book Antiqua" w:hAnsi="Book Antiqua"/>
          <w:sz w:val="24"/>
          <w:szCs w:val="24"/>
          <w:lang w:val="en-US"/>
        </w:rPr>
        <w:t>carrier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status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CD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patients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included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in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the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respective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307FEA" w:rsidRPr="00EA02E8">
        <w:rPr>
          <w:rFonts w:ascii="Book Antiqua" w:hAnsi="Book Antiqua"/>
          <w:sz w:val="24"/>
          <w:szCs w:val="24"/>
          <w:lang w:val="en-US"/>
        </w:rPr>
        <w:t>studies</w:t>
      </w:r>
      <w:r w:rsidR="00E557D1" w:rsidRPr="00EA02E8">
        <w:rPr>
          <w:rFonts w:ascii="Book Antiqua" w:hAnsi="Book Antiqua"/>
          <w:sz w:val="24"/>
          <w:szCs w:val="24"/>
          <w:lang w:val="en-US"/>
        </w:rPr>
        <w:t>.</w:t>
      </w:r>
      <w:r w:rsidR="00277F7A">
        <w:rPr>
          <w:rFonts w:ascii="Book Antiqua" w:hAnsi="Book Antiqua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CD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: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Celiac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disease</w:t>
      </w:r>
      <w:r w:rsidR="00C2530E">
        <w:rPr>
          <w:rFonts w:ascii="Book Antiqua" w:hAnsi="Book Antiqua"/>
          <w:sz w:val="24"/>
          <w:szCs w:val="24"/>
          <w:lang w:val="en-US" w:eastAsia="zh-CN"/>
        </w:rPr>
        <w:t xml:space="preserve">;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DM1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>:</w:t>
      </w:r>
      <w:r w:rsidR="00F41EEA" w:rsidRP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Type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1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diabetes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 </w:t>
      </w:r>
      <w:r w:rsidR="00F41EEA" w:rsidRPr="00EA02E8">
        <w:rPr>
          <w:rFonts w:ascii="Book Antiqua" w:hAnsi="Book Antiqua"/>
          <w:bCs/>
          <w:color w:val="000000"/>
          <w:sz w:val="24"/>
          <w:szCs w:val="24"/>
          <w:lang w:val="en-US"/>
        </w:rPr>
        <w:t>mellitus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 xml:space="preserve">; </w:t>
      </w:r>
      <w:r w:rsidR="00C2530E">
        <w:rPr>
          <w:rFonts w:ascii="Book Antiqua" w:hAnsi="Book Antiqua"/>
          <w:sz w:val="24"/>
          <w:szCs w:val="24"/>
          <w:lang w:val="en-US" w:eastAsia="zh-CN"/>
        </w:rPr>
        <w:t>FDR</w:t>
      </w:r>
      <w:r w:rsidR="00872682">
        <w:rPr>
          <w:rFonts w:ascii="Book Antiqua" w:hAnsi="Book Antiqua"/>
          <w:sz w:val="24"/>
          <w:szCs w:val="24"/>
          <w:lang w:val="en-US" w:eastAsia="zh-CN"/>
        </w:rPr>
        <w:t>:</w:t>
      </w:r>
      <w:r w:rsidR="00C2530E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872682">
        <w:rPr>
          <w:rFonts w:ascii="Book Antiqua" w:hAnsi="Book Antiqua"/>
          <w:sz w:val="24"/>
          <w:szCs w:val="24"/>
          <w:lang w:val="en-US" w:eastAsia="zh-CN"/>
        </w:rPr>
        <w:t xml:space="preserve">First </w:t>
      </w:r>
      <w:r w:rsidR="00C2530E">
        <w:rPr>
          <w:rFonts w:ascii="Book Antiqua" w:hAnsi="Book Antiqua"/>
          <w:sz w:val="24"/>
          <w:szCs w:val="24"/>
          <w:lang w:val="en-US" w:eastAsia="zh-CN"/>
        </w:rPr>
        <w:t>degree relative</w:t>
      </w:r>
      <w:r w:rsidR="00F41EEA">
        <w:rPr>
          <w:rFonts w:ascii="Book Antiqua" w:hAnsi="Book Antiqua"/>
          <w:bCs/>
          <w:color w:val="000000"/>
          <w:sz w:val="24"/>
          <w:szCs w:val="24"/>
          <w:lang w:val="en-US"/>
        </w:rPr>
        <w:t>;</w:t>
      </w:r>
      <w:r w:rsidR="00F41EEA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F4365D">
        <w:rPr>
          <w:rFonts w:ascii="Book Antiqua" w:hAnsi="Book Antiqua"/>
          <w:sz w:val="24"/>
          <w:szCs w:val="24"/>
          <w:lang w:val="en-US" w:eastAsia="zh-CN"/>
        </w:rPr>
        <w:t xml:space="preserve">TG: </w:t>
      </w:r>
      <w:r w:rsidR="00F4365D" w:rsidRPr="00EA02E8">
        <w:rPr>
          <w:rFonts w:ascii="Book Antiqua" w:hAnsi="Book Antiqua"/>
          <w:color w:val="000000"/>
          <w:sz w:val="24"/>
          <w:szCs w:val="24"/>
          <w:lang w:val="en-US"/>
        </w:rPr>
        <w:t>Transglutaminase</w:t>
      </w:r>
      <w:r w:rsidR="00F4365D">
        <w:rPr>
          <w:rFonts w:ascii="Book Antiqua" w:hAnsi="Book Antiqua"/>
          <w:color w:val="000000"/>
          <w:sz w:val="24"/>
          <w:szCs w:val="24"/>
          <w:lang w:val="en-US"/>
        </w:rPr>
        <w:t xml:space="preserve">; </w:t>
      </w:r>
      <w:r w:rsidR="00F41EEA">
        <w:rPr>
          <w:rFonts w:ascii="Book Antiqua" w:hAnsi="Book Antiqua"/>
          <w:sz w:val="24"/>
          <w:szCs w:val="24"/>
          <w:lang w:val="en-US" w:eastAsia="zh-CN"/>
        </w:rPr>
        <w:t>NA: Not available</w:t>
      </w:r>
      <w:r w:rsidR="00C2530E">
        <w:rPr>
          <w:rFonts w:ascii="Book Antiqua" w:hAnsi="Book Antiqua"/>
          <w:sz w:val="24"/>
          <w:szCs w:val="24"/>
          <w:lang w:val="en-US" w:eastAsia="zh-CN"/>
        </w:rPr>
        <w:t>.</w:t>
      </w:r>
      <w:bookmarkStart w:id="45" w:name="_Hlk35209967"/>
    </w:p>
    <w:bookmarkEnd w:id="45"/>
    <w:p w14:paraId="492CA98D" w14:textId="77777777" w:rsidR="00071530" w:rsidRPr="00EA02E8" w:rsidRDefault="00071530" w:rsidP="00465713">
      <w:pPr>
        <w:tabs>
          <w:tab w:val="left" w:pos="2481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sectPr w:rsidR="00071530" w:rsidRPr="00EA02E8" w:rsidSect="007879C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E7705" w14:textId="77777777" w:rsidR="00306A1A" w:rsidRDefault="00306A1A" w:rsidP="00EA02E8">
      <w:pPr>
        <w:spacing w:after="0" w:line="240" w:lineRule="auto"/>
      </w:pPr>
      <w:r>
        <w:separator/>
      </w:r>
    </w:p>
  </w:endnote>
  <w:endnote w:type="continuationSeparator" w:id="0">
    <w:p w14:paraId="55D0A99D" w14:textId="77777777" w:rsidR="00306A1A" w:rsidRDefault="00306A1A" w:rsidP="00EA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MS MinNew Roman">
    <w:altName w:val="Arial Unicode MS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99E4C" w14:textId="77777777" w:rsidR="00306A1A" w:rsidRDefault="00306A1A" w:rsidP="00EA02E8">
      <w:pPr>
        <w:spacing w:after="0" w:line="240" w:lineRule="auto"/>
      </w:pPr>
      <w:r>
        <w:separator/>
      </w:r>
    </w:p>
  </w:footnote>
  <w:footnote w:type="continuationSeparator" w:id="0">
    <w:p w14:paraId="2F53A1AE" w14:textId="77777777" w:rsidR="00306A1A" w:rsidRDefault="00306A1A" w:rsidP="00EA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26D"/>
    <w:multiLevelType w:val="hybridMultilevel"/>
    <w:tmpl w:val="67DCE650"/>
    <w:lvl w:ilvl="0" w:tplc="3828A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67D"/>
    <w:multiLevelType w:val="hybridMultilevel"/>
    <w:tmpl w:val="C9AA32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E8"/>
    <w:rsid w:val="00026C90"/>
    <w:rsid w:val="00036FFE"/>
    <w:rsid w:val="000661A4"/>
    <w:rsid w:val="00071530"/>
    <w:rsid w:val="000A2A89"/>
    <w:rsid w:val="000B2013"/>
    <w:rsid w:val="000B75A7"/>
    <w:rsid w:val="000C07A3"/>
    <w:rsid w:val="000D2DF7"/>
    <w:rsid w:val="000D5B4D"/>
    <w:rsid w:val="000F0C87"/>
    <w:rsid w:val="00111252"/>
    <w:rsid w:val="0011553E"/>
    <w:rsid w:val="00122AD6"/>
    <w:rsid w:val="001306DC"/>
    <w:rsid w:val="001329DF"/>
    <w:rsid w:val="00136A89"/>
    <w:rsid w:val="001405DF"/>
    <w:rsid w:val="00141EFA"/>
    <w:rsid w:val="00170DA0"/>
    <w:rsid w:val="00180FC8"/>
    <w:rsid w:val="00192130"/>
    <w:rsid w:val="001A11FC"/>
    <w:rsid w:val="001A2DA4"/>
    <w:rsid w:val="001A5373"/>
    <w:rsid w:val="001A72A1"/>
    <w:rsid w:val="001B4F06"/>
    <w:rsid w:val="001B559E"/>
    <w:rsid w:val="001E0A4B"/>
    <w:rsid w:val="001E2781"/>
    <w:rsid w:val="001F607D"/>
    <w:rsid w:val="00200401"/>
    <w:rsid w:val="00203EAD"/>
    <w:rsid w:val="00204FE6"/>
    <w:rsid w:val="0020707F"/>
    <w:rsid w:val="00215380"/>
    <w:rsid w:val="00217AFB"/>
    <w:rsid w:val="00220562"/>
    <w:rsid w:val="00226125"/>
    <w:rsid w:val="00227F89"/>
    <w:rsid w:val="00254E46"/>
    <w:rsid w:val="0025796D"/>
    <w:rsid w:val="00261B02"/>
    <w:rsid w:val="00271B20"/>
    <w:rsid w:val="00274E93"/>
    <w:rsid w:val="00277F7A"/>
    <w:rsid w:val="0028283E"/>
    <w:rsid w:val="00282CBF"/>
    <w:rsid w:val="00284D3A"/>
    <w:rsid w:val="002A142B"/>
    <w:rsid w:val="002A2255"/>
    <w:rsid w:val="002C2D43"/>
    <w:rsid w:val="002C4FA3"/>
    <w:rsid w:val="002E7138"/>
    <w:rsid w:val="002F48D7"/>
    <w:rsid w:val="00305C46"/>
    <w:rsid w:val="00306A1A"/>
    <w:rsid w:val="00307FEA"/>
    <w:rsid w:val="00310C20"/>
    <w:rsid w:val="00320541"/>
    <w:rsid w:val="00322694"/>
    <w:rsid w:val="00324280"/>
    <w:rsid w:val="00327126"/>
    <w:rsid w:val="003271CD"/>
    <w:rsid w:val="00333A6B"/>
    <w:rsid w:val="00333DF9"/>
    <w:rsid w:val="00342533"/>
    <w:rsid w:val="00355703"/>
    <w:rsid w:val="00364B7D"/>
    <w:rsid w:val="00366AA9"/>
    <w:rsid w:val="0037022A"/>
    <w:rsid w:val="0037060B"/>
    <w:rsid w:val="00383E48"/>
    <w:rsid w:val="003869EA"/>
    <w:rsid w:val="00394333"/>
    <w:rsid w:val="003A5764"/>
    <w:rsid w:val="003A72CC"/>
    <w:rsid w:val="003C0F18"/>
    <w:rsid w:val="003C7C4D"/>
    <w:rsid w:val="003D1456"/>
    <w:rsid w:val="003D61CA"/>
    <w:rsid w:val="003E4562"/>
    <w:rsid w:val="003F7AC6"/>
    <w:rsid w:val="004233BD"/>
    <w:rsid w:val="00430D16"/>
    <w:rsid w:val="00437EF4"/>
    <w:rsid w:val="004500FC"/>
    <w:rsid w:val="00455806"/>
    <w:rsid w:val="00465713"/>
    <w:rsid w:val="00466841"/>
    <w:rsid w:val="00487A51"/>
    <w:rsid w:val="004A4DF1"/>
    <w:rsid w:val="004B45AC"/>
    <w:rsid w:val="004B47D6"/>
    <w:rsid w:val="004C5374"/>
    <w:rsid w:val="004D6D8F"/>
    <w:rsid w:val="004E53B4"/>
    <w:rsid w:val="004E667B"/>
    <w:rsid w:val="004E7644"/>
    <w:rsid w:val="004F300A"/>
    <w:rsid w:val="00503DF9"/>
    <w:rsid w:val="00510F7F"/>
    <w:rsid w:val="005141C0"/>
    <w:rsid w:val="00515AC9"/>
    <w:rsid w:val="00525142"/>
    <w:rsid w:val="00525FE2"/>
    <w:rsid w:val="00552D28"/>
    <w:rsid w:val="00555458"/>
    <w:rsid w:val="00564C6B"/>
    <w:rsid w:val="005674BE"/>
    <w:rsid w:val="00584E27"/>
    <w:rsid w:val="00585521"/>
    <w:rsid w:val="0058570B"/>
    <w:rsid w:val="00590975"/>
    <w:rsid w:val="005A107B"/>
    <w:rsid w:val="005B17FC"/>
    <w:rsid w:val="005C33AD"/>
    <w:rsid w:val="005C4C04"/>
    <w:rsid w:val="005C6AE0"/>
    <w:rsid w:val="005D25A4"/>
    <w:rsid w:val="005F2AAD"/>
    <w:rsid w:val="00602A36"/>
    <w:rsid w:val="00623716"/>
    <w:rsid w:val="00651BFC"/>
    <w:rsid w:val="0065309E"/>
    <w:rsid w:val="006674EC"/>
    <w:rsid w:val="00672D92"/>
    <w:rsid w:val="00683AAA"/>
    <w:rsid w:val="006869E8"/>
    <w:rsid w:val="006A2928"/>
    <w:rsid w:val="006C19B5"/>
    <w:rsid w:val="006D13B5"/>
    <w:rsid w:val="006D4351"/>
    <w:rsid w:val="006E711B"/>
    <w:rsid w:val="006F7BE1"/>
    <w:rsid w:val="00713E21"/>
    <w:rsid w:val="007177A6"/>
    <w:rsid w:val="007263FD"/>
    <w:rsid w:val="00742083"/>
    <w:rsid w:val="00751C8F"/>
    <w:rsid w:val="00756F79"/>
    <w:rsid w:val="00771A37"/>
    <w:rsid w:val="00771F10"/>
    <w:rsid w:val="0077433C"/>
    <w:rsid w:val="0077754E"/>
    <w:rsid w:val="0078380F"/>
    <w:rsid w:val="007879CD"/>
    <w:rsid w:val="00793B53"/>
    <w:rsid w:val="007A14E8"/>
    <w:rsid w:val="007B55C6"/>
    <w:rsid w:val="007B63C4"/>
    <w:rsid w:val="007D617C"/>
    <w:rsid w:val="007E1760"/>
    <w:rsid w:val="007F5F6C"/>
    <w:rsid w:val="008054D7"/>
    <w:rsid w:val="00813571"/>
    <w:rsid w:val="008139F1"/>
    <w:rsid w:val="00822E89"/>
    <w:rsid w:val="008324DD"/>
    <w:rsid w:val="008458D5"/>
    <w:rsid w:val="008613B6"/>
    <w:rsid w:val="00864CEA"/>
    <w:rsid w:val="00872682"/>
    <w:rsid w:val="0088547A"/>
    <w:rsid w:val="00893BA4"/>
    <w:rsid w:val="008A7AC4"/>
    <w:rsid w:val="008B05D8"/>
    <w:rsid w:val="008B7D54"/>
    <w:rsid w:val="008C0CE8"/>
    <w:rsid w:val="008D00EB"/>
    <w:rsid w:val="008D037F"/>
    <w:rsid w:val="008D1B42"/>
    <w:rsid w:val="008D311C"/>
    <w:rsid w:val="008E71ED"/>
    <w:rsid w:val="008E7857"/>
    <w:rsid w:val="008F3140"/>
    <w:rsid w:val="008F577C"/>
    <w:rsid w:val="008F7212"/>
    <w:rsid w:val="00902384"/>
    <w:rsid w:val="00904B24"/>
    <w:rsid w:val="0091655D"/>
    <w:rsid w:val="00920AC7"/>
    <w:rsid w:val="00924803"/>
    <w:rsid w:val="0094025B"/>
    <w:rsid w:val="00950475"/>
    <w:rsid w:val="00951B09"/>
    <w:rsid w:val="00957465"/>
    <w:rsid w:val="00961707"/>
    <w:rsid w:val="00974EED"/>
    <w:rsid w:val="00975140"/>
    <w:rsid w:val="009857CE"/>
    <w:rsid w:val="009930DB"/>
    <w:rsid w:val="009A0AC7"/>
    <w:rsid w:val="009A3F45"/>
    <w:rsid w:val="009A546B"/>
    <w:rsid w:val="009B2E9E"/>
    <w:rsid w:val="009B71B4"/>
    <w:rsid w:val="009E1FA2"/>
    <w:rsid w:val="009E2BC6"/>
    <w:rsid w:val="009E715F"/>
    <w:rsid w:val="009F0339"/>
    <w:rsid w:val="00A02F0D"/>
    <w:rsid w:val="00A2027D"/>
    <w:rsid w:val="00A22765"/>
    <w:rsid w:val="00A247F3"/>
    <w:rsid w:val="00A25AEE"/>
    <w:rsid w:val="00A51733"/>
    <w:rsid w:val="00A5538F"/>
    <w:rsid w:val="00A6682B"/>
    <w:rsid w:val="00A7108F"/>
    <w:rsid w:val="00A72F12"/>
    <w:rsid w:val="00A737C5"/>
    <w:rsid w:val="00A75BF3"/>
    <w:rsid w:val="00A7623D"/>
    <w:rsid w:val="00A76276"/>
    <w:rsid w:val="00A76959"/>
    <w:rsid w:val="00A822D0"/>
    <w:rsid w:val="00AC5C22"/>
    <w:rsid w:val="00AD233E"/>
    <w:rsid w:val="00AD6198"/>
    <w:rsid w:val="00AF4A60"/>
    <w:rsid w:val="00AF5AFF"/>
    <w:rsid w:val="00B12B63"/>
    <w:rsid w:val="00B1474F"/>
    <w:rsid w:val="00B1497E"/>
    <w:rsid w:val="00B17AF6"/>
    <w:rsid w:val="00B22FC2"/>
    <w:rsid w:val="00B42250"/>
    <w:rsid w:val="00B43736"/>
    <w:rsid w:val="00B50801"/>
    <w:rsid w:val="00B544E5"/>
    <w:rsid w:val="00B614B6"/>
    <w:rsid w:val="00B7378B"/>
    <w:rsid w:val="00B747BB"/>
    <w:rsid w:val="00B816AD"/>
    <w:rsid w:val="00B82D70"/>
    <w:rsid w:val="00B962D8"/>
    <w:rsid w:val="00BA065C"/>
    <w:rsid w:val="00BB4D69"/>
    <w:rsid w:val="00BD2227"/>
    <w:rsid w:val="00BD451F"/>
    <w:rsid w:val="00BF07B1"/>
    <w:rsid w:val="00C2530E"/>
    <w:rsid w:val="00C31CBE"/>
    <w:rsid w:val="00C35771"/>
    <w:rsid w:val="00C36090"/>
    <w:rsid w:val="00C42667"/>
    <w:rsid w:val="00C45331"/>
    <w:rsid w:val="00C5105C"/>
    <w:rsid w:val="00C60354"/>
    <w:rsid w:val="00C66723"/>
    <w:rsid w:val="00C8492D"/>
    <w:rsid w:val="00C906C6"/>
    <w:rsid w:val="00C91361"/>
    <w:rsid w:val="00C975BC"/>
    <w:rsid w:val="00CC0D50"/>
    <w:rsid w:val="00CC7960"/>
    <w:rsid w:val="00CD3832"/>
    <w:rsid w:val="00CD7FA8"/>
    <w:rsid w:val="00CE5880"/>
    <w:rsid w:val="00CF3364"/>
    <w:rsid w:val="00D02ABC"/>
    <w:rsid w:val="00D06D93"/>
    <w:rsid w:val="00D174C1"/>
    <w:rsid w:val="00D32978"/>
    <w:rsid w:val="00D466C5"/>
    <w:rsid w:val="00D5008E"/>
    <w:rsid w:val="00D533E7"/>
    <w:rsid w:val="00D57373"/>
    <w:rsid w:val="00D6358C"/>
    <w:rsid w:val="00D64063"/>
    <w:rsid w:val="00D6752B"/>
    <w:rsid w:val="00D677C5"/>
    <w:rsid w:val="00D7778F"/>
    <w:rsid w:val="00D83ABA"/>
    <w:rsid w:val="00D8459E"/>
    <w:rsid w:val="00DA36B2"/>
    <w:rsid w:val="00DA3D71"/>
    <w:rsid w:val="00DC1172"/>
    <w:rsid w:val="00DC4910"/>
    <w:rsid w:val="00DD6311"/>
    <w:rsid w:val="00DF01B6"/>
    <w:rsid w:val="00DF28DB"/>
    <w:rsid w:val="00E00BBC"/>
    <w:rsid w:val="00E02538"/>
    <w:rsid w:val="00E030E7"/>
    <w:rsid w:val="00E13CE3"/>
    <w:rsid w:val="00E212EA"/>
    <w:rsid w:val="00E22B59"/>
    <w:rsid w:val="00E32981"/>
    <w:rsid w:val="00E557D1"/>
    <w:rsid w:val="00E600DC"/>
    <w:rsid w:val="00E63C76"/>
    <w:rsid w:val="00E745F2"/>
    <w:rsid w:val="00E75CE9"/>
    <w:rsid w:val="00E81268"/>
    <w:rsid w:val="00E91625"/>
    <w:rsid w:val="00E92F34"/>
    <w:rsid w:val="00EA02E8"/>
    <w:rsid w:val="00EA7E21"/>
    <w:rsid w:val="00EB1C88"/>
    <w:rsid w:val="00EB25E3"/>
    <w:rsid w:val="00EB3B8C"/>
    <w:rsid w:val="00EC1608"/>
    <w:rsid w:val="00EC4C22"/>
    <w:rsid w:val="00EC6B45"/>
    <w:rsid w:val="00EF4492"/>
    <w:rsid w:val="00EF6C61"/>
    <w:rsid w:val="00EF6FEB"/>
    <w:rsid w:val="00F130FD"/>
    <w:rsid w:val="00F2522D"/>
    <w:rsid w:val="00F30A4B"/>
    <w:rsid w:val="00F4043E"/>
    <w:rsid w:val="00F407DE"/>
    <w:rsid w:val="00F41EEA"/>
    <w:rsid w:val="00F4365D"/>
    <w:rsid w:val="00F62A90"/>
    <w:rsid w:val="00F65488"/>
    <w:rsid w:val="00F70E50"/>
    <w:rsid w:val="00F73B61"/>
    <w:rsid w:val="00F8454B"/>
    <w:rsid w:val="00F9623F"/>
    <w:rsid w:val="00F96D1B"/>
    <w:rsid w:val="00FA7304"/>
    <w:rsid w:val="00FB394B"/>
    <w:rsid w:val="00FB40D6"/>
    <w:rsid w:val="00FC32C7"/>
    <w:rsid w:val="00FC5CE1"/>
    <w:rsid w:val="00FD3D5A"/>
    <w:rsid w:val="00FD712D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F1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1"/>
    <w:pPr>
      <w:spacing w:after="200" w:line="276" w:lineRule="auto"/>
    </w:pPr>
    <w:rPr>
      <w:sz w:val="22"/>
      <w:szCs w:val="22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33"/>
    <w:pPr>
      <w:spacing w:after="0" w:line="240" w:lineRule="auto"/>
      <w:ind w:left="720"/>
      <w:contextualSpacing/>
    </w:pPr>
    <w:rPr>
      <w:rFonts w:ascii="Cambria" w:eastAsia="MS Mincho" w:hAnsi="Cambria" w:cs="Cambria"/>
      <w:color w:val="00000A"/>
      <w:sz w:val="24"/>
      <w:szCs w:val="24"/>
      <w:lang w:eastAsia="it-IT"/>
    </w:rPr>
  </w:style>
  <w:style w:type="paragraph" w:customStyle="1" w:styleId="EndNoteBibliography">
    <w:name w:val="EndNote Bibliography"/>
    <w:basedOn w:val="a"/>
    <w:rsid w:val="00D533E7"/>
    <w:pPr>
      <w:spacing w:after="160" w:line="360" w:lineRule="auto"/>
      <w:jc w:val="both"/>
    </w:pPr>
    <w:rPr>
      <w:rFonts w:ascii="Arial" w:hAnsi="Arial" w:cs="Arial"/>
      <w:sz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E22B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E22B59"/>
    <w:rPr>
      <w:rFonts w:ascii="Times New Roman" w:hAnsi="Times New Roman"/>
      <w:sz w:val="18"/>
      <w:szCs w:val="18"/>
      <w:lang w:val="it-IT"/>
    </w:rPr>
  </w:style>
  <w:style w:type="character" w:styleId="a5">
    <w:name w:val="annotation reference"/>
    <w:uiPriority w:val="99"/>
    <w:semiHidden/>
    <w:unhideWhenUsed/>
    <w:rsid w:val="00BA065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BA065C"/>
    <w:rPr>
      <w:sz w:val="20"/>
      <w:szCs w:val="20"/>
    </w:rPr>
  </w:style>
  <w:style w:type="character" w:customStyle="1" w:styleId="Char0">
    <w:name w:val="批注文字 Char"/>
    <w:link w:val="a6"/>
    <w:uiPriority w:val="99"/>
    <w:semiHidden/>
    <w:rsid w:val="00BA065C"/>
    <w:rPr>
      <w:lang w:val="it-IT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A065C"/>
    <w:rPr>
      <w:b/>
      <w:bCs/>
    </w:rPr>
  </w:style>
  <w:style w:type="character" w:customStyle="1" w:styleId="Char1">
    <w:name w:val="批注主题 Char"/>
    <w:link w:val="a7"/>
    <w:uiPriority w:val="99"/>
    <w:semiHidden/>
    <w:rsid w:val="00BA065C"/>
    <w:rPr>
      <w:b/>
      <w:bCs/>
      <w:lang w:val="it-IT"/>
    </w:rPr>
  </w:style>
  <w:style w:type="paragraph" w:styleId="a8">
    <w:name w:val="header"/>
    <w:basedOn w:val="a"/>
    <w:link w:val="Char2"/>
    <w:uiPriority w:val="99"/>
    <w:unhideWhenUsed/>
    <w:rsid w:val="00EA0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link w:val="a8"/>
    <w:uiPriority w:val="99"/>
    <w:rsid w:val="00EA02E8"/>
    <w:rPr>
      <w:sz w:val="18"/>
      <w:szCs w:val="18"/>
      <w:lang w:val="it-IT" w:eastAsia="en-US"/>
    </w:rPr>
  </w:style>
  <w:style w:type="paragraph" w:styleId="a9">
    <w:name w:val="footer"/>
    <w:basedOn w:val="a"/>
    <w:link w:val="Char3"/>
    <w:uiPriority w:val="99"/>
    <w:unhideWhenUsed/>
    <w:rsid w:val="00EA02E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link w:val="a9"/>
    <w:uiPriority w:val="99"/>
    <w:rsid w:val="00EA02E8"/>
    <w:rPr>
      <w:sz w:val="18"/>
      <w:szCs w:val="18"/>
      <w:lang w:val="it-IT" w:eastAsia="en-US"/>
    </w:rPr>
  </w:style>
  <w:style w:type="character" w:styleId="aa">
    <w:name w:val="Hyperlink"/>
    <w:basedOn w:val="a0"/>
    <w:uiPriority w:val="99"/>
    <w:unhideWhenUsed/>
    <w:rsid w:val="007177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177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等线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1"/>
    <w:pPr>
      <w:spacing w:after="200" w:line="276" w:lineRule="auto"/>
    </w:pPr>
    <w:rPr>
      <w:sz w:val="22"/>
      <w:szCs w:val="22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33"/>
    <w:pPr>
      <w:spacing w:after="0" w:line="240" w:lineRule="auto"/>
      <w:ind w:left="720"/>
      <w:contextualSpacing/>
    </w:pPr>
    <w:rPr>
      <w:rFonts w:ascii="Cambria" w:eastAsia="MS Mincho" w:hAnsi="Cambria" w:cs="Cambria"/>
      <w:color w:val="00000A"/>
      <w:sz w:val="24"/>
      <w:szCs w:val="24"/>
      <w:lang w:eastAsia="it-IT"/>
    </w:rPr>
  </w:style>
  <w:style w:type="paragraph" w:customStyle="1" w:styleId="EndNoteBibliography">
    <w:name w:val="EndNote Bibliography"/>
    <w:basedOn w:val="a"/>
    <w:rsid w:val="00D533E7"/>
    <w:pPr>
      <w:spacing w:after="160" w:line="360" w:lineRule="auto"/>
      <w:jc w:val="both"/>
    </w:pPr>
    <w:rPr>
      <w:rFonts w:ascii="Arial" w:hAnsi="Arial" w:cs="Arial"/>
      <w:sz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E22B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E22B59"/>
    <w:rPr>
      <w:rFonts w:ascii="Times New Roman" w:hAnsi="Times New Roman"/>
      <w:sz w:val="18"/>
      <w:szCs w:val="18"/>
      <w:lang w:val="it-IT"/>
    </w:rPr>
  </w:style>
  <w:style w:type="character" w:styleId="a5">
    <w:name w:val="annotation reference"/>
    <w:uiPriority w:val="99"/>
    <w:semiHidden/>
    <w:unhideWhenUsed/>
    <w:rsid w:val="00BA065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BA065C"/>
    <w:rPr>
      <w:sz w:val="20"/>
      <w:szCs w:val="20"/>
    </w:rPr>
  </w:style>
  <w:style w:type="character" w:customStyle="1" w:styleId="Char0">
    <w:name w:val="批注文字 Char"/>
    <w:link w:val="a6"/>
    <w:uiPriority w:val="99"/>
    <w:semiHidden/>
    <w:rsid w:val="00BA065C"/>
    <w:rPr>
      <w:lang w:val="it-IT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A065C"/>
    <w:rPr>
      <w:b/>
      <w:bCs/>
    </w:rPr>
  </w:style>
  <w:style w:type="character" w:customStyle="1" w:styleId="Char1">
    <w:name w:val="批注主题 Char"/>
    <w:link w:val="a7"/>
    <w:uiPriority w:val="99"/>
    <w:semiHidden/>
    <w:rsid w:val="00BA065C"/>
    <w:rPr>
      <w:b/>
      <w:bCs/>
      <w:lang w:val="it-IT"/>
    </w:rPr>
  </w:style>
  <w:style w:type="paragraph" w:styleId="a8">
    <w:name w:val="header"/>
    <w:basedOn w:val="a"/>
    <w:link w:val="Char2"/>
    <w:uiPriority w:val="99"/>
    <w:unhideWhenUsed/>
    <w:rsid w:val="00EA0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link w:val="a8"/>
    <w:uiPriority w:val="99"/>
    <w:rsid w:val="00EA02E8"/>
    <w:rPr>
      <w:sz w:val="18"/>
      <w:szCs w:val="18"/>
      <w:lang w:val="it-IT" w:eastAsia="en-US"/>
    </w:rPr>
  </w:style>
  <w:style w:type="paragraph" w:styleId="a9">
    <w:name w:val="footer"/>
    <w:basedOn w:val="a"/>
    <w:link w:val="Char3"/>
    <w:uiPriority w:val="99"/>
    <w:unhideWhenUsed/>
    <w:rsid w:val="00EA02E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link w:val="a9"/>
    <w:uiPriority w:val="99"/>
    <w:rsid w:val="00EA02E8"/>
    <w:rPr>
      <w:sz w:val="18"/>
      <w:szCs w:val="18"/>
      <w:lang w:val="it-IT" w:eastAsia="en-US"/>
    </w:rPr>
  </w:style>
  <w:style w:type="character" w:styleId="aa">
    <w:name w:val="Hyperlink"/>
    <w:basedOn w:val="a0"/>
    <w:uiPriority w:val="99"/>
    <w:unhideWhenUsed/>
    <w:rsid w:val="007177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1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98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1325-D20B-4D34-9CE3-DAB63A79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9140</Words>
  <Characters>52104</Characters>
  <Application>Microsoft Office Word</Application>
  <DocSecurity>0</DocSecurity>
  <Lines>434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61122</CharactersWithSpaces>
  <SharedDoc>false</SharedDoc>
  <HLinks>
    <vt:vector size="18" baseType="variant">
      <vt:variant>
        <vt:i4>458846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CristinaC</dc:creator>
  <cp:keywords/>
  <cp:lastModifiedBy>User</cp:lastModifiedBy>
  <cp:revision>3</cp:revision>
  <cp:lastPrinted>2020-01-13T07:33:00Z</cp:lastPrinted>
  <dcterms:created xsi:type="dcterms:W3CDTF">2020-03-22T01:42:00Z</dcterms:created>
  <dcterms:modified xsi:type="dcterms:W3CDTF">2020-03-28T06:43:00Z</dcterms:modified>
</cp:coreProperties>
</file>