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1D45" w14:textId="77777777" w:rsidR="00295F95" w:rsidRPr="00FC078E" w:rsidRDefault="00295F95" w:rsidP="00FC078E">
      <w:pPr>
        <w:adjustRightInd w:val="0"/>
        <w:snapToGrid w:val="0"/>
        <w:spacing w:line="360" w:lineRule="auto"/>
        <w:jc w:val="both"/>
        <w:rPr>
          <w:rFonts w:ascii="Book Antiqua" w:hAnsi="Book Antiqua" w:cs="Book Antiqua"/>
          <w:i/>
          <w:iCs/>
          <w:color w:val="000000" w:themeColor="text1"/>
          <w:lang w:val="en-GB"/>
        </w:rPr>
      </w:pPr>
      <w:r w:rsidRPr="00FC078E">
        <w:rPr>
          <w:rFonts w:ascii="Book Antiqua" w:hAnsi="Book Antiqua" w:cs="Book Antiqua"/>
          <w:b/>
          <w:bCs/>
          <w:color w:val="000000" w:themeColor="text1"/>
          <w:lang w:val="en-GB"/>
        </w:rPr>
        <w:t xml:space="preserve">Name of Journal: </w:t>
      </w:r>
      <w:r w:rsidRPr="00FC078E">
        <w:rPr>
          <w:rFonts w:ascii="Book Antiqua" w:hAnsi="Book Antiqua" w:cs="Book Antiqua"/>
          <w:i/>
          <w:iCs/>
          <w:color w:val="000000" w:themeColor="text1"/>
          <w:lang w:val="en-GB"/>
        </w:rPr>
        <w:t>World Journal of Gastroenterology</w:t>
      </w:r>
    </w:p>
    <w:p w14:paraId="4386DD1F" w14:textId="77777777" w:rsidR="00295F95" w:rsidRPr="00FC078E" w:rsidRDefault="00295F95" w:rsidP="00FC078E">
      <w:pPr>
        <w:adjustRightInd w:val="0"/>
        <w:snapToGrid w:val="0"/>
        <w:spacing w:line="360" w:lineRule="auto"/>
        <w:jc w:val="both"/>
        <w:rPr>
          <w:rFonts w:ascii="Book Antiqua" w:hAnsi="Book Antiqua" w:cs="Book Antiqua"/>
          <w:i/>
          <w:iCs/>
          <w:color w:val="000000" w:themeColor="text1"/>
          <w:lang w:val="en-GB"/>
        </w:rPr>
      </w:pPr>
      <w:bookmarkStart w:id="0" w:name="OLE_LINK485"/>
      <w:bookmarkStart w:id="1" w:name="OLE_LINK486"/>
      <w:bookmarkStart w:id="2" w:name="OLE_LINK661"/>
      <w:bookmarkStart w:id="3" w:name="OLE_LINK768"/>
      <w:r w:rsidRPr="00FC078E">
        <w:rPr>
          <w:rFonts w:ascii="Book Antiqua" w:hAnsi="Book Antiqua"/>
          <w:b/>
          <w:color w:val="000000" w:themeColor="text1"/>
          <w:highlight w:val="white"/>
          <w:lang w:val="en-GB"/>
        </w:rPr>
        <w:t>Manuscript NO:</w:t>
      </w:r>
      <w:bookmarkEnd w:id="0"/>
      <w:bookmarkEnd w:id="1"/>
      <w:bookmarkEnd w:id="2"/>
      <w:bookmarkEnd w:id="3"/>
      <w:r w:rsidRPr="00FC078E">
        <w:rPr>
          <w:rFonts w:ascii="Book Antiqua" w:hAnsi="Book Antiqua"/>
          <w:b/>
          <w:color w:val="000000" w:themeColor="text1"/>
          <w:lang w:val="en-GB"/>
        </w:rPr>
        <w:t xml:space="preserve"> </w:t>
      </w:r>
      <w:r w:rsidRPr="00FC078E">
        <w:rPr>
          <w:rFonts w:ascii="Book Antiqua" w:hAnsi="Book Antiqua"/>
          <w:color w:val="000000" w:themeColor="text1"/>
          <w:lang w:val="en-GB"/>
        </w:rPr>
        <w:t>53466</w:t>
      </w:r>
    </w:p>
    <w:p w14:paraId="27DDCE2C"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lang w:val="en-GB"/>
        </w:rPr>
      </w:pPr>
      <w:r w:rsidRPr="00FC078E">
        <w:rPr>
          <w:rFonts w:ascii="Book Antiqua" w:hAnsi="Book Antiqua" w:cs="Book Antiqua"/>
          <w:b/>
          <w:bCs/>
          <w:color w:val="000000" w:themeColor="text1"/>
          <w:lang w:val="en-GB"/>
        </w:rPr>
        <w:t xml:space="preserve">Manuscript Type: </w:t>
      </w:r>
      <w:r w:rsidRPr="00FC078E">
        <w:rPr>
          <w:rFonts w:ascii="Book Antiqua" w:hAnsi="Book Antiqua" w:cs="Book Antiqua"/>
          <w:color w:val="000000" w:themeColor="text1"/>
          <w:lang w:val="en-GB"/>
        </w:rPr>
        <w:t>ORIGINAL ARTICLE</w:t>
      </w:r>
    </w:p>
    <w:p w14:paraId="033B34A5"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lang w:val="en-GB"/>
        </w:rPr>
      </w:pPr>
    </w:p>
    <w:p w14:paraId="115F5C6F" w14:textId="77777777" w:rsidR="00295F95" w:rsidRPr="00FC078E" w:rsidRDefault="00295F95" w:rsidP="00FC078E">
      <w:pPr>
        <w:adjustRightInd w:val="0"/>
        <w:snapToGrid w:val="0"/>
        <w:spacing w:line="360" w:lineRule="auto"/>
        <w:jc w:val="both"/>
        <w:rPr>
          <w:rFonts w:ascii="Book Antiqua" w:hAnsi="Book Antiqua" w:cs="Book Antiqua"/>
          <w:b/>
          <w:i/>
          <w:color w:val="000000" w:themeColor="text1"/>
          <w:lang w:val="en-GB"/>
        </w:rPr>
      </w:pPr>
      <w:r w:rsidRPr="00FC078E">
        <w:rPr>
          <w:rFonts w:ascii="Book Antiqua" w:hAnsi="Book Antiqua" w:cs="Book Antiqua"/>
          <w:b/>
          <w:i/>
          <w:color w:val="000000" w:themeColor="text1"/>
          <w:lang w:val="en-GB"/>
        </w:rPr>
        <w:t>Retrospective Cohort Study</w:t>
      </w:r>
    </w:p>
    <w:p w14:paraId="1269D48A" w14:textId="18E7577F" w:rsidR="00295F95" w:rsidRPr="00FC078E" w:rsidRDefault="00295F95" w:rsidP="00FC078E">
      <w:pPr>
        <w:adjustRightInd w:val="0"/>
        <w:snapToGrid w:val="0"/>
        <w:spacing w:line="360" w:lineRule="auto"/>
        <w:jc w:val="both"/>
        <w:rPr>
          <w:rFonts w:ascii="Book Antiqua" w:hAnsi="Book Antiqua" w:cs="Book Antiqua"/>
          <w:b/>
          <w:color w:val="000000" w:themeColor="text1"/>
          <w:lang w:val="en-GB"/>
        </w:rPr>
      </w:pPr>
      <w:r w:rsidRPr="00FC078E">
        <w:rPr>
          <w:rFonts w:ascii="Book Antiqua" w:hAnsi="Book Antiqua"/>
          <w:b/>
          <w:color w:val="000000" w:themeColor="text1"/>
          <w:lang w:val="en-US"/>
        </w:rPr>
        <w:t>Comparison of</w:t>
      </w:r>
      <w:r w:rsidR="00F764A1" w:rsidRPr="00FC078E">
        <w:rPr>
          <w:rFonts w:ascii="Book Antiqua" w:hAnsi="Book Antiqua"/>
          <w:b/>
          <w:color w:val="000000" w:themeColor="text1"/>
          <w:lang w:val="en-US"/>
        </w:rPr>
        <w:t xml:space="preserve"> </w:t>
      </w:r>
      <w:r w:rsidR="00F764A1" w:rsidRPr="00FC078E">
        <w:rPr>
          <w:rFonts w:ascii="Book Antiqua" w:hAnsi="Book Antiqua" w:cs="Times"/>
          <w:b/>
          <w:color w:val="000000" w:themeColor="text1"/>
          <w:lang w:val="en-US"/>
        </w:rPr>
        <w:t>operative link for gastritis assessment</w:t>
      </w:r>
      <w:r w:rsidR="00F764A1" w:rsidRPr="00FC078E">
        <w:rPr>
          <w:rFonts w:ascii="Book Antiqua" w:hAnsi="Book Antiqua"/>
          <w:b/>
          <w:color w:val="000000" w:themeColor="text1"/>
          <w:lang w:val="en-US"/>
        </w:rPr>
        <w:t xml:space="preserve">, </w:t>
      </w:r>
      <w:r w:rsidR="00F764A1" w:rsidRPr="00FC078E">
        <w:rPr>
          <w:rFonts w:ascii="Book Antiqua" w:hAnsi="Book Antiqua" w:cs="Times"/>
          <w:b/>
          <w:color w:val="000000" w:themeColor="text1"/>
          <w:lang w:val="en-US"/>
        </w:rPr>
        <w:t>operative link on gastric intestinal metaplasia assessment</w:t>
      </w:r>
      <w:r w:rsidRPr="00FC078E">
        <w:rPr>
          <w:rFonts w:ascii="Book Antiqua" w:hAnsi="Book Antiqua"/>
          <w:b/>
          <w:color w:val="000000" w:themeColor="text1"/>
          <w:lang w:val="en-US"/>
        </w:rPr>
        <w:t xml:space="preserve">, and TAIM </w:t>
      </w:r>
      <w:proofErr w:type="spellStart"/>
      <w:r w:rsidRPr="00FC078E">
        <w:rPr>
          <w:rFonts w:ascii="Book Antiqua" w:hAnsi="Book Antiqua"/>
          <w:b/>
          <w:color w:val="000000" w:themeColor="text1"/>
          <w:lang w:val="en-US"/>
        </w:rPr>
        <w:t>stagings</w:t>
      </w:r>
      <w:proofErr w:type="spellEnd"/>
      <w:r w:rsidRPr="00FC078E">
        <w:rPr>
          <w:rFonts w:ascii="Book Antiqua" w:hAnsi="Book Antiqua"/>
          <w:b/>
          <w:color w:val="000000" w:themeColor="text1"/>
          <w:lang w:val="en-US"/>
        </w:rPr>
        <w:t xml:space="preserve"> among men with atrophic gastritis</w:t>
      </w:r>
    </w:p>
    <w:p w14:paraId="010B5DD2" w14:textId="77777777" w:rsidR="00295F95" w:rsidRPr="00FC078E" w:rsidRDefault="00295F95" w:rsidP="00FC078E">
      <w:pPr>
        <w:adjustRightInd w:val="0"/>
        <w:snapToGrid w:val="0"/>
        <w:spacing w:line="360" w:lineRule="auto"/>
        <w:jc w:val="both"/>
        <w:rPr>
          <w:rFonts w:ascii="Book Antiqua" w:hAnsi="Book Antiqua" w:cs="Book Antiqua"/>
          <w:b/>
          <w:color w:val="000000" w:themeColor="text1"/>
          <w:lang w:val="en-GB"/>
        </w:rPr>
      </w:pPr>
    </w:p>
    <w:p w14:paraId="2C1AF0CC"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lang w:val="en-GB"/>
        </w:rPr>
      </w:pPr>
      <w:r w:rsidRPr="00FC078E">
        <w:rPr>
          <w:rFonts w:ascii="Book Antiqua" w:hAnsi="Book Antiqua" w:cs="Book Antiqua"/>
          <w:color w:val="000000" w:themeColor="text1"/>
          <w:lang w:val="en-GB"/>
        </w:rPr>
        <w:t xml:space="preserve">Nieminen AA </w:t>
      </w:r>
      <w:r w:rsidRPr="00FC078E">
        <w:rPr>
          <w:rFonts w:ascii="Book Antiqua" w:hAnsi="Book Antiqua" w:cs="Book Antiqua"/>
          <w:i/>
          <w:color w:val="000000" w:themeColor="text1"/>
          <w:lang w:val="en-GB"/>
        </w:rPr>
        <w:t>et al.</w:t>
      </w:r>
      <w:r w:rsidRPr="00FC078E">
        <w:rPr>
          <w:rFonts w:ascii="Book Antiqua" w:hAnsi="Book Antiqua" w:cs="Book Antiqua"/>
          <w:color w:val="000000" w:themeColor="text1"/>
          <w:lang w:val="en-GB"/>
        </w:rPr>
        <w:t xml:space="preserve"> </w:t>
      </w:r>
      <w:r w:rsidRPr="00FC078E">
        <w:rPr>
          <w:rFonts w:ascii="Book Antiqua" w:hAnsi="Book Antiqua"/>
          <w:color w:val="000000" w:themeColor="text1"/>
          <w:lang w:val="en-US"/>
        </w:rPr>
        <w:t xml:space="preserve">Comparison of OLGA, OLGIM, and TAIM </w:t>
      </w:r>
      <w:proofErr w:type="spellStart"/>
      <w:r w:rsidRPr="00FC078E">
        <w:rPr>
          <w:rFonts w:ascii="Book Antiqua" w:hAnsi="Book Antiqua"/>
          <w:color w:val="000000" w:themeColor="text1"/>
          <w:lang w:val="en-US"/>
        </w:rPr>
        <w:t>stagings</w:t>
      </w:r>
      <w:proofErr w:type="spellEnd"/>
    </w:p>
    <w:p w14:paraId="20947BBC"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lang w:val="en-GB"/>
        </w:rPr>
      </w:pPr>
    </w:p>
    <w:p w14:paraId="7B5B8E0F" w14:textId="45E7D921" w:rsidR="00295F95" w:rsidRPr="00FC078E" w:rsidRDefault="00295F95" w:rsidP="00FC078E">
      <w:pPr>
        <w:adjustRightInd w:val="0"/>
        <w:snapToGrid w:val="0"/>
        <w:spacing w:line="360" w:lineRule="auto"/>
        <w:jc w:val="both"/>
        <w:rPr>
          <w:rFonts w:ascii="Book Antiqua" w:hAnsi="Book Antiqua" w:cs="Book Antiqua"/>
          <w:color w:val="000000" w:themeColor="text1"/>
        </w:rPr>
      </w:pPr>
      <w:r w:rsidRPr="00FC078E">
        <w:rPr>
          <w:rFonts w:ascii="Book Antiqua" w:hAnsi="Book Antiqua" w:cs="Book Antiqua"/>
          <w:color w:val="000000" w:themeColor="text1"/>
        </w:rPr>
        <w:t xml:space="preserve">Anna </w:t>
      </w:r>
      <w:r w:rsidR="00587CF5" w:rsidRPr="00FC078E">
        <w:rPr>
          <w:rFonts w:ascii="Book Antiqua" w:hAnsi="Book Antiqua" w:cs="Book Antiqua"/>
          <w:color w:val="000000" w:themeColor="text1"/>
        </w:rPr>
        <w:t>Aurora</w:t>
      </w:r>
      <w:r w:rsidRPr="00FC078E">
        <w:rPr>
          <w:rFonts w:ascii="Book Antiqua" w:hAnsi="Book Antiqua" w:cs="Book Antiqua"/>
          <w:color w:val="000000" w:themeColor="text1"/>
        </w:rPr>
        <w:t xml:space="preserve"> Nieminen, Jukka Kontto, Pauli Puolakkainen, Jarmo Virtamo, Arto Kokkola</w:t>
      </w:r>
    </w:p>
    <w:p w14:paraId="0265C4D6"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rPr>
      </w:pPr>
    </w:p>
    <w:p w14:paraId="153CE67D" w14:textId="4A4A7930" w:rsidR="00295F95" w:rsidRPr="00FC078E" w:rsidRDefault="00295F95" w:rsidP="00FC078E">
      <w:pPr>
        <w:adjustRightInd w:val="0"/>
        <w:snapToGrid w:val="0"/>
        <w:spacing w:line="360" w:lineRule="auto"/>
        <w:jc w:val="both"/>
        <w:rPr>
          <w:rFonts w:ascii="Book Antiqua" w:hAnsi="Book Antiqua"/>
          <w:color w:val="000000" w:themeColor="text1"/>
          <w:lang w:val="en-GB" w:eastAsia="zh-CN"/>
        </w:rPr>
      </w:pPr>
      <w:r w:rsidRPr="00FC078E">
        <w:rPr>
          <w:rFonts w:ascii="Book Antiqua" w:hAnsi="Book Antiqua" w:cs="Book Antiqua"/>
          <w:b/>
          <w:color w:val="000000" w:themeColor="text1"/>
          <w:lang w:val="en-GB"/>
        </w:rPr>
        <w:t xml:space="preserve">Anna </w:t>
      </w:r>
      <w:r w:rsidR="00587CF5" w:rsidRPr="00FC078E">
        <w:rPr>
          <w:rFonts w:ascii="Book Antiqua" w:hAnsi="Book Antiqua" w:cs="Book Antiqua"/>
          <w:b/>
          <w:color w:val="000000" w:themeColor="text1"/>
        </w:rPr>
        <w:t>Aurora</w:t>
      </w:r>
      <w:r w:rsidRPr="00FC078E">
        <w:rPr>
          <w:rFonts w:ascii="Book Antiqua" w:hAnsi="Book Antiqua" w:cs="Book Antiqua"/>
          <w:b/>
          <w:color w:val="000000" w:themeColor="text1"/>
          <w:lang w:val="en-GB"/>
        </w:rPr>
        <w:t xml:space="preserve"> Nieminen, Pauli </w:t>
      </w:r>
      <w:proofErr w:type="spellStart"/>
      <w:r w:rsidRPr="00FC078E">
        <w:rPr>
          <w:rFonts w:ascii="Book Antiqua" w:hAnsi="Book Antiqua" w:cs="Book Antiqua"/>
          <w:b/>
          <w:color w:val="000000" w:themeColor="text1"/>
          <w:lang w:val="en-GB"/>
        </w:rPr>
        <w:t>Puolakkainen</w:t>
      </w:r>
      <w:proofErr w:type="spellEnd"/>
      <w:r w:rsidRPr="00FC078E">
        <w:rPr>
          <w:rFonts w:ascii="Book Antiqua" w:hAnsi="Book Antiqua" w:cs="Book Antiqua"/>
          <w:b/>
          <w:color w:val="000000" w:themeColor="text1"/>
          <w:lang w:val="en-GB"/>
        </w:rPr>
        <w:t xml:space="preserve">, </w:t>
      </w:r>
      <w:proofErr w:type="spellStart"/>
      <w:r w:rsidRPr="00FC078E">
        <w:rPr>
          <w:rFonts w:ascii="Book Antiqua" w:hAnsi="Book Antiqua" w:cs="Book Antiqua"/>
          <w:b/>
          <w:color w:val="000000" w:themeColor="text1"/>
          <w:lang w:val="en-GB"/>
        </w:rPr>
        <w:t>Arto</w:t>
      </w:r>
      <w:proofErr w:type="spellEnd"/>
      <w:r w:rsidRPr="00FC078E">
        <w:rPr>
          <w:rFonts w:ascii="Book Antiqua" w:hAnsi="Book Antiqua" w:cs="Book Antiqua"/>
          <w:b/>
          <w:color w:val="000000" w:themeColor="text1"/>
          <w:lang w:val="en-GB"/>
        </w:rPr>
        <w:t xml:space="preserve"> Kokkola,</w:t>
      </w:r>
      <w:r w:rsidRPr="00FC078E">
        <w:rPr>
          <w:rFonts w:ascii="Book Antiqua" w:hAnsi="Book Antiqua" w:cs="Book Antiqua"/>
          <w:color w:val="000000" w:themeColor="text1"/>
          <w:lang w:val="en-GB"/>
        </w:rPr>
        <w:t xml:space="preserve"> Department of Surgery, Abdominal </w:t>
      </w:r>
      <w:proofErr w:type="spellStart"/>
      <w:r w:rsidRPr="00FC078E">
        <w:rPr>
          <w:rFonts w:ascii="Book Antiqua" w:hAnsi="Book Antiqua" w:cs="Book Antiqua"/>
          <w:color w:val="000000" w:themeColor="text1"/>
          <w:lang w:val="en-GB"/>
        </w:rPr>
        <w:t>Center</w:t>
      </w:r>
      <w:proofErr w:type="spellEnd"/>
      <w:r w:rsidRPr="00FC078E">
        <w:rPr>
          <w:rFonts w:ascii="Book Antiqua" w:hAnsi="Book Antiqua" w:cs="Book Antiqua"/>
          <w:color w:val="000000" w:themeColor="text1"/>
          <w:lang w:val="en-GB"/>
        </w:rPr>
        <w:t>, Helsinki University Hospital</w:t>
      </w:r>
      <w:r w:rsidR="005369C5" w:rsidRPr="00FC078E">
        <w:rPr>
          <w:rFonts w:ascii="Book Antiqua" w:hAnsi="Book Antiqua" w:cs="Book Antiqua"/>
          <w:color w:val="000000" w:themeColor="text1"/>
          <w:lang w:val="en-GB" w:eastAsia="zh-CN"/>
        </w:rPr>
        <w:t xml:space="preserve"> and University of Helsinki</w:t>
      </w:r>
      <w:r w:rsidRPr="00FC078E">
        <w:rPr>
          <w:rFonts w:ascii="Book Antiqua" w:hAnsi="Book Antiqua" w:cs="Book Antiqua"/>
          <w:color w:val="000000" w:themeColor="text1"/>
          <w:lang w:val="en-GB"/>
        </w:rPr>
        <w:t xml:space="preserve">, </w:t>
      </w:r>
      <w:r w:rsidRPr="00FC078E">
        <w:rPr>
          <w:rFonts w:ascii="Book Antiqua" w:hAnsi="Book Antiqua"/>
          <w:color w:val="000000" w:themeColor="text1"/>
          <w:lang w:val="en-GB"/>
        </w:rPr>
        <w:t>Helsinki</w:t>
      </w:r>
      <w:r w:rsidR="00B51017" w:rsidRPr="00FC078E">
        <w:rPr>
          <w:rFonts w:ascii="Book Antiqua" w:hAnsi="Book Antiqua"/>
          <w:color w:val="000000" w:themeColor="text1"/>
          <w:lang w:val="en-GB" w:eastAsia="zh-CN"/>
        </w:rPr>
        <w:t xml:space="preserve"> </w:t>
      </w:r>
      <w:r w:rsidR="00B51017" w:rsidRPr="00FC078E">
        <w:rPr>
          <w:rFonts w:ascii="Book Antiqua" w:hAnsi="Book Antiqua"/>
          <w:color w:val="000000" w:themeColor="text1"/>
          <w:lang w:val="en-GB"/>
        </w:rPr>
        <w:t>00290</w:t>
      </w:r>
      <w:r w:rsidRPr="00FC078E">
        <w:rPr>
          <w:rFonts w:ascii="Book Antiqua" w:hAnsi="Book Antiqua"/>
          <w:color w:val="000000" w:themeColor="text1"/>
          <w:lang w:val="en-GB"/>
        </w:rPr>
        <w:t>, Finland</w:t>
      </w:r>
    </w:p>
    <w:p w14:paraId="5C630B59" w14:textId="77777777" w:rsidR="00295F95" w:rsidRPr="00FC078E" w:rsidRDefault="00295F95" w:rsidP="00FC078E">
      <w:pPr>
        <w:adjustRightInd w:val="0"/>
        <w:snapToGrid w:val="0"/>
        <w:spacing w:line="360" w:lineRule="auto"/>
        <w:jc w:val="both"/>
        <w:rPr>
          <w:rFonts w:ascii="Book Antiqua" w:hAnsi="Book Antiqua" w:cs="Book Antiqua"/>
          <w:color w:val="000000" w:themeColor="text1"/>
          <w:lang w:val="en-GB"/>
        </w:rPr>
      </w:pPr>
    </w:p>
    <w:p w14:paraId="5EB7402E" w14:textId="6FABD235" w:rsidR="00295F95" w:rsidRPr="00FC078E" w:rsidRDefault="00295F95" w:rsidP="00FC078E">
      <w:pPr>
        <w:widowControl w:val="0"/>
        <w:autoSpaceDE w:val="0"/>
        <w:autoSpaceDN w:val="0"/>
        <w:adjustRightInd w:val="0"/>
        <w:snapToGrid w:val="0"/>
        <w:spacing w:line="360" w:lineRule="auto"/>
        <w:jc w:val="both"/>
        <w:rPr>
          <w:rFonts w:ascii="Book Antiqua" w:hAnsi="Book Antiqua"/>
          <w:color w:val="000000" w:themeColor="text1"/>
          <w:lang w:val="en-GB"/>
        </w:rPr>
      </w:pPr>
      <w:r w:rsidRPr="00FC078E">
        <w:rPr>
          <w:rFonts w:ascii="Book Antiqua" w:hAnsi="Book Antiqua" w:cs="Book Antiqua"/>
          <w:b/>
          <w:color w:val="000000" w:themeColor="text1"/>
          <w:lang w:val="en-GB"/>
        </w:rPr>
        <w:t xml:space="preserve">Jukka </w:t>
      </w:r>
      <w:proofErr w:type="spellStart"/>
      <w:r w:rsidRPr="00FC078E">
        <w:rPr>
          <w:rFonts w:ascii="Book Antiqua" w:hAnsi="Book Antiqua" w:cs="Book Antiqua"/>
          <w:b/>
          <w:color w:val="000000" w:themeColor="text1"/>
          <w:lang w:val="en-GB"/>
        </w:rPr>
        <w:t>Kontto</w:t>
      </w:r>
      <w:proofErr w:type="spellEnd"/>
      <w:r w:rsidRPr="00FC078E">
        <w:rPr>
          <w:rFonts w:ascii="Book Antiqua" w:hAnsi="Book Antiqua" w:cs="Book Antiqua"/>
          <w:b/>
          <w:color w:val="000000" w:themeColor="text1"/>
          <w:lang w:val="en-GB"/>
        </w:rPr>
        <w:t xml:space="preserve">, </w:t>
      </w:r>
      <w:proofErr w:type="spellStart"/>
      <w:r w:rsidRPr="00FC078E">
        <w:rPr>
          <w:rFonts w:ascii="Book Antiqua" w:hAnsi="Book Antiqua" w:cs="Book Antiqua"/>
          <w:b/>
          <w:color w:val="000000" w:themeColor="text1"/>
          <w:lang w:val="en-GB"/>
        </w:rPr>
        <w:t>Jarmo</w:t>
      </w:r>
      <w:proofErr w:type="spellEnd"/>
      <w:r w:rsidRPr="00FC078E">
        <w:rPr>
          <w:rFonts w:ascii="Book Antiqua" w:hAnsi="Book Antiqua" w:cs="Book Antiqua"/>
          <w:b/>
          <w:color w:val="000000" w:themeColor="text1"/>
          <w:lang w:val="en-GB"/>
        </w:rPr>
        <w:t xml:space="preserve"> </w:t>
      </w:r>
      <w:proofErr w:type="spellStart"/>
      <w:r w:rsidRPr="00FC078E">
        <w:rPr>
          <w:rFonts w:ascii="Book Antiqua" w:hAnsi="Book Antiqua" w:cs="Book Antiqua"/>
          <w:b/>
          <w:color w:val="000000" w:themeColor="text1"/>
          <w:lang w:val="en-GB"/>
        </w:rPr>
        <w:t>Virtamo</w:t>
      </w:r>
      <w:proofErr w:type="spellEnd"/>
      <w:r w:rsidRPr="00FC078E">
        <w:rPr>
          <w:rFonts w:ascii="Book Antiqua" w:hAnsi="Book Antiqua" w:cs="Book Antiqua"/>
          <w:b/>
          <w:color w:val="000000" w:themeColor="text1"/>
          <w:lang w:val="en-GB"/>
        </w:rPr>
        <w:t xml:space="preserve">, </w:t>
      </w:r>
      <w:r w:rsidRPr="00FC078E">
        <w:rPr>
          <w:rFonts w:ascii="Book Antiqua" w:hAnsi="Book Antiqua"/>
          <w:color w:val="000000" w:themeColor="text1"/>
          <w:lang w:val="en-GB"/>
        </w:rPr>
        <w:t>Department of Public Health Solutions, National Institute for Health and Welfare (THL), Helsinki</w:t>
      </w:r>
      <w:r w:rsidR="00B51017" w:rsidRPr="00FC078E">
        <w:rPr>
          <w:rFonts w:ascii="Book Antiqua" w:hAnsi="Book Antiqua"/>
          <w:color w:val="000000" w:themeColor="text1"/>
          <w:lang w:val="en-GB" w:eastAsia="zh-CN"/>
        </w:rPr>
        <w:t xml:space="preserve"> </w:t>
      </w:r>
      <w:r w:rsidR="00B51017" w:rsidRPr="00FC078E">
        <w:rPr>
          <w:rFonts w:ascii="Book Antiqua" w:hAnsi="Book Antiqua"/>
          <w:color w:val="000000" w:themeColor="text1"/>
          <w:lang w:val="en-GB"/>
        </w:rPr>
        <w:t>00271</w:t>
      </w:r>
      <w:r w:rsidRPr="00FC078E">
        <w:rPr>
          <w:rFonts w:ascii="Book Antiqua" w:hAnsi="Book Antiqua"/>
          <w:color w:val="000000" w:themeColor="text1"/>
          <w:lang w:val="en-GB"/>
        </w:rPr>
        <w:t>, Finland</w:t>
      </w:r>
    </w:p>
    <w:p w14:paraId="2A8AA57D" w14:textId="77777777" w:rsidR="00295F95" w:rsidRPr="00FC078E" w:rsidRDefault="00295F95" w:rsidP="00FC078E">
      <w:pPr>
        <w:adjustRightInd w:val="0"/>
        <w:snapToGrid w:val="0"/>
        <w:spacing w:line="360" w:lineRule="auto"/>
        <w:jc w:val="both"/>
        <w:rPr>
          <w:rStyle w:val="orcid-id-https"/>
          <w:rFonts w:ascii="Book Antiqua" w:hAnsi="Book Antiqua"/>
          <w:color w:val="000000" w:themeColor="text1"/>
          <w:lang w:eastAsia="zh-CN"/>
        </w:rPr>
      </w:pPr>
    </w:p>
    <w:p w14:paraId="59383B03" w14:textId="77777777" w:rsidR="00587CF5" w:rsidRPr="00FC078E" w:rsidRDefault="00E565D7"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s="Arial"/>
          <w:b/>
          <w:color w:val="000000" w:themeColor="text1"/>
          <w:lang w:val="en-US"/>
        </w:rPr>
        <w:t>Author contributions:</w:t>
      </w:r>
      <w:r w:rsidRPr="00FC078E">
        <w:rPr>
          <w:rFonts w:ascii="Book Antiqua" w:eastAsia="宋体" w:hAnsi="Book Antiqua" w:cs="Arial"/>
          <w:b/>
          <w:color w:val="000000" w:themeColor="text1"/>
          <w:lang w:val="en-US" w:eastAsia="zh-CN"/>
        </w:rPr>
        <w:t xml:space="preserve"> </w:t>
      </w:r>
      <w:r w:rsidR="00295F95" w:rsidRPr="00FC078E">
        <w:rPr>
          <w:rFonts w:ascii="Book Antiqua" w:hAnsi="Book Antiqua" w:cs="Book Antiqua"/>
          <w:color w:val="000000" w:themeColor="text1"/>
          <w:lang w:val="en-GB"/>
        </w:rPr>
        <w:t xml:space="preserve">All authors participated in performance of the research; Nieminen AA </w:t>
      </w:r>
      <w:r w:rsidR="00295F95" w:rsidRPr="00FC078E">
        <w:rPr>
          <w:rFonts w:ascii="Book Antiqua" w:hAnsi="Book Antiqua"/>
          <w:color w:val="000000" w:themeColor="text1"/>
          <w:lang w:val="en-US"/>
        </w:rPr>
        <w:t>designed the study, searched the literature, interpreted the data, wrote the first draft of the manuscript, and contributed to the revision of the manuscript</w:t>
      </w:r>
      <w:r w:rsidR="00295F95" w:rsidRPr="00FC078E">
        <w:rPr>
          <w:rFonts w:ascii="Book Antiqua" w:hAnsi="Book Antiqua" w:cs="Book Antiqua"/>
          <w:color w:val="000000" w:themeColor="text1"/>
          <w:lang w:val="en-GB"/>
        </w:rPr>
        <w:t xml:space="preserve">; </w:t>
      </w:r>
      <w:proofErr w:type="spellStart"/>
      <w:r w:rsidR="00295F95" w:rsidRPr="00FC078E">
        <w:rPr>
          <w:rFonts w:ascii="Book Antiqua" w:hAnsi="Book Antiqua" w:cs="Book Antiqua"/>
          <w:color w:val="000000" w:themeColor="text1"/>
          <w:lang w:val="en-GB"/>
        </w:rPr>
        <w:t>Kontto</w:t>
      </w:r>
      <w:proofErr w:type="spellEnd"/>
      <w:r w:rsidR="00295F95" w:rsidRPr="00FC078E">
        <w:rPr>
          <w:rFonts w:ascii="Book Antiqua" w:hAnsi="Book Antiqua" w:cs="Book Antiqua"/>
          <w:color w:val="000000" w:themeColor="text1"/>
          <w:lang w:val="en-GB"/>
        </w:rPr>
        <w:t xml:space="preserve"> J </w:t>
      </w:r>
      <w:r w:rsidR="00295F95" w:rsidRPr="00FC078E">
        <w:rPr>
          <w:rFonts w:ascii="Book Antiqua" w:hAnsi="Book Antiqua"/>
          <w:color w:val="000000" w:themeColor="text1"/>
          <w:lang w:val="en-US"/>
        </w:rPr>
        <w:t>performed statistical analyses, created the figures, and contributed to the revision of the manuscript</w:t>
      </w:r>
      <w:r w:rsidR="00295F95" w:rsidRPr="00FC078E">
        <w:rPr>
          <w:rFonts w:ascii="Book Antiqua" w:hAnsi="Book Antiqua" w:cs="Book Antiqua"/>
          <w:color w:val="000000" w:themeColor="text1"/>
          <w:lang w:val="en-GB"/>
        </w:rPr>
        <w:t xml:space="preserve">; </w:t>
      </w:r>
      <w:proofErr w:type="spellStart"/>
      <w:r w:rsidR="00295F95" w:rsidRPr="00FC078E">
        <w:rPr>
          <w:rFonts w:ascii="Book Antiqua" w:hAnsi="Book Antiqua" w:cs="Book Antiqua"/>
          <w:color w:val="000000" w:themeColor="text1"/>
          <w:lang w:val="en-GB"/>
        </w:rPr>
        <w:t>Puolakkainen</w:t>
      </w:r>
      <w:proofErr w:type="spellEnd"/>
      <w:r w:rsidR="00295F95" w:rsidRPr="00FC078E">
        <w:rPr>
          <w:rFonts w:ascii="Book Antiqua" w:hAnsi="Book Antiqua" w:cs="Book Antiqua"/>
          <w:color w:val="000000" w:themeColor="text1"/>
          <w:lang w:val="en-GB"/>
        </w:rPr>
        <w:t xml:space="preserve"> P </w:t>
      </w:r>
      <w:r w:rsidR="00295F95" w:rsidRPr="00FC078E">
        <w:rPr>
          <w:rFonts w:ascii="Book Antiqua" w:hAnsi="Book Antiqua"/>
          <w:color w:val="000000" w:themeColor="text1"/>
          <w:lang w:val="en-US"/>
        </w:rPr>
        <w:t>designed the study, contributed to the critical review and revision of the manuscript</w:t>
      </w:r>
      <w:r w:rsidR="00295F95" w:rsidRPr="00FC078E">
        <w:rPr>
          <w:rFonts w:ascii="Book Antiqua" w:hAnsi="Book Antiqua" w:cs="Book Antiqua"/>
          <w:color w:val="000000" w:themeColor="text1"/>
          <w:lang w:val="en-GB"/>
        </w:rPr>
        <w:t xml:space="preserve">; </w:t>
      </w:r>
      <w:proofErr w:type="spellStart"/>
      <w:r w:rsidR="00295F95" w:rsidRPr="00FC078E">
        <w:rPr>
          <w:rFonts w:ascii="Book Antiqua" w:hAnsi="Book Antiqua" w:cs="Book Antiqua"/>
          <w:color w:val="000000" w:themeColor="text1"/>
          <w:lang w:val="en-GB"/>
        </w:rPr>
        <w:t>Virtamo</w:t>
      </w:r>
      <w:proofErr w:type="spellEnd"/>
      <w:r w:rsidR="00295F95" w:rsidRPr="00FC078E">
        <w:rPr>
          <w:rFonts w:ascii="Book Antiqua" w:hAnsi="Book Antiqua" w:cs="Book Antiqua"/>
          <w:color w:val="000000" w:themeColor="text1"/>
          <w:lang w:val="en-GB"/>
        </w:rPr>
        <w:t xml:space="preserve"> J and Kokkola A </w:t>
      </w:r>
      <w:r w:rsidR="00295F95" w:rsidRPr="00FC078E">
        <w:rPr>
          <w:rFonts w:ascii="Book Antiqua" w:hAnsi="Book Antiqua"/>
          <w:color w:val="000000" w:themeColor="text1"/>
          <w:lang w:val="en-US"/>
        </w:rPr>
        <w:t>designed the study, interpreted data, and contributed to the critical review and revision of</w:t>
      </w:r>
      <w:r w:rsidRPr="00FC078E">
        <w:rPr>
          <w:rFonts w:ascii="Book Antiqua" w:hAnsi="Book Antiqua"/>
          <w:color w:val="000000" w:themeColor="text1"/>
          <w:lang w:val="en-US"/>
        </w:rPr>
        <w:t xml:space="preserve"> the manuscript</w:t>
      </w:r>
      <w:r w:rsidRPr="00FC078E">
        <w:rPr>
          <w:rFonts w:ascii="Book Antiqua" w:hAnsi="Book Antiqua"/>
          <w:color w:val="000000" w:themeColor="text1"/>
          <w:lang w:val="en-US" w:eastAsia="zh-CN"/>
        </w:rPr>
        <w:t>;</w:t>
      </w:r>
      <w:r w:rsidR="00295F95" w:rsidRPr="00FC078E">
        <w:rPr>
          <w:rFonts w:ascii="Book Antiqua" w:hAnsi="Book Antiqua"/>
          <w:color w:val="000000" w:themeColor="text1"/>
          <w:lang w:val="en-US"/>
        </w:rPr>
        <w:t xml:space="preserve"> </w:t>
      </w:r>
      <w:r w:rsidRPr="00FC078E">
        <w:rPr>
          <w:rFonts w:ascii="Book Antiqua" w:hAnsi="Book Antiqua"/>
          <w:color w:val="000000" w:themeColor="text1"/>
          <w:lang w:val="en-US"/>
        </w:rPr>
        <w:t xml:space="preserve">all </w:t>
      </w:r>
      <w:r w:rsidR="00295F95" w:rsidRPr="00FC078E">
        <w:rPr>
          <w:rFonts w:ascii="Book Antiqua" w:hAnsi="Book Antiqua"/>
          <w:color w:val="000000" w:themeColor="text1"/>
          <w:lang w:val="en-US"/>
        </w:rPr>
        <w:t>authors approved the final version of the article.</w:t>
      </w:r>
    </w:p>
    <w:p w14:paraId="014125C3" w14:textId="77777777" w:rsidR="00587CF5" w:rsidRPr="00FC078E" w:rsidRDefault="00587CF5" w:rsidP="00FC078E">
      <w:pPr>
        <w:adjustRightInd w:val="0"/>
        <w:snapToGrid w:val="0"/>
        <w:spacing w:line="360" w:lineRule="auto"/>
        <w:jc w:val="both"/>
        <w:rPr>
          <w:rFonts w:ascii="Book Antiqua" w:hAnsi="Book Antiqua"/>
          <w:color w:val="000000" w:themeColor="text1"/>
          <w:lang w:val="en-US" w:eastAsia="zh-CN"/>
        </w:rPr>
      </w:pPr>
    </w:p>
    <w:p w14:paraId="3B525B25" w14:textId="77777777" w:rsidR="00587CF5" w:rsidRPr="00FC078E" w:rsidRDefault="00587CF5" w:rsidP="00FC078E">
      <w:pPr>
        <w:adjustRightInd w:val="0"/>
        <w:snapToGrid w:val="0"/>
        <w:spacing w:line="360" w:lineRule="auto"/>
        <w:jc w:val="both"/>
        <w:rPr>
          <w:rFonts w:ascii="Book Antiqua" w:hAnsi="Book Antiqua"/>
          <w:color w:val="000000" w:themeColor="text1"/>
          <w:lang w:val="en-US" w:eastAsia="zh-CN"/>
        </w:rPr>
      </w:pPr>
    </w:p>
    <w:p w14:paraId="5DD9808B" w14:textId="236DCDFC" w:rsidR="00295F95" w:rsidRPr="00FC078E" w:rsidRDefault="00587CF5"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s="Arial"/>
          <w:b/>
          <w:color w:val="000000" w:themeColor="text1"/>
          <w:lang w:val="en-US"/>
        </w:rPr>
        <w:t>Corresponding author:</w:t>
      </w:r>
      <w:r w:rsidRPr="00FC078E">
        <w:rPr>
          <w:rFonts w:ascii="Book Antiqua" w:hAnsi="Book Antiqua" w:cs="Arial"/>
          <w:b/>
          <w:color w:val="000000" w:themeColor="text1"/>
          <w:lang w:val="en-US" w:eastAsia="zh-CN"/>
        </w:rPr>
        <w:t xml:space="preserve"> </w:t>
      </w:r>
      <w:r w:rsidRPr="00FC078E">
        <w:rPr>
          <w:rFonts w:ascii="Book Antiqua" w:hAnsi="Book Antiqua" w:cs="Book Antiqua"/>
          <w:b/>
          <w:color w:val="000000" w:themeColor="text1"/>
        </w:rPr>
        <w:t>Anna Aurora Nieminen</w:t>
      </w:r>
      <w:r w:rsidR="00295F95" w:rsidRPr="00FC078E">
        <w:rPr>
          <w:rFonts w:ascii="Book Antiqua" w:hAnsi="Book Antiqua" w:cs="Book Antiqua"/>
          <w:b/>
          <w:color w:val="000000" w:themeColor="text1"/>
          <w:lang w:val="en-GB"/>
        </w:rPr>
        <w:t xml:space="preserve">, MD, </w:t>
      </w:r>
      <w:r w:rsidRPr="00FC078E">
        <w:rPr>
          <w:rFonts w:ascii="Book Antiqua" w:hAnsi="Book Antiqua" w:cs="Book Antiqua"/>
          <w:b/>
          <w:color w:val="000000" w:themeColor="text1"/>
          <w:lang w:val="en-GB"/>
        </w:rPr>
        <w:t>Surgeon</w:t>
      </w:r>
      <w:r w:rsidRPr="00FC078E">
        <w:rPr>
          <w:rFonts w:ascii="Book Antiqua" w:hAnsi="Book Antiqua" w:cs="Book Antiqua"/>
          <w:b/>
          <w:color w:val="000000" w:themeColor="text1"/>
          <w:lang w:val="en-GB" w:eastAsia="zh-CN"/>
        </w:rPr>
        <w:t>,</w:t>
      </w:r>
      <w:r w:rsidRPr="00FC078E">
        <w:rPr>
          <w:rFonts w:ascii="Book Antiqua" w:hAnsi="Book Antiqua" w:cs="Book Antiqua"/>
          <w:b/>
          <w:color w:val="000000" w:themeColor="text1"/>
          <w:lang w:val="en-GB"/>
        </w:rPr>
        <w:t xml:space="preserve"> </w:t>
      </w:r>
      <w:r w:rsidR="005369C5" w:rsidRPr="00FC078E">
        <w:rPr>
          <w:rFonts w:ascii="Book Antiqua" w:hAnsi="Book Antiqua" w:cs="Book Antiqua"/>
          <w:color w:val="000000" w:themeColor="text1"/>
          <w:lang w:val="en-GB"/>
        </w:rPr>
        <w:t xml:space="preserve">Department of Surgery, Abdominal </w:t>
      </w:r>
      <w:proofErr w:type="spellStart"/>
      <w:r w:rsidR="005369C5" w:rsidRPr="00FC078E">
        <w:rPr>
          <w:rFonts w:ascii="Book Antiqua" w:hAnsi="Book Antiqua" w:cs="Book Antiqua"/>
          <w:color w:val="000000" w:themeColor="text1"/>
          <w:lang w:val="en-GB"/>
        </w:rPr>
        <w:t>Center</w:t>
      </w:r>
      <w:proofErr w:type="spellEnd"/>
      <w:r w:rsidR="005369C5" w:rsidRPr="00FC078E">
        <w:rPr>
          <w:rFonts w:ascii="Book Antiqua" w:hAnsi="Book Antiqua" w:cs="Book Antiqua"/>
          <w:color w:val="000000" w:themeColor="text1"/>
          <w:lang w:val="en-GB"/>
        </w:rPr>
        <w:t>, Helsinki University Hospital</w:t>
      </w:r>
      <w:r w:rsidR="005369C5" w:rsidRPr="00FC078E">
        <w:rPr>
          <w:rFonts w:ascii="Book Antiqua" w:hAnsi="Book Antiqua" w:cs="Book Antiqua"/>
          <w:color w:val="000000" w:themeColor="text1"/>
          <w:lang w:val="en-GB" w:eastAsia="zh-CN"/>
        </w:rPr>
        <w:t xml:space="preserve"> and University of Helsinki</w:t>
      </w:r>
      <w:r w:rsidR="005369C5" w:rsidRPr="00FC078E">
        <w:rPr>
          <w:rFonts w:ascii="Book Antiqua" w:hAnsi="Book Antiqua" w:cs="Book Antiqua"/>
          <w:color w:val="000000" w:themeColor="text1"/>
          <w:lang w:val="en-GB"/>
        </w:rPr>
        <w:t xml:space="preserve">, </w:t>
      </w:r>
      <w:proofErr w:type="spellStart"/>
      <w:r w:rsidR="00295F95" w:rsidRPr="00FC078E">
        <w:rPr>
          <w:rFonts w:ascii="Book Antiqua" w:hAnsi="Book Antiqua"/>
          <w:color w:val="000000" w:themeColor="text1"/>
          <w:lang w:val="en-GB"/>
        </w:rPr>
        <w:t>Haartmaninkatu</w:t>
      </w:r>
      <w:proofErr w:type="spellEnd"/>
      <w:r w:rsidR="00295F95" w:rsidRPr="00FC078E">
        <w:rPr>
          <w:rFonts w:ascii="Book Antiqua" w:hAnsi="Book Antiqua"/>
          <w:color w:val="000000" w:themeColor="text1"/>
          <w:lang w:val="en-GB"/>
        </w:rPr>
        <w:t xml:space="preserve"> 4, Helsinki</w:t>
      </w:r>
      <w:r w:rsidR="005369C5" w:rsidRPr="00FC078E">
        <w:rPr>
          <w:rFonts w:ascii="Book Antiqua" w:hAnsi="Book Antiqua"/>
          <w:color w:val="000000" w:themeColor="text1"/>
          <w:lang w:val="en-GB" w:eastAsia="zh-CN"/>
        </w:rPr>
        <w:t xml:space="preserve"> </w:t>
      </w:r>
      <w:r w:rsidR="005369C5" w:rsidRPr="00FC078E">
        <w:rPr>
          <w:rFonts w:ascii="Book Antiqua" w:hAnsi="Book Antiqua"/>
          <w:color w:val="000000" w:themeColor="text1"/>
          <w:lang w:val="en-GB"/>
        </w:rPr>
        <w:t>00290</w:t>
      </w:r>
      <w:r w:rsidR="00295F95" w:rsidRPr="00FC078E">
        <w:rPr>
          <w:rFonts w:ascii="Book Antiqua" w:hAnsi="Book Antiqua"/>
          <w:color w:val="000000" w:themeColor="text1"/>
          <w:lang w:val="en-GB"/>
        </w:rPr>
        <w:t xml:space="preserve">, Finland. </w:t>
      </w:r>
      <w:r w:rsidR="005369C5" w:rsidRPr="00F37194">
        <w:rPr>
          <w:rFonts w:ascii="Book Antiqua" w:hAnsi="Book Antiqua"/>
          <w:lang w:val="en-GB"/>
        </w:rPr>
        <w:t>anna.a.nieminen@hus.fi</w:t>
      </w:r>
    </w:p>
    <w:p w14:paraId="1DC093EF" w14:textId="77777777" w:rsidR="00295F95" w:rsidRPr="00FC078E" w:rsidRDefault="00295F9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6B9CA41D" w14:textId="0D70B862" w:rsidR="005369C5" w:rsidRPr="00FC078E" w:rsidRDefault="005369C5" w:rsidP="00FC078E">
      <w:pPr>
        <w:adjustRightInd w:val="0"/>
        <w:snapToGrid w:val="0"/>
        <w:spacing w:line="360" w:lineRule="auto"/>
        <w:jc w:val="both"/>
        <w:rPr>
          <w:rFonts w:ascii="Book Antiqua" w:eastAsia="宋体" w:hAnsi="Book Antiqua"/>
          <w:color w:val="000000" w:themeColor="text1"/>
          <w:lang w:eastAsia="zh-CN"/>
        </w:rPr>
      </w:pPr>
      <w:r w:rsidRPr="00FC078E">
        <w:rPr>
          <w:rFonts w:ascii="Book Antiqua" w:hAnsi="Book Antiqua"/>
          <w:b/>
          <w:color w:val="000000" w:themeColor="text1"/>
        </w:rPr>
        <w:t xml:space="preserve">Received: </w:t>
      </w:r>
      <w:r w:rsidR="007374C4" w:rsidRPr="00FC078E">
        <w:rPr>
          <w:rFonts w:ascii="Book Antiqua" w:eastAsia="宋体" w:hAnsi="Book Antiqua"/>
          <w:color w:val="000000" w:themeColor="text1"/>
          <w:lang w:eastAsia="zh-CN"/>
        </w:rPr>
        <w:t>February 1, 2020</w:t>
      </w:r>
    </w:p>
    <w:p w14:paraId="7350E64A" w14:textId="2964CC5A" w:rsidR="005369C5" w:rsidRPr="00FC078E" w:rsidRDefault="005369C5" w:rsidP="00FC078E">
      <w:pPr>
        <w:widowControl w:val="0"/>
        <w:adjustRightInd w:val="0"/>
        <w:snapToGrid w:val="0"/>
        <w:spacing w:line="360" w:lineRule="auto"/>
        <w:jc w:val="both"/>
        <w:rPr>
          <w:rFonts w:ascii="Book Antiqua" w:hAnsi="Book Antiqua"/>
          <w:b/>
          <w:color w:val="000000" w:themeColor="text1"/>
          <w:lang w:eastAsia="zh-CN"/>
        </w:rPr>
      </w:pPr>
      <w:r w:rsidRPr="00FC078E">
        <w:rPr>
          <w:rFonts w:ascii="Book Antiqua" w:hAnsi="Book Antiqua"/>
          <w:b/>
          <w:color w:val="000000" w:themeColor="text1"/>
        </w:rPr>
        <w:t xml:space="preserve">Revised: </w:t>
      </w:r>
      <w:r w:rsidR="007374C4" w:rsidRPr="00FC078E">
        <w:rPr>
          <w:rFonts w:ascii="Book Antiqua" w:hAnsi="Book Antiqua"/>
          <w:color w:val="000000" w:themeColor="text1"/>
          <w:lang w:eastAsia="zh-CN"/>
        </w:rPr>
        <w:t>March 29, 2020</w:t>
      </w:r>
    </w:p>
    <w:p w14:paraId="019FAB88" w14:textId="1E83AF8F" w:rsidR="005369C5" w:rsidRPr="00ED6697" w:rsidRDefault="005369C5" w:rsidP="00FC078E">
      <w:pPr>
        <w:widowControl w:val="0"/>
        <w:adjustRightInd w:val="0"/>
        <w:snapToGrid w:val="0"/>
        <w:spacing w:line="360" w:lineRule="auto"/>
        <w:jc w:val="both"/>
        <w:rPr>
          <w:rFonts w:ascii="Book Antiqua" w:hAnsi="Book Antiqua"/>
          <w:bCs/>
          <w:color w:val="000000" w:themeColor="text1"/>
        </w:rPr>
      </w:pPr>
      <w:r w:rsidRPr="00FC078E">
        <w:rPr>
          <w:rFonts w:ascii="Book Antiqua" w:hAnsi="Book Antiqua"/>
          <w:b/>
          <w:color w:val="000000" w:themeColor="text1"/>
        </w:rPr>
        <w:t>Accepted:</w:t>
      </w:r>
      <w:r w:rsidR="00ED6697" w:rsidRPr="00ED6697">
        <w:rPr>
          <w:bCs/>
        </w:rPr>
        <w:t xml:space="preserve"> </w:t>
      </w:r>
      <w:r w:rsidR="00ED6697" w:rsidRPr="00ED6697">
        <w:rPr>
          <w:rFonts w:ascii="Book Antiqua" w:hAnsi="Book Antiqua"/>
          <w:bCs/>
          <w:color w:val="000000" w:themeColor="text1"/>
        </w:rPr>
        <w:t>June 12, 2020</w:t>
      </w:r>
      <w:r w:rsidRPr="00ED6697">
        <w:rPr>
          <w:rFonts w:ascii="Book Antiqua" w:hAnsi="Book Antiqua"/>
          <w:bCs/>
          <w:color w:val="000000" w:themeColor="text1"/>
        </w:rPr>
        <w:t xml:space="preserve"> </w:t>
      </w:r>
    </w:p>
    <w:p w14:paraId="6584439D" w14:textId="77777777" w:rsidR="005369C5" w:rsidRPr="00FC078E" w:rsidRDefault="005369C5" w:rsidP="00FC078E">
      <w:pPr>
        <w:widowControl w:val="0"/>
        <w:adjustRightInd w:val="0"/>
        <w:snapToGrid w:val="0"/>
        <w:spacing w:line="360" w:lineRule="auto"/>
        <w:jc w:val="both"/>
        <w:rPr>
          <w:rFonts w:ascii="Book Antiqua" w:eastAsia="宋体" w:hAnsi="Book Antiqua"/>
          <w:color w:val="000000" w:themeColor="text1"/>
          <w:lang w:eastAsia="zh-CN"/>
        </w:rPr>
      </w:pPr>
      <w:r w:rsidRPr="00FC078E">
        <w:rPr>
          <w:rFonts w:ascii="Book Antiqua" w:hAnsi="Book Antiqua"/>
          <w:b/>
          <w:color w:val="000000" w:themeColor="text1"/>
        </w:rPr>
        <w:t>Published online:</w:t>
      </w:r>
    </w:p>
    <w:p w14:paraId="2BC40E71" w14:textId="77777777" w:rsidR="00D25CAA" w:rsidRPr="00FC078E" w:rsidRDefault="00D25CAA" w:rsidP="00FC078E">
      <w:pPr>
        <w:adjustRightInd w:val="0"/>
        <w:snapToGrid w:val="0"/>
        <w:spacing w:line="360" w:lineRule="auto"/>
        <w:jc w:val="both"/>
        <w:rPr>
          <w:rFonts w:ascii="Book Antiqua" w:hAnsi="Book Antiqua"/>
          <w:color w:val="000000" w:themeColor="text1"/>
          <w:lang w:val="en-US" w:eastAsia="zh-CN"/>
        </w:rPr>
      </w:pPr>
    </w:p>
    <w:p w14:paraId="692479FB" w14:textId="77777777" w:rsidR="00D25CAA" w:rsidRPr="00FC078E" w:rsidRDefault="00D25CAA"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lang w:val="en-US" w:eastAsia="zh-CN"/>
        </w:rPr>
        <w:br w:type="page"/>
      </w:r>
    </w:p>
    <w:p w14:paraId="4A959F38" w14:textId="77777777" w:rsidR="00D25CAA" w:rsidRPr="00FC078E" w:rsidRDefault="00D25CAA" w:rsidP="00FC078E">
      <w:pPr>
        <w:adjustRightInd w:val="0"/>
        <w:snapToGrid w:val="0"/>
        <w:spacing w:line="360" w:lineRule="auto"/>
        <w:jc w:val="both"/>
        <w:rPr>
          <w:rFonts w:ascii="Book Antiqua" w:hAnsi="Book Antiqua" w:cs="Times"/>
          <w:color w:val="000000" w:themeColor="text1"/>
          <w:lang w:val="en-US" w:eastAsia="zh-CN"/>
        </w:rPr>
      </w:pPr>
      <w:r w:rsidRPr="00FC078E">
        <w:rPr>
          <w:rFonts w:ascii="Book Antiqua" w:hAnsi="Book Antiqua"/>
          <w:b/>
          <w:color w:val="000000" w:themeColor="text1"/>
          <w:lang w:val="en-US"/>
        </w:rPr>
        <w:lastRenderedPageBreak/>
        <w:t>Abstract</w:t>
      </w:r>
      <w:r w:rsidRPr="00FC078E">
        <w:rPr>
          <w:rFonts w:ascii="Book Antiqua" w:hAnsi="Book Antiqua" w:cs="Times"/>
          <w:color w:val="000000" w:themeColor="text1"/>
          <w:lang w:val="en-US"/>
        </w:rPr>
        <w:t xml:space="preserve"> </w:t>
      </w:r>
    </w:p>
    <w:p w14:paraId="153E5BE5" w14:textId="77777777" w:rsidR="00D25CAA" w:rsidRPr="00FC078E" w:rsidRDefault="00D25CAA" w:rsidP="00FC078E">
      <w:pPr>
        <w:adjustRightInd w:val="0"/>
        <w:snapToGrid w:val="0"/>
        <w:spacing w:line="360" w:lineRule="auto"/>
        <w:jc w:val="both"/>
        <w:rPr>
          <w:rFonts w:ascii="Book Antiqua" w:hAnsi="Book Antiqua"/>
          <w:color w:val="000000" w:themeColor="text1"/>
          <w:lang w:eastAsia="zh-CN"/>
        </w:rPr>
      </w:pPr>
      <w:r w:rsidRPr="00FC078E">
        <w:rPr>
          <w:rStyle w:val="dxebaseoffice2010blue"/>
          <w:rFonts w:ascii="Book Antiqua" w:hAnsi="Book Antiqua"/>
          <w:color w:val="000000" w:themeColor="text1"/>
        </w:rPr>
        <w:t>BACKGROUND</w:t>
      </w:r>
    </w:p>
    <w:p w14:paraId="1486AFDE" w14:textId="77777777"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Gastric cancer is the world’s third most lethal malignancy. Most gastric cancers develop through precancerous states of atrophic gastritis and intestinal metaplasia. Two staging systems, operative link for gastritis assessment (OLGA) and operative link on gastric intestinal metaplasia assessment (OLGIM), have been developed to detect high gastric cancer risk. European guidelines recommend surveillance for high-risk OLGA/OLGIM patients (stages III–IV), and for those with advanced stage of atrophic gastritis in the whole stomach mucosa. We hypothesize, that by combining atrophy and intestinal metaplasia into one staging named TAIM, more patients with increased gastric cancer risk could be detected.</w:t>
      </w:r>
    </w:p>
    <w:p w14:paraId="6BB7FA19" w14:textId="77777777"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p>
    <w:p w14:paraId="2F931119" w14:textId="77777777"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AIM</w:t>
      </w:r>
    </w:p>
    <w:p w14:paraId="5345861D" w14:textId="77777777"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To evaluate the clinical value of the OLGA, OLGIM, and novel TAIM stagings as prognostic indicators for gastric cancer.</w:t>
      </w:r>
    </w:p>
    <w:p w14:paraId="2DA97048" w14:textId="77777777"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p>
    <w:p w14:paraId="3C5ECDCB" w14:textId="77777777" w:rsidR="00D25CAA" w:rsidRPr="00FC078E" w:rsidRDefault="00D25CAA" w:rsidP="00FC078E">
      <w:pPr>
        <w:adjustRightInd w:val="0"/>
        <w:snapToGrid w:val="0"/>
        <w:spacing w:line="360" w:lineRule="auto"/>
        <w:jc w:val="both"/>
        <w:rPr>
          <w:rFonts w:ascii="Book Antiqua" w:hAnsi="Book Antiqua"/>
          <w:color w:val="000000" w:themeColor="text1"/>
          <w:lang w:eastAsia="zh-CN"/>
        </w:rPr>
      </w:pPr>
      <w:r w:rsidRPr="00FC078E">
        <w:rPr>
          <w:rStyle w:val="dxebaseoffice2010blue"/>
          <w:rFonts w:ascii="Book Antiqua" w:hAnsi="Book Antiqua"/>
          <w:color w:val="000000" w:themeColor="text1"/>
        </w:rPr>
        <w:t>METHODS</w:t>
      </w:r>
    </w:p>
    <w:p w14:paraId="4458E2D1" w14:textId="77777777" w:rsidR="005C5251"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In t</w:t>
      </w:r>
      <w:r w:rsidR="005C5251" w:rsidRPr="00FC078E">
        <w:rPr>
          <w:rStyle w:val="dxebaseoffice2010blue"/>
          <w:rFonts w:ascii="Book Antiqua" w:hAnsi="Book Antiqua"/>
          <w:color w:val="000000" w:themeColor="text1"/>
        </w:rPr>
        <w:t>he Helsinki Gastritis Study, 22</w:t>
      </w:r>
      <w:r w:rsidRPr="00FC078E">
        <w:rPr>
          <w:rStyle w:val="dxebaseoffice2010blue"/>
          <w:rFonts w:ascii="Book Antiqua" w:hAnsi="Book Antiqua"/>
          <w:color w:val="000000" w:themeColor="text1"/>
        </w:rPr>
        <w:t>346 elderly male smokers from southwestern Finland were screened for serum pepsinogen I (PGI). Between the years 1989 and 1993, men with low PGI values (PGI &lt;</w:t>
      </w:r>
      <w:r w:rsidR="005C5251" w:rsidRPr="00FC078E">
        <w:rPr>
          <w:rStyle w:val="dxebaseoffice2010blue"/>
          <w:rFonts w:ascii="Book Antiqua" w:hAnsi="Book Antiqua"/>
          <w:color w:val="000000" w:themeColor="text1"/>
          <w:lang w:eastAsia="zh-CN"/>
        </w:rPr>
        <w:t xml:space="preserve"> </w:t>
      </w:r>
      <w:r w:rsidRPr="00FC078E">
        <w:rPr>
          <w:rStyle w:val="dxebaseoffice2010blue"/>
          <w:rFonts w:ascii="Book Antiqua" w:hAnsi="Book Antiqua"/>
          <w:color w:val="000000" w:themeColor="text1"/>
        </w:rPr>
        <w:t>25</w:t>
      </w:r>
      <w:r w:rsidR="005C5251" w:rsidRPr="00FC078E">
        <w:rPr>
          <w:rStyle w:val="dxebaseoffice2010blue"/>
          <w:rFonts w:ascii="Book Antiqua" w:hAnsi="Book Antiqua"/>
          <w:color w:val="000000" w:themeColor="text1"/>
          <w:lang w:eastAsia="zh-CN"/>
        </w:rPr>
        <w:t xml:space="preserve"> </w:t>
      </w:r>
      <w:r w:rsidRPr="00FC078E">
        <w:rPr>
          <w:rStyle w:val="dxebaseoffice2010blue"/>
          <w:rFonts w:ascii="Book Antiqua" w:hAnsi="Book Antiqua"/>
          <w:color w:val="000000" w:themeColor="text1"/>
        </w:rPr>
        <w:t>μg/</w:t>
      </w:r>
      <w:r w:rsidR="005C5251" w:rsidRPr="00FC078E">
        <w:rPr>
          <w:rStyle w:val="dxebaseoffice2010blue"/>
          <w:rFonts w:ascii="Book Antiqua" w:hAnsi="Book Antiqua"/>
          <w:color w:val="000000" w:themeColor="text1"/>
        </w:rPr>
        <w:t>L</w:t>
      </w:r>
      <w:r w:rsidRPr="00FC078E">
        <w:rPr>
          <w:rStyle w:val="dxebaseoffice2010blue"/>
          <w:rFonts w:ascii="Book Antiqua" w:hAnsi="Book Antiqua"/>
          <w:color w:val="000000" w:themeColor="text1"/>
        </w:rPr>
        <w:t>), were invited to undergo an oesophagogastroduodenoscopy. In this retrospective cohort study, 1147 men that underwent gastroscopy were followed for gastric cancer for a median of 13.7 years, and a maximum of 27.3 years. We developed a new staging system, TAIM, by combining the topography with the severity of atrophy or intestinal metaplasia in gastric biopsies. In TAIM staging, the gastric cancer risk is classified as low or high.</w:t>
      </w:r>
    </w:p>
    <w:p w14:paraId="70CACFE5" w14:textId="77777777" w:rsidR="005C5251" w:rsidRPr="00FC078E" w:rsidRDefault="005C5251" w:rsidP="00FC078E">
      <w:pPr>
        <w:adjustRightInd w:val="0"/>
        <w:snapToGrid w:val="0"/>
        <w:spacing w:line="360" w:lineRule="auto"/>
        <w:jc w:val="both"/>
        <w:rPr>
          <w:rStyle w:val="dxebaseoffice2010blue"/>
          <w:rFonts w:ascii="Book Antiqua" w:hAnsi="Book Antiqua"/>
          <w:color w:val="000000" w:themeColor="text1"/>
          <w:lang w:eastAsia="zh-CN"/>
        </w:rPr>
      </w:pPr>
    </w:p>
    <w:p w14:paraId="1670CF75" w14:textId="77777777" w:rsidR="005C5251" w:rsidRPr="00FC078E" w:rsidRDefault="00D25CAA" w:rsidP="00FC078E">
      <w:pPr>
        <w:adjustRightInd w:val="0"/>
        <w:snapToGrid w:val="0"/>
        <w:spacing w:line="360" w:lineRule="auto"/>
        <w:jc w:val="both"/>
        <w:rPr>
          <w:rFonts w:ascii="Book Antiqua" w:hAnsi="Book Antiqua"/>
          <w:color w:val="000000" w:themeColor="text1"/>
          <w:lang w:eastAsia="zh-CN"/>
        </w:rPr>
      </w:pPr>
      <w:r w:rsidRPr="00FC078E">
        <w:rPr>
          <w:rStyle w:val="dxebaseoffice2010blue"/>
          <w:rFonts w:ascii="Book Antiqua" w:hAnsi="Book Antiqua"/>
          <w:color w:val="000000" w:themeColor="text1"/>
        </w:rPr>
        <w:t>RESULTS</w:t>
      </w:r>
    </w:p>
    <w:p w14:paraId="0B32D62F" w14:textId="358D572A" w:rsidR="005C5251" w:rsidRPr="00FC078E" w:rsidRDefault="00D25CAA" w:rsidP="00FC078E">
      <w:pPr>
        <w:adjustRightInd w:val="0"/>
        <w:snapToGrid w:val="0"/>
        <w:spacing w:line="360" w:lineRule="auto"/>
        <w:jc w:val="both"/>
        <w:rPr>
          <w:rFonts w:ascii="Book Antiqua" w:hAnsi="Book Antiqua"/>
          <w:color w:val="000000" w:themeColor="text1"/>
          <w:lang w:eastAsia="zh-CN"/>
        </w:rPr>
      </w:pPr>
      <w:r w:rsidRPr="00FC078E">
        <w:rPr>
          <w:rStyle w:val="dxebaseoffice2010blue"/>
          <w:rFonts w:ascii="Book Antiqua" w:hAnsi="Book Antiqua"/>
          <w:color w:val="000000" w:themeColor="text1"/>
        </w:rPr>
        <w:t xml:space="preserve">Twenty-eight gastric cancers were diagnosed during the follow-up, and the incidence rate was 1.72 per 1000 patient-years. The cancer risk associated </w:t>
      </w:r>
      <w:r w:rsidRPr="00FC078E">
        <w:rPr>
          <w:rStyle w:val="dxebaseoffice2010blue"/>
          <w:rFonts w:ascii="Book Antiqua" w:hAnsi="Book Antiqua"/>
          <w:color w:val="000000" w:themeColor="text1"/>
        </w:rPr>
        <w:lastRenderedPageBreak/>
        <w:t>posit</w:t>
      </w:r>
      <w:r w:rsidR="005C5251" w:rsidRPr="00FC078E">
        <w:rPr>
          <w:rStyle w:val="dxebaseoffice2010blue"/>
          <w:rFonts w:ascii="Book Antiqua" w:hAnsi="Book Antiqua"/>
          <w:color w:val="000000" w:themeColor="text1"/>
        </w:rPr>
        <w:t xml:space="preserve">ively with TAIM </w:t>
      </w:r>
      <w:r w:rsidR="005C5251" w:rsidRPr="00FC078E">
        <w:rPr>
          <w:rStyle w:val="dxebaseoffice2010blue"/>
          <w:rFonts w:ascii="Book Antiqua" w:hAnsi="Book Antiqua"/>
          <w:color w:val="000000" w:themeColor="text1"/>
          <w:lang w:eastAsia="zh-CN"/>
        </w:rPr>
        <w:t>[</w:t>
      </w:r>
      <w:r w:rsidR="005C5251" w:rsidRPr="00FC078E">
        <w:rPr>
          <w:rStyle w:val="dxebaseoffice2010blue"/>
          <w:rFonts w:ascii="Book Antiqua" w:hAnsi="Book Antiqua"/>
          <w:color w:val="000000" w:themeColor="text1"/>
        </w:rPr>
        <w:t xml:space="preserve">Hazard ratio </w:t>
      </w:r>
      <w:r w:rsidR="005C5251" w:rsidRPr="00FC078E">
        <w:rPr>
          <w:rStyle w:val="dxebaseoffice2010blue"/>
          <w:rFonts w:ascii="Book Antiqua" w:hAnsi="Book Antiqua"/>
          <w:color w:val="000000" w:themeColor="text1"/>
          <w:lang w:eastAsia="zh-CN"/>
        </w:rPr>
        <w:t>(</w:t>
      </w:r>
      <w:r w:rsidR="005C5251" w:rsidRPr="00FC078E">
        <w:rPr>
          <w:rStyle w:val="dxebaseoffice2010blue"/>
          <w:rFonts w:ascii="Book Antiqua" w:hAnsi="Book Antiqua"/>
          <w:color w:val="000000" w:themeColor="text1"/>
        </w:rPr>
        <w:t>HR</w:t>
      </w:r>
      <w:r w:rsidR="005C5251" w:rsidRPr="00FC078E">
        <w:rPr>
          <w:rStyle w:val="dxebaseoffice2010blue"/>
          <w:rFonts w:ascii="Book Antiqua" w:hAnsi="Book Antiqua"/>
          <w:color w:val="000000" w:themeColor="text1"/>
          <w:lang w:eastAsia="zh-CN"/>
        </w:rPr>
        <w:t>)</w:t>
      </w:r>
      <w:r w:rsidR="005C5251" w:rsidRPr="00FC078E">
        <w:rPr>
          <w:rStyle w:val="dxebaseoffice2010blue"/>
          <w:rFonts w:ascii="Book Antiqua" w:hAnsi="Book Antiqua"/>
          <w:color w:val="000000" w:themeColor="text1"/>
        </w:rPr>
        <w:t xml:space="preserve"> 2.70, 95%CI</w:t>
      </w:r>
      <w:r w:rsidR="005C5251" w:rsidRPr="00FC078E">
        <w:rPr>
          <w:rStyle w:val="dxebaseoffice2010blue"/>
          <w:rFonts w:ascii="Book Antiqua" w:hAnsi="Book Antiqua"/>
          <w:color w:val="000000" w:themeColor="text1"/>
          <w:lang w:eastAsia="zh-CN"/>
        </w:rPr>
        <w:t xml:space="preserve">: </w:t>
      </w:r>
      <w:r w:rsidRPr="00FC078E">
        <w:rPr>
          <w:rStyle w:val="dxebaseoffice2010blue"/>
          <w:rFonts w:ascii="Book Antiqua" w:hAnsi="Book Antiqua"/>
          <w:color w:val="000000" w:themeColor="text1"/>
        </w:rPr>
        <w:t xml:space="preserve">1.09–6.69, </w:t>
      </w:r>
      <w:r w:rsidRPr="00FC078E">
        <w:rPr>
          <w:rStyle w:val="dxebaseoffice2010blue"/>
          <w:rFonts w:ascii="Book Antiqua" w:hAnsi="Book Antiqua"/>
          <w:i/>
          <w:color w:val="000000" w:themeColor="text1"/>
        </w:rPr>
        <w:t>P</w:t>
      </w:r>
      <w:r w:rsidRPr="00FC078E">
        <w:rPr>
          <w:rStyle w:val="dxebaseoffice2010blue"/>
          <w:rFonts w:ascii="Book Antiqua" w:hAnsi="Book Antiqua"/>
          <w:color w:val="000000" w:themeColor="text1"/>
        </w:rPr>
        <w:t xml:space="preserve"> = 0.03</w:t>
      </w:r>
      <w:r w:rsidR="005C5251" w:rsidRPr="00FC078E">
        <w:rPr>
          <w:rStyle w:val="dxebaseoffice2010blue"/>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The risk increased through OLGIM stages 0-IV (0 </w:t>
      </w:r>
      <w:r w:rsidRPr="00FC078E">
        <w:rPr>
          <w:rStyle w:val="dxebaseoffice2010blue"/>
          <w:rFonts w:ascii="Book Antiqua" w:hAnsi="Book Antiqua"/>
          <w:i/>
          <w:color w:val="000000" w:themeColor="text1"/>
        </w:rPr>
        <w:t>vs</w:t>
      </w:r>
      <w:r w:rsidR="00B86A90">
        <w:rPr>
          <w:rStyle w:val="dxebaseoffice2010blue"/>
          <w:rFonts w:ascii="Book Antiqua" w:hAnsi="Book Antiqua"/>
          <w:color w:val="000000" w:themeColor="text1"/>
        </w:rPr>
        <w:t xml:space="preserve"> IV: HR 5.72, 95%C</w:t>
      </w:r>
      <w:r w:rsidR="00B86A90" w:rsidRPr="00B86A90">
        <w:rPr>
          <w:rStyle w:val="dxebaseoffice2010blue"/>
          <w:rFonts w:ascii="Book Antiqua" w:hAnsi="Book Antiqua"/>
          <w:caps/>
          <w:color w:val="000000" w:themeColor="text1"/>
        </w:rPr>
        <w:t>i</w:t>
      </w:r>
      <w:r w:rsidR="005C5251" w:rsidRPr="00FC078E">
        <w:rPr>
          <w:rStyle w:val="dxebaseoffice2010blue"/>
          <w:rFonts w:ascii="Book Antiqua" w:hAnsi="Book Antiqua"/>
          <w:color w:val="000000" w:themeColor="text1"/>
          <w:lang w:eastAsia="zh-CN"/>
        </w:rPr>
        <w:t xml:space="preserve">: </w:t>
      </w:r>
      <w:r w:rsidRPr="00FC078E">
        <w:rPr>
          <w:rStyle w:val="dxebaseoffice2010blue"/>
          <w:rFonts w:ascii="Book Antiqua" w:hAnsi="Book Antiqua"/>
          <w:color w:val="000000" w:themeColor="text1"/>
        </w:rPr>
        <w:t xml:space="preserve">1.03–31.77, </w:t>
      </w:r>
      <w:r w:rsidRPr="00FC078E">
        <w:rPr>
          <w:rStyle w:val="dxebaseoffice2010blue"/>
          <w:rFonts w:ascii="Book Antiqua" w:hAnsi="Book Antiqua"/>
          <w:i/>
          <w:color w:val="000000" w:themeColor="text1"/>
        </w:rPr>
        <w:t>P</w:t>
      </w:r>
      <w:r w:rsidRPr="00FC078E">
        <w:rPr>
          <w:rStyle w:val="dxebaseoffice2010blue"/>
          <w:rFonts w:ascii="Book Antiqua" w:hAnsi="Book Antiqua"/>
          <w:color w:val="000000" w:themeColor="text1"/>
        </w:rPr>
        <w:t xml:space="preserve"> for trend = 0.004), but not through OLGA stages 0–IV (0 </w:t>
      </w:r>
      <w:r w:rsidRPr="00FC078E">
        <w:rPr>
          <w:rStyle w:val="dxebaseoffice2010blue"/>
          <w:rFonts w:ascii="Book Antiqua" w:hAnsi="Book Antiqua"/>
          <w:i/>
          <w:color w:val="000000" w:themeColor="text1"/>
        </w:rPr>
        <w:t>vs</w:t>
      </w:r>
      <w:r w:rsidRPr="00FC078E">
        <w:rPr>
          <w:rStyle w:val="dxebaseoffice2010blue"/>
          <w:rFonts w:ascii="Book Antiqua" w:hAnsi="Book Antiqua"/>
          <w:color w:val="000000" w:themeColor="text1"/>
        </w:rPr>
        <w:t xml:space="preserve"> IV: HR 5.77, 95%C</w:t>
      </w:r>
      <w:r w:rsidR="005C5251" w:rsidRPr="00B86A90">
        <w:rPr>
          <w:rStyle w:val="dxebaseoffice2010blue"/>
          <w:rFonts w:ascii="Book Antiqua" w:hAnsi="Book Antiqua"/>
          <w:caps/>
          <w:color w:val="000000" w:themeColor="text1"/>
        </w:rPr>
        <w:t>i</w:t>
      </w:r>
      <w:r w:rsidR="005C5251" w:rsidRPr="00FC078E">
        <w:rPr>
          <w:rStyle w:val="dxebaseoffice2010blue"/>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0.67–49.77, </w:t>
      </w:r>
      <w:r w:rsidRPr="00FC078E">
        <w:rPr>
          <w:rStyle w:val="dxebaseoffice2010blue"/>
          <w:rFonts w:ascii="Book Antiqua" w:hAnsi="Book Antiqua"/>
          <w:i/>
          <w:color w:val="000000" w:themeColor="text1"/>
        </w:rPr>
        <w:t>P</w:t>
      </w:r>
      <w:r w:rsidRPr="00FC078E">
        <w:rPr>
          <w:rStyle w:val="dxebaseoffice2010blue"/>
          <w:rFonts w:ascii="Book Antiqua" w:hAnsi="Book Antiqua"/>
          <w:color w:val="000000" w:themeColor="text1"/>
        </w:rPr>
        <w:t xml:space="preserve"> for trend = 0.10). The sensitivities of OLGA and OLGIM stages III–IV were low, 21% and 32%, respectively, whereas that of TAIM high-risk was good, 79%. On the contrary, OLGA and OLGIM had high specificity, 85% and 81%, respectively, but TAIM showed low specificity, 42%. In all three staging systems, the high-risk men had three- to four-times higher gastric cancer risk compared to the general male population of the same age.</w:t>
      </w:r>
    </w:p>
    <w:p w14:paraId="10672AB7" w14:textId="77777777" w:rsidR="005C5251" w:rsidRPr="00FC078E" w:rsidRDefault="005C5251" w:rsidP="00FC078E">
      <w:pPr>
        <w:adjustRightInd w:val="0"/>
        <w:snapToGrid w:val="0"/>
        <w:spacing w:line="360" w:lineRule="auto"/>
        <w:jc w:val="both"/>
        <w:rPr>
          <w:rFonts w:ascii="Book Antiqua" w:hAnsi="Book Antiqua"/>
          <w:color w:val="000000" w:themeColor="text1"/>
          <w:lang w:eastAsia="zh-CN"/>
        </w:rPr>
      </w:pPr>
    </w:p>
    <w:p w14:paraId="7FA40097" w14:textId="77777777" w:rsidR="005C5251" w:rsidRPr="00FC078E" w:rsidRDefault="005C5251"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CONCLUSION</w:t>
      </w:r>
    </w:p>
    <w:p w14:paraId="1DE83A8C" w14:textId="0B689CAF" w:rsidR="00D25CAA" w:rsidRPr="00FC078E"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Style w:val="dxebaseoffice2010blue"/>
          <w:rFonts w:ascii="Book Antiqua" w:hAnsi="Book Antiqua"/>
          <w:color w:val="000000" w:themeColor="text1"/>
        </w:rPr>
        <w:t>OLGIM and TAIM stagings show prognostic value in assessing gastric cancer risk in elderly male smokers with atrophic gastritis.</w:t>
      </w:r>
    </w:p>
    <w:p w14:paraId="4E415B5F" w14:textId="77777777" w:rsidR="000D0CBA" w:rsidRPr="00FC078E" w:rsidRDefault="000D0CBA" w:rsidP="00FC078E">
      <w:pPr>
        <w:adjustRightInd w:val="0"/>
        <w:snapToGrid w:val="0"/>
        <w:spacing w:line="360" w:lineRule="auto"/>
        <w:jc w:val="both"/>
        <w:rPr>
          <w:rFonts w:ascii="Book Antiqua" w:hAnsi="Book Antiqua"/>
          <w:b/>
          <w:color w:val="000000" w:themeColor="text1"/>
          <w:lang w:val="en-US" w:eastAsia="zh-CN"/>
        </w:rPr>
      </w:pPr>
    </w:p>
    <w:p w14:paraId="474FA0C4" w14:textId="02822F90" w:rsidR="005C5251" w:rsidRPr="00FC078E" w:rsidRDefault="000D0CBA" w:rsidP="00FC078E">
      <w:pPr>
        <w:adjustRightInd w:val="0"/>
        <w:snapToGrid w:val="0"/>
        <w:spacing w:line="360" w:lineRule="auto"/>
        <w:jc w:val="both"/>
        <w:rPr>
          <w:rStyle w:val="dxebaseoffice2010blue"/>
          <w:rFonts w:ascii="Book Antiqua" w:hAnsi="Book Antiqua"/>
          <w:color w:val="000000" w:themeColor="text1"/>
          <w:lang w:eastAsia="zh-CN"/>
        </w:rPr>
      </w:pPr>
      <w:r w:rsidRPr="00FC078E">
        <w:rPr>
          <w:rFonts w:ascii="Book Antiqua" w:hAnsi="Book Antiqua"/>
          <w:b/>
          <w:color w:val="000000" w:themeColor="text1"/>
          <w:lang w:val="en-US"/>
        </w:rPr>
        <w:t>Key words:</w:t>
      </w:r>
      <w:r w:rsidRPr="00FC078E">
        <w:rPr>
          <w:rStyle w:val="dxebaseoffice2010blue"/>
          <w:rFonts w:ascii="Book Antiqua" w:hAnsi="Book Antiqua"/>
          <w:color w:val="000000" w:themeColor="text1"/>
        </w:rPr>
        <w:t xml:space="preserve"> Operative link for gastritis assessment</w:t>
      </w:r>
      <w:r w:rsidRPr="00FC078E">
        <w:rPr>
          <w:rStyle w:val="dxebaseoffice2010blue"/>
          <w:rFonts w:ascii="Book Antiqua" w:hAnsi="Book Antiqua"/>
          <w:color w:val="000000" w:themeColor="text1"/>
          <w:lang w:eastAsia="zh-CN"/>
        </w:rPr>
        <w:t xml:space="preserve">; </w:t>
      </w:r>
      <w:r w:rsidRPr="00FC078E">
        <w:rPr>
          <w:rStyle w:val="dxebaseoffice2010blue"/>
          <w:rFonts w:ascii="Book Antiqua" w:hAnsi="Book Antiqua"/>
          <w:color w:val="000000" w:themeColor="text1"/>
        </w:rPr>
        <w:t>Operative link on gastric intestinal metaplasia assessment</w:t>
      </w:r>
      <w:r w:rsidRPr="00FC078E">
        <w:rPr>
          <w:rStyle w:val="dxebaseoffice2010blue"/>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TAIM</w:t>
      </w:r>
      <w:r w:rsidRPr="00FC078E">
        <w:rPr>
          <w:rStyle w:val="dxebaseoffice2010blue"/>
          <w:rFonts w:ascii="Book Antiqua" w:hAnsi="Book Antiqua"/>
          <w:color w:val="000000" w:themeColor="text1"/>
          <w:lang w:eastAsia="zh-CN"/>
        </w:rPr>
        <w:t>;</w:t>
      </w:r>
      <w:r w:rsidRPr="00FC078E">
        <w:rPr>
          <w:rFonts w:ascii="Book Antiqua" w:hAnsi="Book Antiqua"/>
          <w:color w:val="000000" w:themeColor="text1"/>
        </w:rPr>
        <w:t xml:space="preserve"> </w:t>
      </w:r>
      <w:r w:rsidRPr="00FC078E">
        <w:rPr>
          <w:rStyle w:val="dxebaseoffice2010blue"/>
          <w:rFonts w:ascii="Book Antiqua" w:hAnsi="Book Antiqua"/>
          <w:color w:val="000000" w:themeColor="text1"/>
          <w:lang w:eastAsia="zh-CN"/>
        </w:rPr>
        <w:t>Atrophic gastritis; Intestinal metaplasia; Gastric cancer</w:t>
      </w:r>
    </w:p>
    <w:p w14:paraId="576754CB" w14:textId="77777777" w:rsidR="000D0CBA" w:rsidRPr="00FC078E" w:rsidRDefault="000D0CBA" w:rsidP="00FC078E">
      <w:pPr>
        <w:adjustRightInd w:val="0"/>
        <w:snapToGrid w:val="0"/>
        <w:spacing w:line="360" w:lineRule="auto"/>
        <w:jc w:val="both"/>
        <w:rPr>
          <w:rStyle w:val="dxebaseoffice2010blue"/>
          <w:rFonts w:ascii="Book Antiqua" w:hAnsi="Book Antiqua"/>
          <w:color w:val="000000" w:themeColor="text1"/>
          <w:lang w:eastAsia="zh-CN"/>
        </w:rPr>
      </w:pPr>
    </w:p>
    <w:p w14:paraId="3C4DA9CA" w14:textId="2A5E692E" w:rsidR="000D0CBA" w:rsidRPr="00FC078E" w:rsidRDefault="000D0CBA" w:rsidP="00FC078E">
      <w:pPr>
        <w:adjustRightInd w:val="0"/>
        <w:snapToGrid w:val="0"/>
        <w:spacing w:line="360" w:lineRule="auto"/>
        <w:jc w:val="both"/>
        <w:rPr>
          <w:rFonts w:ascii="Book Antiqua" w:eastAsia="宋体" w:hAnsi="Book Antiqua" w:cs="Times New Roman"/>
          <w:color w:val="000000" w:themeColor="text1"/>
          <w:lang w:eastAsia="zh-CN"/>
        </w:rPr>
      </w:pPr>
      <w:r w:rsidRPr="00FC078E">
        <w:rPr>
          <w:rFonts w:ascii="Book Antiqua" w:hAnsi="Book Antiqua" w:cs="Book Antiqua"/>
          <w:color w:val="000000" w:themeColor="text1"/>
        </w:rPr>
        <w:t>Nieminen</w:t>
      </w:r>
      <w:r w:rsidRPr="00FC078E">
        <w:rPr>
          <w:rFonts w:ascii="Book Antiqua" w:hAnsi="Book Antiqua" w:cs="Book Antiqua"/>
          <w:color w:val="000000" w:themeColor="text1"/>
          <w:lang w:eastAsia="zh-CN"/>
        </w:rPr>
        <w:t xml:space="preserve"> AA</w:t>
      </w:r>
      <w:r w:rsidRPr="00FC078E">
        <w:rPr>
          <w:rFonts w:ascii="Book Antiqua" w:hAnsi="Book Antiqua" w:cs="Book Antiqua"/>
          <w:color w:val="000000" w:themeColor="text1"/>
        </w:rPr>
        <w:t>, Kontto</w:t>
      </w:r>
      <w:r w:rsidRPr="00FC078E">
        <w:rPr>
          <w:rFonts w:ascii="Book Antiqua" w:hAnsi="Book Antiqua" w:cs="Book Antiqua"/>
          <w:color w:val="000000" w:themeColor="text1"/>
          <w:lang w:eastAsia="zh-CN"/>
        </w:rPr>
        <w:t xml:space="preserve"> J</w:t>
      </w:r>
      <w:r w:rsidRPr="00FC078E">
        <w:rPr>
          <w:rFonts w:ascii="Book Antiqua" w:hAnsi="Book Antiqua" w:cs="Book Antiqua"/>
          <w:color w:val="000000" w:themeColor="text1"/>
        </w:rPr>
        <w:t>, Puolakkainen</w:t>
      </w:r>
      <w:r w:rsidRPr="00FC078E">
        <w:rPr>
          <w:rFonts w:ascii="Book Antiqua" w:hAnsi="Book Antiqua" w:cs="Book Antiqua"/>
          <w:color w:val="000000" w:themeColor="text1"/>
          <w:lang w:eastAsia="zh-CN"/>
        </w:rPr>
        <w:t xml:space="preserve"> P</w:t>
      </w:r>
      <w:r w:rsidRPr="00FC078E">
        <w:rPr>
          <w:rFonts w:ascii="Book Antiqua" w:hAnsi="Book Antiqua" w:cs="Book Antiqua"/>
          <w:color w:val="000000" w:themeColor="text1"/>
        </w:rPr>
        <w:t>, Virtamo</w:t>
      </w:r>
      <w:r w:rsidRPr="00FC078E">
        <w:rPr>
          <w:rFonts w:ascii="Book Antiqua" w:hAnsi="Book Antiqua" w:cs="Book Antiqua"/>
          <w:color w:val="000000" w:themeColor="text1"/>
          <w:lang w:eastAsia="zh-CN"/>
        </w:rPr>
        <w:t xml:space="preserve"> J</w:t>
      </w:r>
      <w:r w:rsidRPr="00FC078E">
        <w:rPr>
          <w:rFonts w:ascii="Book Antiqua" w:hAnsi="Book Antiqua" w:cs="Book Antiqua"/>
          <w:color w:val="000000" w:themeColor="text1"/>
        </w:rPr>
        <w:t>, Kokkola</w:t>
      </w:r>
      <w:r w:rsidRPr="00FC078E">
        <w:rPr>
          <w:rFonts w:ascii="Book Antiqua" w:hAnsi="Book Antiqua" w:cs="Book Antiqua"/>
          <w:color w:val="000000" w:themeColor="text1"/>
          <w:lang w:eastAsia="zh-CN"/>
        </w:rPr>
        <w:t xml:space="preserve"> A. </w:t>
      </w:r>
      <w:r w:rsidRPr="00FC078E">
        <w:rPr>
          <w:rFonts w:ascii="Book Antiqua" w:hAnsi="Book Antiqua"/>
          <w:color w:val="000000" w:themeColor="text1"/>
          <w:lang w:val="en-US"/>
        </w:rPr>
        <w:t xml:space="preserve">Comparison of </w:t>
      </w:r>
      <w:r w:rsidRPr="00FC078E">
        <w:rPr>
          <w:rFonts w:ascii="Book Antiqua" w:hAnsi="Book Antiqua" w:cs="Times"/>
          <w:color w:val="000000" w:themeColor="text1"/>
          <w:lang w:val="en-US"/>
        </w:rPr>
        <w:t>operative link for gastritis assessment</w:t>
      </w:r>
      <w:r w:rsidRPr="00FC078E">
        <w:rPr>
          <w:rFonts w:ascii="Book Antiqua" w:hAnsi="Book Antiqua"/>
          <w:color w:val="000000" w:themeColor="text1"/>
          <w:lang w:val="en-US"/>
        </w:rPr>
        <w:t xml:space="preserve">, </w:t>
      </w:r>
      <w:r w:rsidRPr="00FC078E">
        <w:rPr>
          <w:rFonts w:ascii="Book Antiqua" w:hAnsi="Book Antiqua" w:cs="Times"/>
          <w:color w:val="000000" w:themeColor="text1"/>
          <w:lang w:val="en-US"/>
        </w:rPr>
        <w:t>operative link on gastric intestinal metaplasia assessment</w:t>
      </w:r>
      <w:r w:rsidRPr="00FC078E">
        <w:rPr>
          <w:rFonts w:ascii="Book Antiqua" w:hAnsi="Book Antiqua"/>
          <w:color w:val="000000" w:themeColor="text1"/>
          <w:lang w:val="en-US"/>
        </w:rPr>
        <w:t xml:space="preserve">, and TAIM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xml:space="preserve"> among men with atrophic gastritis</w:t>
      </w:r>
      <w:r w:rsidRPr="00FC078E">
        <w:rPr>
          <w:rFonts w:ascii="Book Antiqua" w:hAnsi="Book Antiqua"/>
          <w:color w:val="000000" w:themeColor="text1"/>
          <w:lang w:val="en-US" w:eastAsia="zh-CN"/>
        </w:rPr>
        <w:t>.</w:t>
      </w:r>
      <w:r w:rsidRPr="00FC078E">
        <w:rPr>
          <w:rFonts w:ascii="Book Antiqua" w:eastAsia="宋体" w:hAnsi="Book Antiqua" w:cs="Times New Roman"/>
          <w:color w:val="000000" w:themeColor="text1"/>
        </w:rPr>
        <w:t xml:space="preserve"> </w:t>
      </w:r>
      <w:r w:rsidRPr="00FC078E">
        <w:rPr>
          <w:rFonts w:ascii="Book Antiqua" w:eastAsia="宋体" w:hAnsi="Book Antiqua" w:cs="Times New Roman"/>
          <w:i/>
          <w:color w:val="000000" w:themeColor="text1"/>
        </w:rPr>
        <w:t>World J Gastroenterol</w:t>
      </w:r>
      <w:r w:rsidRPr="00FC078E">
        <w:rPr>
          <w:rFonts w:ascii="Book Antiqua" w:eastAsia="宋体" w:hAnsi="Book Antiqua" w:cs="Times New Roman"/>
          <w:i/>
          <w:color w:val="000000" w:themeColor="text1"/>
          <w:lang w:eastAsia="zh-CN"/>
        </w:rPr>
        <w:t xml:space="preserve"> </w:t>
      </w:r>
      <w:r w:rsidRPr="00FC078E">
        <w:rPr>
          <w:rFonts w:ascii="Book Antiqua" w:eastAsia="宋体" w:hAnsi="Book Antiqua" w:cs="Times New Roman"/>
          <w:color w:val="000000" w:themeColor="text1"/>
          <w:lang w:eastAsia="zh-CN"/>
        </w:rPr>
        <w:t>2020; In press</w:t>
      </w:r>
    </w:p>
    <w:p w14:paraId="361C892B" w14:textId="77777777" w:rsidR="000D0CBA" w:rsidRPr="00FC078E" w:rsidRDefault="000D0CBA" w:rsidP="00FC078E">
      <w:pPr>
        <w:adjustRightInd w:val="0"/>
        <w:snapToGrid w:val="0"/>
        <w:spacing w:line="360" w:lineRule="auto"/>
        <w:jc w:val="both"/>
        <w:rPr>
          <w:rFonts w:ascii="Book Antiqua" w:hAnsi="Book Antiqua"/>
          <w:b/>
          <w:color w:val="000000" w:themeColor="text1"/>
          <w:lang w:val="en-US" w:eastAsia="zh-CN"/>
        </w:rPr>
      </w:pPr>
    </w:p>
    <w:p w14:paraId="0D35B64B" w14:textId="77777777" w:rsidR="00406720" w:rsidRPr="00FC078E" w:rsidRDefault="000D0CBA" w:rsidP="00FC078E">
      <w:pPr>
        <w:adjustRightInd w:val="0"/>
        <w:snapToGrid w:val="0"/>
        <w:spacing w:line="360" w:lineRule="auto"/>
        <w:jc w:val="both"/>
        <w:rPr>
          <w:rFonts w:ascii="Book Antiqua" w:eastAsia="宋体" w:hAnsi="Book Antiqua"/>
          <w:color w:val="000000" w:themeColor="text1"/>
          <w:lang w:val="en-US" w:eastAsia="zh-CN"/>
        </w:rPr>
      </w:pPr>
      <w:r w:rsidRPr="00FC078E">
        <w:rPr>
          <w:rFonts w:ascii="Book Antiqua" w:hAnsi="Book Antiqua"/>
          <w:b/>
          <w:color w:val="000000" w:themeColor="text1"/>
          <w:lang w:val="en-US"/>
        </w:rPr>
        <w:t>Co</w:t>
      </w:r>
      <w:r w:rsidRPr="00FC078E">
        <w:rPr>
          <w:rFonts w:ascii="Book Antiqua" w:eastAsia="宋体" w:hAnsi="Book Antiqua"/>
          <w:b/>
          <w:color w:val="000000" w:themeColor="text1"/>
          <w:lang w:val="en-US" w:eastAsia="zh-CN"/>
        </w:rPr>
        <w:t>re tip:</w:t>
      </w:r>
      <w:r w:rsidRPr="00FC078E">
        <w:rPr>
          <w:rFonts w:ascii="Book Antiqua" w:hAnsi="Book Antiqua"/>
          <w:color w:val="000000" w:themeColor="text1"/>
        </w:rPr>
        <w:t xml:space="preserve"> </w:t>
      </w:r>
      <w:r w:rsidRPr="00FC078E">
        <w:rPr>
          <w:rFonts w:ascii="Book Antiqua" w:eastAsia="宋体" w:hAnsi="Book Antiqua"/>
          <w:color w:val="000000" w:themeColor="text1"/>
          <w:lang w:val="en-US" w:eastAsia="zh-CN"/>
        </w:rPr>
        <w:t xml:space="preserve">In low-risk countries, most gastric cancers are diagnosed at an advanced stage without possibility for curative treatment. There is a need for better selection of patients with precancerous findings for surveillance. </w:t>
      </w:r>
      <w:r w:rsidR="00406720" w:rsidRPr="00FC078E">
        <w:rPr>
          <w:rStyle w:val="dxebaseoffice2010blue"/>
          <w:rFonts w:ascii="Book Antiqua" w:hAnsi="Book Antiqua"/>
          <w:color w:val="000000" w:themeColor="text1"/>
        </w:rPr>
        <w:t>Operative link for gastritis assessment (OLGA) and operative link on gastric intestinal metaplasia assessment (OLGIM)</w:t>
      </w:r>
      <w:r w:rsidRPr="00FC078E">
        <w:rPr>
          <w:rFonts w:ascii="Book Antiqua" w:eastAsia="宋体" w:hAnsi="Book Antiqua"/>
          <w:color w:val="000000" w:themeColor="text1"/>
          <w:lang w:val="en-US" w:eastAsia="zh-CN"/>
        </w:rPr>
        <w:t xml:space="preserve"> staging systems provide a useful tool to evaluate the gastric cancer risk. We have developed a novel staging, TAIM, which combines atrophy and intestinal metaplasia. Our results support the earlier findings that OLGIM detects high-risk patients better than </w:t>
      </w:r>
      <w:r w:rsidRPr="00FC078E">
        <w:rPr>
          <w:rFonts w:ascii="Book Antiqua" w:eastAsia="宋体" w:hAnsi="Book Antiqua"/>
          <w:color w:val="000000" w:themeColor="text1"/>
          <w:lang w:val="en-US" w:eastAsia="zh-CN"/>
        </w:rPr>
        <w:lastRenderedPageBreak/>
        <w:t>OLGA, and with TAIM staging, even more patients could be detected and forwarded for beneficial endoscopic surveillance.</w:t>
      </w:r>
    </w:p>
    <w:p w14:paraId="35EE061C" w14:textId="77777777" w:rsidR="00406720" w:rsidRPr="00FC078E" w:rsidRDefault="00406720" w:rsidP="00FC078E">
      <w:pPr>
        <w:adjustRightInd w:val="0"/>
        <w:snapToGrid w:val="0"/>
        <w:spacing w:line="360" w:lineRule="auto"/>
        <w:jc w:val="both"/>
        <w:rPr>
          <w:rFonts w:ascii="Book Antiqua" w:hAnsi="Book Antiqua" w:cs="Times"/>
          <w:color w:val="000000" w:themeColor="text1"/>
          <w:lang w:val="en-US" w:eastAsia="zh-CN"/>
        </w:rPr>
      </w:pPr>
    </w:p>
    <w:p w14:paraId="61E27798" w14:textId="00A8812F" w:rsidR="00295F95" w:rsidRPr="00FC078E" w:rsidRDefault="00406720" w:rsidP="00FC078E">
      <w:pPr>
        <w:adjustRightInd w:val="0"/>
        <w:snapToGrid w:val="0"/>
        <w:spacing w:line="360" w:lineRule="auto"/>
        <w:jc w:val="both"/>
        <w:rPr>
          <w:rFonts w:ascii="Book Antiqua" w:hAnsi="Book Antiqua" w:cs="Times"/>
          <w:b/>
          <w:color w:val="000000" w:themeColor="text1"/>
          <w:u w:val="single"/>
          <w:lang w:val="en-US" w:eastAsia="zh-CN"/>
        </w:rPr>
      </w:pPr>
      <w:r w:rsidRPr="00FC078E">
        <w:rPr>
          <w:rFonts w:ascii="Book Antiqua" w:hAnsi="Book Antiqua" w:cs="Times"/>
          <w:b/>
          <w:color w:val="000000" w:themeColor="text1"/>
          <w:u w:val="single"/>
          <w:lang w:val="en-US"/>
        </w:rPr>
        <w:t>INTRODUCTION</w:t>
      </w:r>
    </w:p>
    <w:p w14:paraId="63B9B333" w14:textId="77777777" w:rsidR="00406720" w:rsidRPr="00FC078E" w:rsidRDefault="00295F95" w:rsidP="00FC078E">
      <w:pPr>
        <w:adjustRightInd w:val="0"/>
        <w:snapToGrid w:val="0"/>
        <w:spacing w:line="360" w:lineRule="auto"/>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The incidence of gastric cancer across the globe varies considerably. Half of new gastric cancer cases occur in eastern Asia, with highest incidence rates in China, Japan, and South Korea. Although the incidence of gastric cancer has decreased continuously during the past half century, worldwide it remains the fifth most common malignancy, and the third leadin</w:t>
      </w:r>
      <w:r w:rsidR="00406720" w:rsidRPr="00FC078E">
        <w:rPr>
          <w:rFonts w:ascii="Book Antiqua" w:hAnsi="Book Antiqua" w:cs="Times"/>
          <w:color w:val="000000" w:themeColor="text1"/>
          <w:lang w:val="en-US"/>
        </w:rPr>
        <w:t xml:space="preserve">g cause of cancer related </w:t>
      </w:r>
      <w:proofErr w:type="gramStart"/>
      <w:r w:rsidR="00406720" w:rsidRPr="00FC078E">
        <w:rPr>
          <w:rFonts w:ascii="Book Antiqua" w:hAnsi="Book Antiqua" w:cs="Times"/>
          <w:color w:val="000000" w:themeColor="text1"/>
          <w:lang w:val="en-US"/>
        </w:rPr>
        <w:t>death</w:t>
      </w:r>
      <w:r w:rsidR="00406720" w:rsidRPr="00FC078E">
        <w:rPr>
          <w:rFonts w:ascii="Book Antiqua" w:hAnsi="Book Antiqua" w:cs="Times"/>
          <w:color w:val="000000" w:themeColor="text1"/>
          <w:vertAlign w:val="superscript"/>
          <w:lang w:val="en-US" w:eastAsia="zh-CN"/>
        </w:rPr>
        <w:t>[</w:t>
      </w:r>
      <w:proofErr w:type="gramEnd"/>
      <w:r w:rsidRPr="00FC078E">
        <w:rPr>
          <w:rFonts w:ascii="Book Antiqua" w:hAnsi="Book Antiqua" w:cs="Times"/>
          <w:color w:val="000000" w:themeColor="text1"/>
          <w:vertAlign w:val="superscript"/>
          <w:lang w:val="en-US"/>
        </w:rPr>
        <w:t>1</w:t>
      </w:r>
      <w:r w:rsidR="00406720" w:rsidRPr="00FC078E">
        <w:rPr>
          <w:rFonts w:ascii="Book Antiqua" w:hAnsi="Book Antiqua" w:cs="Times"/>
          <w:color w:val="000000" w:themeColor="text1"/>
          <w:vertAlign w:val="superscript"/>
          <w:lang w:val="en-US" w:eastAsia="zh-CN"/>
        </w:rPr>
        <w:t>]</w:t>
      </w:r>
      <w:r w:rsidRPr="00FC078E">
        <w:rPr>
          <w:rFonts w:ascii="Book Antiqua" w:hAnsi="Book Antiqua" w:cs="Times"/>
          <w:color w:val="000000" w:themeColor="text1"/>
          <w:lang w:val="en-US"/>
        </w:rPr>
        <w:t>. The gastric cancer incidence is low in western countries. In 2016, the Finnish age-standardized incidence for men w</w:t>
      </w:r>
      <w:r w:rsidR="00406720" w:rsidRPr="00FC078E">
        <w:rPr>
          <w:rFonts w:ascii="Book Antiqua" w:hAnsi="Book Antiqua" w:cs="Times"/>
          <w:color w:val="000000" w:themeColor="text1"/>
          <w:lang w:val="en-US"/>
        </w:rPr>
        <w:t>as 5.3/100</w:t>
      </w:r>
      <w:r w:rsidRPr="00FC078E">
        <w:rPr>
          <w:rFonts w:ascii="Book Antiqua" w:hAnsi="Book Antiqua" w:cs="Times"/>
          <w:color w:val="000000" w:themeColor="text1"/>
          <w:lang w:val="en-US"/>
        </w:rPr>
        <w:t xml:space="preserve">000 and </w:t>
      </w:r>
      <w:r w:rsidR="00406720" w:rsidRPr="00FC078E">
        <w:rPr>
          <w:rFonts w:ascii="Book Antiqua" w:hAnsi="Book Antiqua" w:cs="Times"/>
          <w:color w:val="000000" w:themeColor="text1"/>
          <w:lang w:val="en-US"/>
        </w:rPr>
        <w:t>for women was 3.4/100</w:t>
      </w:r>
      <w:r w:rsidRPr="00FC078E">
        <w:rPr>
          <w:rFonts w:ascii="Book Antiqua" w:hAnsi="Book Antiqua" w:cs="Times"/>
          <w:color w:val="000000" w:themeColor="text1"/>
          <w:lang w:val="en-US"/>
        </w:rPr>
        <w:t>000</w:t>
      </w:r>
      <w:r w:rsidR="00406720" w:rsidRPr="00FC078E">
        <w:rPr>
          <w:rFonts w:ascii="Book Antiqua" w:hAnsi="Book Antiqua" w:cs="Times"/>
          <w:color w:val="000000" w:themeColor="text1"/>
          <w:vertAlign w:val="superscript"/>
          <w:lang w:val="en-US" w:eastAsia="zh-CN"/>
        </w:rPr>
        <w:t>[2]</w:t>
      </w:r>
      <w:r w:rsidRPr="00FC078E">
        <w:rPr>
          <w:rFonts w:ascii="Book Antiqua" w:hAnsi="Book Antiqua" w:cs="Times"/>
          <w:color w:val="000000" w:themeColor="text1"/>
          <w:lang w:val="en-US"/>
        </w:rPr>
        <w:t>. In the West, the majority of gastric cancers are diagnosed at advanced stages, and the overall five-year survival rate is only about 25</w:t>
      </w:r>
      <w:proofErr w:type="gramStart"/>
      <w:r w:rsidRPr="00FC078E">
        <w:rPr>
          <w:rFonts w:ascii="Book Antiqua" w:hAnsi="Book Antiqua" w:cs="Times"/>
          <w:color w:val="000000" w:themeColor="text1"/>
          <w:lang w:val="en-US"/>
        </w:rPr>
        <w:t>%</w:t>
      </w:r>
      <w:r w:rsidR="00406720" w:rsidRPr="00FC078E">
        <w:rPr>
          <w:rFonts w:ascii="Book Antiqua" w:hAnsi="Book Antiqua" w:cs="Times"/>
          <w:color w:val="000000" w:themeColor="text1"/>
          <w:vertAlign w:val="superscript"/>
          <w:lang w:val="en-US" w:eastAsia="zh-CN"/>
        </w:rPr>
        <w:t>[</w:t>
      </w:r>
      <w:proofErr w:type="gramEnd"/>
      <w:r w:rsidR="00406720" w:rsidRPr="00FC078E">
        <w:rPr>
          <w:rFonts w:ascii="Book Antiqua" w:hAnsi="Book Antiqua" w:cs="Times"/>
          <w:color w:val="000000" w:themeColor="text1"/>
          <w:vertAlign w:val="superscript"/>
          <w:lang w:val="en-US" w:eastAsia="zh-CN"/>
        </w:rPr>
        <w:t>2]</w:t>
      </w:r>
      <w:r w:rsidRPr="00FC078E">
        <w:rPr>
          <w:rFonts w:ascii="Book Antiqua" w:hAnsi="Book Antiqua" w:cs="Times"/>
          <w:color w:val="000000" w:themeColor="text1"/>
          <w:lang w:val="en-US"/>
        </w:rPr>
        <w:t xml:space="preserve">. Cancer cases cumulate to older age groups, and male predominance is seen in all parts of the </w:t>
      </w:r>
      <w:proofErr w:type="gramStart"/>
      <w:r w:rsidRPr="00FC078E">
        <w:rPr>
          <w:rFonts w:ascii="Book Antiqua" w:hAnsi="Book Antiqua" w:cs="Times"/>
          <w:color w:val="000000" w:themeColor="text1"/>
          <w:lang w:val="en-US"/>
        </w:rPr>
        <w:t>world</w:t>
      </w:r>
      <w:r w:rsidR="00406720" w:rsidRPr="00FC078E">
        <w:rPr>
          <w:rFonts w:ascii="Book Antiqua" w:hAnsi="Book Antiqua" w:cs="Times"/>
          <w:color w:val="000000" w:themeColor="text1"/>
          <w:vertAlign w:val="superscript"/>
          <w:lang w:val="en-US" w:eastAsia="zh-CN"/>
        </w:rPr>
        <w:t>[</w:t>
      </w:r>
      <w:proofErr w:type="gramEnd"/>
      <w:r w:rsidR="00406720" w:rsidRPr="00FC078E">
        <w:rPr>
          <w:rFonts w:ascii="Book Antiqua" w:hAnsi="Book Antiqua" w:cs="Times"/>
          <w:color w:val="000000" w:themeColor="text1"/>
          <w:vertAlign w:val="superscript"/>
          <w:lang w:val="en-US" w:eastAsia="zh-CN"/>
        </w:rPr>
        <w:t>1]</w:t>
      </w:r>
      <w:r w:rsidRPr="00FC078E">
        <w:rPr>
          <w:rFonts w:ascii="Book Antiqua" w:hAnsi="Book Antiqua" w:cs="Times"/>
          <w:color w:val="000000" w:themeColor="text1"/>
          <w:lang w:val="en-US"/>
        </w:rPr>
        <w:t>.</w:t>
      </w:r>
    </w:p>
    <w:p w14:paraId="288B7834" w14:textId="0DFC14B7" w:rsidR="000E39FC"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Gastric carcinomas can be divided into intestinal and diffuse types by histology, or they may have features of both histological types (mixed </w:t>
      </w:r>
      <w:proofErr w:type="gramStart"/>
      <w:r w:rsidRPr="00FC078E">
        <w:rPr>
          <w:rFonts w:ascii="Book Antiqua" w:hAnsi="Book Antiqua" w:cs="Times"/>
          <w:color w:val="000000" w:themeColor="text1"/>
          <w:lang w:val="en-US"/>
        </w:rPr>
        <w:t>type)</w:t>
      </w:r>
      <w:r w:rsidR="00406720" w:rsidRPr="00FC078E">
        <w:rPr>
          <w:rFonts w:ascii="Book Antiqua" w:hAnsi="Book Antiqua" w:cs="Times"/>
          <w:color w:val="000000" w:themeColor="text1"/>
          <w:vertAlign w:val="superscript"/>
          <w:lang w:val="en-US" w:eastAsia="zh-CN"/>
        </w:rPr>
        <w:t>[</w:t>
      </w:r>
      <w:proofErr w:type="gramEnd"/>
      <w:r w:rsidR="00406720" w:rsidRPr="00FC078E">
        <w:rPr>
          <w:rFonts w:ascii="Book Antiqua" w:hAnsi="Book Antiqua" w:cs="Times"/>
          <w:color w:val="000000" w:themeColor="text1"/>
          <w:vertAlign w:val="superscript"/>
          <w:lang w:val="en-US" w:eastAsia="zh-CN"/>
        </w:rPr>
        <w:t>3]</w:t>
      </w:r>
      <w:r w:rsidRPr="00FC078E">
        <w:rPr>
          <w:rFonts w:ascii="Book Antiqua" w:hAnsi="Book Antiqua" w:cs="Times"/>
          <w:color w:val="000000" w:themeColor="text1"/>
          <w:lang w:val="en-US"/>
        </w:rPr>
        <w:t>. The development of gastric cancer takes several years, and multiple precancerous alterations in gastric mucosa may precede int</w:t>
      </w:r>
      <w:r w:rsidR="00406720" w:rsidRPr="00FC078E">
        <w:rPr>
          <w:rFonts w:ascii="Book Antiqua" w:hAnsi="Book Antiqua" w:cs="Times"/>
          <w:color w:val="000000" w:themeColor="text1"/>
          <w:lang w:val="en-US"/>
        </w:rPr>
        <w:t xml:space="preserve">estinal types of gastric </w:t>
      </w:r>
      <w:proofErr w:type="gramStart"/>
      <w:r w:rsidR="00406720" w:rsidRPr="00FC078E">
        <w:rPr>
          <w:rFonts w:ascii="Book Antiqua" w:hAnsi="Book Antiqua" w:cs="Times"/>
          <w:color w:val="000000" w:themeColor="text1"/>
          <w:lang w:val="en-US"/>
        </w:rPr>
        <w:t>cancer</w:t>
      </w:r>
      <w:r w:rsidR="00406720" w:rsidRPr="00FC078E">
        <w:rPr>
          <w:rFonts w:ascii="Book Antiqua" w:hAnsi="Book Antiqua" w:cs="Times"/>
          <w:color w:val="000000" w:themeColor="text1"/>
          <w:vertAlign w:val="superscript"/>
          <w:lang w:val="en-US" w:eastAsia="zh-CN"/>
        </w:rPr>
        <w:t>[</w:t>
      </w:r>
      <w:proofErr w:type="gramEnd"/>
      <w:r w:rsidR="00406720" w:rsidRPr="00FC078E">
        <w:rPr>
          <w:rFonts w:ascii="Book Antiqua" w:hAnsi="Book Antiqua" w:cs="Times"/>
          <w:color w:val="000000" w:themeColor="text1"/>
          <w:vertAlign w:val="superscript"/>
          <w:lang w:val="en-US" w:eastAsia="zh-CN"/>
        </w:rPr>
        <w:t>4]</w:t>
      </w:r>
      <w:r w:rsidRPr="00FC078E">
        <w:rPr>
          <w:rFonts w:ascii="Book Antiqua" w:hAnsi="Book Antiqua" w:cs="Times"/>
          <w:color w:val="000000" w:themeColor="text1"/>
          <w:lang w:val="en-US"/>
        </w:rPr>
        <w:t xml:space="preserve">. </w:t>
      </w:r>
      <w:r w:rsidRPr="00FC078E">
        <w:rPr>
          <w:rFonts w:ascii="Book Antiqua" w:hAnsi="Book Antiqua" w:cs="Times"/>
          <w:i/>
          <w:color w:val="000000" w:themeColor="text1"/>
          <w:lang w:val="en-US"/>
        </w:rPr>
        <w:t>Helicobacter pylori</w:t>
      </w:r>
      <w:r w:rsidRPr="00FC078E">
        <w:rPr>
          <w:rFonts w:ascii="Book Antiqua" w:hAnsi="Book Antiqua" w:cs="Times"/>
          <w:color w:val="000000" w:themeColor="text1"/>
          <w:lang w:val="en-US"/>
        </w:rPr>
        <w:t xml:space="preserve"> </w:t>
      </w:r>
      <w:r w:rsidR="0050200F" w:rsidRPr="00FC078E">
        <w:rPr>
          <w:rFonts w:ascii="Book Antiqua" w:hAnsi="Book Antiqua" w:cs="Times"/>
          <w:color w:val="000000" w:themeColor="text1"/>
          <w:lang w:val="en-US" w:eastAsia="zh-CN"/>
        </w:rPr>
        <w:t>(</w:t>
      </w:r>
      <w:r w:rsidR="0050200F" w:rsidRPr="00FC078E">
        <w:rPr>
          <w:rFonts w:ascii="Book Antiqua" w:hAnsi="Book Antiqua" w:cs="Times"/>
          <w:i/>
          <w:color w:val="000000" w:themeColor="text1"/>
          <w:lang w:val="en-US"/>
        </w:rPr>
        <w:t>H</w:t>
      </w:r>
      <w:r w:rsidR="0050200F" w:rsidRPr="00FC078E">
        <w:rPr>
          <w:rFonts w:ascii="Book Antiqua" w:hAnsi="Book Antiqua" w:cs="Times"/>
          <w:i/>
          <w:color w:val="000000" w:themeColor="text1"/>
          <w:lang w:val="en-US" w:eastAsia="zh-CN"/>
        </w:rPr>
        <w:t>.</w:t>
      </w:r>
      <w:r w:rsidR="0050200F" w:rsidRPr="00FC078E">
        <w:rPr>
          <w:rFonts w:ascii="Book Antiqua" w:hAnsi="Book Antiqua" w:cs="Times"/>
          <w:i/>
          <w:color w:val="000000" w:themeColor="text1"/>
          <w:lang w:val="en-US"/>
        </w:rPr>
        <w:t xml:space="preserve"> pylori</w:t>
      </w:r>
      <w:r w:rsidR="0050200F"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infection triggers inflammation in gastric mucosa, and when persistent, can be followed by atrophic gastritis, intestinal metaplasia (IM), dysplasia, and finally gastric adenocarcinoma, a </w:t>
      </w:r>
      <w:r w:rsidR="00406720" w:rsidRPr="00FC078E">
        <w:rPr>
          <w:rFonts w:ascii="Book Antiqua" w:hAnsi="Book Antiqua" w:cs="Times"/>
          <w:color w:val="000000" w:themeColor="text1"/>
          <w:lang w:val="en-US"/>
        </w:rPr>
        <w:t xml:space="preserve">pathway called Correa’s </w:t>
      </w:r>
      <w:proofErr w:type="gramStart"/>
      <w:r w:rsidR="00406720" w:rsidRPr="00FC078E">
        <w:rPr>
          <w:rFonts w:ascii="Book Antiqua" w:hAnsi="Book Antiqua" w:cs="Times"/>
          <w:color w:val="000000" w:themeColor="text1"/>
          <w:lang w:val="en-US"/>
        </w:rPr>
        <w:t>cascade</w:t>
      </w:r>
      <w:r w:rsidR="00406720" w:rsidRPr="00FC078E">
        <w:rPr>
          <w:rFonts w:ascii="Book Antiqua" w:hAnsi="Book Antiqua" w:cs="Times"/>
          <w:color w:val="000000" w:themeColor="text1"/>
          <w:vertAlign w:val="superscript"/>
          <w:lang w:val="en-US" w:eastAsia="zh-CN"/>
        </w:rPr>
        <w:t>[</w:t>
      </w:r>
      <w:proofErr w:type="gramEnd"/>
      <w:r w:rsidR="00406720" w:rsidRPr="00FC078E">
        <w:rPr>
          <w:rFonts w:ascii="Book Antiqua" w:hAnsi="Book Antiqua" w:cs="Times"/>
          <w:color w:val="000000" w:themeColor="text1"/>
          <w:vertAlign w:val="superscript"/>
          <w:lang w:val="en-US" w:eastAsia="zh-CN"/>
        </w:rPr>
        <w:t>5]</w:t>
      </w:r>
      <w:r w:rsidRPr="00FC078E">
        <w:rPr>
          <w:rFonts w:ascii="Book Antiqua" w:hAnsi="Book Antiqua" w:cs="Times"/>
          <w:color w:val="000000" w:themeColor="text1"/>
          <w:lang w:val="en-US"/>
        </w:rPr>
        <w:t>.</w:t>
      </w:r>
    </w:p>
    <w:p w14:paraId="4C37FDF2" w14:textId="77777777" w:rsidR="005452BA"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Pepsinogen I (PGI) is produced by oxyntic mucosa of the stomach, and PGII by both oxyntic and antral mucosa. Serum pepsinogen tests have been used as an indirect, noninvasive method for gastric cancer </w:t>
      </w:r>
      <w:proofErr w:type="gramStart"/>
      <w:r w:rsidRPr="00FC078E">
        <w:rPr>
          <w:rFonts w:ascii="Book Antiqua" w:hAnsi="Book Antiqua" w:cs="Times"/>
          <w:color w:val="000000" w:themeColor="text1"/>
          <w:lang w:val="en-US"/>
        </w:rPr>
        <w:t>screening</w:t>
      </w:r>
      <w:r w:rsidR="0050200F" w:rsidRPr="00FC078E">
        <w:rPr>
          <w:rFonts w:ascii="Book Antiqua" w:hAnsi="Book Antiqua" w:cs="Times"/>
          <w:color w:val="000000" w:themeColor="text1"/>
          <w:vertAlign w:val="superscript"/>
          <w:lang w:val="en-US" w:eastAsia="zh-CN"/>
        </w:rPr>
        <w:t>[</w:t>
      </w:r>
      <w:proofErr w:type="gramEnd"/>
      <w:r w:rsidR="0050200F" w:rsidRPr="00FC078E">
        <w:rPr>
          <w:rFonts w:ascii="Book Antiqua" w:hAnsi="Book Antiqua" w:cs="Times"/>
          <w:color w:val="000000" w:themeColor="text1"/>
          <w:vertAlign w:val="superscript"/>
          <w:lang w:val="en-US" w:eastAsia="zh-CN"/>
        </w:rPr>
        <w:t>6]</w:t>
      </w:r>
      <w:r w:rsidRPr="00FC078E">
        <w:rPr>
          <w:rFonts w:ascii="Book Antiqua" w:hAnsi="Book Antiqua" w:cs="Times"/>
          <w:color w:val="000000" w:themeColor="text1"/>
          <w:lang w:val="en-US"/>
        </w:rPr>
        <w:t>.</w:t>
      </w:r>
      <w:r w:rsidR="0050200F"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Now radiographic and endoscopic screenings are recommended for high-risk </w:t>
      </w:r>
      <w:proofErr w:type="gramStart"/>
      <w:r w:rsidRPr="00FC078E">
        <w:rPr>
          <w:rFonts w:ascii="Book Antiqua" w:hAnsi="Book Antiqua" w:cs="Times"/>
          <w:color w:val="000000" w:themeColor="text1"/>
          <w:lang w:val="en-US"/>
        </w:rPr>
        <w:t>populations</w:t>
      </w:r>
      <w:r w:rsidR="0050200F" w:rsidRPr="00FC078E">
        <w:rPr>
          <w:rFonts w:ascii="Book Antiqua" w:hAnsi="Book Antiqua" w:cs="Times"/>
          <w:color w:val="000000" w:themeColor="text1"/>
          <w:vertAlign w:val="superscript"/>
          <w:lang w:val="en-US" w:eastAsia="zh-CN"/>
        </w:rPr>
        <w:t>[</w:t>
      </w:r>
      <w:proofErr w:type="gramEnd"/>
      <w:r w:rsidR="0050200F" w:rsidRPr="00FC078E">
        <w:rPr>
          <w:rFonts w:ascii="Book Antiqua" w:hAnsi="Book Antiqua" w:cs="Times"/>
          <w:color w:val="000000" w:themeColor="text1"/>
          <w:vertAlign w:val="superscript"/>
          <w:lang w:val="en-US" w:eastAsia="zh-CN"/>
        </w:rPr>
        <w:t>7]</w:t>
      </w:r>
      <w:r w:rsidRPr="00FC078E">
        <w:rPr>
          <w:rFonts w:ascii="Book Antiqua" w:hAnsi="Book Antiqua" w:cs="Times"/>
          <w:color w:val="000000" w:themeColor="text1"/>
          <w:lang w:val="en-US"/>
        </w:rPr>
        <w:t xml:space="preserve">. Population screening programs for gastric cancer are organized in high-risk countries, such as in Japan and South </w:t>
      </w:r>
      <w:proofErr w:type="gramStart"/>
      <w:r w:rsidRPr="00FC078E">
        <w:rPr>
          <w:rFonts w:ascii="Book Antiqua" w:hAnsi="Book Antiqua" w:cs="Times"/>
          <w:color w:val="000000" w:themeColor="text1"/>
          <w:lang w:val="en-US"/>
        </w:rPr>
        <w:t>Korea</w:t>
      </w:r>
      <w:r w:rsidR="0050200F" w:rsidRPr="00FC078E">
        <w:rPr>
          <w:rFonts w:ascii="Book Antiqua" w:hAnsi="Book Antiqua" w:cs="Times"/>
          <w:color w:val="000000" w:themeColor="text1"/>
          <w:vertAlign w:val="superscript"/>
          <w:lang w:val="en-US" w:eastAsia="zh-CN"/>
        </w:rPr>
        <w:t>[</w:t>
      </w:r>
      <w:proofErr w:type="gramEnd"/>
      <w:r w:rsidR="0050200F" w:rsidRPr="00FC078E">
        <w:rPr>
          <w:rFonts w:ascii="Book Antiqua" w:hAnsi="Book Antiqua" w:cs="Times"/>
          <w:color w:val="000000" w:themeColor="text1"/>
          <w:vertAlign w:val="superscript"/>
          <w:lang w:val="en-US" w:eastAsia="zh-CN"/>
        </w:rPr>
        <w:t>8]</w:t>
      </w:r>
      <w:r w:rsidR="0050200F" w:rsidRPr="00FC078E">
        <w:rPr>
          <w:rFonts w:ascii="Book Antiqua" w:hAnsi="Book Antiqua" w:cs="Times"/>
          <w:color w:val="000000" w:themeColor="text1"/>
          <w:vertAlign w:val="subscript"/>
          <w:lang w:val="en-US" w:eastAsia="zh-CN"/>
        </w:rPr>
        <w:t>,</w:t>
      </w:r>
      <w:r w:rsidRPr="00FC078E">
        <w:rPr>
          <w:rFonts w:ascii="Book Antiqua" w:hAnsi="Book Antiqua" w:cs="Times"/>
          <w:color w:val="000000" w:themeColor="text1"/>
          <w:lang w:val="en-US"/>
        </w:rPr>
        <w:t xml:space="preserve"> thus, cancers can be detected earlier allowing more commonly curative treatment.</w:t>
      </w:r>
    </w:p>
    <w:p w14:paraId="01A6BA23" w14:textId="77777777" w:rsidR="00086977"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lastRenderedPageBreak/>
        <w:t xml:space="preserve">Gastric biopsy samples are evaluated an using updated Sydney System, in which the intensity of inflammatory cells, </w:t>
      </w:r>
      <w:r w:rsidRPr="00FC078E">
        <w:rPr>
          <w:rFonts w:ascii="Book Antiqua" w:hAnsi="Book Antiqua" w:cs="Times"/>
          <w:i/>
          <w:color w:val="000000" w:themeColor="text1"/>
          <w:lang w:val="en-US"/>
        </w:rPr>
        <w:t>H. pylori</w:t>
      </w:r>
      <w:r w:rsidRPr="00FC078E">
        <w:rPr>
          <w:rFonts w:ascii="Book Antiqua" w:hAnsi="Book Antiqua" w:cs="Times"/>
          <w:color w:val="000000" w:themeColor="text1"/>
          <w:lang w:val="en-US"/>
        </w:rPr>
        <w:t xml:space="preserve"> density, atrophy, and IM are graded to normal, m</w:t>
      </w:r>
      <w:r w:rsidR="001E0484" w:rsidRPr="00FC078E">
        <w:rPr>
          <w:rFonts w:ascii="Book Antiqua" w:hAnsi="Book Antiqua" w:cs="Times"/>
          <w:color w:val="000000" w:themeColor="text1"/>
          <w:lang w:val="en-US"/>
        </w:rPr>
        <w:t xml:space="preserve">ild, moderate, or </w:t>
      </w:r>
      <w:proofErr w:type="gramStart"/>
      <w:r w:rsidR="001E0484" w:rsidRPr="00FC078E">
        <w:rPr>
          <w:rFonts w:ascii="Book Antiqua" w:hAnsi="Book Antiqua" w:cs="Times"/>
          <w:color w:val="000000" w:themeColor="text1"/>
          <w:lang w:val="en-US"/>
        </w:rPr>
        <w:t>marked</w:t>
      </w:r>
      <w:r w:rsidR="001E0484" w:rsidRPr="00FC078E">
        <w:rPr>
          <w:rFonts w:ascii="Book Antiqua" w:hAnsi="Book Antiqua" w:cs="Times"/>
          <w:color w:val="000000" w:themeColor="text1"/>
          <w:vertAlign w:val="superscript"/>
          <w:lang w:val="en-US" w:eastAsia="zh-CN"/>
        </w:rPr>
        <w:t>[</w:t>
      </w:r>
      <w:proofErr w:type="gramEnd"/>
      <w:r w:rsidR="001E0484" w:rsidRPr="00FC078E">
        <w:rPr>
          <w:rFonts w:ascii="Book Antiqua" w:hAnsi="Book Antiqua" w:cs="Times"/>
          <w:color w:val="000000" w:themeColor="text1"/>
          <w:vertAlign w:val="superscript"/>
          <w:lang w:val="en-US" w:eastAsia="zh-CN"/>
        </w:rPr>
        <w:t>9]</w:t>
      </w:r>
      <w:r w:rsidRPr="00FC078E">
        <w:rPr>
          <w:rFonts w:ascii="Book Antiqua" w:hAnsi="Book Antiqua" w:cs="Times"/>
          <w:color w:val="000000" w:themeColor="text1"/>
          <w:lang w:val="en-US"/>
        </w:rPr>
        <w:t xml:space="preserve">. Based on histological grading using the Sydney System, two staging systems have been created to detect patients with increased gastric cancer risk. The </w:t>
      </w:r>
      <w:r w:rsidR="007B76A3" w:rsidRPr="00FC078E">
        <w:rPr>
          <w:rFonts w:ascii="Book Antiqua" w:hAnsi="Book Antiqua" w:cs="Times"/>
          <w:color w:val="000000" w:themeColor="text1"/>
          <w:lang w:val="en-US"/>
        </w:rPr>
        <w:t>operative link for gastritis assessment</w:t>
      </w:r>
      <w:r w:rsidRPr="00FC078E">
        <w:rPr>
          <w:rFonts w:ascii="Book Antiqua" w:hAnsi="Book Antiqua" w:cs="Times"/>
          <w:color w:val="000000" w:themeColor="text1"/>
          <w:lang w:val="en-US"/>
        </w:rPr>
        <w:t xml:space="preserve"> (OLGA</w:t>
      </w:r>
      <w:proofErr w:type="gramStart"/>
      <w:r w:rsidRPr="00FC078E">
        <w:rPr>
          <w:rFonts w:ascii="Book Antiqua" w:hAnsi="Book Antiqua" w:cs="Times"/>
          <w:color w:val="000000" w:themeColor="text1"/>
          <w:lang w:val="en-US"/>
        </w:rPr>
        <w:t>)</w:t>
      </w:r>
      <w:r w:rsidR="001E0484" w:rsidRPr="00FC078E">
        <w:rPr>
          <w:rFonts w:ascii="Book Antiqua" w:hAnsi="Book Antiqua" w:cs="Times"/>
          <w:color w:val="000000" w:themeColor="text1"/>
          <w:vertAlign w:val="superscript"/>
          <w:lang w:val="en-US" w:eastAsia="zh-CN"/>
        </w:rPr>
        <w:t>[</w:t>
      </w:r>
      <w:proofErr w:type="gramEnd"/>
      <w:r w:rsidR="001E0484" w:rsidRPr="00FC078E">
        <w:rPr>
          <w:rFonts w:ascii="Book Antiqua" w:hAnsi="Book Antiqua" w:cs="Times"/>
          <w:color w:val="000000" w:themeColor="text1"/>
          <w:vertAlign w:val="superscript"/>
          <w:lang w:val="en-US" w:eastAsia="zh-CN"/>
        </w:rPr>
        <w:t>10]</w:t>
      </w:r>
      <w:r w:rsidRPr="00FC078E">
        <w:rPr>
          <w:rFonts w:ascii="Book Antiqua" w:hAnsi="Book Antiqua" w:cs="Times"/>
          <w:color w:val="000000" w:themeColor="text1"/>
          <w:lang w:val="en-US"/>
        </w:rPr>
        <w:t xml:space="preserve"> and </w:t>
      </w:r>
      <w:r w:rsidR="007B76A3" w:rsidRPr="00FC078E">
        <w:rPr>
          <w:rFonts w:ascii="Book Antiqua" w:hAnsi="Book Antiqua" w:cs="Times"/>
          <w:color w:val="000000" w:themeColor="text1"/>
          <w:lang w:val="en-US"/>
        </w:rPr>
        <w:t>operative link on gastric intestinal metaplasia assessment</w:t>
      </w:r>
      <w:r w:rsidRPr="00FC078E">
        <w:rPr>
          <w:rFonts w:ascii="Book Antiqua" w:hAnsi="Book Antiqua" w:cs="Times"/>
          <w:color w:val="000000" w:themeColor="text1"/>
          <w:lang w:val="en-US"/>
        </w:rPr>
        <w:t xml:space="preserve"> (OLGIM)</w:t>
      </w:r>
      <w:r w:rsidR="001E0484" w:rsidRPr="00FC078E">
        <w:rPr>
          <w:rFonts w:ascii="Book Antiqua" w:hAnsi="Book Antiqua" w:cs="Times"/>
          <w:color w:val="000000" w:themeColor="text1"/>
          <w:vertAlign w:val="superscript"/>
          <w:lang w:val="en-US" w:eastAsia="zh-CN"/>
        </w:rPr>
        <w:t>[11]</w:t>
      </w:r>
      <w:r w:rsidRPr="00FC078E">
        <w:rPr>
          <w:rFonts w:ascii="Book Antiqua" w:hAnsi="Book Antiqua" w:cs="Times"/>
          <w:color w:val="000000" w:themeColor="text1"/>
          <w:lang w:val="en-US"/>
        </w:rPr>
        <w:t xml:space="preserve"> score histological findings of gastric biopsies. In OLGA staging, the degree of atrophy is determined by Sydney </w:t>
      </w:r>
      <w:proofErr w:type="gramStart"/>
      <w:r w:rsidRPr="00FC078E">
        <w:rPr>
          <w:rFonts w:ascii="Book Antiqua" w:hAnsi="Book Antiqua" w:cs="Times"/>
          <w:color w:val="000000" w:themeColor="text1"/>
          <w:lang w:val="en-US"/>
        </w:rPr>
        <w:t>system’s</w:t>
      </w:r>
      <w:r w:rsidR="00086977" w:rsidRPr="00FC078E">
        <w:rPr>
          <w:rFonts w:ascii="Book Antiqua" w:hAnsi="Book Antiqua" w:cs="Times"/>
          <w:color w:val="000000" w:themeColor="text1"/>
          <w:vertAlign w:val="superscript"/>
          <w:lang w:val="en-US" w:eastAsia="zh-CN"/>
        </w:rPr>
        <w:t>[</w:t>
      </w:r>
      <w:proofErr w:type="gramEnd"/>
      <w:r w:rsidR="00086977" w:rsidRPr="00FC078E">
        <w:rPr>
          <w:rFonts w:ascii="Book Antiqua" w:hAnsi="Book Antiqua" w:cs="Times"/>
          <w:color w:val="000000" w:themeColor="text1"/>
          <w:vertAlign w:val="superscript"/>
          <w:lang w:val="en-US" w:eastAsia="zh-CN"/>
        </w:rPr>
        <w:t>9]</w:t>
      </w:r>
      <w:r w:rsidRPr="00FC078E">
        <w:rPr>
          <w:rFonts w:ascii="Book Antiqua" w:hAnsi="Book Antiqua" w:cs="Times"/>
          <w:color w:val="000000" w:themeColor="text1"/>
          <w:lang w:val="en-US"/>
        </w:rPr>
        <w:t xml:space="preserve"> four-tiered scale (0–3), and severity of atrophy in antrum and corpus are cross tabulated and staged. Cancer risk increases with stages from 0 to IV, stages III–IV representing high cancer risk. In OLGIM staging atrophy is replaced by </w:t>
      </w:r>
      <w:proofErr w:type="gramStart"/>
      <w:r w:rsidRPr="00FC078E">
        <w:rPr>
          <w:rFonts w:ascii="Book Antiqua" w:hAnsi="Book Antiqua" w:cs="Times"/>
          <w:color w:val="000000" w:themeColor="text1"/>
          <w:lang w:val="en-US"/>
        </w:rPr>
        <w:t>IM</w:t>
      </w:r>
      <w:r w:rsidR="00086977" w:rsidRPr="00FC078E">
        <w:rPr>
          <w:rFonts w:ascii="Book Antiqua" w:hAnsi="Book Antiqua" w:cs="Times"/>
          <w:color w:val="000000" w:themeColor="text1"/>
          <w:vertAlign w:val="superscript"/>
          <w:lang w:val="en-US" w:eastAsia="zh-CN"/>
        </w:rPr>
        <w:t>[</w:t>
      </w:r>
      <w:proofErr w:type="gramEnd"/>
      <w:r w:rsidR="00086977" w:rsidRPr="00FC078E">
        <w:rPr>
          <w:rFonts w:ascii="Book Antiqua" w:hAnsi="Book Antiqua" w:cs="Times"/>
          <w:color w:val="000000" w:themeColor="text1"/>
          <w:vertAlign w:val="superscript"/>
          <w:lang w:val="en-US" w:eastAsia="zh-CN"/>
        </w:rPr>
        <w:t>12-16]</w:t>
      </w:r>
      <w:r w:rsidR="00086977"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 xml:space="preserve"> Inter-observer agreement between pathologists is better in OLGIM </w:t>
      </w:r>
      <w:proofErr w:type="gramStart"/>
      <w:r w:rsidRPr="00FC078E">
        <w:rPr>
          <w:rFonts w:ascii="Book Antiqua" w:hAnsi="Book Antiqua" w:cs="Times"/>
          <w:color w:val="000000" w:themeColor="text1"/>
          <w:lang w:val="en-US"/>
        </w:rPr>
        <w:t>staging</w:t>
      </w:r>
      <w:r w:rsidR="00086977" w:rsidRPr="00FC078E">
        <w:rPr>
          <w:rFonts w:ascii="Book Antiqua" w:hAnsi="Book Antiqua" w:cs="Times"/>
          <w:color w:val="000000" w:themeColor="text1"/>
          <w:vertAlign w:val="superscript"/>
          <w:lang w:val="en-US" w:eastAsia="zh-CN"/>
        </w:rPr>
        <w:t>[</w:t>
      </w:r>
      <w:proofErr w:type="gramEnd"/>
      <w:r w:rsidR="00086977" w:rsidRPr="00FC078E">
        <w:rPr>
          <w:rFonts w:ascii="Book Antiqua" w:hAnsi="Book Antiqua" w:cs="Times"/>
          <w:color w:val="000000" w:themeColor="text1"/>
          <w:vertAlign w:val="superscript"/>
          <w:lang w:val="en-US" w:eastAsia="zh-CN"/>
        </w:rPr>
        <w:t>17]</w:t>
      </w:r>
      <w:r w:rsidRPr="00FC078E">
        <w:rPr>
          <w:rFonts w:ascii="Book Antiqua" w:hAnsi="Book Antiqua" w:cs="Helvetica"/>
          <w:color w:val="000000" w:themeColor="text1"/>
          <w:lang w:val="en-US"/>
        </w:rPr>
        <w:t>, but OLGA staging is proposed to be more sensitive in finding patients with high risk of gastric cancer</w:t>
      </w:r>
      <w:r w:rsidR="00086977" w:rsidRPr="00FC078E">
        <w:rPr>
          <w:rFonts w:ascii="Book Antiqua" w:hAnsi="Book Antiqua" w:cs="Times"/>
          <w:color w:val="000000" w:themeColor="text1"/>
          <w:vertAlign w:val="superscript"/>
          <w:lang w:val="en-US" w:eastAsia="zh-CN"/>
        </w:rPr>
        <w:t>[18]</w:t>
      </w:r>
      <w:r w:rsidRPr="00FC078E">
        <w:rPr>
          <w:rFonts w:ascii="Book Antiqua" w:hAnsi="Book Antiqua" w:cs="Helvetica"/>
          <w:color w:val="000000" w:themeColor="text1"/>
          <w:lang w:val="en-US"/>
        </w:rPr>
        <w:t>.</w:t>
      </w:r>
    </w:p>
    <w:p w14:paraId="39C56897" w14:textId="743F761A" w:rsidR="00295F95"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rPr>
      </w:pPr>
      <w:r w:rsidRPr="00FC078E">
        <w:rPr>
          <w:rFonts w:ascii="Book Antiqua" w:hAnsi="Book Antiqua" w:cs="Times"/>
          <w:color w:val="000000" w:themeColor="text1"/>
          <w:lang w:val="en-US"/>
        </w:rPr>
        <w:t>The aim of this study was to evaluate the clinical value of a novel staging system, TAIM, which combines the topography with the severity of atrophy and IM. By using both atrophy and IM grading as a basis, we think there is a greater probability to find patients with increased cancer risk. We also wanted to compare TAIM with the OLGA and OLGIM staging systems in elderly men with atrophic gastritis.</w:t>
      </w:r>
    </w:p>
    <w:p w14:paraId="654A477D"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357DD562" w14:textId="77777777" w:rsidR="00597467" w:rsidRPr="00FC078E" w:rsidRDefault="00597467" w:rsidP="00FC078E">
      <w:pPr>
        <w:pStyle w:val="Corpodeltesto"/>
        <w:widowControl w:val="0"/>
        <w:suppressAutoHyphens w:val="0"/>
        <w:adjustRightInd w:val="0"/>
        <w:snapToGrid w:val="0"/>
        <w:ind w:right="0"/>
        <w:rPr>
          <w:rFonts w:ascii="Book Antiqua" w:eastAsia="宋体" w:hAnsi="Book Antiqua"/>
          <w:b/>
          <w:color w:val="000000" w:themeColor="text1"/>
          <w:u w:val="single"/>
          <w:lang w:val="en-US" w:eastAsia="zh-CN"/>
        </w:rPr>
      </w:pPr>
      <w:r w:rsidRPr="00FC078E">
        <w:rPr>
          <w:rFonts w:ascii="Book Antiqua" w:hAnsi="Book Antiqua" w:cs="Arial"/>
          <w:b/>
          <w:color w:val="000000" w:themeColor="text1"/>
          <w:u w:val="single"/>
          <w:lang w:val="en-US"/>
        </w:rPr>
        <w:t>MATERIALS AND METHOD</w:t>
      </w:r>
      <w:r w:rsidRPr="00FC078E">
        <w:rPr>
          <w:rFonts w:ascii="Book Antiqua" w:eastAsia="宋体" w:hAnsi="Book Antiqua" w:cs="Arial"/>
          <w:b/>
          <w:color w:val="000000" w:themeColor="text1"/>
          <w:u w:val="single"/>
          <w:lang w:val="en-US" w:eastAsia="zh-CN"/>
        </w:rPr>
        <w:t>S</w:t>
      </w:r>
    </w:p>
    <w:p w14:paraId="3FF1BE1C" w14:textId="77777777" w:rsidR="00DD22C7" w:rsidRPr="00FC078E" w:rsidRDefault="00295F95" w:rsidP="00FC078E">
      <w:pPr>
        <w:adjustRightInd w:val="0"/>
        <w:snapToGrid w:val="0"/>
        <w:spacing w:line="360" w:lineRule="auto"/>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Altogeth</w:t>
      </w:r>
      <w:r w:rsidR="00597467" w:rsidRPr="00FC078E">
        <w:rPr>
          <w:rFonts w:ascii="Book Antiqua" w:hAnsi="Book Antiqua" w:cs="Times"/>
          <w:color w:val="000000" w:themeColor="text1"/>
          <w:lang w:val="en-US"/>
        </w:rPr>
        <w:t>er 29133 elderly male smokers</w:t>
      </w:r>
      <w:r w:rsidRPr="00FC078E">
        <w:rPr>
          <w:rFonts w:ascii="Book Antiqua" w:hAnsi="Book Antiqua" w:cs="Times"/>
          <w:color w:val="000000" w:themeColor="text1"/>
          <w:lang w:val="en-US"/>
        </w:rPr>
        <w:t>, participated in a randomized, placebo-controlled trial to examine effects of supplemental alpha-tocopherol, beta-carotene, or both on the incidence of lung and other cancers between years 1985-1993</w:t>
      </w:r>
      <w:r w:rsidR="00597467" w:rsidRPr="00FC078E">
        <w:rPr>
          <w:rFonts w:ascii="Book Antiqua" w:hAnsi="Book Antiqua" w:cs="Times"/>
          <w:color w:val="000000" w:themeColor="text1"/>
          <w:vertAlign w:val="superscript"/>
          <w:lang w:val="en-US" w:eastAsia="zh-CN"/>
        </w:rPr>
        <w:t>[19,20]</w:t>
      </w:r>
      <w:r w:rsidRPr="00FC078E">
        <w:rPr>
          <w:rFonts w:ascii="Book Antiqua" w:hAnsi="Book Antiqua" w:cs="Times"/>
          <w:color w:val="000000" w:themeColor="text1"/>
          <w:lang w:val="en-US"/>
        </w:rPr>
        <w:t>. Serum P</w:t>
      </w:r>
      <w:r w:rsidR="00597467" w:rsidRPr="00FC078E">
        <w:rPr>
          <w:rFonts w:ascii="Book Antiqua" w:hAnsi="Book Antiqua" w:cs="Times"/>
          <w:color w:val="000000" w:themeColor="text1"/>
          <w:lang w:val="en-US"/>
        </w:rPr>
        <w:t>GI levels were measured from 22</w:t>
      </w:r>
      <w:r w:rsidRPr="00FC078E">
        <w:rPr>
          <w:rFonts w:ascii="Book Antiqua" w:hAnsi="Book Antiqua" w:cs="Times"/>
          <w:color w:val="000000" w:themeColor="text1"/>
          <w:lang w:val="en-US"/>
        </w:rPr>
        <w:t>346 participants and low (&lt;</w:t>
      </w:r>
      <w:r w:rsidR="0059746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25</w:t>
      </w:r>
      <w:r w:rsidR="0059746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sym w:font="Symbol" w:char="F06D"/>
      </w:r>
      <w:r w:rsidRPr="00FC078E">
        <w:rPr>
          <w:rFonts w:ascii="Book Antiqua" w:hAnsi="Book Antiqua" w:cs="Times"/>
          <w:color w:val="000000" w:themeColor="text1"/>
          <w:lang w:val="en-US"/>
        </w:rPr>
        <w:t>g/</w:t>
      </w:r>
      <w:r w:rsidR="00597467" w:rsidRPr="00FC078E">
        <w:rPr>
          <w:rFonts w:ascii="Book Antiqua" w:hAnsi="Book Antiqua" w:cs="Times"/>
          <w:color w:val="000000" w:themeColor="text1"/>
          <w:lang w:val="en-US"/>
        </w:rPr>
        <w:t>L</w:t>
      </w:r>
      <w:r w:rsidRPr="00FC078E">
        <w:rPr>
          <w:rFonts w:ascii="Book Antiqua" w:hAnsi="Book Antiqua" w:cs="Times"/>
          <w:color w:val="000000" w:themeColor="text1"/>
          <w:lang w:val="en-US"/>
        </w:rPr>
        <w:t xml:space="preserve">) PGI levels, as a marker for atrophic corpus gastritis, were observed in 2132 </w:t>
      </w:r>
      <w:proofErr w:type="gramStart"/>
      <w:r w:rsidRPr="00FC078E">
        <w:rPr>
          <w:rFonts w:ascii="Book Antiqua" w:hAnsi="Book Antiqua" w:cs="Times"/>
          <w:color w:val="000000" w:themeColor="text1"/>
          <w:lang w:val="en-US"/>
        </w:rPr>
        <w:t>men</w:t>
      </w:r>
      <w:r w:rsidR="00597467" w:rsidRPr="00FC078E">
        <w:rPr>
          <w:rFonts w:ascii="Book Antiqua" w:hAnsi="Book Antiqua" w:cs="Times"/>
          <w:color w:val="000000" w:themeColor="text1"/>
          <w:vertAlign w:val="superscript"/>
          <w:lang w:val="en-US" w:eastAsia="zh-CN"/>
        </w:rPr>
        <w:t>[</w:t>
      </w:r>
      <w:proofErr w:type="gramEnd"/>
      <w:r w:rsidR="00597467" w:rsidRPr="00FC078E">
        <w:rPr>
          <w:rFonts w:ascii="Book Antiqua" w:hAnsi="Book Antiqua" w:cs="Times"/>
          <w:color w:val="000000" w:themeColor="text1"/>
          <w:vertAlign w:val="superscript"/>
          <w:lang w:val="en-US" w:eastAsia="zh-CN"/>
        </w:rPr>
        <w:t>21]</w:t>
      </w:r>
      <w:r w:rsidRPr="00FC078E">
        <w:rPr>
          <w:rFonts w:ascii="Book Antiqua" w:hAnsi="Book Antiqua" w:cs="Times"/>
          <w:color w:val="000000" w:themeColor="text1"/>
          <w:lang w:val="en-US"/>
        </w:rPr>
        <w:t>. These men were invited to undergo upper GI endoscopy, which was performed on 1344 men between 1989 and 1993. Patient characteristics are presented i</w:t>
      </w:r>
      <w:r w:rsidR="00597467" w:rsidRPr="00FC078E">
        <w:rPr>
          <w:rFonts w:ascii="Book Antiqua" w:hAnsi="Book Antiqua" w:cs="Times"/>
          <w:color w:val="000000" w:themeColor="text1"/>
          <w:lang w:val="en-US"/>
        </w:rPr>
        <w:t>n Table 1.</w:t>
      </w:r>
      <w:r w:rsidR="0059746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Men with diagnosed gastric cancer (</w:t>
      </w:r>
      <w:r w:rsidRPr="00FC078E">
        <w:rPr>
          <w:rFonts w:ascii="Book Antiqua" w:hAnsi="Book Antiqua" w:cs="Times"/>
          <w:i/>
          <w:iCs/>
          <w:color w:val="000000" w:themeColor="text1"/>
          <w:lang w:val="en-US"/>
        </w:rPr>
        <w:t>n</w:t>
      </w:r>
      <w:r w:rsidR="00597467" w:rsidRPr="00FC078E">
        <w:rPr>
          <w:rFonts w:ascii="Book Antiqua" w:hAnsi="Book Antiqua" w:cs="Times"/>
          <w:i/>
          <w:iCs/>
          <w:color w:val="000000" w:themeColor="text1"/>
          <w:lang w:val="en-US" w:eastAsia="zh-CN"/>
        </w:rPr>
        <w:t xml:space="preserve"> </w:t>
      </w:r>
      <w:r w:rsidRPr="00FC078E">
        <w:rPr>
          <w:rFonts w:ascii="Book Antiqua" w:hAnsi="Book Antiqua" w:cs="Times"/>
          <w:color w:val="000000" w:themeColor="text1"/>
          <w:lang w:val="en-US"/>
        </w:rPr>
        <w:t>=</w:t>
      </w:r>
      <w:r w:rsidR="0059746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14) or neuroendocrine tumor (</w:t>
      </w:r>
      <w:r w:rsidRPr="00FC078E">
        <w:rPr>
          <w:rFonts w:ascii="Book Antiqua" w:hAnsi="Book Antiqua" w:cs="Times"/>
          <w:i/>
          <w:iCs/>
          <w:color w:val="000000" w:themeColor="text1"/>
          <w:lang w:val="en-US"/>
        </w:rPr>
        <w:t>n</w:t>
      </w:r>
      <w:r w:rsidR="00597467" w:rsidRPr="00FC078E">
        <w:rPr>
          <w:rFonts w:ascii="Book Antiqua" w:hAnsi="Book Antiqua" w:cs="Times"/>
          <w:i/>
          <w:iCs/>
          <w:color w:val="000000" w:themeColor="text1"/>
          <w:lang w:val="en-US" w:eastAsia="zh-CN"/>
        </w:rPr>
        <w:t xml:space="preserve"> </w:t>
      </w:r>
      <w:r w:rsidRPr="00FC078E">
        <w:rPr>
          <w:rFonts w:ascii="Book Antiqua" w:hAnsi="Book Antiqua" w:cs="Times"/>
          <w:color w:val="000000" w:themeColor="text1"/>
          <w:lang w:val="en-US"/>
        </w:rPr>
        <w:t>=</w:t>
      </w:r>
      <w:r w:rsidR="0059746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3) in the screening </w:t>
      </w:r>
      <w:r w:rsidRPr="00FC078E">
        <w:rPr>
          <w:rFonts w:ascii="Book Antiqua" w:hAnsi="Book Antiqua" w:cs="Times"/>
          <w:color w:val="000000" w:themeColor="text1"/>
          <w:lang w:val="en-US"/>
        </w:rPr>
        <w:lastRenderedPageBreak/>
        <w:t>endoscopy or within less than hundred days were excluded, as well as, 180 men with a history of gastric surgery due to a benign cause. Thus, 1147 men were included into the study.</w:t>
      </w:r>
    </w:p>
    <w:p w14:paraId="11093E77" w14:textId="53E08D36" w:rsidR="000E40CA"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The surveillance started from the screening gastroscopy, and continued to the diagnosis of gastric cancer, death, or the end of the year 2016, whichever occurred first.</w:t>
      </w:r>
      <w:r w:rsidRPr="00FC078E">
        <w:rPr>
          <w:rFonts w:ascii="Book Antiqua" w:hAnsi="Book Antiqua"/>
          <w:color w:val="000000" w:themeColor="text1"/>
          <w:lang w:val="en-US"/>
        </w:rPr>
        <w:t xml:space="preserve"> The median follow-up time was 13.7 years (range 16 </w:t>
      </w:r>
      <w:r w:rsidR="0047253D" w:rsidRPr="00FC078E">
        <w:rPr>
          <w:rFonts w:ascii="Book Antiqua" w:hAnsi="Book Antiqua"/>
          <w:color w:val="000000" w:themeColor="text1"/>
          <w:lang w:val="en-US" w:eastAsia="zh-CN"/>
        </w:rPr>
        <w:t>d</w:t>
      </w:r>
      <w:r w:rsidRPr="00FC078E">
        <w:rPr>
          <w:rFonts w:ascii="Book Antiqua" w:hAnsi="Book Antiqua"/>
          <w:color w:val="000000" w:themeColor="text1"/>
          <w:lang w:val="en-US"/>
        </w:rPr>
        <w:t xml:space="preserve"> </w:t>
      </w:r>
      <w:r w:rsidR="0047253D" w:rsidRPr="00FC078E">
        <w:rPr>
          <w:rFonts w:ascii="Book Antiqua" w:hAnsi="Book Antiqua"/>
          <w:color w:val="000000" w:themeColor="text1"/>
          <w:lang w:val="en-US"/>
        </w:rPr>
        <w:t>to 27.3 years) and comprised 16</w:t>
      </w:r>
      <w:r w:rsidRPr="00FC078E">
        <w:rPr>
          <w:rFonts w:ascii="Book Antiqua" w:hAnsi="Book Antiqua"/>
          <w:color w:val="000000" w:themeColor="text1"/>
          <w:lang w:val="en-US"/>
        </w:rPr>
        <w:t>297 patient-years. For standardized incidence ratio (SIR) calculations, general male population of same age was used as a reference. The follow-up data was achieved from the Finnish Cancer Registry and the Population Register Centre of Finland. The Ethical Issues’ Committee of the National Public Health Institute, Helsinki, gave approval for the Helsinki Gastritis Study. All men gave a written agreement to take part in the ATBC Study and Helsinki Gastritis Study, i</w:t>
      </w:r>
      <w:r w:rsidR="00A2686F">
        <w:rPr>
          <w:rFonts w:ascii="Book Antiqua" w:hAnsi="Book Antiqua"/>
          <w:color w:val="000000" w:themeColor="text1"/>
          <w:lang w:val="en-US"/>
        </w:rPr>
        <w:t xml:space="preserve">ncluding this follow-up study. </w:t>
      </w:r>
      <w:r w:rsidRPr="00FC078E">
        <w:rPr>
          <w:rFonts w:ascii="Book Antiqua" w:hAnsi="Book Antiqua" w:cs="Times"/>
          <w:color w:val="000000" w:themeColor="text1"/>
          <w:lang w:val="en-US"/>
        </w:rPr>
        <w:t xml:space="preserve">The results of the follow-up have been introduced </w:t>
      </w:r>
      <w:proofErr w:type="gramStart"/>
      <w:r w:rsidRPr="00FC078E">
        <w:rPr>
          <w:rFonts w:ascii="Book Antiqua" w:hAnsi="Book Antiqua" w:cs="Times"/>
          <w:color w:val="000000" w:themeColor="text1"/>
          <w:lang w:val="en-US"/>
        </w:rPr>
        <w:t>previously</w:t>
      </w:r>
      <w:r w:rsidR="000E40CA" w:rsidRPr="00FC078E">
        <w:rPr>
          <w:rFonts w:ascii="Book Antiqua" w:hAnsi="Book Antiqua" w:cs="Times"/>
          <w:color w:val="000000" w:themeColor="text1"/>
          <w:vertAlign w:val="superscript"/>
          <w:lang w:val="en-US" w:eastAsia="zh-CN"/>
        </w:rPr>
        <w:t>[</w:t>
      </w:r>
      <w:proofErr w:type="gramEnd"/>
      <w:r w:rsidR="000E40CA" w:rsidRPr="00FC078E">
        <w:rPr>
          <w:rFonts w:ascii="Book Antiqua" w:hAnsi="Book Antiqua" w:cs="Times"/>
          <w:color w:val="000000" w:themeColor="text1"/>
          <w:vertAlign w:val="superscript"/>
          <w:lang w:val="en-US" w:eastAsia="zh-CN"/>
        </w:rPr>
        <w:t>22]</w:t>
      </w:r>
      <w:r w:rsidRPr="00FC078E">
        <w:rPr>
          <w:rFonts w:ascii="Book Antiqua" w:hAnsi="Book Antiqua" w:cs="Times"/>
          <w:color w:val="000000" w:themeColor="text1"/>
          <w:lang w:val="en-US"/>
        </w:rPr>
        <w:t>.</w:t>
      </w:r>
    </w:p>
    <w:p w14:paraId="199018B3" w14:textId="77777777" w:rsidR="00FA44CE"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olor w:val="000000" w:themeColor="text1"/>
          <w:lang w:val="en-US"/>
        </w:rPr>
        <w:t xml:space="preserve">In OLGA and OLGIM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xml:space="preserve"> atrophy and IM are determined separately. We sought to combine these two precancerous mucosal changes to one staging system. TAIM is based on the severity and </w:t>
      </w:r>
      <w:r w:rsidRPr="00FC078E">
        <w:rPr>
          <w:rFonts w:ascii="Book Antiqua" w:hAnsi="Book Antiqua" w:cs="Times"/>
          <w:color w:val="000000" w:themeColor="text1"/>
          <w:lang w:val="en-US"/>
        </w:rPr>
        <w:t>topography of atrophy and IM.</w:t>
      </w:r>
      <w:r w:rsidRPr="00FC078E">
        <w:rPr>
          <w:rFonts w:ascii="Book Antiqua" w:hAnsi="Book Antiqua"/>
          <w:color w:val="000000" w:themeColor="text1"/>
          <w:lang w:val="en-US"/>
        </w:rPr>
        <w:t xml:space="preserve"> The most severe finding of atrophy or IM defines the degree of severity (non-existing, mild, moderate, marked) regardless of its topography. Then, its location is designated to the antrum only, corpus only, or both antrum and corpus. The distribution of severity is examined in the different locations and the TAIM subgroups are classified as low and high. In addition to TAIM staging, OLGA and OLGIM stages are presented in Table 2.</w:t>
      </w:r>
    </w:p>
    <w:p w14:paraId="76C59C47" w14:textId="77777777" w:rsidR="00CB6C5D"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olor w:val="000000" w:themeColor="text1"/>
          <w:lang w:val="en-US"/>
        </w:rPr>
        <w:t>European guidelines (MAPSII</w:t>
      </w:r>
      <w:proofErr w:type="gramStart"/>
      <w:r w:rsidRPr="00FC078E">
        <w:rPr>
          <w:rFonts w:ascii="Book Antiqua" w:hAnsi="Book Antiqua"/>
          <w:color w:val="000000" w:themeColor="text1"/>
          <w:lang w:val="en-US"/>
        </w:rPr>
        <w:t>)</w:t>
      </w:r>
      <w:r w:rsidR="00FA44CE" w:rsidRPr="00FC078E">
        <w:rPr>
          <w:rFonts w:ascii="Book Antiqua" w:hAnsi="Book Antiqua" w:cs="Times"/>
          <w:color w:val="000000" w:themeColor="text1"/>
          <w:vertAlign w:val="superscript"/>
          <w:lang w:val="en-US" w:eastAsia="zh-CN"/>
        </w:rPr>
        <w:t>[</w:t>
      </w:r>
      <w:proofErr w:type="gramEnd"/>
      <w:r w:rsidR="00FA44CE" w:rsidRPr="00FC078E">
        <w:rPr>
          <w:rFonts w:ascii="Book Antiqua" w:hAnsi="Book Antiqua" w:cs="Times"/>
          <w:color w:val="000000" w:themeColor="text1"/>
          <w:vertAlign w:val="superscript"/>
          <w:lang w:val="en-US" w:eastAsia="zh-CN"/>
        </w:rPr>
        <w:t>23]</w:t>
      </w:r>
      <w:r w:rsidRPr="00FC078E">
        <w:rPr>
          <w:rFonts w:ascii="Book Antiqua" w:hAnsi="Book Antiqua" w:cs="Times"/>
          <w:color w:val="000000" w:themeColor="text1"/>
          <w:lang w:val="en-US"/>
        </w:rPr>
        <w:t xml:space="preserve"> recommend endoscopic surveillance for patients with extensive (moderate to marked) atrophy or IM in both t</w:t>
      </w:r>
      <w:r w:rsidR="00FA44CE" w:rsidRPr="00FC078E">
        <w:rPr>
          <w:rFonts w:ascii="Book Antiqua" w:hAnsi="Book Antiqua" w:cs="Times"/>
          <w:color w:val="000000" w:themeColor="text1"/>
          <w:lang w:val="en-US"/>
        </w:rPr>
        <w:t>he antrum and corpus, and OLGA/</w:t>
      </w:r>
      <w:r w:rsidRPr="00FC078E">
        <w:rPr>
          <w:rFonts w:ascii="Book Antiqua" w:hAnsi="Book Antiqua" w:cs="Times"/>
          <w:color w:val="000000" w:themeColor="text1"/>
          <w:lang w:val="en-US"/>
        </w:rPr>
        <w:t xml:space="preserve">OLGIM stages III–IV. Patients with </w:t>
      </w:r>
      <w:r w:rsidRPr="00FC078E">
        <w:rPr>
          <w:rFonts w:ascii="Book Antiqua" w:hAnsi="Book Antiqua"/>
          <w:color w:val="000000" w:themeColor="text1"/>
          <w:lang w:val="en-US"/>
        </w:rPr>
        <w:t>low or moderate changes in a single location do not require endoscopic surveillance. Type of IM (complete/</w:t>
      </w:r>
      <w:proofErr w:type="spellStart"/>
      <w:r w:rsidRPr="00FC078E">
        <w:rPr>
          <w:rFonts w:ascii="Book Antiqua" w:hAnsi="Book Antiqua"/>
          <w:color w:val="000000" w:themeColor="text1"/>
          <w:lang w:val="en-US"/>
        </w:rPr>
        <w:t>incompelete</w:t>
      </w:r>
      <w:proofErr w:type="spellEnd"/>
      <w:r w:rsidRPr="00FC078E">
        <w:rPr>
          <w:rFonts w:ascii="Book Antiqua" w:hAnsi="Book Antiqua"/>
          <w:color w:val="000000" w:themeColor="text1"/>
          <w:lang w:val="en-US"/>
        </w:rPr>
        <w:t xml:space="preserve">), family history of gastric cancer, autoimmune gastritis, and persisting </w:t>
      </w:r>
      <w:r w:rsidRPr="00FC078E">
        <w:rPr>
          <w:rFonts w:ascii="Book Antiqua" w:hAnsi="Book Antiqua"/>
          <w:i/>
          <w:color w:val="000000" w:themeColor="text1"/>
          <w:lang w:val="en-US"/>
        </w:rPr>
        <w:t>H. Pylori</w:t>
      </w:r>
      <w:r w:rsidRPr="00FC078E">
        <w:rPr>
          <w:rFonts w:ascii="Book Antiqua" w:hAnsi="Book Antiqua"/>
          <w:color w:val="000000" w:themeColor="text1"/>
          <w:lang w:val="en-US"/>
        </w:rPr>
        <w:t xml:space="preserve"> infection are also taken into account in follow-up recommendations, and if there are additional risk factors, surveillance is recommended even if moderate to marked IM exists in a single </w:t>
      </w:r>
      <w:r w:rsidRPr="00FC078E">
        <w:rPr>
          <w:rFonts w:ascii="Book Antiqua" w:hAnsi="Book Antiqua"/>
          <w:color w:val="000000" w:themeColor="text1"/>
          <w:lang w:val="en-US"/>
        </w:rPr>
        <w:lastRenderedPageBreak/>
        <w:t>location only. Therefore, patients with severe atrophy/IM in corpus only, representing OLGA and OLGIM II stages, are classified to high cancer risk group in TAIM staging. Ten men in the OLGA and TAIM groups and seven men in the OLGIM group had incomplete histological analysis. None of these men developed gastric cancer.</w:t>
      </w:r>
    </w:p>
    <w:p w14:paraId="63AB1421" w14:textId="1A195B10" w:rsidR="00295F95"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rPr>
      </w:pPr>
      <w:r w:rsidRPr="00FC078E">
        <w:rPr>
          <w:rFonts w:ascii="Book Antiqua" w:hAnsi="Book Antiqua"/>
          <w:color w:val="000000" w:themeColor="text1"/>
          <w:lang w:val="en-US"/>
        </w:rPr>
        <w:t xml:space="preserve">Statistical analysis was performed by </w:t>
      </w:r>
      <w:r w:rsidRPr="00FC078E">
        <w:rPr>
          <w:rFonts w:ascii="Book Antiqua" w:hAnsi="Book Antiqua"/>
          <w:i/>
          <w:color w:val="000000" w:themeColor="text1"/>
          <w:lang w:val="en-US"/>
        </w:rPr>
        <w:t>R</w:t>
      </w:r>
      <w:r w:rsidRPr="00FC078E">
        <w:rPr>
          <w:rFonts w:ascii="Book Antiqua" w:hAnsi="Book Antiqua"/>
          <w:color w:val="000000" w:themeColor="text1"/>
          <w:lang w:val="en-US"/>
        </w:rPr>
        <w:t xml:space="preserve"> </w:t>
      </w:r>
      <w:proofErr w:type="gramStart"/>
      <w:r w:rsidRPr="00FC078E">
        <w:rPr>
          <w:rFonts w:ascii="Book Antiqua" w:hAnsi="Book Antiqua"/>
          <w:color w:val="000000" w:themeColor="text1"/>
          <w:lang w:val="en-US"/>
        </w:rPr>
        <w:t>program</w:t>
      </w:r>
      <w:r w:rsidR="00A1396E" w:rsidRPr="00FC078E">
        <w:rPr>
          <w:rFonts w:ascii="Book Antiqua" w:hAnsi="Book Antiqua" w:cs="Times"/>
          <w:color w:val="000000" w:themeColor="text1"/>
          <w:vertAlign w:val="superscript"/>
          <w:lang w:val="en-US" w:eastAsia="zh-CN"/>
        </w:rPr>
        <w:t>[</w:t>
      </w:r>
      <w:proofErr w:type="gramEnd"/>
      <w:r w:rsidR="00A1396E" w:rsidRPr="00FC078E">
        <w:rPr>
          <w:rFonts w:ascii="Book Antiqua" w:hAnsi="Book Antiqua" w:cs="Times"/>
          <w:color w:val="000000" w:themeColor="text1"/>
          <w:vertAlign w:val="superscript"/>
          <w:lang w:val="en-US" w:eastAsia="zh-CN"/>
        </w:rPr>
        <w:t>24]</w:t>
      </w:r>
      <w:r w:rsidRPr="00FC078E">
        <w:rPr>
          <w:rFonts w:ascii="Book Antiqua" w:hAnsi="Book Antiqua"/>
          <w:color w:val="000000" w:themeColor="text1"/>
          <w:lang w:val="en-US"/>
        </w:rPr>
        <w:t xml:space="preserve">. Cox regression models were used to </w:t>
      </w:r>
      <w:proofErr w:type="spellStart"/>
      <w:r w:rsidRPr="00FC078E">
        <w:rPr>
          <w:rFonts w:ascii="Book Antiqua" w:hAnsi="Book Antiqua"/>
          <w:color w:val="000000" w:themeColor="text1"/>
          <w:lang w:val="en-US"/>
        </w:rPr>
        <w:t>analyse</w:t>
      </w:r>
      <w:proofErr w:type="spellEnd"/>
      <w:r w:rsidRPr="00FC078E">
        <w:rPr>
          <w:rFonts w:ascii="Book Antiqua" w:hAnsi="Book Antiqua"/>
          <w:color w:val="000000" w:themeColor="text1"/>
          <w:lang w:val="en-US"/>
        </w:rPr>
        <w:t xml:space="preserve"> the association between the staging systems and the risk of gastric cancer. </w:t>
      </w:r>
      <w:r w:rsidRPr="00FC078E">
        <w:rPr>
          <w:rFonts w:ascii="Book Antiqua" w:hAnsi="Book Antiqua" w:cs="Times"/>
          <w:color w:val="000000" w:themeColor="text1"/>
          <w:lang w:val="en-US"/>
        </w:rPr>
        <w:t xml:space="preserve">Age, number of cigarettes smoked daily, and smoking-years were </w:t>
      </w:r>
      <w:r w:rsidRPr="00FC078E">
        <w:rPr>
          <w:rFonts w:ascii="Book Antiqua" w:hAnsi="Book Antiqua"/>
          <w:color w:val="000000" w:themeColor="text1"/>
          <w:lang w:val="en-US"/>
        </w:rPr>
        <w:t>regarded as confounding variables</w:t>
      </w:r>
      <w:r w:rsidRPr="00FC078E">
        <w:rPr>
          <w:rFonts w:ascii="Book Antiqua" w:hAnsi="Book Antiqua" w:cs="Times"/>
          <w:color w:val="000000" w:themeColor="text1"/>
          <w:lang w:val="en-US"/>
        </w:rPr>
        <w:t xml:space="preserve">. Several dietary components, as well as supplementation of alpha-tocopherol, beta-carotene, or combination of these two supplements, had no influence on the risk of gastric cancers, and were therefore disregarded. Trend across the hazard ratios was tested using Wald test. </w:t>
      </w:r>
      <w:r w:rsidRPr="00FC078E">
        <w:rPr>
          <w:rFonts w:ascii="Book Antiqua" w:hAnsi="Book Antiqua"/>
          <w:color w:val="000000" w:themeColor="text1"/>
          <w:lang w:val="en-US"/>
        </w:rPr>
        <w:t xml:space="preserve">Cumulative event rate curves were estimated using the Kaplan-Meier method, and log-rank test was used to evaluate the differences between the curves. </w:t>
      </w:r>
      <w:r w:rsidRPr="00FC078E">
        <w:rPr>
          <w:rFonts w:ascii="Book Antiqua" w:hAnsi="Book Antiqua" w:cs="Times"/>
          <w:i/>
          <w:iCs/>
          <w:color w:val="000000" w:themeColor="text1"/>
          <w:lang w:val="en-US"/>
        </w:rPr>
        <w:t>P</w:t>
      </w:r>
      <w:r w:rsidR="00CA5397"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value</w:t>
      </w:r>
      <w:r w:rsidRPr="00FC078E">
        <w:rPr>
          <w:rFonts w:ascii="Book Antiqua" w:hAnsi="Book Antiqua"/>
          <w:color w:val="000000" w:themeColor="text1"/>
          <w:lang w:val="en-US"/>
        </w:rPr>
        <w:t xml:space="preserve"> &lt;</w:t>
      </w:r>
      <w:r w:rsidR="00CA5397"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0.05 was considered to be statistically significant. The statistical review of the study was performed by a biomedical statistician.</w:t>
      </w:r>
    </w:p>
    <w:p w14:paraId="35301722"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10F44D1E" w14:textId="4628BC79" w:rsidR="00295F95" w:rsidRPr="00FC078E" w:rsidRDefault="00AC5AED" w:rsidP="00FC078E">
      <w:pPr>
        <w:adjustRightInd w:val="0"/>
        <w:snapToGrid w:val="0"/>
        <w:spacing w:line="360" w:lineRule="auto"/>
        <w:jc w:val="both"/>
        <w:rPr>
          <w:rFonts w:ascii="Book Antiqua" w:hAnsi="Book Antiqua" w:cs="Times"/>
          <w:b/>
          <w:color w:val="000000" w:themeColor="text1"/>
          <w:u w:val="single"/>
          <w:lang w:val="en-US"/>
        </w:rPr>
      </w:pPr>
      <w:r w:rsidRPr="00FC078E">
        <w:rPr>
          <w:rFonts w:ascii="Book Antiqua" w:hAnsi="Book Antiqua" w:cs="Times"/>
          <w:b/>
          <w:color w:val="000000" w:themeColor="text1"/>
          <w:u w:val="single"/>
          <w:lang w:val="en-US"/>
        </w:rPr>
        <w:t>RESULTS</w:t>
      </w:r>
    </w:p>
    <w:p w14:paraId="7B6AAF4C" w14:textId="77777777" w:rsidR="00AC5AED" w:rsidRPr="00FC078E" w:rsidRDefault="00295F95" w:rsidP="00FC078E">
      <w:pPr>
        <w:adjustRightInd w:val="0"/>
        <w:snapToGrid w:val="0"/>
        <w:spacing w:line="360" w:lineRule="auto"/>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Twenty-eight gastric cancers (2.4%) were diagnosed during the follow-up. The total incidence rate per 1000 patient-years was 1.72.</w:t>
      </w:r>
    </w:p>
    <w:p w14:paraId="12D53356" w14:textId="7C32FB0E" w:rsidR="00295F95"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The OLGA staging and number of men </w:t>
      </w:r>
      <w:proofErr w:type="spellStart"/>
      <w:r w:rsidRPr="00FC078E">
        <w:rPr>
          <w:rFonts w:ascii="Book Antiqua" w:hAnsi="Book Antiqua" w:cs="Times"/>
          <w:color w:val="000000" w:themeColor="text1"/>
          <w:lang w:val="en-US"/>
        </w:rPr>
        <w:t>gastroscopied</w:t>
      </w:r>
      <w:proofErr w:type="spellEnd"/>
      <w:r w:rsidRPr="00FC078E">
        <w:rPr>
          <w:rFonts w:ascii="Book Antiqua" w:hAnsi="Book Antiqua" w:cs="Times"/>
          <w:color w:val="000000" w:themeColor="text1"/>
          <w:lang w:val="en-US"/>
        </w:rPr>
        <w:t xml:space="preserve"> and incident gastric cancer cases in each subgroup are shown in Table 3. The incidence rates of gastric cancer were 0.62, 1.60, 1.75, 1.11, and 3.40 per 1000 patient-years in stages 0–IV, respectively, (</w:t>
      </w:r>
      <w:r w:rsidRPr="00FC078E">
        <w:rPr>
          <w:rFonts w:ascii="Book Antiqua" w:hAnsi="Book Antiqua" w:cs="Times"/>
          <w:i/>
          <w:iCs/>
          <w:color w:val="000000" w:themeColor="text1"/>
          <w:lang w:val="en-US"/>
        </w:rPr>
        <w:t>P</w:t>
      </w:r>
      <w:r w:rsidR="003F678C" w:rsidRPr="00FC078E">
        <w:rPr>
          <w:rFonts w:ascii="Book Antiqua" w:hAnsi="Book Antiqua" w:cs="Times"/>
          <w:color w:val="000000" w:themeColor="text1"/>
          <w:lang w:val="en-US"/>
        </w:rPr>
        <w:t xml:space="preserve"> for trend 0.10, Table 4</w:t>
      </w:r>
      <w:r w:rsidRPr="00FC078E">
        <w:rPr>
          <w:rFonts w:ascii="Book Antiqua" w:hAnsi="Book Antiqua" w:cs="Times"/>
          <w:color w:val="000000" w:themeColor="text1"/>
          <w:lang w:val="en-US"/>
        </w:rPr>
        <w:t>). The majority of gastric cancers (</w:t>
      </w:r>
      <w:r w:rsidRPr="00FC078E">
        <w:rPr>
          <w:rFonts w:ascii="Book Antiqua" w:hAnsi="Book Antiqua" w:cs="Times"/>
          <w:i/>
          <w:iCs/>
          <w:color w:val="000000" w:themeColor="text1"/>
          <w:lang w:val="en-US"/>
        </w:rPr>
        <w:t>n</w:t>
      </w:r>
      <w:r w:rsidR="00CE4B5D" w:rsidRPr="00FC078E">
        <w:rPr>
          <w:rFonts w:ascii="Book Antiqua" w:hAnsi="Book Antiqua" w:cs="Times"/>
          <w:i/>
          <w:iCs/>
          <w:color w:val="000000" w:themeColor="text1"/>
          <w:lang w:val="en-US" w:eastAsia="zh-CN"/>
        </w:rPr>
        <w:t xml:space="preserve"> </w:t>
      </w:r>
      <w:r w:rsidRPr="00FC078E">
        <w:rPr>
          <w:rFonts w:ascii="Book Antiqua" w:hAnsi="Book Antiqua" w:cs="Times"/>
          <w:color w:val="000000" w:themeColor="text1"/>
          <w:lang w:val="en-US"/>
        </w:rPr>
        <w:t>=</w:t>
      </w:r>
      <w:r w:rsidR="00CE4B5D"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22, 79%) were diagnosed in low-risk OLGA stages (0–II), and only six cancers (21%) in high-risk (III–IV) stages. At the end of </w:t>
      </w:r>
      <w:proofErr w:type="gramStart"/>
      <w:r w:rsidRPr="00FC078E">
        <w:rPr>
          <w:rFonts w:ascii="Book Antiqua" w:hAnsi="Book Antiqua" w:cs="Times"/>
          <w:color w:val="000000" w:themeColor="text1"/>
          <w:lang w:val="en-US"/>
        </w:rPr>
        <w:t>follow-up</w:t>
      </w:r>
      <w:proofErr w:type="gramEnd"/>
      <w:r w:rsidRPr="00FC078E">
        <w:rPr>
          <w:rFonts w:ascii="Book Antiqua" w:hAnsi="Book Antiqua" w:cs="Times"/>
          <w:color w:val="000000" w:themeColor="text1"/>
          <w:lang w:val="en-US"/>
        </w:rPr>
        <w:t xml:space="preserve"> the cumulative cancer event rate was 4.4% in OLGA stages 0–II, and 6</w:t>
      </w:r>
      <w:r w:rsidR="00CE4B5D" w:rsidRPr="00FC078E">
        <w:rPr>
          <w:rFonts w:ascii="Book Antiqua" w:hAnsi="Book Antiqua" w:cs="Times"/>
          <w:color w:val="000000" w:themeColor="text1"/>
          <w:lang w:val="en-US"/>
        </w:rPr>
        <w:t>.4% in stages III–IV (Figure 1</w:t>
      </w:r>
      <w:r w:rsidR="00466C45" w:rsidRPr="00FC078E">
        <w:rPr>
          <w:rFonts w:ascii="Book Antiqua" w:hAnsi="Book Antiqua" w:cs="Times"/>
          <w:color w:val="000000" w:themeColor="text1"/>
          <w:lang w:val="en-US" w:eastAsia="zh-CN"/>
        </w:rPr>
        <w:t>A</w:t>
      </w:r>
      <w:r w:rsidRPr="00FC078E">
        <w:rPr>
          <w:rFonts w:ascii="Book Antiqua" w:hAnsi="Book Antiqua" w:cs="Times"/>
          <w:color w:val="000000" w:themeColor="text1"/>
          <w:lang w:val="en-US"/>
        </w:rPr>
        <w:t>)</w:t>
      </w:r>
      <w:r w:rsidR="00CE4B5D" w:rsidRPr="00FC078E">
        <w:rPr>
          <w:rFonts w:ascii="Book Antiqua" w:hAnsi="Book Antiqua" w:cs="Times"/>
          <w:color w:val="000000" w:themeColor="text1"/>
          <w:lang w:val="en-US" w:eastAsia="zh-CN"/>
        </w:rPr>
        <w:t>.</w:t>
      </w:r>
    </w:p>
    <w:p w14:paraId="47D9E2CF" w14:textId="792B7B9A" w:rsidR="00E33B34"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The OLGIM staging and number of men </w:t>
      </w:r>
      <w:proofErr w:type="spellStart"/>
      <w:r w:rsidRPr="00FC078E">
        <w:rPr>
          <w:rFonts w:ascii="Book Antiqua" w:hAnsi="Book Antiqua" w:cs="Times"/>
          <w:color w:val="000000" w:themeColor="text1"/>
          <w:lang w:val="en-US"/>
        </w:rPr>
        <w:t>gastroscopied</w:t>
      </w:r>
      <w:proofErr w:type="spellEnd"/>
      <w:r w:rsidRPr="00FC078E">
        <w:rPr>
          <w:rFonts w:ascii="Book Antiqua" w:hAnsi="Book Antiqua" w:cs="Times"/>
          <w:color w:val="000000" w:themeColor="text1"/>
          <w:lang w:val="en-US"/>
        </w:rPr>
        <w:t xml:space="preserve"> and incident gastric cancer cases in each subgroup are shown in Table 5. The gastric cancer incidence rate increased by OLGIM stages being 0.62, 1.21, 2.24, 3.37, and 3.22</w:t>
      </w:r>
      <w:r w:rsidR="00C704F4"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lastRenderedPageBreak/>
        <w:t>per 1000 patient-years in stages 0–IV, respectively, (</w:t>
      </w:r>
      <w:r w:rsidRPr="00FC078E">
        <w:rPr>
          <w:rFonts w:ascii="Book Antiqua" w:hAnsi="Book Antiqua" w:cs="Times"/>
          <w:i/>
          <w:iCs/>
          <w:color w:val="000000" w:themeColor="text1"/>
          <w:lang w:val="en-US"/>
        </w:rPr>
        <w:t>P</w:t>
      </w:r>
      <w:r w:rsidR="003F678C" w:rsidRPr="00FC078E">
        <w:rPr>
          <w:rFonts w:ascii="Book Antiqua" w:hAnsi="Book Antiqua" w:cs="Times"/>
          <w:color w:val="000000" w:themeColor="text1"/>
          <w:lang w:val="en-US"/>
        </w:rPr>
        <w:t xml:space="preserve"> for trend 0.004, Table 4</w:t>
      </w:r>
      <w:r w:rsidRPr="00FC078E">
        <w:rPr>
          <w:rFonts w:ascii="Book Antiqua" w:hAnsi="Book Antiqua" w:cs="Times"/>
          <w:color w:val="000000" w:themeColor="text1"/>
          <w:lang w:val="en-US"/>
        </w:rPr>
        <w:t xml:space="preserve">). Similar to OLGA stages, the majority of cancers appeared in low-risk OLGIM groups (0–II, </w:t>
      </w:r>
      <w:r w:rsidRPr="00FC078E">
        <w:rPr>
          <w:rFonts w:ascii="Book Antiqua" w:hAnsi="Book Antiqua" w:cs="Times"/>
          <w:i/>
          <w:color w:val="000000" w:themeColor="text1"/>
          <w:lang w:val="en-US"/>
        </w:rPr>
        <w:t>n</w:t>
      </w:r>
      <w:r w:rsidR="007A6E72"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w:t>
      </w:r>
      <w:r w:rsidR="007A6E72"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19, 68%), and the minority in high-risk groups (III–IV, </w:t>
      </w:r>
      <w:r w:rsidRPr="00FC078E">
        <w:rPr>
          <w:rFonts w:ascii="Book Antiqua" w:hAnsi="Book Antiqua" w:cs="Times"/>
          <w:i/>
          <w:color w:val="000000" w:themeColor="text1"/>
          <w:lang w:val="en-US"/>
        </w:rPr>
        <w:t>n</w:t>
      </w:r>
      <w:r w:rsidR="007A6E72"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w:t>
      </w:r>
      <w:r w:rsidR="007A6E72"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9, 32%). In the end of the follow-up in OLGIM stages 0–II, the cumulative gastric cancer event rate was 3.</w:t>
      </w:r>
      <w:r w:rsidR="007A6E72" w:rsidRPr="00FC078E">
        <w:rPr>
          <w:rFonts w:ascii="Book Antiqua" w:hAnsi="Book Antiqua" w:cs="Times"/>
          <w:color w:val="000000" w:themeColor="text1"/>
          <w:lang w:val="en-US"/>
        </w:rPr>
        <w:t xml:space="preserve">5%, and in stages III–IV, 10.8% (Figure </w:t>
      </w:r>
      <w:r w:rsidR="00466C45" w:rsidRPr="00FC078E">
        <w:rPr>
          <w:rFonts w:ascii="Book Antiqua" w:hAnsi="Book Antiqua" w:cs="Times"/>
          <w:color w:val="000000" w:themeColor="text1"/>
          <w:lang w:val="en-US" w:eastAsia="zh-CN"/>
        </w:rPr>
        <w:t>1B</w:t>
      </w:r>
      <w:r w:rsidRPr="00FC078E">
        <w:rPr>
          <w:rFonts w:ascii="Book Antiqua" w:hAnsi="Book Antiqua" w:cs="Times"/>
          <w:color w:val="000000" w:themeColor="text1"/>
          <w:lang w:val="en-US"/>
        </w:rPr>
        <w:t>)</w:t>
      </w:r>
      <w:r w:rsidR="007A6E72" w:rsidRPr="00FC078E">
        <w:rPr>
          <w:rFonts w:ascii="Book Antiqua" w:hAnsi="Book Antiqua" w:cs="Times"/>
          <w:color w:val="000000" w:themeColor="text1"/>
          <w:lang w:val="en-US" w:eastAsia="zh-CN"/>
        </w:rPr>
        <w:t>.</w:t>
      </w:r>
      <w:r w:rsidR="00E33B34"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Three men with OLGA or OLGIM stage 0 developed gastric cancer, of which one lacked atrophy, and two lacked IM in antrum and corpus biopsies.</w:t>
      </w:r>
    </w:p>
    <w:p w14:paraId="2C8E0107" w14:textId="181C0204" w:rsidR="00D91E78"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The TAIM staging and number of men undergoing gastroscopy, and incident gastric cancer cases in each subgroup are shown in Table 6. In the TAIM scoring system the risk of gastric cancer was graded into two ca</w:t>
      </w:r>
      <w:r w:rsidR="003F678C" w:rsidRPr="00FC078E">
        <w:rPr>
          <w:rFonts w:ascii="Book Antiqua" w:hAnsi="Book Antiqua" w:cs="Times"/>
          <w:color w:val="000000" w:themeColor="text1"/>
          <w:lang w:val="en-US"/>
        </w:rPr>
        <w:t>tegories: low and high (Table 2</w:t>
      </w:r>
      <w:r w:rsidRPr="00FC078E">
        <w:rPr>
          <w:rFonts w:ascii="Book Antiqua" w:hAnsi="Book Antiqua" w:cs="Times"/>
          <w:color w:val="000000" w:themeColor="text1"/>
          <w:lang w:val="en-US"/>
        </w:rPr>
        <w:t>). The cancer incidence rates in these groups were 0.87 and 2.37 per 1000 patient years, respectively (</w:t>
      </w:r>
      <w:r w:rsidRPr="00FC078E">
        <w:rPr>
          <w:rFonts w:ascii="Book Antiqua" w:hAnsi="Book Antiqua" w:cs="Times"/>
          <w:i/>
          <w:iCs/>
          <w:color w:val="000000" w:themeColor="text1"/>
          <w:lang w:val="en-US"/>
        </w:rPr>
        <w:t>P</w:t>
      </w:r>
      <w:r w:rsidR="003F678C" w:rsidRPr="00FC078E">
        <w:rPr>
          <w:rFonts w:ascii="Book Antiqua" w:hAnsi="Book Antiqua" w:cs="Times"/>
          <w:color w:val="000000" w:themeColor="text1"/>
          <w:lang w:val="en-US"/>
        </w:rPr>
        <w:t xml:space="preserve"> for trend 0.03, Table 4</w:t>
      </w:r>
      <w:r w:rsidRPr="00FC078E">
        <w:rPr>
          <w:rFonts w:ascii="Book Antiqua" w:hAnsi="Book Antiqua" w:cs="Times"/>
          <w:color w:val="000000" w:themeColor="text1"/>
          <w:lang w:val="en-US"/>
        </w:rPr>
        <w:t>). The cumulative gastric cancer event rates at the end of follow-up were 2.2% for low and 6.6% for hi</w:t>
      </w:r>
      <w:r w:rsidR="00517A80" w:rsidRPr="00FC078E">
        <w:rPr>
          <w:rFonts w:ascii="Book Antiqua" w:hAnsi="Book Antiqua" w:cs="Times"/>
          <w:color w:val="000000" w:themeColor="text1"/>
          <w:lang w:val="en-US"/>
        </w:rPr>
        <w:t xml:space="preserve">gh cancer risk stages (Figure </w:t>
      </w:r>
      <w:r w:rsidR="00466C45" w:rsidRPr="00FC078E">
        <w:rPr>
          <w:rFonts w:ascii="Book Antiqua" w:hAnsi="Book Antiqua" w:cs="Times"/>
          <w:color w:val="000000" w:themeColor="text1"/>
          <w:lang w:val="en-US" w:eastAsia="zh-CN"/>
        </w:rPr>
        <w:t>1C</w:t>
      </w:r>
      <w:r w:rsidRPr="00FC078E">
        <w:rPr>
          <w:rFonts w:ascii="Book Antiqua" w:hAnsi="Book Antiqua" w:cs="Times"/>
          <w:color w:val="000000" w:themeColor="text1"/>
          <w:lang w:val="en-US"/>
        </w:rPr>
        <w:t>). One patient with healthy mucosa developed gastric cancer during the follow-up period. Most (26/28) of the gastric cancers were diagnosed in men with moderate or marked IM or atrophic corpus gastritis, or pangastritis. The high-risk group of TAIM staging detected 79% (22/28) of gastric cancer cases. Gastric cancer risk for the first ten years of surveillance was small and similar in low and high-risk groups, but increased thereafter in high-risk OLGIM (stages III-IV) patients and marginally in high-r</w:t>
      </w:r>
      <w:r w:rsidR="00517A80" w:rsidRPr="00FC078E">
        <w:rPr>
          <w:rFonts w:ascii="Book Antiqua" w:hAnsi="Book Antiqua" w:cs="Times"/>
          <w:color w:val="000000" w:themeColor="text1"/>
          <w:lang w:val="en-US"/>
        </w:rPr>
        <w:t>isk TAIM patients</w:t>
      </w:r>
      <w:r w:rsidR="00466C45" w:rsidRPr="00FC078E">
        <w:rPr>
          <w:rFonts w:ascii="Book Antiqua" w:hAnsi="Book Antiqua" w:cs="Times"/>
          <w:color w:val="000000" w:themeColor="text1"/>
          <w:lang w:val="en-US"/>
        </w:rPr>
        <w:t xml:space="preserve"> (Figure</w:t>
      </w:r>
      <w:r w:rsidR="00466C45" w:rsidRPr="00FC078E">
        <w:rPr>
          <w:rFonts w:ascii="Book Antiqua" w:hAnsi="Book Antiqua" w:cs="Times"/>
          <w:color w:val="000000" w:themeColor="text1"/>
          <w:lang w:val="en-US" w:eastAsia="zh-CN"/>
        </w:rPr>
        <w:t xml:space="preserve"> </w:t>
      </w:r>
      <w:r w:rsidR="00466C45" w:rsidRPr="00FC078E">
        <w:rPr>
          <w:rFonts w:ascii="Book Antiqua" w:hAnsi="Book Antiqua" w:cs="Times"/>
          <w:color w:val="000000" w:themeColor="text1"/>
          <w:lang w:val="en-US"/>
        </w:rPr>
        <w:t>1</w:t>
      </w:r>
      <w:r w:rsidRPr="00FC078E">
        <w:rPr>
          <w:rFonts w:ascii="Book Antiqua" w:hAnsi="Book Antiqua" w:cs="Times"/>
          <w:color w:val="000000" w:themeColor="text1"/>
          <w:lang w:val="en-US"/>
        </w:rPr>
        <w:t>)</w:t>
      </w:r>
      <w:r w:rsidR="00517A80" w:rsidRPr="00FC078E">
        <w:rPr>
          <w:rFonts w:ascii="Book Antiqua" w:hAnsi="Book Antiqua" w:cs="Times"/>
          <w:color w:val="000000" w:themeColor="text1"/>
          <w:lang w:val="en-US" w:eastAsia="zh-CN"/>
        </w:rPr>
        <w:t>.</w:t>
      </w:r>
    </w:p>
    <w:p w14:paraId="62394DAC" w14:textId="77777777" w:rsidR="00D91E78"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Histology of</w:t>
      </w:r>
      <w:r w:rsidRPr="00FC078E">
        <w:rPr>
          <w:rFonts w:ascii="Book Antiqua" w:hAnsi="Book Antiqua" w:cs="Times"/>
          <w:i/>
          <w:iCs/>
          <w:color w:val="000000" w:themeColor="text1"/>
          <w:lang w:val="en-US"/>
        </w:rPr>
        <w:t xml:space="preserve"> H. pylori </w:t>
      </w:r>
      <w:r w:rsidRPr="00FC078E">
        <w:rPr>
          <w:rFonts w:ascii="Book Antiqua" w:hAnsi="Book Antiqua" w:cs="Times"/>
          <w:color w:val="000000" w:themeColor="text1"/>
          <w:lang w:val="en-US"/>
        </w:rPr>
        <w:t xml:space="preserve">was analyzed from biopsies taken in the primary gastroscopies, and the results are shown in Table 4. Serological data of </w:t>
      </w:r>
      <w:r w:rsidRPr="00FC078E">
        <w:rPr>
          <w:rFonts w:ascii="Book Antiqua" w:hAnsi="Book Antiqua" w:cs="Times"/>
          <w:i/>
          <w:iCs/>
          <w:color w:val="000000" w:themeColor="text1"/>
          <w:lang w:val="en-US"/>
        </w:rPr>
        <w:t>H. pylori</w:t>
      </w:r>
      <w:r w:rsidRPr="00FC078E">
        <w:rPr>
          <w:rFonts w:ascii="Book Antiqua" w:hAnsi="Book Antiqua" w:cs="Times"/>
          <w:color w:val="000000" w:themeColor="text1"/>
          <w:lang w:val="en-US"/>
        </w:rPr>
        <w:t xml:space="preserve"> was not available.</w:t>
      </w:r>
    </w:p>
    <w:p w14:paraId="29C61941" w14:textId="77777777" w:rsidR="009341D1"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The sensitivity and specificity of the different staging systems to predict gastric cancer are shown in Table 7. The high-risk groups of </w:t>
      </w:r>
      <w:proofErr w:type="gramStart"/>
      <w:r w:rsidRPr="00FC078E">
        <w:rPr>
          <w:rFonts w:ascii="Book Antiqua" w:hAnsi="Book Antiqua" w:cs="Times"/>
          <w:color w:val="000000" w:themeColor="text1"/>
          <w:lang w:val="en-US"/>
        </w:rPr>
        <w:t>OLGA</w:t>
      </w:r>
      <w:proofErr w:type="gramEnd"/>
      <w:r w:rsidRPr="00FC078E">
        <w:rPr>
          <w:rFonts w:ascii="Book Antiqua" w:hAnsi="Book Antiqua" w:cs="Times"/>
          <w:color w:val="000000" w:themeColor="text1"/>
          <w:lang w:val="en-US"/>
        </w:rPr>
        <w:t xml:space="preserve"> and OLGIM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(III–IV) were not as sensitive, 21.4% and 32.1%, respectively, as the high-risk group of TAIM staging, 78.6%, to predict gastric cancer risk. On the other hand, specificity of OLGA and OLGIM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were 84.9% and 81.4%, respectively, whereas TA</w:t>
      </w:r>
      <w:r w:rsidR="00C6770F" w:rsidRPr="00FC078E">
        <w:rPr>
          <w:rFonts w:ascii="Book Antiqua" w:hAnsi="Book Antiqua" w:cs="Times"/>
          <w:color w:val="000000" w:themeColor="text1"/>
          <w:lang w:val="en-US"/>
        </w:rPr>
        <w:t>IM staging had weak specificity</w:t>
      </w:r>
      <w:r w:rsidR="00C6770F" w:rsidRPr="00FC078E">
        <w:rPr>
          <w:rFonts w:ascii="Book Antiqua" w:hAnsi="Book Antiqua" w:cs="Times"/>
          <w:color w:val="000000" w:themeColor="text1"/>
          <w:lang w:val="en-US" w:eastAsia="zh-CN"/>
        </w:rPr>
        <w:t xml:space="preserve"> - </w:t>
      </w:r>
      <w:r w:rsidRPr="00FC078E">
        <w:rPr>
          <w:rFonts w:ascii="Book Antiqua" w:hAnsi="Book Antiqua" w:cs="Times"/>
          <w:color w:val="000000" w:themeColor="text1"/>
          <w:lang w:val="en-US"/>
        </w:rPr>
        <w:t>42.3% (Table 7).</w:t>
      </w:r>
    </w:p>
    <w:p w14:paraId="1B749FFF" w14:textId="77777777" w:rsidR="009341D1" w:rsidRPr="00FC078E" w:rsidRDefault="009341D1"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eastAsia="zh-CN"/>
        </w:rPr>
        <w:lastRenderedPageBreak/>
        <w:t xml:space="preserve">Total </w:t>
      </w:r>
      <w:r w:rsidR="00295F95" w:rsidRPr="00FC078E">
        <w:rPr>
          <w:rFonts w:ascii="Book Antiqua" w:hAnsi="Book Antiqua" w:cs="Times"/>
          <w:color w:val="000000" w:themeColor="text1"/>
          <w:lang w:val="en-US"/>
        </w:rPr>
        <w:t>259 men (23%) had marked atrophy in corpus biopsies, but not in antral samples. Eight of these men developed gastric cancer during the follow-up. Some of the men might have had an autoimmune gastritis, but exact number is lacking because autoantibodies against parietal cells or intrinsic factor were not determined.</w:t>
      </w:r>
    </w:p>
    <w:p w14:paraId="4B407165" w14:textId="00326505" w:rsidR="00295F95" w:rsidRPr="00FC078E"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FC078E">
        <w:rPr>
          <w:rFonts w:ascii="Book Antiqua" w:hAnsi="Book Antiqua" w:cs="Times"/>
          <w:color w:val="000000" w:themeColor="text1"/>
          <w:lang w:val="en-US"/>
        </w:rPr>
        <w:t xml:space="preserve">SIRs were calculated, and compared to the general male population of the same age (SIR 1.0) (Table 8). In OLGA and OLGIM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SIRs were elevated in both low- and high-risk patients, and in TAIM staging in high-risk patients compared to the general male population. In all staging systems, high-risk patients had three- to four-times higher cancer risk compared to the general population.</w:t>
      </w:r>
    </w:p>
    <w:p w14:paraId="024B0DE1"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14603095" w14:textId="225AC383" w:rsidR="00295F95" w:rsidRPr="00FC078E" w:rsidRDefault="008B7B32" w:rsidP="00FC078E">
      <w:pPr>
        <w:adjustRightInd w:val="0"/>
        <w:snapToGrid w:val="0"/>
        <w:spacing w:line="360" w:lineRule="auto"/>
        <w:jc w:val="both"/>
        <w:rPr>
          <w:rFonts w:ascii="Book Antiqua" w:hAnsi="Book Antiqua" w:cs="Times"/>
          <w:b/>
          <w:color w:val="000000" w:themeColor="text1"/>
          <w:u w:val="single"/>
          <w:lang w:val="en-US"/>
        </w:rPr>
      </w:pPr>
      <w:r w:rsidRPr="00FC078E">
        <w:rPr>
          <w:rFonts w:ascii="Book Antiqua" w:hAnsi="Book Antiqua" w:cs="Times"/>
          <w:b/>
          <w:color w:val="000000" w:themeColor="text1"/>
          <w:u w:val="single"/>
          <w:lang w:val="en-US"/>
        </w:rPr>
        <w:t>DISCUSSION</w:t>
      </w:r>
    </w:p>
    <w:p w14:paraId="618BFEBA" w14:textId="77777777" w:rsidR="00480C4C" w:rsidRPr="00FC078E" w:rsidRDefault="00295F95"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s="Times"/>
          <w:color w:val="000000" w:themeColor="text1"/>
          <w:lang w:val="en-US"/>
        </w:rPr>
        <w:t xml:space="preserve">The risk for gastric cancer is low in western countries, and with a lack of screening programs, the majority of gastric cancers are detected at an advanced stage. There is a need to detect and follow patients at highest risk of developing gastric cancer. The present study has, to our knowledge, the longest follow-up of OLGA- and OLGIM-staged participants, with maximum follow-up of 27.3 years, and at the same time also the largest number of gastric cancers diagnosed in OLGA/OLGIM-scored patients. </w:t>
      </w:r>
      <w:r w:rsidRPr="00FC078E">
        <w:rPr>
          <w:rFonts w:ascii="Book Antiqua" w:hAnsi="Book Antiqua"/>
          <w:color w:val="000000" w:themeColor="text1"/>
          <w:lang w:val="en-US"/>
        </w:rPr>
        <w:t>We developed a new staging system, TAIM, which divides patients into low- and high-risk groups of developing gastric cancer, depending on the degree of the atrophy or IM and their topography in stomach.</w:t>
      </w:r>
    </w:p>
    <w:p w14:paraId="16603B23" w14:textId="77777777" w:rsidR="00ED2D74"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olor w:val="000000" w:themeColor="text1"/>
          <w:lang w:val="en-US"/>
        </w:rPr>
        <w:t xml:space="preserve">In our materials, OLGA staging was not significantly associated with the risk of gastric cancer. This was unsurprising as all men had low serum PGI levels at the beginning of the study, and thereby corpus atrophy was expected. Conversely, an elevated OLGIM stage was associated with increased gastric cancer risk. Men with IM in their stomach may have a more advanced premalignant stage for the development of clinical gastric cancer. In a nationwide cohort study from the Netherlands, the risk for gastric cancer after 10 years of follow-up was 0.8% in patients with atrophic gastritis and 1.8% </w:t>
      </w:r>
      <w:r w:rsidRPr="00FC078E">
        <w:rPr>
          <w:rFonts w:ascii="Book Antiqua" w:hAnsi="Book Antiqua"/>
          <w:color w:val="000000" w:themeColor="text1"/>
          <w:lang w:val="en-US"/>
        </w:rPr>
        <w:lastRenderedPageBreak/>
        <w:t xml:space="preserve">with </w:t>
      </w:r>
      <w:proofErr w:type="gramStart"/>
      <w:r w:rsidRPr="00FC078E">
        <w:rPr>
          <w:rFonts w:ascii="Book Antiqua" w:hAnsi="Book Antiqua"/>
          <w:color w:val="000000" w:themeColor="text1"/>
          <w:lang w:val="en-US"/>
        </w:rPr>
        <w:t>I</w:t>
      </w:r>
      <w:r w:rsidR="00ED2D74" w:rsidRPr="00FC078E">
        <w:rPr>
          <w:rFonts w:ascii="Book Antiqua" w:hAnsi="Book Antiqua"/>
          <w:color w:val="000000" w:themeColor="text1"/>
          <w:lang w:val="en-US"/>
        </w:rPr>
        <w:t>M</w:t>
      </w:r>
      <w:r w:rsidR="00ED2D74" w:rsidRPr="00FC078E">
        <w:rPr>
          <w:rFonts w:ascii="Book Antiqua" w:hAnsi="Book Antiqua" w:cs="Times"/>
          <w:color w:val="000000" w:themeColor="text1"/>
          <w:vertAlign w:val="superscript"/>
          <w:lang w:val="en-US" w:eastAsia="zh-CN"/>
        </w:rPr>
        <w:t>[</w:t>
      </w:r>
      <w:proofErr w:type="gramEnd"/>
      <w:r w:rsidR="00ED2D74" w:rsidRPr="00FC078E">
        <w:rPr>
          <w:rFonts w:ascii="Book Antiqua" w:hAnsi="Book Antiqua" w:cs="Times"/>
          <w:color w:val="000000" w:themeColor="text1"/>
          <w:vertAlign w:val="superscript"/>
          <w:lang w:val="en-US" w:eastAsia="zh-CN"/>
        </w:rPr>
        <w:t>25]</w:t>
      </w:r>
      <w:r w:rsidRPr="00FC078E">
        <w:rPr>
          <w:rFonts w:ascii="Book Antiqua" w:hAnsi="Book Antiqua"/>
          <w:color w:val="000000" w:themeColor="text1"/>
          <w:lang w:val="en-US"/>
        </w:rPr>
        <w:t>. I</w:t>
      </w:r>
      <w:r w:rsidR="00ED2D74" w:rsidRPr="00FC078E">
        <w:rPr>
          <w:rFonts w:ascii="Book Antiqua" w:hAnsi="Book Antiqua"/>
          <w:color w:val="000000" w:themeColor="text1"/>
          <w:lang w:val="en-US"/>
        </w:rPr>
        <w:t xml:space="preserve">n a Swedish study by Song </w:t>
      </w:r>
      <w:r w:rsidR="00ED2D74" w:rsidRPr="00FC078E">
        <w:rPr>
          <w:rFonts w:ascii="Book Antiqua" w:hAnsi="Book Antiqua"/>
          <w:i/>
          <w:color w:val="000000" w:themeColor="text1"/>
          <w:lang w:val="en-US"/>
        </w:rPr>
        <w:t xml:space="preserve">et </w:t>
      </w:r>
      <w:proofErr w:type="gramStart"/>
      <w:r w:rsidR="00ED2D74" w:rsidRPr="00FC078E">
        <w:rPr>
          <w:rFonts w:ascii="Book Antiqua" w:hAnsi="Book Antiqua"/>
          <w:i/>
          <w:color w:val="000000" w:themeColor="text1"/>
          <w:lang w:val="en-US"/>
        </w:rPr>
        <w:t>al</w:t>
      </w:r>
      <w:r w:rsidR="00ED2D74" w:rsidRPr="00FC078E">
        <w:rPr>
          <w:rFonts w:ascii="Book Antiqua" w:hAnsi="Book Antiqua" w:cs="Times"/>
          <w:color w:val="000000" w:themeColor="text1"/>
          <w:vertAlign w:val="superscript"/>
          <w:lang w:val="en-US" w:eastAsia="zh-CN"/>
        </w:rPr>
        <w:t>[</w:t>
      </w:r>
      <w:proofErr w:type="gramEnd"/>
      <w:r w:rsidR="00ED2D74" w:rsidRPr="00FC078E">
        <w:rPr>
          <w:rFonts w:ascii="Book Antiqua" w:hAnsi="Book Antiqua" w:cs="Times"/>
          <w:color w:val="000000" w:themeColor="text1"/>
          <w:vertAlign w:val="superscript"/>
          <w:lang w:val="en-US" w:eastAsia="zh-CN"/>
        </w:rPr>
        <w:t>26]</w:t>
      </w:r>
      <w:r w:rsidRPr="00FC078E">
        <w:rPr>
          <w:rFonts w:ascii="Book Antiqua" w:hAnsi="Book Antiqua"/>
          <w:color w:val="000000" w:themeColor="text1"/>
          <w:lang w:val="en-US"/>
        </w:rPr>
        <w:t>, gastric cancer risk was 2.8 times higher in people with atrophic gastritis, and 3.2 times higher with IM compared to people with normal biopsies.</w:t>
      </w:r>
    </w:p>
    <w:p w14:paraId="30FEE537" w14:textId="3AB9D5D9" w:rsidR="00ED2D74"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s="Times"/>
          <w:color w:val="000000" w:themeColor="text1"/>
          <w:lang w:val="en-US"/>
        </w:rPr>
        <w:t xml:space="preserve">European guidelines (MAPSII) recommend </w:t>
      </w:r>
      <w:proofErr w:type="spellStart"/>
      <w:r w:rsidRPr="00FC078E">
        <w:rPr>
          <w:rFonts w:ascii="Book Antiqua" w:hAnsi="Book Antiqua" w:cs="Times"/>
          <w:color w:val="000000" w:themeColor="text1"/>
          <w:lang w:val="en-US"/>
        </w:rPr>
        <w:t>endoscopical</w:t>
      </w:r>
      <w:proofErr w:type="spellEnd"/>
      <w:r w:rsidRPr="00FC078E">
        <w:rPr>
          <w:rFonts w:ascii="Book Antiqua" w:hAnsi="Book Antiqua" w:cs="Times"/>
          <w:color w:val="000000" w:themeColor="text1"/>
          <w:lang w:val="en-US"/>
        </w:rPr>
        <w:t xml:space="preserve"> surveillance every three years for patients with extensive gastric atr</w:t>
      </w:r>
      <w:r w:rsidR="00750B36" w:rsidRPr="00FC078E">
        <w:rPr>
          <w:rFonts w:ascii="Book Antiqua" w:hAnsi="Book Antiqua" w:cs="Times"/>
          <w:color w:val="000000" w:themeColor="text1"/>
          <w:lang w:val="en-US"/>
        </w:rPr>
        <w:t xml:space="preserve">ophy and/or IM in whole </w:t>
      </w:r>
      <w:proofErr w:type="gramStart"/>
      <w:r w:rsidR="00750B36" w:rsidRPr="00FC078E">
        <w:rPr>
          <w:rFonts w:ascii="Book Antiqua" w:hAnsi="Book Antiqua" w:cs="Times"/>
          <w:color w:val="000000" w:themeColor="text1"/>
          <w:lang w:val="en-US"/>
        </w:rPr>
        <w:t>stomach</w:t>
      </w:r>
      <w:r w:rsidR="00750B36" w:rsidRPr="00FC078E">
        <w:rPr>
          <w:rFonts w:ascii="Book Antiqua" w:hAnsi="Book Antiqua" w:cs="Times"/>
          <w:color w:val="000000" w:themeColor="text1"/>
          <w:vertAlign w:val="superscript"/>
          <w:lang w:val="en-US" w:eastAsia="zh-CN"/>
        </w:rPr>
        <w:t>[</w:t>
      </w:r>
      <w:proofErr w:type="gramEnd"/>
      <w:r w:rsidR="00750B36" w:rsidRPr="00FC078E">
        <w:rPr>
          <w:rFonts w:ascii="Book Antiqua" w:hAnsi="Book Antiqua" w:cs="Times"/>
          <w:color w:val="000000" w:themeColor="text1"/>
          <w:vertAlign w:val="superscript"/>
          <w:lang w:val="en-US" w:eastAsia="zh-CN"/>
        </w:rPr>
        <w:t>23]</w:t>
      </w:r>
      <w:r w:rsidRPr="00FC078E">
        <w:rPr>
          <w:rFonts w:ascii="Book Antiqua" w:hAnsi="Book Antiqua" w:cs="Times"/>
          <w:color w:val="000000" w:themeColor="text1"/>
          <w:lang w:val="en-US"/>
        </w:rPr>
        <w:t>. Although the men in this study had risk factors and precancerous findings, only 2.4% of them developed gastric cancer during the follow-up period, with an annual gastric cancer incidence rate of 0.17%.</w:t>
      </w:r>
    </w:p>
    <w:p w14:paraId="6BB3C95B" w14:textId="77777777" w:rsidR="0022696A"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olor w:val="000000" w:themeColor="text1"/>
          <w:lang w:val="en-US"/>
        </w:rPr>
        <w:t>Most patients and the majority of gastric cancers accumulated to so-called low-risk OLGA and OLGIM stages (0</w:t>
      </w:r>
      <w:r w:rsidRPr="00FC078E">
        <w:rPr>
          <w:rFonts w:ascii="Book Antiqua" w:hAnsi="Book Antiqua"/>
          <w:color w:val="000000" w:themeColor="text1"/>
          <w:lang w:val="en-GB"/>
        </w:rPr>
        <w:t>–</w:t>
      </w:r>
      <w:r w:rsidRPr="00FC078E">
        <w:rPr>
          <w:rFonts w:ascii="Book Antiqua" w:hAnsi="Book Antiqua"/>
          <w:color w:val="000000" w:themeColor="text1"/>
          <w:lang w:val="en-US"/>
        </w:rPr>
        <w:t>II). These staging systems would have missed most gastric cancers which render these systems less useful compared to the new TAIM staging system. The majority of patients (</w:t>
      </w:r>
      <w:r w:rsidRPr="00FC078E">
        <w:rPr>
          <w:rFonts w:ascii="Book Antiqua" w:hAnsi="Book Antiqua"/>
          <w:i/>
          <w:iCs/>
          <w:color w:val="000000" w:themeColor="text1"/>
          <w:lang w:val="en-US"/>
        </w:rPr>
        <w:t>n</w:t>
      </w:r>
      <w:r w:rsidR="00750B36" w:rsidRPr="00FC078E">
        <w:rPr>
          <w:rFonts w:ascii="Book Antiqua" w:hAnsi="Book Antiqua"/>
          <w:i/>
          <w:iCs/>
          <w:color w:val="000000" w:themeColor="text1"/>
          <w:lang w:val="en-US" w:eastAsia="zh-CN"/>
        </w:rPr>
        <w:t xml:space="preserve"> </w:t>
      </w:r>
      <w:r w:rsidRPr="00FC078E">
        <w:rPr>
          <w:rFonts w:ascii="Book Antiqua" w:hAnsi="Book Antiqua"/>
          <w:color w:val="000000" w:themeColor="text1"/>
          <w:lang w:val="en-US"/>
        </w:rPr>
        <w:t>=</w:t>
      </w:r>
      <w:r w:rsidR="00750B36"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662/1147) and diagnosed gastric cancers (</w:t>
      </w:r>
      <w:r w:rsidRPr="00FC078E">
        <w:rPr>
          <w:rFonts w:ascii="Book Antiqua" w:hAnsi="Book Antiqua"/>
          <w:i/>
          <w:iCs/>
          <w:color w:val="000000" w:themeColor="text1"/>
          <w:lang w:val="en-US"/>
        </w:rPr>
        <w:t>n</w:t>
      </w:r>
      <w:r w:rsidR="00750B36" w:rsidRPr="00FC078E">
        <w:rPr>
          <w:rFonts w:ascii="Book Antiqua" w:hAnsi="Book Antiqua"/>
          <w:i/>
          <w:iCs/>
          <w:color w:val="000000" w:themeColor="text1"/>
          <w:lang w:val="en-US" w:eastAsia="zh-CN"/>
        </w:rPr>
        <w:t xml:space="preserve"> </w:t>
      </w:r>
      <w:r w:rsidRPr="00FC078E">
        <w:rPr>
          <w:rFonts w:ascii="Book Antiqua" w:hAnsi="Book Antiqua"/>
          <w:color w:val="000000" w:themeColor="text1"/>
          <w:lang w:val="en-US"/>
        </w:rPr>
        <w:t>=</w:t>
      </w:r>
      <w:r w:rsidR="00750B36"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 xml:space="preserve">22/28) assembled to the TAIM high cancer risk group, and TAIM staging was associated with the risk of gastric cancer. High-risk OLGA and OLGIM stages in primary endoscopy predicted only 21% (6/28) and 32% (9/28) of the cancer cases (OLGA and OLGIM, respectively). The new staging, in contrast, revealed 79% (22/28) of incident gastric cancers. Compared to the general male population of the same age, SIRs were elevated in OLGA and OLGIM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xml:space="preserve"> in both low and high-risk patients. In TAIM staging the difference between low and high-risk groups differed (TAIM low-risk SIR 1.17, </w:t>
      </w:r>
      <w:r w:rsidRPr="00FC078E">
        <w:rPr>
          <w:rFonts w:ascii="Book Antiqua" w:hAnsi="Book Antiqua" w:cs="Times"/>
          <w:i/>
          <w:iCs/>
          <w:color w:val="000000" w:themeColor="text1"/>
          <w:lang w:val="en-US"/>
        </w:rPr>
        <w:t>P</w:t>
      </w:r>
      <w:r w:rsidRPr="00FC078E">
        <w:rPr>
          <w:rFonts w:ascii="Book Antiqua" w:hAnsi="Book Antiqua"/>
          <w:color w:val="000000" w:themeColor="text1"/>
          <w:lang w:val="en-US"/>
        </w:rPr>
        <w:t xml:space="preserve"> =</w:t>
      </w:r>
      <w:r w:rsidR="00750B36"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 xml:space="preserve">0.82, and TAIM high-risk SIR 3.00, </w:t>
      </w:r>
      <w:r w:rsidRPr="00FC078E">
        <w:rPr>
          <w:rFonts w:ascii="Book Antiqua" w:hAnsi="Book Antiqua" w:cs="Times"/>
          <w:i/>
          <w:iCs/>
          <w:color w:val="000000" w:themeColor="text1"/>
          <w:lang w:val="en-US"/>
        </w:rPr>
        <w:t>P</w:t>
      </w:r>
      <w:r w:rsidRPr="00FC078E">
        <w:rPr>
          <w:rFonts w:ascii="Book Antiqua" w:hAnsi="Book Antiqua"/>
          <w:color w:val="000000" w:themeColor="text1"/>
          <w:lang w:val="en-US"/>
        </w:rPr>
        <w:t xml:space="preserve"> &lt;</w:t>
      </w:r>
      <w:r w:rsidR="00750B36"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 xml:space="preserve">0.001, respectively), and therefore TAIM could be best of these three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xml:space="preserve"> to segregate patients, who should be followed up. However, the specificity of TAIM staging was lower than in OLGA and OLGIM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The low specificity of TAIM high-risk means more men require gastric cancer follow-up. In addition, the number of gastroscopies depends on the frequency of follow-ups. Two men in the high-risk group of TAIM were diagnosed with clinical gastric cancer within three years of undergoing a screening gastroscopy. The optimal frequency of follow-up gastroscopies to prevent as many clinical gastric cancers as possible must be examined in further studies, however.</w:t>
      </w:r>
    </w:p>
    <w:p w14:paraId="5FBC916A" w14:textId="6271ECFD" w:rsidR="0022696A"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olor w:val="000000" w:themeColor="text1"/>
          <w:lang w:val="en-US"/>
        </w:rPr>
        <w:lastRenderedPageBreak/>
        <w:t xml:space="preserve">In OLGA and OLGIM </w:t>
      </w:r>
      <w:proofErr w:type="spellStart"/>
      <w:r w:rsidRPr="00FC078E">
        <w:rPr>
          <w:rFonts w:ascii="Book Antiqua" w:hAnsi="Book Antiqua"/>
          <w:color w:val="000000" w:themeColor="text1"/>
          <w:lang w:val="en-US"/>
        </w:rPr>
        <w:t>stagings</w:t>
      </w:r>
      <w:proofErr w:type="spellEnd"/>
      <w:r w:rsidRPr="00FC078E">
        <w:rPr>
          <w:rFonts w:ascii="Book Antiqua" w:hAnsi="Book Antiqua"/>
          <w:color w:val="000000" w:themeColor="text1"/>
          <w:lang w:val="en-US"/>
        </w:rPr>
        <w:t>, marked atrophy or IM in biopsy samples from antrum or incisura angularis without preneoplastic changes in corpus, represent OLGA/OLGIM stage III, and if changes are reversed in corpus and antrum, the stage is II. In autoimmune gastritis atrophy is restricted to corpus only, and IM can be non-existing or minimal. These patients represent OLGA stage II. By OLGIM staging, patients with autoimmune g</w:t>
      </w:r>
      <w:r w:rsidR="00A2686F">
        <w:rPr>
          <w:rFonts w:ascii="Book Antiqua" w:hAnsi="Book Antiqua"/>
          <w:color w:val="000000" w:themeColor="text1"/>
          <w:lang w:val="en-US"/>
        </w:rPr>
        <w:t xml:space="preserve">astritis, cannot be evaluated. </w:t>
      </w:r>
      <w:r w:rsidRPr="00FC078E">
        <w:rPr>
          <w:rFonts w:ascii="Book Antiqua" w:hAnsi="Book Antiqua"/>
          <w:color w:val="000000" w:themeColor="text1"/>
          <w:lang w:val="en-US"/>
        </w:rPr>
        <w:t xml:space="preserve">TAIM staging emphasizes changes in corpus and whole stomach, as these represent long lasted gastritis of </w:t>
      </w:r>
      <w:r w:rsidRPr="00FC078E">
        <w:rPr>
          <w:rFonts w:ascii="Book Antiqua" w:hAnsi="Book Antiqua"/>
          <w:i/>
          <w:color w:val="000000" w:themeColor="text1"/>
          <w:lang w:val="en-US"/>
        </w:rPr>
        <w:t>H. Pylori</w:t>
      </w:r>
      <w:r w:rsidRPr="00FC078E">
        <w:rPr>
          <w:rFonts w:ascii="Book Antiqua" w:hAnsi="Book Antiqua"/>
          <w:color w:val="000000" w:themeColor="text1"/>
          <w:lang w:val="en-US"/>
        </w:rPr>
        <w:t xml:space="preserve"> induced corpus predominant gastritis, or autoimmune gastritis. It is notable, that patient material is biased. The participants were elderly male smokers, who were selected based on low serum PGI and no men with normal stomachs or superficial gastritis were present. The number of men with atrophy or IM only in antrum biopsies was low, which biases the topographic distribution, and therefore TAIM score. This is the first time to test this staging and thereby results are preliminary and validation studies are needed.</w:t>
      </w:r>
    </w:p>
    <w:p w14:paraId="526587D6" w14:textId="77777777" w:rsidR="0022696A"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olor w:val="000000" w:themeColor="text1"/>
          <w:lang w:val="en-US"/>
        </w:rPr>
        <w:t xml:space="preserve">Average 30% of men had positive </w:t>
      </w:r>
      <w:r w:rsidRPr="00FC078E">
        <w:rPr>
          <w:rFonts w:ascii="Book Antiqua" w:hAnsi="Book Antiqua"/>
          <w:i/>
          <w:iCs/>
          <w:color w:val="000000" w:themeColor="text1"/>
          <w:lang w:val="en-US"/>
        </w:rPr>
        <w:t>H. pylori</w:t>
      </w:r>
      <w:r w:rsidRPr="00FC078E">
        <w:rPr>
          <w:rFonts w:ascii="Book Antiqua" w:hAnsi="Book Antiqua"/>
          <w:color w:val="000000" w:themeColor="text1"/>
          <w:lang w:val="en-US"/>
        </w:rPr>
        <w:t xml:space="preserve"> histology. These findings are based on biopsies from screening gastroscopies. Because of lacking serology, the number of </w:t>
      </w:r>
      <w:r w:rsidRPr="00FC078E">
        <w:rPr>
          <w:rFonts w:ascii="Book Antiqua" w:hAnsi="Book Antiqua"/>
          <w:i/>
          <w:iCs/>
          <w:color w:val="000000" w:themeColor="text1"/>
          <w:lang w:val="en-US"/>
        </w:rPr>
        <w:t>H. pylori</w:t>
      </w:r>
      <w:r w:rsidRPr="00FC078E">
        <w:rPr>
          <w:rFonts w:ascii="Book Antiqua" w:hAnsi="Book Antiqua"/>
          <w:color w:val="000000" w:themeColor="text1"/>
          <w:lang w:val="en-US"/>
        </w:rPr>
        <w:t xml:space="preserve"> positive patients might be larger.</w:t>
      </w:r>
    </w:p>
    <w:p w14:paraId="29757A2C" w14:textId="77777777" w:rsidR="006F0851"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FC078E">
        <w:rPr>
          <w:rFonts w:ascii="Book Antiqua" w:hAnsi="Book Antiqua"/>
          <w:color w:val="000000" w:themeColor="text1"/>
          <w:lang w:val="en-US"/>
        </w:rPr>
        <w:t xml:space="preserve">In the screening gastroscopy, the OLGA/OLGIM stage 0 and TAIM low-risk groups failed to predict a non-existing risk of gastric cancer. </w:t>
      </w:r>
      <w:r w:rsidRPr="00FC078E">
        <w:rPr>
          <w:rFonts w:ascii="Book Antiqua" w:hAnsi="Book Antiqua" w:cs="Times"/>
          <w:color w:val="000000" w:themeColor="text1"/>
          <w:lang w:val="en-US"/>
        </w:rPr>
        <w:t xml:space="preserve">Three men with OLGA/OLGIM stage 0, and one in the low-risk TAIM group developed gastric cancer. One possible explanation for this is sampling error, as these men had low serum PGI values, and some degree of atrophy would have been expected. Multifocal atrophic gastritis appears in a spotted manner, and these samples might be taken from healthy areas. A small proportion of gastric cancers also appear in patients with normal gastric mucosa. In addition, due to laboratory measurement error, some low serum pepsinogen values may have been false positive. Another explanation is a long follow-up time. Precancerous changes of these men might have been invisible or non-existing at the time of endoscopy and cancer developed during the next few decades. One patient with stage 0 OLGIM had diffuse gastric cancer, but </w:t>
      </w:r>
      <w:r w:rsidRPr="00FC078E">
        <w:rPr>
          <w:rFonts w:ascii="Book Antiqua" w:hAnsi="Book Antiqua" w:cs="Times"/>
          <w:color w:val="000000" w:themeColor="text1"/>
          <w:lang w:val="en-US"/>
        </w:rPr>
        <w:lastRenderedPageBreak/>
        <w:t xml:space="preserve">otherwise histological data is missing for these patients. </w:t>
      </w:r>
      <w:r w:rsidRPr="00FC078E">
        <w:rPr>
          <w:rFonts w:ascii="Book Antiqua" w:hAnsi="Book Antiqua" w:cs="Times"/>
          <w:i/>
          <w:iCs/>
          <w:color w:val="000000" w:themeColor="text1"/>
          <w:lang w:val="en-US"/>
        </w:rPr>
        <w:t>H. pylori</w:t>
      </w:r>
      <w:r w:rsidRPr="00FC078E">
        <w:rPr>
          <w:rFonts w:ascii="Book Antiqua" w:hAnsi="Book Antiqua" w:cs="Times"/>
          <w:color w:val="000000" w:themeColor="text1"/>
          <w:lang w:val="en-US"/>
        </w:rPr>
        <w:t xml:space="preserve"> induced superficial gastritis can also lead to diffuse type of gastric cancer and can explain why one patient with OLGIM stage 0 developed gastric cancer. Typically marked atrophy and IM precede intestinal type of gastric cancer, whereas a diffuse type cancer may arise from superficial gastritis or from normal mucosa. Normal serum PGI level or </w:t>
      </w:r>
      <w:proofErr w:type="spellStart"/>
      <w:r w:rsidRPr="00FC078E">
        <w:rPr>
          <w:rFonts w:ascii="Book Antiqua" w:hAnsi="Book Antiqua" w:cs="Times"/>
          <w:color w:val="000000" w:themeColor="text1"/>
          <w:lang w:val="en-US"/>
        </w:rPr>
        <w:t>nonatrophic</w:t>
      </w:r>
      <w:proofErr w:type="spellEnd"/>
      <w:r w:rsidRPr="00FC078E">
        <w:rPr>
          <w:rFonts w:ascii="Book Antiqua" w:hAnsi="Book Antiqua" w:cs="Times"/>
          <w:color w:val="000000" w:themeColor="text1"/>
          <w:lang w:val="en-US"/>
        </w:rPr>
        <w:t xml:space="preserve"> mucosa in gastric biopsies does not indicate that the risk of gastric cancer is zero. Patients with a diffuse type of gastric cancer represent generally low OLGA and OLGIM </w:t>
      </w:r>
      <w:proofErr w:type="gramStart"/>
      <w:r w:rsidRPr="00FC078E">
        <w:rPr>
          <w:rFonts w:ascii="Book Antiqua" w:hAnsi="Book Antiqua" w:cs="Times"/>
          <w:color w:val="000000" w:themeColor="text1"/>
          <w:lang w:val="en-US"/>
        </w:rPr>
        <w:t>stages</w:t>
      </w:r>
      <w:r w:rsidR="0022696A" w:rsidRPr="00FC078E">
        <w:rPr>
          <w:rFonts w:ascii="Book Antiqua" w:hAnsi="Book Antiqua" w:cs="Times"/>
          <w:color w:val="000000" w:themeColor="text1"/>
          <w:vertAlign w:val="superscript"/>
          <w:lang w:val="en-US" w:eastAsia="zh-CN"/>
        </w:rPr>
        <w:t>[</w:t>
      </w:r>
      <w:proofErr w:type="gramEnd"/>
      <w:r w:rsidR="0022696A" w:rsidRPr="00FC078E">
        <w:rPr>
          <w:rFonts w:ascii="Book Antiqua" w:hAnsi="Book Antiqua" w:cs="Times"/>
          <w:color w:val="000000" w:themeColor="text1"/>
          <w:vertAlign w:val="superscript"/>
          <w:lang w:val="en-US" w:eastAsia="zh-CN"/>
        </w:rPr>
        <w:t>11,18]</w:t>
      </w:r>
      <w:r w:rsidR="0022696A" w:rsidRPr="00FC078E">
        <w:rPr>
          <w:rFonts w:ascii="Book Antiqua" w:hAnsi="Book Antiqua" w:cs="Times"/>
          <w:color w:val="000000" w:themeColor="text1"/>
          <w:lang w:val="en-US"/>
        </w:rPr>
        <w:t>.</w:t>
      </w:r>
      <w:r w:rsidR="0022696A" w:rsidRPr="00FC078E">
        <w:rPr>
          <w:rFonts w:ascii="Book Antiqua" w:hAnsi="Book Antiqua" w:cs="Times"/>
          <w:color w:val="000000" w:themeColor="text1"/>
          <w:lang w:val="en-US" w:eastAsia="zh-CN"/>
        </w:rPr>
        <w:t xml:space="preserve"> </w:t>
      </w:r>
      <w:r w:rsidRPr="00FC078E">
        <w:rPr>
          <w:rFonts w:ascii="Book Antiqua" w:hAnsi="Book Antiqua" w:cs="Times"/>
          <w:color w:val="000000" w:themeColor="text1"/>
          <w:lang w:val="en-US"/>
        </w:rPr>
        <w:t xml:space="preserve">The sensitivity of pepsinogen testing is poor in a diffuse type of gastric </w:t>
      </w:r>
      <w:proofErr w:type="gramStart"/>
      <w:r w:rsidRPr="00FC078E">
        <w:rPr>
          <w:rFonts w:ascii="Book Antiqua" w:hAnsi="Book Antiqua" w:cs="Times"/>
          <w:color w:val="000000" w:themeColor="text1"/>
          <w:lang w:val="en-US"/>
        </w:rPr>
        <w:t>cancer</w:t>
      </w:r>
      <w:r w:rsidR="0022696A" w:rsidRPr="00FC078E">
        <w:rPr>
          <w:rFonts w:ascii="Book Antiqua" w:hAnsi="Book Antiqua" w:cs="Times"/>
          <w:color w:val="000000" w:themeColor="text1"/>
          <w:vertAlign w:val="superscript"/>
          <w:lang w:val="en-US" w:eastAsia="zh-CN"/>
        </w:rPr>
        <w:t>[</w:t>
      </w:r>
      <w:proofErr w:type="gramEnd"/>
      <w:r w:rsidR="0022696A" w:rsidRPr="00FC078E">
        <w:rPr>
          <w:rFonts w:ascii="Book Antiqua" w:hAnsi="Book Antiqua" w:cs="Times"/>
          <w:color w:val="000000" w:themeColor="text1"/>
          <w:vertAlign w:val="superscript"/>
          <w:lang w:val="en-US" w:eastAsia="zh-CN"/>
        </w:rPr>
        <w:t>27]</w:t>
      </w:r>
      <w:r w:rsidRPr="00FC078E">
        <w:rPr>
          <w:rFonts w:ascii="Book Antiqua" w:hAnsi="Book Antiqua" w:cs="Times"/>
          <w:color w:val="000000" w:themeColor="text1"/>
          <w:lang w:val="en-US"/>
        </w:rPr>
        <w:t>, but should not have had an influence on our results, as all men had low PGI. The histological reports of cancers were not sufficiently available, but histological type could explain why some cancers developed in patients with low OLGA/OLGIM/TAIM stages.</w:t>
      </w:r>
    </w:p>
    <w:p w14:paraId="63FFB3DF" w14:textId="1ADCAD93" w:rsidR="00295F95" w:rsidRPr="00FC078E" w:rsidRDefault="00295F95" w:rsidP="00FC078E">
      <w:pPr>
        <w:adjustRightInd w:val="0"/>
        <w:snapToGrid w:val="0"/>
        <w:spacing w:line="360" w:lineRule="auto"/>
        <w:ind w:firstLineChars="100" w:firstLine="240"/>
        <w:jc w:val="both"/>
        <w:rPr>
          <w:rFonts w:ascii="Book Antiqua" w:hAnsi="Book Antiqua"/>
          <w:color w:val="000000" w:themeColor="text1"/>
          <w:lang w:val="en-US"/>
        </w:rPr>
      </w:pPr>
      <w:r w:rsidRPr="00FC078E">
        <w:rPr>
          <w:rFonts w:ascii="Book Antiqua" w:hAnsi="Book Antiqua" w:cs="Times"/>
          <w:color w:val="000000" w:themeColor="text1"/>
          <w:lang w:val="en-US"/>
        </w:rPr>
        <w:t>In conclusion, OLGIM and TAIM staging systems showed prognostic value in male smokers with atrophic gastritis. However, most gastric cancers were diagnosed in low OLGA and OLGIM stages (0</w:t>
      </w:r>
      <w:r w:rsidRPr="00FC078E">
        <w:rPr>
          <w:rFonts w:ascii="Book Antiqua" w:hAnsi="Book Antiqua"/>
          <w:color w:val="000000" w:themeColor="text1"/>
          <w:lang w:val="en-GB"/>
        </w:rPr>
        <w:t>–</w:t>
      </w:r>
      <w:r w:rsidRPr="00FC078E">
        <w:rPr>
          <w:rFonts w:ascii="Book Antiqua" w:hAnsi="Book Antiqua" w:cs="Times"/>
          <w:color w:val="000000" w:themeColor="text1"/>
          <w:lang w:val="en-US"/>
        </w:rPr>
        <w:t>II). TAIM staging could hold more potential to find patients with increased cancer risk, but these results are preliminary and further validation studies are needed.</w:t>
      </w:r>
    </w:p>
    <w:p w14:paraId="63A44BEC"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25C076EE" w14:textId="099AB39F" w:rsidR="00295F95" w:rsidRPr="00FC078E" w:rsidRDefault="00524009" w:rsidP="00FC078E">
      <w:pPr>
        <w:adjustRightInd w:val="0"/>
        <w:snapToGrid w:val="0"/>
        <w:spacing w:line="360" w:lineRule="auto"/>
        <w:jc w:val="both"/>
        <w:rPr>
          <w:rFonts w:ascii="Book Antiqua" w:hAnsi="Book Antiqua"/>
          <w:b/>
          <w:color w:val="000000" w:themeColor="text1"/>
          <w:u w:val="single"/>
          <w:lang w:val="en-US" w:eastAsia="zh-CN"/>
        </w:rPr>
      </w:pPr>
      <w:r w:rsidRPr="00FC078E">
        <w:rPr>
          <w:rFonts w:ascii="Book Antiqua" w:hAnsi="Book Antiqua"/>
          <w:b/>
          <w:color w:val="000000" w:themeColor="text1"/>
          <w:u w:val="single"/>
          <w:lang w:val="en-US"/>
        </w:rPr>
        <w:t>ARTICLE HIGHLIGHTS</w:t>
      </w:r>
    </w:p>
    <w:p w14:paraId="72DBC90A" w14:textId="7559E27C" w:rsidR="00295F95" w:rsidRPr="00FC078E" w:rsidRDefault="00524009"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background</w:t>
      </w:r>
    </w:p>
    <w:p w14:paraId="74BC88BA" w14:textId="0C7A9E0A"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r w:rsidRPr="00FC078E">
        <w:rPr>
          <w:rFonts w:ascii="Book Antiqua" w:hAnsi="Book Antiqua" w:cs="Times"/>
          <w:color w:val="000000" w:themeColor="text1"/>
          <w:lang w:val="en-US"/>
        </w:rPr>
        <w:t xml:space="preserve">Majority of gastric cancers (GC) of intestinal type develop through precancerous states of atrophic gastritis and intestinal metaplasia (IM). Precancerous changes, male gender, smoking, and aging are risk factors for GC. Two staging systems have previously been developed to predict GC risk. </w:t>
      </w:r>
      <w:r w:rsidR="00CD7B8D" w:rsidRPr="00FC078E">
        <w:rPr>
          <w:rFonts w:ascii="Book Antiqua" w:hAnsi="Book Antiqua" w:cs="Times"/>
          <w:color w:val="000000" w:themeColor="text1"/>
          <w:lang w:val="en-US"/>
        </w:rPr>
        <w:t xml:space="preserve">Operative link for gastritis assessment </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OLGA</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 xml:space="preserve"> staging assesses the degree of atrophy in gastric biopsies, and in </w:t>
      </w:r>
      <w:r w:rsidR="00CD7B8D" w:rsidRPr="00FC078E">
        <w:rPr>
          <w:rFonts w:ascii="Book Antiqua" w:hAnsi="Book Antiqua" w:cs="Times"/>
          <w:color w:val="000000" w:themeColor="text1"/>
          <w:lang w:val="en-US"/>
        </w:rPr>
        <w:t xml:space="preserve">operative link on gastric intestinal metaplasia assessment </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OLGIM</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 xml:space="preserve"> staging, atrophy is replaced with IM.</w:t>
      </w:r>
    </w:p>
    <w:p w14:paraId="7FD650C3"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15F1B1ED" w14:textId="77777777" w:rsidR="00CD7B8D" w:rsidRPr="00FC078E" w:rsidRDefault="00CD7B8D"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motivation</w:t>
      </w:r>
    </w:p>
    <w:p w14:paraId="03CE982A" w14:textId="74437E6D"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r w:rsidRPr="00FC078E">
        <w:rPr>
          <w:rFonts w:ascii="Book Antiqua" w:hAnsi="Book Antiqua" w:cs="Times"/>
          <w:color w:val="000000" w:themeColor="text1"/>
          <w:lang w:val="en-US"/>
        </w:rPr>
        <w:lastRenderedPageBreak/>
        <w:t xml:space="preserve">In low-risk gastric cancer countries there are no screening programs, and five-year survival of GC patients is poor. There is a need to specify patients at highest risk. In this study, the usability of OLGA and OLGIM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were evaluated. In addition, we developed a new staging system named TAIM (abbreviation from topography, atrophy, and intestinal metaplasia), which combines atrophy and IM into one staging.</w:t>
      </w:r>
    </w:p>
    <w:p w14:paraId="27B03490"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2DDD3FB8" w14:textId="4F4AAF47" w:rsidR="00295F95" w:rsidRPr="00FC078E" w:rsidRDefault="00CD7B8D"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objectives</w:t>
      </w:r>
    </w:p>
    <w:p w14:paraId="1BE253A8" w14:textId="2AE6C549"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r w:rsidRPr="00FC078E">
        <w:rPr>
          <w:rFonts w:ascii="Book Antiqua" w:hAnsi="Book Antiqua" w:cs="Times"/>
          <w:color w:val="000000" w:themeColor="text1"/>
          <w:lang w:val="en-US"/>
        </w:rPr>
        <w:t xml:space="preserve">The main objectives were to evaluate OLGA, OLGIM, and TAIM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in predicting long-term GC risk in elderly male smokers with low </w:t>
      </w:r>
      <w:r w:rsidR="00CD7B8D" w:rsidRPr="00FC078E">
        <w:rPr>
          <w:rFonts w:ascii="Book Antiqua" w:hAnsi="Book Antiqua" w:cs="Times"/>
          <w:color w:val="000000" w:themeColor="text1"/>
          <w:lang w:val="en-US"/>
        </w:rPr>
        <w:t xml:space="preserve">pepsinogen I </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PGI</w:t>
      </w:r>
      <w:r w:rsidR="00CD7B8D" w:rsidRPr="00FC078E">
        <w:rPr>
          <w:rFonts w:ascii="Book Antiqua" w:hAnsi="Book Antiqua" w:cs="Times"/>
          <w:color w:val="000000" w:themeColor="text1"/>
          <w:lang w:val="en-US" w:eastAsia="zh-CN"/>
        </w:rPr>
        <w:t>)</w:t>
      </w:r>
      <w:r w:rsidRPr="00FC078E">
        <w:rPr>
          <w:rFonts w:ascii="Book Antiqua" w:hAnsi="Book Antiqua" w:cs="Times"/>
          <w:color w:val="000000" w:themeColor="text1"/>
          <w:lang w:val="en-US"/>
        </w:rPr>
        <w:t xml:space="preserve">. The main questions were: Can OLGA and OLGIM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segregate patients with highest GC risk among those with several risk factors? What is the predictive value of TAIM staging when compared to OLGA and OLGIM?</w:t>
      </w:r>
    </w:p>
    <w:p w14:paraId="54B01764"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027E3C7C" w14:textId="2E96B437" w:rsidR="00295F95" w:rsidRPr="00FC078E" w:rsidRDefault="00D30FB4"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methods</w:t>
      </w:r>
    </w:p>
    <w:p w14:paraId="3FE31CC4" w14:textId="01C1C81A"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s="Times"/>
          <w:color w:val="000000" w:themeColor="text1"/>
          <w:lang w:val="en-US"/>
        </w:rPr>
        <w:t>In this retrospective cohort study, 1147 elderly smoking men with low PGI, as a marker of atrophic corpus gastritis, participated in screening gastroscopies. The median follow-up was 13.7 years, and maximum over 27 years.</w:t>
      </w:r>
      <w:r w:rsidRPr="00FC078E">
        <w:rPr>
          <w:rFonts w:ascii="Book Antiqua" w:hAnsi="Book Antiqua"/>
          <w:color w:val="000000" w:themeColor="text1"/>
          <w:lang w:val="en-US"/>
        </w:rPr>
        <w:t xml:space="preserve"> Gastroscopy biopsy specimen were analyzed by using Updated Sydney System, and then scored by OLGA, OLGIM, and TAIM staging systems. In TAIM staging, the most severe finding of atrophy or IM defined the degree of severity (non-existing, mild, moderate, or marked), and then changes were evaluated to exist in antrum only, corpus only, or in whole stomach. The GC risk was scored as low or high in TAIM staging. The GC risk was compared to age and gender matched general population in all three staging systems. The follow-up data was achieved from the Finnish Cancer Registry and the Population Register Centre of Finland.</w:t>
      </w:r>
    </w:p>
    <w:p w14:paraId="06D35C22"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p w14:paraId="75822F0F" w14:textId="74A4E68A" w:rsidR="00295F95" w:rsidRPr="00FC078E"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results</w:t>
      </w:r>
    </w:p>
    <w:p w14:paraId="1E5440D2"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r w:rsidRPr="00FC078E">
        <w:rPr>
          <w:rFonts w:ascii="Book Antiqua" w:hAnsi="Book Antiqua" w:cs="Times"/>
          <w:color w:val="000000" w:themeColor="text1"/>
          <w:lang w:val="en-US"/>
        </w:rPr>
        <w:t xml:space="preserve">Twenty-eight gastric cancers were diagnosed during the follow-up period. For the first ten years there was no notable difference in GC risk between low </w:t>
      </w:r>
      <w:r w:rsidRPr="00FC078E">
        <w:rPr>
          <w:rFonts w:ascii="Book Antiqua" w:hAnsi="Book Antiqua" w:cs="Times"/>
          <w:color w:val="000000" w:themeColor="text1"/>
          <w:lang w:val="en-US"/>
        </w:rPr>
        <w:lastRenderedPageBreak/>
        <w:t xml:space="preserve">and high-risk patients, but thereafter the difference started to separate. OLGIM and TAIM </w:t>
      </w:r>
      <w:proofErr w:type="spellStart"/>
      <w:r w:rsidRPr="00FC078E">
        <w:rPr>
          <w:rFonts w:ascii="Book Antiqua" w:hAnsi="Book Antiqua" w:cs="Times"/>
          <w:color w:val="000000" w:themeColor="text1"/>
          <w:lang w:val="en-US"/>
        </w:rPr>
        <w:t>stagings</w:t>
      </w:r>
      <w:proofErr w:type="spellEnd"/>
      <w:r w:rsidRPr="00FC078E">
        <w:rPr>
          <w:rFonts w:ascii="Book Antiqua" w:hAnsi="Book Antiqua" w:cs="Times"/>
          <w:color w:val="000000" w:themeColor="text1"/>
          <w:lang w:val="en-US"/>
        </w:rPr>
        <w:t xml:space="preserve"> showed statistically significant difference in GC risk when risk scores increased. In all high-risk groups, the GC risk was three to four times higher compared to general male population of same age.</w:t>
      </w:r>
    </w:p>
    <w:p w14:paraId="21478132"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4F342AE3" w14:textId="62EC46F0" w:rsidR="00295F95" w:rsidRPr="00FC078E"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conclusions</w:t>
      </w:r>
    </w:p>
    <w:p w14:paraId="1F5E2A7F" w14:textId="77777777" w:rsidR="00295F95" w:rsidRPr="00FC078E" w:rsidRDefault="00295F95" w:rsidP="00FC078E">
      <w:pPr>
        <w:adjustRightInd w:val="0"/>
        <w:snapToGrid w:val="0"/>
        <w:spacing w:line="360" w:lineRule="auto"/>
        <w:jc w:val="both"/>
        <w:rPr>
          <w:rFonts w:ascii="Book Antiqua" w:hAnsi="Book Antiqua" w:cstheme="minorHAnsi"/>
          <w:color w:val="000000" w:themeColor="text1"/>
          <w:lang w:val="en-US"/>
        </w:rPr>
      </w:pPr>
      <w:r w:rsidRPr="00FC078E">
        <w:rPr>
          <w:rFonts w:ascii="Book Antiqua" w:hAnsi="Book Antiqua" w:cs="Times"/>
          <w:color w:val="000000" w:themeColor="text1"/>
          <w:lang w:val="en-US"/>
        </w:rPr>
        <w:t xml:space="preserve">OLGIM and TAIM showed predictive value in evaluating the gastric cancer risk among elderly male smokers. Combining atrophy and IM into one staging system can be promising. Our results are preliminary, and TAIM staging has not been tested previously. Unlike patients in low risk TAIM group, </w:t>
      </w:r>
      <w:r w:rsidRPr="00FC078E">
        <w:rPr>
          <w:rFonts w:ascii="Book Antiqua" w:hAnsi="Book Antiqua" w:cstheme="minorHAnsi"/>
          <w:color w:val="000000" w:themeColor="text1"/>
          <w:lang w:val="en-US"/>
        </w:rPr>
        <w:t>OLGA and OLGIM both low (0-II) and high (III-IV) cancer risk groups and TAIM high risk group showed statistically significantly increased gastric cancer risk compared to the general population, respectively.</w:t>
      </w:r>
    </w:p>
    <w:p w14:paraId="7A91106B"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2A2FC13F" w14:textId="10A779B8" w:rsidR="00295F95" w:rsidRPr="00FC078E"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FC078E">
        <w:rPr>
          <w:rFonts w:ascii="Book Antiqua" w:hAnsi="Book Antiqua" w:cs="Times"/>
          <w:b/>
          <w:i/>
          <w:color w:val="000000" w:themeColor="text1"/>
          <w:lang w:val="en-US"/>
        </w:rPr>
        <w:t>Research perspectives</w:t>
      </w:r>
    </w:p>
    <w:p w14:paraId="051568C7"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r w:rsidRPr="00FC078E">
        <w:rPr>
          <w:rFonts w:ascii="Book Antiqua" w:hAnsi="Book Antiqua" w:cs="Times"/>
          <w:color w:val="000000" w:themeColor="text1"/>
          <w:lang w:val="en-US"/>
        </w:rPr>
        <w:t>In the future, TAIM staging should be evaluated in other populations in both genders and different age groups. The results would be interesting to see in low- and high-risk countries.</w:t>
      </w:r>
    </w:p>
    <w:p w14:paraId="21615A6F" w14:textId="77777777" w:rsidR="00295F95" w:rsidRPr="00FC078E" w:rsidRDefault="00295F95" w:rsidP="00FC078E">
      <w:pPr>
        <w:adjustRightInd w:val="0"/>
        <w:snapToGrid w:val="0"/>
        <w:spacing w:line="360" w:lineRule="auto"/>
        <w:jc w:val="both"/>
        <w:rPr>
          <w:rFonts w:ascii="Book Antiqua" w:hAnsi="Book Antiqua" w:cs="Times"/>
          <w:color w:val="000000" w:themeColor="text1"/>
          <w:lang w:val="en-US"/>
        </w:rPr>
      </w:pPr>
    </w:p>
    <w:p w14:paraId="0D1BF513" w14:textId="1F70F949" w:rsidR="00295F95" w:rsidRPr="00FC078E" w:rsidRDefault="00822CC6" w:rsidP="00FC078E">
      <w:pPr>
        <w:adjustRightInd w:val="0"/>
        <w:snapToGrid w:val="0"/>
        <w:spacing w:line="360" w:lineRule="auto"/>
        <w:jc w:val="both"/>
        <w:rPr>
          <w:rFonts w:ascii="Book Antiqua" w:hAnsi="Book Antiqua"/>
          <w:b/>
          <w:color w:val="000000" w:themeColor="text1"/>
          <w:u w:val="single"/>
          <w:lang w:val="en-US" w:eastAsia="zh-CN"/>
        </w:rPr>
      </w:pPr>
      <w:r w:rsidRPr="00FC078E">
        <w:rPr>
          <w:rFonts w:ascii="Book Antiqua" w:hAnsi="Book Antiqua"/>
          <w:b/>
          <w:color w:val="000000" w:themeColor="text1"/>
          <w:u w:val="single"/>
          <w:lang w:val="en-US"/>
        </w:rPr>
        <w:t>ACKNOWLEDGEMENTS</w:t>
      </w:r>
    </w:p>
    <w:p w14:paraId="04959AB8"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 xml:space="preserve">We want to thank Professor </w:t>
      </w:r>
      <w:proofErr w:type="spellStart"/>
      <w:r w:rsidRPr="00FC078E">
        <w:rPr>
          <w:rFonts w:ascii="Book Antiqua" w:hAnsi="Book Antiqua"/>
          <w:color w:val="000000" w:themeColor="text1"/>
          <w:lang w:val="en-US"/>
        </w:rPr>
        <w:t>Pentti</w:t>
      </w:r>
      <w:proofErr w:type="spellEnd"/>
      <w:r w:rsidRPr="00FC078E">
        <w:rPr>
          <w:rFonts w:ascii="Book Antiqua" w:hAnsi="Book Antiqua"/>
          <w:color w:val="000000" w:themeColor="text1"/>
          <w:lang w:val="en-US"/>
        </w:rPr>
        <w:t xml:space="preserve"> </w:t>
      </w:r>
      <w:proofErr w:type="spellStart"/>
      <w:r w:rsidRPr="00FC078E">
        <w:rPr>
          <w:rFonts w:ascii="Book Antiqua" w:hAnsi="Book Antiqua"/>
          <w:color w:val="000000" w:themeColor="text1"/>
          <w:lang w:val="en-US"/>
        </w:rPr>
        <w:t>Sipponen</w:t>
      </w:r>
      <w:proofErr w:type="spellEnd"/>
      <w:r w:rsidRPr="00FC078E">
        <w:rPr>
          <w:rFonts w:ascii="Book Antiqua" w:hAnsi="Book Antiqua"/>
          <w:color w:val="000000" w:themeColor="text1"/>
          <w:lang w:val="en-US"/>
        </w:rPr>
        <w:t xml:space="preserve"> for his valuable comments and histological analysis of biopsy specimens; and Adjunct Professor, PhD Satu </w:t>
      </w:r>
      <w:proofErr w:type="spellStart"/>
      <w:r w:rsidRPr="00FC078E">
        <w:rPr>
          <w:rFonts w:ascii="Book Antiqua" w:hAnsi="Book Antiqua"/>
          <w:color w:val="000000" w:themeColor="text1"/>
          <w:lang w:val="en-US"/>
        </w:rPr>
        <w:t>Männistö</w:t>
      </w:r>
      <w:proofErr w:type="spellEnd"/>
      <w:r w:rsidRPr="00FC078E">
        <w:rPr>
          <w:rFonts w:ascii="Book Antiqua" w:hAnsi="Book Antiqua"/>
          <w:color w:val="000000" w:themeColor="text1"/>
          <w:lang w:val="en-US"/>
        </w:rPr>
        <w:t xml:space="preserve"> and Project Coordinator Anne </w:t>
      </w:r>
      <w:proofErr w:type="spellStart"/>
      <w:r w:rsidRPr="00FC078E">
        <w:rPr>
          <w:rFonts w:ascii="Book Antiqua" w:hAnsi="Book Antiqua"/>
          <w:color w:val="000000" w:themeColor="text1"/>
          <w:lang w:val="en-US"/>
        </w:rPr>
        <w:t>Söderqvist</w:t>
      </w:r>
      <w:proofErr w:type="spellEnd"/>
      <w:r w:rsidRPr="00FC078E">
        <w:rPr>
          <w:rFonts w:ascii="Book Antiqua" w:hAnsi="Book Antiqua"/>
          <w:color w:val="000000" w:themeColor="text1"/>
          <w:lang w:val="en-US"/>
        </w:rPr>
        <w:t xml:space="preserve"> for their help with collecting and assessing the data.</w:t>
      </w:r>
    </w:p>
    <w:p w14:paraId="7A5D3CE3"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p w14:paraId="1AC76172" w14:textId="565942B5" w:rsidR="00295F95" w:rsidRPr="00FC078E" w:rsidRDefault="00AA0CC1" w:rsidP="00FC078E">
      <w:pPr>
        <w:adjustRightInd w:val="0"/>
        <w:snapToGrid w:val="0"/>
        <w:spacing w:line="360" w:lineRule="auto"/>
        <w:jc w:val="both"/>
        <w:rPr>
          <w:rFonts w:ascii="Book Antiqua" w:hAnsi="Book Antiqua"/>
          <w:b/>
          <w:color w:val="000000" w:themeColor="text1"/>
          <w:lang w:val="en-US"/>
        </w:rPr>
      </w:pPr>
      <w:r w:rsidRPr="00FC078E">
        <w:rPr>
          <w:rFonts w:ascii="Book Antiqua" w:hAnsi="Book Antiqua"/>
          <w:b/>
          <w:color w:val="000000" w:themeColor="text1"/>
          <w:lang w:val="en-US"/>
        </w:rPr>
        <w:t>REFERENCES</w:t>
      </w:r>
    </w:p>
    <w:p w14:paraId="0A897C43" w14:textId="74D98258" w:rsidR="00FC078E" w:rsidRPr="00FC078E" w:rsidRDefault="00FC078E" w:rsidP="00FC078E">
      <w:pPr>
        <w:adjustRightInd w:val="0"/>
        <w:snapToGrid w:val="0"/>
        <w:spacing w:line="360" w:lineRule="auto"/>
        <w:jc w:val="both"/>
        <w:rPr>
          <w:rFonts w:ascii="Book Antiqua" w:hAnsi="Book Antiqua"/>
        </w:rPr>
      </w:pPr>
      <w:r w:rsidRPr="007B6744">
        <w:rPr>
          <w:rFonts w:ascii="Book Antiqua" w:hAnsi="Book Antiqua"/>
          <w:highlight w:val="yellow"/>
        </w:rPr>
        <w:t xml:space="preserve">1 </w:t>
      </w:r>
      <w:r w:rsidRPr="007B6744">
        <w:rPr>
          <w:rFonts w:ascii="Book Antiqua" w:hAnsi="Book Antiqua"/>
          <w:b/>
          <w:highlight w:val="yellow"/>
        </w:rPr>
        <w:t>Ferlay J,</w:t>
      </w:r>
      <w:r w:rsidR="0046458B" w:rsidRPr="007B6744">
        <w:rPr>
          <w:rFonts w:ascii="Book Antiqua" w:hAnsi="Book Antiqua"/>
          <w:highlight w:val="yellow"/>
        </w:rPr>
        <w:t xml:space="preserve"> </w:t>
      </w:r>
      <w:r w:rsidRPr="007B6744">
        <w:rPr>
          <w:rFonts w:ascii="Book Antiqua" w:hAnsi="Book Antiqua"/>
          <w:highlight w:val="yellow"/>
        </w:rPr>
        <w:t xml:space="preserve">Ervik M, Lam F, Colombet M, Mery L, Piñeros M, Znaor A, Soerjomataram I, Bray F. Global Cancer </w:t>
      </w:r>
      <w:r w:rsidR="0046458B" w:rsidRPr="007B6744">
        <w:rPr>
          <w:rFonts w:ascii="Book Antiqua" w:hAnsi="Book Antiqua"/>
          <w:highlight w:val="yellow"/>
        </w:rPr>
        <w:t>Observatory: Cancer Today. Lyon</w:t>
      </w:r>
      <w:r w:rsidRPr="007B6744">
        <w:rPr>
          <w:rFonts w:ascii="Book Antiqua" w:hAnsi="Book Antiqua"/>
          <w:highlight w:val="yellow"/>
        </w:rPr>
        <w:t>: Internationa</w:t>
      </w:r>
      <w:r w:rsidR="0046458B" w:rsidRPr="007B6744">
        <w:rPr>
          <w:rFonts w:ascii="Book Antiqua" w:hAnsi="Book Antiqua"/>
          <w:highlight w:val="yellow"/>
        </w:rPr>
        <w:t>l Agency for Research on Cancer</w:t>
      </w:r>
      <w:r w:rsidR="0046458B" w:rsidRPr="007B6744">
        <w:rPr>
          <w:rFonts w:ascii="Book Antiqua" w:hAnsi="Book Antiqua" w:hint="eastAsia"/>
          <w:highlight w:val="yellow"/>
          <w:lang w:eastAsia="zh-CN"/>
        </w:rPr>
        <w:t>, 2018</w:t>
      </w:r>
    </w:p>
    <w:p w14:paraId="5770BCA1" w14:textId="7956DEC0" w:rsidR="00FC078E" w:rsidRPr="00FC078E" w:rsidRDefault="0032265C" w:rsidP="00FC078E">
      <w:pPr>
        <w:adjustRightInd w:val="0"/>
        <w:snapToGrid w:val="0"/>
        <w:spacing w:line="360" w:lineRule="auto"/>
        <w:jc w:val="both"/>
        <w:rPr>
          <w:rFonts w:ascii="Book Antiqua" w:hAnsi="Book Antiqua"/>
        </w:rPr>
      </w:pPr>
      <w:r w:rsidRPr="0032265C">
        <w:rPr>
          <w:rFonts w:ascii="Book Antiqua" w:hAnsi="Book Antiqua"/>
          <w:highlight w:val="yellow"/>
        </w:rPr>
        <w:t>2</w:t>
      </w:r>
      <w:r w:rsidRPr="0032265C">
        <w:rPr>
          <w:rFonts w:ascii="Book Antiqua" w:hAnsi="Book Antiqua" w:hint="eastAsia"/>
          <w:highlight w:val="yellow"/>
          <w:lang w:eastAsia="zh-CN"/>
        </w:rPr>
        <w:t xml:space="preserve"> </w:t>
      </w:r>
      <w:r w:rsidR="00FC078E" w:rsidRPr="0032265C">
        <w:rPr>
          <w:rFonts w:ascii="Book Antiqua" w:hAnsi="Book Antiqua"/>
          <w:b/>
          <w:highlight w:val="yellow"/>
        </w:rPr>
        <w:t>Finnish Cancer Registry</w:t>
      </w:r>
      <w:r w:rsidR="00FC078E" w:rsidRPr="0032265C">
        <w:rPr>
          <w:rFonts w:ascii="Book Antiqua" w:hAnsi="Book Antiqua"/>
          <w:highlight w:val="yellow"/>
        </w:rPr>
        <w:t xml:space="preserve">. Finnish Cancer Registry. Available from: </w:t>
      </w:r>
      <w:r w:rsidR="001A561C">
        <w:fldChar w:fldCharType="begin"/>
      </w:r>
      <w:r w:rsidR="001A561C">
        <w:instrText xml:space="preserve"> HYPERLINK "https://www.cancerregistry.fi" </w:instrText>
      </w:r>
      <w:r w:rsidR="001A561C">
        <w:fldChar w:fldCharType="separate"/>
      </w:r>
      <w:r w:rsidR="00B86A90" w:rsidRPr="00181C0E">
        <w:rPr>
          <w:rStyle w:val="a8"/>
          <w:rFonts w:ascii="Book Antiqua" w:hAnsi="Book Antiqua"/>
          <w:highlight w:val="yellow"/>
          <w:lang w:eastAsia="zh-CN"/>
        </w:rPr>
        <w:t>https://</w:t>
      </w:r>
      <w:r w:rsidR="00B86A90" w:rsidRPr="00181C0E">
        <w:rPr>
          <w:rStyle w:val="a8"/>
          <w:rFonts w:ascii="Book Antiqua" w:hAnsi="Book Antiqua"/>
          <w:highlight w:val="yellow"/>
        </w:rPr>
        <w:t>www.cancerregistry.fi</w:t>
      </w:r>
      <w:r w:rsidR="001A561C">
        <w:rPr>
          <w:rStyle w:val="a8"/>
          <w:rFonts w:ascii="Book Antiqua" w:hAnsi="Book Antiqua"/>
          <w:highlight w:val="yellow"/>
        </w:rPr>
        <w:fldChar w:fldCharType="end"/>
      </w:r>
      <w:r w:rsidR="00B86A90">
        <w:rPr>
          <w:rFonts w:ascii="Book Antiqua" w:hAnsi="Book Antiqua"/>
        </w:rPr>
        <w:t xml:space="preserve"> </w:t>
      </w:r>
    </w:p>
    <w:p w14:paraId="1B013F5D" w14:textId="5270B898" w:rsidR="00FC078E" w:rsidRPr="00FC078E" w:rsidRDefault="00FC078E" w:rsidP="00FC078E">
      <w:pPr>
        <w:adjustRightInd w:val="0"/>
        <w:snapToGrid w:val="0"/>
        <w:spacing w:line="360" w:lineRule="auto"/>
        <w:jc w:val="both"/>
        <w:rPr>
          <w:rFonts w:ascii="Book Antiqua" w:hAnsi="Book Antiqua"/>
          <w:lang w:eastAsia="zh-CN"/>
        </w:rPr>
      </w:pPr>
      <w:r w:rsidRPr="00FC078E">
        <w:rPr>
          <w:rFonts w:ascii="Book Antiqua" w:hAnsi="Book Antiqua"/>
        </w:rPr>
        <w:lastRenderedPageBreak/>
        <w:t xml:space="preserve">3 </w:t>
      </w:r>
      <w:r w:rsidRPr="0032265C">
        <w:rPr>
          <w:rFonts w:ascii="Book Antiqua" w:hAnsi="Book Antiqua"/>
          <w:b/>
        </w:rPr>
        <w:t>Laurén P</w:t>
      </w:r>
      <w:r w:rsidRPr="00FC078E">
        <w:rPr>
          <w:rFonts w:ascii="Book Antiqua" w:hAnsi="Book Antiqua"/>
        </w:rPr>
        <w:t xml:space="preserve">. The Two Histological Main Types of Gastric Carcinoma: Diffuse and So-Called Intestinal-Type Carcinoma. An Attempt at a Histo-Clinical Classification. </w:t>
      </w:r>
      <w:r w:rsidR="0032265C" w:rsidRPr="0032265C">
        <w:rPr>
          <w:rFonts w:ascii="Book Antiqua" w:hAnsi="Book Antiqua"/>
          <w:i/>
        </w:rPr>
        <w:t>Acta Pathol Microbiol Scand</w:t>
      </w:r>
      <w:r w:rsidRPr="00FC078E">
        <w:rPr>
          <w:rFonts w:ascii="Book Antiqua" w:hAnsi="Book Antiqua"/>
        </w:rPr>
        <w:t xml:space="preserve"> 1965; </w:t>
      </w:r>
      <w:r w:rsidRPr="0032265C">
        <w:rPr>
          <w:rFonts w:ascii="Book Antiqua" w:hAnsi="Book Antiqua"/>
          <w:b/>
        </w:rPr>
        <w:t>64</w:t>
      </w:r>
      <w:r w:rsidRPr="00FC078E">
        <w:rPr>
          <w:rFonts w:ascii="Book Antiqua" w:hAnsi="Book Antiqua"/>
        </w:rPr>
        <w:t>: 31-49</w:t>
      </w:r>
      <w:r w:rsidR="0032265C">
        <w:rPr>
          <w:rFonts w:ascii="Book Antiqua" w:hAnsi="Book Antiqua" w:hint="eastAsia"/>
          <w:lang w:eastAsia="zh-CN"/>
        </w:rPr>
        <w:t xml:space="preserve"> [PMID: </w:t>
      </w:r>
      <w:r w:rsidR="0032265C" w:rsidRPr="0032265C">
        <w:rPr>
          <w:rFonts w:ascii="Book Antiqua" w:hAnsi="Book Antiqua"/>
          <w:lang w:eastAsia="zh-CN"/>
        </w:rPr>
        <w:t>14320675</w:t>
      </w:r>
      <w:r w:rsidR="0032265C">
        <w:rPr>
          <w:rFonts w:ascii="Book Antiqua" w:hAnsi="Book Antiqua" w:hint="eastAsia"/>
          <w:lang w:eastAsia="zh-CN"/>
        </w:rPr>
        <w:t xml:space="preserve"> DOI: </w:t>
      </w:r>
      <w:r w:rsidR="0032265C" w:rsidRPr="0032265C">
        <w:rPr>
          <w:rFonts w:ascii="Book Antiqua" w:hAnsi="Book Antiqua"/>
          <w:lang w:eastAsia="zh-CN"/>
        </w:rPr>
        <w:t>10.1111/apm.1965.64.1.31</w:t>
      </w:r>
      <w:r w:rsidR="0032265C">
        <w:rPr>
          <w:rFonts w:ascii="Book Antiqua" w:hAnsi="Book Antiqua" w:hint="eastAsia"/>
          <w:lang w:eastAsia="zh-CN"/>
        </w:rPr>
        <w:t>]</w:t>
      </w:r>
    </w:p>
    <w:p w14:paraId="19E88238"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4 </w:t>
      </w:r>
      <w:r w:rsidRPr="00FC078E">
        <w:rPr>
          <w:rFonts w:ascii="Book Antiqua" w:hAnsi="Book Antiqua"/>
          <w:b/>
        </w:rPr>
        <w:t>Rugge M</w:t>
      </w:r>
      <w:r w:rsidRPr="00FC078E">
        <w:rPr>
          <w:rFonts w:ascii="Book Antiqua" w:hAnsi="Book Antiqua"/>
        </w:rPr>
        <w:t xml:space="preserve">, Sugano K, Scarpignato C, Sacchi D, Oblitas WJ, Naccarato AG. Gastric cancer prevention targeted on risk assessment: Gastritis OLGA staging. </w:t>
      </w:r>
      <w:r w:rsidRPr="00FC078E">
        <w:rPr>
          <w:rFonts w:ascii="Book Antiqua" w:hAnsi="Book Antiqua"/>
          <w:i/>
        </w:rPr>
        <w:t>Helicobacter</w:t>
      </w:r>
      <w:r w:rsidRPr="00FC078E">
        <w:rPr>
          <w:rFonts w:ascii="Book Antiqua" w:hAnsi="Book Antiqua"/>
        </w:rPr>
        <w:t xml:space="preserve"> 2019; </w:t>
      </w:r>
      <w:r w:rsidRPr="00FC078E">
        <w:rPr>
          <w:rFonts w:ascii="Book Antiqua" w:hAnsi="Book Antiqua"/>
          <w:b/>
        </w:rPr>
        <w:t>24</w:t>
      </w:r>
      <w:r w:rsidRPr="00FC078E">
        <w:rPr>
          <w:rFonts w:ascii="Book Antiqua" w:hAnsi="Book Antiqua"/>
        </w:rPr>
        <w:t>: e12571 [PMID: 30773732 DOI: 10.1111/hel.12571]</w:t>
      </w:r>
    </w:p>
    <w:p w14:paraId="07D85100"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5 </w:t>
      </w:r>
      <w:r w:rsidRPr="00FC078E">
        <w:rPr>
          <w:rFonts w:ascii="Book Antiqua" w:hAnsi="Book Antiqua"/>
          <w:b/>
        </w:rPr>
        <w:t>Correa P</w:t>
      </w:r>
      <w:r w:rsidRPr="00FC078E">
        <w:rPr>
          <w:rFonts w:ascii="Book Antiqua" w:hAnsi="Book Antiqua"/>
        </w:rPr>
        <w:t xml:space="preserve">. Human gastric carcinogenesis: a multistep and multifactorial process--First American Cancer Society Award Lecture on Cancer Epidemiology and Prevention. </w:t>
      </w:r>
      <w:r w:rsidRPr="00FC078E">
        <w:rPr>
          <w:rFonts w:ascii="Book Antiqua" w:hAnsi="Book Antiqua"/>
          <w:i/>
        </w:rPr>
        <w:t>Cancer Res</w:t>
      </w:r>
      <w:r w:rsidRPr="00FC078E">
        <w:rPr>
          <w:rFonts w:ascii="Book Antiqua" w:hAnsi="Book Antiqua"/>
        </w:rPr>
        <w:t xml:space="preserve"> 1992; </w:t>
      </w:r>
      <w:r w:rsidRPr="00FC078E">
        <w:rPr>
          <w:rFonts w:ascii="Book Antiqua" w:hAnsi="Book Antiqua"/>
          <w:b/>
        </w:rPr>
        <w:t>52</w:t>
      </w:r>
      <w:r w:rsidRPr="00FC078E">
        <w:rPr>
          <w:rFonts w:ascii="Book Antiqua" w:hAnsi="Book Antiqua"/>
        </w:rPr>
        <w:t>: 6735-6740 [PMID: 1458460]</w:t>
      </w:r>
    </w:p>
    <w:p w14:paraId="10A81863"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6 </w:t>
      </w:r>
      <w:r w:rsidRPr="00FC078E">
        <w:rPr>
          <w:rFonts w:ascii="Book Antiqua" w:hAnsi="Book Antiqua"/>
          <w:b/>
        </w:rPr>
        <w:t>Miki K</w:t>
      </w:r>
      <w:r w:rsidRPr="00FC078E">
        <w:rPr>
          <w:rFonts w:ascii="Book Antiqua" w:hAnsi="Book Antiqua"/>
        </w:rPr>
        <w:t xml:space="preserve">, Fujishiro M, Kodashima S, Yahagi N. Long-term results of gastric cancer screening using the serum pepsinogen test method among an asymptomatic middle-aged Japanese population. </w:t>
      </w:r>
      <w:r w:rsidRPr="00FC078E">
        <w:rPr>
          <w:rFonts w:ascii="Book Antiqua" w:hAnsi="Book Antiqua"/>
          <w:i/>
        </w:rPr>
        <w:t>Dig Endosc</w:t>
      </w:r>
      <w:r w:rsidRPr="00FC078E">
        <w:rPr>
          <w:rFonts w:ascii="Book Antiqua" w:hAnsi="Book Antiqua"/>
        </w:rPr>
        <w:t xml:space="preserve"> 2009; </w:t>
      </w:r>
      <w:r w:rsidRPr="00FC078E">
        <w:rPr>
          <w:rFonts w:ascii="Book Antiqua" w:hAnsi="Book Antiqua"/>
          <w:b/>
        </w:rPr>
        <w:t>21</w:t>
      </w:r>
      <w:r w:rsidRPr="00FC078E">
        <w:rPr>
          <w:rFonts w:ascii="Book Antiqua" w:hAnsi="Book Antiqua"/>
        </w:rPr>
        <w:t>: 78-81 [PMID: 19691778 DOI: 10.1111/j.1443-1661.2009.00839.x]</w:t>
      </w:r>
    </w:p>
    <w:p w14:paraId="1BBC47F6"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7 </w:t>
      </w:r>
      <w:r w:rsidRPr="00FC078E">
        <w:rPr>
          <w:rFonts w:ascii="Book Antiqua" w:hAnsi="Book Antiqua"/>
          <w:b/>
        </w:rPr>
        <w:t>Hamashima C</w:t>
      </w:r>
      <w:r w:rsidRPr="00FC078E">
        <w:rPr>
          <w:rFonts w:ascii="Book Antiqua" w:hAnsi="Book Antiqua"/>
        </w:rPr>
        <w:t xml:space="preserve">; Systematic Review Group and Guideline Development Group for Gastric Cancer Screening Guidelines. Update version of the Japanese Guidelines for Gastric Cancer Screening. </w:t>
      </w:r>
      <w:r w:rsidRPr="00FC078E">
        <w:rPr>
          <w:rFonts w:ascii="Book Antiqua" w:hAnsi="Book Antiqua"/>
          <w:i/>
        </w:rPr>
        <w:t>Jpn J Clin Oncol</w:t>
      </w:r>
      <w:r w:rsidRPr="00FC078E">
        <w:rPr>
          <w:rFonts w:ascii="Book Antiqua" w:hAnsi="Book Antiqua"/>
        </w:rPr>
        <w:t xml:space="preserve"> 2018; </w:t>
      </w:r>
      <w:r w:rsidRPr="00FC078E">
        <w:rPr>
          <w:rFonts w:ascii="Book Antiqua" w:hAnsi="Book Antiqua"/>
          <w:b/>
        </w:rPr>
        <w:t>48</w:t>
      </w:r>
      <w:r w:rsidRPr="00FC078E">
        <w:rPr>
          <w:rFonts w:ascii="Book Antiqua" w:hAnsi="Book Antiqua"/>
        </w:rPr>
        <w:t>: 673-683 [PMID: 29889263 DOI: 10.1093/jjco/hyy077]</w:t>
      </w:r>
    </w:p>
    <w:p w14:paraId="21217279"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8 </w:t>
      </w:r>
      <w:r w:rsidRPr="00FC078E">
        <w:rPr>
          <w:rFonts w:ascii="Book Antiqua" w:hAnsi="Book Antiqua"/>
          <w:b/>
        </w:rPr>
        <w:t>Hamashima C</w:t>
      </w:r>
      <w:r w:rsidRPr="00FC078E">
        <w:rPr>
          <w:rFonts w:ascii="Book Antiqua" w:hAnsi="Book Antiqua"/>
        </w:rPr>
        <w:t xml:space="preserve">. Current issues and future perspectives of gastric cancer screening. </w:t>
      </w:r>
      <w:r w:rsidRPr="00FC078E">
        <w:rPr>
          <w:rFonts w:ascii="Book Antiqua" w:hAnsi="Book Antiqua"/>
          <w:i/>
        </w:rPr>
        <w:t>World J Gastroenterol</w:t>
      </w:r>
      <w:r w:rsidRPr="00FC078E">
        <w:rPr>
          <w:rFonts w:ascii="Book Antiqua" w:hAnsi="Book Antiqua"/>
        </w:rPr>
        <w:t xml:space="preserve"> 2014; </w:t>
      </w:r>
      <w:r w:rsidRPr="00FC078E">
        <w:rPr>
          <w:rFonts w:ascii="Book Antiqua" w:hAnsi="Book Antiqua"/>
          <w:b/>
        </w:rPr>
        <w:t>20</w:t>
      </w:r>
      <w:r w:rsidRPr="00FC078E">
        <w:rPr>
          <w:rFonts w:ascii="Book Antiqua" w:hAnsi="Book Antiqua"/>
        </w:rPr>
        <w:t>: 13767-13774 [PMID: 25320514 DOI: 10.3748/wjg.v20.i38.13767]</w:t>
      </w:r>
    </w:p>
    <w:p w14:paraId="1B315816" w14:textId="0D198E62"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9 </w:t>
      </w:r>
      <w:r w:rsidRPr="00FC078E">
        <w:rPr>
          <w:rFonts w:ascii="Book Antiqua" w:hAnsi="Book Antiqua"/>
          <w:b/>
        </w:rPr>
        <w:t>Dixon MF</w:t>
      </w:r>
      <w:r w:rsidRPr="00FC078E">
        <w:rPr>
          <w:rFonts w:ascii="Book Antiqua" w:hAnsi="Book Antiqua"/>
        </w:rPr>
        <w:t xml:space="preserve">, Genta RM, Yardley JH, Correa P. Classification and grading of gastritis. The updated Sydney System. International Workshop on the Histopathology of Gastritis, Houston 1994. </w:t>
      </w:r>
      <w:r w:rsidRPr="00FC078E">
        <w:rPr>
          <w:rFonts w:ascii="Book Antiqua" w:hAnsi="Book Antiqua"/>
          <w:i/>
        </w:rPr>
        <w:t>Am J Surg Pathol</w:t>
      </w:r>
      <w:r w:rsidRPr="00FC078E">
        <w:rPr>
          <w:rFonts w:ascii="Book Antiqua" w:hAnsi="Book Antiqua"/>
        </w:rPr>
        <w:t xml:space="preserve"> 1996; </w:t>
      </w:r>
      <w:r w:rsidRPr="00FC078E">
        <w:rPr>
          <w:rFonts w:ascii="Book Antiqua" w:hAnsi="Book Antiqua"/>
          <w:b/>
        </w:rPr>
        <w:t>20</w:t>
      </w:r>
      <w:r w:rsidRPr="00FC078E">
        <w:rPr>
          <w:rFonts w:ascii="Book Antiqua" w:hAnsi="Book Antiqua"/>
        </w:rPr>
        <w:t>: 1161-1181 [PMID: 8827022</w:t>
      </w:r>
      <w:r w:rsidR="001E791B">
        <w:rPr>
          <w:rFonts w:ascii="Book Antiqua" w:hAnsi="Book Antiqua" w:hint="eastAsia"/>
          <w:lang w:eastAsia="zh-CN"/>
        </w:rPr>
        <w:t xml:space="preserve"> DOI: </w:t>
      </w:r>
      <w:r w:rsidR="001E791B" w:rsidRPr="001E791B">
        <w:rPr>
          <w:rFonts w:ascii="Book Antiqua" w:hAnsi="Book Antiqua"/>
          <w:lang w:eastAsia="zh-CN"/>
        </w:rPr>
        <w:t>10.1097/00000478-199610000-00001</w:t>
      </w:r>
      <w:r w:rsidRPr="00FC078E">
        <w:rPr>
          <w:rFonts w:ascii="Book Antiqua" w:hAnsi="Book Antiqua"/>
        </w:rPr>
        <w:t>]</w:t>
      </w:r>
    </w:p>
    <w:p w14:paraId="4F0D0C72"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10 </w:t>
      </w:r>
      <w:r w:rsidRPr="00FC078E">
        <w:rPr>
          <w:rFonts w:ascii="Book Antiqua" w:hAnsi="Book Antiqua"/>
          <w:b/>
        </w:rPr>
        <w:t>Rugge M</w:t>
      </w:r>
      <w:r w:rsidRPr="00FC078E">
        <w:rPr>
          <w:rFonts w:ascii="Book Antiqua" w:hAnsi="Book Antiqua"/>
        </w:rPr>
        <w:t xml:space="preserve">, Genta RM; OLGA Group. Staging gastritis: an international proposal. </w:t>
      </w:r>
      <w:r w:rsidRPr="00FC078E">
        <w:rPr>
          <w:rFonts w:ascii="Book Antiqua" w:hAnsi="Book Antiqua"/>
          <w:i/>
        </w:rPr>
        <w:t>Gastroenterology</w:t>
      </w:r>
      <w:r w:rsidRPr="00FC078E">
        <w:rPr>
          <w:rFonts w:ascii="Book Antiqua" w:hAnsi="Book Antiqua"/>
        </w:rPr>
        <w:t xml:space="preserve"> 2005; </w:t>
      </w:r>
      <w:r w:rsidRPr="00FC078E">
        <w:rPr>
          <w:rFonts w:ascii="Book Antiqua" w:hAnsi="Book Antiqua"/>
          <w:b/>
        </w:rPr>
        <w:t>129</w:t>
      </w:r>
      <w:r w:rsidRPr="00FC078E">
        <w:rPr>
          <w:rFonts w:ascii="Book Antiqua" w:hAnsi="Book Antiqua"/>
        </w:rPr>
        <w:t>: 1807-1808 [PMID: 16285989 DOI: 10.1053/j.gastro.2005.09.056]</w:t>
      </w:r>
    </w:p>
    <w:p w14:paraId="42A3640E" w14:textId="26A71A8D"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11 </w:t>
      </w:r>
      <w:r w:rsidRPr="00FC078E">
        <w:rPr>
          <w:rFonts w:ascii="Book Antiqua" w:hAnsi="Book Antiqua"/>
          <w:b/>
        </w:rPr>
        <w:t>Capelle LG</w:t>
      </w:r>
      <w:r w:rsidRPr="00FC078E">
        <w:rPr>
          <w:rFonts w:ascii="Book Antiqua" w:hAnsi="Book Antiqua"/>
        </w:rPr>
        <w:t xml:space="preserve">, de Vries AC, Haringsma J, Ter Borg F, de Vries RA, Bruno MJ, van Dekken H, Meijer J, van Grieken NC, Kuipers EJ. The staging of gastritis with the OLGA system by using intestinal metaplasia as an accurate </w:t>
      </w:r>
      <w:r w:rsidRPr="00FC078E">
        <w:rPr>
          <w:rFonts w:ascii="Book Antiqua" w:hAnsi="Book Antiqua"/>
        </w:rPr>
        <w:lastRenderedPageBreak/>
        <w:t xml:space="preserve">alternative for atrophic gastritis. </w:t>
      </w:r>
      <w:r w:rsidRPr="00FC078E">
        <w:rPr>
          <w:rFonts w:ascii="Book Antiqua" w:hAnsi="Book Antiqua"/>
          <w:i/>
        </w:rPr>
        <w:t>Gastrointest Endosc</w:t>
      </w:r>
      <w:r w:rsidRPr="00FC078E">
        <w:rPr>
          <w:rFonts w:ascii="Book Antiqua" w:hAnsi="Book Antiqua"/>
        </w:rPr>
        <w:t xml:space="preserve"> 2010; </w:t>
      </w:r>
      <w:r w:rsidRPr="00FC078E">
        <w:rPr>
          <w:rFonts w:ascii="Book Antiqua" w:hAnsi="Book Antiqua"/>
          <w:b/>
        </w:rPr>
        <w:t>71</w:t>
      </w:r>
      <w:r w:rsidRPr="00FC078E">
        <w:rPr>
          <w:rFonts w:ascii="Book Antiqua" w:hAnsi="Book Antiqua"/>
        </w:rPr>
        <w:t>: 1150-1158 [PMID: 20381801</w:t>
      </w:r>
      <w:r w:rsidR="00F47C94">
        <w:rPr>
          <w:rFonts w:ascii="Book Antiqua" w:hAnsi="Book Antiqua"/>
        </w:rPr>
        <w:t xml:space="preserve"> DOI: 10.1016/j.gie.2009.12.029</w:t>
      </w:r>
      <w:r w:rsidRPr="00FC078E">
        <w:rPr>
          <w:rFonts w:ascii="Book Antiqua" w:hAnsi="Book Antiqua"/>
        </w:rPr>
        <w:t>]</w:t>
      </w:r>
    </w:p>
    <w:p w14:paraId="1142437B"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12 </w:t>
      </w:r>
      <w:r w:rsidRPr="00FC078E">
        <w:rPr>
          <w:rFonts w:ascii="Book Antiqua" w:hAnsi="Book Antiqua"/>
          <w:b/>
        </w:rPr>
        <w:t>Rugge M</w:t>
      </w:r>
      <w:r w:rsidRPr="00FC078E">
        <w:rPr>
          <w:rFonts w:ascii="Book Antiqua" w:hAnsi="Book Antiqua"/>
        </w:rPr>
        <w:t xml:space="preserve">, Meggio A, Pennelli G, Piscioli F, Giacomelli L, De Pretis G, Graham DY. Gastritis staging in clinical practice: the OLGA staging system. </w:t>
      </w:r>
      <w:r w:rsidRPr="00FC078E">
        <w:rPr>
          <w:rFonts w:ascii="Book Antiqua" w:hAnsi="Book Antiqua"/>
          <w:i/>
        </w:rPr>
        <w:t>Gut</w:t>
      </w:r>
      <w:r w:rsidRPr="00FC078E">
        <w:rPr>
          <w:rFonts w:ascii="Book Antiqua" w:hAnsi="Book Antiqua"/>
        </w:rPr>
        <w:t xml:space="preserve"> 2007; </w:t>
      </w:r>
      <w:r w:rsidRPr="00FC078E">
        <w:rPr>
          <w:rFonts w:ascii="Book Antiqua" w:hAnsi="Book Antiqua"/>
          <w:b/>
        </w:rPr>
        <w:t>56</w:t>
      </w:r>
      <w:r w:rsidRPr="00FC078E">
        <w:rPr>
          <w:rFonts w:ascii="Book Antiqua" w:hAnsi="Book Antiqua"/>
        </w:rPr>
        <w:t>: 631-636 [PMID: 17142647 DOI: 10.1136/gut.2006.106666]</w:t>
      </w:r>
    </w:p>
    <w:p w14:paraId="362389B8"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13 </w:t>
      </w:r>
      <w:r w:rsidRPr="00FC078E">
        <w:rPr>
          <w:rFonts w:ascii="Book Antiqua" w:hAnsi="Book Antiqua"/>
          <w:b/>
        </w:rPr>
        <w:t>Rugge M</w:t>
      </w:r>
      <w:r w:rsidRPr="00FC078E">
        <w:rPr>
          <w:rFonts w:ascii="Book Antiqua" w:hAnsi="Book Antiqua"/>
        </w:rPr>
        <w:t xml:space="preserve">, de Boni M, Pennelli G, de Bona M, Giacomelli L, Fassan M, Basso D, Plebani M, Graham DY. Gastritis OLGA-staging and gastric cancer risk: a twelve-year clinico-pathological follow-up study. </w:t>
      </w:r>
      <w:r w:rsidRPr="00FC078E">
        <w:rPr>
          <w:rFonts w:ascii="Book Antiqua" w:hAnsi="Book Antiqua"/>
          <w:i/>
        </w:rPr>
        <w:t>Aliment Pharmacol Ther</w:t>
      </w:r>
      <w:r w:rsidRPr="00FC078E">
        <w:rPr>
          <w:rFonts w:ascii="Book Antiqua" w:hAnsi="Book Antiqua"/>
        </w:rPr>
        <w:t xml:space="preserve"> 2010; </w:t>
      </w:r>
      <w:r w:rsidRPr="00FC078E">
        <w:rPr>
          <w:rFonts w:ascii="Book Antiqua" w:hAnsi="Book Antiqua"/>
          <w:b/>
        </w:rPr>
        <w:t>31</w:t>
      </w:r>
      <w:r w:rsidRPr="00FC078E">
        <w:rPr>
          <w:rFonts w:ascii="Book Antiqua" w:hAnsi="Book Antiqua"/>
        </w:rPr>
        <w:t>: 1104-1111 [PMID: 20180784 DOI: 10.1111/j.1365-2036.2010.04277.x]</w:t>
      </w:r>
    </w:p>
    <w:p w14:paraId="0C672EFD"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14 </w:t>
      </w:r>
      <w:r w:rsidRPr="00FC078E">
        <w:rPr>
          <w:rFonts w:ascii="Book Antiqua" w:hAnsi="Book Antiqua"/>
          <w:b/>
        </w:rPr>
        <w:t>Cho SJ</w:t>
      </w:r>
      <w:r w:rsidRPr="00FC078E">
        <w:rPr>
          <w:rFonts w:ascii="Book Antiqua" w:hAnsi="Book Antiqua"/>
        </w:rPr>
        <w:t xml:space="preserve">, Choi IJ, Kook MC, Nam BH, Kim CG, Lee JY, Ryu KW, Kim YW. Staging of intestinal- and diffuse-type gastric cancers with the OLGA and OLGIM staging systems. </w:t>
      </w:r>
      <w:r w:rsidRPr="00FC078E">
        <w:rPr>
          <w:rFonts w:ascii="Book Antiqua" w:hAnsi="Book Antiqua"/>
          <w:i/>
        </w:rPr>
        <w:t>Aliment Pharmacol Ther</w:t>
      </w:r>
      <w:r w:rsidRPr="00FC078E">
        <w:rPr>
          <w:rFonts w:ascii="Book Antiqua" w:hAnsi="Book Antiqua"/>
        </w:rPr>
        <w:t xml:space="preserve"> 2013; </w:t>
      </w:r>
      <w:r w:rsidRPr="00FC078E">
        <w:rPr>
          <w:rFonts w:ascii="Book Antiqua" w:hAnsi="Book Antiqua"/>
          <w:b/>
        </w:rPr>
        <w:t>38</w:t>
      </w:r>
      <w:r w:rsidRPr="00FC078E">
        <w:rPr>
          <w:rFonts w:ascii="Book Antiqua" w:hAnsi="Book Antiqua"/>
        </w:rPr>
        <w:t>: 1292-1302 [PMID: 24134499 DOI: 10.1111/apt.12515]</w:t>
      </w:r>
    </w:p>
    <w:p w14:paraId="6D825CE6" w14:textId="1E3CF9ED"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15 </w:t>
      </w:r>
      <w:r w:rsidRPr="00FC078E">
        <w:rPr>
          <w:rFonts w:ascii="Book Antiqua" w:hAnsi="Book Antiqua"/>
          <w:b/>
        </w:rPr>
        <w:t>Satoh K</w:t>
      </w:r>
      <w:r w:rsidRPr="00FC078E">
        <w:rPr>
          <w:rFonts w:ascii="Book Antiqua" w:hAnsi="Book Antiqua"/>
        </w:rPr>
        <w:t xml:space="preserve">, Osawa H, Yoshizawa M, Nakano H, Hirasawa T, Kihira K, Sugano K. Assessment of atrophic gastritis using the OLGA system. </w:t>
      </w:r>
      <w:r w:rsidRPr="00FC078E">
        <w:rPr>
          <w:rFonts w:ascii="Book Antiqua" w:hAnsi="Book Antiqua"/>
          <w:i/>
        </w:rPr>
        <w:t>Helicobacter</w:t>
      </w:r>
      <w:r w:rsidRPr="00FC078E">
        <w:rPr>
          <w:rFonts w:ascii="Book Antiqua" w:hAnsi="Book Antiqua"/>
        </w:rPr>
        <w:t xml:space="preserve"> 2008; </w:t>
      </w:r>
      <w:r w:rsidRPr="00FC078E">
        <w:rPr>
          <w:rFonts w:ascii="Book Antiqua" w:hAnsi="Book Antiqua"/>
          <w:b/>
        </w:rPr>
        <w:t>13</w:t>
      </w:r>
      <w:r w:rsidRPr="00FC078E">
        <w:rPr>
          <w:rFonts w:ascii="Book Antiqua" w:hAnsi="Book Antiqua"/>
        </w:rPr>
        <w:t>: 225-229 [PMID: 18466398 DOI: 1</w:t>
      </w:r>
      <w:r w:rsidR="00F47C94">
        <w:rPr>
          <w:rFonts w:ascii="Book Antiqua" w:hAnsi="Book Antiqua"/>
        </w:rPr>
        <w:t>0.1111/j.1523-5378.2008.00599.x</w:t>
      </w:r>
      <w:r w:rsidRPr="00FC078E">
        <w:rPr>
          <w:rFonts w:ascii="Book Antiqua" w:hAnsi="Book Antiqua"/>
        </w:rPr>
        <w:t>]</w:t>
      </w:r>
    </w:p>
    <w:p w14:paraId="3D32DE36" w14:textId="6029033D"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16 </w:t>
      </w:r>
      <w:r w:rsidRPr="00FC078E">
        <w:rPr>
          <w:rFonts w:ascii="Book Antiqua" w:hAnsi="Book Antiqua"/>
          <w:b/>
        </w:rPr>
        <w:t>Rugge M</w:t>
      </w:r>
      <w:r w:rsidRPr="00FC078E">
        <w:rPr>
          <w:rFonts w:ascii="Book Antiqua" w:hAnsi="Book Antiqua"/>
        </w:rPr>
        <w:t xml:space="preserve">, Meggio A, Pravadelli C, Barbareschi M, Fassan M, Gentilini M, Zorzi M, Pretis G, Graham DY, Genta RM. Gastritis staging in the endoscopic follow-up for the secondary prevention of gastric cancer: a 5-year prospective study of 1755 patients. </w:t>
      </w:r>
      <w:r w:rsidRPr="00FC078E">
        <w:rPr>
          <w:rFonts w:ascii="Book Antiqua" w:hAnsi="Book Antiqua"/>
          <w:i/>
        </w:rPr>
        <w:t>Gut</w:t>
      </w:r>
      <w:r w:rsidRPr="00FC078E">
        <w:rPr>
          <w:rFonts w:ascii="Book Antiqua" w:hAnsi="Book Antiqua"/>
        </w:rPr>
        <w:t xml:space="preserve"> 2019; </w:t>
      </w:r>
      <w:r w:rsidRPr="00FC078E">
        <w:rPr>
          <w:rFonts w:ascii="Book Antiqua" w:hAnsi="Book Antiqua"/>
          <w:b/>
        </w:rPr>
        <w:t>68</w:t>
      </w:r>
      <w:r w:rsidRPr="00FC078E">
        <w:rPr>
          <w:rFonts w:ascii="Book Antiqua" w:hAnsi="Book Antiqua"/>
        </w:rPr>
        <w:t xml:space="preserve">: 11-17 [PMID: 29306868 DOI: </w:t>
      </w:r>
      <w:r w:rsidR="00F47C94" w:rsidRPr="00F47C94">
        <w:rPr>
          <w:rFonts w:ascii="Book Antiqua" w:hAnsi="Book Antiqua"/>
        </w:rPr>
        <w:t>10.1136/gutjnl-2017-314600</w:t>
      </w:r>
      <w:r w:rsidRPr="00FC078E">
        <w:rPr>
          <w:rFonts w:ascii="Book Antiqua" w:hAnsi="Book Antiqua"/>
        </w:rPr>
        <w:t>]</w:t>
      </w:r>
    </w:p>
    <w:p w14:paraId="6383A4CB"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17 </w:t>
      </w:r>
      <w:r w:rsidRPr="00FC078E">
        <w:rPr>
          <w:rFonts w:ascii="Book Antiqua" w:hAnsi="Book Antiqua"/>
          <w:b/>
        </w:rPr>
        <w:t>Cotruta B</w:t>
      </w:r>
      <w:r w:rsidRPr="00FC078E">
        <w:rPr>
          <w:rFonts w:ascii="Book Antiqua" w:hAnsi="Book Antiqua"/>
        </w:rPr>
        <w:t xml:space="preserve">, Gheorghe C, Iacob R, Dumbrava M, Radu C, Bancila I, Becheanu G. The Orientation of Gastric Biopsy Samples Improves the Inter-observer Agreement of the OLGA Staging System. </w:t>
      </w:r>
      <w:r w:rsidRPr="00FC078E">
        <w:rPr>
          <w:rFonts w:ascii="Book Antiqua" w:hAnsi="Book Antiqua"/>
          <w:i/>
        </w:rPr>
        <w:t>J Gastrointestin Liver Dis</w:t>
      </w:r>
      <w:r w:rsidRPr="00FC078E">
        <w:rPr>
          <w:rFonts w:ascii="Book Antiqua" w:hAnsi="Book Antiqua"/>
        </w:rPr>
        <w:t xml:space="preserve"> 2017; </w:t>
      </w:r>
      <w:r w:rsidRPr="00FC078E">
        <w:rPr>
          <w:rFonts w:ascii="Book Antiqua" w:hAnsi="Book Antiqua"/>
          <w:b/>
        </w:rPr>
        <w:t>26</w:t>
      </w:r>
      <w:r w:rsidRPr="00FC078E">
        <w:rPr>
          <w:rFonts w:ascii="Book Antiqua" w:hAnsi="Book Antiqua"/>
        </w:rPr>
        <w:t>: 351-356 [PMID: 29253048 DOI: 10.15403/jgld.2014.1121.264.olg]</w:t>
      </w:r>
    </w:p>
    <w:p w14:paraId="4C55DE28" w14:textId="22F57F06"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18 </w:t>
      </w:r>
      <w:r w:rsidRPr="00FC078E">
        <w:rPr>
          <w:rFonts w:ascii="Book Antiqua" w:hAnsi="Book Antiqua"/>
          <w:b/>
        </w:rPr>
        <w:t>Rugge M</w:t>
      </w:r>
      <w:r w:rsidRPr="00FC078E">
        <w:rPr>
          <w:rFonts w:ascii="Book Antiqua" w:hAnsi="Book Antiqua"/>
        </w:rPr>
        <w:t xml:space="preserve">, Fassan M, Pizzi M, Farinati F, Sturniolo GC, Plebani M, Graham DY. Operative link for gastritis assessment vs operative link on intestinal metaplasia assessment. </w:t>
      </w:r>
      <w:r w:rsidRPr="00FC078E">
        <w:rPr>
          <w:rFonts w:ascii="Book Antiqua" w:hAnsi="Book Antiqua"/>
          <w:i/>
        </w:rPr>
        <w:t>World J Gastroenterol</w:t>
      </w:r>
      <w:r w:rsidRPr="00FC078E">
        <w:rPr>
          <w:rFonts w:ascii="Book Antiqua" w:hAnsi="Book Antiqua"/>
        </w:rPr>
        <w:t xml:space="preserve"> 2011; </w:t>
      </w:r>
      <w:r w:rsidRPr="00FC078E">
        <w:rPr>
          <w:rFonts w:ascii="Book Antiqua" w:hAnsi="Book Antiqua"/>
          <w:b/>
        </w:rPr>
        <w:t>17</w:t>
      </w:r>
      <w:r w:rsidRPr="00FC078E">
        <w:rPr>
          <w:rFonts w:ascii="Book Antiqua" w:hAnsi="Book Antiqua"/>
        </w:rPr>
        <w:t>: 4596-4601 [PMID: 2214796</w:t>
      </w:r>
      <w:r w:rsidR="009F3D7E">
        <w:rPr>
          <w:rFonts w:ascii="Book Antiqua" w:hAnsi="Book Antiqua"/>
        </w:rPr>
        <w:t>5 DOI: 10.3748/wjg.v17.i41.4596</w:t>
      </w:r>
      <w:r w:rsidRPr="00FC078E">
        <w:rPr>
          <w:rFonts w:ascii="Book Antiqua" w:hAnsi="Book Antiqua"/>
        </w:rPr>
        <w:t>]</w:t>
      </w:r>
    </w:p>
    <w:p w14:paraId="15387947" w14:textId="33FB954E"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lastRenderedPageBreak/>
        <w:t xml:space="preserve">19 </w:t>
      </w:r>
      <w:r w:rsidRPr="00FC078E">
        <w:rPr>
          <w:rFonts w:ascii="Book Antiqua" w:hAnsi="Book Antiqua"/>
          <w:b/>
        </w:rPr>
        <w:t>Alpha-Tocopherol, Beta Caroten</w:t>
      </w:r>
      <w:r w:rsidR="00B86A90">
        <w:rPr>
          <w:rFonts w:ascii="Book Antiqua" w:hAnsi="Book Antiqua"/>
          <w:b/>
        </w:rPr>
        <w:t>e Cancer Prevention Study Group</w:t>
      </w:r>
      <w:r w:rsidRPr="00FC078E">
        <w:rPr>
          <w:rFonts w:ascii="Book Antiqua" w:hAnsi="Book Antiqua"/>
        </w:rPr>
        <w:t xml:space="preserve">. The effect of vitamin E and beta carotene on the incidence of lung cancer and other cancers in male smokers. </w:t>
      </w:r>
      <w:r w:rsidRPr="00FC078E">
        <w:rPr>
          <w:rFonts w:ascii="Book Antiqua" w:hAnsi="Book Antiqua"/>
          <w:i/>
        </w:rPr>
        <w:t>N Engl J Med</w:t>
      </w:r>
      <w:r w:rsidRPr="00FC078E">
        <w:rPr>
          <w:rFonts w:ascii="Book Antiqua" w:hAnsi="Book Antiqua"/>
        </w:rPr>
        <w:t xml:space="preserve"> 1994; </w:t>
      </w:r>
      <w:r w:rsidRPr="00FC078E">
        <w:rPr>
          <w:rFonts w:ascii="Book Antiqua" w:hAnsi="Book Antiqua"/>
          <w:b/>
        </w:rPr>
        <w:t>330</w:t>
      </w:r>
      <w:r w:rsidRPr="00FC078E">
        <w:rPr>
          <w:rFonts w:ascii="Book Antiqua" w:hAnsi="Book Antiqua"/>
        </w:rPr>
        <w:t>: 1029-1035 [PMID: 8127329 DOI: 10.1056/NEJM199404143301501]</w:t>
      </w:r>
    </w:p>
    <w:p w14:paraId="32915CFB" w14:textId="0E95F12D" w:rsidR="00FC078E" w:rsidRPr="00FC078E" w:rsidRDefault="006C26D5" w:rsidP="00FC078E">
      <w:pPr>
        <w:adjustRightInd w:val="0"/>
        <w:snapToGrid w:val="0"/>
        <w:spacing w:line="360" w:lineRule="auto"/>
        <w:jc w:val="both"/>
        <w:rPr>
          <w:rFonts w:ascii="Book Antiqua" w:hAnsi="Book Antiqua"/>
        </w:rPr>
      </w:pPr>
      <w:r>
        <w:rPr>
          <w:rFonts w:ascii="Book Antiqua" w:hAnsi="Book Antiqua"/>
        </w:rPr>
        <w:t xml:space="preserve">20 </w:t>
      </w:r>
      <w:r w:rsidR="00FC078E" w:rsidRPr="00FC078E">
        <w:rPr>
          <w:rFonts w:ascii="Book Antiqua" w:hAnsi="Book Antiqua"/>
        </w:rPr>
        <w:t xml:space="preserve">The alpha-tocopherol, beta-carotene lung cancer prevention study: design, methods, participant characteristics, and compliance. The ATBC Cancer Prevention Study Group. </w:t>
      </w:r>
      <w:r w:rsidR="00FC078E" w:rsidRPr="00FC078E">
        <w:rPr>
          <w:rFonts w:ascii="Book Antiqua" w:hAnsi="Book Antiqua"/>
          <w:i/>
        </w:rPr>
        <w:t>Ann Epidemiol</w:t>
      </w:r>
      <w:r w:rsidR="00FC078E" w:rsidRPr="00FC078E">
        <w:rPr>
          <w:rFonts w:ascii="Book Antiqua" w:hAnsi="Book Antiqua"/>
        </w:rPr>
        <w:t xml:space="preserve"> 1994; </w:t>
      </w:r>
      <w:r w:rsidR="00FC078E" w:rsidRPr="00FC078E">
        <w:rPr>
          <w:rFonts w:ascii="Book Antiqua" w:hAnsi="Book Antiqua"/>
          <w:b/>
        </w:rPr>
        <w:t>4</w:t>
      </w:r>
      <w:r w:rsidR="00FC078E" w:rsidRPr="00FC078E">
        <w:rPr>
          <w:rFonts w:ascii="Book Antiqua" w:hAnsi="Book Antiqua"/>
        </w:rPr>
        <w:t>: 1-10 [PMID: 8205268</w:t>
      </w:r>
      <w:r>
        <w:rPr>
          <w:rFonts w:ascii="Book Antiqua" w:hAnsi="Book Antiqua" w:hint="eastAsia"/>
          <w:lang w:eastAsia="zh-CN"/>
        </w:rPr>
        <w:t xml:space="preserve"> DOI: </w:t>
      </w:r>
      <w:r w:rsidRPr="006C26D5">
        <w:rPr>
          <w:rFonts w:ascii="Book Antiqua" w:hAnsi="Book Antiqua"/>
          <w:lang w:eastAsia="zh-CN"/>
        </w:rPr>
        <w:t>10.1016/1047-2797(94)90036-1</w:t>
      </w:r>
      <w:r w:rsidR="00FC078E" w:rsidRPr="00FC078E">
        <w:rPr>
          <w:rFonts w:ascii="Book Antiqua" w:hAnsi="Book Antiqua"/>
        </w:rPr>
        <w:t>]</w:t>
      </w:r>
    </w:p>
    <w:p w14:paraId="0DA8C7E7" w14:textId="77C322E9"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21 </w:t>
      </w:r>
      <w:r w:rsidRPr="00FC078E">
        <w:rPr>
          <w:rFonts w:ascii="Book Antiqua" w:hAnsi="Book Antiqua"/>
          <w:b/>
        </w:rPr>
        <w:t>Varis K</w:t>
      </w:r>
      <w:r w:rsidRPr="00FC078E">
        <w:rPr>
          <w:rFonts w:ascii="Book Antiqua" w:hAnsi="Book Antiqua"/>
        </w:rPr>
        <w:t xml:space="preserve">, Sipponen P, Laxén F, Samloff IM, Huttunen JK, Taylor PR, Heinonen OP, Albanes D, Sande N, Virtamo J, Härkönen M. Implications of serum pepsinogen I in early endoscopic diagnosis of gastric cancer and dysplasia. Helsinki Gastritis Study Group. </w:t>
      </w:r>
      <w:r w:rsidRPr="00FC078E">
        <w:rPr>
          <w:rFonts w:ascii="Book Antiqua" w:hAnsi="Book Antiqua"/>
          <w:i/>
        </w:rPr>
        <w:t>Scand J Gastroenterol</w:t>
      </w:r>
      <w:r w:rsidRPr="00FC078E">
        <w:rPr>
          <w:rFonts w:ascii="Book Antiqua" w:hAnsi="Book Antiqua"/>
        </w:rPr>
        <w:t xml:space="preserve"> 2000; </w:t>
      </w:r>
      <w:r w:rsidRPr="00FC078E">
        <w:rPr>
          <w:rFonts w:ascii="Book Antiqua" w:hAnsi="Book Antiqua"/>
          <w:b/>
        </w:rPr>
        <w:t>35</w:t>
      </w:r>
      <w:r w:rsidRPr="00FC078E">
        <w:rPr>
          <w:rFonts w:ascii="Book Antiqua" w:hAnsi="Book Antiqua"/>
        </w:rPr>
        <w:t>: 950-956 [PMID: 11063155</w:t>
      </w:r>
      <w:r w:rsidR="006C26D5">
        <w:rPr>
          <w:rFonts w:ascii="Book Antiqua" w:hAnsi="Book Antiqua" w:hint="eastAsia"/>
          <w:lang w:eastAsia="zh-CN"/>
        </w:rPr>
        <w:t xml:space="preserve"> DOI: </w:t>
      </w:r>
      <w:r w:rsidR="006C26D5" w:rsidRPr="006C26D5">
        <w:rPr>
          <w:rFonts w:ascii="Book Antiqua" w:hAnsi="Book Antiqua"/>
          <w:lang w:eastAsia="zh-CN"/>
        </w:rPr>
        <w:t>10.1080/003655200750023011</w:t>
      </w:r>
      <w:r w:rsidRPr="00FC078E">
        <w:rPr>
          <w:rFonts w:ascii="Book Antiqua" w:hAnsi="Book Antiqua"/>
        </w:rPr>
        <w:t>]</w:t>
      </w:r>
    </w:p>
    <w:p w14:paraId="1F099DAB"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22 </w:t>
      </w:r>
      <w:r w:rsidRPr="00FC078E">
        <w:rPr>
          <w:rFonts w:ascii="Book Antiqua" w:hAnsi="Book Antiqua"/>
          <w:b/>
        </w:rPr>
        <w:t>Nieminen AA</w:t>
      </w:r>
      <w:r w:rsidRPr="00FC078E">
        <w:rPr>
          <w:rFonts w:ascii="Book Antiqua" w:hAnsi="Book Antiqua"/>
        </w:rPr>
        <w:t xml:space="preserve">, Kontto J, Puolakkainen P, Virtamo J, Kokkola A. Long-term gastric cancer risk in male smokers with atrophic corpus gastritis. </w:t>
      </w:r>
      <w:r w:rsidRPr="00FC078E">
        <w:rPr>
          <w:rFonts w:ascii="Book Antiqua" w:hAnsi="Book Antiqua"/>
          <w:i/>
        </w:rPr>
        <w:t>Scand J Gastroenterol</w:t>
      </w:r>
      <w:r w:rsidRPr="00FC078E">
        <w:rPr>
          <w:rFonts w:ascii="Book Antiqua" w:hAnsi="Book Antiqua"/>
        </w:rPr>
        <w:t xml:space="preserve"> 2019; </w:t>
      </w:r>
      <w:r w:rsidRPr="00FC078E">
        <w:rPr>
          <w:rFonts w:ascii="Book Antiqua" w:hAnsi="Book Antiqua"/>
          <w:b/>
        </w:rPr>
        <w:t>54</w:t>
      </w:r>
      <w:r w:rsidRPr="00FC078E">
        <w:rPr>
          <w:rFonts w:ascii="Book Antiqua" w:hAnsi="Book Antiqua"/>
        </w:rPr>
        <w:t>: 145-151 [PMID: 30700174 DOI: 10.1080/00365521.2019.1566492]</w:t>
      </w:r>
    </w:p>
    <w:p w14:paraId="4EF27E2A"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23 </w:t>
      </w:r>
      <w:r w:rsidRPr="00FC078E">
        <w:rPr>
          <w:rFonts w:ascii="Book Antiqua" w:hAnsi="Book Antiqua"/>
          <w:b/>
        </w:rPr>
        <w:t>Pimentel-Nunes P</w:t>
      </w:r>
      <w:r w:rsidRPr="00FC078E">
        <w:rPr>
          <w:rFonts w:ascii="Book Antiqua" w:hAnsi="Book Antiqua"/>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FC078E">
        <w:rPr>
          <w:rFonts w:ascii="Book Antiqua" w:hAnsi="Book Antiqua"/>
          <w:i/>
        </w:rPr>
        <w:t>Endoscopy</w:t>
      </w:r>
      <w:r w:rsidRPr="00FC078E">
        <w:rPr>
          <w:rFonts w:ascii="Book Antiqua" w:hAnsi="Book Antiqua"/>
        </w:rPr>
        <w:t xml:space="preserve"> 2019; </w:t>
      </w:r>
      <w:r w:rsidRPr="00FC078E">
        <w:rPr>
          <w:rFonts w:ascii="Book Antiqua" w:hAnsi="Book Antiqua"/>
          <w:b/>
        </w:rPr>
        <w:t>51</w:t>
      </w:r>
      <w:r w:rsidRPr="00FC078E">
        <w:rPr>
          <w:rFonts w:ascii="Book Antiqua" w:hAnsi="Book Antiqua"/>
        </w:rPr>
        <w:t>: 365-388 [PMID: 30841008 DOI: 10.1055/a-0859-1883]</w:t>
      </w:r>
    </w:p>
    <w:p w14:paraId="47DEF151" w14:textId="73D8C51A" w:rsidR="00FC078E" w:rsidRPr="000444CA" w:rsidRDefault="00FC078E" w:rsidP="00FC078E">
      <w:pPr>
        <w:adjustRightInd w:val="0"/>
        <w:snapToGrid w:val="0"/>
        <w:spacing w:line="360" w:lineRule="auto"/>
        <w:jc w:val="both"/>
        <w:rPr>
          <w:rFonts w:ascii="Book Antiqua" w:hAnsi="Book Antiqua"/>
          <w:lang w:eastAsia="zh-CN"/>
        </w:rPr>
      </w:pPr>
      <w:r w:rsidRPr="00D616B0">
        <w:rPr>
          <w:rFonts w:ascii="Book Antiqua" w:hAnsi="Book Antiqua"/>
          <w:highlight w:val="yellow"/>
        </w:rPr>
        <w:t xml:space="preserve">24 </w:t>
      </w:r>
      <w:r w:rsidRPr="00D616B0">
        <w:rPr>
          <w:rFonts w:ascii="Book Antiqua" w:hAnsi="Book Antiqua"/>
          <w:b/>
          <w:highlight w:val="yellow"/>
        </w:rPr>
        <w:t xml:space="preserve">R Core Team. </w:t>
      </w:r>
      <w:r w:rsidRPr="00D616B0">
        <w:rPr>
          <w:rFonts w:ascii="Book Antiqua" w:hAnsi="Book Antiqua"/>
          <w:highlight w:val="yellow"/>
        </w:rPr>
        <w:t>R: A language and environment for statistical</w:t>
      </w:r>
      <w:r w:rsidR="00D616B0" w:rsidRPr="00D616B0">
        <w:rPr>
          <w:rFonts w:ascii="Book Antiqua" w:hAnsi="Book Antiqua" w:hint="eastAsia"/>
          <w:highlight w:val="yellow"/>
          <w:lang w:eastAsia="zh-CN"/>
        </w:rPr>
        <w:t xml:space="preserve"> </w:t>
      </w:r>
      <w:r w:rsidRPr="00D616B0">
        <w:rPr>
          <w:rFonts w:ascii="Book Antiqua" w:hAnsi="Book Antiqua"/>
          <w:highlight w:val="yellow"/>
        </w:rPr>
        <w:t xml:space="preserve">computing. </w:t>
      </w:r>
      <w:r w:rsidR="00D616B0" w:rsidRPr="00D616B0">
        <w:rPr>
          <w:rFonts w:ascii="Book Antiqua" w:hAnsi="Book Antiqua"/>
          <w:highlight w:val="yellow"/>
        </w:rPr>
        <w:t>Vienna</w:t>
      </w:r>
      <w:r w:rsidR="00D616B0" w:rsidRPr="00D616B0">
        <w:rPr>
          <w:rFonts w:ascii="Book Antiqua" w:hAnsi="Book Antiqua" w:hint="eastAsia"/>
          <w:highlight w:val="yellow"/>
          <w:lang w:eastAsia="zh-CN"/>
        </w:rPr>
        <w:t>:</w:t>
      </w:r>
      <w:r w:rsidR="00D616B0" w:rsidRPr="00D616B0">
        <w:rPr>
          <w:rFonts w:ascii="Book Antiqua" w:hAnsi="Book Antiqua"/>
          <w:highlight w:val="yellow"/>
        </w:rPr>
        <w:t xml:space="preserve"> </w:t>
      </w:r>
      <w:r w:rsidRPr="00D616B0">
        <w:rPr>
          <w:rFonts w:ascii="Book Antiqua" w:hAnsi="Book Antiqua"/>
          <w:highlight w:val="yellow"/>
        </w:rPr>
        <w:t>R Foundation for Statistical Computing</w:t>
      </w:r>
      <w:r w:rsidR="00D616B0">
        <w:rPr>
          <w:rFonts w:ascii="Book Antiqua" w:hAnsi="Book Antiqua" w:hint="eastAsia"/>
          <w:highlight w:val="yellow"/>
          <w:lang w:eastAsia="zh-CN"/>
        </w:rPr>
        <w:t xml:space="preserve">, </w:t>
      </w:r>
      <w:r w:rsidR="00D616B0" w:rsidRPr="00D616B0">
        <w:rPr>
          <w:rFonts w:ascii="Book Antiqua" w:hAnsi="Book Antiqua"/>
          <w:highlight w:val="yellow"/>
        </w:rPr>
        <w:t>2014</w:t>
      </w:r>
      <w:r w:rsidR="00D616B0" w:rsidRPr="00D616B0">
        <w:rPr>
          <w:rFonts w:ascii="Book Antiqua" w:hAnsi="Book Antiqua" w:hint="eastAsia"/>
          <w:highlight w:val="yellow"/>
          <w:lang w:eastAsia="zh-CN"/>
        </w:rPr>
        <w:t>.</w:t>
      </w:r>
      <w:r w:rsidRPr="00D616B0">
        <w:rPr>
          <w:rFonts w:ascii="Book Antiqua" w:hAnsi="Book Antiqua"/>
          <w:highlight w:val="yellow"/>
        </w:rPr>
        <w:t xml:space="preserve"> Available f</w:t>
      </w:r>
      <w:r w:rsidR="00A2686F">
        <w:rPr>
          <w:rFonts w:ascii="Book Antiqua" w:hAnsi="Book Antiqua"/>
          <w:highlight w:val="yellow"/>
        </w:rPr>
        <w:t>rom:</w:t>
      </w:r>
      <w:r w:rsidR="00A2686F">
        <w:rPr>
          <w:rFonts w:ascii="Book Antiqua" w:hAnsi="Book Antiqua" w:hint="eastAsia"/>
          <w:highlight w:val="yellow"/>
          <w:lang w:eastAsia="zh-CN"/>
        </w:rPr>
        <w:t xml:space="preserve"> </w:t>
      </w:r>
      <w:hyperlink r:id="rId7" w:history="1">
        <w:r w:rsidR="00B86A90" w:rsidRPr="00181C0E">
          <w:rPr>
            <w:rStyle w:val="a8"/>
            <w:rFonts w:ascii="Book Antiqua" w:hAnsi="Book Antiqua"/>
            <w:highlight w:val="yellow"/>
          </w:rPr>
          <w:t>http://www.R-project.org/</w:t>
        </w:r>
      </w:hyperlink>
      <w:r w:rsidR="00B86A90">
        <w:rPr>
          <w:rFonts w:ascii="Book Antiqua" w:hAnsi="Book Antiqua"/>
        </w:rPr>
        <w:t xml:space="preserve"> </w:t>
      </w:r>
    </w:p>
    <w:p w14:paraId="4EDC8505"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25 </w:t>
      </w:r>
      <w:r w:rsidRPr="00FC078E">
        <w:rPr>
          <w:rFonts w:ascii="Book Antiqua" w:hAnsi="Book Antiqua"/>
          <w:b/>
        </w:rPr>
        <w:t>de Vries AC</w:t>
      </w:r>
      <w:r w:rsidRPr="00FC078E">
        <w:rPr>
          <w:rFonts w:ascii="Book Antiqua" w:hAnsi="Book Antiqua"/>
        </w:rPr>
        <w:t xml:space="preserve">, van Grieken NC, Looman CW, Casparie MK, de Vries E, Meijer GA, Kuipers EJ. Gastric cancer risk in patients with premalignant </w:t>
      </w:r>
      <w:r w:rsidRPr="00FC078E">
        <w:rPr>
          <w:rFonts w:ascii="Book Antiqua" w:hAnsi="Book Antiqua"/>
        </w:rPr>
        <w:lastRenderedPageBreak/>
        <w:t xml:space="preserve">gastric lesions: a nationwide cohort study in the Netherlands. </w:t>
      </w:r>
      <w:r w:rsidRPr="00FC078E">
        <w:rPr>
          <w:rFonts w:ascii="Book Antiqua" w:hAnsi="Book Antiqua"/>
          <w:i/>
        </w:rPr>
        <w:t>Gastroenterology</w:t>
      </w:r>
      <w:r w:rsidRPr="00FC078E">
        <w:rPr>
          <w:rFonts w:ascii="Book Antiqua" w:hAnsi="Book Antiqua"/>
        </w:rPr>
        <w:t xml:space="preserve"> 2008; </w:t>
      </w:r>
      <w:r w:rsidRPr="00FC078E">
        <w:rPr>
          <w:rFonts w:ascii="Book Antiqua" w:hAnsi="Book Antiqua"/>
          <w:b/>
        </w:rPr>
        <w:t>134</w:t>
      </w:r>
      <w:r w:rsidRPr="00FC078E">
        <w:rPr>
          <w:rFonts w:ascii="Book Antiqua" w:hAnsi="Book Antiqua"/>
        </w:rPr>
        <w:t>: 945-952 [PMID: 18395075 DOI: 10.1053/j.gastro.2008.01.071]</w:t>
      </w:r>
    </w:p>
    <w:p w14:paraId="7CE7ED6D"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26 </w:t>
      </w:r>
      <w:r w:rsidRPr="00FC078E">
        <w:rPr>
          <w:rFonts w:ascii="Book Antiqua" w:hAnsi="Book Antiqua"/>
          <w:b/>
        </w:rPr>
        <w:t>Song H</w:t>
      </w:r>
      <w:r w:rsidRPr="00FC078E">
        <w:rPr>
          <w:rFonts w:ascii="Book Antiqua" w:hAnsi="Book Antiqua"/>
        </w:rPr>
        <w:t xml:space="preserve">, Ekheden IG, Zheng Z, Ericsson J, Nyrén O, Ye W. Incidence of gastric cancer among patients with gastric precancerous lesions: observational cohort study in a low risk Western population. </w:t>
      </w:r>
      <w:r w:rsidRPr="00FC078E">
        <w:rPr>
          <w:rFonts w:ascii="Book Antiqua" w:hAnsi="Book Antiqua"/>
          <w:i/>
        </w:rPr>
        <w:t>BMJ</w:t>
      </w:r>
      <w:r w:rsidRPr="00FC078E">
        <w:rPr>
          <w:rFonts w:ascii="Book Antiqua" w:hAnsi="Book Antiqua"/>
        </w:rPr>
        <w:t xml:space="preserve"> 2015; </w:t>
      </w:r>
      <w:r w:rsidRPr="00FC078E">
        <w:rPr>
          <w:rFonts w:ascii="Book Antiqua" w:hAnsi="Book Antiqua"/>
          <w:b/>
        </w:rPr>
        <w:t>351</w:t>
      </w:r>
      <w:r w:rsidRPr="00FC078E">
        <w:rPr>
          <w:rFonts w:ascii="Book Antiqua" w:hAnsi="Book Antiqua"/>
        </w:rPr>
        <w:t>: h3867 [PMID: 26215280 DOI: 10.1136/bmj.h3867]</w:t>
      </w:r>
    </w:p>
    <w:p w14:paraId="688C5BEA" w14:textId="77777777" w:rsidR="00FC078E" w:rsidRPr="00FC078E" w:rsidRDefault="00FC078E" w:rsidP="00FC078E">
      <w:pPr>
        <w:adjustRightInd w:val="0"/>
        <w:snapToGrid w:val="0"/>
        <w:spacing w:line="360" w:lineRule="auto"/>
        <w:jc w:val="both"/>
        <w:rPr>
          <w:rFonts w:ascii="Book Antiqua" w:hAnsi="Book Antiqua"/>
        </w:rPr>
      </w:pPr>
      <w:r w:rsidRPr="00FC078E">
        <w:rPr>
          <w:rFonts w:ascii="Book Antiqua" w:hAnsi="Book Antiqua"/>
        </w:rPr>
        <w:t xml:space="preserve">27 </w:t>
      </w:r>
      <w:r w:rsidRPr="00FC078E">
        <w:rPr>
          <w:rFonts w:ascii="Book Antiqua" w:hAnsi="Book Antiqua"/>
          <w:b/>
        </w:rPr>
        <w:t>Kaise M</w:t>
      </w:r>
      <w:r w:rsidRPr="00FC078E">
        <w:rPr>
          <w:rFonts w:ascii="Book Antiqua" w:hAnsi="Book Antiqua"/>
        </w:rPr>
        <w:t xml:space="preserve">, Miwa J, Tashiro J, Ohmoto Y, Morimoto S, Kato M, Urashima M, Ikegami M, Tajiri H. The combination of serum trefoil factor 3 and pepsinogen testing is a valid non-endoscopic biomarker for predicting the presence of gastric cancer: a new marker for gastric cancer risk. </w:t>
      </w:r>
      <w:r w:rsidRPr="00FC078E">
        <w:rPr>
          <w:rFonts w:ascii="Book Antiqua" w:hAnsi="Book Antiqua"/>
          <w:i/>
        </w:rPr>
        <w:t>J Gastroenterol</w:t>
      </w:r>
      <w:r w:rsidRPr="00FC078E">
        <w:rPr>
          <w:rFonts w:ascii="Book Antiqua" w:hAnsi="Book Antiqua"/>
        </w:rPr>
        <w:t xml:space="preserve"> 2011; </w:t>
      </w:r>
      <w:r w:rsidRPr="00FC078E">
        <w:rPr>
          <w:rFonts w:ascii="Book Antiqua" w:hAnsi="Book Antiqua"/>
          <w:b/>
        </w:rPr>
        <w:t>46</w:t>
      </w:r>
      <w:r w:rsidRPr="00FC078E">
        <w:rPr>
          <w:rFonts w:ascii="Book Antiqua" w:hAnsi="Book Antiqua"/>
        </w:rPr>
        <w:t>: 736-745 [PMID: 21455714 DOI: 10.1007/s00535-011-0396-8]</w:t>
      </w:r>
    </w:p>
    <w:p w14:paraId="6DF2030A" w14:textId="77777777" w:rsidR="00295F95" w:rsidRPr="00FC078E" w:rsidRDefault="00295F95" w:rsidP="004501EF">
      <w:pPr>
        <w:adjustRightInd w:val="0"/>
        <w:snapToGrid w:val="0"/>
        <w:spacing w:line="360" w:lineRule="auto"/>
        <w:jc w:val="both"/>
        <w:rPr>
          <w:rFonts w:ascii="Book Antiqua" w:hAnsi="Book Antiqua"/>
          <w:color w:val="000000" w:themeColor="text1"/>
          <w:lang w:val="en-US" w:eastAsia="zh-CN"/>
        </w:rPr>
      </w:pPr>
    </w:p>
    <w:p w14:paraId="370749EF" w14:textId="77777777" w:rsidR="005333B7" w:rsidRPr="00FC078E" w:rsidRDefault="005333B7"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br w:type="page"/>
      </w:r>
    </w:p>
    <w:p w14:paraId="2D97758C" w14:textId="77777777" w:rsidR="006557E1" w:rsidRPr="00FC078E" w:rsidRDefault="006557E1"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b/>
          <w:bCs/>
          <w:color w:val="000000" w:themeColor="text1"/>
          <w:lang w:val="en-GB" w:eastAsia="zh-CN"/>
        </w:rPr>
      </w:pPr>
      <w:r w:rsidRPr="00FC078E">
        <w:rPr>
          <w:rFonts w:ascii="Book Antiqua" w:hAnsi="Book Antiqua"/>
          <w:b/>
        </w:rPr>
        <w:lastRenderedPageBreak/>
        <w:t>Footnotes</w:t>
      </w:r>
      <w:r w:rsidRPr="00FC078E">
        <w:rPr>
          <w:rFonts w:ascii="Book Antiqua" w:hAnsi="Book Antiqua" w:cs="Book Antiqua"/>
          <w:b/>
          <w:bCs/>
          <w:color w:val="000000" w:themeColor="text1"/>
          <w:lang w:val="en-GB"/>
        </w:rPr>
        <w:t xml:space="preserve"> </w:t>
      </w:r>
    </w:p>
    <w:p w14:paraId="08382FBC" w14:textId="03F9E5D8" w:rsidR="00587CF5" w:rsidRPr="00FC078E" w:rsidRDefault="006557E1"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FC078E">
        <w:rPr>
          <w:rFonts w:ascii="Book Antiqua" w:hAnsi="Book Antiqua"/>
          <w:b/>
          <w:color w:val="000000"/>
        </w:rPr>
        <w:t>Institutional review board statement</w:t>
      </w:r>
      <w:r w:rsidRPr="00FC078E">
        <w:rPr>
          <w:rFonts w:ascii="Book Antiqua" w:hAnsi="Book Antiqua"/>
          <w:b/>
          <w:bCs/>
          <w:iCs/>
          <w:color w:val="000000"/>
        </w:rPr>
        <w:t>:</w:t>
      </w:r>
      <w:r w:rsidRPr="00FC078E">
        <w:rPr>
          <w:rFonts w:ascii="Book Antiqua" w:hAnsi="Book Antiqua"/>
          <w:lang w:eastAsia="zh-CN"/>
        </w:rPr>
        <w:t xml:space="preserve"> </w:t>
      </w:r>
      <w:r w:rsidR="00587CF5" w:rsidRPr="00FC078E">
        <w:rPr>
          <w:rFonts w:ascii="Book Antiqua" w:hAnsi="Book Antiqua" w:cs="Book Antiqua"/>
          <w:color w:val="000000" w:themeColor="text1"/>
          <w:lang w:val="en-GB"/>
        </w:rPr>
        <w:t xml:space="preserve">The Helsinki </w:t>
      </w:r>
      <w:r w:rsidRPr="00FC078E">
        <w:rPr>
          <w:rFonts w:ascii="Book Antiqua" w:hAnsi="Book Antiqua" w:cs="Book Antiqua"/>
          <w:color w:val="000000" w:themeColor="text1"/>
          <w:lang w:val="en-GB"/>
        </w:rPr>
        <w:t xml:space="preserve">gastritis study </w:t>
      </w:r>
      <w:r w:rsidR="00587CF5" w:rsidRPr="00FC078E">
        <w:rPr>
          <w:rFonts w:ascii="Book Antiqua" w:hAnsi="Book Antiqua" w:cs="Book Antiqua"/>
          <w:color w:val="000000" w:themeColor="text1"/>
          <w:lang w:val="en-GB"/>
        </w:rPr>
        <w:t>was accepted by the Ethical Issues’ Committee of the National Public Health Institute, Helsinki, Finland.</w:t>
      </w:r>
    </w:p>
    <w:p w14:paraId="6E8BE821" w14:textId="77777777" w:rsidR="00587CF5" w:rsidRPr="00FC078E"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085539F8" w14:textId="080FA15E" w:rsidR="00587CF5" w:rsidRPr="00FC078E" w:rsidRDefault="00CF222E"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FC078E">
        <w:rPr>
          <w:rFonts w:ascii="Book Antiqua" w:hAnsi="Book Antiqua"/>
          <w:b/>
          <w:color w:val="000000"/>
        </w:rPr>
        <w:t>Informed consent statement</w:t>
      </w:r>
      <w:r w:rsidRPr="00FC078E">
        <w:rPr>
          <w:rFonts w:ascii="Book Antiqua" w:hAnsi="Book Antiqua"/>
          <w:b/>
          <w:bCs/>
          <w:iCs/>
          <w:color w:val="000000"/>
          <w:lang w:eastAsia="zh-CN"/>
        </w:rPr>
        <w:t>:</w:t>
      </w:r>
      <w:r w:rsidRPr="00FC078E">
        <w:rPr>
          <w:rFonts w:ascii="Book Antiqua" w:hAnsi="Book Antiqua"/>
          <w:b/>
          <w:bCs/>
          <w:iCs/>
          <w:color w:val="000000"/>
        </w:rPr>
        <w:t xml:space="preserve"> </w:t>
      </w:r>
      <w:r w:rsidR="00587CF5" w:rsidRPr="00FC078E">
        <w:rPr>
          <w:rFonts w:ascii="Book Antiqua" w:hAnsi="Book Antiqua" w:cs="Book Antiqua"/>
          <w:color w:val="000000" w:themeColor="text1"/>
          <w:lang w:val="en-GB"/>
        </w:rPr>
        <w:t>Patients were not required to give informed consent to the study because the analysis used anonymous clinical data that were obtained after each patient agreed to treatment by written consent.</w:t>
      </w:r>
    </w:p>
    <w:p w14:paraId="489D9BDC" w14:textId="77777777" w:rsidR="00587CF5" w:rsidRPr="00FC078E"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61712CAC" w14:textId="2821F6CC" w:rsidR="00587CF5" w:rsidRPr="00FC078E" w:rsidRDefault="00CD4BBE"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CD4BBE">
        <w:rPr>
          <w:rFonts w:ascii="Book Antiqua" w:hAnsi="Book Antiqua" w:cs="TimesNewRomanPS-BoldItalicMT"/>
          <w:b/>
          <w:bCs/>
          <w:iCs/>
          <w:color w:val="000000"/>
        </w:rPr>
        <w:t>Conflict-of-interest statement</w:t>
      </w:r>
      <w:r w:rsidR="00CF222E" w:rsidRPr="00FC078E">
        <w:rPr>
          <w:rFonts w:ascii="Book Antiqua" w:hAnsi="Book Antiqua" w:cs="TimesNewRomanPS-BoldItalicMT"/>
          <w:b/>
          <w:bCs/>
          <w:iCs/>
          <w:color w:val="000000"/>
          <w:lang w:eastAsia="zh-CN"/>
        </w:rPr>
        <w:t>:</w:t>
      </w:r>
      <w:r w:rsidR="00B62A26">
        <w:rPr>
          <w:rFonts w:ascii="Book Antiqua" w:hAnsi="Book Antiqua" w:cs="TimesNewRomanPS-BoldItalicMT"/>
          <w:b/>
          <w:bCs/>
          <w:iCs/>
          <w:color w:val="000000"/>
          <w:lang w:eastAsia="zh-CN"/>
        </w:rPr>
        <w:t xml:space="preserve"> </w:t>
      </w:r>
      <w:r w:rsidR="00587CF5" w:rsidRPr="00FC078E">
        <w:rPr>
          <w:rFonts w:ascii="Book Antiqua" w:hAnsi="Book Antiqua" w:cs="Book Antiqua"/>
          <w:color w:val="000000" w:themeColor="text1"/>
          <w:lang w:val="en-GB"/>
        </w:rPr>
        <w:t>All authors declare no conflicts-of-interest related to this article.</w:t>
      </w:r>
    </w:p>
    <w:p w14:paraId="4DCBB5F3" w14:textId="77777777" w:rsidR="00587CF5" w:rsidRPr="00FC078E"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1B100199" w14:textId="77777777" w:rsidR="00587CF5" w:rsidRPr="00FC078E"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FC078E">
        <w:rPr>
          <w:rFonts w:ascii="Book Antiqua" w:hAnsi="Book Antiqua" w:cs="Book Antiqua"/>
          <w:b/>
          <w:bCs/>
          <w:color w:val="000000" w:themeColor="text1"/>
          <w:lang w:val="en-GB"/>
        </w:rPr>
        <w:t xml:space="preserve">Data sharing statement: </w:t>
      </w:r>
      <w:r w:rsidRPr="00FC078E">
        <w:rPr>
          <w:rFonts w:ascii="Book Antiqua" w:hAnsi="Book Antiqua" w:cs="Book Antiqua"/>
          <w:color w:val="000000" w:themeColor="text1"/>
          <w:lang w:val="en-GB"/>
        </w:rPr>
        <w:t>No additional data are available.</w:t>
      </w:r>
    </w:p>
    <w:p w14:paraId="501A07A6" w14:textId="77777777" w:rsidR="00587CF5" w:rsidRPr="00FC078E"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2EF6E32F" w14:textId="77777777" w:rsidR="00CF222E" w:rsidRPr="00FC078E" w:rsidRDefault="00CF222E" w:rsidP="00FC078E">
      <w:pPr>
        <w:pStyle w:val="ab"/>
        <w:adjustRightInd w:val="0"/>
        <w:snapToGrid w:val="0"/>
        <w:spacing w:line="360" w:lineRule="auto"/>
        <w:jc w:val="both"/>
        <w:rPr>
          <w:rFonts w:ascii="Book Antiqua" w:hAnsi="Book Antiqua"/>
          <w:sz w:val="24"/>
          <w:szCs w:val="24"/>
          <w:lang w:eastAsia="zh-CN"/>
        </w:rPr>
      </w:pPr>
      <w:r w:rsidRPr="00FC078E">
        <w:rPr>
          <w:rFonts w:ascii="Book Antiqua" w:hAnsi="Book Antiqua"/>
          <w:b/>
          <w:color w:val="000000"/>
          <w:sz w:val="24"/>
          <w:szCs w:val="24"/>
        </w:rPr>
        <w:t>Open-Access:</w:t>
      </w:r>
      <w:r w:rsidRPr="00FC078E">
        <w:rPr>
          <w:rFonts w:ascii="Book Antiqua" w:hAnsi="Book Antiqua"/>
          <w:color w:val="000000"/>
          <w:sz w:val="24"/>
          <w:szCs w:val="24"/>
        </w:rPr>
        <w:t xml:space="preserve"> This article is an open-access </w:t>
      </w:r>
      <w:r w:rsidRPr="00FC078E">
        <w:rPr>
          <w:rFonts w:ascii="Book Antiqua" w:hAnsi="Book Antiqua"/>
          <w:sz w:val="24"/>
          <w:szCs w:val="24"/>
        </w:rPr>
        <w:t xml:space="preserve">article that was selected </w:t>
      </w:r>
      <w:r w:rsidRPr="00FC078E">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7642A9" w14:textId="77777777" w:rsidR="00CF222E" w:rsidRPr="00FC078E" w:rsidRDefault="00CF222E" w:rsidP="00FC078E">
      <w:pPr>
        <w:adjustRightInd w:val="0"/>
        <w:snapToGrid w:val="0"/>
        <w:spacing w:line="360" w:lineRule="auto"/>
        <w:jc w:val="both"/>
        <w:rPr>
          <w:rFonts w:ascii="Book Antiqua" w:hAnsi="Book Antiqua" w:cs="Arial"/>
          <w:b/>
        </w:rPr>
      </w:pPr>
    </w:p>
    <w:p w14:paraId="63E83D43" w14:textId="77777777" w:rsidR="00CF222E" w:rsidRPr="00FC078E" w:rsidRDefault="00CF222E" w:rsidP="00FC078E">
      <w:pPr>
        <w:adjustRightInd w:val="0"/>
        <w:snapToGrid w:val="0"/>
        <w:spacing w:line="360" w:lineRule="auto"/>
        <w:jc w:val="both"/>
        <w:rPr>
          <w:rFonts w:ascii="Book Antiqua" w:hAnsi="Book Antiqua"/>
          <w:bCs/>
          <w:color w:val="000000"/>
          <w:lang w:eastAsia="zh-CN"/>
        </w:rPr>
      </w:pPr>
      <w:r w:rsidRPr="00FC078E">
        <w:rPr>
          <w:rFonts w:ascii="Book Antiqua" w:hAnsi="Book Antiqua"/>
          <w:b/>
          <w:bCs/>
          <w:color w:val="000000"/>
          <w:lang w:eastAsia="pl-PL"/>
        </w:rPr>
        <w:t>Manuscript source:</w:t>
      </w:r>
      <w:r w:rsidRPr="00FC078E">
        <w:rPr>
          <w:rFonts w:ascii="Book Antiqua" w:hAnsi="Book Antiqua"/>
          <w:b/>
          <w:bCs/>
          <w:color w:val="000000"/>
          <w:lang w:eastAsia="zh-CN"/>
        </w:rPr>
        <w:t xml:space="preserve"> </w:t>
      </w:r>
      <w:r w:rsidRPr="00FC078E">
        <w:rPr>
          <w:rFonts w:ascii="Book Antiqua" w:hAnsi="Book Antiqua"/>
          <w:bCs/>
          <w:color w:val="000000"/>
          <w:lang w:eastAsia="pl-PL"/>
        </w:rPr>
        <w:t>Unsolicited manuscript</w:t>
      </w:r>
    </w:p>
    <w:p w14:paraId="1874FB63" w14:textId="77777777" w:rsidR="00CF222E" w:rsidRPr="00FC078E" w:rsidRDefault="00CF222E" w:rsidP="00FC078E">
      <w:pPr>
        <w:widowControl w:val="0"/>
        <w:adjustRightInd w:val="0"/>
        <w:snapToGrid w:val="0"/>
        <w:spacing w:line="360" w:lineRule="auto"/>
        <w:jc w:val="both"/>
        <w:rPr>
          <w:rFonts w:ascii="Book Antiqua" w:hAnsi="Book Antiqua"/>
          <w:b/>
          <w:kern w:val="2"/>
          <w:lang w:eastAsia="zh-CN"/>
        </w:rPr>
      </w:pPr>
    </w:p>
    <w:p w14:paraId="5ADCD12A" w14:textId="71C81B2A" w:rsidR="00CF222E" w:rsidRPr="00FC078E" w:rsidRDefault="00CF222E" w:rsidP="00FC078E">
      <w:pPr>
        <w:adjustRightInd w:val="0"/>
        <w:snapToGrid w:val="0"/>
        <w:spacing w:line="360" w:lineRule="auto"/>
        <w:jc w:val="both"/>
        <w:rPr>
          <w:rFonts w:ascii="Book Antiqua" w:eastAsia="宋体" w:hAnsi="Book Antiqua"/>
          <w:lang w:eastAsia="zh-CN"/>
        </w:rPr>
      </w:pPr>
      <w:r w:rsidRPr="00FC078E">
        <w:rPr>
          <w:rFonts w:ascii="Book Antiqua" w:hAnsi="Book Antiqua"/>
          <w:b/>
        </w:rPr>
        <w:t>Peer-review started:</w:t>
      </w:r>
      <w:r w:rsidRPr="00FC078E">
        <w:rPr>
          <w:rFonts w:ascii="Book Antiqua" w:eastAsia="宋体" w:hAnsi="Book Antiqua"/>
          <w:lang w:eastAsia="zh-CN"/>
        </w:rPr>
        <w:t xml:space="preserve"> </w:t>
      </w:r>
      <w:r w:rsidR="00E95FC9" w:rsidRPr="00FC078E">
        <w:rPr>
          <w:rFonts w:ascii="Book Antiqua" w:eastAsia="宋体" w:hAnsi="Book Antiqua"/>
          <w:lang w:eastAsia="zh-CN"/>
        </w:rPr>
        <w:t>February 1, 2020</w:t>
      </w:r>
    </w:p>
    <w:p w14:paraId="64512E0B" w14:textId="7AC5DEF7" w:rsidR="00CF222E" w:rsidRPr="00FC078E" w:rsidRDefault="00CF222E" w:rsidP="00FC078E">
      <w:pPr>
        <w:adjustRightInd w:val="0"/>
        <w:snapToGrid w:val="0"/>
        <w:spacing w:line="360" w:lineRule="auto"/>
        <w:jc w:val="both"/>
        <w:rPr>
          <w:rFonts w:ascii="Book Antiqua" w:eastAsia="宋体" w:hAnsi="Book Antiqua"/>
          <w:lang w:eastAsia="zh-CN"/>
        </w:rPr>
      </w:pPr>
      <w:r w:rsidRPr="00FC078E">
        <w:rPr>
          <w:rFonts w:ascii="Book Antiqua" w:hAnsi="Book Antiqua"/>
          <w:b/>
        </w:rPr>
        <w:t>First decision:</w:t>
      </w:r>
      <w:r w:rsidRPr="00FC078E">
        <w:rPr>
          <w:rFonts w:ascii="Book Antiqua" w:eastAsia="宋体" w:hAnsi="Book Antiqua"/>
          <w:b/>
          <w:lang w:eastAsia="zh-CN"/>
        </w:rPr>
        <w:t xml:space="preserve"> </w:t>
      </w:r>
      <w:r w:rsidRPr="00FC078E">
        <w:rPr>
          <w:rFonts w:ascii="Book Antiqua" w:eastAsia="宋体" w:hAnsi="Book Antiqua"/>
          <w:lang w:eastAsia="zh-CN"/>
        </w:rPr>
        <w:t xml:space="preserve">March 6, </w:t>
      </w:r>
      <w:r w:rsidR="00E95FC9" w:rsidRPr="00FC078E">
        <w:rPr>
          <w:rFonts w:ascii="Book Antiqua" w:eastAsia="宋体" w:hAnsi="Book Antiqua"/>
          <w:lang w:eastAsia="zh-CN"/>
        </w:rPr>
        <w:t>2020</w:t>
      </w:r>
    </w:p>
    <w:p w14:paraId="19604A85" w14:textId="77777777" w:rsidR="00CF222E" w:rsidRPr="00FC078E" w:rsidRDefault="00CF222E" w:rsidP="00FC078E">
      <w:pPr>
        <w:widowControl w:val="0"/>
        <w:adjustRightInd w:val="0"/>
        <w:snapToGrid w:val="0"/>
        <w:spacing w:line="360" w:lineRule="auto"/>
        <w:jc w:val="both"/>
        <w:rPr>
          <w:rFonts w:ascii="Book Antiqua" w:eastAsia="宋体" w:hAnsi="Book Antiqua"/>
          <w:b/>
          <w:lang w:eastAsia="zh-CN"/>
        </w:rPr>
      </w:pPr>
      <w:r w:rsidRPr="00FC078E">
        <w:rPr>
          <w:rFonts w:ascii="Book Antiqua" w:hAnsi="Book Antiqua"/>
          <w:b/>
        </w:rPr>
        <w:t>Article in press:</w:t>
      </w:r>
    </w:p>
    <w:p w14:paraId="1E1780B9" w14:textId="77777777" w:rsidR="00CF222E" w:rsidRPr="00FC078E" w:rsidRDefault="00CF222E" w:rsidP="00FC078E">
      <w:pPr>
        <w:widowControl w:val="0"/>
        <w:adjustRightInd w:val="0"/>
        <w:snapToGrid w:val="0"/>
        <w:spacing w:line="360" w:lineRule="auto"/>
        <w:jc w:val="both"/>
        <w:rPr>
          <w:rFonts w:ascii="Book Antiqua" w:eastAsia="宋体" w:hAnsi="Book Antiqua"/>
          <w:b/>
          <w:lang w:eastAsia="zh-CN"/>
        </w:rPr>
      </w:pPr>
    </w:p>
    <w:p w14:paraId="06B1F9B9" w14:textId="701D522D" w:rsidR="00CF222E" w:rsidRPr="00FC078E" w:rsidRDefault="00CF222E" w:rsidP="00FC078E">
      <w:pPr>
        <w:widowControl w:val="0"/>
        <w:adjustRightInd w:val="0"/>
        <w:snapToGrid w:val="0"/>
        <w:spacing w:line="360" w:lineRule="auto"/>
        <w:jc w:val="both"/>
        <w:rPr>
          <w:rFonts w:ascii="Book Antiqua" w:eastAsia="微软雅黑" w:hAnsi="Book Antiqua" w:cs="宋体"/>
          <w:lang w:eastAsia="zh-CN"/>
        </w:rPr>
      </w:pPr>
      <w:r w:rsidRPr="00FC078E">
        <w:rPr>
          <w:rFonts w:ascii="Book Antiqua" w:hAnsi="Book Antiqua" w:cs="宋体"/>
          <w:b/>
          <w:lang w:eastAsia="zh-CN"/>
        </w:rPr>
        <w:t xml:space="preserve">Specialty type: </w:t>
      </w:r>
      <w:r w:rsidR="00E95FC9" w:rsidRPr="00FC078E">
        <w:rPr>
          <w:rFonts w:ascii="Book Antiqua" w:eastAsia="微软雅黑" w:hAnsi="Book Antiqua" w:cs="宋体"/>
        </w:rPr>
        <w:t>Gastroenterology and hepatology</w:t>
      </w:r>
    </w:p>
    <w:p w14:paraId="74C5F0BE" w14:textId="7A1ACE7D" w:rsidR="00CF222E" w:rsidRPr="00FC078E" w:rsidRDefault="00CF222E" w:rsidP="00FC078E">
      <w:pPr>
        <w:widowControl w:val="0"/>
        <w:adjustRightInd w:val="0"/>
        <w:snapToGrid w:val="0"/>
        <w:spacing w:line="360" w:lineRule="auto"/>
        <w:jc w:val="both"/>
        <w:rPr>
          <w:rFonts w:ascii="Book Antiqua" w:eastAsia="宋体" w:hAnsi="Book Antiqua" w:cs="宋体"/>
          <w:lang w:eastAsia="zh-CN"/>
        </w:rPr>
      </w:pPr>
      <w:r w:rsidRPr="00FC078E">
        <w:rPr>
          <w:rFonts w:ascii="Book Antiqua" w:hAnsi="Book Antiqua" w:cs="宋体"/>
          <w:b/>
          <w:lang w:eastAsia="zh-CN"/>
        </w:rPr>
        <w:t>Country/Territory</w:t>
      </w:r>
      <w:r w:rsidR="00A2686F">
        <w:rPr>
          <w:rFonts w:ascii="Book Antiqua" w:hAnsi="Book Antiqua" w:cs="宋体"/>
          <w:b/>
          <w:lang w:eastAsia="zh-CN"/>
        </w:rPr>
        <w:t> </w:t>
      </w:r>
      <w:r w:rsidRPr="00FC078E">
        <w:rPr>
          <w:rFonts w:ascii="Book Antiqua" w:hAnsi="Book Antiqua" w:cs="宋体"/>
          <w:b/>
          <w:lang w:eastAsia="zh-CN"/>
        </w:rPr>
        <w:t xml:space="preserve">of origin: </w:t>
      </w:r>
      <w:r w:rsidR="00E95FC9" w:rsidRPr="00FC078E">
        <w:rPr>
          <w:rFonts w:ascii="Book Antiqua" w:eastAsia="宋体" w:hAnsi="Book Antiqua" w:cs="宋体"/>
          <w:lang w:eastAsia="zh-CN"/>
        </w:rPr>
        <w:t>Finland</w:t>
      </w:r>
    </w:p>
    <w:p w14:paraId="68B18E40" w14:textId="77777777" w:rsidR="00CF222E" w:rsidRPr="00FC078E" w:rsidRDefault="00CF222E" w:rsidP="00FC078E">
      <w:pPr>
        <w:widowControl w:val="0"/>
        <w:adjustRightInd w:val="0"/>
        <w:snapToGrid w:val="0"/>
        <w:spacing w:line="360" w:lineRule="auto"/>
        <w:jc w:val="both"/>
        <w:rPr>
          <w:rFonts w:ascii="Book Antiqua" w:hAnsi="Book Antiqua" w:cs="宋体"/>
          <w:b/>
          <w:lang w:eastAsia="zh-CN"/>
        </w:rPr>
      </w:pPr>
      <w:r w:rsidRPr="00FC078E">
        <w:rPr>
          <w:rFonts w:ascii="Book Antiqua" w:hAnsi="Book Antiqua" w:cs="宋体"/>
          <w:b/>
          <w:lang w:eastAsia="zh-CN"/>
        </w:rPr>
        <w:t>Peer-review report’s scientific quality classification</w:t>
      </w:r>
    </w:p>
    <w:p w14:paraId="7EAB165F" w14:textId="5A7C0BDA" w:rsidR="00CF222E" w:rsidRPr="00FC078E" w:rsidRDefault="00E95FC9" w:rsidP="00FC078E">
      <w:pPr>
        <w:widowControl w:val="0"/>
        <w:adjustRightInd w:val="0"/>
        <w:snapToGrid w:val="0"/>
        <w:spacing w:line="360" w:lineRule="auto"/>
        <w:jc w:val="both"/>
        <w:rPr>
          <w:rFonts w:ascii="Book Antiqua" w:hAnsi="Book Antiqua" w:cs="宋体"/>
          <w:lang w:eastAsia="zh-CN"/>
        </w:rPr>
      </w:pPr>
      <w:r w:rsidRPr="00FC078E">
        <w:rPr>
          <w:rFonts w:ascii="Book Antiqua" w:hAnsi="Book Antiqua" w:cs="宋体"/>
          <w:lang w:eastAsia="zh-CN"/>
        </w:rPr>
        <w:lastRenderedPageBreak/>
        <w:t>Grade A (Excellent): 0</w:t>
      </w:r>
    </w:p>
    <w:p w14:paraId="048634A6" w14:textId="7B5189D6" w:rsidR="00CF222E" w:rsidRPr="00FC078E" w:rsidRDefault="00CF222E" w:rsidP="00FC078E">
      <w:pPr>
        <w:widowControl w:val="0"/>
        <w:adjustRightInd w:val="0"/>
        <w:snapToGrid w:val="0"/>
        <w:spacing w:line="360" w:lineRule="auto"/>
        <w:jc w:val="both"/>
        <w:rPr>
          <w:rFonts w:ascii="Book Antiqua" w:eastAsia="宋体" w:hAnsi="Book Antiqua" w:cs="宋体"/>
          <w:lang w:eastAsia="zh-CN"/>
        </w:rPr>
      </w:pPr>
      <w:r w:rsidRPr="00FC078E">
        <w:rPr>
          <w:rFonts w:ascii="Book Antiqua" w:hAnsi="Book Antiqua" w:cs="宋体"/>
          <w:lang w:eastAsia="zh-CN"/>
        </w:rPr>
        <w:t xml:space="preserve">Grade B (Very good): </w:t>
      </w:r>
      <w:r w:rsidRPr="00FC078E">
        <w:rPr>
          <w:rFonts w:ascii="Book Antiqua" w:eastAsia="宋体" w:hAnsi="Book Antiqua" w:cs="宋体"/>
          <w:lang w:eastAsia="zh-CN"/>
        </w:rPr>
        <w:t>B</w:t>
      </w:r>
    </w:p>
    <w:p w14:paraId="2B9E7AA1" w14:textId="77777777" w:rsidR="00CF222E" w:rsidRPr="00FC078E" w:rsidRDefault="00CF222E" w:rsidP="00FC078E">
      <w:pPr>
        <w:widowControl w:val="0"/>
        <w:adjustRightInd w:val="0"/>
        <w:snapToGrid w:val="0"/>
        <w:spacing w:line="360" w:lineRule="auto"/>
        <w:jc w:val="both"/>
        <w:rPr>
          <w:rFonts w:ascii="Book Antiqua" w:hAnsi="Book Antiqua" w:cs="宋体"/>
          <w:lang w:eastAsia="zh-CN"/>
        </w:rPr>
      </w:pPr>
      <w:r w:rsidRPr="00FC078E">
        <w:rPr>
          <w:rFonts w:ascii="Book Antiqua" w:hAnsi="Book Antiqua" w:cs="宋体"/>
          <w:lang w:eastAsia="zh-CN"/>
        </w:rPr>
        <w:t>Grade C (Good): C</w:t>
      </w:r>
    </w:p>
    <w:p w14:paraId="79D34069" w14:textId="77777777" w:rsidR="00CF222E" w:rsidRPr="00FC078E" w:rsidRDefault="00CF222E" w:rsidP="00FC078E">
      <w:pPr>
        <w:widowControl w:val="0"/>
        <w:adjustRightInd w:val="0"/>
        <w:snapToGrid w:val="0"/>
        <w:spacing w:line="360" w:lineRule="auto"/>
        <w:jc w:val="both"/>
        <w:rPr>
          <w:rFonts w:ascii="Book Antiqua" w:hAnsi="Book Antiqua" w:cs="宋体"/>
          <w:lang w:eastAsia="zh-CN"/>
        </w:rPr>
      </w:pPr>
      <w:r w:rsidRPr="00FC078E">
        <w:rPr>
          <w:rFonts w:ascii="Book Antiqua" w:hAnsi="Book Antiqua" w:cs="宋体"/>
          <w:lang w:eastAsia="zh-CN"/>
        </w:rPr>
        <w:t>Grade D (Fair): 0</w:t>
      </w:r>
    </w:p>
    <w:p w14:paraId="385AF8C0" w14:textId="77777777" w:rsidR="00CF222E" w:rsidRPr="00FC078E" w:rsidRDefault="00CF222E" w:rsidP="00FC078E">
      <w:pPr>
        <w:widowControl w:val="0"/>
        <w:adjustRightInd w:val="0"/>
        <w:snapToGrid w:val="0"/>
        <w:spacing w:line="360" w:lineRule="auto"/>
        <w:jc w:val="both"/>
        <w:rPr>
          <w:rFonts w:ascii="Book Antiqua" w:eastAsia="等线" w:hAnsi="Book Antiqua"/>
          <w:kern w:val="2"/>
          <w:lang w:val="hu-HU" w:eastAsia="zh-CN"/>
        </w:rPr>
      </w:pPr>
      <w:r w:rsidRPr="00FC078E">
        <w:rPr>
          <w:rFonts w:ascii="Book Antiqua" w:hAnsi="Book Antiqua" w:cs="宋体"/>
          <w:lang w:eastAsia="zh-CN"/>
        </w:rPr>
        <w:t>Grade E (Poor): 0</w:t>
      </w:r>
    </w:p>
    <w:p w14:paraId="1505BA4A" w14:textId="77777777" w:rsidR="00CF222E" w:rsidRPr="00FC078E" w:rsidRDefault="00CF222E" w:rsidP="00FC078E">
      <w:pPr>
        <w:widowControl w:val="0"/>
        <w:adjustRightInd w:val="0"/>
        <w:snapToGrid w:val="0"/>
        <w:spacing w:line="360" w:lineRule="auto"/>
        <w:jc w:val="both"/>
        <w:rPr>
          <w:rFonts w:ascii="Book Antiqua" w:eastAsia="宋体" w:hAnsi="Book Antiqua"/>
          <w:lang w:val="hu-HU" w:eastAsia="zh-CN"/>
        </w:rPr>
      </w:pPr>
    </w:p>
    <w:p w14:paraId="17C868E0" w14:textId="5A678A60" w:rsidR="00CF222E" w:rsidRPr="00FC078E" w:rsidRDefault="00CF222E" w:rsidP="00FC078E">
      <w:pPr>
        <w:adjustRightInd w:val="0"/>
        <w:snapToGrid w:val="0"/>
        <w:spacing w:line="360" w:lineRule="auto"/>
        <w:jc w:val="both"/>
        <w:rPr>
          <w:rFonts w:ascii="Book Antiqua" w:eastAsia="宋体" w:hAnsi="Book Antiqua"/>
          <w:b/>
          <w:lang w:eastAsia="zh-CN"/>
        </w:rPr>
      </w:pPr>
      <w:r w:rsidRPr="00FC078E">
        <w:rPr>
          <w:rFonts w:ascii="Book Antiqua" w:hAnsi="Book Antiqua"/>
          <w:b/>
        </w:rPr>
        <w:t xml:space="preserve">P- Reviewer: </w:t>
      </w:r>
      <w:r w:rsidR="00DA049C" w:rsidRPr="00FC078E">
        <w:rPr>
          <w:rFonts w:ascii="Book Antiqua" w:hAnsi="Book Antiqua"/>
        </w:rPr>
        <w:t>Sugimoto</w:t>
      </w:r>
      <w:r w:rsidR="00DA049C" w:rsidRPr="00FC078E">
        <w:rPr>
          <w:rFonts w:ascii="Book Antiqua" w:hAnsi="Book Antiqua"/>
          <w:lang w:eastAsia="zh-CN"/>
        </w:rPr>
        <w:t xml:space="preserve"> M , </w:t>
      </w:r>
      <w:r w:rsidR="00DA049C" w:rsidRPr="00FC078E">
        <w:rPr>
          <w:rFonts w:ascii="Book Antiqua" w:hAnsi="Book Antiqua"/>
        </w:rPr>
        <w:t>Vieth</w:t>
      </w:r>
      <w:r w:rsidR="00DA049C" w:rsidRPr="00FC078E">
        <w:rPr>
          <w:rFonts w:ascii="Book Antiqua" w:hAnsi="Book Antiqua"/>
          <w:lang w:eastAsia="zh-CN"/>
        </w:rPr>
        <w:t xml:space="preserve"> M</w:t>
      </w:r>
      <w:r w:rsidRPr="00FC078E">
        <w:rPr>
          <w:rFonts w:ascii="Book Antiqua" w:hAnsi="Book Antiqua"/>
          <w:b/>
        </w:rPr>
        <w:t xml:space="preserve"> S- Editor:</w:t>
      </w:r>
      <w:r w:rsidRPr="00FC078E">
        <w:rPr>
          <w:rFonts w:ascii="Book Antiqua" w:hAnsi="Book Antiqua"/>
        </w:rPr>
        <w:t xml:space="preserve"> </w:t>
      </w:r>
      <w:r w:rsidR="00DA049C" w:rsidRPr="00FC078E">
        <w:rPr>
          <w:rFonts w:ascii="Book Antiqua" w:eastAsia="宋体" w:hAnsi="Book Antiqua"/>
          <w:lang w:eastAsia="zh-CN"/>
        </w:rPr>
        <w:t>Wang JL</w:t>
      </w:r>
      <w:r w:rsidRPr="00FC078E">
        <w:rPr>
          <w:rFonts w:ascii="Book Antiqua" w:hAnsi="Book Antiqua"/>
        </w:rPr>
        <w:t xml:space="preserve"> </w:t>
      </w:r>
      <w:r w:rsidRPr="00FC078E">
        <w:rPr>
          <w:rFonts w:ascii="Book Antiqua" w:hAnsi="Book Antiqua"/>
          <w:b/>
        </w:rPr>
        <w:t>L- Editor:</w:t>
      </w:r>
      <w:r w:rsidR="00A2686F">
        <w:rPr>
          <w:rFonts w:ascii="Book Antiqua" w:hAnsi="Book Antiqua" w:hint="eastAsia"/>
          <w:lang w:eastAsia="zh-CN"/>
        </w:rPr>
        <w:t xml:space="preserve"> </w:t>
      </w:r>
      <w:r w:rsidRPr="00FC078E">
        <w:rPr>
          <w:rFonts w:ascii="Book Antiqua" w:hAnsi="Book Antiqua"/>
          <w:b/>
        </w:rPr>
        <w:t xml:space="preserve">E- Editor: </w:t>
      </w:r>
    </w:p>
    <w:p w14:paraId="37C0BA4B" w14:textId="77777777" w:rsidR="00295F95" w:rsidRPr="00FC078E" w:rsidRDefault="00295F95" w:rsidP="00FC078E">
      <w:pPr>
        <w:adjustRightInd w:val="0"/>
        <w:snapToGrid w:val="0"/>
        <w:spacing w:line="360" w:lineRule="auto"/>
        <w:jc w:val="both"/>
        <w:rPr>
          <w:rFonts w:ascii="Book Antiqua" w:hAnsi="Book Antiqua"/>
          <w:color w:val="000000" w:themeColor="text1"/>
        </w:rPr>
      </w:pPr>
    </w:p>
    <w:p w14:paraId="782B0D6C" w14:textId="77777777" w:rsidR="00D6280A" w:rsidRPr="00FC078E" w:rsidRDefault="00D6280A" w:rsidP="00FC078E">
      <w:pPr>
        <w:adjustRightInd w:val="0"/>
        <w:snapToGrid w:val="0"/>
        <w:spacing w:line="360" w:lineRule="auto"/>
        <w:jc w:val="both"/>
        <w:rPr>
          <w:rFonts w:ascii="Book Antiqua" w:hAnsi="Book Antiqua"/>
          <w:b/>
          <w:lang w:eastAsia="zh-CN"/>
        </w:rPr>
      </w:pPr>
      <w:r w:rsidRPr="00FC078E">
        <w:rPr>
          <w:rFonts w:ascii="Book Antiqua" w:hAnsi="Book Antiqua"/>
          <w:b/>
          <w:lang w:eastAsia="zh-CN"/>
        </w:rPr>
        <w:br w:type="page"/>
      </w:r>
    </w:p>
    <w:p w14:paraId="14253A11" w14:textId="2C807FCB" w:rsidR="00295F95" w:rsidRPr="00FC078E" w:rsidRDefault="00D6280A" w:rsidP="00FC078E">
      <w:pPr>
        <w:adjustRightInd w:val="0"/>
        <w:snapToGrid w:val="0"/>
        <w:spacing w:line="360" w:lineRule="auto"/>
        <w:ind w:left="432" w:hanging="432"/>
        <w:jc w:val="both"/>
        <w:rPr>
          <w:rFonts w:ascii="Book Antiqua" w:hAnsi="Book Antiqua"/>
          <w:color w:val="000000" w:themeColor="text1"/>
          <w:lang w:val="en-US"/>
        </w:rPr>
      </w:pPr>
      <w:r w:rsidRPr="00FC078E">
        <w:rPr>
          <w:rFonts w:ascii="Book Antiqua" w:hAnsi="Book Antiqua"/>
          <w:b/>
        </w:rPr>
        <w:lastRenderedPageBreak/>
        <w:t>Figure Legends</w:t>
      </w:r>
    </w:p>
    <w:p w14:paraId="333C30F9" w14:textId="0B8C041F" w:rsidR="00047C46" w:rsidRPr="00FC078E"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FC078E">
        <w:rPr>
          <w:rFonts w:ascii="Book Antiqua" w:hAnsi="Book Antiqua" w:cs="Times New Roman"/>
          <w:color w:val="000000" w:themeColor="text1"/>
          <w:lang w:val="en-US" w:eastAsia="zh-CN"/>
        </w:rPr>
        <w:t>A</w:t>
      </w:r>
    </w:p>
    <w:p w14:paraId="67CC2C74" w14:textId="4649C6C1" w:rsidR="00047C46" w:rsidRPr="00FC078E" w:rsidRDefault="00047C46" w:rsidP="00FC078E">
      <w:pPr>
        <w:adjustRightInd w:val="0"/>
        <w:snapToGrid w:val="0"/>
        <w:spacing w:line="360" w:lineRule="auto"/>
        <w:jc w:val="both"/>
        <w:rPr>
          <w:rFonts w:ascii="Book Antiqua" w:hAnsi="Book Antiqua" w:cs="Times New Roman"/>
          <w:color w:val="000000" w:themeColor="text1"/>
          <w:lang w:val="en-US" w:eastAsia="zh-CN"/>
        </w:rPr>
      </w:pPr>
      <w:r w:rsidRPr="00FC078E">
        <w:rPr>
          <w:rFonts w:ascii="Book Antiqua" w:hAnsi="Book Antiqua" w:cs="Times New Roman"/>
          <w:noProof/>
          <w:color w:val="000000" w:themeColor="text1"/>
          <w:lang w:val="en-US" w:eastAsia="zh-CN"/>
        </w:rPr>
        <w:drawing>
          <wp:inline distT="0" distB="0" distL="0" distR="0" wp14:anchorId="43616F90" wp14:editId="71060FBA">
            <wp:extent cx="5270500" cy="39528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952875"/>
                    </a:xfrm>
                    <a:prstGeom prst="rect">
                      <a:avLst/>
                    </a:prstGeom>
                  </pic:spPr>
                </pic:pic>
              </a:graphicData>
            </a:graphic>
          </wp:inline>
        </w:drawing>
      </w:r>
    </w:p>
    <w:p w14:paraId="7BA1A064" w14:textId="06CB6FB9" w:rsidR="00D6280A" w:rsidRPr="00FC078E"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FC078E">
        <w:rPr>
          <w:rFonts w:ascii="Book Antiqua" w:hAnsi="Book Antiqua" w:cs="Times New Roman"/>
          <w:color w:val="000000" w:themeColor="text1"/>
          <w:lang w:val="en-US" w:eastAsia="zh-CN"/>
        </w:rPr>
        <w:t>B</w:t>
      </w:r>
    </w:p>
    <w:p w14:paraId="4589C7A0" w14:textId="51BC2089" w:rsidR="00D6280A" w:rsidRPr="00FC078E"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FC078E">
        <w:rPr>
          <w:rFonts w:ascii="Book Antiqua" w:hAnsi="Book Antiqua" w:cs="Times New Roman"/>
          <w:bCs/>
          <w:noProof/>
          <w:color w:val="000000" w:themeColor="text1"/>
          <w:lang w:val="en-US" w:eastAsia="zh-CN"/>
        </w:rPr>
        <w:drawing>
          <wp:inline distT="0" distB="0" distL="0" distR="0" wp14:anchorId="393918B0" wp14:editId="0361819D">
            <wp:extent cx="5270500" cy="39528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952875"/>
                    </a:xfrm>
                    <a:prstGeom prst="rect">
                      <a:avLst/>
                    </a:prstGeom>
                  </pic:spPr>
                </pic:pic>
              </a:graphicData>
            </a:graphic>
          </wp:inline>
        </w:drawing>
      </w:r>
    </w:p>
    <w:p w14:paraId="7B44FF7D" w14:textId="77777777" w:rsidR="0025287D" w:rsidRPr="00FC078E"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FC078E">
        <w:rPr>
          <w:rFonts w:ascii="Book Antiqua" w:hAnsi="Book Antiqua" w:cs="Times New Roman"/>
          <w:color w:val="000000" w:themeColor="text1"/>
          <w:lang w:val="en-US" w:eastAsia="zh-CN"/>
        </w:rPr>
        <w:lastRenderedPageBreak/>
        <w:t>C</w:t>
      </w:r>
    </w:p>
    <w:p w14:paraId="1667E081" w14:textId="210A5373" w:rsidR="00295F95" w:rsidRPr="00FC078E" w:rsidRDefault="00D6280A" w:rsidP="00FC078E">
      <w:pPr>
        <w:adjustRightInd w:val="0"/>
        <w:snapToGrid w:val="0"/>
        <w:spacing w:line="360" w:lineRule="auto"/>
        <w:jc w:val="both"/>
        <w:rPr>
          <w:rFonts w:ascii="Book Antiqua" w:hAnsi="Book Antiqua" w:cs="Times New Roman"/>
          <w:bCs/>
          <w:noProof/>
          <w:color w:val="000000" w:themeColor="text1"/>
          <w:lang w:val="en-US" w:eastAsia="zh-CN"/>
        </w:rPr>
      </w:pPr>
      <w:r w:rsidRPr="00FC078E">
        <w:rPr>
          <w:rFonts w:ascii="Book Antiqua" w:hAnsi="Book Antiqua" w:cs="Times New Roman"/>
          <w:bCs/>
          <w:noProof/>
          <w:color w:val="000000" w:themeColor="text1"/>
          <w:lang w:val="en-US" w:eastAsia="zh-CN"/>
        </w:rPr>
        <w:t xml:space="preserve"> </w:t>
      </w:r>
      <w:r w:rsidRPr="00FC078E">
        <w:rPr>
          <w:rFonts w:ascii="Book Antiqua" w:hAnsi="Book Antiqua" w:cs="Times New Roman"/>
          <w:bCs/>
          <w:noProof/>
          <w:color w:val="000000" w:themeColor="text1"/>
          <w:lang w:val="en-US" w:eastAsia="zh-CN"/>
        </w:rPr>
        <w:drawing>
          <wp:inline distT="0" distB="0" distL="0" distR="0" wp14:anchorId="106A1892" wp14:editId="2D5D20C2">
            <wp:extent cx="5270500" cy="39528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952875"/>
                    </a:xfrm>
                    <a:prstGeom prst="rect">
                      <a:avLst/>
                    </a:prstGeom>
                  </pic:spPr>
                </pic:pic>
              </a:graphicData>
            </a:graphic>
          </wp:inline>
        </w:drawing>
      </w:r>
      <w:r w:rsidRPr="00FC078E">
        <w:rPr>
          <w:rFonts w:ascii="Book Antiqua" w:hAnsi="Book Antiqua" w:cs="Times New Roman"/>
          <w:b/>
          <w:color w:val="000000" w:themeColor="text1"/>
          <w:lang w:val="en-US"/>
        </w:rPr>
        <w:t>Figure 1</w:t>
      </w:r>
      <w:r w:rsidRPr="00FC078E">
        <w:rPr>
          <w:rFonts w:ascii="Book Antiqua" w:hAnsi="Book Antiqua" w:cs="Times New Roman"/>
          <w:b/>
          <w:color w:val="000000" w:themeColor="text1"/>
          <w:lang w:val="en-US" w:eastAsia="zh-CN"/>
        </w:rPr>
        <w:t xml:space="preserve"> </w:t>
      </w:r>
      <w:r w:rsidRPr="00FC078E">
        <w:rPr>
          <w:rFonts w:ascii="Book Antiqua" w:hAnsi="Book Antiqua" w:cs="Times New Roman"/>
          <w:b/>
          <w:color w:val="000000" w:themeColor="text1"/>
          <w:lang w:val="en-US"/>
        </w:rPr>
        <w:t>The Kaplan-Meier curves of cumulative gastric cancer risk</w:t>
      </w:r>
      <w:r w:rsidRPr="00FC078E">
        <w:rPr>
          <w:rFonts w:ascii="Book Antiqua" w:hAnsi="Book Antiqua" w:cs="Times New Roman"/>
          <w:b/>
          <w:color w:val="000000" w:themeColor="text1"/>
          <w:lang w:val="en-US" w:eastAsia="zh-CN"/>
        </w:rPr>
        <w:t>.</w:t>
      </w:r>
      <w:r w:rsidRPr="00FC078E">
        <w:rPr>
          <w:rFonts w:ascii="Book Antiqua" w:hAnsi="Book Antiqua" w:cs="Times New Roman"/>
          <w:color w:val="000000" w:themeColor="text1"/>
          <w:lang w:val="en-US" w:eastAsia="zh-CN"/>
        </w:rPr>
        <w:t xml:space="preserve"> A: </w:t>
      </w:r>
      <w:r w:rsidRPr="00FC078E">
        <w:rPr>
          <w:rFonts w:ascii="Book Antiqua" w:hAnsi="Book Antiqua" w:cs="Times New Roman"/>
          <w:color w:val="000000" w:themeColor="text1"/>
          <w:lang w:val="en-US"/>
        </w:rPr>
        <w:t xml:space="preserve">The Kaplan-Meier curves of cumulative gastric cancer risk in low-risk (0-II) and high-risk (III-IV) </w:t>
      </w:r>
      <w:r w:rsidRPr="00FC078E">
        <w:rPr>
          <w:rStyle w:val="dxebaseoffice2010blue"/>
          <w:rFonts w:ascii="Book Antiqua" w:hAnsi="Book Antiqua"/>
          <w:color w:val="000000" w:themeColor="text1"/>
        </w:rPr>
        <w:t>operative link for gastritis assessment</w:t>
      </w:r>
      <w:r w:rsidRPr="00FC078E">
        <w:rPr>
          <w:rFonts w:ascii="Book Antiqua" w:hAnsi="Book Antiqua" w:cs="Times New Roman"/>
          <w:color w:val="000000" w:themeColor="text1"/>
          <w:lang w:val="en-US"/>
        </w:rPr>
        <w:t xml:space="preserve"> groups</w:t>
      </w:r>
      <w:r w:rsidRPr="00FC078E">
        <w:rPr>
          <w:rFonts w:ascii="Book Antiqua" w:hAnsi="Book Antiqua" w:cs="Times New Roman"/>
          <w:color w:val="000000" w:themeColor="text1"/>
          <w:lang w:val="en-US" w:eastAsia="zh-CN"/>
        </w:rPr>
        <w:t xml:space="preserve">; B: </w:t>
      </w:r>
      <w:r w:rsidRPr="00FC078E">
        <w:rPr>
          <w:rFonts w:ascii="Book Antiqua" w:hAnsi="Book Antiqua" w:cs="Times New Roman"/>
          <w:bCs/>
          <w:color w:val="000000" w:themeColor="text1"/>
          <w:lang w:val="en-US"/>
        </w:rPr>
        <w:t xml:space="preserve">The Kaplan-Meier curves of cumulative gastric cancer risk in low-risk (0-II) and high-risk (III-IV) </w:t>
      </w:r>
      <w:r w:rsidRPr="00FC078E">
        <w:rPr>
          <w:rStyle w:val="dxebaseoffice2010blue"/>
          <w:rFonts w:ascii="Book Antiqua" w:hAnsi="Book Antiqua"/>
          <w:color w:val="000000" w:themeColor="text1"/>
        </w:rPr>
        <w:t>operative link on gastric intestinal metaplasia assessment</w:t>
      </w:r>
      <w:r w:rsidRPr="00FC078E">
        <w:rPr>
          <w:rFonts w:ascii="Book Antiqua" w:hAnsi="Book Antiqua" w:cs="Times New Roman"/>
          <w:bCs/>
          <w:color w:val="000000" w:themeColor="text1"/>
          <w:lang w:val="en-US"/>
        </w:rPr>
        <w:t xml:space="preserve"> groups</w:t>
      </w:r>
      <w:r w:rsidRPr="00FC078E">
        <w:rPr>
          <w:rFonts w:ascii="Book Antiqua" w:hAnsi="Book Antiqua" w:cs="Times New Roman"/>
          <w:bCs/>
          <w:color w:val="000000" w:themeColor="text1"/>
          <w:lang w:val="en-US" w:eastAsia="zh-CN"/>
        </w:rPr>
        <w:t xml:space="preserve">; C: </w:t>
      </w:r>
      <w:r w:rsidRPr="00FC078E">
        <w:rPr>
          <w:rFonts w:ascii="Book Antiqua" w:hAnsi="Book Antiqua" w:cs="Times New Roman"/>
          <w:bCs/>
          <w:color w:val="000000" w:themeColor="text1"/>
          <w:lang w:val="en-US"/>
        </w:rPr>
        <w:t>The Kaplan-Meier curves of cumulative gastric cancer risk in low and high cancer-risk TAIM groups</w:t>
      </w:r>
      <w:r w:rsidRPr="00FC078E">
        <w:rPr>
          <w:rFonts w:ascii="Book Antiqua" w:hAnsi="Book Antiqua" w:cs="Times New Roman"/>
          <w:bCs/>
          <w:color w:val="000000" w:themeColor="text1"/>
          <w:lang w:val="en-US" w:eastAsia="zh-CN"/>
        </w:rPr>
        <w:t>.</w:t>
      </w:r>
    </w:p>
    <w:p w14:paraId="44742D61" w14:textId="77777777" w:rsidR="00D6280A" w:rsidRPr="00FC078E" w:rsidRDefault="00D6280A" w:rsidP="00FC078E">
      <w:pPr>
        <w:adjustRightInd w:val="0"/>
        <w:snapToGrid w:val="0"/>
        <w:spacing w:line="360" w:lineRule="auto"/>
        <w:jc w:val="both"/>
        <w:rPr>
          <w:rFonts w:ascii="Book Antiqua" w:hAnsi="Book Antiqua" w:cs="Times New Roman"/>
          <w:bCs/>
          <w:color w:val="000000" w:themeColor="text1"/>
          <w:lang w:val="en-US" w:eastAsia="zh-CN"/>
        </w:rPr>
      </w:pPr>
    </w:p>
    <w:p w14:paraId="01480E75" w14:textId="77777777" w:rsidR="0025287D" w:rsidRPr="00FC078E" w:rsidRDefault="0025287D" w:rsidP="00FC078E">
      <w:pPr>
        <w:adjustRightInd w:val="0"/>
        <w:snapToGrid w:val="0"/>
        <w:spacing w:line="360" w:lineRule="auto"/>
        <w:jc w:val="both"/>
        <w:rPr>
          <w:rFonts w:ascii="Book Antiqua" w:hAnsi="Book Antiqua" w:cs="Times New Roman"/>
          <w:bCs/>
          <w:color w:val="000000" w:themeColor="text1"/>
          <w:lang w:val="en-US" w:eastAsia="zh-CN"/>
        </w:rPr>
      </w:pPr>
      <w:r w:rsidRPr="00FC078E">
        <w:rPr>
          <w:rFonts w:ascii="Book Antiqua" w:hAnsi="Book Antiqua" w:cs="Times New Roman"/>
          <w:bCs/>
          <w:color w:val="000000" w:themeColor="text1"/>
          <w:lang w:val="en-US" w:eastAsia="zh-CN"/>
        </w:rPr>
        <w:br w:type="page"/>
      </w:r>
    </w:p>
    <w:p w14:paraId="206B314E" w14:textId="3CE9E379"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Table 1 Patient characteristics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76"/>
        <w:gridCol w:w="1769"/>
      </w:tblGrid>
      <w:tr w:rsidR="007B44BC" w:rsidRPr="00FC078E" w14:paraId="07F0C58C" w14:textId="77777777" w:rsidTr="00F17154">
        <w:tc>
          <w:tcPr>
            <w:tcW w:w="5245" w:type="dxa"/>
            <w:tcBorders>
              <w:top w:val="single" w:sz="4" w:space="0" w:color="000000" w:themeColor="text1"/>
              <w:bottom w:val="single" w:sz="4" w:space="0" w:color="000000" w:themeColor="text1"/>
            </w:tcBorders>
          </w:tcPr>
          <w:p w14:paraId="4B4F32FC" w14:textId="16FD468F" w:rsidR="00295F95" w:rsidRPr="00FC078E" w:rsidRDefault="0025287D"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s="Times New Roman"/>
                <w:b/>
                <w:bCs/>
                <w:color w:val="000000" w:themeColor="text1"/>
                <w:lang w:val="en-US"/>
              </w:rPr>
              <w:t>Characteristics</w:t>
            </w:r>
          </w:p>
        </w:tc>
        <w:tc>
          <w:tcPr>
            <w:tcW w:w="1276" w:type="dxa"/>
            <w:tcBorders>
              <w:top w:val="single" w:sz="4" w:space="0" w:color="000000" w:themeColor="text1"/>
              <w:bottom w:val="single" w:sz="4" w:space="0" w:color="000000" w:themeColor="text1"/>
            </w:tcBorders>
          </w:tcPr>
          <w:p w14:paraId="3863C97C" w14:textId="754BAEB9" w:rsidR="00295F95" w:rsidRPr="00FC078E" w:rsidRDefault="00F17154" w:rsidP="00FC078E">
            <w:pPr>
              <w:adjustRightInd w:val="0"/>
              <w:snapToGrid w:val="0"/>
              <w:spacing w:line="360" w:lineRule="auto"/>
              <w:jc w:val="both"/>
              <w:rPr>
                <w:rFonts w:ascii="Book Antiqua" w:hAnsi="Book Antiqua"/>
                <w:b/>
                <w:color w:val="000000" w:themeColor="text1"/>
                <w:lang w:val="en-US" w:eastAsia="zh-CN"/>
              </w:rPr>
            </w:pPr>
            <w:r w:rsidRPr="00FC078E">
              <w:rPr>
                <w:rFonts w:ascii="Book Antiqua" w:hAnsi="Book Antiqua"/>
                <w:b/>
                <w:color w:val="000000" w:themeColor="text1"/>
                <w:lang w:val="en-US" w:eastAsia="zh-CN"/>
              </w:rPr>
              <w:t>Data</w:t>
            </w:r>
          </w:p>
        </w:tc>
        <w:tc>
          <w:tcPr>
            <w:tcW w:w="1769" w:type="dxa"/>
            <w:tcBorders>
              <w:top w:val="single" w:sz="4" w:space="0" w:color="000000" w:themeColor="text1"/>
              <w:bottom w:val="single" w:sz="4" w:space="0" w:color="000000" w:themeColor="text1"/>
            </w:tcBorders>
          </w:tcPr>
          <w:p w14:paraId="67356F03" w14:textId="4F2909C6" w:rsidR="00295F95" w:rsidRPr="00FC078E" w:rsidRDefault="0025287D" w:rsidP="00FC078E">
            <w:pPr>
              <w:adjustRightInd w:val="0"/>
              <w:snapToGrid w:val="0"/>
              <w:spacing w:line="360" w:lineRule="auto"/>
              <w:jc w:val="both"/>
              <w:rPr>
                <w:rFonts w:ascii="Book Antiqua" w:hAnsi="Book Antiqua"/>
                <w:b/>
                <w:color w:val="000000" w:themeColor="text1"/>
                <w:lang w:val="en-US"/>
              </w:rPr>
            </w:pPr>
            <w:r w:rsidRPr="00FC078E">
              <w:rPr>
                <w:rFonts w:ascii="Book Antiqua" w:hAnsi="Book Antiqua"/>
                <w:b/>
                <w:color w:val="000000" w:themeColor="text1"/>
                <w:lang w:val="en-US"/>
              </w:rPr>
              <w:t>Range</w:t>
            </w:r>
          </w:p>
        </w:tc>
      </w:tr>
      <w:tr w:rsidR="007B44BC" w:rsidRPr="00FC078E" w14:paraId="3045F564" w14:textId="77777777" w:rsidTr="00F17154">
        <w:tc>
          <w:tcPr>
            <w:tcW w:w="5245" w:type="dxa"/>
            <w:tcBorders>
              <w:top w:val="single" w:sz="4" w:space="0" w:color="000000" w:themeColor="text1"/>
            </w:tcBorders>
          </w:tcPr>
          <w:p w14:paraId="3AD73E36"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Number of participants</w:t>
            </w:r>
          </w:p>
        </w:tc>
        <w:tc>
          <w:tcPr>
            <w:tcW w:w="1276" w:type="dxa"/>
            <w:tcBorders>
              <w:top w:val="single" w:sz="4" w:space="0" w:color="000000" w:themeColor="text1"/>
            </w:tcBorders>
          </w:tcPr>
          <w:p w14:paraId="6E7A79DA"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1147</w:t>
            </w:r>
          </w:p>
        </w:tc>
        <w:tc>
          <w:tcPr>
            <w:tcW w:w="1769" w:type="dxa"/>
            <w:tcBorders>
              <w:top w:val="single" w:sz="4" w:space="0" w:color="000000" w:themeColor="text1"/>
            </w:tcBorders>
          </w:tcPr>
          <w:p w14:paraId="6BA19109"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tc>
      </w:tr>
      <w:tr w:rsidR="007B44BC" w:rsidRPr="00FC078E" w14:paraId="35C6C68E" w14:textId="77777777" w:rsidTr="00F17154">
        <w:tc>
          <w:tcPr>
            <w:tcW w:w="5245" w:type="dxa"/>
          </w:tcPr>
          <w:p w14:paraId="06E3BF32" w14:textId="7AB4B214"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Gender (</w:t>
            </w:r>
            <w:r w:rsidR="00CE161E" w:rsidRPr="00FC078E">
              <w:rPr>
                <w:rFonts w:ascii="Book Antiqua" w:hAnsi="Book Antiqua"/>
                <w:color w:val="000000" w:themeColor="text1"/>
                <w:lang w:val="en-US"/>
              </w:rPr>
              <w:t>Male</w:t>
            </w:r>
            <w:r w:rsidRPr="00FC078E">
              <w:rPr>
                <w:rFonts w:ascii="Book Antiqua" w:hAnsi="Book Antiqua"/>
                <w:color w:val="000000" w:themeColor="text1"/>
                <w:lang w:val="en-US"/>
              </w:rPr>
              <w:t>/female)</w:t>
            </w:r>
          </w:p>
        </w:tc>
        <w:tc>
          <w:tcPr>
            <w:tcW w:w="1276" w:type="dxa"/>
          </w:tcPr>
          <w:p w14:paraId="6A2A87AD" w14:textId="73D7B5BB" w:rsidR="00295F95" w:rsidRPr="00FC078E" w:rsidRDefault="0025287D"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100</w:t>
            </w:r>
            <w:r w:rsidRPr="00FC078E">
              <w:rPr>
                <w:rFonts w:ascii="Book Antiqua" w:hAnsi="Book Antiqua"/>
                <w:color w:val="000000" w:themeColor="text1"/>
                <w:lang w:val="en-US" w:eastAsia="zh-CN"/>
              </w:rPr>
              <w:t>%</w:t>
            </w:r>
            <w:r w:rsidRPr="00FC078E">
              <w:rPr>
                <w:rFonts w:ascii="Book Antiqua" w:hAnsi="Book Antiqua"/>
                <w:color w:val="000000" w:themeColor="text1"/>
                <w:lang w:val="en-US"/>
              </w:rPr>
              <w:t>/0</w:t>
            </w:r>
            <w:r w:rsidR="00295F95" w:rsidRPr="00FC078E">
              <w:rPr>
                <w:rFonts w:ascii="Book Antiqua" w:hAnsi="Book Antiqua"/>
                <w:color w:val="000000" w:themeColor="text1"/>
                <w:lang w:val="en-US"/>
              </w:rPr>
              <w:t>%</w:t>
            </w:r>
          </w:p>
        </w:tc>
        <w:tc>
          <w:tcPr>
            <w:tcW w:w="1769" w:type="dxa"/>
          </w:tcPr>
          <w:p w14:paraId="7CA3DF9F"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tc>
      </w:tr>
      <w:tr w:rsidR="007B44BC" w:rsidRPr="00FC078E" w14:paraId="5EEEF18A" w14:textId="77777777" w:rsidTr="00F17154">
        <w:tc>
          <w:tcPr>
            <w:tcW w:w="5245" w:type="dxa"/>
          </w:tcPr>
          <w:p w14:paraId="25BC0FBA" w14:textId="1A5FABB1"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Age</w:t>
            </w:r>
            <w:r w:rsidR="00CE161E" w:rsidRPr="00FC078E">
              <w:rPr>
                <w:rFonts w:ascii="Book Antiqua" w:hAnsi="Book Antiqua"/>
                <w:color w:val="000000" w:themeColor="text1"/>
                <w:vertAlign w:val="superscript"/>
                <w:lang w:val="en-US" w:eastAsia="zh-CN"/>
              </w:rPr>
              <w:t>1</w:t>
            </w:r>
            <w:r w:rsidRPr="00FC078E">
              <w:rPr>
                <w:rFonts w:ascii="Book Antiqua" w:hAnsi="Book Antiqua"/>
                <w:color w:val="000000" w:themeColor="text1"/>
                <w:lang w:val="en-US"/>
              </w:rPr>
              <w:t xml:space="preserve"> (</w:t>
            </w:r>
            <w:proofErr w:type="spellStart"/>
            <w:r w:rsidR="00CE161E" w:rsidRPr="00FC078E">
              <w:rPr>
                <w:rFonts w:ascii="Book Antiqua" w:hAnsi="Book Antiqua"/>
                <w:color w:val="000000" w:themeColor="text1"/>
                <w:lang w:val="en-US" w:eastAsia="zh-CN"/>
              </w:rPr>
              <w:t>yr</w:t>
            </w:r>
            <w:proofErr w:type="spellEnd"/>
            <w:r w:rsidRPr="00FC078E">
              <w:rPr>
                <w:rFonts w:ascii="Book Antiqua" w:hAnsi="Book Antiqua"/>
                <w:color w:val="000000" w:themeColor="text1"/>
                <w:lang w:val="en-US"/>
              </w:rPr>
              <w:t>, median)</w:t>
            </w:r>
          </w:p>
        </w:tc>
        <w:tc>
          <w:tcPr>
            <w:tcW w:w="1276" w:type="dxa"/>
          </w:tcPr>
          <w:p w14:paraId="3AB419C1"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64.1</w:t>
            </w:r>
          </w:p>
        </w:tc>
        <w:tc>
          <w:tcPr>
            <w:tcW w:w="1769" w:type="dxa"/>
          </w:tcPr>
          <w:p w14:paraId="2A4CCA05"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54.0-77.5</w:t>
            </w:r>
          </w:p>
        </w:tc>
      </w:tr>
      <w:tr w:rsidR="007B44BC" w:rsidRPr="00FC078E" w14:paraId="52DEC80A" w14:textId="77777777" w:rsidTr="00F17154">
        <w:tc>
          <w:tcPr>
            <w:tcW w:w="5245" w:type="dxa"/>
          </w:tcPr>
          <w:p w14:paraId="0FB51F2A" w14:textId="7A2D916A"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Median follow-up time (</w:t>
            </w:r>
            <w:proofErr w:type="spellStart"/>
            <w:r w:rsidR="00CE161E" w:rsidRPr="00FC078E">
              <w:rPr>
                <w:rFonts w:ascii="Book Antiqua" w:hAnsi="Book Antiqua"/>
                <w:color w:val="000000" w:themeColor="text1"/>
                <w:lang w:val="en-US" w:eastAsia="zh-CN"/>
              </w:rPr>
              <w:t>yr</w:t>
            </w:r>
            <w:proofErr w:type="spellEnd"/>
            <w:r w:rsidRPr="00FC078E">
              <w:rPr>
                <w:rFonts w:ascii="Book Antiqua" w:hAnsi="Book Antiqua"/>
                <w:color w:val="000000" w:themeColor="text1"/>
                <w:lang w:val="en-US"/>
              </w:rPr>
              <w:t>)</w:t>
            </w:r>
          </w:p>
        </w:tc>
        <w:tc>
          <w:tcPr>
            <w:tcW w:w="1276" w:type="dxa"/>
          </w:tcPr>
          <w:p w14:paraId="3279548B"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13.7</w:t>
            </w:r>
          </w:p>
        </w:tc>
        <w:tc>
          <w:tcPr>
            <w:tcW w:w="1769" w:type="dxa"/>
          </w:tcPr>
          <w:p w14:paraId="73AD1A81" w14:textId="7467CEFC"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16</w:t>
            </w:r>
            <w:r w:rsidR="00CE161E" w:rsidRPr="00FC078E">
              <w:rPr>
                <w:rFonts w:ascii="Book Antiqua" w:hAnsi="Book Antiqua"/>
                <w:color w:val="000000" w:themeColor="text1"/>
                <w:lang w:val="en-US" w:eastAsia="zh-CN"/>
              </w:rPr>
              <w:t xml:space="preserve"> </w:t>
            </w:r>
            <w:r w:rsidRPr="00FC078E">
              <w:rPr>
                <w:rFonts w:ascii="Book Antiqua" w:hAnsi="Book Antiqua"/>
                <w:color w:val="000000" w:themeColor="text1"/>
                <w:lang w:val="en-US"/>
              </w:rPr>
              <w:t>(</w:t>
            </w:r>
            <w:r w:rsidR="00CE161E" w:rsidRPr="00FC078E">
              <w:rPr>
                <w:rFonts w:ascii="Book Antiqua" w:hAnsi="Book Antiqua"/>
                <w:color w:val="000000" w:themeColor="text1"/>
                <w:lang w:val="en-US" w:eastAsia="zh-CN"/>
              </w:rPr>
              <w:t>d</w:t>
            </w:r>
            <w:r w:rsidRPr="00FC078E">
              <w:rPr>
                <w:rFonts w:ascii="Book Antiqua" w:hAnsi="Book Antiqua"/>
                <w:color w:val="000000" w:themeColor="text1"/>
                <w:lang w:val="en-US"/>
              </w:rPr>
              <w:t>)-27.3</w:t>
            </w:r>
          </w:p>
        </w:tc>
      </w:tr>
      <w:tr w:rsidR="007B44BC" w:rsidRPr="00FC078E" w14:paraId="43179A60" w14:textId="77777777" w:rsidTr="00F17154">
        <w:tc>
          <w:tcPr>
            <w:tcW w:w="5245" w:type="dxa"/>
          </w:tcPr>
          <w:p w14:paraId="47AD072B" w14:textId="274850AA"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Number of smoked cigarettes per day</w:t>
            </w:r>
            <w:r w:rsidR="00CE161E" w:rsidRPr="00FC078E">
              <w:rPr>
                <w:rFonts w:ascii="Book Antiqua" w:hAnsi="Book Antiqua"/>
                <w:color w:val="000000" w:themeColor="text1"/>
                <w:vertAlign w:val="superscript"/>
                <w:lang w:val="en-US" w:eastAsia="zh-CN"/>
              </w:rPr>
              <w:t>1</w:t>
            </w:r>
            <w:r w:rsidRPr="00FC078E">
              <w:rPr>
                <w:rFonts w:ascii="Book Antiqua" w:hAnsi="Book Antiqua"/>
                <w:color w:val="000000" w:themeColor="text1"/>
                <w:lang w:val="en-US"/>
              </w:rPr>
              <w:t xml:space="preserve"> (</w:t>
            </w:r>
            <w:r w:rsidR="0073262B" w:rsidRPr="00FC078E">
              <w:rPr>
                <w:rFonts w:ascii="Book Antiqua" w:hAnsi="Book Antiqua"/>
                <w:color w:val="000000" w:themeColor="text1"/>
                <w:lang w:val="en-US"/>
              </w:rPr>
              <w:t>Median</w:t>
            </w:r>
            <w:r w:rsidRPr="00FC078E">
              <w:rPr>
                <w:rFonts w:ascii="Book Antiqua" w:hAnsi="Book Antiqua"/>
                <w:color w:val="000000" w:themeColor="text1"/>
                <w:lang w:val="en-US"/>
              </w:rPr>
              <w:t>)</w:t>
            </w:r>
          </w:p>
        </w:tc>
        <w:tc>
          <w:tcPr>
            <w:tcW w:w="1276" w:type="dxa"/>
          </w:tcPr>
          <w:p w14:paraId="53F8C6CD"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20.0</w:t>
            </w:r>
          </w:p>
        </w:tc>
        <w:tc>
          <w:tcPr>
            <w:tcW w:w="1769" w:type="dxa"/>
          </w:tcPr>
          <w:p w14:paraId="09EF7992"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5.0-50.0</w:t>
            </w:r>
          </w:p>
        </w:tc>
      </w:tr>
      <w:tr w:rsidR="007B44BC" w:rsidRPr="00FC078E" w14:paraId="04C2B94F" w14:textId="77777777" w:rsidTr="00F17154">
        <w:tc>
          <w:tcPr>
            <w:tcW w:w="5245" w:type="dxa"/>
          </w:tcPr>
          <w:p w14:paraId="7B8A2186" w14:textId="0DC3B51C"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Smoking years</w:t>
            </w:r>
            <w:r w:rsidR="00CE161E" w:rsidRPr="00FC078E">
              <w:rPr>
                <w:rFonts w:ascii="Book Antiqua" w:hAnsi="Book Antiqua"/>
                <w:color w:val="000000" w:themeColor="text1"/>
                <w:vertAlign w:val="superscript"/>
                <w:lang w:val="en-US" w:eastAsia="zh-CN"/>
              </w:rPr>
              <w:t>1</w:t>
            </w:r>
            <w:r w:rsidRPr="00FC078E">
              <w:rPr>
                <w:rFonts w:ascii="Book Antiqua" w:hAnsi="Book Antiqua"/>
                <w:color w:val="000000" w:themeColor="text1"/>
                <w:lang w:val="en-US"/>
              </w:rPr>
              <w:t xml:space="preserve"> (</w:t>
            </w:r>
            <w:r w:rsidR="0073262B" w:rsidRPr="00FC078E">
              <w:rPr>
                <w:rFonts w:ascii="Book Antiqua" w:hAnsi="Book Antiqua"/>
                <w:color w:val="000000" w:themeColor="text1"/>
                <w:lang w:val="en-US"/>
              </w:rPr>
              <w:t>Median</w:t>
            </w:r>
            <w:r w:rsidRPr="00FC078E">
              <w:rPr>
                <w:rFonts w:ascii="Book Antiqua" w:hAnsi="Book Antiqua"/>
                <w:color w:val="000000" w:themeColor="text1"/>
                <w:lang w:val="en-US"/>
              </w:rPr>
              <w:t>)</w:t>
            </w:r>
          </w:p>
        </w:tc>
        <w:tc>
          <w:tcPr>
            <w:tcW w:w="1276" w:type="dxa"/>
          </w:tcPr>
          <w:p w14:paraId="7D350AE9"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38.0</w:t>
            </w:r>
          </w:p>
        </w:tc>
        <w:tc>
          <w:tcPr>
            <w:tcW w:w="1769" w:type="dxa"/>
          </w:tcPr>
          <w:p w14:paraId="76F088F3"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3.0-57.0</w:t>
            </w:r>
          </w:p>
        </w:tc>
      </w:tr>
      <w:tr w:rsidR="0025287D" w:rsidRPr="00FC078E" w14:paraId="4B234656" w14:textId="77777777" w:rsidTr="00F17154">
        <w:tc>
          <w:tcPr>
            <w:tcW w:w="5245" w:type="dxa"/>
          </w:tcPr>
          <w:p w14:paraId="3D4BB5E2" w14:textId="49B0730B" w:rsidR="00295F95" w:rsidRPr="00FC078E" w:rsidRDefault="0092569A"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s="Times"/>
                <w:i/>
                <w:color w:val="000000" w:themeColor="text1"/>
                <w:lang w:val="en-US"/>
              </w:rPr>
              <w:t>Helicobacter pylori</w:t>
            </w:r>
            <w:r w:rsidR="00CE161E" w:rsidRPr="00FC078E">
              <w:rPr>
                <w:rFonts w:ascii="Book Antiqua" w:hAnsi="Book Antiqua"/>
                <w:color w:val="000000" w:themeColor="text1"/>
                <w:vertAlign w:val="superscript"/>
                <w:lang w:val="en-US" w:eastAsia="zh-CN"/>
              </w:rPr>
              <w:t>1</w:t>
            </w:r>
            <w:r w:rsidR="00295F95" w:rsidRPr="00FC078E">
              <w:rPr>
                <w:rFonts w:ascii="Book Antiqua" w:hAnsi="Book Antiqua"/>
                <w:color w:val="000000" w:themeColor="text1"/>
                <w:lang w:val="en-US"/>
              </w:rPr>
              <w:t xml:space="preserve"> (</w:t>
            </w:r>
            <w:r w:rsidR="0073262B" w:rsidRPr="00FC078E">
              <w:rPr>
                <w:rFonts w:ascii="Book Antiqua" w:hAnsi="Book Antiqua"/>
                <w:color w:val="000000" w:themeColor="text1"/>
                <w:lang w:val="en-US"/>
              </w:rPr>
              <w:t xml:space="preserve">Positive </w:t>
            </w:r>
            <w:r w:rsidR="00295F95" w:rsidRPr="00FC078E">
              <w:rPr>
                <w:rFonts w:ascii="Book Antiqua" w:hAnsi="Book Antiqua"/>
                <w:color w:val="000000" w:themeColor="text1"/>
                <w:lang w:val="en-US"/>
              </w:rPr>
              <w:t>histology)</w:t>
            </w:r>
          </w:p>
        </w:tc>
        <w:tc>
          <w:tcPr>
            <w:tcW w:w="1276" w:type="dxa"/>
          </w:tcPr>
          <w:p w14:paraId="1C8D830F"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28.2%</w:t>
            </w:r>
          </w:p>
        </w:tc>
        <w:tc>
          <w:tcPr>
            <w:tcW w:w="1769" w:type="dxa"/>
          </w:tcPr>
          <w:p w14:paraId="7BE995C3"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tc>
      </w:tr>
    </w:tbl>
    <w:p w14:paraId="08EE9545" w14:textId="49BD02D1" w:rsidR="00295F95" w:rsidRPr="00FC078E" w:rsidRDefault="00F17154"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vertAlign w:val="superscript"/>
          <w:lang w:val="en-US" w:eastAsia="zh-CN"/>
        </w:rPr>
        <w:t>1</w:t>
      </w:r>
      <w:r w:rsidRPr="00FC078E">
        <w:rPr>
          <w:rFonts w:ascii="Book Antiqua" w:hAnsi="Book Antiqua"/>
          <w:color w:val="000000" w:themeColor="text1"/>
          <w:lang w:val="en-US"/>
        </w:rPr>
        <w:t xml:space="preserve">At </w:t>
      </w:r>
      <w:r w:rsidR="00295F95" w:rsidRPr="00FC078E">
        <w:rPr>
          <w:rFonts w:ascii="Book Antiqua" w:hAnsi="Book Antiqua"/>
          <w:color w:val="000000" w:themeColor="text1"/>
          <w:lang w:val="en-US"/>
        </w:rPr>
        <w:t>the beginning of the study</w:t>
      </w:r>
      <w:r w:rsidRPr="00FC078E">
        <w:rPr>
          <w:rFonts w:ascii="Book Antiqua" w:hAnsi="Book Antiqua"/>
          <w:color w:val="000000" w:themeColor="text1"/>
          <w:lang w:val="en-US" w:eastAsia="zh-CN"/>
        </w:rPr>
        <w:t>.</w:t>
      </w:r>
    </w:p>
    <w:p w14:paraId="43E1307D"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p w14:paraId="1EA2A3FB" w14:textId="56DD8120"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t>Table 2 TAIM staging system</w:t>
      </w:r>
    </w:p>
    <w:tbl>
      <w:tblPr>
        <w:tblStyle w:val="a3"/>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94"/>
        <w:gridCol w:w="2069"/>
        <w:gridCol w:w="2065"/>
        <w:gridCol w:w="2072"/>
      </w:tblGrid>
      <w:tr w:rsidR="0092569A" w:rsidRPr="00FC078E" w14:paraId="083606F1" w14:textId="77777777" w:rsidTr="00DC461C">
        <w:trPr>
          <w:trHeight w:val="560"/>
        </w:trPr>
        <w:tc>
          <w:tcPr>
            <w:tcW w:w="2129" w:type="dxa"/>
            <w:vMerge w:val="restart"/>
            <w:tcBorders>
              <w:top w:val="single" w:sz="4" w:space="0" w:color="000000" w:themeColor="text1"/>
              <w:bottom w:val="single" w:sz="4" w:space="0" w:color="000000" w:themeColor="text1"/>
            </w:tcBorders>
            <w:shd w:val="clear" w:color="auto" w:fill="auto"/>
          </w:tcPr>
          <w:p w14:paraId="60798F3A" w14:textId="37F00D47" w:rsidR="0092569A" w:rsidRPr="00FC078E" w:rsidRDefault="0092569A"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Severity</w:t>
            </w:r>
          </w:p>
        </w:tc>
        <w:tc>
          <w:tcPr>
            <w:tcW w:w="6387" w:type="dxa"/>
            <w:gridSpan w:val="3"/>
            <w:tcBorders>
              <w:top w:val="single" w:sz="4" w:space="0" w:color="000000" w:themeColor="text1"/>
              <w:bottom w:val="single" w:sz="4" w:space="0" w:color="000000" w:themeColor="text1"/>
            </w:tcBorders>
            <w:shd w:val="clear" w:color="auto" w:fill="auto"/>
            <w:vAlign w:val="center"/>
          </w:tcPr>
          <w:p w14:paraId="33EF8E62" w14:textId="56FFFFA2" w:rsidR="0092569A" w:rsidRPr="00FC078E" w:rsidRDefault="0092569A"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Location</w:t>
            </w:r>
          </w:p>
        </w:tc>
      </w:tr>
      <w:tr w:rsidR="0092569A" w:rsidRPr="00FC078E" w14:paraId="4BBC9636" w14:textId="77777777" w:rsidTr="00DC461C">
        <w:trPr>
          <w:trHeight w:val="560"/>
        </w:trPr>
        <w:tc>
          <w:tcPr>
            <w:tcW w:w="2129" w:type="dxa"/>
            <w:vMerge/>
            <w:tcBorders>
              <w:top w:val="single" w:sz="4" w:space="0" w:color="000000" w:themeColor="text1"/>
              <w:bottom w:val="single" w:sz="4" w:space="0" w:color="000000" w:themeColor="text1"/>
            </w:tcBorders>
            <w:shd w:val="clear" w:color="auto" w:fill="auto"/>
            <w:vAlign w:val="center"/>
          </w:tcPr>
          <w:p w14:paraId="1BB50E04" w14:textId="00E6F921" w:rsidR="0092569A" w:rsidRPr="00FC078E" w:rsidRDefault="0092569A" w:rsidP="00FC078E">
            <w:pPr>
              <w:adjustRightInd w:val="0"/>
              <w:snapToGrid w:val="0"/>
              <w:spacing w:line="360" w:lineRule="auto"/>
              <w:jc w:val="both"/>
              <w:rPr>
                <w:rFonts w:ascii="Book Antiqua" w:hAnsi="Book Antiqua"/>
                <w:b/>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0BE7675A" w14:textId="77777777" w:rsidR="0092569A" w:rsidRPr="00FC078E" w:rsidRDefault="0092569A"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Antrum</w:t>
            </w:r>
          </w:p>
        </w:tc>
        <w:tc>
          <w:tcPr>
            <w:tcW w:w="2129" w:type="dxa"/>
            <w:tcBorders>
              <w:top w:val="single" w:sz="4" w:space="0" w:color="000000" w:themeColor="text1"/>
              <w:bottom w:val="single" w:sz="4" w:space="0" w:color="000000" w:themeColor="text1"/>
            </w:tcBorders>
            <w:shd w:val="clear" w:color="auto" w:fill="auto"/>
            <w:vAlign w:val="center"/>
          </w:tcPr>
          <w:p w14:paraId="4774AE81" w14:textId="77777777" w:rsidR="0092569A" w:rsidRPr="00FC078E" w:rsidRDefault="0092569A"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Corpus</w:t>
            </w:r>
          </w:p>
        </w:tc>
        <w:tc>
          <w:tcPr>
            <w:tcW w:w="2129" w:type="dxa"/>
            <w:tcBorders>
              <w:top w:val="single" w:sz="4" w:space="0" w:color="000000" w:themeColor="text1"/>
              <w:bottom w:val="single" w:sz="4" w:space="0" w:color="000000" w:themeColor="text1"/>
            </w:tcBorders>
            <w:shd w:val="clear" w:color="auto" w:fill="auto"/>
            <w:vAlign w:val="center"/>
          </w:tcPr>
          <w:p w14:paraId="6257574A" w14:textId="77777777" w:rsidR="0092569A" w:rsidRPr="00FC078E" w:rsidRDefault="0092569A"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Whole stomach</w:t>
            </w:r>
          </w:p>
        </w:tc>
      </w:tr>
      <w:tr w:rsidR="0092569A" w:rsidRPr="00FC078E" w14:paraId="7A2FC22C" w14:textId="77777777" w:rsidTr="00DC461C">
        <w:trPr>
          <w:trHeight w:val="560"/>
        </w:trPr>
        <w:tc>
          <w:tcPr>
            <w:tcW w:w="2129" w:type="dxa"/>
            <w:tcBorders>
              <w:top w:val="single" w:sz="4" w:space="0" w:color="000000" w:themeColor="text1"/>
            </w:tcBorders>
            <w:shd w:val="clear" w:color="auto" w:fill="auto"/>
            <w:vAlign w:val="center"/>
          </w:tcPr>
          <w:p w14:paraId="1CDB77C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No atrophy/IM</w:t>
            </w:r>
          </w:p>
        </w:tc>
        <w:tc>
          <w:tcPr>
            <w:tcW w:w="2129" w:type="dxa"/>
            <w:tcBorders>
              <w:top w:val="single" w:sz="4" w:space="0" w:color="000000" w:themeColor="text1"/>
            </w:tcBorders>
            <w:shd w:val="clear" w:color="auto" w:fill="auto"/>
            <w:vAlign w:val="center"/>
          </w:tcPr>
          <w:p w14:paraId="2A8EBED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(0)</w:t>
            </w:r>
          </w:p>
        </w:tc>
        <w:tc>
          <w:tcPr>
            <w:tcW w:w="2129" w:type="dxa"/>
            <w:tcBorders>
              <w:top w:val="single" w:sz="4" w:space="0" w:color="000000" w:themeColor="text1"/>
            </w:tcBorders>
            <w:shd w:val="clear" w:color="auto" w:fill="auto"/>
            <w:vAlign w:val="center"/>
          </w:tcPr>
          <w:p w14:paraId="413B5A9A"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(0)</w:t>
            </w:r>
          </w:p>
        </w:tc>
        <w:tc>
          <w:tcPr>
            <w:tcW w:w="2129" w:type="dxa"/>
            <w:tcBorders>
              <w:top w:val="single" w:sz="4" w:space="0" w:color="000000" w:themeColor="text1"/>
            </w:tcBorders>
            <w:shd w:val="clear" w:color="auto" w:fill="auto"/>
            <w:vAlign w:val="center"/>
          </w:tcPr>
          <w:p w14:paraId="1D0F976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(0)</w:t>
            </w:r>
          </w:p>
        </w:tc>
      </w:tr>
      <w:tr w:rsidR="0092569A" w:rsidRPr="00FC078E" w14:paraId="0DD231DB" w14:textId="77777777" w:rsidTr="00DC461C">
        <w:trPr>
          <w:trHeight w:val="560"/>
        </w:trPr>
        <w:tc>
          <w:tcPr>
            <w:tcW w:w="2129" w:type="dxa"/>
            <w:shd w:val="clear" w:color="auto" w:fill="auto"/>
            <w:vAlign w:val="center"/>
          </w:tcPr>
          <w:p w14:paraId="153912F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Mild atrophy/IM</w:t>
            </w:r>
          </w:p>
        </w:tc>
        <w:tc>
          <w:tcPr>
            <w:tcW w:w="2129" w:type="dxa"/>
            <w:shd w:val="clear" w:color="auto" w:fill="auto"/>
            <w:vAlign w:val="center"/>
          </w:tcPr>
          <w:p w14:paraId="49984BE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(I)</w:t>
            </w:r>
          </w:p>
        </w:tc>
        <w:tc>
          <w:tcPr>
            <w:tcW w:w="2129" w:type="dxa"/>
            <w:shd w:val="clear" w:color="auto" w:fill="auto"/>
            <w:vAlign w:val="center"/>
          </w:tcPr>
          <w:p w14:paraId="72A4475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(I)</w:t>
            </w:r>
          </w:p>
        </w:tc>
        <w:tc>
          <w:tcPr>
            <w:tcW w:w="2129" w:type="dxa"/>
            <w:shd w:val="clear" w:color="auto" w:fill="auto"/>
            <w:vAlign w:val="center"/>
          </w:tcPr>
          <w:p w14:paraId="2351A27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(I)</w:t>
            </w:r>
          </w:p>
        </w:tc>
      </w:tr>
      <w:tr w:rsidR="0092569A" w:rsidRPr="00FC078E" w14:paraId="5131DB92" w14:textId="77777777" w:rsidTr="00DC461C">
        <w:trPr>
          <w:trHeight w:val="560"/>
        </w:trPr>
        <w:tc>
          <w:tcPr>
            <w:tcW w:w="2129" w:type="dxa"/>
            <w:shd w:val="clear" w:color="auto" w:fill="auto"/>
            <w:vAlign w:val="center"/>
          </w:tcPr>
          <w:p w14:paraId="53CF5FB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Moderate atrophy/IM</w:t>
            </w:r>
          </w:p>
        </w:tc>
        <w:tc>
          <w:tcPr>
            <w:tcW w:w="2129" w:type="dxa"/>
            <w:shd w:val="clear" w:color="auto" w:fill="auto"/>
            <w:vAlign w:val="center"/>
          </w:tcPr>
          <w:p w14:paraId="5598FD4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(II)</w:t>
            </w:r>
          </w:p>
        </w:tc>
        <w:tc>
          <w:tcPr>
            <w:tcW w:w="2129" w:type="dxa"/>
            <w:shd w:val="clear" w:color="auto" w:fill="auto"/>
            <w:vAlign w:val="center"/>
          </w:tcPr>
          <w:p w14:paraId="69394CE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 (II)</w:t>
            </w:r>
          </w:p>
        </w:tc>
        <w:tc>
          <w:tcPr>
            <w:tcW w:w="2129" w:type="dxa"/>
            <w:shd w:val="clear" w:color="auto" w:fill="auto"/>
            <w:vAlign w:val="center"/>
          </w:tcPr>
          <w:p w14:paraId="564932E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 (II-III)</w:t>
            </w:r>
          </w:p>
        </w:tc>
      </w:tr>
      <w:tr w:rsidR="0092569A" w:rsidRPr="00FC078E" w14:paraId="650A222E" w14:textId="77777777" w:rsidTr="00DC461C">
        <w:trPr>
          <w:trHeight w:val="560"/>
        </w:trPr>
        <w:tc>
          <w:tcPr>
            <w:tcW w:w="2129" w:type="dxa"/>
            <w:shd w:val="clear" w:color="auto" w:fill="auto"/>
            <w:vAlign w:val="center"/>
          </w:tcPr>
          <w:p w14:paraId="00C1573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Marked atrophy/IM</w:t>
            </w:r>
          </w:p>
        </w:tc>
        <w:tc>
          <w:tcPr>
            <w:tcW w:w="2129" w:type="dxa"/>
            <w:shd w:val="clear" w:color="auto" w:fill="auto"/>
            <w:vAlign w:val="center"/>
          </w:tcPr>
          <w:p w14:paraId="143BB76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 (III)</w:t>
            </w:r>
          </w:p>
        </w:tc>
        <w:tc>
          <w:tcPr>
            <w:tcW w:w="2129" w:type="dxa"/>
            <w:shd w:val="clear" w:color="auto" w:fill="auto"/>
            <w:vAlign w:val="center"/>
          </w:tcPr>
          <w:p w14:paraId="51F74C1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 (II)</w:t>
            </w:r>
          </w:p>
        </w:tc>
        <w:tc>
          <w:tcPr>
            <w:tcW w:w="2129" w:type="dxa"/>
            <w:shd w:val="clear" w:color="auto" w:fill="auto"/>
            <w:vAlign w:val="center"/>
          </w:tcPr>
          <w:p w14:paraId="172E449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 (IV)</w:t>
            </w:r>
          </w:p>
        </w:tc>
      </w:tr>
    </w:tbl>
    <w:p w14:paraId="50CE29EF" w14:textId="0A0F3247" w:rsidR="00295F95" w:rsidRPr="00FC078E" w:rsidRDefault="0092569A" w:rsidP="00FC078E">
      <w:pPr>
        <w:adjustRightInd w:val="0"/>
        <w:snapToGrid w:val="0"/>
        <w:spacing w:line="360" w:lineRule="auto"/>
        <w:jc w:val="both"/>
        <w:rPr>
          <w:rFonts w:ascii="Book Antiqua" w:hAnsi="Book Antiqua"/>
          <w:color w:val="000000" w:themeColor="text1"/>
          <w:lang w:eastAsia="zh-CN"/>
        </w:rPr>
      </w:pPr>
      <w:r w:rsidRPr="00FC078E">
        <w:rPr>
          <w:rFonts w:ascii="Book Antiqua" w:hAnsi="Book Antiqua" w:cs="Times New Roman"/>
          <w:bCs/>
          <w:color w:val="000000" w:themeColor="text1"/>
          <w:lang w:val="en-US"/>
        </w:rPr>
        <w:t>No atrophy/</w:t>
      </w:r>
      <w:r w:rsidR="004A0AD4" w:rsidRPr="00FC078E">
        <w:rPr>
          <w:rStyle w:val="dxebaseoffice2010blue"/>
          <w:rFonts w:ascii="Book Antiqua" w:hAnsi="Book Antiqua"/>
          <w:color w:val="000000" w:themeColor="text1"/>
        </w:rPr>
        <w:t>intestinal metaplasia</w:t>
      </w:r>
      <w:r w:rsidR="004A0AD4" w:rsidRPr="00FC078E">
        <w:rPr>
          <w:rFonts w:ascii="Book Antiqua" w:hAnsi="Book Antiqua" w:cs="Times New Roman"/>
          <w:bCs/>
          <w:color w:val="000000" w:themeColor="text1"/>
          <w:lang w:val="en-US"/>
        </w:rPr>
        <w:t xml:space="preserve"> </w:t>
      </w:r>
      <w:r w:rsidRPr="00FC078E">
        <w:rPr>
          <w:rFonts w:ascii="Book Antiqua" w:hAnsi="Book Antiqua" w:cs="Times New Roman"/>
          <w:bCs/>
          <w:color w:val="000000" w:themeColor="text1"/>
          <w:lang w:val="en-US"/>
        </w:rPr>
        <w:t xml:space="preserve">includes biopsies with healthy mucosa or inflammation without atrophy. </w:t>
      </w:r>
      <w:r w:rsidR="004A0AD4" w:rsidRPr="00FC078E">
        <w:rPr>
          <w:rStyle w:val="dxebaseoffice2010blue"/>
          <w:rFonts w:ascii="Book Antiqua" w:hAnsi="Book Antiqua"/>
          <w:color w:val="000000" w:themeColor="text1"/>
        </w:rPr>
        <w:t>Operative link for gastritis assessment</w:t>
      </w:r>
      <w:r w:rsidRPr="00FC078E">
        <w:rPr>
          <w:rFonts w:ascii="Book Antiqua" w:hAnsi="Book Antiqua" w:cs="Times New Roman"/>
          <w:bCs/>
          <w:color w:val="000000" w:themeColor="text1"/>
          <w:lang w:val="en-US"/>
        </w:rPr>
        <w:t>/</w:t>
      </w:r>
      <w:r w:rsidR="004A0AD4" w:rsidRPr="00FC078E">
        <w:rPr>
          <w:rStyle w:val="dxebaseoffice2010blue"/>
          <w:rFonts w:ascii="Book Antiqua" w:hAnsi="Book Antiqua"/>
          <w:color w:val="000000" w:themeColor="text1"/>
        </w:rPr>
        <w:t>operative link on gastric intestinal metaplasia assessment</w:t>
      </w:r>
      <w:r w:rsidR="004A0AD4" w:rsidRPr="00FC078E">
        <w:rPr>
          <w:rFonts w:ascii="Book Antiqua" w:hAnsi="Book Antiqua" w:cs="Times New Roman"/>
          <w:bCs/>
          <w:color w:val="000000" w:themeColor="text1"/>
          <w:lang w:val="en-US"/>
        </w:rPr>
        <w:t xml:space="preserve"> </w:t>
      </w:r>
      <w:r w:rsidRPr="00FC078E">
        <w:rPr>
          <w:rFonts w:ascii="Book Antiqua" w:hAnsi="Book Antiqua" w:cs="Times New Roman"/>
          <w:bCs/>
          <w:color w:val="000000" w:themeColor="text1"/>
          <w:lang w:val="en-US"/>
        </w:rPr>
        <w:t>stage in parenthesis.</w:t>
      </w:r>
      <w:r w:rsidR="004A0AD4" w:rsidRPr="00FC078E">
        <w:rPr>
          <w:rFonts w:ascii="Book Antiqua" w:hAnsi="Book Antiqua" w:cs="Times New Roman"/>
          <w:bCs/>
          <w:color w:val="000000" w:themeColor="text1"/>
          <w:lang w:val="en-US" w:eastAsia="zh-CN"/>
        </w:rPr>
        <w:t xml:space="preserve"> IM:</w:t>
      </w:r>
      <w:r w:rsidR="004A0AD4" w:rsidRPr="00FC078E">
        <w:rPr>
          <w:rStyle w:val="dxebaseoffice2010blue"/>
          <w:rFonts w:ascii="Book Antiqua" w:hAnsi="Book Antiqua"/>
          <w:color w:val="000000" w:themeColor="text1"/>
        </w:rPr>
        <w:t xml:space="preserve"> Intestinal metaplasia</w:t>
      </w:r>
      <w:r w:rsidR="004A0AD4" w:rsidRPr="00FC078E">
        <w:rPr>
          <w:rStyle w:val="dxebaseoffice2010blue"/>
          <w:rFonts w:ascii="Book Antiqua" w:hAnsi="Book Antiqua"/>
          <w:color w:val="000000" w:themeColor="text1"/>
          <w:lang w:eastAsia="zh-CN"/>
        </w:rPr>
        <w:t>.</w:t>
      </w:r>
    </w:p>
    <w:p w14:paraId="1A8447FD" w14:textId="77777777" w:rsidR="00DC461C" w:rsidRPr="00FC078E" w:rsidRDefault="00DC461C"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br w:type="page"/>
      </w:r>
    </w:p>
    <w:p w14:paraId="165A426C" w14:textId="61842BAE"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Table 3</w:t>
      </w:r>
      <w:r w:rsidR="00C97676" w:rsidRPr="00FC078E">
        <w:rPr>
          <w:rFonts w:ascii="Book Antiqua" w:hAnsi="Book Antiqua" w:cs="Times New Roman"/>
          <w:b/>
          <w:bCs/>
          <w:color w:val="000000" w:themeColor="text1"/>
          <w:lang w:val="en-US"/>
        </w:rPr>
        <w:t xml:space="preserve"> </w:t>
      </w:r>
      <w:r w:rsidR="00C97676" w:rsidRPr="00FC078E">
        <w:rPr>
          <w:rStyle w:val="dxebaseoffice2010blue"/>
          <w:rFonts w:ascii="Book Antiqua" w:hAnsi="Book Antiqua"/>
          <w:b/>
          <w:color w:val="000000" w:themeColor="text1"/>
        </w:rPr>
        <w:t>Operative link for gastritis assessment</w:t>
      </w:r>
      <w:r w:rsidR="00C97676" w:rsidRPr="00FC078E">
        <w:rPr>
          <w:rFonts w:ascii="Book Antiqua" w:hAnsi="Book Antiqua" w:cs="Times New Roman"/>
          <w:b/>
          <w:bCs/>
          <w:color w:val="000000" w:themeColor="text1"/>
          <w:lang w:val="en-US"/>
        </w:rPr>
        <w:t xml:space="preserve"> staging</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675"/>
        <w:gridCol w:w="1651"/>
        <w:gridCol w:w="1637"/>
        <w:gridCol w:w="1677"/>
        <w:gridCol w:w="1660"/>
      </w:tblGrid>
      <w:tr w:rsidR="00C97676" w:rsidRPr="00FC078E" w14:paraId="48196795" w14:textId="77777777" w:rsidTr="00567CB1">
        <w:trPr>
          <w:trHeight w:val="427"/>
        </w:trPr>
        <w:tc>
          <w:tcPr>
            <w:tcW w:w="1703" w:type="dxa"/>
            <w:vMerge w:val="restart"/>
            <w:tcBorders>
              <w:top w:val="single" w:sz="4" w:space="0" w:color="auto"/>
              <w:bottom w:val="single" w:sz="4" w:space="0" w:color="auto"/>
            </w:tcBorders>
            <w:shd w:val="clear" w:color="auto" w:fill="auto"/>
          </w:tcPr>
          <w:p w14:paraId="1FB2DDD6" w14:textId="77777777" w:rsidR="00C97676" w:rsidRPr="00FC078E" w:rsidRDefault="00C97676" w:rsidP="00FC078E">
            <w:pPr>
              <w:adjustRightInd w:val="0"/>
              <w:snapToGrid w:val="0"/>
              <w:spacing w:line="360" w:lineRule="auto"/>
              <w:jc w:val="both"/>
              <w:rPr>
                <w:rFonts w:ascii="Book Antiqua" w:hAnsi="Book Antiqua"/>
                <w:b/>
                <w:color w:val="000000" w:themeColor="text1"/>
                <w:lang w:val="en-US"/>
              </w:rPr>
            </w:pPr>
          </w:p>
        </w:tc>
        <w:tc>
          <w:tcPr>
            <w:tcW w:w="6813" w:type="dxa"/>
            <w:gridSpan w:val="4"/>
            <w:tcBorders>
              <w:top w:val="single" w:sz="4" w:space="0" w:color="auto"/>
              <w:bottom w:val="single" w:sz="4" w:space="0" w:color="auto"/>
            </w:tcBorders>
            <w:shd w:val="clear" w:color="auto" w:fill="auto"/>
          </w:tcPr>
          <w:p w14:paraId="0119713A" w14:textId="0C69965E" w:rsidR="00C97676" w:rsidRPr="00FC078E" w:rsidRDefault="00C97676" w:rsidP="00FC078E">
            <w:pPr>
              <w:adjustRightInd w:val="0"/>
              <w:snapToGrid w:val="0"/>
              <w:spacing w:line="360" w:lineRule="auto"/>
              <w:jc w:val="both"/>
              <w:rPr>
                <w:rFonts w:ascii="Book Antiqua" w:hAnsi="Book Antiqua"/>
                <w:b/>
                <w:color w:val="000000" w:themeColor="text1"/>
                <w:lang w:eastAsia="zh-CN"/>
              </w:rPr>
            </w:pPr>
            <w:r w:rsidRPr="00FC078E">
              <w:rPr>
                <w:rFonts w:ascii="Book Antiqua" w:hAnsi="Book Antiqua"/>
                <w:b/>
                <w:color w:val="000000" w:themeColor="text1"/>
              </w:rPr>
              <w:t>Corpus</w:t>
            </w:r>
          </w:p>
        </w:tc>
      </w:tr>
      <w:tr w:rsidR="00C97676" w:rsidRPr="00FC078E" w14:paraId="025D36FE" w14:textId="77777777" w:rsidTr="00567CB1">
        <w:trPr>
          <w:trHeight w:val="866"/>
        </w:trPr>
        <w:tc>
          <w:tcPr>
            <w:tcW w:w="1703" w:type="dxa"/>
            <w:vMerge/>
            <w:tcBorders>
              <w:top w:val="single" w:sz="4" w:space="0" w:color="auto"/>
              <w:bottom w:val="single" w:sz="4" w:space="0" w:color="auto"/>
            </w:tcBorders>
            <w:shd w:val="clear" w:color="auto" w:fill="auto"/>
          </w:tcPr>
          <w:p w14:paraId="7821A2E4" w14:textId="77777777" w:rsidR="00C97676" w:rsidRPr="00FC078E" w:rsidRDefault="00C97676" w:rsidP="00FC078E">
            <w:pPr>
              <w:adjustRightInd w:val="0"/>
              <w:snapToGrid w:val="0"/>
              <w:spacing w:line="360" w:lineRule="auto"/>
              <w:jc w:val="both"/>
              <w:rPr>
                <w:rFonts w:ascii="Book Antiqua" w:hAnsi="Book Antiqua"/>
                <w:b/>
                <w:color w:val="000000" w:themeColor="text1"/>
                <w:lang w:val="en-US"/>
              </w:rPr>
            </w:pPr>
          </w:p>
        </w:tc>
        <w:tc>
          <w:tcPr>
            <w:tcW w:w="1703" w:type="dxa"/>
            <w:tcBorders>
              <w:top w:val="single" w:sz="4" w:space="0" w:color="auto"/>
              <w:bottom w:val="single" w:sz="4" w:space="0" w:color="auto"/>
            </w:tcBorders>
            <w:shd w:val="clear" w:color="auto" w:fill="auto"/>
          </w:tcPr>
          <w:p w14:paraId="3D72FAFE" w14:textId="472275AB" w:rsidR="00C97676" w:rsidRPr="00FC078E" w:rsidRDefault="00C97676"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0</w:t>
            </w:r>
            <w:r w:rsidRPr="00FC078E">
              <w:rPr>
                <w:rFonts w:ascii="Book Antiqua" w:hAnsi="Book Antiqua"/>
                <w:b/>
                <w:color w:val="000000" w:themeColor="text1"/>
                <w:lang w:eastAsia="zh-CN"/>
              </w:rPr>
              <w:t xml:space="preserve"> </w:t>
            </w:r>
            <w:r w:rsidRPr="00FC078E">
              <w:rPr>
                <w:rFonts w:ascii="Book Antiqua" w:hAnsi="Book Antiqua"/>
                <w:b/>
                <w:color w:val="000000" w:themeColor="text1"/>
              </w:rPr>
              <w:t>(</w:t>
            </w:r>
            <w:r w:rsidR="0073262B" w:rsidRPr="00FC078E">
              <w:rPr>
                <w:rFonts w:ascii="Book Antiqua" w:hAnsi="Book Antiqua"/>
                <w:b/>
                <w:color w:val="000000" w:themeColor="text1"/>
              </w:rPr>
              <w:t xml:space="preserve">No </w:t>
            </w:r>
            <w:r w:rsidRPr="00FC078E">
              <w:rPr>
                <w:rFonts w:ascii="Book Antiqua" w:hAnsi="Book Antiqua"/>
                <w:b/>
                <w:color w:val="000000" w:themeColor="text1"/>
              </w:rPr>
              <w:t>atrophy)</w:t>
            </w:r>
          </w:p>
        </w:tc>
        <w:tc>
          <w:tcPr>
            <w:tcW w:w="1703" w:type="dxa"/>
            <w:tcBorders>
              <w:top w:val="single" w:sz="4" w:space="0" w:color="auto"/>
              <w:bottom w:val="single" w:sz="4" w:space="0" w:color="auto"/>
            </w:tcBorders>
            <w:shd w:val="clear" w:color="auto" w:fill="auto"/>
          </w:tcPr>
          <w:p w14:paraId="7F13A6FB" w14:textId="42AD6B42" w:rsidR="00C97676" w:rsidRPr="00FC078E" w:rsidRDefault="00C97676"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1 (</w:t>
            </w:r>
            <w:r w:rsidR="0073262B" w:rsidRPr="00FC078E">
              <w:rPr>
                <w:rFonts w:ascii="Book Antiqua" w:hAnsi="Book Antiqua"/>
                <w:b/>
                <w:color w:val="000000" w:themeColor="text1"/>
              </w:rPr>
              <w:t>Mild</w:t>
            </w:r>
            <w:r w:rsidRPr="00FC078E">
              <w:rPr>
                <w:rFonts w:ascii="Book Antiqua" w:hAnsi="Book Antiqua"/>
                <w:b/>
                <w:color w:val="000000" w:themeColor="text1"/>
              </w:rPr>
              <w:t>)</w:t>
            </w:r>
          </w:p>
        </w:tc>
        <w:tc>
          <w:tcPr>
            <w:tcW w:w="1703" w:type="dxa"/>
            <w:tcBorders>
              <w:top w:val="single" w:sz="4" w:space="0" w:color="auto"/>
              <w:bottom w:val="single" w:sz="4" w:space="0" w:color="auto"/>
            </w:tcBorders>
            <w:shd w:val="clear" w:color="auto" w:fill="auto"/>
          </w:tcPr>
          <w:p w14:paraId="2FF9DAAE" w14:textId="069F9264" w:rsidR="00C97676" w:rsidRPr="00FC078E" w:rsidRDefault="00C97676"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2 (</w:t>
            </w:r>
            <w:r w:rsidR="0073262B" w:rsidRPr="00FC078E">
              <w:rPr>
                <w:rFonts w:ascii="Book Antiqua" w:hAnsi="Book Antiqua"/>
                <w:b/>
                <w:color w:val="000000" w:themeColor="text1"/>
              </w:rPr>
              <w:t>Moderate</w:t>
            </w:r>
            <w:r w:rsidRPr="00FC078E">
              <w:rPr>
                <w:rFonts w:ascii="Book Antiqua" w:hAnsi="Book Antiqua"/>
                <w:b/>
                <w:color w:val="000000" w:themeColor="text1"/>
              </w:rPr>
              <w:t>)</w:t>
            </w:r>
          </w:p>
        </w:tc>
        <w:tc>
          <w:tcPr>
            <w:tcW w:w="1704" w:type="dxa"/>
            <w:tcBorders>
              <w:top w:val="single" w:sz="4" w:space="0" w:color="auto"/>
              <w:bottom w:val="single" w:sz="4" w:space="0" w:color="auto"/>
            </w:tcBorders>
            <w:shd w:val="clear" w:color="auto" w:fill="auto"/>
          </w:tcPr>
          <w:p w14:paraId="1F47037B" w14:textId="7F9E4D22" w:rsidR="00C97676" w:rsidRPr="00FC078E" w:rsidRDefault="00C97676"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3 (</w:t>
            </w:r>
            <w:r w:rsidR="0073262B" w:rsidRPr="00FC078E">
              <w:rPr>
                <w:rFonts w:ascii="Book Antiqua" w:hAnsi="Book Antiqua"/>
                <w:b/>
                <w:color w:val="000000" w:themeColor="text1"/>
              </w:rPr>
              <w:t>Marked</w:t>
            </w:r>
            <w:r w:rsidRPr="00FC078E">
              <w:rPr>
                <w:rFonts w:ascii="Book Antiqua" w:hAnsi="Book Antiqua"/>
                <w:b/>
                <w:color w:val="000000" w:themeColor="text1"/>
              </w:rPr>
              <w:t>)</w:t>
            </w:r>
          </w:p>
        </w:tc>
      </w:tr>
      <w:tr w:rsidR="007B44BC" w:rsidRPr="00FC078E" w14:paraId="1609D7CE" w14:textId="77777777" w:rsidTr="00567CB1">
        <w:trPr>
          <w:trHeight w:val="733"/>
        </w:trPr>
        <w:tc>
          <w:tcPr>
            <w:tcW w:w="1703" w:type="dxa"/>
            <w:tcBorders>
              <w:top w:val="single" w:sz="4" w:space="0" w:color="auto"/>
            </w:tcBorders>
            <w:shd w:val="clear" w:color="auto" w:fill="auto"/>
          </w:tcPr>
          <w:p w14:paraId="11A78AB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638217CD" w14:textId="2F9D8393"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 (</w:t>
            </w:r>
            <w:r w:rsidR="0073262B" w:rsidRPr="00FC078E">
              <w:rPr>
                <w:rFonts w:ascii="Book Antiqua" w:hAnsi="Book Antiqua"/>
                <w:color w:val="000000" w:themeColor="text1"/>
              </w:rPr>
              <w:t xml:space="preserve">No </w:t>
            </w:r>
            <w:r w:rsidRPr="00FC078E">
              <w:rPr>
                <w:rFonts w:ascii="Book Antiqua" w:hAnsi="Book Antiqua"/>
                <w:color w:val="000000" w:themeColor="text1"/>
              </w:rPr>
              <w:t>atrophy)</w:t>
            </w:r>
          </w:p>
        </w:tc>
        <w:tc>
          <w:tcPr>
            <w:tcW w:w="1703" w:type="dxa"/>
            <w:tcBorders>
              <w:top w:val="single" w:sz="4" w:space="0" w:color="auto"/>
            </w:tcBorders>
            <w:shd w:val="clear" w:color="auto" w:fill="auto"/>
          </w:tcPr>
          <w:p w14:paraId="10D7F49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 (1/103)</w:t>
            </w:r>
          </w:p>
        </w:tc>
        <w:tc>
          <w:tcPr>
            <w:tcW w:w="1703" w:type="dxa"/>
            <w:tcBorders>
              <w:top w:val="single" w:sz="4" w:space="0" w:color="auto"/>
            </w:tcBorders>
            <w:shd w:val="clear" w:color="auto" w:fill="auto"/>
          </w:tcPr>
          <w:p w14:paraId="47CEBB3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(3/116)</w:t>
            </w:r>
          </w:p>
        </w:tc>
        <w:tc>
          <w:tcPr>
            <w:tcW w:w="1703" w:type="dxa"/>
            <w:tcBorders>
              <w:top w:val="single" w:sz="4" w:space="0" w:color="auto"/>
            </w:tcBorders>
            <w:shd w:val="clear" w:color="auto" w:fill="auto"/>
          </w:tcPr>
          <w:p w14:paraId="60F0101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(7/395)</w:t>
            </w:r>
          </w:p>
        </w:tc>
        <w:tc>
          <w:tcPr>
            <w:tcW w:w="1704" w:type="dxa"/>
            <w:tcBorders>
              <w:top w:val="single" w:sz="4" w:space="0" w:color="auto"/>
            </w:tcBorders>
            <w:shd w:val="clear" w:color="auto" w:fill="auto"/>
          </w:tcPr>
          <w:p w14:paraId="74A5C1D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(8/259)</w:t>
            </w:r>
          </w:p>
        </w:tc>
      </w:tr>
      <w:tr w:rsidR="007B44BC" w:rsidRPr="00FC078E" w14:paraId="0B586FE5" w14:textId="77777777" w:rsidTr="00567CB1">
        <w:trPr>
          <w:trHeight w:val="733"/>
        </w:trPr>
        <w:tc>
          <w:tcPr>
            <w:tcW w:w="1703" w:type="dxa"/>
            <w:shd w:val="clear" w:color="auto" w:fill="auto"/>
          </w:tcPr>
          <w:p w14:paraId="12A8C1F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6F27040A" w14:textId="0D3757F3"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 (</w:t>
            </w:r>
            <w:r w:rsidR="0073262B" w:rsidRPr="00FC078E">
              <w:rPr>
                <w:rFonts w:ascii="Book Antiqua" w:hAnsi="Book Antiqua"/>
                <w:color w:val="000000" w:themeColor="text1"/>
              </w:rPr>
              <w:t>Mild</w:t>
            </w:r>
            <w:r w:rsidRPr="00FC078E">
              <w:rPr>
                <w:rFonts w:ascii="Book Antiqua" w:hAnsi="Book Antiqua"/>
                <w:color w:val="000000" w:themeColor="text1"/>
              </w:rPr>
              <w:t>)</w:t>
            </w:r>
          </w:p>
        </w:tc>
        <w:tc>
          <w:tcPr>
            <w:tcW w:w="1703" w:type="dxa"/>
            <w:shd w:val="clear" w:color="auto" w:fill="auto"/>
          </w:tcPr>
          <w:p w14:paraId="46D2DA8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(0/5)</w:t>
            </w:r>
          </w:p>
        </w:tc>
        <w:tc>
          <w:tcPr>
            <w:tcW w:w="1703" w:type="dxa"/>
            <w:shd w:val="clear" w:color="auto" w:fill="auto"/>
          </w:tcPr>
          <w:p w14:paraId="2215963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(0/15)</w:t>
            </w:r>
          </w:p>
        </w:tc>
        <w:tc>
          <w:tcPr>
            <w:tcW w:w="1703" w:type="dxa"/>
            <w:shd w:val="clear" w:color="auto" w:fill="auto"/>
          </w:tcPr>
          <w:p w14:paraId="31300EBA"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(3/60)</w:t>
            </w:r>
          </w:p>
        </w:tc>
        <w:tc>
          <w:tcPr>
            <w:tcW w:w="1704" w:type="dxa"/>
            <w:shd w:val="clear" w:color="auto" w:fill="auto"/>
          </w:tcPr>
          <w:p w14:paraId="1BB1B42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(0/26)</w:t>
            </w:r>
          </w:p>
        </w:tc>
      </w:tr>
      <w:tr w:rsidR="007B44BC" w:rsidRPr="00FC078E" w14:paraId="11955F41" w14:textId="77777777" w:rsidTr="00567CB1">
        <w:trPr>
          <w:trHeight w:val="733"/>
        </w:trPr>
        <w:tc>
          <w:tcPr>
            <w:tcW w:w="1703" w:type="dxa"/>
            <w:shd w:val="clear" w:color="auto" w:fill="auto"/>
          </w:tcPr>
          <w:p w14:paraId="5AC95B1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79B946D7" w14:textId="6B95EEEE"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 (</w:t>
            </w:r>
            <w:r w:rsidR="0073262B" w:rsidRPr="00FC078E">
              <w:rPr>
                <w:rFonts w:ascii="Book Antiqua" w:hAnsi="Book Antiqua"/>
                <w:color w:val="000000" w:themeColor="text1"/>
              </w:rPr>
              <w:t>Moderate</w:t>
            </w:r>
            <w:r w:rsidRPr="00FC078E">
              <w:rPr>
                <w:rFonts w:ascii="Book Antiqua" w:hAnsi="Book Antiqua"/>
                <w:color w:val="000000" w:themeColor="text1"/>
              </w:rPr>
              <w:t>)</w:t>
            </w:r>
          </w:p>
        </w:tc>
        <w:tc>
          <w:tcPr>
            <w:tcW w:w="1703" w:type="dxa"/>
            <w:shd w:val="clear" w:color="auto" w:fill="auto"/>
          </w:tcPr>
          <w:p w14:paraId="53DFA81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(0/4)</w:t>
            </w:r>
          </w:p>
        </w:tc>
        <w:tc>
          <w:tcPr>
            <w:tcW w:w="1703" w:type="dxa"/>
            <w:shd w:val="clear" w:color="auto" w:fill="auto"/>
          </w:tcPr>
          <w:p w14:paraId="4640F35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(0/6)</w:t>
            </w:r>
          </w:p>
        </w:tc>
        <w:tc>
          <w:tcPr>
            <w:tcW w:w="1703" w:type="dxa"/>
            <w:shd w:val="clear" w:color="auto" w:fill="auto"/>
          </w:tcPr>
          <w:p w14:paraId="44C4412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(1/32)</w:t>
            </w:r>
          </w:p>
        </w:tc>
        <w:tc>
          <w:tcPr>
            <w:tcW w:w="1704" w:type="dxa"/>
            <w:shd w:val="clear" w:color="auto" w:fill="auto"/>
          </w:tcPr>
          <w:p w14:paraId="380421E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(1/26)</w:t>
            </w:r>
          </w:p>
        </w:tc>
      </w:tr>
      <w:tr w:rsidR="007B44BC" w:rsidRPr="00FC078E" w14:paraId="36A7C264" w14:textId="77777777" w:rsidTr="00567CB1">
        <w:trPr>
          <w:trHeight w:val="734"/>
        </w:trPr>
        <w:tc>
          <w:tcPr>
            <w:tcW w:w="1703" w:type="dxa"/>
            <w:shd w:val="clear" w:color="auto" w:fill="auto"/>
          </w:tcPr>
          <w:p w14:paraId="2A740D4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412DBC93" w14:textId="6C703A1D"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 (</w:t>
            </w:r>
            <w:r w:rsidR="0073262B" w:rsidRPr="00FC078E">
              <w:rPr>
                <w:rFonts w:ascii="Book Antiqua" w:hAnsi="Book Antiqua"/>
                <w:color w:val="000000" w:themeColor="text1"/>
              </w:rPr>
              <w:t>Marked</w:t>
            </w:r>
            <w:r w:rsidRPr="00FC078E">
              <w:rPr>
                <w:rFonts w:ascii="Book Antiqua" w:hAnsi="Book Antiqua"/>
                <w:color w:val="000000" w:themeColor="text1"/>
              </w:rPr>
              <w:t>)</w:t>
            </w:r>
          </w:p>
        </w:tc>
        <w:tc>
          <w:tcPr>
            <w:tcW w:w="1703" w:type="dxa"/>
            <w:shd w:val="clear" w:color="auto" w:fill="auto"/>
          </w:tcPr>
          <w:p w14:paraId="12A8293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(0/0)</w:t>
            </w:r>
          </w:p>
        </w:tc>
        <w:tc>
          <w:tcPr>
            <w:tcW w:w="1703" w:type="dxa"/>
            <w:shd w:val="clear" w:color="auto" w:fill="auto"/>
          </w:tcPr>
          <w:p w14:paraId="58413C2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(0/7)</w:t>
            </w:r>
          </w:p>
        </w:tc>
        <w:tc>
          <w:tcPr>
            <w:tcW w:w="1703" w:type="dxa"/>
            <w:shd w:val="clear" w:color="auto" w:fill="auto"/>
          </w:tcPr>
          <w:p w14:paraId="59AE827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(2/41)</w:t>
            </w:r>
          </w:p>
        </w:tc>
        <w:tc>
          <w:tcPr>
            <w:tcW w:w="1704" w:type="dxa"/>
            <w:shd w:val="clear" w:color="auto" w:fill="auto"/>
          </w:tcPr>
          <w:p w14:paraId="16CFA2D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(2/42)</w:t>
            </w:r>
          </w:p>
        </w:tc>
      </w:tr>
    </w:tbl>
    <w:p w14:paraId="509DA8C3" w14:textId="77777777" w:rsidR="00C97676" w:rsidRPr="00FC078E" w:rsidRDefault="00C97676" w:rsidP="00FC078E">
      <w:pPr>
        <w:adjustRightInd w:val="0"/>
        <w:snapToGrid w:val="0"/>
        <w:spacing w:line="360" w:lineRule="auto"/>
        <w:jc w:val="both"/>
        <w:rPr>
          <w:rFonts w:ascii="Book Antiqua" w:hAnsi="Book Antiqua" w:cs="Times New Roman"/>
          <w:bCs/>
          <w:color w:val="000000" w:themeColor="text1"/>
          <w:lang w:val="en-US"/>
        </w:rPr>
      </w:pPr>
      <w:r w:rsidRPr="00FC078E">
        <w:rPr>
          <w:rFonts w:ascii="Book Antiqua" w:hAnsi="Book Antiqua" w:cs="Times New Roman"/>
          <w:bCs/>
          <w:color w:val="000000" w:themeColor="text1"/>
          <w:lang w:val="en-US"/>
        </w:rPr>
        <w:t xml:space="preserve">Distribution of diagnosed gastric cancer cases and </w:t>
      </w:r>
      <w:proofErr w:type="gramStart"/>
      <w:r w:rsidRPr="00FC078E">
        <w:rPr>
          <w:rFonts w:ascii="Book Antiqua" w:hAnsi="Book Antiqua" w:cs="Times New Roman"/>
          <w:bCs/>
          <w:color w:val="000000" w:themeColor="text1"/>
          <w:lang w:val="en-US"/>
        </w:rPr>
        <w:t>amount</w:t>
      </w:r>
      <w:proofErr w:type="gramEnd"/>
      <w:r w:rsidRPr="00FC078E">
        <w:rPr>
          <w:rFonts w:ascii="Book Antiqua" w:hAnsi="Book Antiqua" w:cs="Times New Roman"/>
          <w:bCs/>
          <w:color w:val="000000" w:themeColor="text1"/>
          <w:lang w:val="en-US"/>
        </w:rPr>
        <w:t xml:space="preserve"> of participants in parenthesis.</w:t>
      </w:r>
    </w:p>
    <w:p w14:paraId="6F5E6BC9" w14:textId="77777777" w:rsidR="00567CB1" w:rsidRPr="00FC078E" w:rsidRDefault="00567CB1"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lang w:val="en-US" w:eastAsia="zh-CN"/>
        </w:rPr>
        <w:br w:type="page"/>
      </w:r>
    </w:p>
    <w:p w14:paraId="04C61D82" w14:textId="21F123AD"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 xml:space="preserve">Table 4 </w:t>
      </w:r>
      <w:r w:rsidR="00567CB1" w:rsidRPr="00FC078E">
        <w:rPr>
          <w:rStyle w:val="dxebaseoffice2010blue"/>
          <w:rFonts w:ascii="Book Antiqua" w:hAnsi="Book Antiqua"/>
          <w:b/>
          <w:color w:val="000000" w:themeColor="text1"/>
        </w:rPr>
        <w:t>Operative link for gastritis assessment</w:t>
      </w:r>
      <w:r w:rsidRPr="00FC078E">
        <w:rPr>
          <w:rFonts w:ascii="Book Antiqua" w:hAnsi="Book Antiqua" w:cs="Times New Roman"/>
          <w:b/>
          <w:bCs/>
          <w:color w:val="000000" w:themeColor="text1"/>
          <w:lang w:val="en-US"/>
        </w:rPr>
        <w:t xml:space="preserve">, </w:t>
      </w:r>
      <w:r w:rsidR="00567CB1" w:rsidRPr="00FC078E">
        <w:rPr>
          <w:rStyle w:val="dxebaseoffice2010blue"/>
          <w:rFonts w:ascii="Book Antiqua" w:hAnsi="Book Antiqua"/>
          <w:b/>
          <w:color w:val="000000" w:themeColor="text1"/>
        </w:rPr>
        <w:t>operative link on gastric intestinal metaplasia assessment</w:t>
      </w:r>
      <w:r w:rsidRPr="00FC078E">
        <w:rPr>
          <w:rFonts w:ascii="Book Antiqua" w:hAnsi="Book Antiqua" w:cs="Times New Roman"/>
          <w:b/>
          <w:bCs/>
          <w:color w:val="000000" w:themeColor="text1"/>
          <w:lang w:val="en-US"/>
        </w:rPr>
        <w:t xml:space="preserve">, and TAIM </w:t>
      </w:r>
      <w:proofErr w:type="spellStart"/>
      <w:r w:rsidRPr="00FC078E">
        <w:rPr>
          <w:rFonts w:ascii="Book Antiqua" w:hAnsi="Book Antiqua" w:cs="Times New Roman"/>
          <w:b/>
          <w:bCs/>
          <w:color w:val="000000" w:themeColor="text1"/>
          <w:lang w:val="en-US"/>
        </w:rPr>
        <w:t>s</w:t>
      </w:r>
      <w:r w:rsidR="00567CB1" w:rsidRPr="00FC078E">
        <w:rPr>
          <w:rFonts w:ascii="Book Antiqua" w:hAnsi="Book Antiqua" w:cs="Times New Roman"/>
          <w:b/>
          <w:bCs/>
          <w:color w:val="000000" w:themeColor="text1"/>
          <w:lang w:val="en-US"/>
        </w:rPr>
        <w:t>tagings</w:t>
      </w:r>
      <w:proofErr w:type="spellEnd"/>
      <w:r w:rsidR="00567CB1" w:rsidRPr="00FC078E">
        <w:rPr>
          <w:rFonts w:ascii="Book Antiqua" w:hAnsi="Book Antiqua" w:cs="Times New Roman"/>
          <w:b/>
          <w:bCs/>
          <w:color w:val="000000" w:themeColor="text1"/>
          <w:lang w:val="en-US"/>
        </w:rPr>
        <w:t xml:space="preserve"> and gastric cancer risk</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253"/>
        <w:gridCol w:w="1015"/>
        <w:gridCol w:w="1134"/>
        <w:gridCol w:w="1317"/>
        <w:gridCol w:w="1167"/>
        <w:gridCol w:w="1207"/>
        <w:gridCol w:w="1207"/>
      </w:tblGrid>
      <w:tr w:rsidR="007B44BC" w:rsidRPr="00FC078E" w14:paraId="4E930321" w14:textId="77777777" w:rsidTr="0073262B">
        <w:tc>
          <w:tcPr>
            <w:tcW w:w="1253" w:type="dxa"/>
            <w:tcBorders>
              <w:top w:val="single" w:sz="4" w:space="0" w:color="auto"/>
              <w:bottom w:val="single" w:sz="4" w:space="0" w:color="auto"/>
            </w:tcBorders>
            <w:vAlign w:val="center"/>
          </w:tcPr>
          <w:p w14:paraId="3F66B66E" w14:textId="5372F9D2" w:rsidR="00295F95" w:rsidRPr="00FC078E" w:rsidRDefault="00295F95" w:rsidP="00FC078E">
            <w:pPr>
              <w:adjustRightInd w:val="0"/>
              <w:snapToGrid w:val="0"/>
              <w:spacing w:line="360" w:lineRule="auto"/>
              <w:jc w:val="both"/>
              <w:rPr>
                <w:rFonts w:ascii="Book Antiqua" w:hAnsi="Book Antiqua"/>
                <w:b/>
                <w:color w:val="000000" w:themeColor="text1"/>
              </w:rPr>
            </w:pPr>
          </w:p>
        </w:tc>
        <w:tc>
          <w:tcPr>
            <w:tcW w:w="1015" w:type="dxa"/>
            <w:tcBorders>
              <w:top w:val="single" w:sz="4" w:space="0" w:color="auto"/>
              <w:bottom w:val="single" w:sz="4" w:space="0" w:color="auto"/>
            </w:tcBorders>
            <w:vAlign w:val="center"/>
          </w:tcPr>
          <w:p w14:paraId="62716842" w14:textId="35BF3EA6" w:rsidR="00295F95" w:rsidRPr="00FC078E" w:rsidRDefault="008E355E" w:rsidP="00FC078E">
            <w:pPr>
              <w:adjustRightInd w:val="0"/>
              <w:snapToGrid w:val="0"/>
              <w:spacing w:line="360" w:lineRule="auto"/>
              <w:jc w:val="both"/>
              <w:rPr>
                <w:rFonts w:ascii="Book Antiqua" w:hAnsi="Book Antiqua"/>
                <w:b/>
                <w:i/>
                <w:color w:val="000000" w:themeColor="text1"/>
              </w:rPr>
            </w:pPr>
            <w:r w:rsidRPr="00FC078E">
              <w:rPr>
                <w:rFonts w:ascii="Book Antiqua" w:hAnsi="Book Antiqua"/>
                <w:b/>
                <w:i/>
                <w:color w:val="000000" w:themeColor="text1"/>
              </w:rPr>
              <w:t>n</w:t>
            </w:r>
          </w:p>
        </w:tc>
        <w:tc>
          <w:tcPr>
            <w:tcW w:w="1134" w:type="dxa"/>
            <w:tcBorders>
              <w:top w:val="single" w:sz="4" w:space="0" w:color="auto"/>
              <w:bottom w:val="single" w:sz="4" w:space="0" w:color="auto"/>
            </w:tcBorders>
            <w:vAlign w:val="center"/>
          </w:tcPr>
          <w:p w14:paraId="33B9A510"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Gastric cancers</w:t>
            </w:r>
          </w:p>
        </w:tc>
        <w:tc>
          <w:tcPr>
            <w:tcW w:w="1317" w:type="dxa"/>
            <w:tcBorders>
              <w:top w:val="single" w:sz="4" w:space="0" w:color="auto"/>
              <w:bottom w:val="single" w:sz="4" w:space="0" w:color="auto"/>
            </w:tcBorders>
          </w:tcPr>
          <w:p w14:paraId="73FE1EAA"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i/>
                <w:iCs/>
                <w:color w:val="000000" w:themeColor="text1"/>
              </w:rPr>
              <w:t>H. pylori</w:t>
            </w:r>
            <w:r w:rsidRPr="00FC078E">
              <w:rPr>
                <w:rFonts w:ascii="Book Antiqua" w:hAnsi="Book Antiqua"/>
                <w:b/>
                <w:color w:val="000000" w:themeColor="text1"/>
              </w:rPr>
              <w:t xml:space="preserve"> pos (%)</w:t>
            </w:r>
          </w:p>
        </w:tc>
        <w:tc>
          <w:tcPr>
            <w:tcW w:w="1167" w:type="dxa"/>
            <w:tcBorders>
              <w:top w:val="single" w:sz="4" w:space="0" w:color="auto"/>
              <w:bottom w:val="single" w:sz="4" w:space="0" w:color="auto"/>
            </w:tcBorders>
            <w:vAlign w:val="center"/>
          </w:tcPr>
          <w:p w14:paraId="76EB6760"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HR</w:t>
            </w:r>
          </w:p>
        </w:tc>
        <w:tc>
          <w:tcPr>
            <w:tcW w:w="1207" w:type="dxa"/>
            <w:tcBorders>
              <w:top w:val="single" w:sz="4" w:space="0" w:color="auto"/>
              <w:bottom w:val="single" w:sz="4" w:space="0" w:color="auto"/>
            </w:tcBorders>
            <w:vAlign w:val="center"/>
          </w:tcPr>
          <w:p w14:paraId="3FE9C563"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95% CI</w:t>
            </w:r>
          </w:p>
        </w:tc>
        <w:tc>
          <w:tcPr>
            <w:tcW w:w="1207" w:type="dxa"/>
            <w:tcBorders>
              <w:top w:val="single" w:sz="4" w:space="0" w:color="auto"/>
              <w:bottom w:val="single" w:sz="4" w:space="0" w:color="auto"/>
            </w:tcBorders>
            <w:vAlign w:val="center"/>
          </w:tcPr>
          <w:p w14:paraId="06463605" w14:textId="1896DE6C" w:rsidR="00295F95" w:rsidRPr="00FC078E" w:rsidRDefault="00295F95" w:rsidP="00FC078E">
            <w:pPr>
              <w:adjustRightInd w:val="0"/>
              <w:snapToGrid w:val="0"/>
              <w:spacing w:line="360" w:lineRule="auto"/>
              <w:jc w:val="both"/>
              <w:rPr>
                <w:rFonts w:ascii="Book Antiqua" w:hAnsi="Book Antiqua"/>
                <w:b/>
                <w:i/>
                <w:color w:val="000000" w:themeColor="text1"/>
                <w:lang w:eastAsia="zh-CN"/>
              </w:rPr>
            </w:pPr>
            <w:r w:rsidRPr="00FC078E">
              <w:rPr>
                <w:rFonts w:ascii="Book Antiqua" w:hAnsi="Book Antiqua"/>
                <w:b/>
                <w:i/>
                <w:color w:val="000000" w:themeColor="text1"/>
              </w:rPr>
              <w:t>P</w:t>
            </w:r>
            <w:r w:rsidR="00567CB1" w:rsidRPr="00FC078E">
              <w:rPr>
                <w:rFonts w:ascii="Book Antiqua" w:hAnsi="Book Antiqua"/>
                <w:b/>
                <w:i/>
                <w:color w:val="000000" w:themeColor="text1"/>
                <w:lang w:eastAsia="zh-CN"/>
              </w:rPr>
              <w:t xml:space="preserve"> </w:t>
            </w:r>
            <w:r w:rsidR="00567CB1" w:rsidRPr="00FC078E">
              <w:rPr>
                <w:rFonts w:ascii="Book Antiqua" w:hAnsi="Book Antiqua"/>
                <w:b/>
                <w:color w:val="000000" w:themeColor="text1"/>
                <w:lang w:eastAsia="zh-CN"/>
              </w:rPr>
              <w:t>value</w:t>
            </w:r>
          </w:p>
        </w:tc>
      </w:tr>
      <w:tr w:rsidR="008E355E" w:rsidRPr="00FC078E" w14:paraId="7E789AC4" w14:textId="77777777" w:rsidTr="0073262B">
        <w:tc>
          <w:tcPr>
            <w:tcW w:w="8300" w:type="dxa"/>
            <w:gridSpan w:val="7"/>
            <w:tcBorders>
              <w:top w:val="single" w:sz="4" w:space="0" w:color="auto"/>
            </w:tcBorders>
          </w:tcPr>
          <w:p w14:paraId="030F5691" w14:textId="4434F2F4" w:rsidR="008E355E" w:rsidRPr="00FC078E" w:rsidRDefault="008E355E"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OLGA stage</w:t>
            </w:r>
          </w:p>
        </w:tc>
      </w:tr>
      <w:tr w:rsidR="007B44BC" w:rsidRPr="00FC078E" w14:paraId="0A9D44CE" w14:textId="77777777" w:rsidTr="0073262B">
        <w:tc>
          <w:tcPr>
            <w:tcW w:w="1253" w:type="dxa"/>
          </w:tcPr>
          <w:p w14:paraId="78EBF45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w:t>
            </w:r>
          </w:p>
        </w:tc>
        <w:tc>
          <w:tcPr>
            <w:tcW w:w="1015" w:type="dxa"/>
          </w:tcPr>
          <w:p w14:paraId="0F0A526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103</w:t>
            </w:r>
          </w:p>
        </w:tc>
        <w:tc>
          <w:tcPr>
            <w:tcW w:w="1134" w:type="dxa"/>
          </w:tcPr>
          <w:p w14:paraId="1A08F3B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w:t>
            </w:r>
          </w:p>
        </w:tc>
        <w:tc>
          <w:tcPr>
            <w:tcW w:w="1317" w:type="dxa"/>
          </w:tcPr>
          <w:p w14:paraId="647B993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25.2</w:t>
            </w:r>
          </w:p>
        </w:tc>
        <w:tc>
          <w:tcPr>
            <w:tcW w:w="1167" w:type="dxa"/>
          </w:tcPr>
          <w:p w14:paraId="74B0A61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1.00</w:t>
            </w:r>
          </w:p>
        </w:tc>
        <w:tc>
          <w:tcPr>
            <w:tcW w:w="1207" w:type="dxa"/>
          </w:tcPr>
          <w:p w14:paraId="37E1CB61"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6C441317"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0BE27349" w14:textId="77777777" w:rsidTr="0073262B">
        <w:tc>
          <w:tcPr>
            <w:tcW w:w="1253" w:type="dxa"/>
          </w:tcPr>
          <w:p w14:paraId="4E65589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w:t>
            </w:r>
          </w:p>
        </w:tc>
        <w:tc>
          <w:tcPr>
            <w:tcW w:w="1015" w:type="dxa"/>
          </w:tcPr>
          <w:p w14:paraId="21049D2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136</w:t>
            </w:r>
          </w:p>
        </w:tc>
        <w:tc>
          <w:tcPr>
            <w:tcW w:w="1134" w:type="dxa"/>
          </w:tcPr>
          <w:p w14:paraId="490EBF0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w:t>
            </w:r>
          </w:p>
        </w:tc>
        <w:tc>
          <w:tcPr>
            <w:tcW w:w="1317" w:type="dxa"/>
          </w:tcPr>
          <w:p w14:paraId="55C28CA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44.1</w:t>
            </w:r>
          </w:p>
        </w:tc>
        <w:tc>
          <w:tcPr>
            <w:tcW w:w="1167" w:type="dxa"/>
          </w:tcPr>
          <w:p w14:paraId="239A2C0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2.66</w:t>
            </w:r>
          </w:p>
        </w:tc>
        <w:tc>
          <w:tcPr>
            <w:tcW w:w="1207" w:type="dxa"/>
          </w:tcPr>
          <w:p w14:paraId="6C98923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0.28-25.72</w:t>
            </w:r>
          </w:p>
        </w:tc>
        <w:tc>
          <w:tcPr>
            <w:tcW w:w="1207" w:type="dxa"/>
          </w:tcPr>
          <w:p w14:paraId="342F0BBF"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0A6C6273" w14:textId="77777777" w:rsidTr="0073262B">
        <w:tc>
          <w:tcPr>
            <w:tcW w:w="1253" w:type="dxa"/>
          </w:tcPr>
          <w:p w14:paraId="096D634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w:t>
            </w:r>
          </w:p>
        </w:tc>
        <w:tc>
          <w:tcPr>
            <w:tcW w:w="1015" w:type="dxa"/>
          </w:tcPr>
          <w:p w14:paraId="448677A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724</w:t>
            </w:r>
          </w:p>
        </w:tc>
        <w:tc>
          <w:tcPr>
            <w:tcW w:w="1134" w:type="dxa"/>
          </w:tcPr>
          <w:p w14:paraId="75A8375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18</w:t>
            </w:r>
          </w:p>
        </w:tc>
        <w:tc>
          <w:tcPr>
            <w:tcW w:w="1317" w:type="dxa"/>
          </w:tcPr>
          <w:p w14:paraId="516045B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24.7</w:t>
            </w:r>
          </w:p>
        </w:tc>
        <w:tc>
          <w:tcPr>
            <w:tcW w:w="1167" w:type="dxa"/>
          </w:tcPr>
          <w:p w14:paraId="755E9AF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2.84</w:t>
            </w:r>
          </w:p>
        </w:tc>
        <w:tc>
          <w:tcPr>
            <w:tcW w:w="1207" w:type="dxa"/>
          </w:tcPr>
          <w:p w14:paraId="496B3B9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0.38-21.38</w:t>
            </w:r>
          </w:p>
        </w:tc>
        <w:tc>
          <w:tcPr>
            <w:tcW w:w="1207" w:type="dxa"/>
          </w:tcPr>
          <w:p w14:paraId="31D9C52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0.10</w:t>
            </w:r>
          </w:p>
        </w:tc>
      </w:tr>
      <w:tr w:rsidR="007B44BC" w:rsidRPr="00FC078E" w14:paraId="7F6F58A9" w14:textId="77777777" w:rsidTr="0073262B">
        <w:tc>
          <w:tcPr>
            <w:tcW w:w="1253" w:type="dxa"/>
          </w:tcPr>
          <w:p w14:paraId="7B0998F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w:t>
            </w:r>
          </w:p>
        </w:tc>
        <w:tc>
          <w:tcPr>
            <w:tcW w:w="1015" w:type="dxa"/>
          </w:tcPr>
          <w:p w14:paraId="3A3EF92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65</w:t>
            </w:r>
          </w:p>
        </w:tc>
        <w:tc>
          <w:tcPr>
            <w:tcW w:w="1134" w:type="dxa"/>
          </w:tcPr>
          <w:p w14:paraId="1CE82AF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w:t>
            </w:r>
          </w:p>
        </w:tc>
        <w:tc>
          <w:tcPr>
            <w:tcW w:w="1317" w:type="dxa"/>
          </w:tcPr>
          <w:p w14:paraId="11C47C7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35.4</w:t>
            </w:r>
          </w:p>
        </w:tc>
        <w:tc>
          <w:tcPr>
            <w:tcW w:w="1167" w:type="dxa"/>
          </w:tcPr>
          <w:p w14:paraId="39E72F4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1.85</w:t>
            </w:r>
          </w:p>
        </w:tc>
        <w:tc>
          <w:tcPr>
            <w:tcW w:w="1207" w:type="dxa"/>
          </w:tcPr>
          <w:p w14:paraId="750CA48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0.11-29.87</w:t>
            </w:r>
          </w:p>
        </w:tc>
        <w:tc>
          <w:tcPr>
            <w:tcW w:w="1207" w:type="dxa"/>
          </w:tcPr>
          <w:p w14:paraId="0110E009"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57E7997E" w14:textId="77777777" w:rsidTr="0073262B">
        <w:tc>
          <w:tcPr>
            <w:tcW w:w="1253" w:type="dxa"/>
          </w:tcPr>
          <w:p w14:paraId="6DA94FB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w:t>
            </w:r>
          </w:p>
        </w:tc>
        <w:tc>
          <w:tcPr>
            <w:tcW w:w="1015" w:type="dxa"/>
          </w:tcPr>
          <w:p w14:paraId="136422A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109</w:t>
            </w:r>
          </w:p>
        </w:tc>
        <w:tc>
          <w:tcPr>
            <w:tcW w:w="1134" w:type="dxa"/>
          </w:tcPr>
          <w:p w14:paraId="0393492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w:t>
            </w:r>
          </w:p>
        </w:tc>
        <w:tc>
          <w:tcPr>
            <w:tcW w:w="1317" w:type="dxa"/>
          </w:tcPr>
          <w:p w14:paraId="446A0BC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25.7</w:t>
            </w:r>
          </w:p>
        </w:tc>
        <w:tc>
          <w:tcPr>
            <w:tcW w:w="1167" w:type="dxa"/>
          </w:tcPr>
          <w:p w14:paraId="3352840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5.77</w:t>
            </w:r>
          </w:p>
        </w:tc>
        <w:tc>
          <w:tcPr>
            <w:tcW w:w="1207" w:type="dxa"/>
          </w:tcPr>
          <w:p w14:paraId="7F9F8C8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0.67-49.77</w:t>
            </w:r>
          </w:p>
        </w:tc>
        <w:tc>
          <w:tcPr>
            <w:tcW w:w="1207" w:type="dxa"/>
          </w:tcPr>
          <w:p w14:paraId="26DF19A5"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8E355E" w:rsidRPr="00FC078E" w14:paraId="710BCE6D" w14:textId="77777777" w:rsidTr="0073262B">
        <w:tblPrEx>
          <w:tblLook w:val="04A0" w:firstRow="1" w:lastRow="0" w:firstColumn="1" w:lastColumn="0" w:noHBand="0" w:noVBand="1"/>
        </w:tblPrEx>
        <w:tc>
          <w:tcPr>
            <w:tcW w:w="8300" w:type="dxa"/>
            <w:gridSpan w:val="7"/>
          </w:tcPr>
          <w:p w14:paraId="2F29C8DF" w14:textId="2C491507" w:rsidR="008E355E" w:rsidRPr="00FC078E" w:rsidRDefault="008E355E"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OLGIM stage</w:t>
            </w:r>
          </w:p>
        </w:tc>
      </w:tr>
      <w:tr w:rsidR="007B44BC" w:rsidRPr="00FC078E" w14:paraId="7FDF51E1" w14:textId="77777777" w:rsidTr="0073262B">
        <w:tblPrEx>
          <w:tblLook w:val="04A0" w:firstRow="1" w:lastRow="0" w:firstColumn="1" w:lastColumn="0" w:noHBand="0" w:noVBand="1"/>
        </w:tblPrEx>
        <w:tc>
          <w:tcPr>
            <w:tcW w:w="1253" w:type="dxa"/>
          </w:tcPr>
          <w:p w14:paraId="6CFB2D5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w:t>
            </w:r>
          </w:p>
        </w:tc>
        <w:tc>
          <w:tcPr>
            <w:tcW w:w="1015" w:type="dxa"/>
          </w:tcPr>
          <w:p w14:paraId="7B08866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205</w:t>
            </w:r>
          </w:p>
        </w:tc>
        <w:tc>
          <w:tcPr>
            <w:tcW w:w="1134" w:type="dxa"/>
          </w:tcPr>
          <w:p w14:paraId="1119F99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w:t>
            </w:r>
          </w:p>
        </w:tc>
        <w:tc>
          <w:tcPr>
            <w:tcW w:w="1317" w:type="dxa"/>
          </w:tcPr>
          <w:p w14:paraId="2C89B2C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33.7</w:t>
            </w:r>
          </w:p>
        </w:tc>
        <w:tc>
          <w:tcPr>
            <w:tcW w:w="1167" w:type="dxa"/>
          </w:tcPr>
          <w:p w14:paraId="399D809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1.00</w:t>
            </w:r>
          </w:p>
        </w:tc>
        <w:tc>
          <w:tcPr>
            <w:tcW w:w="1207" w:type="dxa"/>
          </w:tcPr>
          <w:p w14:paraId="6A5A44EB"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2412CA15"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692B1B67" w14:textId="77777777" w:rsidTr="0073262B">
        <w:tblPrEx>
          <w:tblLook w:val="04A0" w:firstRow="1" w:lastRow="0" w:firstColumn="1" w:lastColumn="0" w:noHBand="0" w:noVBand="1"/>
        </w:tblPrEx>
        <w:tc>
          <w:tcPr>
            <w:tcW w:w="1253" w:type="dxa"/>
          </w:tcPr>
          <w:p w14:paraId="3555252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w:t>
            </w:r>
          </w:p>
        </w:tc>
        <w:tc>
          <w:tcPr>
            <w:tcW w:w="1015" w:type="dxa"/>
          </w:tcPr>
          <w:p w14:paraId="1E7FA2F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404</w:t>
            </w:r>
          </w:p>
        </w:tc>
        <w:tc>
          <w:tcPr>
            <w:tcW w:w="1134" w:type="dxa"/>
          </w:tcPr>
          <w:p w14:paraId="219C788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7</w:t>
            </w:r>
          </w:p>
        </w:tc>
        <w:tc>
          <w:tcPr>
            <w:tcW w:w="1317" w:type="dxa"/>
          </w:tcPr>
          <w:p w14:paraId="0AC800B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28.0</w:t>
            </w:r>
          </w:p>
        </w:tc>
        <w:tc>
          <w:tcPr>
            <w:tcW w:w="1167" w:type="dxa"/>
          </w:tcPr>
          <w:p w14:paraId="35CF94F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1.82</w:t>
            </w:r>
          </w:p>
        </w:tc>
        <w:tc>
          <w:tcPr>
            <w:tcW w:w="1207" w:type="dxa"/>
          </w:tcPr>
          <w:p w14:paraId="77929B9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0.37-8.83</w:t>
            </w:r>
          </w:p>
        </w:tc>
        <w:tc>
          <w:tcPr>
            <w:tcW w:w="1207" w:type="dxa"/>
          </w:tcPr>
          <w:p w14:paraId="4E673A0E"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548320D3" w14:textId="77777777" w:rsidTr="0073262B">
        <w:tblPrEx>
          <w:tblLook w:val="04A0" w:firstRow="1" w:lastRow="0" w:firstColumn="1" w:lastColumn="0" w:noHBand="0" w:noVBand="1"/>
        </w:tblPrEx>
        <w:tc>
          <w:tcPr>
            <w:tcW w:w="1253" w:type="dxa"/>
          </w:tcPr>
          <w:p w14:paraId="35C722F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w:t>
            </w:r>
          </w:p>
        </w:tc>
        <w:tc>
          <w:tcPr>
            <w:tcW w:w="1015" w:type="dxa"/>
          </w:tcPr>
          <w:p w14:paraId="33957B2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316</w:t>
            </w:r>
          </w:p>
        </w:tc>
        <w:tc>
          <w:tcPr>
            <w:tcW w:w="1134" w:type="dxa"/>
          </w:tcPr>
          <w:p w14:paraId="08A2791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w:t>
            </w:r>
          </w:p>
        </w:tc>
        <w:tc>
          <w:tcPr>
            <w:tcW w:w="1317" w:type="dxa"/>
          </w:tcPr>
          <w:p w14:paraId="5C0B11E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27.8</w:t>
            </w:r>
          </w:p>
        </w:tc>
        <w:tc>
          <w:tcPr>
            <w:tcW w:w="1167" w:type="dxa"/>
          </w:tcPr>
          <w:p w14:paraId="2FB9F85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3.55</w:t>
            </w:r>
          </w:p>
        </w:tc>
        <w:tc>
          <w:tcPr>
            <w:tcW w:w="1207" w:type="dxa"/>
          </w:tcPr>
          <w:p w14:paraId="0C7941B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0.77-16.36</w:t>
            </w:r>
          </w:p>
        </w:tc>
        <w:tc>
          <w:tcPr>
            <w:tcW w:w="1207" w:type="dxa"/>
          </w:tcPr>
          <w:p w14:paraId="22DB5CC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0.004</w:t>
            </w:r>
          </w:p>
        </w:tc>
      </w:tr>
      <w:tr w:rsidR="007B44BC" w:rsidRPr="00FC078E" w14:paraId="3CC3C25B" w14:textId="77777777" w:rsidTr="0073262B">
        <w:tblPrEx>
          <w:tblLook w:val="04A0" w:firstRow="1" w:lastRow="0" w:firstColumn="1" w:lastColumn="0" w:noHBand="0" w:noVBand="1"/>
        </w:tblPrEx>
        <w:tc>
          <w:tcPr>
            <w:tcW w:w="1253" w:type="dxa"/>
          </w:tcPr>
          <w:p w14:paraId="458F130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w:t>
            </w:r>
          </w:p>
        </w:tc>
        <w:tc>
          <w:tcPr>
            <w:tcW w:w="1015" w:type="dxa"/>
          </w:tcPr>
          <w:p w14:paraId="1CD994E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115</w:t>
            </w:r>
          </w:p>
        </w:tc>
        <w:tc>
          <w:tcPr>
            <w:tcW w:w="1134" w:type="dxa"/>
          </w:tcPr>
          <w:p w14:paraId="62319BC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w:t>
            </w:r>
          </w:p>
        </w:tc>
        <w:tc>
          <w:tcPr>
            <w:tcW w:w="1317" w:type="dxa"/>
          </w:tcPr>
          <w:p w14:paraId="2432474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26.1</w:t>
            </w:r>
          </w:p>
        </w:tc>
        <w:tc>
          <w:tcPr>
            <w:tcW w:w="1167" w:type="dxa"/>
          </w:tcPr>
          <w:p w14:paraId="37E495A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5.91</w:t>
            </w:r>
          </w:p>
        </w:tc>
        <w:tc>
          <w:tcPr>
            <w:tcW w:w="1207" w:type="dxa"/>
          </w:tcPr>
          <w:p w14:paraId="574D157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1.14-30.73</w:t>
            </w:r>
          </w:p>
        </w:tc>
        <w:tc>
          <w:tcPr>
            <w:tcW w:w="1207" w:type="dxa"/>
          </w:tcPr>
          <w:p w14:paraId="433E0146"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7B44BC" w:rsidRPr="00FC078E" w14:paraId="0CFBF198" w14:textId="77777777" w:rsidTr="0073262B">
        <w:tblPrEx>
          <w:tblLook w:val="04A0" w:firstRow="1" w:lastRow="0" w:firstColumn="1" w:lastColumn="0" w:noHBand="0" w:noVBand="1"/>
        </w:tblPrEx>
        <w:tc>
          <w:tcPr>
            <w:tcW w:w="1253" w:type="dxa"/>
          </w:tcPr>
          <w:p w14:paraId="3D03F46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w:t>
            </w:r>
          </w:p>
        </w:tc>
        <w:tc>
          <w:tcPr>
            <w:tcW w:w="1015" w:type="dxa"/>
          </w:tcPr>
          <w:p w14:paraId="5BC4CB7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100</w:t>
            </w:r>
          </w:p>
        </w:tc>
        <w:tc>
          <w:tcPr>
            <w:tcW w:w="1134" w:type="dxa"/>
          </w:tcPr>
          <w:p w14:paraId="27BF8F1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w:t>
            </w:r>
          </w:p>
        </w:tc>
        <w:tc>
          <w:tcPr>
            <w:tcW w:w="1317" w:type="dxa"/>
          </w:tcPr>
          <w:p w14:paraId="7AE0676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18.0</w:t>
            </w:r>
          </w:p>
        </w:tc>
        <w:tc>
          <w:tcPr>
            <w:tcW w:w="1167" w:type="dxa"/>
          </w:tcPr>
          <w:p w14:paraId="0DEBA74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5.72</w:t>
            </w:r>
          </w:p>
        </w:tc>
        <w:tc>
          <w:tcPr>
            <w:tcW w:w="1207" w:type="dxa"/>
          </w:tcPr>
          <w:p w14:paraId="247DD02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1.03-31.77</w:t>
            </w:r>
          </w:p>
        </w:tc>
        <w:tc>
          <w:tcPr>
            <w:tcW w:w="1207" w:type="dxa"/>
          </w:tcPr>
          <w:p w14:paraId="09A7FF5B"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8E355E" w:rsidRPr="00FC078E" w14:paraId="74382503" w14:textId="77777777" w:rsidTr="0073262B">
        <w:tblPrEx>
          <w:tblLook w:val="04A0" w:firstRow="1" w:lastRow="0" w:firstColumn="1" w:lastColumn="0" w:noHBand="0" w:noVBand="1"/>
        </w:tblPrEx>
        <w:tc>
          <w:tcPr>
            <w:tcW w:w="8300" w:type="dxa"/>
            <w:gridSpan w:val="7"/>
          </w:tcPr>
          <w:p w14:paraId="4D9F52CB" w14:textId="75C66721" w:rsidR="008E355E" w:rsidRPr="00FC078E" w:rsidRDefault="008E355E"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TAIM stage</w:t>
            </w:r>
          </w:p>
        </w:tc>
      </w:tr>
      <w:tr w:rsidR="007B44BC" w:rsidRPr="00FC078E" w14:paraId="22AE2C25" w14:textId="77777777" w:rsidTr="0073262B">
        <w:tblPrEx>
          <w:tblLook w:val="04A0" w:firstRow="1" w:lastRow="0" w:firstColumn="1" w:lastColumn="0" w:noHBand="0" w:noVBand="1"/>
        </w:tblPrEx>
        <w:tc>
          <w:tcPr>
            <w:tcW w:w="1253" w:type="dxa"/>
          </w:tcPr>
          <w:p w14:paraId="28F0DA2E" w14:textId="66FACB19" w:rsidR="00295F95" w:rsidRPr="00FC078E" w:rsidRDefault="008E355E"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w:t>
            </w:r>
          </w:p>
        </w:tc>
        <w:tc>
          <w:tcPr>
            <w:tcW w:w="1015" w:type="dxa"/>
          </w:tcPr>
          <w:p w14:paraId="3AEED46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475</w:t>
            </w:r>
          </w:p>
        </w:tc>
        <w:tc>
          <w:tcPr>
            <w:tcW w:w="1134" w:type="dxa"/>
          </w:tcPr>
          <w:p w14:paraId="7756538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6</w:t>
            </w:r>
          </w:p>
        </w:tc>
        <w:tc>
          <w:tcPr>
            <w:tcW w:w="1317" w:type="dxa"/>
          </w:tcPr>
          <w:p w14:paraId="45CEFDB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32.6</w:t>
            </w:r>
          </w:p>
        </w:tc>
        <w:tc>
          <w:tcPr>
            <w:tcW w:w="1167" w:type="dxa"/>
          </w:tcPr>
          <w:p w14:paraId="30E74A3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1.00</w:t>
            </w:r>
          </w:p>
        </w:tc>
        <w:tc>
          <w:tcPr>
            <w:tcW w:w="1207" w:type="dxa"/>
          </w:tcPr>
          <w:p w14:paraId="3415F9F1"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4A22589C"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295F95" w:rsidRPr="00FC078E" w14:paraId="0DE9C400" w14:textId="77777777" w:rsidTr="0073262B">
        <w:tblPrEx>
          <w:tblLook w:val="04A0" w:firstRow="1" w:lastRow="0" w:firstColumn="1" w:lastColumn="0" w:noHBand="0" w:noVBand="1"/>
        </w:tblPrEx>
        <w:tc>
          <w:tcPr>
            <w:tcW w:w="1253" w:type="dxa"/>
          </w:tcPr>
          <w:p w14:paraId="0EE04842" w14:textId="6389311D" w:rsidR="00295F95" w:rsidRPr="00FC078E" w:rsidRDefault="008E355E"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w:t>
            </w:r>
          </w:p>
        </w:tc>
        <w:tc>
          <w:tcPr>
            <w:tcW w:w="1015" w:type="dxa"/>
          </w:tcPr>
          <w:p w14:paraId="4D40C40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662</w:t>
            </w:r>
          </w:p>
        </w:tc>
        <w:tc>
          <w:tcPr>
            <w:tcW w:w="1134" w:type="dxa"/>
          </w:tcPr>
          <w:p w14:paraId="48ACEEE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22</w:t>
            </w:r>
          </w:p>
        </w:tc>
        <w:tc>
          <w:tcPr>
            <w:tcW w:w="1317" w:type="dxa"/>
          </w:tcPr>
          <w:p w14:paraId="2D56BE4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24.3</w:t>
            </w:r>
          </w:p>
        </w:tc>
        <w:tc>
          <w:tcPr>
            <w:tcW w:w="1167" w:type="dxa"/>
          </w:tcPr>
          <w:p w14:paraId="73CEB53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2.70</w:t>
            </w:r>
          </w:p>
        </w:tc>
        <w:tc>
          <w:tcPr>
            <w:tcW w:w="1207" w:type="dxa"/>
          </w:tcPr>
          <w:p w14:paraId="5C0B99E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1.09-6.69</w:t>
            </w:r>
          </w:p>
        </w:tc>
        <w:tc>
          <w:tcPr>
            <w:tcW w:w="1207" w:type="dxa"/>
          </w:tcPr>
          <w:p w14:paraId="441C54B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0.03</w:t>
            </w:r>
          </w:p>
        </w:tc>
      </w:tr>
    </w:tbl>
    <w:p w14:paraId="0EC3CE0C" w14:textId="20F4EFA5" w:rsidR="00295F95" w:rsidRPr="00FC078E" w:rsidRDefault="00295F95"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lang w:val="en-US"/>
        </w:rPr>
        <w:t xml:space="preserve">HR: </w:t>
      </w:r>
      <w:r w:rsidR="00173C81" w:rsidRPr="00FC078E">
        <w:rPr>
          <w:rFonts w:ascii="Book Antiqua" w:hAnsi="Book Antiqua"/>
          <w:color w:val="000000" w:themeColor="text1"/>
          <w:lang w:val="en-US"/>
        </w:rPr>
        <w:t xml:space="preserve">Hazard </w:t>
      </w:r>
      <w:r w:rsidRPr="00FC078E">
        <w:rPr>
          <w:rFonts w:ascii="Book Antiqua" w:hAnsi="Book Antiqua"/>
          <w:color w:val="000000" w:themeColor="text1"/>
          <w:lang w:val="en-US"/>
        </w:rPr>
        <w:t xml:space="preserve">ratio; </w:t>
      </w:r>
      <w:r w:rsidR="0073262B" w:rsidRPr="00FC078E">
        <w:rPr>
          <w:rFonts w:ascii="Book Antiqua" w:hAnsi="Book Antiqua"/>
          <w:color w:val="000000" w:themeColor="text1"/>
        </w:rPr>
        <w:t>OLGA</w:t>
      </w:r>
      <w:r w:rsidR="0073262B" w:rsidRPr="00FC078E">
        <w:rPr>
          <w:rFonts w:ascii="Book Antiqua" w:hAnsi="Book Antiqua"/>
          <w:color w:val="000000" w:themeColor="text1"/>
          <w:lang w:eastAsia="zh-CN"/>
        </w:rPr>
        <w:t>:</w:t>
      </w:r>
      <w:r w:rsidR="0073262B" w:rsidRPr="00FC078E">
        <w:rPr>
          <w:rStyle w:val="dxebaseoffice2010blue"/>
          <w:rFonts w:ascii="Book Antiqua" w:hAnsi="Book Antiqua"/>
          <w:color w:val="000000" w:themeColor="text1"/>
        </w:rPr>
        <w:t xml:space="preserve"> Operative link for gastritis assessment</w:t>
      </w:r>
      <w:r w:rsidR="0073262B" w:rsidRPr="00FC078E">
        <w:rPr>
          <w:rStyle w:val="dxebaseoffice2010blue"/>
          <w:rFonts w:ascii="Book Antiqua" w:hAnsi="Book Antiqua"/>
          <w:color w:val="000000" w:themeColor="text1"/>
          <w:lang w:eastAsia="zh-CN"/>
        </w:rPr>
        <w:t xml:space="preserve">; </w:t>
      </w:r>
      <w:r w:rsidR="0073262B" w:rsidRPr="00FC078E">
        <w:rPr>
          <w:rFonts w:ascii="Book Antiqua" w:hAnsi="Book Antiqua"/>
          <w:color w:val="000000" w:themeColor="text1"/>
        </w:rPr>
        <w:t>OLGIM</w:t>
      </w:r>
      <w:r w:rsidR="0073262B" w:rsidRPr="00FC078E">
        <w:rPr>
          <w:rFonts w:ascii="Book Antiqua" w:hAnsi="Book Antiqua"/>
          <w:color w:val="000000" w:themeColor="text1"/>
          <w:lang w:eastAsia="zh-CN"/>
        </w:rPr>
        <w:t>:</w:t>
      </w:r>
      <w:r w:rsidR="0073262B" w:rsidRPr="00FC078E">
        <w:rPr>
          <w:rStyle w:val="dxebaseoffice2010blue"/>
          <w:rFonts w:ascii="Book Antiqua" w:hAnsi="Book Antiqua"/>
          <w:color w:val="000000" w:themeColor="text1"/>
        </w:rPr>
        <w:t xml:space="preserve"> </w:t>
      </w:r>
      <w:r w:rsidR="00173C81" w:rsidRPr="00FC078E">
        <w:rPr>
          <w:rStyle w:val="dxebaseoffice2010blue"/>
          <w:rFonts w:ascii="Book Antiqua" w:hAnsi="Book Antiqua"/>
          <w:color w:val="000000" w:themeColor="text1"/>
        </w:rPr>
        <w:t xml:space="preserve">Operative </w:t>
      </w:r>
      <w:r w:rsidR="0073262B" w:rsidRPr="00FC078E">
        <w:rPr>
          <w:rStyle w:val="dxebaseoffice2010blue"/>
          <w:rFonts w:ascii="Book Antiqua" w:hAnsi="Book Antiqua"/>
          <w:color w:val="000000" w:themeColor="text1"/>
        </w:rPr>
        <w:t>link on gastric intestinal metaplasia assessment</w:t>
      </w:r>
      <w:r w:rsidR="0073262B" w:rsidRPr="00FC078E">
        <w:rPr>
          <w:rStyle w:val="dxebaseoffice2010blue"/>
          <w:rFonts w:ascii="Book Antiqua" w:hAnsi="Book Antiqua"/>
          <w:color w:val="000000" w:themeColor="text1"/>
          <w:lang w:eastAsia="zh-CN"/>
        </w:rPr>
        <w:t>.</w:t>
      </w:r>
    </w:p>
    <w:p w14:paraId="58C455CF" w14:textId="77777777" w:rsidR="0073262B" w:rsidRPr="00FC078E" w:rsidRDefault="0073262B"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lang w:val="en-US" w:eastAsia="zh-CN"/>
        </w:rPr>
        <w:br w:type="page"/>
      </w:r>
    </w:p>
    <w:p w14:paraId="720922C9" w14:textId="17123606"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 xml:space="preserve">Table 5 </w:t>
      </w:r>
      <w:r w:rsidR="0073262B" w:rsidRPr="00FC078E">
        <w:rPr>
          <w:rStyle w:val="dxebaseoffice2010blue"/>
          <w:rFonts w:ascii="Book Antiqua" w:hAnsi="Book Antiqua"/>
          <w:b/>
          <w:color w:val="000000" w:themeColor="text1"/>
        </w:rPr>
        <w:t>Operative link on gastric intestinal metaplasia assessment</w:t>
      </w:r>
      <w:r w:rsidR="0073262B" w:rsidRPr="00FC078E">
        <w:rPr>
          <w:rFonts w:ascii="Book Antiqua" w:hAnsi="Book Antiqua" w:cs="Times New Roman"/>
          <w:b/>
          <w:bCs/>
          <w:color w:val="000000" w:themeColor="text1"/>
          <w:lang w:val="en-US"/>
        </w:rPr>
        <w:t xml:space="preserve"> staging</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676"/>
        <w:gridCol w:w="1641"/>
        <w:gridCol w:w="1641"/>
        <w:gridCol w:w="1679"/>
        <w:gridCol w:w="1663"/>
      </w:tblGrid>
      <w:tr w:rsidR="0073262B" w:rsidRPr="00FC078E" w14:paraId="6D0D3991" w14:textId="77777777" w:rsidTr="0073262B">
        <w:trPr>
          <w:trHeight w:val="334"/>
        </w:trPr>
        <w:tc>
          <w:tcPr>
            <w:tcW w:w="1703" w:type="dxa"/>
            <w:vMerge w:val="restart"/>
            <w:tcBorders>
              <w:top w:val="single" w:sz="4" w:space="0" w:color="auto"/>
              <w:bottom w:val="single" w:sz="4" w:space="0" w:color="auto"/>
            </w:tcBorders>
            <w:shd w:val="clear" w:color="auto" w:fill="auto"/>
          </w:tcPr>
          <w:p w14:paraId="63887B78" w14:textId="77777777" w:rsidR="0073262B" w:rsidRPr="00FC078E" w:rsidRDefault="0073262B" w:rsidP="00FC078E">
            <w:pPr>
              <w:adjustRightInd w:val="0"/>
              <w:snapToGrid w:val="0"/>
              <w:spacing w:line="360" w:lineRule="auto"/>
              <w:jc w:val="both"/>
              <w:rPr>
                <w:rFonts w:ascii="Book Antiqua" w:hAnsi="Book Antiqua"/>
                <w:color w:val="000000" w:themeColor="text1"/>
                <w:lang w:val="en-US"/>
              </w:rPr>
            </w:pPr>
          </w:p>
        </w:tc>
        <w:tc>
          <w:tcPr>
            <w:tcW w:w="6813" w:type="dxa"/>
            <w:gridSpan w:val="4"/>
            <w:tcBorders>
              <w:top w:val="single" w:sz="4" w:space="0" w:color="auto"/>
              <w:bottom w:val="single" w:sz="4" w:space="0" w:color="auto"/>
            </w:tcBorders>
            <w:shd w:val="clear" w:color="auto" w:fill="auto"/>
          </w:tcPr>
          <w:p w14:paraId="5EEAB421" w14:textId="1F05627C" w:rsidR="0073262B" w:rsidRPr="00FC078E" w:rsidRDefault="0073262B" w:rsidP="00FC078E">
            <w:pPr>
              <w:adjustRightInd w:val="0"/>
              <w:snapToGrid w:val="0"/>
              <w:spacing w:line="360" w:lineRule="auto"/>
              <w:jc w:val="both"/>
              <w:rPr>
                <w:rFonts w:ascii="Book Antiqua" w:hAnsi="Book Antiqua"/>
                <w:b/>
                <w:color w:val="000000" w:themeColor="text1"/>
                <w:lang w:eastAsia="zh-CN"/>
              </w:rPr>
            </w:pPr>
            <w:r w:rsidRPr="00FC078E">
              <w:rPr>
                <w:rFonts w:ascii="Book Antiqua" w:hAnsi="Book Antiqua"/>
                <w:b/>
                <w:color w:val="000000" w:themeColor="text1"/>
              </w:rPr>
              <w:t>Corpus</w:t>
            </w:r>
          </w:p>
        </w:tc>
      </w:tr>
      <w:tr w:rsidR="0073262B" w:rsidRPr="00FC078E" w14:paraId="56F50B86" w14:textId="77777777" w:rsidTr="0073262B">
        <w:trPr>
          <w:trHeight w:val="549"/>
        </w:trPr>
        <w:tc>
          <w:tcPr>
            <w:tcW w:w="1703" w:type="dxa"/>
            <w:vMerge/>
            <w:tcBorders>
              <w:top w:val="single" w:sz="4" w:space="0" w:color="auto"/>
              <w:bottom w:val="single" w:sz="4" w:space="0" w:color="auto"/>
            </w:tcBorders>
            <w:shd w:val="clear" w:color="auto" w:fill="auto"/>
          </w:tcPr>
          <w:p w14:paraId="7F27FF5E" w14:textId="77777777" w:rsidR="0073262B" w:rsidRPr="00FC078E" w:rsidRDefault="0073262B" w:rsidP="00FC078E">
            <w:pPr>
              <w:adjustRightInd w:val="0"/>
              <w:snapToGrid w:val="0"/>
              <w:spacing w:line="360" w:lineRule="auto"/>
              <w:jc w:val="both"/>
              <w:rPr>
                <w:rFonts w:ascii="Book Antiqua" w:hAnsi="Book Antiqua"/>
                <w:color w:val="000000" w:themeColor="text1"/>
                <w:lang w:val="en-US"/>
              </w:rPr>
            </w:pPr>
          </w:p>
        </w:tc>
        <w:tc>
          <w:tcPr>
            <w:tcW w:w="1703" w:type="dxa"/>
            <w:tcBorders>
              <w:top w:val="single" w:sz="4" w:space="0" w:color="auto"/>
              <w:bottom w:val="single" w:sz="4" w:space="0" w:color="auto"/>
            </w:tcBorders>
            <w:shd w:val="clear" w:color="auto" w:fill="auto"/>
          </w:tcPr>
          <w:p w14:paraId="3C7CB049" w14:textId="33AE315D"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0 (No IM)</w:t>
            </w:r>
          </w:p>
        </w:tc>
        <w:tc>
          <w:tcPr>
            <w:tcW w:w="1703" w:type="dxa"/>
            <w:tcBorders>
              <w:top w:val="single" w:sz="4" w:space="0" w:color="auto"/>
              <w:bottom w:val="single" w:sz="4" w:space="0" w:color="auto"/>
            </w:tcBorders>
            <w:shd w:val="clear" w:color="auto" w:fill="auto"/>
          </w:tcPr>
          <w:p w14:paraId="1683B305" w14:textId="0E267052"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1 (Mild)</w:t>
            </w:r>
          </w:p>
        </w:tc>
        <w:tc>
          <w:tcPr>
            <w:tcW w:w="1703" w:type="dxa"/>
            <w:tcBorders>
              <w:top w:val="single" w:sz="4" w:space="0" w:color="auto"/>
              <w:bottom w:val="single" w:sz="4" w:space="0" w:color="auto"/>
            </w:tcBorders>
            <w:shd w:val="clear" w:color="auto" w:fill="auto"/>
          </w:tcPr>
          <w:p w14:paraId="557779C4" w14:textId="26577B76"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2 (Moderate)</w:t>
            </w:r>
          </w:p>
        </w:tc>
        <w:tc>
          <w:tcPr>
            <w:tcW w:w="1704" w:type="dxa"/>
            <w:tcBorders>
              <w:top w:val="single" w:sz="4" w:space="0" w:color="auto"/>
              <w:bottom w:val="single" w:sz="4" w:space="0" w:color="auto"/>
            </w:tcBorders>
            <w:shd w:val="clear" w:color="auto" w:fill="auto"/>
          </w:tcPr>
          <w:p w14:paraId="638741D2" w14:textId="6E8CDEDC"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3 (Marked)</w:t>
            </w:r>
          </w:p>
        </w:tc>
      </w:tr>
      <w:tr w:rsidR="007B44BC" w:rsidRPr="00FC078E" w14:paraId="59BD55CC" w14:textId="77777777" w:rsidTr="0073262B">
        <w:trPr>
          <w:trHeight w:val="733"/>
        </w:trPr>
        <w:tc>
          <w:tcPr>
            <w:tcW w:w="1703" w:type="dxa"/>
            <w:tcBorders>
              <w:top w:val="single" w:sz="4" w:space="0" w:color="auto"/>
            </w:tcBorders>
            <w:shd w:val="clear" w:color="auto" w:fill="auto"/>
          </w:tcPr>
          <w:p w14:paraId="2F6658E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046C641E" w14:textId="3B688B22"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 (</w:t>
            </w:r>
            <w:r w:rsidR="0073262B" w:rsidRPr="00FC078E">
              <w:rPr>
                <w:rFonts w:ascii="Book Antiqua" w:hAnsi="Book Antiqua"/>
                <w:color w:val="000000" w:themeColor="text1"/>
              </w:rPr>
              <w:t xml:space="preserve">No </w:t>
            </w:r>
            <w:r w:rsidRPr="00FC078E">
              <w:rPr>
                <w:rFonts w:ascii="Book Antiqua" w:hAnsi="Book Antiqua"/>
                <w:color w:val="000000" w:themeColor="text1"/>
              </w:rPr>
              <w:t>IM)</w:t>
            </w:r>
          </w:p>
        </w:tc>
        <w:tc>
          <w:tcPr>
            <w:tcW w:w="1703" w:type="dxa"/>
            <w:tcBorders>
              <w:top w:val="single" w:sz="4" w:space="0" w:color="auto"/>
            </w:tcBorders>
            <w:shd w:val="clear" w:color="auto" w:fill="auto"/>
          </w:tcPr>
          <w:p w14:paraId="4D49851A"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 (2/205)</w:t>
            </w:r>
          </w:p>
        </w:tc>
        <w:tc>
          <w:tcPr>
            <w:tcW w:w="1703" w:type="dxa"/>
            <w:tcBorders>
              <w:top w:val="single" w:sz="4" w:space="0" w:color="auto"/>
            </w:tcBorders>
            <w:shd w:val="clear" w:color="auto" w:fill="auto"/>
          </w:tcPr>
          <w:p w14:paraId="188404C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(2/239)</w:t>
            </w:r>
          </w:p>
        </w:tc>
        <w:tc>
          <w:tcPr>
            <w:tcW w:w="1703" w:type="dxa"/>
            <w:tcBorders>
              <w:top w:val="single" w:sz="4" w:space="0" w:color="auto"/>
            </w:tcBorders>
            <w:shd w:val="clear" w:color="auto" w:fill="auto"/>
          </w:tcPr>
          <w:p w14:paraId="1BB6E61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(5/133)</w:t>
            </w:r>
          </w:p>
        </w:tc>
        <w:tc>
          <w:tcPr>
            <w:tcW w:w="1704" w:type="dxa"/>
            <w:tcBorders>
              <w:top w:val="single" w:sz="4" w:space="0" w:color="auto"/>
            </w:tcBorders>
            <w:shd w:val="clear" w:color="auto" w:fill="auto"/>
          </w:tcPr>
          <w:p w14:paraId="52A6880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(2/31)</w:t>
            </w:r>
          </w:p>
        </w:tc>
      </w:tr>
      <w:tr w:rsidR="007B44BC" w:rsidRPr="00FC078E" w14:paraId="68448C9C" w14:textId="77777777" w:rsidTr="0073262B">
        <w:trPr>
          <w:trHeight w:val="733"/>
        </w:trPr>
        <w:tc>
          <w:tcPr>
            <w:tcW w:w="1703" w:type="dxa"/>
            <w:shd w:val="clear" w:color="auto" w:fill="auto"/>
          </w:tcPr>
          <w:p w14:paraId="4F916A7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18AE64FF" w14:textId="2102EFF4"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 (</w:t>
            </w:r>
            <w:r w:rsidR="0073262B" w:rsidRPr="00FC078E">
              <w:rPr>
                <w:rFonts w:ascii="Book Antiqua" w:hAnsi="Book Antiqua"/>
                <w:color w:val="000000" w:themeColor="text1"/>
              </w:rPr>
              <w:t>Mild</w:t>
            </w:r>
            <w:r w:rsidRPr="00FC078E">
              <w:rPr>
                <w:rFonts w:ascii="Book Antiqua" w:hAnsi="Book Antiqua"/>
                <w:color w:val="000000" w:themeColor="text1"/>
              </w:rPr>
              <w:t>)</w:t>
            </w:r>
          </w:p>
        </w:tc>
        <w:tc>
          <w:tcPr>
            <w:tcW w:w="1703" w:type="dxa"/>
            <w:shd w:val="clear" w:color="auto" w:fill="auto"/>
          </w:tcPr>
          <w:p w14:paraId="7565579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(2/45)</w:t>
            </w:r>
          </w:p>
        </w:tc>
        <w:tc>
          <w:tcPr>
            <w:tcW w:w="1703" w:type="dxa"/>
            <w:shd w:val="clear" w:color="auto" w:fill="auto"/>
          </w:tcPr>
          <w:p w14:paraId="4BDE043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 (3/120)</w:t>
            </w:r>
          </w:p>
        </w:tc>
        <w:tc>
          <w:tcPr>
            <w:tcW w:w="1703" w:type="dxa"/>
            <w:shd w:val="clear" w:color="auto" w:fill="auto"/>
          </w:tcPr>
          <w:p w14:paraId="1F555D9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(1/88)</w:t>
            </w:r>
          </w:p>
        </w:tc>
        <w:tc>
          <w:tcPr>
            <w:tcW w:w="1704" w:type="dxa"/>
            <w:shd w:val="clear" w:color="auto" w:fill="auto"/>
          </w:tcPr>
          <w:p w14:paraId="28F55EDA"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(1/39)</w:t>
            </w:r>
          </w:p>
        </w:tc>
      </w:tr>
      <w:tr w:rsidR="007B44BC" w:rsidRPr="00FC078E" w14:paraId="02FDBD5E" w14:textId="77777777" w:rsidTr="0073262B">
        <w:trPr>
          <w:trHeight w:val="733"/>
        </w:trPr>
        <w:tc>
          <w:tcPr>
            <w:tcW w:w="1703" w:type="dxa"/>
            <w:shd w:val="clear" w:color="auto" w:fill="auto"/>
          </w:tcPr>
          <w:p w14:paraId="28D33E7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4B0F8C55" w14:textId="33AD019D"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 (</w:t>
            </w:r>
            <w:r w:rsidR="0073262B" w:rsidRPr="00FC078E">
              <w:rPr>
                <w:rFonts w:ascii="Book Antiqua" w:hAnsi="Book Antiqua"/>
                <w:color w:val="000000" w:themeColor="text1"/>
              </w:rPr>
              <w:t>Moderate</w:t>
            </w:r>
            <w:r w:rsidRPr="00FC078E">
              <w:rPr>
                <w:rFonts w:ascii="Book Antiqua" w:hAnsi="Book Antiqua"/>
                <w:color w:val="000000" w:themeColor="text1"/>
              </w:rPr>
              <w:t>)</w:t>
            </w:r>
          </w:p>
        </w:tc>
        <w:tc>
          <w:tcPr>
            <w:tcW w:w="1703" w:type="dxa"/>
            <w:shd w:val="clear" w:color="auto" w:fill="auto"/>
          </w:tcPr>
          <w:p w14:paraId="2E87687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(0/15)</w:t>
            </w:r>
          </w:p>
        </w:tc>
        <w:tc>
          <w:tcPr>
            <w:tcW w:w="1703" w:type="dxa"/>
            <w:shd w:val="clear" w:color="auto" w:fill="auto"/>
          </w:tcPr>
          <w:p w14:paraId="1BBF003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 (2/49)</w:t>
            </w:r>
          </w:p>
        </w:tc>
        <w:tc>
          <w:tcPr>
            <w:tcW w:w="1703" w:type="dxa"/>
            <w:shd w:val="clear" w:color="auto" w:fill="auto"/>
          </w:tcPr>
          <w:p w14:paraId="0978CC5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(2/45)</w:t>
            </w:r>
          </w:p>
        </w:tc>
        <w:tc>
          <w:tcPr>
            <w:tcW w:w="1704" w:type="dxa"/>
            <w:shd w:val="clear" w:color="auto" w:fill="auto"/>
          </w:tcPr>
          <w:p w14:paraId="7A434D69"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(1/32)</w:t>
            </w:r>
          </w:p>
        </w:tc>
      </w:tr>
      <w:tr w:rsidR="007B44BC" w:rsidRPr="00FC078E" w14:paraId="0815FBF7" w14:textId="77777777" w:rsidTr="0073262B">
        <w:trPr>
          <w:trHeight w:val="734"/>
        </w:trPr>
        <w:tc>
          <w:tcPr>
            <w:tcW w:w="1703" w:type="dxa"/>
            <w:shd w:val="clear" w:color="auto" w:fill="auto"/>
          </w:tcPr>
          <w:p w14:paraId="5B567B5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Antrum</w:t>
            </w:r>
          </w:p>
          <w:p w14:paraId="1FC5A6CD" w14:textId="67973ECC"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 (</w:t>
            </w:r>
            <w:r w:rsidR="0073262B" w:rsidRPr="00FC078E">
              <w:rPr>
                <w:rFonts w:ascii="Book Antiqua" w:hAnsi="Book Antiqua"/>
                <w:color w:val="000000" w:themeColor="text1"/>
              </w:rPr>
              <w:t>Marked</w:t>
            </w:r>
            <w:r w:rsidRPr="00FC078E">
              <w:rPr>
                <w:rFonts w:ascii="Book Antiqua" w:hAnsi="Book Antiqua"/>
                <w:color w:val="000000" w:themeColor="text1"/>
              </w:rPr>
              <w:t>)</w:t>
            </w:r>
          </w:p>
        </w:tc>
        <w:tc>
          <w:tcPr>
            <w:tcW w:w="1703" w:type="dxa"/>
            <w:shd w:val="clear" w:color="auto" w:fill="auto"/>
          </w:tcPr>
          <w:p w14:paraId="7C9CBED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(1/14)</w:t>
            </w:r>
          </w:p>
        </w:tc>
        <w:tc>
          <w:tcPr>
            <w:tcW w:w="1703" w:type="dxa"/>
            <w:shd w:val="clear" w:color="auto" w:fill="auto"/>
          </w:tcPr>
          <w:p w14:paraId="2451488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 (1/17)</w:t>
            </w:r>
          </w:p>
        </w:tc>
        <w:tc>
          <w:tcPr>
            <w:tcW w:w="1703" w:type="dxa"/>
            <w:shd w:val="clear" w:color="auto" w:fill="auto"/>
          </w:tcPr>
          <w:p w14:paraId="5D58D6A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(2/30)</w:t>
            </w:r>
          </w:p>
        </w:tc>
        <w:tc>
          <w:tcPr>
            <w:tcW w:w="1704" w:type="dxa"/>
            <w:shd w:val="clear" w:color="auto" w:fill="auto"/>
          </w:tcPr>
          <w:p w14:paraId="342EF26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IV (1/38)</w:t>
            </w:r>
          </w:p>
        </w:tc>
      </w:tr>
    </w:tbl>
    <w:p w14:paraId="4E6FDC17" w14:textId="131D4963" w:rsidR="00295F95" w:rsidRPr="00FC078E" w:rsidRDefault="0073262B" w:rsidP="00FC078E">
      <w:pPr>
        <w:adjustRightInd w:val="0"/>
        <w:snapToGrid w:val="0"/>
        <w:spacing w:line="360" w:lineRule="auto"/>
        <w:jc w:val="both"/>
        <w:rPr>
          <w:rFonts w:ascii="Book Antiqua" w:hAnsi="Book Antiqua" w:cs="Times New Roman"/>
          <w:bCs/>
          <w:color w:val="000000" w:themeColor="text1"/>
          <w:lang w:val="en-US" w:eastAsia="zh-CN"/>
        </w:rPr>
      </w:pPr>
      <w:r w:rsidRPr="00FC078E">
        <w:rPr>
          <w:rFonts w:ascii="Book Antiqua" w:hAnsi="Book Antiqua" w:cs="Times New Roman"/>
          <w:bCs/>
          <w:color w:val="000000" w:themeColor="text1"/>
          <w:lang w:val="en-US"/>
        </w:rPr>
        <w:t>Distribution of diagnosed gastric cancer cases and the amount of the participants in parenthesis.</w:t>
      </w:r>
      <w:r w:rsidRPr="00FC078E">
        <w:rPr>
          <w:rFonts w:ascii="Book Antiqua" w:hAnsi="Book Antiqua" w:cs="Times New Roman"/>
          <w:bCs/>
          <w:color w:val="000000" w:themeColor="text1"/>
          <w:lang w:val="en-US" w:eastAsia="zh-CN"/>
        </w:rPr>
        <w:t xml:space="preserve"> IM:</w:t>
      </w:r>
      <w:r w:rsidRPr="00FC078E">
        <w:rPr>
          <w:rStyle w:val="dxebaseoffice2010blue"/>
          <w:rFonts w:ascii="Book Antiqua" w:hAnsi="Book Antiqua"/>
          <w:b/>
          <w:color w:val="000000" w:themeColor="text1"/>
        </w:rPr>
        <w:t xml:space="preserve"> </w:t>
      </w:r>
      <w:r w:rsidRPr="00FC078E">
        <w:rPr>
          <w:rStyle w:val="dxebaseoffice2010blue"/>
          <w:rFonts w:ascii="Book Antiqua" w:hAnsi="Book Antiqua"/>
          <w:color w:val="000000" w:themeColor="text1"/>
        </w:rPr>
        <w:t>Intestinal metaplasia</w:t>
      </w:r>
      <w:r w:rsidRPr="00FC078E">
        <w:rPr>
          <w:rStyle w:val="dxebaseoffice2010blue"/>
          <w:rFonts w:ascii="Book Antiqua" w:hAnsi="Book Antiqua"/>
          <w:color w:val="000000" w:themeColor="text1"/>
          <w:lang w:eastAsia="zh-CN"/>
        </w:rPr>
        <w:t>.</w:t>
      </w:r>
    </w:p>
    <w:p w14:paraId="4C925E3B" w14:textId="77777777" w:rsidR="0073262B" w:rsidRPr="00FC078E" w:rsidRDefault="0073262B" w:rsidP="00FC078E">
      <w:pPr>
        <w:adjustRightInd w:val="0"/>
        <w:snapToGrid w:val="0"/>
        <w:spacing w:line="360" w:lineRule="auto"/>
        <w:jc w:val="both"/>
        <w:rPr>
          <w:rFonts w:ascii="Book Antiqua" w:hAnsi="Book Antiqua"/>
          <w:color w:val="000000" w:themeColor="text1"/>
          <w:lang w:eastAsia="zh-CN"/>
        </w:rPr>
      </w:pPr>
    </w:p>
    <w:p w14:paraId="2C0E9640" w14:textId="2E17D3BD" w:rsidR="00295F95" w:rsidRPr="00FC078E" w:rsidRDefault="0073262B"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t>Table 6 TAIM staging</w:t>
      </w:r>
    </w:p>
    <w:tbl>
      <w:tblPr>
        <w:tblStyle w:val="a3"/>
        <w:tblW w:w="8755" w:type="dxa"/>
        <w:tblInd w:w="-23"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68"/>
        <w:gridCol w:w="2129"/>
        <w:gridCol w:w="2129"/>
        <w:gridCol w:w="2129"/>
      </w:tblGrid>
      <w:tr w:rsidR="0073262B" w:rsidRPr="00FC078E" w14:paraId="53643A22" w14:textId="77777777" w:rsidTr="00A47FC9">
        <w:trPr>
          <w:trHeight w:val="573"/>
        </w:trPr>
        <w:tc>
          <w:tcPr>
            <w:tcW w:w="2368" w:type="dxa"/>
            <w:vMerge w:val="restart"/>
            <w:tcBorders>
              <w:top w:val="single" w:sz="4" w:space="0" w:color="000000" w:themeColor="text1"/>
            </w:tcBorders>
            <w:shd w:val="clear" w:color="auto" w:fill="auto"/>
            <w:vAlign w:val="center"/>
          </w:tcPr>
          <w:p w14:paraId="46A6D743" w14:textId="309E61F0" w:rsidR="0073262B" w:rsidRPr="00FC078E" w:rsidRDefault="0073262B"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b/>
                <w:color w:val="000000" w:themeColor="text1"/>
              </w:rPr>
              <w:t>Severity</w:t>
            </w:r>
          </w:p>
        </w:tc>
        <w:tc>
          <w:tcPr>
            <w:tcW w:w="2129" w:type="dxa"/>
            <w:tcBorders>
              <w:top w:val="single" w:sz="4" w:space="0" w:color="000000" w:themeColor="text1"/>
              <w:bottom w:val="single" w:sz="4" w:space="0" w:color="000000" w:themeColor="text1"/>
            </w:tcBorders>
            <w:shd w:val="clear" w:color="auto" w:fill="auto"/>
            <w:vAlign w:val="center"/>
          </w:tcPr>
          <w:p w14:paraId="099D0028" w14:textId="77777777"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Location</w:t>
            </w:r>
          </w:p>
        </w:tc>
        <w:tc>
          <w:tcPr>
            <w:tcW w:w="2129" w:type="dxa"/>
            <w:tcBorders>
              <w:top w:val="single" w:sz="4" w:space="0" w:color="000000" w:themeColor="text1"/>
              <w:bottom w:val="single" w:sz="4" w:space="0" w:color="000000" w:themeColor="text1"/>
            </w:tcBorders>
            <w:shd w:val="clear" w:color="auto" w:fill="auto"/>
            <w:vAlign w:val="center"/>
          </w:tcPr>
          <w:p w14:paraId="671BB7B3" w14:textId="77777777" w:rsidR="0073262B" w:rsidRPr="00FC078E" w:rsidRDefault="0073262B" w:rsidP="00FC078E">
            <w:pPr>
              <w:adjustRightInd w:val="0"/>
              <w:snapToGrid w:val="0"/>
              <w:spacing w:line="360" w:lineRule="auto"/>
              <w:jc w:val="both"/>
              <w:rPr>
                <w:rFonts w:ascii="Book Antiqua" w:hAnsi="Book Antiqua"/>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2D633E92" w14:textId="77777777" w:rsidR="0073262B" w:rsidRPr="00FC078E" w:rsidRDefault="0073262B" w:rsidP="00FC078E">
            <w:pPr>
              <w:adjustRightInd w:val="0"/>
              <w:snapToGrid w:val="0"/>
              <w:spacing w:line="360" w:lineRule="auto"/>
              <w:jc w:val="both"/>
              <w:rPr>
                <w:rFonts w:ascii="Book Antiqua" w:hAnsi="Book Antiqua"/>
                <w:color w:val="000000" w:themeColor="text1"/>
              </w:rPr>
            </w:pPr>
          </w:p>
        </w:tc>
      </w:tr>
      <w:tr w:rsidR="0073262B" w:rsidRPr="00FC078E" w14:paraId="76CBBBB9" w14:textId="77777777" w:rsidTr="00A47FC9">
        <w:trPr>
          <w:trHeight w:val="573"/>
        </w:trPr>
        <w:tc>
          <w:tcPr>
            <w:tcW w:w="2368" w:type="dxa"/>
            <w:vMerge/>
            <w:tcBorders>
              <w:bottom w:val="single" w:sz="4" w:space="0" w:color="000000" w:themeColor="text1"/>
            </w:tcBorders>
            <w:shd w:val="clear" w:color="auto" w:fill="auto"/>
            <w:vAlign w:val="center"/>
          </w:tcPr>
          <w:p w14:paraId="4717150D" w14:textId="75E36B75" w:rsidR="0073262B" w:rsidRPr="00FC078E" w:rsidRDefault="0073262B" w:rsidP="00FC078E">
            <w:pPr>
              <w:adjustRightInd w:val="0"/>
              <w:snapToGrid w:val="0"/>
              <w:spacing w:line="360" w:lineRule="auto"/>
              <w:jc w:val="both"/>
              <w:rPr>
                <w:rFonts w:ascii="Book Antiqua" w:hAnsi="Book Antiqua"/>
                <w:b/>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5B8F605F" w14:textId="77777777"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Antrum</w:t>
            </w:r>
          </w:p>
        </w:tc>
        <w:tc>
          <w:tcPr>
            <w:tcW w:w="2129" w:type="dxa"/>
            <w:tcBorders>
              <w:top w:val="single" w:sz="4" w:space="0" w:color="000000" w:themeColor="text1"/>
              <w:bottom w:val="single" w:sz="4" w:space="0" w:color="000000" w:themeColor="text1"/>
            </w:tcBorders>
            <w:shd w:val="clear" w:color="auto" w:fill="auto"/>
            <w:vAlign w:val="center"/>
          </w:tcPr>
          <w:p w14:paraId="267115BF" w14:textId="77777777"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Corpus</w:t>
            </w:r>
          </w:p>
        </w:tc>
        <w:tc>
          <w:tcPr>
            <w:tcW w:w="2129" w:type="dxa"/>
            <w:tcBorders>
              <w:top w:val="single" w:sz="4" w:space="0" w:color="000000" w:themeColor="text1"/>
              <w:bottom w:val="single" w:sz="4" w:space="0" w:color="000000" w:themeColor="text1"/>
            </w:tcBorders>
            <w:shd w:val="clear" w:color="auto" w:fill="auto"/>
            <w:vAlign w:val="center"/>
          </w:tcPr>
          <w:p w14:paraId="5B5C162E" w14:textId="77777777" w:rsidR="0073262B" w:rsidRPr="00FC078E" w:rsidRDefault="0073262B"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Whole stomach</w:t>
            </w:r>
          </w:p>
        </w:tc>
      </w:tr>
      <w:tr w:rsidR="007B44BC" w:rsidRPr="00FC078E" w14:paraId="53E64BFC" w14:textId="77777777" w:rsidTr="0073262B">
        <w:trPr>
          <w:trHeight w:val="574"/>
        </w:trPr>
        <w:tc>
          <w:tcPr>
            <w:tcW w:w="2368" w:type="dxa"/>
            <w:tcBorders>
              <w:top w:val="single" w:sz="4" w:space="0" w:color="000000" w:themeColor="text1"/>
            </w:tcBorders>
            <w:shd w:val="clear" w:color="auto" w:fill="auto"/>
            <w:vAlign w:val="center"/>
          </w:tcPr>
          <w:p w14:paraId="00EDA05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No atrophy/IM</w:t>
            </w:r>
          </w:p>
        </w:tc>
        <w:tc>
          <w:tcPr>
            <w:tcW w:w="2129" w:type="dxa"/>
            <w:tcBorders>
              <w:top w:val="single" w:sz="4" w:space="0" w:color="000000" w:themeColor="text1"/>
            </w:tcBorders>
            <w:shd w:val="clear" w:color="auto" w:fill="auto"/>
            <w:vAlign w:val="center"/>
          </w:tcPr>
          <w:p w14:paraId="372C23D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w:t>
            </w:r>
          </w:p>
        </w:tc>
        <w:tc>
          <w:tcPr>
            <w:tcW w:w="2129" w:type="dxa"/>
            <w:tcBorders>
              <w:top w:val="single" w:sz="4" w:space="0" w:color="000000" w:themeColor="text1"/>
            </w:tcBorders>
            <w:shd w:val="clear" w:color="auto" w:fill="auto"/>
            <w:vAlign w:val="center"/>
          </w:tcPr>
          <w:p w14:paraId="33687FF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w:t>
            </w:r>
          </w:p>
        </w:tc>
        <w:tc>
          <w:tcPr>
            <w:tcW w:w="2129" w:type="dxa"/>
            <w:tcBorders>
              <w:top w:val="single" w:sz="4" w:space="0" w:color="000000" w:themeColor="text1"/>
            </w:tcBorders>
            <w:shd w:val="clear" w:color="auto" w:fill="auto"/>
            <w:vAlign w:val="center"/>
          </w:tcPr>
          <w:p w14:paraId="4B032D1B"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1/74</w:t>
            </w:r>
          </w:p>
        </w:tc>
      </w:tr>
      <w:tr w:rsidR="007B44BC" w:rsidRPr="00FC078E" w14:paraId="31746208" w14:textId="77777777" w:rsidTr="0073262B">
        <w:trPr>
          <w:trHeight w:val="573"/>
        </w:trPr>
        <w:tc>
          <w:tcPr>
            <w:tcW w:w="2368" w:type="dxa"/>
            <w:shd w:val="clear" w:color="auto" w:fill="auto"/>
            <w:vAlign w:val="center"/>
          </w:tcPr>
          <w:p w14:paraId="44FDE0F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Mild atrophy /IM</w:t>
            </w:r>
          </w:p>
        </w:tc>
        <w:tc>
          <w:tcPr>
            <w:tcW w:w="2129" w:type="dxa"/>
            <w:shd w:val="clear" w:color="auto" w:fill="auto"/>
            <w:vAlign w:val="center"/>
          </w:tcPr>
          <w:p w14:paraId="5AABEBB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0/14</w:t>
            </w:r>
          </w:p>
        </w:tc>
        <w:tc>
          <w:tcPr>
            <w:tcW w:w="2129" w:type="dxa"/>
            <w:shd w:val="clear" w:color="auto" w:fill="auto"/>
            <w:vAlign w:val="center"/>
          </w:tcPr>
          <w:p w14:paraId="107FE8F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1/87</w:t>
            </w:r>
          </w:p>
        </w:tc>
        <w:tc>
          <w:tcPr>
            <w:tcW w:w="2129" w:type="dxa"/>
            <w:shd w:val="clear" w:color="auto" w:fill="auto"/>
            <w:vAlign w:val="center"/>
          </w:tcPr>
          <w:p w14:paraId="1617FDE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0/35</w:t>
            </w:r>
          </w:p>
        </w:tc>
      </w:tr>
      <w:tr w:rsidR="007B44BC" w:rsidRPr="00FC078E" w14:paraId="71CE7203" w14:textId="77777777" w:rsidTr="0073262B">
        <w:trPr>
          <w:trHeight w:val="573"/>
        </w:trPr>
        <w:tc>
          <w:tcPr>
            <w:tcW w:w="2368" w:type="dxa"/>
            <w:shd w:val="clear" w:color="auto" w:fill="auto"/>
            <w:vAlign w:val="center"/>
          </w:tcPr>
          <w:p w14:paraId="58E1A1F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Moderate atrophy /IM</w:t>
            </w:r>
          </w:p>
        </w:tc>
        <w:tc>
          <w:tcPr>
            <w:tcW w:w="2129" w:type="dxa"/>
            <w:shd w:val="clear" w:color="auto" w:fill="auto"/>
            <w:vAlign w:val="center"/>
          </w:tcPr>
          <w:p w14:paraId="630EC75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0/5</w:t>
            </w:r>
          </w:p>
        </w:tc>
        <w:tc>
          <w:tcPr>
            <w:tcW w:w="2129" w:type="dxa"/>
            <w:shd w:val="clear" w:color="auto" w:fill="auto"/>
            <w:vAlign w:val="center"/>
          </w:tcPr>
          <w:p w14:paraId="490202D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4/260</w:t>
            </w:r>
          </w:p>
        </w:tc>
        <w:tc>
          <w:tcPr>
            <w:tcW w:w="2129" w:type="dxa"/>
            <w:shd w:val="clear" w:color="auto" w:fill="auto"/>
            <w:vAlign w:val="center"/>
          </w:tcPr>
          <w:p w14:paraId="6D33A85A"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8/235</w:t>
            </w:r>
          </w:p>
        </w:tc>
      </w:tr>
      <w:tr w:rsidR="007B44BC" w:rsidRPr="00FC078E" w14:paraId="62BD3115" w14:textId="77777777" w:rsidTr="0073262B">
        <w:trPr>
          <w:trHeight w:val="574"/>
        </w:trPr>
        <w:tc>
          <w:tcPr>
            <w:tcW w:w="2368" w:type="dxa"/>
            <w:shd w:val="clear" w:color="auto" w:fill="auto"/>
            <w:vAlign w:val="center"/>
          </w:tcPr>
          <w:p w14:paraId="17F8DDE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Marked atrophy /IM</w:t>
            </w:r>
          </w:p>
        </w:tc>
        <w:tc>
          <w:tcPr>
            <w:tcW w:w="2129" w:type="dxa"/>
            <w:shd w:val="clear" w:color="auto" w:fill="auto"/>
            <w:vAlign w:val="center"/>
          </w:tcPr>
          <w:p w14:paraId="416556F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w:t>
            </w:r>
          </w:p>
        </w:tc>
        <w:tc>
          <w:tcPr>
            <w:tcW w:w="2129" w:type="dxa"/>
            <w:shd w:val="clear" w:color="auto" w:fill="auto"/>
            <w:vAlign w:val="center"/>
          </w:tcPr>
          <w:p w14:paraId="67C5DAC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5/179</w:t>
            </w:r>
          </w:p>
        </w:tc>
        <w:tc>
          <w:tcPr>
            <w:tcW w:w="2129" w:type="dxa"/>
            <w:shd w:val="clear" w:color="auto" w:fill="auto"/>
            <w:vAlign w:val="center"/>
          </w:tcPr>
          <w:p w14:paraId="2C661194"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9/248</w:t>
            </w:r>
          </w:p>
        </w:tc>
      </w:tr>
    </w:tbl>
    <w:p w14:paraId="13F0D8B7" w14:textId="631A8B22" w:rsidR="00295F95" w:rsidRPr="00FC078E" w:rsidRDefault="0073262B" w:rsidP="00FC078E">
      <w:pPr>
        <w:adjustRightInd w:val="0"/>
        <w:snapToGrid w:val="0"/>
        <w:spacing w:line="360" w:lineRule="auto"/>
        <w:jc w:val="both"/>
        <w:rPr>
          <w:rFonts w:ascii="Book Antiqua" w:hAnsi="Book Antiqua" w:cs="Times New Roman"/>
          <w:b/>
          <w:color w:val="000000" w:themeColor="text1"/>
          <w:lang w:val="en-US"/>
        </w:rPr>
      </w:pPr>
      <w:r w:rsidRPr="00FC078E">
        <w:rPr>
          <w:rFonts w:ascii="Book Antiqua" w:hAnsi="Book Antiqua" w:cs="Times New Roman"/>
          <w:bCs/>
          <w:color w:val="000000" w:themeColor="text1"/>
          <w:lang w:val="en-US"/>
        </w:rPr>
        <w:t>Distribution of d</w:t>
      </w:r>
      <w:r w:rsidR="00264E57" w:rsidRPr="00FC078E">
        <w:rPr>
          <w:rFonts w:ascii="Book Antiqua" w:hAnsi="Book Antiqua" w:cs="Times New Roman"/>
          <w:bCs/>
          <w:color w:val="000000" w:themeColor="text1"/>
          <w:lang w:val="en-US"/>
        </w:rPr>
        <w:t>iagnosed gastric cancer cases/</w:t>
      </w:r>
      <w:r w:rsidRPr="00FC078E">
        <w:rPr>
          <w:rFonts w:ascii="Book Antiqua" w:hAnsi="Book Antiqua" w:cs="Times New Roman"/>
          <w:bCs/>
          <w:color w:val="000000" w:themeColor="text1"/>
          <w:lang w:val="en-US"/>
        </w:rPr>
        <w:t>the amount of the participants.</w:t>
      </w:r>
      <w:r w:rsidRPr="00FC078E">
        <w:rPr>
          <w:rFonts w:ascii="Book Antiqua" w:hAnsi="Book Antiqua" w:cs="Times New Roman"/>
          <w:bCs/>
          <w:color w:val="000000" w:themeColor="text1"/>
          <w:lang w:val="en-US" w:eastAsia="zh-CN"/>
        </w:rPr>
        <w:t xml:space="preserve"> IM:</w:t>
      </w:r>
      <w:r w:rsidRPr="00FC078E">
        <w:rPr>
          <w:rStyle w:val="dxebaseoffice2010blue"/>
          <w:rFonts w:ascii="Book Antiqua" w:hAnsi="Book Antiqua"/>
          <w:b/>
          <w:color w:val="000000" w:themeColor="text1"/>
        </w:rPr>
        <w:t xml:space="preserve"> </w:t>
      </w:r>
      <w:r w:rsidRPr="00FC078E">
        <w:rPr>
          <w:rStyle w:val="dxebaseoffice2010blue"/>
          <w:rFonts w:ascii="Book Antiqua" w:hAnsi="Book Antiqua"/>
          <w:color w:val="000000" w:themeColor="text1"/>
        </w:rPr>
        <w:t>Intestinal metaplasia</w:t>
      </w:r>
      <w:r w:rsidRPr="00FC078E">
        <w:rPr>
          <w:rStyle w:val="dxebaseoffice2010blue"/>
          <w:rFonts w:ascii="Book Antiqua" w:hAnsi="Book Antiqua"/>
          <w:color w:val="000000" w:themeColor="text1"/>
          <w:lang w:eastAsia="zh-CN"/>
        </w:rPr>
        <w:t>.</w:t>
      </w:r>
    </w:p>
    <w:p w14:paraId="19B6A11A" w14:textId="77777777" w:rsidR="00295F95" w:rsidRPr="00FC078E" w:rsidRDefault="00295F95" w:rsidP="00FC078E">
      <w:pPr>
        <w:adjustRightInd w:val="0"/>
        <w:snapToGrid w:val="0"/>
        <w:spacing w:line="360" w:lineRule="auto"/>
        <w:jc w:val="both"/>
        <w:rPr>
          <w:rFonts w:ascii="Book Antiqua" w:hAnsi="Book Antiqua" w:cs="Times New Roman"/>
          <w:b/>
          <w:color w:val="000000" w:themeColor="text1"/>
          <w:lang w:val="en-US"/>
        </w:rPr>
      </w:pPr>
    </w:p>
    <w:p w14:paraId="48837069" w14:textId="77777777" w:rsidR="0073262B" w:rsidRPr="00FC078E" w:rsidRDefault="0073262B" w:rsidP="00FC078E">
      <w:pPr>
        <w:adjustRightInd w:val="0"/>
        <w:snapToGrid w:val="0"/>
        <w:spacing w:line="360" w:lineRule="auto"/>
        <w:jc w:val="both"/>
        <w:rPr>
          <w:rFonts w:ascii="Book Antiqua" w:hAnsi="Book Antiqua" w:cs="Times New Roman"/>
          <w:bCs/>
          <w:color w:val="000000" w:themeColor="text1"/>
          <w:lang w:val="en-US"/>
        </w:rPr>
      </w:pPr>
      <w:r w:rsidRPr="00FC078E">
        <w:rPr>
          <w:rFonts w:ascii="Book Antiqua" w:hAnsi="Book Antiqua" w:cs="Times New Roman"/>
          <w:bCs/>
          <w:color w:val="000000" w:themeColor="text1"/>
          <w:lang w:val="en-US"/>
        </w:rPr>
        <w:br w:type="page"/>
      </w:r>
    </w:p>
    <w:p w14:paraId="19D953CE" w14:textId="3293F3A7" w:rsidR="008B4998"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Table 7 Gastric cancer cases during the follow-up period by</w:t>
      </w:r>
      <w:r w:rsidR="0059002A" w:rsidRPr="00FC078E">
        <w:rPr>
          <w:rFonts w:ascii="Book Antiqua" w:hAnsi="Book Antiqua" w:cs="Times New Roman"/>
          <w:b/>
          <w:bCs/>
          <w:color w:val="000000" w:themeColor="text1"/>
          <w:lang w:val="en-US"/>
        </w:rPr>
        <w:t xml:space="preserve"> </w:t>
      </w:r>
      <w:r w:rsidR="008B4998" w:rsidRPr="00FC078E">
        <w:rPr>
          <w:rStyle w:val="dxebaseoffice2010blue"/>
          <w:rFonts w:ascii="Book Antiqua" w:hAnsi="Book Antiqua"/>
          <w:b/>
          <w:color w:val="000000" w:themeColor="text1"/>
        </w:rPr>
        <w:t>operative link for gastritis assessment</w:t>
      </w:r>
      <w:r w:rsidR="0059002A" w:rsidRPr="00FC078E">
        <w:rPr>
          <w:rFonts w:ascii="Book Antiqua" w:hAnsi="Book Antiqua" w:cs="Times New Roman"/>
          <w:b/>
          <w:bCs/>
          <w:color w:val="000000" w:themeColor="text1"/>
          <w:lang w:val="en-US"/>
        </w:rPr>
        <w:t xml:space="preserve">, </w:t>
      </w:r>
      <w:r w:rsidR="008B4998" w:rsidRPr="00FC078E">
        <w:rPr>
          <w:rStyle w:val="dxebaseoffice2010blue"/>
          <w:rFonts w:ascii="Book Antiqua" w:hAnsi="Book Antiqua"/>
          <w:b/>
          <w:color w:val="000000" w:themeColor="text1"/>
        </w:rPr>
        <w:t>operative link on gastric intestinal metaplasia assessment</w:t>
      </w:r>
      <w:r w:rsidR="0059002A" w:rsidRPr="00FC078E">
        <w:rPr>
          <w:rFonts w:ascii="Book Antiqua" w:hAnsi="Book Antiqua" w:cs="Times New Roman"/>
          <w:b/>
          <w:bCs/>
          <w:color w:val="000000" w:themeColor="text1"/>
          <w:lang w:val="en-US"/>
        </w:rPr>
        <w:t xml:space="preserve">, and TAIM </w:t>
      </w:r>
      <w:proofErr w:type="spellStart"/>
      <w:r w:rsidR="0059002A" w:rsidRPr="00FC078E">
        <w:rPr>
          <w:rFonts w:ascii="Book Antiqua" w:hAnsi="Book Antiqua" w:cs="Times New Roman"/>
          <w:b/>
          <w:bCs/>
          <w:color w:val="000000" w:themeColor="text1"/>
          <w:lang w:val="en-US"/>
        </w:rPr>
        <w:t>stagings</w:t>
      </w:r>
      <w:proofErr w:type="spellEnd"/>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631"/>
        <w:gridCol w:w="1682"/>
        <w:gridCol w:w="1625"/>
        <w:gridCol w:w="1681"/>
        <w:gridCol w:w="1681"/>
      </w:tblGrid>
      <w:tr w:rsidR="007B44BC" w:rsidRPr="00FC078E" w14:paraId="4BC7A81F" w14:textId="77777777" w:rsidTr="00264E57">
        <w:tc>
          <w:tcPr>
            <w:tcW w:w="1703" w:type="dxa"/>
            <w:tcBorders>
              <w:top w:val="single" w:sz="4" w:space="0" w:color="auto"/>
              <w:bottom w:val="single" w:sz="4" w:space="0" w:color="auto"/>
            </w:tcBorders>
          </w:tcPr>
          <w:p w14:paraId="0ABB33E7"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p>
        </w:tc>
        <w:tc>
          <w:tcPr>
            <w:tcW w:w="1703" w:type="dxa"/>
            <w:tcBorders>
              <w:top w:val="single" w:sz="4" w:space="0" w:color="auto"/>
              <w:bottom w:val="single" w:sz="4" w:space="0" w:color="auto"/>
            </w:tcBorders>
            <w:vAlign w:val="center"/>
          </w:tcPr>
          <w:p w14:paraId="4AC2D41F"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Cases/Men</w:t>
            </w:r>
          </w:p>
        </w:tc>
        <w:tc>
          <w:tcPr>
            <w:tcW w:w="1703" w:type="dxa"/>
            <w:tcBorders>
              <w:top w:val="single" w:sz="4" w:space="0" w:color="auto"/>
              <w:bottom w:val="single" w:sz="4" w:space="0" w:color="auto"/>
            </w:tcBorders>
            <w:vAlign w:val="center"/>
          </w:tcPr>
          <w:p w14:paraId="2F5093BC"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w:t>
            </w:r>
          </w:p>
        </w:tc>
        <w:tc>
          <w:tcPr>
            <w:tcW w:w="1703" w:type="dxa"/>
            <w:tcBorders>
              <w:top w:val="single" w:sz="4" w:space="0" w:color="auto"/>
              <w:bottom w:val="single" w:sz="4" w:space="0" w:color="auto"/>
            </w:tcBorders>
            <w:vAlign w:val="center"/>
          </w:tcPr>
          <w:p w14:paraId="41407168"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Sensitivity (%)</w:t>
            </w:r>
          </w:p>
        </w:tc>
        <w:tc>
          <w:tcPr>
            <w:tcW w:w="1704" w:type="dxa"/>
            <w:tcBorders>
              <w:top w:val="single" w:sz="4" w:space="0" w:color="auto"/>
              <w:bottom w:val="single" w:sz="4" w:space="0" w:color="auto"/>
            </w:tcBorders>
            <w:vAlign w:val="center"/>
          </w:tcPr>
          <w:p w14:paraId="604B8203" w14:textId="77777777" w:rsidR="00295F95" w:rsidRPr="00FC078E" w:rsidRDefault="00295F95" w:rsidP="00FC078E">
            <w:pPr>
              <w:adjustRightInd w:val="0"/>
              <w:snapToGrid w:val="0"/>
              <w:spacing w:line="360" w:lineRule="auto"/>
              <w:jc w:val="both"/>
              <w:rPr>
                <w:rFonts w:ascii="Book Antiqua" w:hAnsi="Book Antiqua"/>
                <w:b/>
                <w:color w:val="000000" w:themeColor="text1"/>
              </w:rPr>
            </w:pPr>
            <w:r w:rsidRPr="00FC078E">
              <w:rPr>
                <w:rFonts w:ascii="Book Antiqua" w:hAnsi="Book Antiqua"/>
                <w:b/>
                <w:color w:val="000000" w:themeColor="text1"/>
              </w:rPr>
              <w:t>Specificity (%)</w:t>
            </w:r>
          </w:p>
        </w:tc>
      </w:tr>
      <w:tr w:rsidR="008B4998" w:rsidRPr="00FC078E" w14:paraId="6E7F19E9" w14:textId="77777777" w:rsidTr="00264E57">
        <w:tc>
          <w:tcPr>
            <w:tcW w:w="8516" w:type="dxa"/>
            <w:gridSpan w:val="5"/>
            <w:tcBorders>
              <w:top w:val="single" w:sz="4" w:space="0" w:color="auto"/>
            </w:tcBorders>
          </w:tcPr>
          <w:p w14:paraId="78E46EE4" w14:textId="7D831ADA" w:rsidR="008B4998" w:rsidRPr="00FC078E" w:rsidRDefault="008B4998"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OLGA</w:t>
            </w:r>
          </w:p>
        </w:tc>
      </w:tr>
      <w:tr w:rsidR="007B44BC" w:rsidRPr="00FC078E" w14:paraId="24294AB9" w14:textId="77777777" w:rsidTr="00264E57">
        <w:tc>
          <w:tcPr>
            <w:tcW w:w="1703" w:type="dxa"/>
          </w:tcPr>
          <w:p w14:paraId="1D11EDD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0-II</w:t>
            </w:r>
          </w:p>
        </w:tc>
        <w:tc>
          <w:tcPr>
            <w:tcW w:w="1703" w:type="dxa"/>
          </w:tcPr>
          <w:p w14:paraId="53DF189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22/963</w:t>
            </w:r>
          </w:p>
        </w:tc>
        <w:tc>
          <w:tcPr>
            <w:tcW w:w="1703" w:type="dxa"/>
          </w:tcPr>
          <w:p w14:paraId="30C03D5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2.28</w:t>
            </w:r>
          </w:p>
        </w:tc>
        <w:tc>
          <w:tcPr>
            <w:tcW w:w="1703" w:type="dxa"/>
          </w:tcPr>
          <w:p w14:paraId="59FEFC10"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21.4</w:t>
            </w:r>
          </w:p>
        </w:tc>
        <w:tc>
          <w:tcPr>
            <w:tcW w:w="1704" w:type="dxa"/>
          </w:tcPr>
          <w:p w14:paraId="2618E58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84.9</w:t>
            </w:r>
          </w:p>
        </w:tc>
      </w:tr>
      <w:tr w:rsidR="007B44BC" w:rsidRPr="00FC078E" w14:paraId="5B717593" w14:textId="77777777" w:rsidTr="00264E57">
        <w:tc>
          <w:tcPr>
            <w:tcW w:w="1703" w:type="dxa"/>
          </w:tcPr>
          <w:p w14:paraId="5F24724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III-IV</w:t>
            </w:r>
          </w:p>
        </w:tc>
        <w:tc>
          <w:tcPr>
            <w:tcW w:w="1703" w:type="dxa"/>
          </w:tcPr>
          <w:p w14:paraId="1440C3D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6/174</w:t>
            </w:r>
          </w:p>
        </w:tc>
        <w:tc>
          <w:tcPr>
            <w:tcW w:w="1703" w:type="dxa"/>
          </w:tcPr>
          <w:p w14:paraId="13A5015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3.45</w:t>
            </w:r>
          </w:p>
        </w:tc>
        <w:tc>
          <w:tcPr>
            <w:tcW w:w="1703" w:type="dxa"/>
          </w:tcPr>
          <w:p w14:paraId="3C314D55"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4A7090D7"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8B4998" w:rsidRPr="00FC078E" w14:paraId="6D2A1D7E" w14:textId="77777777" w:rsidTr="00264E57">
        <w:tc>
          <w:tcPr>
            <w:tcW w:w="8516" w:type="dxa"/>
            <w:gridSpan w:val="5"/>
          </w:tcPr>
          <w:p w14:paraId="6665DF08" w14:textId="217C23A3" w:rsidR="008B4998" w:rsidRPr="00FC078E" w:rsidRDefault="008B4998"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OLGIM</w:t>
            </w:r>
          </w:p>
        </w:tc>
      </w:tr>
      <w:tr w:rsidR="007B44BC" w:rsidRPr="00FC078E" w14:paraId="41879FB2" w14:textId="77777777" w:rsidTr="00264E57">
        <w:tc>
          <w:tcPr>
            <w:tcW w:w="1703" w:type="dxa"/>
          </w:tcPr>
          <w:p w14:paraId="03BA5C5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0-II</w:t>
            </w:r>
          </w:p>
        </w:tc>
        <w:tc>
          <w:tcPr>
            <w:tcW w:w="1703" w:type="dxa"/>
          </w:tcPr>
          <w:p w14:paraId="1F7643B7"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19/925</w:t>
            </w:r>
          </w:p>
        </w:tc>
        <w:tc>
          <w:tcPr>
            <w:tcW w:w="1703" w:type="dxa"/>
          </w:tcPr>
          <w:p w14:paraId="1710747D"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2.05</w:t>
            </w:r>
          </w:p>
        </w:tc>
        <w:tc>
          <w:tcPr>
            <w:tcW w:w="1703" w:type="dxa"/>
          </w:tcPr>
          <w:p w14:paraId="6D518AF1"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32.1</w:t>
            </w:r>
          </w:p>
        </w:tc>
        <w:tc>
          <w:tcPr>
            <w:tcW w:w="1704" w:type="dxa"/>
          </w:tcPr>
          <w:p w14:paraId="6C4C2DD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81.4</w:t>
            </w:r>
          </w:p>
        </w:tc>
      </w:tr>
      <w:tr w:rsidR="007B44BC" w:rsidRPr="00FC078E" w14:paraId="4221C986" w14:textId="77777777" w:rsidTr="00264E57">
        <w:tc>
          <w:tcPr>
            <w:tcW w:w="1703" w:type="dxa"/>
          </w:tcPr>
          <w:p w14:paraId="0B063C9E"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III-IV</w:t>
            </w:r>
          </w:p>
        </w:tc>
        <w:tc>
          <w:tcPr>
            <w:tcW w:w="1703" w:type="dxa"/>
          </w:tcPr>
          <w:p w14:paraId="095041C8"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9/215</w:t>
            </w:r>
          </w:p>
        </w:tc>
        <w:tc>
          <w:tcPr>
            <w:tcW w:w="1703" w:type="dxa"/>
          </w:tcPr>
          <w:p w14:paraId="66F85AF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4.19</w:t>
            </w:r>
          </w:p>
        </w:tc>
        <w:tc>
          <w:tcPr>
            <w:tcW w:w="1703" w:type="dxa"/>
          </w:tcPr>
          <w:p w14:paraId="60C6903E"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3C98848C"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r w:rsidR="008B4998" w:rsidRPr="00FC078E" w14:paraId="471A132B" w14:textId="77777777" w:rsidTr="00264E57">
        <w:tc>
          <w:tcPr>
            <w:tcW w:w="8516" w:type="dxa"/>
            <w:gridSpan w:val="5"/>
          </w:tcPr>
          <w:p w14:paraId="5F1516D7" w14:textId="340B9D34" w:rsidR="008B4998" w:rsidRPr="00FC078E" w:rsidRDefault="008B4998" w:rsidP="00FC078E">
            <w:pPr>
              <w:adjustRightInd w:val="0"/>
              <w:snapToGrid w:val="0"/>
              <w:spacing w:line="360" w:lineRule="auto"/>
              <w:jc w:val="both"/>
              <w:rPr>
                <w:rFonts w:ascii="Book Antiqua" w:hAnsi="Book Antiqua"/>
                <w:color w:val="000000" w:themeColor="text1"/>
              </w:rPr>
            </w:pPr>
            <w:r w:rsidRPr="00FC078E">
              <w:rPr>
                <w:rFonts w:ascii="Book Antiqua" w:hAnsi="Book Antiqua"/>
                <w:b/>
                <w:color w:val="000000" w:themeColor="text1"/>
              </w:rPr>
              <w:t>TAIM</w:t>
            </w:r>
          </w:p>
        </w:tc>
      </w:tr>
      <w:tr w:rsidR="007B44BC" w:rsidRPr="00FC078E" w14:paraId="17897D99" w14:textId="77777777" w:rsidTr="00264E57">
        <w:tc>
          <w:tcPr>
            <w:tcW w:w="1703" w:type="dxa"/>
          </w:tcPr>
          <w:p w14:paraId="4E5E2306"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low</w:t>
            </w:r>
          </w:p>
        </w:tc>
        <w:tc>
          <w:tcPr>
            <w:tcW w:w="1703" w:type="dxa"/>
          </w:tcPr>
          <w:p w14:paraId="0C72852F"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6/475</w:t>
            </w:r>
          </w:p>
        </w:tc>
        <w:tc>
          <w:tcPr>
            <w:tcW w:w="1703" w:type="dxa"/>
          </w:tcPr>
          <w:p w14:paraId="206C140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1.26</w:t>
            </w:r>
          </w:p>
        </w:tc>
        <w:tc>
          <w:tcPr>
            <w:tcW w:w="1703" w:type="dxa"/>
          </w:tcPr>
          <w:p w14:paraId="6D49DE2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78.6</w:t>
            </w:r>
          </w:p>
        </w:tc>
        <w:tc>
          <w:tcPr>
            <w:tcW w:w="1704" w:type="dxa"/>
          </w:tcPr>
          <w:p w14:paraId="45DBAD05"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42.3</w:t>
            </w:r>
          </w:p>
        </w:tc>
      </w:tr>
      <w:tr w:rsidR="007B44BC" w:rsidRPr="00FC078E" w14:paraId="4BF7C980" w14:textId="77777777" w:rsidTr="00264E57">
        <w:tc>
          <w:tcPr>
            <w:tcW w:w="1703" w:type="dxa"/>
          </w:tcPr>
          <w:p w14:paraId="10A415D3"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high</w:t>
            </w:r>
          </w:p>
        </w:tc>
        <w:tc>
          <w:tcPr>
            <w:tcW w:w="1703" w:type="dxa"/>
          </w:tcPr>
          <w:p w14:paraId="01E5FED2"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22/662</w:t>
            </w:r>
          </w:p>
        </w:tc>
        <w:tc>
          <w:tcPr>
            <w:tcW w:w="1703" w:type="dxa"/>
          </w:tcPr>
          <w:p w14:paraId="6F6D767C" w14:textId="77777777" w:rsidR="00295F95" w:rsidRPr="00FC078E" w:rsidRDefault="00295F95" w:rsidP="00FC078E">
            <w:pPr>
              <w:adjustRightInd w:val="0"/>
              <w:snapToGrid w:val="0"/>
              <w:spacing w:line="360" w:lineRule="auto"/>
              <w:jc w:val="both"/>
              <w:rPr>
                <w:rFonts w:ascii="Book Antiqua" w:hAnsi="Book Antiqua"/>
                <w:color w:val="000000" w:themeColor="text1"/>
              </w:rPr>
            </w:pPr>
            <w:r w:rsidRPr="00FC078E">
              <w:rPr>
                <w:rFonts w:ascii="Book Antiqua" w:hAnsi="Book Antiqua"/>
                <w:color w:val="000000" w:themeColor="text1"/>
              </w:rPr>
              <w:t>3.32</w:t>
            </w:r>
          </w:p>
        </w:tc>
        <w:tc>
          <w:tcPr>
            <w:tcW w:w="1703" w:type="dxa"/>
          </w:tcPr>
          <w:p w14:paraId="556755BB"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7850B9E0" w14:textId="77777777" w:rsidR="00295F95" w:rsidRPr="00FC078E" w:rsidRDefault="00295F95" w:rsidP="00FC078E">
            <w:pPr>
              <w:adjustRightInd w:val="0"/>
              <w:snapToGrid w:val="0"/>
              <w:spacing w:line="360" w:lineRule="auto"/>
              <w:jc w:val="both"/>
              <w:rPr>
                <w:rFonts w:ascii="Book Antiqua" w:hAnsi="Book Antiqua"/>
                <w:color w:val="000000" w:themeColor="text1"/>
              </w:rPr>
            </w:pPr>
          </w:p>
        </w:tc>
      </w:tr>
    </w:tbl>
    <w:p w14:paraId="0C5871A5" w14:textId="77777777" w:rsidR="00264E57" w:rsidRPr="00FC078E" w:rsidRDefault="00264E57"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olor w:val="000000" w:themeColor="text1"/>
        </w:rPr>
        <w:t>OLGA</w:t>
      </w:r>
      <w:r w:rsidRPr="00FC078E">
        <w:rPr>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Operative link for gastritis assessment</w:t>
      </w:r>
      <w:r w:rsidRPr="00FC078E">
        <w:rPr>
          <w:rStyle w:val="dxebaseoffice2010blue"/>
          <w:rFonts w:ascii="Book Antiqua" w:hAnsi="Book Antiqua"/>
          <w:color w:val="000000" w:themeColor="text1"/>
          <w:lang w:eastAsia="zh-CN"/>
        </w:rPr>
        <w:t xml:space="preserve">; </w:t>
      </w:r>
      <w:r w:rsidRPr="00FC078E">
        <w:rPr>
          <w:rFonts w:ascii="Book Antiqua" w:hAnsi="Book Antiqua"/>
          <w:color w:val="000000" w:themeColor="text1"/>
        </w:rPr>
        <w:t>OLGIM</w:t>
      </w:r>
      <w:r w:rsidRPr="00FC078E">
        <w:rPr>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Operative link on gastric intestinal metaplasia assessment</w:t>
      </w:r>
      <w:r w:rsidRPr="00FC078E">
        <w:rPr>
          <w:rStyle w:val="dxebaseoffice2010blue"/>
          <w:rFonts w:ascii="Book Antiqua" w:hAnsi="Book Antiqua"/>
          <w:color w:val="000000" w:themeColor="text1"/>
          <w:lang w:eastAsia="zh-CN"/>
        </w:rPr>
        <w:t>.</w:t>
      </w:r>
    </w:p>
    <w:p w14:paraId="7BFA088A" w14:textId="77777777" w:rsidR="00295F95" w:rsidRPr="00FC078E" w:rsidRDefault="00295F95" w:rsidP="00FC078E">
      <w:pPr>
        <w:adjustRightInd w:val="0"/>
        <w:snapToGrid w:val="0"/>
        <w:spacing w:line="360" w:lineRule="auto"/>
        <w:jc w:val="both"/>
        <w:rPr>
          <w:rFonts w:ascii="Book Antiqua" w:hAnsi="Book Antiqua" w:cs="Times New Roman"/>
          <w:b/>
          <w:color w:val="000000" w:themeColor="text1"/>
          <w:lang w:val="en-US"/>
        </w:rPr>
      </w:pPr>
    </w:p>
    <w:p w14:paraId="20692BF9" w14:textId="77777777" w:rsidR="00264E57" w:rsidRPr="00FC078E" w:rsidRDefault="00264E57"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br w:type="page"/>
      </w:r>
    </w:p>
    <w:p w14:paraId="60366AB7" w14:textId="7B32E333"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FC078E">
        <w:rPr>
          <w:rFonts w:ascii="Book Antiqua" w:hAnsi="Book Antiqua" w:cs="Times New Roman"/>
          <w:b/>
          <w:bCs/>
          <w:color w:val="000000" w:themeColor="text1"/>
          <w:lang w:val="en-US"/>
        </w:rPr>
        <w:lastRenderedPageBreak/>
        <w:t>Table 8 Standardized incidence rates</w:t>
      </w:r>
      <w:r w:rsidR="00264E57" w:rsidRPr="00FC078E">
        <w:rPr>
          <w:rFonts w:ascii="Book Antiqua" w:hAnsi="Book Antiqua" w:cs="Times New Roman"/>
          <w:b/>
          <w:bCs/>
          <w:color w:val="000000" w:themeColor="text1"/>
          <w:lang w:val="en-US" w:eastAsia="zh-CN"/>
        </w:rPr>
        <w:t xml:space="preserve"> </w:t>
      </w:r>
      <w:r w:rsidRPr="00FC078E">
        <w:rPr>
          <w:rFonts w:ascii="Book Antiqua" w:hAnsi="Book Antiqua" w:cs="Times New Roman"/>
          <w:b/>
          <w:bCs/>
          <w:color w:val="000000" w:themeColor="text1"/>
          <w:lang w:val="en-US"/>
        </w:rPr>
        <w:t>of general male population compared to low and high-risk patients in</w:t>
      </w:r>
      <w:r w:rsidR="00264E57" w:rsidRPr="00FC078E">
        <w:rPr>
          <w:rStyle w:val="dxebaseoffice2010blue"/>
          <w:rFonts w:ascii="Book Antiqua" w:hAnsi="Book Antiqua"/>
          <w:b/>
          <w:color w:val="000000" w:themeColor="text1"/>
        </w:rPr>
        <w:t xml:space="preserve"> operative link for gastritis assessment</w:t>
      </w:r>
      <w:r w:rsidR="00264E57" w:rsidRPr="00FC078E">
        <w:rPr>
          <w:rFonts w:ascii="Book Antiqua" w:hAnsi="Book Antiqua" w:cs="Times New Roman"/>
          <w:b/>
          <w:bCs/>
          <w:color w:val="000000" w:themeColor="text1"/>
          <w:lang w:val="en-US"/>
        </w:rPr>
        <w:t xml:space="preserve">, </w:t>
      </w:r>
      <w:r w:rsidR="00264E57" w:rsidRPr="00FC078E">
        <w:rPr>
          <w:rStyle w:val="dxebaseoffice2010blue"/>
          <w:rFonts w:ascii="Book Antiqua" w:hAnsi="Book Antiqua"/>
          <w:b/>
          <w:color w:val="000000" w:themeColor="text1"/>
        </w:rPr>
        <w:t>operative link on gastric intestinal metaplasia assessment</w:t>
      </w:r>
      <w:r w:rsidR="00264E57" w:rsidRPr="00FC078E">
        <w:rPr>
          <w:rFonts w:ascii="Book Antiqua" w:hAnsi="Book Antiqua" w:cs="Times New Roman"/>
          <w:b/>
          <w:bCs/>
          <w:color w:val="000000" w:themeColor="text1"/>
          <w:lang w:val="en-US"/>
        </w:rPr>
        <w:t>, and TAIM staging systems</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314"/>
        <w:gridCol w:w="2073"/>
        <w:gridCol w:w="2073"/>
      </w:tblGrid>
      <w:tr w:rsidR="007B44BC" w:rsidRPr="00FC078E" w14:paraId="0596E11B" w14:textId="77777777" w:rsidTr="00B73062">
        <w:tc>
          <w:tcPr>
            <w:tcW w:w="2830" w:type="dxa"/>
            <w:tcBorders>
              <w:top w:val="single" w:sz="4" w:space="0" w:color="000000" w:themeColor="text1"/>
              <w:bottom w:val="single" w:sz="4" w:space="0" w:color="000000" w:themeColor="text1"/>
            </w:tcBorders>
          </w:tcPr>
          <w:p w14:paraId="22A8E1CC"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1314" w:type="dxa"/>
            <w:tcBorders>
              <w:top w:val="single" w:sz="4" w:space="0" w:color="000000" w:themeColor="text1"/>
              <w:bottom w:val="single" w:sz="4" w:space="0" w:color="000000" w:themeColor="text1"/>
            </w:tcBorders>
            <w:vAlign w:val="center"/>
          </w:tcPr>
          <w:p w14:paraId="43EB177D" w14:textId="77777777" w:rsidR="00295F95" w:rsidRPr="00FC078E" w:rsidRDefault="00295F95" w:rsidP="00FC078E">
            <w:pPr>
              <w:adjustRightInd w:val="0"/>
              <w:snapToGrid w:val="0"/>
              <w:spacing w:line="360" w:lineRule="auto"/>
              <w:jc w:val="both"/>
              <w:rPr>
                <w:rFonts w:ascii="Book Antiqua" w:hAnsi="Book Antiqua" w:cs="Times New Roman"/>
                <w:b/>
                <w:bCs/>
                <w:color w:val="000000" w:themeColor="text1"/>
                <w:lang w:val="en-US"/>
              </w:rPr>
            </w:pPr>
            <w:r w:rsidRPr="00FC078E">
              <w:rPr>
                <w:rFonts w:ascii="Book Antiqua" w:hAnsi="Book Antiqua"/>
                <w:b/>
                <w:bCs/>
                <w:color w:val="000000" w:themeColor="text1"/>
                <w:lang w:val="en-US"/>
              </w:rPr>
              <w:t>SIR</w:t>
            </w:r>
          </w:p>
        </w:tc>
        <w:tc>
          <w:tcPr>
            <w:tcW w:w="2073" w:type="dxa"/>
            <w:tcBorders>
              <w:top w:val="single" w:sz="4" w:space="0" w:color="000000" w:themeColor="text1"/>
              <w:bottom w:val="single" w:sz="4" w:space="0" w:color="000000" w:themeColor="text1"/>
            </w:tcBorders>
            <w:vAlign w:val="center"/>
          </w:tcPr>
          <w:p w14:paraId="2CF10215" w14:textId="6AF63B1E" w:rsidR="00295F95" w:rsidRPr="00FC078E" w:rsidRDefault="00B86A90" w:rsidP="00FC078E">
            <w:pPr>
              <w:adjustRightInd w:val="0"/>
              <w:snapToGrid w:val="0"/>
              <w:spacing w:line="360" w:lineRule="auto"/>
              <w:jc w:val="both"/>
              <w:rPr>
                <w:rFonts w:ascii="Book Antiqua" w:hAnsi="Book Antiqua" w:cs="Times New Roman"/>
                <w:b/>
                <w:bCs/>
                <w:color w:val="000000" w:themeColor="text1"/>
                <w:lang w:val="en-US"/>
              </w:rPr>
            </w:pPr>
            <w:r>
              <w:rPr>
                <w:rFonts w:ascii="Book Antiqua" w:hAnsi="Book Antiqua"/>
                <w:b/>
                <w:bCs/>
                <w:color w:val="000000" w:themeColor="text1"/>
                <w:lang w:val="en-US"/>
              </w:rPr>
              <w:t>95%</w:t>
            </w:r>
            <w:r w:rsidR="00295F95" w:rsidRPr="00FC078E">
              <w:rPr>
                <w:rFonts w:ascii="Book Antiqua" w:hAnsi="Book Antiqua"/>
                <w:b/>
                <w:bCs/>
                <w:color w:val="000000" w:themeColor="text1"/>
                <w:lang w:val="en-US"/>
              </w:rPr>
              <w:t>CI</w:t>
            </w:r>
          </w:p>
        </w:tc>
        <w:tc>
          <w:tcPr>
            <w:tcW w:w="2073" w:type="dxa"/>
            <w:tcBorders>
              <w:top w:val="single" w:sz="4" w:space="0" w:color="000000" w:themeColor="text1"/>
              <w:bottom w:val="single" w:sz="4" w:space="0" w:color="000000" w:themeColor="text1"/>
            </w:tcBorders>
            <w:vAlign w:val="center"/>
          </w:tcPr>
          <w:p w14:paraId="34E9BA25" w14:textId="69907817" w:rsidR="00295F95" w:rsidRPr="00FC078E" w:rsidRDefault="00295F95" w:rsidP="00FC078E">
            <w:pPr>
              <w:adjustRightInd w:val="0"/>
              <w:snapToGrid w:val="0"/>
              <w:spacing w:line="360" w:lineRule="auto"/>
              <w:jc w:val="both"/>
              <w:rPr>
                <w:rFonts w:ascii="Book Antiqua" w:hAnsi="Book Antiqua" w:cs="Times New Roman"/>
                <w:b/>
                <w:bCs/>
                <w:i/>
                <w:iCs/>
                <w:color w:val="000000" w:themeColor="text1"/>
                <w:lang w:val="en-US" w:eastAsia="zh-CN"/>
              </w:rPr>
            </w:pPr>
            <w:r w:rsidRPr="00FC078E">
              <w:rPr>
                <w:rFonts w:ascii="Book Antiqua" w:hAnsi="Book Antiqua"/>
                <w:b/>
                <w:bCs/>
                <w:i/>
                <w:iCs/>
                <w:color w:val="000000" w:themeColor="text1"/>
                <w:lang w:val="en-US"/>
              </w:rPr>
              <w:t>P</w:t>
            </w:r>
            <w:r w:rsidR="00264E57" w:rsidRPr="00FC078E">
              <w:rPr>
                <w:rFonts w:ascii="Book Antiqua" w:hAnsi="Book Antiqua"/>
                <w:b/>
                <w:bCs/>
                <w:i/>
                <w:iCs/>
                <w:color w:val="000000" w:themeColor="text1"/>
                <w:lang w:val="en-US" w:eastAsia="zh-CN"/>
              </w:rPr>
              <w:t xml:space="preserve"> </w:t>
            </w:r>
            <w:r w:rsidR="00264E57" w:rsidRPr="00FC078E">
              <w:rPr>
                <w:rFonts w:ascii="Book Antiqua" w:hAnsi="Book Antiqua"/>
                <w:b/>
                <w:bCs/>
                <w:iCs/>
                <w:color w:val="000000" w:themeColor="text1"/>
                <w:lang w:val="en-US" w:eastAsia="zh-CN"/>
              </w:rPr>
              <w:t>value</w:t>
            </w:r>
          </w:p>
        </w:tc>
      </w:tr>
      <w:tr w:rsidR="00264E57" w:rsidRPr="00FC078E" w14:paraId="0C6A665C" w14:textId="77777777" w:rsidTr="00B73062">
        <w:tc>
          <w:tcPr>
            <w:tcW w:w="8290" w:type="dxa"/>
            <w:gridSpan w:val="4"/>
            <w:tcBorders>
              <w:top w:val="single" w:sz="4" w:space="0" w:color="000000" w:themeColor="text1"/>
            </w:tcBorders>
          </w:tcPr>
          <w:p w14:paraId="11192342" w14:textId="124DDE69" w:rsidR="00264E57" w:rsidRPr="00FC078E" w:rsidRDefault="00264E57"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b/>
                <w:bCs/>
                <w:color w:val="000000" w:themeColor="text1"/>
                <w:lang w:val="en-US"/>
              </w:rPr>
              <w:t>OLGA</w:t>
            </w:r>
          </w:p>
        </w:tc>
      </w:tr>
      <w:tr w:rsidR="007B44BC" w:rsidRPr="00FC078E" w14:paraId="6BA9258C" w14:textId="77777777" w:rsidTr="00B73062">
        <w:tc>
          <w:tcPr>
            <w:tcW w:w="2830" w:type="dxa"/>
          </w:tcPr>
          <w:p w14:paraId="68E5808E"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General population</w:t>
            </w:r>
          </w:p>
        </w:tc>
        <w:tc>
          <w:tcPr>
            <w:tcW w:w="1314" w:type="dxa"/>
            <w:vAlign w:val="center"/>
          </w:tcPr>
          <w:p w14:paraId="4781BD13"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1.00</w:t>
            </w:r>
          </w:p>
        </w:tc>
        <w:tc>
          <w:tcPr>
            <w:tcW w:w="2073" w:type="dxa"/>
            <w:vAlign w:val="center"/>
          </w:tcPr>
          <w:p w14:paraId="573F548C"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339B661D"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FC078E" w14:paraId="36917D60" w14:textId="77777777" w:rsidTr="00B73062">
        <w:tc>
          <w:tcPr>
            <w:tcW w:w="2830" w:type="dxa"/>
          </w:tcPr>
          <w:p w14:paraId="531262D8"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Low (0-II)</w:t>
            </w:r>
          </w:p>
        </w:tc>
        <w:tc>
          <w:tcPr>
            <w:tcW w:w="1314" w:type="dxa"/>
            <w:vAlign w:val="center"/>
          </w:tcPr>
          <w:p w14:paraId="0366E365"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2.10</w:t>
            </w:r>
          </w:p>
        </w:tc>
        <w:tc>
          <w:tcPr>
            <w:tcW w:w="2073" w:type="dxa"/>
            <w:vAlign w:val="center"/>
          </w:tcPr>
          <w:p w14:paraId="1D2E54E3"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1.32-3.18</w:t>
            </w:r>
          </w:p>
        </w:tc>
        <w:tc>
          <w:tcPr>
            <w:tcW w:w="2073" w:type="dxa"/>
            <w:vAlign w:val="center"/>
          </w:tcPr>
          <w:p w14:paraId="157B4EFA"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0.003</w:t>
            </w:r>
          </w:p>
        </w:tc>
      </w:tr>
      <w:tr w:rsidR="007B44BC" w:rsidRPr="00FC078E" w14:paraId="345B7104" w14:textId="77777777" w:rsidTr="00B73062">
        <w:tc>
          <w:tcPr>
            <w:tcW w:w="2830" w:type="dxa"/>
          </w:tcPr>
          <w:p w14:paraId="06839A54"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High (III-IV)</w:t>
            </w:r>
            <w:r w:rsidRPr="00FC078E">
              <w:rPr>
                <w:rFonts w:ascii="Book Antiqua" w:hAnsi="Book Antiqua"/>
                <w:color w:val="000000" w:themeColor="text1"/>
                <w:lang w:val="en-US"/>
              </w:rPr>
              <w:tab/>
            </w:r>
          </w:p>
        </w:tc>
        <w:tc>
          <w:tcPr>
            <w:tcW w:w="1314" w:type="dxa"/>
            <w:vAlign w:val="center"/>
          </w:tcPr>
          <w:p w14:paraId="01C442D0"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3.03</w:t>
            </w:r>
          </w:p>
        </w:tc>
        <w:tc>
          <w:tcPr>
            <w:tcW w:w="2073" w:type="dxa"/>
            <w:vAlign w:val="center"/>
          </w:tcPr>
          <w:p w14:paraId="6143E52D"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1.11-6.60</w:t>
            </w:r>
          </w:p>
        </w:tc>
        <w:tc>
          <w:tcPr>
            <w:tcW w:w="2073" w:type="dxa"/>
            <w:vAlign w:val="center"/>
          </w:tcPr>
          <w:p w14:paraId="04BBD15C"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0.03</w:t>
            </w:r>
          </w:p>
        </w:tc>
      </w:tr>
      <w:tr w:rsidR="00264E57" w:rsidRPr="00FC078E" w14:paraId="3608BB0C" w14:textId="77777777" w:rsidTr="00B73062">
        <w:tc>
          <w:tcPr>
            <w:tcW w:w="8290" w:type="dxa"/>
            <w:gridSpan w:val="4"/>
          </w:tcPr>
          <w:p w14:paraId="5C013986" w14:textId="26AC239A" w:rsidR="00264E57" w:rsidRPr="00FC078E" w:rsidRDefault="00264E57"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b/>
                <w:bCs/>
                <w:color w:val="000000" w:themeColor="text1"/>
                <w:lang w:val="en-US"/>
              </w:rPr>
              <w:t>OLGIM</w:t>
            </w:r>
          </w:p>
        </w:tc>
      </w:tr>
      <w:tr w:rsidR="007B44BC" w:rsidRPr="00FC078E" w14:paraId="724AD37F" w14:textId="77777777" w:rsidTr="00B73062">
        <w:tc>
          <w:tcPr>
            <w:tcW w:w="2830" w:type="dxa"/>
          </w:tcPr>
          <w:p w14:paraId="07FC8E62"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General population</w:t>
            </w:r>
          </w:p>
        </w:tc>
        <w:tc>
          <w:tcPr>
            <w:tcW w:w="1314" w:type="dxa"/>
            <w:vAlign w:val="center"/>
          </w:tcPr>
          <w:p w14:paraId="7EEF02F7"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1.00</w:t>
            </w:r>
          </w:p>
        </w:tc>
        <w:tc>
          <w:tcPr>
            <w:tcW w:w="2073" w:type="dxa"/>
            <w:vAlign w:val="center"/>
          </w:tcPr>
          <w:p w14:paraId="3251B4DE"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03947B4C"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FC078E" w14:paraId="71CE97D3" w14:textId="77777777" w:rsidTr="00B73062">
        <w:tc>
          <w:tcPr>
            <w:tcW w:w="2830" w:type="dxa"/>
          </w:tcPr>
          <w:p w14:paraId="3BA09484"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Low (0-II)</w:t>
            </w:r>
          </w:p>
        </w:tc>
        <w:tc>
          <w:tcPr>
            <w:tcW w:w="1314" w:type="dxa"/>
            <w:vAlign w:val="center"/>
          </w:tcPr>
          <w:p w14:paraId="1A6E5CA7"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1.86</w:t>
            </w:r>
          </w:p>
        </w:tc>
        <w:tc>
          <w:tcPr>
            <w:tcW w:w="2073" w:type="dxa"/>
            <w:vAlign w:val="center"/>
          </w:tcPr>
          <w:p w14:paraId="16E53E33"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1.12</w:t>
            </w:r>
            <w:r w:rsidRPr="00FC078E">
              <w:rPr>
                <w:rFonts w:ascii="Book Antiqua" w:hAnsi="Book Antiqua"/>
                <w:color w:val="000000" w:themeColor="text1"/>
                <w:lang w:val="en-US"/>
              </w:rPr>
              <w:softHyphen/>
              <w:t>-2.90</w:t>
            </w:r>
          </w:p>
        </w:tc>
        <w:tc>
          <w:tcPr>
            <w:tcW w:w="2073" w:type="dxa"/>
            <w:vAlign w:val="center"/>
          </w:tcPr>
          <w:p w14:paraId="738FE199"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0.02</w:t>
            </w:r>
          </w:p>
        </w:tc>
      </w:tr>
      <w:tr w:rsidR="007B44BC" w:rsidRPr="00FC078E" w14:paraId="0E1D7BFB" w14:textId="77777777" w:rsidTr="00B73062">
        <w:tc>
          <w:tcPr>
            <w:tcW w:w="2830" w:type="dxa"/>
          </w:tcPr>
          <w:p w14:paraId="1DA37390"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High (III-IV)</w:t>
            </w:r>
            <w:r w:rsidRPr="00FC078E">
              <w:rPr>
                <w:rFonts w:ascii="Book Antiqua" w:hAnsi="Book Antiqua"/>
                <w:color w:val="000000" w:themeColor="text1"/>
                <w:lang w:val="en-US"/>
              </w:rPr>
              <w:tab/>
            </w:r>
          </w:p>
        </w:tc>
        <w:tc>
          <w:tcPr>
            <w:tcW w:w="1314" w:type="dxa"/>
            <w:vAlign w:val="center"/>
          </w:tcPr>
          <w:p w14:paraId="2295232C"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4.00</w:t>
            </w:r>
          </w:p>
        </w:tc>
        <w:tc>
          <w:tcPr>
            <w:tcW w:w="2073" w:type="dxa"/>
            <w:vAlign w:val="center"/>
          </w:tcPr>
          <w:p w14:paraId="4E7309E1"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1.83-7.60</w:t>
            </w:r>
          </w:p>
        </w:tc>
        <w:tc>
          <w:tcPr>
            <w:tcW w:w="2073" w:type="dxa"/>
            <w:vAlign w:val="center"/>
          </w:tcPr>
          <w:p w14:paraId="2E4ECDBD"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0.001</w:t>
            </w:r>
          </w:p>
          <w:p w14:paraId="20378CB3"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264E57" w:rsidRPr="00FC078E" w14:paraId="5F65BE9E" w14:textId="77777777" w:rsidTr="00B73062">
        <w:tc>
          <w:tcPr>
            <w:tcW w:w="8290" w:type="dxa"/>
            <w:gridSpan w:val="4"/>
          </w:tcPr>
          <w:p w14:paraId="6F31AA78" w14:textId="00097303" w:rsidR="00264E57" w:rsidRPr="00FC078E" w:rsidRDefault="00264E57"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b/>
                <w:bCs/>
                <w:color w:val="000000" w:themeColor="text1"/>
                <w:lang w:val="en-US"/>
              </w:rPr>
              <w:t>TAIM</w:t>
            </w:r>
          </w:p>
        </w:tc>
      </w:tr>
      <w:tr w:rsidR="007B44BC" w:rsidRPr="00FC078E" w14:paraId="5C3D0992" w14:textId="77777777" w:rsidTr="00B73062">
        <w:tc>
          <w:tcPr>
            <w:tcW w:w="2830" w:type="dxa"/>
          </w:tcPr>
          <w:p w14:paraId="5D4EAB82"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General population</w:t>
            </w:r>
          </w:p>
        </w:tc>
        <w:tc>
          <w:tcPr>
            <w:tcW w:w="1314" w:type="dxa"/>
            <w:vAlign w:val="center"/>
          </w:tcPr>
          <w:p w14:paraId="2E167A96"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1.00</w:t>
            </w:r>
          </w:p>
        </w:tc>
        <w:tc>
          <w:tcPr>
            <w:tcW w:w="2073" w:type="dxa"/>
            <w:vAlign w:val="center"/>
          </w:tcPr>
          <w:p w14:paraId="2F699699"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00C337B7"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FC078E" w14:paraId="052F228E" w14:textId="77777777" w:rsidTr="00B73062">
        <w:tc>
          <w:tcPr>
            <w:tcW w:w="2830" w:type="dxa"/>
          </w:tcPr>
          <w:p w14:paraId="2CA518AF"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Low-risk</w:t>
            </w:r>
          </w:p>
        </w:tc>
        <w:tc>
          <w:tcPr>
            <w:tcW w:w="1314" w:type="dxa"/>
            <w:vAlign w:val="center"/>
          </w:tcPr>
          <w:p w14:paraId="54B0AD11"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1.17</w:t>
            </w:r>
          </w:p>
        </w:tc>
        <w:tc>
          <w:tcPr>
            <w:tcW w:w="2073" w:type="dxa"/>
            <w:vAlign w:val="center"/>
          </w:tcPr>
          <w:p w14:paraId="18EC478F"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lang w:val="en-US"/>
              </w:rPr>
              <w:t>0.43-2.54</w:t>
            </w:r>
          </w:p>
        </w:tc>
        <w:tc>
          <w:tcPr>
            <w:tcW w:w="2073" w:type="dxa"/>
            <w:vAlign w:val="center"/>
          </w:tcPr>
          <w:p w14:paraId="3B81FF62"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0.82</w:t>
            </w:r>
          </w:p>
        </w:tc>
      </w:tr>
      <w:tr w:rsidR="00295F95" w:rsidRPr="00FC078E" w14:paraId="4E04FFDC" w14:textId="77777777" w:rsidTr="00B73062">
        <w:tc>
          <w:tcPr>
            <w:tcW w:w="2830" w:type="dxa"/>
          </w:tcPr>
          <w:p w14:paraId="7C4D4DCA" w14:textId="77777777" w:rsidR="00295F95" w:rsidRPr="00FC078E" w:rsidRDefault="00295F95" w:rsidP="00FC078E">
            <w:pPr>
              <w:adjustRightInd w:val="0"/>
              <w:snapToGrid w:val="0"/>
              <w:spacing w:line="360" w:lineRule="auto"/>
              <w:jc w:val="both"/>
              <w:rPr>
                <w:rFonts w:ascii="Book Antiqua" w:hAnsi="Book Antiqua"/>
                <w:color w:val="000000" w:themeColor="text1"/>
                <w:lang w:val="en-US"/>
              </w:rPr>
            </w:pPr>
            <w:r w:rsidRPr="00FC078E">
              <w:rPr>
                <w:rFonts w:ascii="Book Antiqua" w:hAnsi="Book Antiqua"/>
                <w:color w:val="000000" w:themeColor="text1"/>
                <w:lang w:val="en-US"/>
              </w:rPr>
              <w:t>High-risk</w:t>
            </w:r>
          </w:p>
        </w:tc>
        <w:tc>
          <w:tcPr>
            <w:tcW w:w="1314" w:type="dxa"/>
            <w:vAlign w:val="center"/>
          </w:tcPr>
          <w:p w14:paraId="3CAE4508"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rPr>
              <w:t>3.00</w:t>
            </w:r>
          </w:p>
        </w:tc>
        <w:tc>
          <w:tcPr>
            <w:tcW w:w="2073" w:type="dxa"/>
            <w:vAlign w:val="center"/>
          </w:tcPr>
          <w:p w14:paraId="049B071F" w14:textId="77777777"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olor w:val="000000" w:themeColor="text1"/>
              </w:rPr>
              <w:t>1.88-4.55</w:t>
            </w:r>
          </w:p>
        </w:tc>
        <w:tc>
          <w:tcPr>
            <w:tcW w:w="2073" w:type="dxa"/>
            <w:vAlign w:val="center"/>
          </w:tcPr>
          <w:p w14:paraId="4A6CE11D" w14:textId="058DFD61" w:rsidR="00295F95" w:rsidRPr="00FC078E" w:rsidRDefault="00295F95" w:rsidP="00FC078E">
            <w:pPr>
              <w:adjustRightInd w:val="0"/>
              <w:snapToGrid w:val="0"/>
              <w:spacing w:line="360" w:lineRule="auto"/>
              <w:jc w:val="both"/>
              <w:rPr>
                <w:rFonts w:ascii="Book Antiqua" w:hAnsi="Book Antiqua" w:cs="Times New Roman"/>
                <w:color w:val="000000" w:themeColor="text1"/>
                <w:lang w:val="en-US"/>
              </w:rPr>
            </w:pPr>
            <w:r w:rsidRPr="00FC078E">
              <w:rPr>
                <w:rFonts w:ascii="Book Antiqua" w:hAnsi="Book Antiqua" w:cs="Times New Roman"/>
                <w:color w:val="000000" w:themeColor="text1"/>
                <w:lang w:val="en-US"/>
              </w:rPr>
              <w:t>&lt;</w:t>
            </w:r>
            <w:r w:rsidR="00264E57" w:rsidRPr="00FC078E">
              <w:rPr>
                <w:rFonts w:ascii="Book Antiqua" w:hAnsi="Book Antiqua" w:cs="Times New Roman"/>
                <w:color w:val="000000" w:themeColor="text1"/>
                <w:lang w:val="en-US" w:eastAsia="zh-CN"/>
              </w:rPr>
              <w:t xml:space="preserve"> </w:t>
            </w:r>
            <w:r w:rsidRPr="00FC078E">
              <w:rPr>
                <w:rFonts w:ascii="Book Antiqua" w:hAnsi="Book Antiqua" w:cs="Times New Roman"/>
                <w:color w:val="000000" w:themeColor="text1"/>
                <w:lang w:val="en-US"/>
              </w:rPr>
              <w:t>0.001</w:t>
            </w:r>
          </w:p>
        </w:tc>
      </w:tr>
    </w:tbl>
    <w:p w14:paraId="6318C972" w14:textId="260509A1" w:rsidR="00D6280A" w:rsidRPr="00FC078E" w:rsidRDefault="00B73062" w:rsidP="00FC078E">
      <w:pPr>
        <w:adjustRightInd w:val="0"/>
        <w:snapToGrid w:val="0"/>
        <w:spacing w:line="360" w:lineRule="auto"/>
        <w:jc w:val="both"/>
        <w:rPr>
          <w:rFonts w:ascii="Book Antiqua" w:hAnsi="Book Antiqua"/>
          <w:color w:val="000000" w:themeColor="text1"/>
          <w:lang w:val="en-US" w:eastAsia="zh-CN"/>
        </w:rPr>
      </w:pPr>
      <w:r w:rsidRPr="00FC078E">
        <w:rPr>
          <w:rFonts w:ascii="Book Antiqua" w:hAnsi="Book Antiqua" w:cs="Times New Roman"/>
          <w:bCs/>
          <w:color w:val="000000" w:themeColor="text1"/>
          <w:lang w:val="en-US"/>
        </w:rPr>
        <w:t>SIR</w:t>
      </w:r>
      <w:r w:rsidRPr="00FC078E">
        <w:rPr>
          <w:rFonts w:ascii="Book Antiqua" w:hAnsi="Book Antiqua" w:cs="Times New Roman"/>
          <w:bCs/>
          <w:color w:val="000000" w:themeColor="text1"/>
          <w:lang w:val="en-US" w:eastAsia="zh-CN"/>
        </w:rPr>
        <w:t xml:space="preserve">: </w:t>
      </w:r>
      <w:r w:rsidRPr="00FC078E">
        <w:rPr>
          <w:rFonts w:ascii="Book Antiqua" w:hAnsi="Book Antiqua" w:cs="Times New Roman"/>
          <w:bCs/>
          <w:color w:val="000000" w:themeColor="text1"/>
          <w:lang w:val="en-US"/>
        </w:rPr>
        <w:t>Standardized incidence rate</w:t>
      </w:r>
      <w:r w:rsidRPr="00FC078E">
        <w:rPr>
          <w:rFonts w:ascii="Book Antiqua" w:hAnsi="Book Antiqua" w:cs="Times New Roman"/>
          <w:bCs/>
          <w:color w:val="000000" w:themeColor="text1"/>
          <w:lang w:val="en-US" w:eastAsia="zh-CN"/>
        </w:rPr>
        <w:t>;</w:t>
      </w:r>
      <w:r w:rsidRPr="00FC078E">
        <w:rPr>
          <w:rFonts w:ascii="Book Antiqua" w:hAnsi="Book Antiqua"/>
          <w:color w:val="000000" w:themeColor="text1"/>
        </w:rPr>
        <w:t xml:space="preserve"> OLGA</w:t>
      </w:r>
      <w:r w:rsidRPr="00FC078E">
        <w:rPr>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Operative link for gastritis assessment</w:t>
      </w:r>
      <w:r w:rsidRPr="00FC078E">
        <w:rPr>
          <w:rStyle w:val="dxebaseoffice2010blue"/>
          <w:rFonts w:ascii="Book Antiqua" w:hAnsi="Book Antiqua"/>
          <w:color w:val="000000" w:themeColor="text1"/>
          <w:lang w:eastAsia="zh-CN"/>
        </w:rPr>
        <w:t xml:space="preserve">; </w:t>
      </w:r>
      <w:r w:rsidRPr="00FC078E">
        <w:rPr>
          <w:rFonts w:ascii="Book Antiqua" w:hAnsi="Book Antiqua"/>
          <w:color w:val="000000" w:themeColor="text1"/>
        </w:rPr>
        <w:t>OLGIM</w:t>
      </w:r>
      <w:r w:rsidRPr="00FC078E">
        <w:rPr>
          <w:rFonts w:ascii="Book Antiqua" w:hAnsi="Book Antiqua"/>
          <w:color w:val="000000" w:themeColor="text1"/>
          <w:lang w:eastAsia="zh-CN"/>
        </w:rPr>
        <w:t>:</w:t>
      </w:r>
      <w:r w:rsidRPr="00FC078E">
        <w:rPr>
          <w:rStyle w:val="dxebaseoffice2010blue"/>
          <w:rFonts w:ascii="Book Antiqua" w:hAnsi="Book Antiqua"/>
          <w:color w:val="000000" w:themeColor="text1"/>
        </w:rPr>
        <w:t xml:space="preserve"> Operative link on gastric intestinal metaplasia assessment</w:t>
      </w:r>
      <w:r w:rsidRPr="00FC078E">
        <w:rPr>
          <w:rStyle w:val="dxebaseoffice2010blue"/>
          <w:rFonts w:ascii="Book Antiqua" w:hAnsi="Book Antiqua"/>
          <w:color w:val="000000" w:themeColor="text1"/>
          <w:lang w:eastAsia="zh-CN"/>
        </w:rPr>
        <w:t>.</w:t>
      </w:r>
    </w:p>
    <w:sectPr w:rsidR="00D6280A" w:rsidRPr="00FC078E" w:rsidSect="0073262B">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A3F8" w14:textId="77777777" w:rsidR="001A561C" w:rsidRDefault="001A561C" w:rsidP="00FD27CA">
      <w:r>
        <w:separator/>
      </w:r>
    </w:p>
  </w:endnote>
  <w:endnote w:type="continuationSeparator" w:id="0">
    <w:p w14:paraId="6AD9C623" w14:textId="77777777" w:rsidR="001A561C" w:rsidRDefault="001A561C" w:rsidP="00F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224848"/>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14:paraId="62C61267" w14:textId="5FF58625" w:rsidR="00FD27CA" w:rsidRPr="00FD27CA" w:rsidRDefault="00FD27CA">
            <w:pPr>
              <w:pStyle w:val="af"/>
              <w:jc w:val="right"/>
              <w:rPr>
                <w:b/>
              </w:rPr>
            </w:pPr>
            <w:r w:rsidRPr="00FD27CA">
              <w:rPr>
                <w:b/>
                <w:lang w:val="zh-CN" w:eastAsia="zh-CN"/>
              </w:rPr>
              <w:t xml:space="preserve"> </w:t>
            </w:r>
            <w:r w:rsidRPr="00FD27CA">
              <w:rPr>
                <w:b/>
                <w:bCs/>
                <w:sz w:val="24"/>
                <w:szCs w:val="24"/>
              </w:rPr>
              <w:fldChar w:fldCharType="begin"/>
            </w:r>
            <w:r w:rsidRPr="00FD27CA">
              <w:rPr>
                <w:b/>
                <w:bCs/>
              </w:rPr>
              <w:instrText>PAGE</w:instrText>
            </w:r>
            <w:r w:rsidRPr="00FD27CA">
              <w:rPr>
                <w:b/>
                <w:bCs/>
                <w:sz w:val="24"/>
                <w:szCs w:val="24"/>
              </w:rPr>
              <w:fldChar w:fldCharType="separate"/>
            </w:r>
            <w:r w:rsidR="00B62A26">
              <w:rPr>
                <w:b/>
                <w:bCs/>
                <w:noProof/>
              </w:rPr>
              <w:t>20</w:t>
            </w:r>
            <w:r w:rsidRPr="00FD27CA">
              <w:rPr>
                <w:b/>
                <w:bCs/>
                <w:sz w:val="24"/>
                <w:szCs w:val="24"/>
              </w:rPr>
              <w:fldChar w:fldCharType="end"/>
            </w:r>
            <w:r w:rsidRPr="00FD27CA">
              <w:rPr>
                <w:b/>
                <w:lang w:val="zh-CN" w:eastAsia="zh-CN"/>
              </w:rPr>
              <w:t xml:space="preserve"> / </w:t>
            </w:r>
            <w:r w:rsidRPr="00FD27CA">
              <w:rPr>
                <w:b/>
                <w:bCs/>
                <w:sz w:val="24"/>
                <w:szCs w:val="24"/>
              </w:rPr>
              <w:fldChar w:fldCharType="begin"/>
            </w:r>
            <w:r w:rsidRPr="00FD27CA">
              <w:rPr>
                <w:b/>
                <w:bCs/>
              </w:rPr>
              <w:instrText>NUMPAGES</w:instrText>
            </w:r>
            <w:r w:rsidRPr="00FD27CA">
              <w:rPr>
                <w:b/>
                <w:bCs/>
                <w:sz w:val="24"/>
                <w:szCs w:val="24"/>
              </w:rPr>
              <w:fldChar w:fldCharType="separate"/>
            </w:r>
            <w:r w:rsidR="00B62A26">
              <w:rPr>
                <w:b/>
                <w:bCs/>
                <w:noProof/>
              </w:rPr>
              <w:t>29</w:t>
            </w:r>
            <w:r w:rsidRPr="00FD27CA">
              <w:rPr>
                <w:b/>
                <w:bCs/>
                <w:sz w:val="24"/>
                <w:szCs w:val="24"/>
              </w:rPr>
              <w:fldChar w:fldCharType="end"/>
            </w:r>
          </w:p>
        </w:sdtContent>
      </w:sdt>
    </w:sdtContent>
  </w:sdt>
  <w:p w14:paraId="0B03EBF7" w14:textId="77777777" w:rsidR="00FD27CA" w:rsidRDefault="00FD27C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D060" w14:textId="77777777" w:rsidR="001A561C" w:rsidRDefault="001A561C" w:rsidP="00FD27CA">
      <w:r>
        <w:separator/>
      </w:r>
    </w:p>
  </w:footnote>
  <w:footnote w:type="continuationSeparator" w:id="0">
    <w:p w14:paraId="74C42554" w14:textId="77777777" w:rsidR="001A561C" w:rsidRDefault="001A561C" w:rsidP="00FD2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787"/>
    <w:multiLevelType w:val="hybridMultilevel"/>
    <w:tmpl w:val="57F49EF0"/>
    <w:lvl w:ilvl="0" w:tplc="8B50E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95"/>
    <w:rsid w:val="000444CA"/>
    <w:rsid w:val="00047C46"/>
    <w:rsid w:val="00086977"/>
    <w:rsid w:val="000D0CBA"/>
    <w:rsid w:val="000E39FC"/>
    <w:rsid w:val="000E40CA"/>
    <w:rsid w:val="00155426"/>
    <w:rsid w:val="00173C81"/>
    <w:rsid w:val="001A561C"/>
    <w:rsid w:val="001E0484"/>
    <w:rsid w:val="001E791B"/>
    <w:rsid w:val="0022696A"/>
    <w:rsid w:val="0025085D"/>
    <w:rsid w:val="0025287D"/>
    <w:rsid w:val="00264E57"/>
    <w:rsid w:val="00295F95"/>
    <w:rsid w:val="0032265C"/>
    <w:rsid w:val="0039776F"/>
    <w:rsid w:val="003F678C"/>
    <w:rsid w:val="00406720"/>
    <w:rsid w:val="004501EF"/>
    <w:rsid w:val="0046458B"/>
    <w:rsid w:val="00466C45"/>
    <w:rsid w:val="0047253D"/>
    <w:rsid w:val="00480C4C"/>
    <w:rsid w:val="004A0AD4"/>
    <w:rsid w:val="004B039A"/>
    <w:rsid w:val="0050200F"/>
    <w:rsid w:val="00517A80"/>
    <w:rsid w:val="00524009"/>
    <w:rsid w:val="005333B7"/>
    <w:rsid w:val="005369C5"/>
    <w:rsid w:val="005452BA"/>
    <w:rsid w:val="005642B3"/>
    <w:rsid w:val="00567CB1"/>
    <w:rsid w:val="00587CF5"/>
    <w:rsid w:val="0059002A"/>
    <w:rsid w:val="00597467"/>
    <w:rsid w:val="005C5251"/>
    <w:rsid w:val="006557E1"/>
    <w:rsid w:val="0069601B"/>
    <w:rsid w:val="006C26D5"/>
    <w:rsid w:val="006C3413"/>
    <w:rsid w:val="006F0851"/>
    <w:rsid w:val="007128C5"/>
    <w:rsid w:val="0073262B"/>
    <w:rsid w:val="007374C4"/>
    <w:rsid w:val="00750B36"/>
    <w:rsid w:val="0075696E"/>
    <w:rsid w:val="007A6E72"/>
    <w:rsid w:val="007B44BC"/>
    <w:rsid w:val="007B6744"/>
    <w:rsid w:val="007B76A3"/>
    <w:rsid w:val="00822CC6"/>
    <w:rsid w:val="008B4998"/>
    <w:rsid w:val="008B7B32"/>
    <w:rsid w:val="008E355E"/>
    <w:rsid w:val="0092569A"/>
    <w:rsid w:val="009341D1"/>
    <w:rsid w:val="009A29C8"/>
    <w:rsid w:val="009B1F8A"/>
    <w:rsid w:val="009D18CF"/>
    <w:rsid w:val="009F3D7E"/>
    <w:rsid w:val="00A1396E"/>
    <w:rsid w:val="00A2686F"/>
    <w:rsid w:val="00AA0CC1"/>
    <w:rsid w:val="00AB03AC"/>
    <w:rsid w:val="00AC5AED"/>
    <w:rsid w:val="00B51017"/>
    <w:rsid w:val="00B62A26"/>
    <w:rsid w:val="00B73062"/>
    <w:rsid w:val="00B86A90"/>
    <w:rsid w:val="00BA0145"/>
    <w:rsid w:val="00BE2E4D"/>
    <w:rsid w:val="00C6770F"/>
    <w:rsid w:val="00C704F4"/>
    <w:rsid w:val="00C97676"/>
    <w:rsid w:val="00CA5397"/>
    <w:rsid w:val="00CB6C5D"/>
    <w:rsid w:val="00CD4BBE"/>
    <w:rsid w:val="00CD7B8D"/>
    <w:rsid w:val="00CE161E"/>
    <w:rsid w:val="00CE4B5D"/>
    <w:rsid w:val="00CF222E"/>
    <w:rsid w:val="00D25CAA"/>
    <w:rsid w:val="00D30FB4"/>
    <w:rsid w:val="00D616B0"/>
    <w:rsid w:val="00D6280A"/>
    <w:rsid w:val="00D91E78"/>
    <w:rsid w:val="00DA049C"/>
    <w:rsid w:val="00DB6798"/>
    <w:rsid w:val="00DC461C"/>
    <w:rsid w:val="00DD22C7"/>
    <w:rsid w:val="00E21CCE"/>
    <w:rsid w:val="00E33B34"/>
    <w:rsid w:val="00E565D7"/>
    <w:rsid w:val="00E95FC9"/>
    <w:rsid w:val="00ED2D74"/>
    <w:rsid w:val="00ED6697"/>
    <w:rsid w:val="00F17154"/>
    <w:rsid w:val="00F2129B"/>
    <w:rsid w:val="00F37194"/>
    <w:rsid w:val="00F47C94"/>
    <w:rsid w:val="00F764A1"/>
    <w:rsid w:val="00FA44CE"/>
    <w:rsid w:val="00FB6FE3"/>
    <w:rsid w:val="00FC078E"/>
    <w:rsid w:val="00FD0C9B"/>
    <w:rsid w:val="00FD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36EB"/>
  <w15:docId w15:val="{8B87F325-E76C-4DAC-9AFC-3B995240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95"/>
    <w:rPr>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295F95"/>
  </w:style>
  <w:style w:type="paragraph" w:customStyle="1" w:styleId="1">
    <w:name w:val="正文1"/>
    <w:uiPriority w:val="99"/>
    <w:rsid w:val="00295F95"/>
    <w:rPr>
      <w:rFonts w:ascii="Calibri" w:eastAsia="Calibri" w:hAnsi="Calibri" w:cs="Calibri"/>
      <w:color w:val="000000"/>
      <w:sz w:val="20"/>
      <w:szCs w:val="20"/>
      <w:u w:color="000000"/>
      <w:lang w:eastAsia="zh-CN"/>
    </w:rPr>
  </w:style>
  <w:style w:type="table" w:styleId="a3">
    <w:name w:val="Table Grid"/>
    <w:basedOn w:val="a1"/>
    <w:uiPriority w:val="59"/>
    <w:rsid w:val="00295F95"/>
    <w:rPr>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295F95"/>
    <w:pPr>
      <w:spacing w:before="100" w:beforeAutospacing="1" w:after="100" w:afterAutospacing="1"/>
    </w:pPr>
    <w:rPr>
      <w:rFonts w:ascii="Times New Roman" w:eastAsia="Times New Roman" w:hAnsi="Times New Roman" w:cs="Times New Roman"/>
      <w:lang w:eastAsia="en-GB"/>
    </w:rPr>
  </w:style>
  <w:style w:type="paragraph" w:styleId="a5">
    <w:name w:val="List Paragraph"/>
    <w:basedOn w:val="a"/>
    <w:uiPriority w:val="34"/>
    <w:qFormat/>
    <w:rsid w:val="00295F95"/>
    <w:pPr>
      <w:ind w:left="720"/>
      <w:contextualSpacing/>
    </w:pPr>
  </w:style>
  <w:style w:type="paragraph" w:styleId="a6">
    <w:name w:val="Balloon Text"/>
    <w:basedOn w:val="a"/>
    <w:link w:val="a7"/>
    <w:uiPriority w:val="99"/>
    <w:semiHidden/>
    <w:unhideWhenUsed/>
    <w:rsid w:val="00F764A1"/>
    <w:rPr>
      <w:sz w:val="18"/>
      <w:szCs w:val="18"/>
    </w:rPr>
  </w:style>
  <w:style w:type="character" w:customStyle="1" w:styleId="a7">
    <w:name w:val="批注框文本 字符"/>
    <w:basedOn w:val="a0"/>
    <w:link w:val="a6"/>
    <w:uiPriority w:val="99"/>
    <w:semiHidden/>
    <w:rsid w:val="00F764A1"/>
    <w:rPr>
      <w:sz w:val="18"/>
      <w:szCs w:val="18"/>
      <w:lang w:val="fi-FI"/>
    </w:rPr>
  </w:style>
  <w:style w:type="character" w:styleId="a8">
    <w:name w:val="Hyperlink"/>
    <w:basedOn w:val="a0"/>
    <w:uiPriority w:val="99"/>
    <w:unhideWhenUsed/>
    <w:rsid w:val="005369C5"/>
    <w:rPr>
      <w:color w:val="0563C1" w:themeColor="hyperlink"/>
      <w:u w:val="single"/>
    </w:rPr>
  </w:style>
  <w:style w:type="character" w:customStyle="1" w:styleId="dxebaseoffice2010blue">
    <w:name w:val="dxebase_office2010blue"/>
    <w:basedOn w:val="a0"/>
    <w:rsid w:val="00D25CAA"/>
  </w:style>
  <w:style w:type="paragraph" w:customStyle="1" w:styleId="Corpodeltesto">
    <w:name w:val="Corpo del tes.to"/>
    <w:basedOn w:val="a9"/>
    <w:rsid w:val="00597467"/>
    <w:pPr>
      <w:suppressAutoHyphens/>
      <w:spacing w:after="0" w:line="360" w:lineRule="auto"/>
      <w:ind w:right="2977"/>
      <w:jc w:val="both"/>
    </w:pPr>
    <w:rPr>
      <w:rFonts w:ascii="Times New Roman" w:eastAsia="Times New Roman" w:hAnsi="Times New Roman" w:cs="Times New Roman"/>
      <w:lang w:val="it-IT" w:eastAsia="ar-SA"/>
    </w:rPr>
  </w:style>
  <w:style w:type="paragraph" w:styleId="a9">
    <w:name w:val="Body Text"/>
    <w:basedOn w:val="a"/>
    <w:link w:val="aa"/>
    <w:uiPriority w:val="99"/>
    <w:semiHidden/>
    <w:unhideWhenUsed/>
    <w:rsid w:val="00597467"/>
    <w:pPr>
      <w:spacing w:after="120"/>
    </w:pPr>
  </w:style>
  <w:style w:type="character" w:customStyle="1" w:styleId="aa">
    <w:name w:val="正文文本 字符"/>
    <w:basedOn w:val="a0"/>
    <w:link w:val="a9"/>
    <w:uiPriority w:val="99"/>
    <w:semiHidden/>
    <w:rsid w:val="00597467"/>
    <w:rPr>
      <w:lang w:val="fi-FI"/>
    </w:rPr>
  </w:style>
  <w:style w:type="paragraph" w:styleId="ab">
    <w:name w:val="annotation text"/>
    <w:basedOn w:val="a"/>
    <w:link w:val="ac"/>
    <w:unhideWhenUsed/>
    <w:rsid w:val="00CF222E"/>
    <w:rPr>
      <w:rFonts w:ascii="Times New Roman" w:eastAsia="宋体" w:hAnsi="Times New Roman" w:cs="Times New Roman"/>
      <w:sz w:val="20"/>
      <w:szCs w:val="20"/>
      <w:lang w:val="fr-FR" w:eastAsia="fr-FR"/>
    </w:rPr>
  </w:style>
  <w:style w:type="character" w:customStyle="1" w:styleId="ac">
    <w:name w:val="批注文字 字符"/>
    <w:basedOn w:val="a0"/>
    <w:link w:val="ab"/>
    <w:rsid w:val="00CF222E"/>
    <w:rPr>
      <w:rFonts w:ascii="Times New Roman" w:eastAsia="宋体" w:hAnsi="Times New Roman" w:cs="Times New Roman"/>
      <w:sz w:val="20"/>
      <w:szCs w:val="20"/>
      <w:lang w:val="fr-FR" w:eastAsia="fr-FR"/>
    </w:rPr>
  </w:style>
  <w:style w:type="paragraph" w:styleId="ad">
    <w:name w:val="header"/>
    <w:basedOn w:val="a"/>
    <w:link w:val="ae"/>
    <w:uiPriority w:val="99"/>
    <w:unhideWhenUsed/>
    <w:rsid w:val="00FD27CA"/>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FD27CA"/>
    <w:rPr>
      <w:sz w:val="18"/>
      <w:szCs w:val="18"/>
      <w:lang w:val="fi-FI"/>
    </w:rPr>
  </w:style>
  <w:style w:type="paragraph" w:styleId="af">
    <w:name w:val="footer"/>
    <w:basedOn w:val="a"/>
    <w:link w:val="af0"/>
    <w:uiPriority w:val="99"/>
    <w:unhideWhenUsed/>
    <w:rsid w:val="00FD27CA"/>
    <w:pPr>
      <w:tabs>
        <w:tab w:val="center" w:pos="4153"/>
        <w:tab w:val="right" w:pos="8306"/>
      </w:tabs>
      <w:snapToGrid w:val="0"/>
    </w:pPr>
    <w:rPr>
      <w:sz w:val="18"/>
      <w:szCs w:val="18"/>
    </w:rPr>
  </w:style>
  <w:style w:type="character" w:customStyle="1" w:styleId="af0">
    <w:name w:val="页脚 字符"/>
    <w:basedOn w:val="a0"/>
    <w:link w:val="af"/>
    <w:uiPriority w:val="99"/>
    <w:rsid w:val="00FD27CA"/>
    <w:rPr>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roje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6084</Words>
  <Characters>34679</Characters>
  <Application>Microsoft Office Word</Application>
  <DocSecurity>0</DocSecurity>
  <Lines>288</Lines>
  <Paragraphs>81</Paragraphs>
  <ScaleCrop>false</ScaleCrop>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Mahkonen, Anna A</dc:creator>
  <cp:keywords/>
  <dc:description/>
  <cp:lastModifiedBy>Liansheng Ma</cp:lastModifiedBy>
  <cp:revision>2</cp:revision>
  <dcterms:created xsi:type="dcterms:W3CDTF">2020-06-12T00:00:00Z</dcterms:created>
  <dcterms:modified xsi:type="dcterms:W3CDTF">2020-06-12T00:00:00Z</dcterms:modified>
</cp:coreProperties>
</file>