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143983" w14:textId="77777777" w:rsidR="00B11A05" w:rsidRPr="00981DC5" w:rsidRDefault="00B11A05" w:rsidP="00B11A05">
      <w:pPr>
        <w:adjustRightInd w:val="0"/>
        <w:snapToGrid w:val="0"/>
        <w:spacing w:after="0" w:line="360" w:lineRule="auto"/>
        <w:jc w:val="both"/>
        <w:rPr>
          <w:rFonts w:ascii="Book Antiqua" w:hAnsi="Book Antiqua"/>
          <w:b/>
          <w:bCs/>
          <w:color w:val="000000" w:themeColor="text1"/>
          <w:sz w:val="24"/>
          <w:szCs w:val="24"/>
        </w:rPr>
      </w:pPr>
      <w:r w:rsidRPr="00981DC5">
        <w:rPr>
          <w:rFonts w:ascii="Book Antiqua" w:hAnsi="Book Antiqua"/>
          <w:b/>
          <w:bCs/>
          <w:color w:val="000000" w:themeColor="text1"/>
          <w:sz w:val="24"/>
          <w:szCs w:val="24"/>
        </w:rPr>
        <w:t xml:space="preserve">Name of Journal: </w:t>
      </w:r>
      <w:r w:rsidRPr="00981DC5">
        <w:rPr>
          <w:rFonts w:ascii="Book Antiqua" w:hAnsi="Book Antiqua"/>
          <w:bCs/>
          <w:i/>
          <w:iCs/>
          <w:color w:val="000000" w:themeColor="text1"/>
          <w:sz w:val="24"/>
          <w:szCs w:val="24"/>
        </w:rPr>
        <w:t>World Journal of Gastroenterology</w:t>
      </w:r>
    </w:p>
    <w:p w14:paraId="1EEF13A9" w14:textId="74D4E3B8" w:rsidR="00B11A05" w:rsidRPr="00981DC5" w:rsidRDefault="00B11A05" w:rsidP="00B11A05">
      <w:pPr>
        <w:adjustRightInd w:val="0"/>
        <w:snapToGrid w:val="0"/>
        <w:spacing w:after="0" w:line="360" w:lineRule="auto"/>
        <w:jc w:val="both"/>
        <w:rPr>
          <w:rFonts w:ascii="Book Antiqua" w:hAnsi="Book Antiqua"/>
          <w:b/>
          <w:bCs/>
          <w:color w:val="000000" w:themeColor="text1"/>
          <w:sz w:val="24"/>
          <w:szCs w:val="24"/>
        </w:rPr>
      </w:pPr>
      <w:r w:rsidRPr="00981DC5">
        <w:rPr>
          <w:rFonts w:ascii="Book Antiqua" w:eastAsia="Times New Roman" w:hAnsi="Book Antiqua"/>
          <w:b/>
          <w:bCs/>
          <w:color w:val="000000" w:themeColor="text1"/>
          <w:sz w:val="24"/>
          <w:szCs w:val="24"/>
          <w:lang w:val="hu-HU"/>
        </w:rPr>
        <w:t>Manuscript NO</w:t>
      </w:r>
      <w:r w:rsidRPr="00981DC5">
        <w:rPr>
          <w:rFonts w:ascii="Book Antiqua" w:hAnsi="Book Antiqua" w:cs="Arial"/>
          <w:b/>
          <w:color w:val="000000" w:themeColor="text1"/>
          <w:sz w:val="24"/>
          <w:szCs w:val="24"/>
          <w:lang w:val="en"/>
        </w:rPr>
        <w:t xml:space="preserve">: </w:t>
      </w:r>
      <w:r w:rsidRPr="00981DC5">
        <w:rPr>
          <w:rFonts w:ascii="Book Antiqua" w:hAnsi="Book Antiqua" w:cs="Arial"/>
          <w:bCs/>
          <w:color w:val="000000" w:themeColor="text1"/>
          <w:sz w:val="24"/>
          <w:szCs w:val="24"/>
          <w:lang w:val="en"/>
        </w:rPr>
        <w:t>53534</w:t>
      </w:r>
    </w:p>
    <w:p w14:paraId="54D1EF4B" w14:textId="77777777" w:rsidR="00B11A05" w:rsidRPr="00981DC5" w:rsidRDefault="00B11A05" w:rsidP="00B11A05">
      <w:pPr>
        <w:adjustRightInd w:val="0"/>
        <w:snapToGrid w:val="0"/>
        <w:spacing w:after="0" w:line="360" w:lineRule="auto"/>
        <w:jc w:val="both"/>
        <w:rPr>
          <w:rFonts w:ascii="Book Antiqua" w:hAnsi="Book Antiqua"/>
          <w:bCs/>
          <w:color w:val="000000" w:themeColor="text1"/>
          <w:sz w:val="24"/>
          <w:szCs w:val="24"/>
        </w:rPr>
      </w:pPr>
      <w:r w:rsidRPr="00981DC5">
        <w:rPr>
          <w:rFonts w:ascii="Book Antiqua" w:hAnsi="Book Antiqua"/>
          <w:b/>
          <w:bCs/>
          <w:color w:val="000000" w:themeColor="text1"/>
          <w:sz w:val="24"/>
          <w:szCs w:val="24"/>
        </w:rPr>
        <w:t xml:space="preserve">Manuscript Type: </w:t>
      </w:r>
      <w:r w:rsidRPr="00981DC5">
        <w:rPr>
          <w:rFonts w:ascii="Book Antiqua" w:hAnsi="Book Antiqua"/>
          <w:color w:val="000000" w:themeColor="text1"/>
          <w:sz w:val="24"/>
          <w:szCs w:val="24"/>
        </w:rPr>
        <w:t>ORIGINAL ARTICLE</w:t>
      </w:r>
    </w:p>
    <w:p w14:paraId="14D5F33B" w14:textId="77777777" w:rsidR="00B11A05" w:rsidRPr="00981DC5" w:rsidRDefault="00B11A05" w:rsidP="00B11A05">
      <w:pPr>
        <w:adjustRightInd w:val="0"/>
        <w:snapToGrid w:val="0"/>
        <w:spacing w:after="0" w:line="360" w:lineRule="auto"/>
        <w:jc w:val="both"/>
        <w:rPr>
          <w:rFonts w:ascii="Book Antiqua" w:hAnsi="Book Antiqua"/>
          <w:bCs/>
          <w:color w:val="000000" w:themeColor="text1"/>
          <w:sz w:val="24"/>
          <w:szCs w:val="24"/>
        </w:rPr>
      </w:pPr>
    </w:p>
    <w:p w14:paraId="6EE0CFE2" w14:textId="77777777" w:rsidR="00B11A05" w:rsidRPr="00981DC5" w:rsidRDefault="00B11A05" w:rsidP="00B11A05">
      <w:pPr>
        <w:adjustRightInd w:val="0"/>
        <w:snapToGrid w:val="0"/>
        <w:spacing w:after="0" w:line="360" w:lineRule="auto"/>
        <w:jc w:val="both"/>
        <w:rPr>
          <w:rFonts w:ascii="Book Antiqua" w:hAnsi="Book Antiqua"/>
          <w:b/>
          <w:i/>
          <w:iCs/>
          <w:color w:val="000000" w:themeColor="text1"/>
          <w:sz w:val="24"/>
          <w:szCs w:val="24"/>
        </w:rPr>
      </w:pPr>
      <w:r w:rsidRPr="00981DC5">
        <w:rPr>
          <w:rFonts w:ascii="Book Antiqua" w:hAnsi="Book Antiqua"/>
          <w:b/>
          <w:i/>
          <w:iCs/>
          <w:color w:val="000000" w:themeColor="text1"/>
          <w:sz w:val="24"/>
          <w:szCs w:val="24"/>
        </w:rPr>
        <w:t>Basic Study</w:t>
      </w:r>
    </w:p>
    <w:p w14:paraId="75B17BF6" w14:textId="6BA3388A" w:rsidR="006A3D96" w:rsidRPr="00981DC5" w:rsidRDefault="00CA3E0A" w:rsidP="00B11A05">
      <w:pPr>
        <w:adjustRightInd w:val="0"/>
        <w:snapToGrid w:val="0"/>
        <w:spacing w:after="0" w:line="360" w:lineRule="auto"/>
        <w:jc w:val="both"/>
        <w:rPr>
          <w:rFonts w:ascii="Book Antiqua" w:hAnsi="Book Antiqua" w:cs="Calibri"/>
          <w:b/>
          <w:color w:val="000000" w:themeColor="text1"/>
          <w:sz w:val="24"/>
          <w:szCs w:val="24"/>
          <w:lang w:val="en-GB"/>
        </w:rPr>
      </w:pPr>
      <w:r w:rsidRPr="00981DC5">
        <w:rPr>
          <w:rFonts w:ascii="Book Antiqua" w:hAnsi="Book Antiqua" w:cs="Calibri"/>
          <w:b/>
          <w:color w:val="000000" w:themeColor="text1"/>
          <w:sz w:val="24"/>
          <w:szCs w:val="24"/>
          <w:lang w:val="en-GB"/>
        </w:rPr>
        <w:t xml:space="preserve">Use </w:t>
      </w:r>
      <w:r w:rsidR="00B11A05" w:rsidRPr="00981DC5">
        <w:rPr>
          <w:rFonts w:ascii="Book Antiqua" w:hAnsi="Book Antiqua" w:cs="Calibri"/>
          <w:b/>
          <w:color w:val="000000" w:themeColor="text1"/>
          <w:sz w:val="24"/>
          <w:szCs w:val="24"/>
          <w:lang w:val="en-GB"/>
        </w:rPr>
        <w:t>of zebrafish embryos as avatar of patients with pancreatic cancer</w:t>
      </w:r>
      <w:r w:rsidR="006A3D96" w:rsidRPr="00981DC5">
        <w:rPr>
          <w:rFonts w:ascii="Book Antiqua" w:hAnsi="Book Antiqua" w:cs="Calibri"/>
          <w:b/>
          <w:color w:val="000000" w:themeColor="text1"/>
          <w:sz w:val="24"/>
          <w:szCs w:val="24"/>
          <w:lang w:val="en-GB"/>
        </w:rPr>
        <w:t xml:space="preserve">: A </w:t>
      </w:r>
      <w:r w:rsidR="00B11A05" w:rsidRPr="00981DC5">
        <w:rPr>
          <w:rFonts w:ascii="Book Antiqua" w:hAnsi="Book Antiqua" w:cs="Calibri"/>
          <w:b/>
          <w:color w:val="000000" w:themeColor="text1"/>
          <w:sz w:val="24"/>
          <w:szCs w:val="24"/>
          <w:lang w:val="en-GB"/>
        </w:rPr>
        <w:t>new xenotransplantation model towards personalized medicine</w:t>
      </w:r>
    </w:p>
    <w:p w14:paraId="7CF02376" w14:textId="77777777" w:rsidR="00B11A05" w:rsidRPr="00981DC5" w:rsidRDefault="00B11A05" w:rsidP="00B11A05">
      <w:pPr>
        <w:adjustRightInd w:val="0"/>
        <w:snapToGrid w:val="0"/>
        <w:spacing w:after="0" w:line="360" w:lineRule="auto"/>
        <w:jc w:val="both"/>
        <w:rPr>
          <w:rFonts w:ascii="Book Antiqua" w:hAnsi="Book Antiqua" w:cs="Calibri"/>
          <w:b/>
          <w:color w:val="000000" w:themeColor="text1"/>
          <w:sz w:val="24"/>
          <w:szCs w:val="24"/>
          <w:lang w:val="en-GB"/>
        </w:rPr>
      </w:pPr>
    </w:p>
    <w:p w14:paraId="405350FD" w14:textId="25B011FB" w:rsidR="003A319F" w:rsidRPr="00981DC5" w:rsidRDefault="003A319F" w:rsidP="00B11A05">
      <w:pPr>
        <w:adjustRightInd w:val="0"/>
        <w:snapToGrid w:val="0"/>
        <w:spacing w:after="0" w:line="360" w:lineRule="auto"/>
        <w:jc w:val="both"/>
        <w:rPr>
          <w:rFonts w:ascii="Book Antiqua" w:hAnsi="Book Antiqua" w:cs="Calibri"/>
          <w:bCs/>
          <w:color w:val="000000" w:themeColor="text1"/>
          <w:sz w:val="24"/>
          <w:szCs w:val="24"/>
          <w:lang w:val="en-US"/>
        </w:rPr>
      </w:pPr>
      <w:r w:rsidRPr="00981DC5">
        <w:rPr>
          <w:rFonts w:ascii="Book Antiqua" w:hAnsi="Book Antiqua" w:cs="Calibri"/>
          <w:bCs/>
          <w:color w:val="000000" w:themeColor="text1"/>
          <w:sz w:val="24"/>
          <w:szCs w:val="24"/>
        </w:rPr>
        <w:t xml:space="preserve">Di Franco G </w:t>
      </w:r>
      <w:r w:rsidRPr="00981DC5">
        <w:rPr>
          <w:rFonts w:ascii="Book Antiqua" w:hAnsi="Book Antiqua" w:cs="Calibri"/>
          <w:bCs/>
          <w:i/>
          <w:iCs/>
          <w:color w:val="000000" w:themeColor="text1"/>
          <w:sz w:val="24"/>
          <w:szCs w:val="24"/>
        </w:rPr>
        <w:t>et al.</w:t>
      </w:r>
      <w:r w:rsidRPr="00981DC5">
        <w:rPr>
          <w:rFonts w:ascii="Book Antiqua" w:hAnsi="Book Antiqua" w:cs="Calibri"/>
          <w:bCs/>
          <w:color w:val="000000" w:themeColor="text1"/>
          <w:sz w:val="24"/>
          <w:szCs w:val="24"/>
        </w:rPr>
        <w:t xml:space="preserve"> </w:t>
      </w:r>
      <w:r w:rsidRPr="00981DC5">
        <w:rPr>
          <w:rFonts w:ascii="Book Antiqua" w:hAnsi="Book Antiqua" w:cs="Calibri"/>
          <w:bCs/>
          <w:color w:val="000000" w:themeColor="text1"/>
          <w:sz w:val="24"/>
          <w:szCs w:val="24"/>
          <w:lang w:val="en-US"/>
        </w:rPr>
        <w:t>Zebrafish as avatar of PDAC patients</w:t>
      </w:r>
    </w:p>
    <w:p w14:paraId="34ED8980" w14:textId="77777777" w:rsidR="006A3D96" w:rsidRPr="00981DC5" w:rsidRDefault="006A3D96" w:rsidP="00B11A05">
      <w:pPr>
        <w:adjustRightInd w:val="0"/>
        <w:snapToGrid w:val="0"/>
        <w:spacing w:after="0" w:line="360" w:lineRule="auto"/>
        <w:jc w:val="both"/>
        <w:rPr>
          <w:rFonts w:ascii="Book Antiqua" w:hAnsi="Book Antiqua" w:cs="Calibri"/>
          <w:b/>
          <w:color w:val="000000" w:themeColor="text1"/>
          <w:sz w:val="24"/>
          <w:szCs w:val="24"/>
          <w:lang w:val="en-US"/>
        </w:rPr>
      </w:pPr>
    </w:p>
    <w:p w14:paraId="17C0B42A" w14:textId="7A65FA45" w:rsidR="006A3D96" w:rsidRPr="00025EFB" w:rsidRDefault="006A3D96" w:rsidP="00B11A05">
      <w:pPr>
        <w:adjustRightInd w:val="0"/>
        <w:snapToGrid w:val="0"/>
        <w:spacing w:after="0" w:line="360" w:lineRule="auto"/>
        <w:jc w:val="both"/>
        <w:rPr>
          <w:rFonts w:ascii="Book Antiqua" w:hAnsi="Book Antiqua" w:cs="Calibri"/>
          <w:bCs/>
          <w:color w:val="000000" w:themeColor="text1"/>
          <w:sz w:val="24"/>
          <w:szCs w:val="24"/>
          <w:vertAlign w:val="superscript"/>
        </w:rPr>
      </w:pPr>
      <w:r w:rsidRPr="00025EFB">
        <w:rPr>
          <w:rFonts w:ascii="Book Antiqua" w:hAnsi="Book Antiqua" w:cs="Calibri"/>
          <w:bCs/>
          <w:color w:val="000000" w:themeColor="text1"/>
          <w:sz w:val="24"/>
          <w:szCs w:val="24"/>
        </w:rPr>
        <w:t xml:space="preserve">Gregorio Di Franco, Alice Usai, </w:t>
      </w:r>
      <w:r w:rsidR="009710F8" w:rsidRPr="00025EFB">
        <w:rPr>
          <w:rFonts w:ascii="Book Antiqua" w:hAnsi="Book Antiqua" w:cs="Calibri"/>
          <w:bCs/>
          <w:color w:val="000000" w:themeColor="text1"/>
          <w:sz w:val="24"/>
          <w:szCs w:val="24"/>
        </w:rPr>
        <w:t xml:space="preserve">Niccola Funel, </w:t>
      </w:r>
      <w:r w:rsidRPr="00025EFB">
        <w:rPr>
          <w:rFonts w:ascii="Book Antiqua" w:hAnsi="Book Antiqua" w:cs="Calibri"/>
          <w:bCs/>
          <w:color w:val="000000" w:themeColor="text1"/>
          <w:sz w:val="24"/>
          <w:szCs w:val="24"/>
        </w:rPr>
        <w:t xml:space="preserve">Matteo Palmeri, </w:t>
      </w:r>
      <w:bookmarkStart w:id="0" w:name="_Hlk26531809"/>
      <w:r w:rsidR="00F12C48" w:rsidRPr="00025EFB">
        <w:rPr>
          <w:rFonts w:ascii="Book Antiqua" w:hAnsi="Book Antiqua" w:cs="Calibri"/>
          <w:bCs/>
          <w:color w:val="000000" w:themeColor="text1"/>
          <w:sz w:val="24"/>
          <w:szCs w:val="24"/>
        </w:rPr>
        <w:t>Ida Elena Rosa</w:t>
      </w:r>
      <w:r w:rsidR="009667B3" w:rsidRPr="00025EFB">
        <w:rPr>
          <w:rFonts w:ascii="Book Antiqua" w:hAnsi="Book Antiqua" w:cs="Calibri"/>
          <w:bCs/>
          <w:color w:val="000000" w:themeColor="text1"/>
          <w:sz w:val="24"/>
          <w:szCs w:val="24"/>
        </w:rPr>
        <w:t>m</w:t>
      </w:r>
      <w:r w:rsidR="00F12C48" w:rsidRPr="00025EFB">
        <w:rPr>
          <w:rFonts w:ascii="Book Antiqua" w:hAnsi="Book Antiqua" w:cs="Calibri"/>
          <w:bCs/>
          <w:color w:val="000000" w:themeColor="text1"/>
          <w:sz w:val="24"/>
          <w:szCs w:val="24"/>
        </w:rPr>
        <w:t xml:space="preserve">aria Montesanti, </w:t>
      </w:r>
      <w:r w:rsidRPr="00025EFB">
        <w:rPr>
          <w:rFonts w:ascii="Book Antiqua" w:hAnsi="Book Antiqua" w:cs="Calibri"/>
          <w:bCs/>
          <w:color w:val="000000" w:themeColor="text1"/>
          <w:sz w:val="24"/>
          <w:szCs w:val="24"/>
        </w:rPr>
        <w:t>Matteo Bianchini, Desirée Gianardi</w:t>
      </w:r>
      <w:bookmarkEnd w:id="0"/>
      <w:r w:rsidRPr="00025EFB">
        <w:rPr>
          <w:rFonts w:ascii="Book Antiqua" w:hAnsi="Book Antiqua" w:cs="Calibri"/>
          <w:bCs/>
          <w:color w:val="000000" w:themeColor="text1"/>
          <w:sz w:val="24"/>
          <w:szCs w:val="24"/>
        </w:rPr>
        <w:t xml:space="preserve">, </w:t>
      </w:r>
      <w:bookmarkStart w:id="1" w:name="_Hlk26531859"/>
      <w:r w:rsidRPr="00025EFB">
        <w:rPr>
          <w:rFonts w:ascii="Book Antiqua" w:hAnsi="Book Antiqua" w:cs="Calibri"/>
          <w:bCs/>
          <w:color w:val="000000" w:themeColor="text1"/>
          <w:sz w:val="24"/>
          <w:szCs w:val="24"/>
        </w:rPr>
        <w:t>Niccolò Furbetta</w:t>
      </w:r>
      <w:bookmarkEnd w:id="1"/>
      <w:r w:rsidRPr="00025EFB">
        <w:rPr>
          <w:rFonts w:ascii="Book Antiqua" w:hAnsi="Book Antiqua" w:cs="Calibri"/>
          <w:bCs/>
          <w:color w:val="000000" w:themeColor="text1"/>
          <w:sz w:val="24"/>
          <w:szCs w:val="24"/>
        </w:rPr>
        <w:t xml:space="preserve">, </w:t>
      </w:r>
      <w:r w:rsidR="00E653A7" w:rsidRPr="00025EFB">
        <w:rPr>
          <w:rFonts w:ascii="Book Antiqua" w:hAnsi="Book Antiqua" w:cs="Calibri"/>
          <w:bCs/>
          <w:color w:val="000000" w:themeColor="text1"/>
          <w:sz w:val="24"/>
          <w:szCs w:val="24"/>
        </w:rPr>
        <w:t xml:space="preserve">Simone Guadagni, </w:t>
      </w:r>
      <w:r w:rsidRPr="00025EFB">
        <w:rPr>
          <w:rFonts w:ascii="Book Antiqua" w:hAnsi="Book Antiqua" w:cs="Calibri"/>
          <w:bCs/>
          <w:color w:val="000000" w:themeColor="text1"/>
          <w:sz w:val="24"/>
          <w:szCs w:val="24"/>
        </w:rPr>
        <w:t xml:space="preserve">Enrico Vasile, Alfredo Falcone, </w:t>
      </w:r>
      <w:r w:rsidR="009710F8" w:rsidRPr="00025EFB">
        <w:rPr>
          <w:rFonts w:ascii="Book Antiqua" w:hAnsi="Book Antiqua" w:cs="Calibri"/>
          <w:bCs/>
          <w:color w:val="000000" w:themeColor="text1"/>
          <w:sz w:val="24"/>
          <w:szCs w:val="24"/>
        </w:rPr>
        <w:t xml:space="preserve">Luca Emanuele Pollina, </w:t>
      </w:r>
      <w:r w:rsidRPr="00025EFB">
        <w:rPr>
          <w:rFonts w:ascii="Book Antiqua" w:hAnsi="Book Antiqua" w:cs="Calibri"/>
          <w:bCs/>
          <w:color w:val="000000" w:themeColor="text1"/>
          <w:sz w:val="24"/>
          <w:szCs w:val="24"/>
        </w:rPr>
        <w:t>Vittoria Raffa, Luca Morelli</w:t>
      </w:r>
    </w:p>
    <w:p w14:paraId="56CC7FBB" w14:textId="77777777" w:rsidR="006A3D96" w:rsidRPr="00981DC5" w:rsidRDefault="006A3D96" w:rsidP="00B11A05">
      <w:pPr>
        <w:adjustRightInd w:val="0"/>
        <w:snapToGrid w:val="0"/>
        <w:spacing w:after="0" w:line="360" w:lineRule="auto"/>
        <w:jc w:val="both"/>
        <w:rPr>
          <w:rFonts w:ascii="Book Antiqua" w:hAnsi="Book Antiqua" w:cs="Calibri"/>
          <w:b/>
          <w:color w:val="000000" w:themeColor="text1"/>
          <w:sz w:val="24"/>
          <w:szCs w:val="24"/>
        </w:rPr>
      </w:pPr>
    </w:p>
    <w:p w14:paraId="7E4D05EB" w14:textId="2F08768C" w:rsidR="006A3D96" w:rsidRPr="00981DC5" w:rsidRDefault="006A3D96" w:rsidP="00B11A05">
      <w:pPr>
        <w:shd w:val="clear" w:color="auto" w:fill="FFFFFF"/>
        <w:adjustRightInd w:val="0"/>
        <w:snapToGrid w:val="0"/>
        <w:spacing w:after="0" w:line="360" w:lineRule="auto"/>
        <w:jc w:val="both"/>
        <w:rPr>
          <w:rFonts w:ascii="Book Antiqua" w:hAnsi="Book Antiqua"/>
          <w:color w:val="000000" w:themeColor="text1"/>
          <w:sz w:val="24"/>
          <w:szCs w:val="24"/>
        </w:rPr>
      </w:pPr>
      <w:r w:rsidRPr="00981DC5">
        <w:rPr>
          <w:rFonts w:ascii="Book Antiqua" w:hAnsi="Book Antiqua" w:cs="Calibri"/>
          <w:b/>
          <w:color w:val="000000" w:themeColor="text1"/>
          <w:sz w:val="24"/>
          <w:szCs w:val="24"/>
        </w:rPr>
        <w:t>Gregorio Di Franco, Matteo Palmeri,</w:t>
      </w:r>
      <w:r w:rsidRPr="00981DC5">
        <w:rPr>
          <w:rFonts w:ascii="Book Antiqua" w:eastAsia="Times New Roman" w:hAnsi="Book Antiqua" w:cs="Calibri"/>
          <w:b/>
          <w:color w:val="000000" w:themeColor="text1"/>
          <w:sz w:val="24"/>
          <w:szCs w:val="24"/>
        </w:rPr>
        <w:t xml:space="preserve"> </w:t>
      </w:r>
      <w:r w:rsidRPr="00981DC5">
        <w:rPr>
          <w:rFonts w:ascii="Book Antiqua" w:hAnsi="Book Antiqua" w:cs="Calibri"/>
          <w:b/>
          <w:color w:val="000000" w:themeColor="text1"/>
          <w:sz w:val="24"/>
          <w:szCs w:val="24"/>
        </w:rPr>
        <w:t>Matteo Bianchini, Desirée Gianardi,</w:t>
      </w:r>
      <w:r w:rsidRPr="00981DC5">
        <w:rPr>
          <w:rFonts w:ascii="Book Antiqua" w:eastAsia="Times New Roman" w:hAnsi="Book Antiqua" w:cs="Calibri"/>
          <w:b/>
          <w:color w:val="000000" w:themeColor="text1"/>
          <w:sz w:val="24"/>
          <w:szCs w:val="24"/>
        </w:rPr>
        <w:t xml:space="preserve"> </w:t>
      </w:r>
      <w:r w:rsidRPr="00981DC5">
        <w:rPr>
          <w:rFonts w:ascii="Book Antiqua" w:hAnsi="Book Antiqua" w:cs="Calibri"/>
          <w:b/>
          <w:color w:val="000000" w:themeColor="text1"/>
          <w:sz w:val="24"/>
          <w:szCs w:val="24"/>
        </w:rPr>
        <w:t xml:space="preserve">Niccolò Furbetta, </w:t>
      </w:r>
      <w:r w:rsidR="003934E9" w:rsidRPr="00981DC5">
        <w:rPr>
          <w:rFonts w:ascii="Book Antiqua" w:hAnsi="Book Antiqua" w:cs="Calibri"/>
          <w:b/>
          <w:color w:val="000000" w:themeColor="text1"/>
          <w:sz w:val="24"/>
          <w:szCs w:val="24"/>
        </w:rPr>
        <w:t xml:space="preserve">Simone Guadagni, </w:t>
      </w:r>
      <w:r w:rsidRPr="00981DC5">
        <w:rPr>
          <w:rFonts w:ascii="Book Antiqua" w:hAnsi="Book Antiqua" w:cs="Calibri"/>
          <w:b/>
          <w:color w:val="000000" w:themeColor="text1"/>
          <w:sz w:val="24"/>
          <w:szCs w:val="24"/>
        </w:rPr>
        <w:t>Luca Morelli</w:t>
      </w:r>
      <w:r w:rsidR="00B11A05" w:rsidRPr="00981DC5">
        <w:rPr>
          <w:rFonts w:ascii="Book Antiqua" w:hAnsi="Book Antiqua" w:cs="Times New Roman"/>
          <w:color w:val="000000" w:themeColor="text1"/>
          <w:sz w:val="24"/>
          <w:szCs w:val="24"/>
        </w:rPr>
        <w:t>,</w:t>
      </w:r>
      <w:r w:rsidRPr="00981DC5">
        <w:rPr>
          <w:rFonts w:ascii="Book Antiqua" w:hAnsi="Book Antiqua"/>
          <w:color w:val="000000" w:themeColor="text1"/>
          <w:sz w:val="24"/>
          <w:szCs w:val="24"/>
          <w:vertAlign w:val="superscript"/>
        </w:rPr>
        <w:t xml:space="preserve"> </w:t>
      </w:r>
      <w:r w:rsidRPr="00981DC5">
        <w:rPr>
          <w:rFonts w:ascii="Book Antiqua" w:hAnsi="Book Antiqua"/>
          <w:color w:val="000000" w:themeColor="text1"/>
          <w:sz w:val="24"/>
          <w:szCs w:val="24"/>
        </w:rPr>
        <w:t>General Surgery Unit, Department of Translational Research and New Technologies in Medicine and Surgery, University of Pisa, Pisa</w:t>
      </w:r>
      <w:r w:rsidR="00B11A05" w:rsidRPr="00981DC5">
        <w:rPr>
          <w:rFonts w:ascii="Book Antiqua" w:hAnsi="Book Antiqua"/>
          <w:color w:val="000000" w:themeColor="text1"/>
          <w:sz w:val="24"/>
          <w:szCs w:val="24"/>
        </w:rPr>
        <w:t xml:space="preserve"> </w:t>
      </w:r>
      <w:r w:rsidR="00B11A05" w:rsidRPr="00981DC5">
        <w:rPr>
          <w:rFonts w:ascii="Book Antiqua" w:hAnsi="Book Antiqua" w:cs="Times New Roman"/>
          <w:color w:val="000000" w:themeColor="text1"/>
          <w:sz w:val="24"/>
          <w:szCs w:val="24"/>
        </w:rPr>
        <w:t>56124</w:t>
      </w:r>
      <w:r w:rsidRPr="00981DC5">
        <w:rPr>
          <w:rFonts w:ascii="Book Antiqua" w:hAnsi="Book Antiqua"/>
          <w:color w:val="000000" w:themeColor="text1"/>
          <w:sz w:val="24"/>
          <w:szCs w:val="24"/>
        </w:rPr>
        <w:t>, Italy</w:t>
      </w:r>
    </w:p>
    <w:p w14:paraId="7F8C6089" w14:textId="77777777" w:rsidR="00B11A05" w:rsidRPr="00981DC5" w:rsidRDefault="00B11A05" w:rsidP="00B11A05">
      <w:pPr>
        <w:shd w:val="clear" w:color="auto" w:fill="FFFFFF"/>
        <w:adjustRightInd w:val="0"/>
        <w:snapToGrid w:val="0"/>
        <w:spacing w:after="0" w:line="360" w:lineRule="auto"/>
        <w:jc w:val="both"/>
        <w:rPr>
          <w:rFonts w:ascii="Book Antiqua" w:hAnsi="Book Antiqua"/>
          <w:color w:val="000000" w:themeColor="text1"/>
          <w:sz w:val="24"/>
          <w:szCs w:val="24"/>
        </w:rPr>
      </w:pPr>
    </w:p>
    <w:p w14:paraId="6BE8F22B" w14:textId="4EC0ABD3" w:rsidR="006A3D96" w:rsidRPr="00981DC5" w:rsidRDefault="006A3D96" w:rsidP="00B11A05">
      <w:pPr>
        <w:shd w:val="clear" w:color="auto" w:fill="FFFFFF"/>
        <w:adjustRightInd w:val="0"/>
        <w:snapToGrid w:val="0"/>
        <w:spacing w:after="0" w:line="360" w:lineRule="auto"/>
        <w:jc w:val="both"/>
        <w:rPr>
          <w:rFonts w:ascii="Book Antiqua" w:hAnsi="Book Antiqua" w:cs="Times New Roman"/>
          <w:color w:val="000000" w:themeColor="text1"/>
          <w:sz w:val="24"/>
          <w:szCs w:val="24"/>
        </w:rPr>
      </w:pPr>
      <w:r w:rsidRPr="00981DC5">
        <w:rPr>
          <w:rFonts w:ascii="Book Antiqua" w:hAnsi="Book Antiqua"/>
          <w:b/>
          <w:bCs/>
          <w:color w:val="000000" w:themeColor="text1"/>
          <w:sz w:val="24"/>
          <w:szCs w:val="24"/>
        </w:rPr>
        <w:t>Luca Morelli</w:t>
      </w:r>
      <w:r w:rsidR="00B11A05" w:rsidRPr="00981DC5">
        <w:rPr>
          <w:rFonts w:ascii="Book Antiqua" w:hAnsi="Book Antiqua"/>
          <w:color w:val="000000" w:themeColor="text1"/>
          <w:sz w:val="24"/>
          <w:szCs w:val="24"/>
        </w:rPr>
        <w:t>,</w:t>
      </w:r>
      <w:r w:rsidRPr="00981DC5">
        <w:rPr>
          <w:rFonts w:ascii="Book Antiqua" w:hAnsi="Book Antiqua"/>
          <w:color w:val="000000" w:themeColor="text1"/>
          <w:sz w:val="24"/>
          <w:szCs w:val="24"/>
        </w:rPr>
        <w:t xml:space="preserve"> </w:t>
      </w:r>
      <w:r w:rsidRPr="00981DC5">
        <w:rPr>
          <w:rFonts w:ascii="Book Antiqua" w:hAnsi="Book Antiqua" w:cs="Times New Roman"/>
          <w:color w:val="000000" w:themeColor="text1"/>
          <w:sz w:val="24"/>
          <w:szCs w:val="24"/>
        </w:rPr>
        <w:t xml:space="preserve">EndoCAS (Center for Computer Assisted Surgery), University of Pisa, </w:t>
      </w:r>
      <w:r w:rsidRPr="00981DC5">
        <w:rPr>
          <w:rFonts w:ascii="Book Antiqua" w:hAnsi="Book Antiqua"/>
          <w:color w:val="000000" w:themeColor="text1"/>
          <w:sz w:val="24"/>
          <w:szCs w:val="24"/>
        </w:rPr>
        <w:t>Pisa</w:t>
      </w:r>
      <w:r w:rsidR="00B11A05" w:rsidRPr="00981DC5">
        <w:rPr>
          <w:rFonts w:ascii="Book Antiqua" w:hAnsi="Book Antiqua"/>
          <w:color w:val="000000" w:themeColor="text1"/>
          <w:sz w:val="24"/>
          <w:szCs w:val="24"/>
        </w:rPr>
        <w:t xml:space="preserve"> </w:t>
      </w:r>
      <w:r w:rsidR="00B11A05" w:rsidRPr="00981DC5">
        <w:rPr>
          <w:rFonts w:ascii="Book Antiqua" w:hAnsi="Book Antiqua" w:cs="Times New Roman"/>
          <w:color w:val="000000" w:themeColor="text1"/>
          <w:sz w:val="24"/>
          <w:szCs w:val="24"/>
        </w:rPr>
        <w:t>56124</w:t>
      </w:r>
      <w:r w:rsidRPr="00981DC5">
        <w:rPr>
          <w:rFonts w:ascii="Book Antiqua" w:hAnsi="Book Antiqua"/>
          <w:color w:val="000000" w:themeColor="text1"/>
          <w:sz w:val="24"/>
          <w:szCs w:val="24"/>
        </w:rPr>
        <w:t>,</w:t>
      </w:r>
      <w:r w:rsidRPr="00981DC5">
        <w:rPr>
          <w:rFonts w:ascii="Book Antiqua" w:hAnsi="Book Antiqua" w:cs="Times New Roman"/>
          <w:color w:val="000000" w:themeColor="text1"/>
          <w:sz w:val="24"/>
          <w:szCs w:val="24"/>
        </w:rPr>
        <w:t xml:space="preserve"> Italy</w:t>
      </w:r>
    </w:p>
    <w:p w14:paraId="0A4DAD18" w14:textId="77777777" w:rsidR="00B11A05" w:rsidRPr="00981DC5" w:rsidRDefault="00B11A05" w:rsidP="00B11A05">
      <w:pPr>
        <w:shd w:val="clear" w:color="auto" w:fill="FFFFFF"/>
        <w:adjustRightInd w:val="0"/>
        <w:snapToGrid w:val="0"/>
        <w:spacing w:after="0" w:line="360" w:lineRule="auto"/>
        <w:jc w:val="both"/>
        <w:rPr>
          <w:rFonts w:ascii="Book Antiqua" w:hAnsi="Book Antiqua" w:cs="Times New Roman"/>
          <w:color w:val="000000" w:themeColor="text1"/>
          <w:sz w:val="24"/>
          <w:szCs w:val="24"/>
        </w:rPr>
      </w:pPr>
    </w:p>
    <w:p w14:paraId="629F47BE" w14:textId="40DE4AFE" w:rsidR="006A3D96" w:rsidRPr="00981DC5" w:rsidRDefault="006A3D96" w:rsidP="00B11A05">
      <w:pPr>
        <w:adjustRightInd w:val="0"/>
        <w:snapToGrid w:val="0"/>
        <w:spacing w:after="0" w:line="360" w:lineRule="auto"/>
        <w:jc w:val="both"/>
        <w:rPr>
          <w:rFonts w:ascii="Book Antiqua" w:hAnsi="Book Antiqua" w:cs="Calibri"/>
          <w:color w:val="000000" w:themeColor="text1"/>
          <w:sz w:val="24"/>
          <w:szCs w:val="24"/>
        </w:rPr>
      </w:pPr>
      <w:r w:rsidRPr="00981DC5">
        <w:rPr>
          <w:rFonts w:ascii="Book Antiqua" w:hAnsi="Book Antiqua" w:cs="Calibri"/>
          <w:b/>
          <w:color w:val="000000" w:themeColor="text1"/>
          <w:sz w:val="24"/>
          <w:szCs w:val="24"/>
        </w:rPr>
        <w:t xml:space="preserve">Alice Usai, </w:t>
      </w:r>
      <w:r w:rsidR="00F12C48" w:rsidRPr="00981DC5">
        <w:rPr>
          <w:rFonts w:ascii="Book Antiqua" w:hAnsi="Book Antiqua" w:cs="Calibri"/>
          <w:b/>
          <w:color w:val="000000" w:themeColor="text1"/>
          <w:sz w:val="24"/>
          <w:szCs w:val="24"/>
        </w:rPr>
        <w:t>Ida Elena Rosa</w:t>
      </w:r>
      <w:r w:rsidR="009667B3" w:rsidRPr="00981DC5">
        <w:rPr>
          <w:rFonts w:ascii="Book Antiqua" w:hAnsi="Book Antiqua" w:cs="Calibri"/>
          <w:b/>
          <w:color w:val="000000" w:themeColor="text1"/>
          <w:sz w:val="24"/>
          <w:szCs w:val="24"/>
        </w:rPr>
        <w:t>m</w:t>
      </w:r>
      <w:r w:rsidR="00F12C48" w:rsidRPr="00981DC5">
        <w:rPr>
          <w:rFonts w:ascii="Book Antiqua" w:hAnsi="Book Antiqua" w:cs="Calibri"/>
          <w:b/>
          <w:color w:val="000000" w:themeColor="text1"/>
          <w:sz w:val="24"/>
          <w:szCs w:val="24"/>
        </w:rPr>
        <w:t xml:space="preserve">aria Montesanti, </w:t>
      </w:r>
      <w:r w:rsidRPr="00981DC5">
        <w:rPr>
          <w:rFonts w:ascii="Book Antiqua" w:hAnsi="Book Antiqua" w:cs="Calibri"/>
          <w:b/>
          <w:color w:val="000000" w:themeColor="text1"/>
          <w:sz w:val="24"/>
          <w:szCs w:val="24"/>
        </w:rPr>
        <w:t>Vittoria Raffa</w:t>
      </w:r>
      <w:r w:rsidR="00B11A05" w:rsidRPr="00981DC5">
        <w:rPr>
          <w:rFonts w:ascii="Book Antiqua" w:hAnsi="Book Antiqua" w:cs="Calibri"/>
          <w:color w:val="000000" w:themeColor="text1"/>
          <w:sz w:val="24"/>
          <w:szCs w:val="24"/>
        </w:rPr>
        <w:t>,</w:t>
      </w:r>
      <w:r w:rsidRPr="00981DC5">
        <w:rPr>
          <w:rFonts w:ascii="Book Antiqua" w:hAnsi="Book Antiqua" w:cs="Calibri"/>
          <w:color w:val="000000" w:themeColor="text1"/>
          <w:sz w:val="24"/>
          <w:szCs w:val="24"/>
        </w:rPr>
        <w:t xml:space="preserve"> </w:t>
      </w:r>
      <w:r w:rsidR="00BA3424" w:rsidRPr="00981DC5">
        <w:rPr>
          <w:rFonts w:ascii="Book Antiqua" w:hAnsi="Book Antiqua" w:cs="Calibri"/>
          <w:color w:val="000000" w:themeColor="text1"/>
          <w:sz w:val="24"/>
          <w:szCs w:val="24"/>
        </w:rPr>
        <w:t xml:space="preserve">Department of Biology, University of Pisa, </w:t>
      </w:r>
      <w:r w:rsidRPr="00981DC5">
        <w:rPr>
          <w:rFonts w:ascii="Book Antiqua" w:hAnsi="Book Antiqua" w:cs="Calibri"/>
          <w:color w:val="000000" w:themeColor="text1"/>
          <w:sz w:val="24"/>
          <w:szCs w:val="24"/>
        </w:rPr>
        <w:t>Pisa</w:t>
      </w:r>
      <w:r w:rsidR="00B11A05" w:rsidRPr="00981DC5">
        <w:rPr>
          <w:rFonts w:ascii="Book Antiqua" w:hAnsi="Book Antiqua" w:cs="Calibri"/>
          <w:color w:val="000000" w:themeColor="text1"/>
          <w:sz w:val="24"/>
          <w:szCs w:val="24"/>
        </w:rPr>
        <w:t xml:space="preserve"> 56127</w:t>
      </w:r>
      <w:r w:rsidRPr="00981DC5">
        <w:rPr>
          <w:rFonts w:ascii="Book Antiqua" w:hAnsi="Book Antiqua" w:cs="Calibri"/>
          <w:color w:val="000000" w:themeColor="text1"/>
          <w:sz w:val="24"/>
          <w:szCs w:val="24"/>
        </w:rPr>
        <w:t>, Italy</w:t>
      </w:r>
    </w:p>
    <w:p w14:paraId="70ACB54B" w14:textId="77777777" w:rsidR="00B11A05" w:rsidRPr="00981DC5" w:rsidRDefault="00B11A05" w:rsidP="00B11A05">
      <w:pPr>
        <w:adjustRightInd w:val="0"/>
        <w:snapToGrid w:val="0"/>
        <w:spacing w:after="0" w:line="360" w:lineRule="auto"/>
        <w:jc w:val="both"/>
        <w:rPr>
          <w:rFonts w:ascii="Book Antiqua" w:hAnsi="Book Antiqua" w:cs="Calibri"/>
          <w:b/>
          <w:color w:val="000000" w:themeColor="text1"/>
          <w:sz w:val="24"/>
          <w:szCs w:val="24"/>
        </w:rPr>
      </w:pPr>
    </w:p>
    <w:p w14:paraId="2809F1F0" w14:textId="4F225786" w:rsidR="009710F8" w:rsidRPr="00981DC5" w:rsidRDefault="006A3D96" w:rsidP="00B11A05">
      <w:pPr>
        <w:adjustRightInd w:val="0"/>
        <w:snapToGrid w:val="0"/>
        <w:spacing w:after="0" w:line="360" w:lineRule="auto"/>
        <w:jc w:val="both"/>
        <w:rPr>
          <w:rFonts w:ascii="Book Antiqua" w:hAnsi="Book Antiqua" w:cs="Calibri"/>
          <w:b/>
          <w:color w:val="000000" w:themeColor="text1"/>
          <w:sz w:val="24"/>
          <w:szCs w:val="24"/>
          <w:lang w:val="en-US"/>
        </w:rPr>
      </w:pPr>
      <w:r w:rsidRPr="00981DC5">
        <w:rPr>
          <w:rFonts w:ascii="Book Antiqua" w:hAnsi="Book Antiqua" w:cs="Calibri"/>
          <w:b/>
          <w:color w:val="000000" w:themeColor="text1"/>
          <w:sz w:val="24"/>
          <w:szCs w:val="24"/>
          <w:lang w:val="en-US"/>
        </w:rPr>
        <w:t xml:space="preserve">Luca Emanuele </w:t>
      </w:r>
      <w:proofErr w:type="spellStart"/>
      <w:r w:rsidRPr="00981DC5">
        <w:rPr>
          <w:rFonts w:ascii="Book Antiqua" w:hAnsi="Book Antiqua" w:cs="Calibri"/>
          <w:b/>
          <w:color w:val="000000" w:themeColor="text1"/>
          <w:sz w:val="24"/>
          <w:szCs w:val="24"/>
          <w:lang w:val="en-US"/>
        </w:rPr>
        <w:t>Pollina</w:t>
      </w:r>
      <w:proofErr w:type="spellEnd"/>
      <w:r w:rsidRPr="00981DC5">
        <w:rPr>
          <w:rFonts w:ascii="Book Antiqua" w:hAnsi="Book Antiqua" w:cs="Calibri"/>
          <w:b/>
          <w:color w:val="000000" w:themeColor="text1"/>
          <w:sz w:val="24"/>
          <w:szCs w:val="24"/>
          <w:lang w:val="en-US"/>
        </w:rPr>
        <w:t xml:space="preserve">, </w:t>
      </w:r>
      <w:proofErr w:type="spellStart"/>
      <w:r w:rsidRPr="00981DC5">
        <w:rPr>
          <w:rFonts w:ascii="Book Antiqua" w:hAnsi="Book Antiqua" w:cs="Calibri"/>
          <w:b/>
          <w:color w:val="000000" w:themeColor="text1"/>
          <w:sz w:val="24"/>
          <w:szCs w:val="24"/>
          <w:lang w:val="en-US"/>
        </w:rPr>
        <w:t>Niccola</w:t>
      </w:r>
      <w:proofErr w:type="spellEnd"/>
      <w:r w:rsidRPr="00981DC5">
        <w:rPr>
          <w:rFonts w:ascii="Book Antiqua" w:hAnsi="Book Antiqua" w:cs="Calibri"/>
          <w:b/>
          <w:color w:val="000000" w:themeColor="text1"/>
          <w:sz w:val="24"/>
          <w:szCs w:val="24"/>
          <w:lang w:val="en-US"/>
        </w:rPr>
        <w:t xml:space="preserve"> </w:t>
      </w:r>
      <w:proofErr w:type="spellStart"/>
      <w:r w:rsidRPr="00981DC5">
        <w:rPr>
          <w:rFonts w:ascii="Book Antiqua" w:hAnsi="Book Antiqua" w:cs="Calibri"/>
          <w:b/>
          <w:color w:val="000000" w:themeColor="text1"/>
          <w:sz w:val="24"/>
          <w:szCs w:val="24"/>
          <w:lang w:val="en-US"/>
        </w:rPr>
        <w:t>Funel</w:t>
      </w:r>
      <w:proofErr w:type="spellEnd"/>
      <w:r w:rsidR="00B11A05" w:rsidRPr="00981DC5">
        <w:rPr>
          <w:rFonts w:ascii="Book Antiqua" w:hAnsi="Book Antiqua" w:cs="Calibri"/>
          <w:color w:val="000000" w:themeColor="text1"/>
          <w:sz w:val="24"/>
          <w:szCs w:val="24"/>
          <w:lang w:val="en-US"/>
        </w:rPr>
        <w:t>,</w:t>
      </w:r>
      <w:r w:rsidRPr="00981DC5">
        <w:rPr>
          <w:rFonts w:ascii="Book Antiqua" w:hAnsi="Book Antiqua"/>
          <w:color w:val="000000" w:themeColor="text1"/>
          <w:sz w:val="24"/>
          <w:szCs w:val="24"/>
          <w:lang w:val="en-US"/>
        </w:rPr>
        <w:t xml:space="preserve"> </w:t>
      </w:r>
      <w:r w:rsidR="009710F8" w:rsidRPr="00981DC5">
        <w:rPr>
          <w:rFonts w:ascii="Book Antiqua" w:hAnsi="Book Antiqua"/>
          <w:color w:val="000000" w:themeColor="text1"/>
          <w:sz w:val="24"/>
          <w:szCs w:val="24"/>
          <w:lang w:val="en-US"/>
        </w:rPr>
        <w:t>Department of Laboratory of Medicine, Division of Surgical Pathology, Hospital-University of Pisa, Pisa</w:t>
      </w:r>
      <w:r w:rsidR="00B11A05" w:rsidRPr="00981DC5">
        <w:rPr>
          <w:rFonts w:ascii="Book Antiqua" w:hAnsi="Book Antiqua"/>
          <w:color w:val="000000" w:themeColor="text1"/>
          <w:sz w:val="24"/>
          <w:szCs w:val="24"/>
          <w:lang w:val="en-US"/>
        </w:rPr>
        <w:t xml:space="preserve"> 56124</w:t>
      </w:r>
      <w:r w:rsidR="009710F8" w:rsidRPr="00981DC5">
        <w:rPr>
          <w:rFonts w:ascii="Book Antiqua" w:hAnsi="Book Antiqua"/>
          <w:color w:val="000000" w:themeColor="text1"/>
          <w:sz w:val="24"/>
          <w:szCs w:val="24"/>
          <w:lang w:val="en-US"/>
        </w:rPr>
        <w:t>, Italy</w:t>
      </w:r>
    </w:p>
    <w:p w14:paraId="274BCF61" w14:textId="77777777" w:rsidR="00B11A05" w:rsidRPr="00981DC5" w:rsidRDefault="00B11A05" w:rsidP="00B11A05">
      <w:pPr>
        <w:adjustRightInd w:val="0"/>
        <w:snapToGrid w:val="0"/>
        <w:spacing w:after="0" w:line="360" w:lineRule="auto"/>
        <w:jc w:val="both"/>
        <w:rPr>
          <w:rFonts w:ascii="Book Antiqua" w:hAnsi="Book Antiqua" w:cs="Calibri"/>
          <w:b/>
          <w:color w:val="000000" w:themeColor="text1"/>
          <w:sz w:val="24"/>
          <w:szCs w:val="24"/>
          <w:lang w:val="en-US"/>
        </w:rPr>
      </w:pPr>
    </w:p>
    <w:p w14:paraId="5EAE770D" w14:textId="3D09C988" w:rsidR="00DE3E64" w:rsidRPr="00981DC5" w:rsidRDefault="004C48B5" w:rsidP="00B11A05">
      <w:pPr>
        <w:adjustRightInd w:val="0"/>
        <w:snapToGrid w:val="0"/>
        <w:spacing w:after="0" w:line="360" w:lineRule="auto"/>
        <w:jc w:val="both"/>
        <w:rPr>
          <w:rFonts w:ascii="Book Antiqua" w:hAnsi="Book Antiqua"/>
          <w:color w:val="000000" w:themeColor="text1"/>
          <w:sz w:val="24"/>
          <w:szCs w:val="24"/>
          <w:lang w:val="en-US"/>
        </w:rPr>
      </w:pPr>
      <w:r w:rsidRPr="00981DC5">
        <w:rPr>
          <w:rFonts w:ascii="Book Antiqua" w:hAnsi="Book Antiqua" w:cs="Calibri"/>
          <w:b/>
          <w:color w:val="000000" w:themeColor="text1"/>
          <w:sz w:val="24"/>
          <w:szCs w:val="24"/>
          <w:lang w:val="en-US"/>
        </w:rPr>
        <w:t xml:space="preserve">Enrico </w:t>
      </w:r>
      <w:proofErr w:type="spellStart"/>
      <w:r w:rsidRPr="00981DC5">
        <w:rPr>
          <w:rFonts w:ascii="Book Antiqua" w:hAnsi="Book Antiqua" w:cs="Calibri"/>
          <w:b/>
          <w:color w:val="000000" w:themeColor="text1"/>
          <w:sz w:val="24"/>
          <w:szCs w:val="24"/>
          <w:lang w:val="en-US"/>
        </w:rPr>
        <w:t>Vasile</w:t>
      </w:r>
      <w:proofErr w:type="spellEnd"/>
      <w:r w:rsidR="00B11A05" w:rsidRPr="00981DC5">
        <w:rPr>
          <w:rFonts w:ascii="Book Antiqua" w:hAnsi="Book Antiqua" w:cs="Calibri"/>
          <w:b/>
          <w:color w:val="000000" w:themeColor="text1"/>
          <w:sz w:val="24"/>
          <w:szCs w:val="24"/>
          <w:lang w:val="en-US"/>
        </w:rPr>
        <w:t>,</w:t>
      </w:r>
      <w:r w:rsidRPr="00981DC5">
        <w:rPr>
          <w:rFonts w:ascii="Book Antiqua" w:hAnsi="Book Antiqua" w:cs="Calibri"/>
          <w:b/>
          <w:color w:val="000000" w:themeColor="text1"/>
          <w:sz w:val="24"/>
          <w:szCs w:val="24"/>
          <w:lang w:val="en-US"/>
        </w:rPr>
        <w:t xml:space="preserve"> </w:t>
      </w:r>
      <w:r w:rsidRPr="00981DC5">
        <w:rPr>
          <w:rFonts w:ascii="Book Antiqua" w:hAnsi="Book Antiqua"/>
          <w:color w:val="000000" w:themeColor="text1"/>
          <w:sz w:val="24"/>
          <w:szCs w:val="24"/>
          <w:lang w:val="en-US"/>
        </w:rPr>
        <w:t xml:space="preserve">Division of Medical Oncology, </w:t>
      </w:r>
      <w:r w:rsidR="00DE3E64" w:rsidRPr="00981DC5">
        <w:rPr>
          <w:rFonts w:ascii="Book Antiqua" w:hAnsi="Book Antiqua"/>
          <w:color w:val="000000" w:themeColor="text1"/>
          <w:sz w:val="24"/>
          <w:szCs w:val="24"/>
          <w:lang w:val="en-US"/>
        </w:rPr>
        <w:t>Pisa University Hospital</w:t>
      </w:r>
      <w:r w:rsidR="009710F8" w:rsidRPr="00981DC5">
        <w:rPr>
          <w:rFonts w:ascii="Book Antiqua" w:hAnsi="Book Antiqua"/>
          <w:color w:val="000000" w:themeColor="text1"/>
          <w:sz w:val="24"/>
          <w:szCs w:val="24"/>
          <w:lang w:val="en-US"/>
        </w:rPr>
        <w:t>, Pisa</w:t>
      </w:r>
      <w:r w:rsidR="00B11A05" w:rsidRPr="00981DC5">
        <w:rPr>
          <w:rFonts w:ascii="Book Antiqua" w:hAnsi="Book Antiqua"/>
          <w:color w:val="000000" w:themeColor="text1"/>
          <w:sz w:val="24"/>
          <w:szCs w:val="24"/>
          <w:lang w:val="en-US"/>
        </w:rPr>
        <w:t xml:space="preserve"> 56124</w:t>
      </w:r>
      <w:r w:rsidR="009710F8" w:rsidRPr="00981DC5">
        <w:rPr>
          <w:rFonts w:ascii="Book Antiqua" w:hAnsi="Book Antiqua"/>
          <w:color w:val="000000" w:themeColor="text1"/>
          <w:sz w:val="24"/>
          <w:szCs w:val="24"/>
          <w:lang w:val="en-US"/>
        </w:rPr>
        <w:t>, Italy</w:t>
      </w:r>
    </w:p>
    <w:p w14:paraId="279997A4" w14:textId="77777777" w:rsidR="00B11A05" w:rsidRPr="00981DC5" w:rsidRDefault="00B11A05" w:rsidP="00B11A05">
      <w:pPr>
        <w:adjustRightInd w:val="0"/>
        <w:snapToGrid w:val="0"/>
        <w:spacing w:after="0" w:line="360" w:lineRule="auto"/>
        <w:jc w:val="both"/>
        <w:rPr>
          <w:rFonts w:ascii="Book Antiqua" w:hAnsi="Book Antiqua"/>
          <w:color w:val="000000" w:themeColor="text1"/>
          <w:sz w:val="24"/>
          <w:szCs w:val="24"/>
          <w:lang w:val="en-US"/>
        </w:rPr>
      </w:pPr>
    </w:p>
    <w:p w14:paraId="50525245" w14:textId="017488C5" w:rsidR="006A3D96" w:rsidRPr="00981DC5" w:rsidRDefault="004C48B5" w:rsidP="00B11A05">
      <w:pPr>
        <w:adjustRightInd w:val="0"/>
        <w:snapToGrid w:val="0"/>
        <w:spacing w:after="0" w:line="360" w:lineRule="auto"/>
        <w:jc w:val="both"/>
        <w:rPr>
          <w:rFonts w:ascii="Book Antiqua" w:hAnsi="Book Antiqua"/>
          <w:color w:val="000000" w:themeColor="text1"/>
          <w:sz w:val="24"/>
          <w:szCs w:val="24"/>
          <w:lang w:val="en-US"/>
        </w:rPr>
      </w:pPr>
      <w:r w:rsidRPr="00981DC5">
        <w:rPr>
          <w:rFonts w:ascii="Book Antiqua" w:hAnsi="Book Antiqua" w:cs="Calibri"/>
          <w:b/>
          <w:color w:val="000000" w:themeColor="text1"/>
          <w:sz w:val="24"/>
          <w:szCs w:val="24"/>
          <w:lang w:val="en-US"/>
        </w:rPr>
        <w:t>Alfredo Falcone</w:t>
      </w:r>
      <w:r w:rsidR="00B11A05" w:rsidRPr="00981DC5">
        <w:rPr>
          <w:rFonts w:ascii="Book Antiqua" w:hAnsi="Book Antiqua" w:cs="Calibri"/>
          <w:color w:val="000000" w:themeColor="text1"/>
          <w:sz w:val="24"/>
          <w:szCs w:val="24"/>
          <w:lang w:val="en-US"/>
        </w:rPr>
        <w:t>,</w:t>
      </w:r>
      <w:r w:rsidRPr="00981DC5">
        <w:rPr>
          <w:rFonts w:ascii="Book Antiqua" w:hAnsi="Book Antiqua"/>
          <w:color w:val="000000" w:themeColor="text1"/>
          <w:sz w:val="24"/>
          <w:szCs w:val="24"/>
          <w:lang w:val="en-US"/>
        </w:rPr>
        <w:t xml:space="preserve"> Department of Translational Research and New Technologies in Medicine and Surgery, University of Pisa, Pisa</w:t>
      </w:r>
      <w:r w:rsidR="00B11A05" w:rsidRPr="00981DC5">
        <w:rPr>
          <w:rFonts w:ascii="Book Antiqua" w:hAnsi="Book Antiqua"/>
          <w:color w:val="000000" w:themeColor="text1"/>
          <w:sz w:val="24"/>
          <w:szCs w:val="24"/>
          <w:lang w:val="en-US"/>
        </w:rPr>
        <w:t xml:space="preserve"> </w:t>
      </w:r>
      <w:r w:rsidR="00B11A05" w:rsidRPr="00981DC5">
        <w:rPr>
          <w:rFonts w:ascii="Book Antiqua" w:hAnsi="Book Antiqua" w:cs="Times New Roman"/>
          <w:color w:val="000000" w:themeColor="text1"/>
          <w:sz w:val="24"/>
          <w:szCs w:val="24"/>
          <w:lang w:val="en-US"/>
        </w:rPr>
        <w:t>56124</w:t>
      </w:r>
      <w:r w:rsidRPr="00981DC5">
        <w:rPr>
          <w:rFonts w:ascii="Book Antiqua" w:hAnsi="Book Antiqua"/>
          <w:color w:val="000000" w:themeColor="text1"/>
          <w:sz w:val="24"/>
          <w:szCs w:val="24"/>
          <w:lang w:val="en-US"/>
        </w:rPr>
        <w:t>, Italy</w:t>
      </w:r>
    </w:p>
    <w:p w14:paraId="6A4FB7C9" w14:textId="77777777" w:rsidR="006A3D96" w:rsidRPr="00981DC5" w:rsidRDefault="006A3D96" w:rsidP="00B11A05">
      <w:pPr>
        <w:adjustRightInd w:val="0"/>
        <w:snapToGrid w:val="0"/>
        <w:spacing w:after="0" w:line="360" w:lineRule="auto"/>
        <w:jc w:val="both"/>
        <w:rPr>
          <w:rFonts w:ascii="Book Antiqua" w:hAnsi="Book Antiqua"/>
          <w:b/>
          <w:color w:val="000000" w:themeColor="text1"/>
          <w:sz w:val="24"/>
          <w:szCs w:val="24"/>
        </w:rPr>
      </w:pPr>
    </w:p>
    <w:p w14:paraId="550C8297" w14:textId="78FBC9EB" w:rsidR="009710F8" w:rsidRPr="007F7CF7" w:rsidRDefault="00B11A05" w:rsidP="00B11A05">
      <w:pPr>
        <w:adjustRightInd w:val="0"/>
        <w:snapToGrid w:val="0"/>
        <w:spacing w:after="0" w:line="360" w:lineRule="auto"/>
        <w:jc w:val="both"/>
        <w:rPr>
          <w:rFonts w:ascii="Book Antiqua" w:hAnsi="Book Antiqua" w:cs="Calibri"/>
          <w:color w:val="000000" w:themeColor="text1"/>
          <w:sz w:val="24"/>
          <w:szCs w:val="24"/>
        </w:rPr>
      </w:pPr>
      <w:r w:rsidRPr="00981DC5">
        <w:rPr>
          <w:rFonts w:ascii="Book Antiqua" w:hAnsi="Book Antiqua"/>
          <w:b/>
          <w:color w:val="000000" w:themeColor="text1"/>
          <w:sz w:val="24"/>
          <w:szCs w:val="24"/>
          <w:lang w:val="en-GB"/>
        </w:rPr>
        <w:t>Author contributions:</w:t>
      </w:r>
      <w:r w:rsidRPr="00981DC5">
        <w:rPr>
          <w:rFonts w:ascii="Book Antiqua" w:hAnsi="Book Antiqua" w:cstheme="minorHAnsi"/>
          <w:color w:val="000000" w:themeColor="text1"/>
          <w:sz w:val="24"/>
          <w:szCs w:val="24"/>
          <w:lang w:val="en-GB"/>
        </w:rPr>
        <w:t xml:space="preserve"> </w:t>
      </w:r>
      <w:r w:rsidR="007F7CF7" w:rsidRPr="00CA3E0A">
        <w:rPr>
          <w:rFonts w:ascii="Book Antiqua" w:hAnsi="Book Antiqua" w:cs="Calibri"/>
          <w:bCs/>
          <w:color w:val="000000" w:themeColor="text1"/>
          <w:sz w:val="24"/>
          <w:szCs w:val="24"/>
        </w:rPr>
        <w:t xml:space="preserve">Di Franco G and Alice Usai A </w:t>
      </w:r>
      <w:r w:rsidR="007F7CF7" w:rsidRPr="00CA3E0A">
        <w:rPr>
          <w:rFonts w:ascii="Book Antiqua" w:hAnsi="Book Antiqua"/>
          <w:bCs/>
          <w:sz w:val="24"/>
        </w:rPr>
        <w:t>contributed equally to this work;</w:t>
      </w:r>
      <w:r w:rsidR="007F7CF7" w:rsidRPr="00CA3E0A">
        <w:rPr>
          <w:rFonts w:ascii="Book Antiqua" w:hAnsi="Book Antiqua" w:cs="Calibri"/>
          <w:bCs/>
          <w:color w:val="000000" w:themeColor="text1"/>
          <w:sz w:val="24"/>
          <w:szCs w:val="24"/>
        </w:rPr>
        <w:t xml:space="preserve"> Raffa</w:t>
      </w:r>
      <w:r w:rsidR="007F7CF7" w:rsidRPr="00CA3E0A">
        <w:rPr>
          <w:rFonts w:ascii="Book Antiqua" w:hAnsi="Book Antiqua" w:cs="Calibri"/>
          <w:bCs/>
          <w:color w:val="000000" w:themeColor="text1"/>
          <w:sz w:val="24"/>
          <w:szCs w:val="24"/>
          <w:vertAlign w:val="superscript"/>
        </w:rPr>
        <w:t xml:space="preserve"> </w:t>
      </w:r>
      <w:r w:rsidR="007F7CF7" w:rsidRPr="00CA3E0A">
        <w:rPr>
          <w:rFonts w:ascii="Book Antiqua" w:hAnsi="Book Antiqua" w:cs="Calibri"/>
          <w:bCs/>
          <w:color w:val="000000" w:themeColor="text1"/>
          <w:sz w:val="24"/>
          <w:szCs w:val="24"/>
        </w:rPr>
        <w:t>V and Morelli</w:t>
      </w:r>
      <w:r w:rsidR="007F7CF7" w:rsidRPr="00CA3E0A">
        <w:rPr>
          <w:rFonts w:ascii="Book Antiqua" w:hAnsi="Book Antiqua" w:cs="Calibri"/>
          <w:bCs/>
          <w:color w:val="000000" w:themeColor="text1"/>
          <w:sz w:val="24"/>
          <w:szCs w:val="24"/>
          <w:vertAlign w:val="superscript"/>
        </w:rPr>
        <w:t xml:space="preserve"> </w:t>
      </w:r>
      <w:r w:rsidR="007F7CF7" w:rsidRPr="00CA3E0A">
        <w:rPr>
          <w:rFonts w:ascii="Book Antiqua" w:hAnsi="Book Antiqua"/>
          <w:bCs/>
          <w:color w:val="000000" w:themeColor="text1"/>
          <w:sz w:val="24"/>
          <w:szCs w:val="24"/>
        </w:rPr>
        <w:t xml:space="preserve">L </w:t>
      </w:r>
      <w:r w:rsidR="007F7CF7" w:rsidRPr="00CA3E0A">
        <w:rPr>
          <w:rFonts w:ascii="Book Antiqua" w:hAnsi="Book Antiqua"/>
          <w:bCs/>
          <w:sz w:val="24"/>
        </w:rPr>
        <w:t>contributed equally to this work;</w:t>
      </w:r>
      <w:r w:rsidR="007F7CF7" w:rsidRPr="00CA3E0A">
        <w:rPr>
          <w:rFonts w:ascii="Book Antiqua" w:hAnsi="Book Antiqua" w:cs="Calibri"/>
          <w:bCs/>
          <w:color w:val="000000" w:themeColor="text1"/>
          <w:sz w:val="24"/>
          <w:szCs w:val="24"/>
        </w:rPr>
        <w:t xml:space="preserve"> Di Franco G, Usai A, Funel N, Palmeri M, Bianchini M, Gianardi D, Furbetta N, Guadagni S, Vasile E, Falcone A, Pollina LE, Raffa V and Morelli L </w:t>
      </w:r>
      <w:r w:rsidR="007F7CF7" w:rsidRPr="00CA3E0A">
        <w:rPr>
          <w:rFonts w:ascii="Book Antiqua" w:hAnsi="Book Antiqua" w:cs="Calibri"/>
          <w:bCs/>
          <w:color w:val="000000" w:themeColor="text1"/>
          <w:sz w:val="24"/>
          <w:szCs w:val="24"/>
          <w:lang w:val="en-US"/>
        </w:rPr>
        <w:t>contributed</w:t>
      </w:r>
      <w:r w:rsidR="007F7CF7" w:rsidRPr="00CA3E0A">
        <w:rPr>
          <w:rFonts w:ascii="Book Antiqua" w:hAnsi="Book Antiqua" w:cs="Calibri"/>
          <w:bCs/>
          <w:color w:val="000000" w:themeColor="text1"/>
          <w:sz w:val="24"/>
          <w:szCs w:val="24"/>
        </w:rPr>
        <w:t xml:space="preserve"> to the </w:t>
      </w:r>
      <w:r w:rsidR="007F7CF7" w:rsidRPr="00CA3E0A">
        <w:rPr>
          <w:rFonts w:ascii="Book Antiqua" w:hAnsi="Book Antiqua"/>
          <w:bCs/>
          <w:color w:val="000000" w:themeColor="text1"/>
          <w:sz w:val="24"/>
          <w:szCs w:val="24"/>
        </w:rPr>
        <w:t xml:space="preserve">study conception and design; </w:t>
      </w:r>
      <w:r w:rsidR="007F7CF7" w:rsidRPr="00CA3E0A">
        <w:rPr>
          <w:rFonts w:ascii="Book Antiqua" w:hAnsi="Book Antiqua" w:cs="Calibri"/>
          <w:bCs/>
          <w:color w:val="000000" w:themeColor="text1"/>
          <w:sz w:val="24"/>
          <w:szCs w:val="24"/>
        </w:rPr>
        <w:t xml:space="preserve">Di Franco G, Usai A, Funel N, Palmeri M, </w:t>
      </w:r>
      <w:r w:rsidR="007F7CF7" w:rsidRPr="00CA3E0A">
        <w:rPr>
          <w:rFonts w:ascii="Book Antiqua" w:hAnsi="Book Antiqua"/>
          <w:bCs/>
          <w:color w:val="000000" w:themeColor="text1"/>
          <w:sz w:val="24"/>
          <w:szCs w:val="24"/>
        </w:rPr>
        <w:t>Montesanti IER,</w:t>
      </w:r>
      <w:r w:rsidR="007F7CF7" w:rsidRPr="00CA3E0A">
        <w:rPr>
          <w:rFonts w:ascii="Book Antiqua" w:hAnsi="Book Antiqua" w:cs="Calibri"/>
          <w:bCs/>
          <w:color w:val="000000" w:themeColor="text1"/>
          <w:sz w:val="24"/>
          <w:szCs w:val="24"/>
        </w:rPr>
        <w:t xml:space="preserve"> Bianchini M, Gianardi D, Furbetta N, Guadagni S, Pollina LE and Enrico Vasile E </w:t>
      </w:r>
      <w:r w:rsidR="007F7CF7" w:rsidRPr="00CA3E0A">
        <w:rPr>
          <w:rFonts w:ascii="Book Antiqua" w:hAnsi="Book Antiqua" w:cs="Calibri"/>
          <w:bCs/>
          <w:color w:val="000000" w:themeColor="text1"/>
          <w:sz w:val="24"/>
          <w:szCs w:val="24"/>
          <w:lang w:val="en-US"/>
        </w:rPr>
        <w:t>contributed</w:t>
      </w:r>
      <w:r w:rsidR="007F7CF7" w:rsidRPr="00CA3E0A">
        <w:rPr>
          <w:rFonts w:ascii="Book Antiqua" w:hAnsi="Book Antiqua" w:cs="Calibri"/>
          <w:bCs/>
          <w:color w:val="000000" w:themeColor="text1"/>
          <w:sz w:val="24"/>
          <w:szCs w:val="24"/>
        </w:rPr>
        <w:t xml:space="preserve"> to the</w:t>
      </w:r>
      <w:r w:rsidR="007F7CF7" w:rsidRPr="00CA3E0A">
        <w:rPr>
          <w:rFonts w:ascii="Book Antiqua" w:hAnsi="Book Antiqua"/>
          <w:bCs/>
          <w:color w:val="000000" w:themeColor="text1"/>
          <w:sz w:val="24"/>
          <w:szCs w:val="24"/>
        </w:rPr>
        <w:t xml:space="preserve"> data acquisition; </w:t>
      </w:r>
      <w:r w:rsidR="007F7CF7" w:rsidRPr="00CA3E0A">
        <w:rPr>
          <w:rFonts w:ascii="Book Antiqua" w:hAnsi="Book Antiqua" w:cs="Calibri"/>
          <w:bCs/>
          <w:color w:val="000000" w:themeColor="text1"/>
          <w:sz w:val="24"/>
          <w:szCs w:val="24"/>
        </w:rPr>
        <w:t>Di Franco G, Usai A, Funel N, Palmeri M,</w:t>
      </w:r>
      <w:r w:rsidR="007F7CF7" w:rsidRPr="00CA3E0A">
        <w:rPr>
          <w:rFonts w:ascii="Book Antiqua" w:hAnsi="Book Antiqua"/>
          <w:bCs/>
          <w:color w:val="000000" w:themeColor="text1"/>
          <w:sz w:val="24"/>
          <w:szCs w:val="24"/>
        </w:rPr>
        <w:t xml:space="preserve"> Montesanti IER,</w:t>
      </w:r>
      <w:r w:rsidR="007F7CF7" w:rsidRPr="00CA3E0A">
        <w:rPr>
          <w:rFonts w:ascii="Book Antiqua" w:hAnsi="Book Antiqua" w:cs="Calibri"/>
          <w:bCs/>
          <w:color w:val="000000" w:themeColor="text1"/>
          <w:sz w:val="24"/>
          <w:szCs w:val="24"/>
        </w:rPr>
        <w:t xml:space="preserve"> Bianchini M, Gianardi D, Furbetta N, Guadagni S, Raffa V and Morelli L </w:t>
      </w:r>
      <w:r w:rsidR="007F7CF7" w:rsidRPr="00CA3E0A">
        <w:rPr>
          <w:rFonts w:ascii="Book Antiqua" w:hAnsi="Book Antiqua" w:cs="Calibri"/>
          <w:bCs/>
          <w:color w:val="000000" w:themeColor="text1"/>
          <w:sz w:val="24"/>
          <w:szCs w:val="24"/>
          <w:lang w:val="en-US"/>
        </w:rPr>
        <w:t>contributed</w:t>
      </w:r>
      <w:r w:rsidR="007F7CF7" w:rsidRPr="00CA3E0A">
        <w:rPr>
          <w:rFonts w:ascii="Book Antiqua" w:hAnsi="Book Antiqua" w:cs="Calibri"/>
          <w:bCs/>
          <w:color w:val="000000" w:themeColor="text1"/>
          <w:sz w:val="24"/>
          <w:szCs w:val="24"/>
        </w:rPr>
        <w:t xml:space="preserve"> to the</w:t>
      </w:r>
      <w:r w:rsidR="007F7CF7" w:rsidRPr="00CA3E0A">
        <w:rPr>
          <w:rFonts w:ascii="Book Antiqua" w:hAnsi="Book Antiqua" w:cs="Calibri" w:hint="eastAsia"/>
          <w:bCs/>
          <w:color w:val="000000" w:themeColor="text1"/>
          <w:sz w:val="24"/>
          <w:szCs w:val="24"/>
        </w:rPr>
        <w:t xml:space="preserve"> </w:t>
      </w:r>
      <w:r w:rsidR="007F7CF7" w:rsidRPr="00CA3E0A">
        <w:rPr>
          <w:rFonts w:ascii="Book Antiqua" w:hAnsi="Book Antiqua"/>
          <w:bCs/>
          <w:color w:val="000000" w:themeColor="text1"/>
          <w:sz w:val="24"/>
          <w:szCs w:val="24"/>
        </w:rPr>
        <w:t>data analysis and interpretation</w:t>
      </w:r>
      <w:r w:rsidR="007F7CF7" w:rsidRPr="00CA3E0A">
        <w:rPr>
          <w:rFonts w:ascii="Book Antiqua" w:hAnsi="Book Antiqua" w:cs="Calibri"/>
          <w:bCs/>
          <w:color w:val="000000" w:themeColor="text1"/>
          <w:sz w:val="24"/>
          <w:szCs w:val="24"/>
        </w:rPr>
        <w:t>;</w:t>
      </w:r>
      <w:r w:rsidR="009710F8" w:rsidRPr="00CA3E0A">
        <w:rPr>
          <w:rFonts w:ascii="Book Antiqua" w:hAnsi="Book Antiqua" w:cs="Calibri"/>
          <w:bCs/>
          <w:color w:val="000000" w:themeColor="text1"/>
          <w:sz w:val="24"/>
          <w:szCs w:val="24"/>
        </w:rPr>
        <w:t xml:space="preserve"> </w:t>
      </w:r>
      <w:r w:rsidR="007F7CF7" w:rsidRPr="00CA3E0A">
        <w:rPr>
          <w:rFonts w:ascii="Book Antiqua" w:hAnsi="Book Antiqua" w:cs="Calibri"/>
          <w:bCs/>
          <w:color w:val="000000" w:themeColor="text1"/>
          <w:sz w:val="24"/>
          <w:szCs w:val="24"/>
        </w:rPr>
        <w:t>Di Franco G, Usai A, Funel N, Palmeri M,</w:t>
      </w:r>
      <w:r w:rsidR="007F7CF7" w:rsidRPr="00CA3E0A">
        <w:rPr>
          <w:rFonts w:ascii="Book Antiqua" w:hAnsi="Book Antiqua"/>
          <w:bCs/>
          <w:color w:val="000000" w:themeColor="text1"/>
          <w:sz w:val="24"/>
          <w:szCs w:val="24"/>
        </w:rPr>
        <w:t xml:space="preserve"> Montesanti IER,</w:t>
      </w:r>
      <w:r w:rsidR="007F7CF7" w:rsidRPr="00CA3E0A">
        <w:rPr>
          <w:rFonts w:ascii="Book Antiqua" w:hAnsi="Book Antiqua" w:cs="Calibri"/>
          <w:bCs/>
          <w:color w:val="000000" w:themeColor="text1"/>
          <w:sz w:val="24"/>
          <w:szCs w:val="24"/>
        </w:rPr>
        <w:t xml:space="preserve"> Bianchini M, Gianardi D, Furbetta N, Guadagni S and Vasile E </w:t>
      </w:r>
      <w:r w:rsidR="007F7CF7" w:rsidRPr="00CA3E0A">
        <w:rPr>
          <w:rFonts w:ascii="Book Antiqua" w:hAnsi="Book Antiqua" w:cs="Calibri"/>
          <w:bCs/>
          <w:color w:val="000000" w:themeColor="text1"/>
          <w:sz w:val="24"/>
          <w:szCs w:val="24"/>
          <w:lang w:val="en-US"/>
        </w:rPr>
        <w:t xml:space="preserve">drafted the manuscript; </w:t>
      </w:r>
      <w:r w:rsidR="007F7CF7" w:rsidRPr="00CA3E0A">
        <w:rPr>
          <w:rFonts w:ascii="Book Antiqua" w:hAnsi="Book Antiqua" w:cs="Calibri"/>
          <w:bCs/>
          <w:color w:val="000000" w:themeColor="text1"/>
          <w:sz w:val="24"/>
          <w:szCs w:val="24"/>
        </w:rPr>
        <w:t xml:space="preserve">Falcone A, Pollina LE, Raffa V and Morelli L </w:t>
      </w:r>
      <w:r w:rsidR="007F7CF7" w:rsidRPr="00CA3E0A">
        <w:rPr>
          <w:rFonts w:ascii="Book Antiqua" w:hAnsi="Book Antiqua" w:cs="Calibri"/>
          <w:bCs/>
          <w:color w:val="000000" w:themeColor="text1"/>
          <w:sz w:val="24"/>
          <w:szCs w:val="24"/>
          <w:lang w:val="en-US"/>
        </w:rPr>
        <w:t>contributed</w:t>
      </w:r>
      <w:r w:rsidR="007F7CF7" w:rsidRPr="00CA3E0A">
        <w:rPr>
          <w:rFonts w:ascii="Book Antiqua" w:hAnsi="Book Antiqua" w:cs="Calibri"/>
          <w:bCs/>
          <w:color w:val="000000" w:themeColor="text1"/>
          <w:sz w:val="24"/>
          <w:szCs w:val="24"/>
        </w:rPr>
        <w:t xml:space="preserve"> to the</w:t>
      </w:r>
      <w:r w:rsidR="007F7CF7" w:rsidRPr="00CA3E0A">
        <w:rPr>
          <w:rFonts w:ascii="Book Antiqua" w:hAnsi="Book Antiqua" w:cs="Calibri" w:hint="eastAsia"/>
          <w:bCs/>
          <w:color w:val="000000" w:themeColor="text1"/>
          <w:sz w:val="24"/>
          <w:szCs w:val="24"/>
        </w:rPr>
        <w:t xml:space="preserve"> </w:t>
      </w:r>
      <w:r w:rsidR="007F7CF7" w:rsidRPr="00CA3E0A">
        <w:rPr>
          <w:rFonts w:ascii="Book Antiqua" w:hAnsi="Book Antiqua"/>
          <w:bCs/>
          <w:color w:val="000000" w:themeColor="text1"/>
          <w:sz w:val="24"/>
          <w:szCs w:val="24"/>
        </w:rPr>
        <w:t>critical revision</w:t>
      </w:r>
      <w:r w:rsidR="009710F8" w:rsidRPr="00CA3E0A">
        <w:rPr>
          <w:rFonts w:ascii="Book Antiqua" w:hAnsi="Book Antiqua" w:cs="Calibri"/>
          <w:bCs/>
          <w:color w:val="000000" w:themeColor="text1"/>
          <w:sz w:val="24"/>
          <w:szCs w:val="24"/>
        </w:rPr>
        <w:t xml:space="preserve">; </w:t>
      </w:r>
      <w:r w:rsidR="00616D76" w:rsidRPr="00CA3E0A">
        <w:rPr>
          <w:rFonts w:ascii="Book Antiqua" w:hAnsi="Book Antiqua" w:cs="Calibri"/>
          <w:bCs/>
          <w:color w:val="000000" w:themeColor="text1"/>
          <w:sz w:val="24"/>
          <w:szCs w:val="24"/>
        </w:rPr>
        <w:t>a</w:t>
      </w:r>
      <w:r w:rsidR="00CA3E0A" w:rsidRPr="00CA3E0A">
        <w:rPr>
          <w:rFonts w:ascii="Book Antiqua" w:hAnsi="Book Antiqua" w:cs="Calibri"/>
          <w:bCs/>
          <w:color w:val="000000" w:themeColor="text1"/>
          <w:sz w:val="24"/>
          <w:szCs w:val="24"/>
        </w:rPr>
        <w:t xml:space="preserve">ll authors made the </w:t>
      </w:r>
      <w:r w:rsidR="00CA3E0A" w:rsidRPr="00CA3E0A">
        <w:rPr>
          <w:rFonts w:ascii="Book Antiqua" w:hAnsi="Book Antiqua"/>
          <w:bCs/>
          <w:color w:val="000000" w:themeColor="text1"/>
          <w:sz w:val="24"/>
          <w:szCs w:val="24"/>
        </w:rPr>
        <w:t xml:space="preserve">study </w:t>
      </w:r>
      <w:r w:rsidR="009710F8" w:rsidRPr="00CA3E0A">
        <w:rPr>
          <w:rFonts w:ascii="Book Antiqua" w:hAnsi="Book Antiqua"/>
          <w:bCs/>
          <w:color w:val="000000" w:themeColor="text1"/>
          <w:sz w:val="24"/>
          <w:szCs w:val="24"/>
        </w:rPr>
        <w:t>final approval</w:t>
      </w:r>
      <w:r w:rsidR="009710F8" w:rsidRPr="00CA3E0A">
        <w:rPr>
          <w:rFonts w:ascii="Book Antiqua" w:hAnsi="Book Antiqua" w:cs="Calibri"/>
          <w:bCs/>
          <w:color w:val="000000" w:themeColor="text1"/>
          <w:sz w:val="24"/>
          <w:szCs w:val="24"/>
        </w:rPr>
        <w:t>.</w:t>
      </w:r>
    </w:p>
    <w:p w14:paraId="2E9F7371" w14:textId="77777777" w:rsidR="006A3D96" w:rsidRPr="00981DC5" w:rsidRDefault="006A3D96" w:rsidP="00B11A05">
      <w:pPr>
        <w:adjustRightInd w:val="0"/>
        <w:snapToGrid w:val="0"/>
        <w:spacing w:after="0" w:line="360" w:lineRule="auto"/>
        <w:jc w:val="both"/>
        <w:rPr>
          <w:rFonts w:ascii="Book Antiqua" w:hAnsi="Book Antiqua"/>
          <w:b/>
          <w:color w:val="000000" w:themeColor="text1"/>
          <w:sz w:val="24"/>
          <w:szCs w:val="24"/>
        </w:rPr>
      </w:pPr>
    </w:p>
    <w:p w14:paraId="361C925D" w14:textId="20851651" w:rsidR="006A3D96" w:rsidRPr="00981DC5" w:rsidRDefault="00B11A05" w:rsidP="00B11A05">
      <w:pPr>
        <w:adjustRightInd w:val="0"/>
        <w:snapToGrid w:val="0"/>
        <w:spacing w:after="0" w:line="360" w:lineRule="auto"/>
        <w:jc w:val="both"/>
        <w:rPr>
          <w:rFonts w:ascii="Book Antiqua" w:hAnsi="Book Antiqua" w:cs="Calibri"/>
          <w:color w:val="000000" w:themeColor="text1"/>
          <w:sz w:val="24"/>
          <w:szCs w:val="24"/>
          <w:lang w:val="en-US"/>
        </w:rPr>
      </w:pPr>
      <w:r w:rsidRPr="00981DC5">
        <w:rPr>
          <w:rFonts w:ascii="Book Antiqua" w:hAnsi="Book Antiqua" w:cstheme="minorHAnsi"/>
          <w:b/>
          <w:color w:val="000000" w:themeColor="text1"/>
          <w:sz w:val="24"/>
          <w:szCs w:val="24"/>
        </w:rPr>
        <w:t>Supported by</w:t>
      </w:r>
      <w:r w:rsidR="00E653A7" w:rsidRPr="00981DC5">
        <w:rPr>
          <w:rFonts w:ascii="Book Antiqua" w:hAnsi="Book Antiqua"/>
          <w:b/>
          <w:color w:val="000000" w:themeColor="text1"/>
          <w:sz w:val="24"/>
          <w:szCs w:val="24"/>
          <w:lang w:val="en-US"/>
        </w:rPr>
        <w:t xml:space="preserve"> </w:t>
      </w:r>
      <w:r w:rsidR="00E653A7" w:rsidRPr="00981DC5">
        <w:rPr>
          <w:rFonts w:ascii="Book Antiqua" w:hAnsi="Book Antiqua"/>
          <w:color w:val="000000" w:themeColor="text1"/>
          <w:sz w:val="24"/>
          <w:szCs w:val="24"/>
          <w:lang w:val="en-US"/>
        </w:rPr>
        <w:t>the</w:t>
      </w:r>
      <w:r w:rsidR="00BA3424" w:rsidRPr="00981DC5">
        <w:rPr>
          <w:rFonts w:ascii="Book Antiqua" w:hAnsi="Book Antiqua" w:cs="Calibri"/>
          <w:color w:val="000000" w:themeColor="text1"/>
          <w:sz w:val="24"/>
          <w:szCs w:val="24"/>
          <w:lang w:val="en-US"/>
        </w:rPr>
        <w:t xml:space="preserve"> Fondazione Pisa</w:t>
      </w:r>
      <w:r w:rsidR="00E653A7" w:rsidRPr="00981DC5">
        <w:rPr>
          <w:rFonts w:ascii="Book Antiqua" w:hAnsi="Book Antiqua" w:cs="Calibri"/>
          <w:color w:val="000000" w:themeColor="text1"/>
          <w:sz w:val="24"/>
          <w:szCs w:val="24"/>
          <w:lang w:val="en-US"/>
        </w:rPr>
        <w:t>,</w:t>
      </w:r>
      <w:r w:rsidR="00BA3424" w:rsidRPr="00981DC5">
        <w:rPr>
          <w:rFonts w:ascii="Book Antiqua" w:hAnsi="Book Antiqua" w:cs="Calibri"/>
          <w:color w:val="000000" w:themeColor="text1"/>
          <w:sz w:val="24"/>
          <w:szCs w:val="24"/>
          <w:lang w:val="en-US"/>
        </w:rPr>
        <w:t xml:space="preserve"> </w:t>
      </w:r>
      <w:r w:rsidR="00E653A7" w:rsidRPr="00981DC5">
        <w:rPr>
          <w:rFonts w:ascii="Book Antiqua" w:hAnsi="Book Antiqua" w:cs="Calibri"/>
          <w:color w:val="000000" w:themeColor="text1"/>
          <w:sz w:val="24"/>
          <w:szCs w:val="24"/>
          <w:lang w:val="en-US"/>
        </w:rPr>
        <w:t xml:space="preserve">No. </w:t>
      </w:r>
      <w:r w:rsidR="00BA3424" w:rsidRPr="00981DC5">
        <w:rPr>
          <w:rFonts w:ascii="Book Antiqua" w:hAnsi="Book Antiqua" w:cs="Calibri"/>
          <w:color w:val="000000" w:themeColor="text1"/>
          <w:sz w:val="24"/>
          <w:szCs w:val="24"/>
          <w:lang w:val="en-US"/>
        </w:rPr>
        <w:t>114/16</w:t>
      </w:r>
      <w:r w:rsidR="00AD4332">
        <w:rPr>
          <w:rFonts w:ascii="Book Antiqua" w:hAnsi="Book Antiqua" w:cs="Calibri"/>
          <w:color w:val="000000" w:themeColor="text1"/>
          <w:sz w:val="24"/>
          <w:szCs w:val="24"/>
          <w:lang w:val="en-US"/>
        </w:rPr>
        <w:t>.</w:t>
      </w:r>
    </w:p>
    <w:p w14:paraId="0127CB3D" w14:textId="77777777" w:rsidR="006A3D96" w:rsidRPr="00981DC5" w:rsidRDefault="006A3D96" w:rsidP="00B11A05">
      <w:pPr>
        <w:adjustRightInd w:val="0"/>
        <w:snapToGrid w:val="0"/>
        <w:spacing w:after="0" w:line="360" w:lineRule="auto"/>
        <w:jc w:val="both"/>
        <w:rPr>
          <w:rFonts w:ascii="Book Antiqua" w:hAnsi="Book Antiqua"/>
          <w:b/>
          <w:color w:val="000000" w:themeColor="text1"/>
          <w:sz w:val="24"/>
          <w:szCs w:val="24"/>
          <w:lang w:val="en-US"/>
        </w:rPr>
      </w:pPr>
    </w:p>
    <w:p w14:paraId="39920116" w14:textId="299B887F" w:rsidR="00B11A05" w:rsidRPr="00CA3E0A" w:rsidRDefault="00B11A05" w:rsidP="00CA3E0A">
      <w:pPr>
        <w:adjustRightInd w:val="0"/>
        <w:snapToGrid w:val="0"/>
        <w:spacing w:after="0" w:line="360" w:lineRule="auto"/>
        <w:ind w:right="170"/>
        <w:jc w:val="both"/>
        <w:rPr>
          <w:rFonts w:ascii="Book Antiqua" w:hAnsi="Book Antiqua"/>
          <w:color w:val="000000" w:themeColor="text1"/>
          <w:sz w:val="24"/>
          <w:szCs w:val="24"/>
          <w:lang w:val="en-US"/>
        </w:rPr>
      </w:pPr>
      <w:r w:rsidRPr="00981DC5">
        <w:rPr>
          <w:rFonts w:ascii="Book Antiqua" w:hAnsi="Book Antiqua" w:cstheme="minorHAnsi"/>
          <w:b/>
          <w:color w:val="000000" w:themeColor="text1"/>
          <w:sz w:val="24"/>
          <w:szCs w:val="24"/>
          <w:lang w:val="hu-HU"/>
        </w:rPr>
        <w:t>Corresponding author:</w:t>
      </w:r>
      <w:r w:rsidRPr="00981DC5">
        <w:rPr>
          <w:rFonts w:ascii="Book Antiqua" w:hAnsi="Book Antiqua" w:cstheme="minorHAnsi"/>
          <w:b/>
          <w:color w:val="000000" w:themeColor="text1"/>
          <w:sz w:val="24"/>
          <w:szCs w:val="24"/>
          <w:lang w:val="hu-HU" w:eastAsia="zh-CN"/>
        </w:rPr>
        <w:t xml:space="preserve"> </w:t>
      </w:r>
      <w:r w:rsidR="006A3D96" w:rsidRPr="00CA3E0A">
        <w:rPr>
          <w:rFonts w:ascii="Book Antiqua" w:hAnsi="Book Antiqua"/>
          <w:b/>
          <w:bCs/>
          <w:color w:val="000000" w:themeColor="text1"/>
          <w:sz w:val="24"/>
          <w:szCs w:val="24"/>
          <w:lang w:val="en-US"/>
        </w:rPr>
        <w:t xml:space="preserve">Luca Morelli, </w:t>
      </w:r>
      <w:r w:rsidR="00025EFB" w:rsidRPr="00025EFB">
        <w:rPr>
          <w:rFonts w:ascii="Book Antiqua" w:hAnsi="Book Antiqua"/>
          <w:b/>
          <w:bCs/>
          <w:color w:val="000000" w:themeColor="text1"/>
          <w:sz w:val="24"/>
          <w:szCs w:val="24"/>
          <w:lang w:val="en-US"/>
        </w:rPr>
        <w:t>FACS, MD, Associate Professor, Surgeon,</w:t>
      </w:r>
      <w:r w:rsidRPr="00981DC5">
        <w:rPr>
          <w:rFonts w:ascii="Book Antiqua" w:hAnsi="Book Antiqua"/>
          <w:color w:val="000000" w:themeColor="text1"/>
          <w:sz w:val="24"/>
          <w:szCs w:val="24"/>
          <w:lang w:val="en-US"/>
        </w:rPr>
        <w:t xml:space="preserve"> </w:t>
      </w:r>
      <w:r w:rsidR="00CA3E0A" w:rsidRPr="00981DC5">
        <w:rPr>
          <w:rFonts w:ascii="Book Antiqua" w:hAnsi="Book Antiqua"/>
          <w:color w:val="000000" w:themeColor="text1"/>
          <w:sz w:val="24"/>
          <w:szCs w:val="24"/>
        </w:rPr>
        <w:t>General Surgery Unit, Department of Translational Research and New Technologies in Medicine and Surgery, University of Pisa, Via Paradisa 2,</w:t>
      </w:r>
      <w:r w:rsidR="00CA3E0A">
        <w:rPr>
          <w:rFonts w:ascii="Book Antiqua" w:hAnsi="Book Antiqua"/>
          <w:color w:val="000000" w:themeColor="text1"/>
          <w:sz w:val="24"/>
          <w:szCs w:val="24"/>
        </w:rPr>
        <w:t xml:space="preserve"> </w:t>
      </w:r>
      <w:r w:rsidR="00CA3E0A" w:rsidRPr="00981DC5">
        <w:rPr>
          <w:rFonts w:ascii="Book Antiqua" w:hAnsi="Book Antiqua"/>
          <w:color w:val="000000" w:themeColor="text1"/>
          <w:sz w:val="24"/>
          <w:szCs w:val="24"/>
        </w:rPr>
        <w:t xml:space="preserve">Pisa </w:t>
      </w:r>
      <w:r w:rsidR="00CA3E0A" w:rsidRPr="00981DC5">
        <w:rPr>
          <w:rFonts w:ascii="Book Antiqua" w:hAnsi="Book Antiqua" w:cs="Times New Roman"/>
          <w:color w:val="000000" w:themeColor="text1"/>
          <w:sz w:val="24"/>
          <w:szCs w:val="24"/>
        </w:rPr>
        <w:t>56124</w:t>
      </w:r>
      <w:r w:rsidR="00CA3E0A" w:rsidRPr="00981DC5">
        <w:rPr>
          <w:rFonts w:ascii="Book Antiqua" w:hAnsi="Book Antiqua"/>
          <w:color w:val="000000" w:themeColor="text1"/>
          <w:sz w:val="24"/>
          <w:szCs w:val="24"/>
        </w:rPr>
        <w:t>, Italy</w:t>
      </w:r>
      <w:r w:rsidR="00CA3E0A">
        <w:rPr>
          <w:rFonts w:ascii="Book Antiqua" w:hAnsi="Book Antiqua"/>
          <w:color w:val="000000" w:themeColor="text1"/>
          <w:sz w:val="24"/>
          <w:szCs w:val="24"/>
        </w:rPr>
        <w:t>.</w:t>
      </w:r>
      <w:r w:rsidR="006A3D96" w:rsidRPr="00981DC5">
        <w:rPr>
          <w:rFonts w:ascii="Book Antiqua" w:hAnsi="Book Antiqua"/>
          <w:color w:val="000000" w:themeColor="text1"/>
          <w:sz w:val="24"/>
          <w:szCs w:val="24"/>
          <w:lang w:val="en-US"/>
        </w:rPr>
        <w:t xml:space="preserve"> </w:t>
      </w:r>
      <w:r w:rsidR="006A3D96" w:rsidRPr="00CA3E0A">
        <w:rPr>
          <w:rFonts w:ascii="Book Antiqua" w:hAnsi="Book Antiqua"/>
          <w:color w:val="000000" w:themeColor="text1"/>
          <w:sz w:val="24"/>
          <w:szCs w:val="24"/>
          <w:u w:val="single"/>
          <w:lang w:val="fr-FR"/>
        </w:rPr>
        <w:t>luca.morelli@unipi.it</w:t>
      </w:r>
    </w:p>
    <w:p w14:paraId="10195763" w14:textId="77777777" w:rsidR="00B11A05" w:rsidRPr="00981DC5" w:rsidRDefault="00B11A05" w:rsidP="00B11A05">
      <w:pPr>
        <w:adjustRightInd w:val="0"/>
        <w:snapToGrid w:val="0"/>
        <w:spacing w:after="0" w:line="360" w:lineRule="auto"/>
        <w:jc w:val="both"/>
        <w:rPr>
          <w:rFonts w:ascii="Book Antiqua" w:hAnsi="Book Antiqua"/>
          <w:color w:val="000000" w:themeColor="text1"/>
          <w:sz w:val="24"/>
          <w:szCs w:val="24"/>
          <w:lang w:val="fr-FR"/>
        </w:rPr>
      </w:pPr>
    </w:p>
    <w:p w14:paraId="06CBC51B" w14:textId="46682404" w:rsidR="00B11A05" w:rsidRPr="00981DC5" w:rsidRDefault="00B11A05" w:rsidP="00B11A05">
      <w:pPr>
        <w:widowControl w:val="0"/>
        <w:adjustRightInd w:val="0"/>
        <w:snapToGrid w:val="0"/>
        <w:spacing w:after="0" w:line="360" w:lineRule="auto"/>
        <w:jc w:val="both"/>
        <w:rPr>
          <w:rFonts w:ascii="Book Antiqua" w:hAnsi="Book Antiqua"/>
          <w:color w:val="000000" w:themeColor="text1"/>
          <w:kern w:val="2"/>
          <w:sz w:val="24"/>
          <w:szCs w:val="24"/>
          <w:lang w:eastAsia="zh-CN"/>
        </w:rPr>
      </w:pPr>
      <w:bookmarkStart w:id="2" w:name="OLE_LINK75"/>
      <w:bookmarkStart w:id="3" w:name="OLE_LINK76"/>
      <w:bookmarkStart w:id="4" w:name="OLE_LINK269"/>
      <w:bookmarkStart w:id="5" w:name="OLE_LINK239"/>
      <w:r w:rsidRPr="00981DC5">
        <w:rPr>
          <w:rFonts w:ascii="Book Antiqua" w:hAnsi="Book Antiqua"/>
          <w:b/>
          <w:color w:val="000000" w:themeColor="text1"/>
          <w:kern w:val="2"/>
          <w:sz w:val="24"/>
          <w:szCs w:val="24"/>
          <w:lang w:eastAsia="zh-CN"/>
        </w:rPr>
        <w:t xml:space="preserve">Received: </w:t>
      </w:r>
      <w:r w:rsidR="00CA3E0A">
        <w:rPr>
          <w:rFonts w:ascii="Book Antiqua" w:hAnsi="Book Antiqua"/>
          <w:color w:val="000000" w:themeColor="text1"/>
          <w:kern w:val="2"/>
          <w:sz w:val="24"/>
          <w:szCs w:val="24"/>
          <w:lang w:eastAsia="zh-CN"/>
        </w:rPr>
        <w:t>December</w:t>
      </w:r>
      <w:r w:rsidRPr="00981DC5">
        <w:rPr>
          <w:rFonts w:ascii="Book Antiqua" w:hAnsi="Book Antiqua"/>
          <w:color w:val="000000" w:themeColor="text1"/>
          <w:kern w:val="2"/>
          <w:sz w:val="24"/>
          <w:szCs w:val="24"/>
          <w:lang w:eastAsia="zh-CN"/>
        </w:rPr>
        <w:t xml:space="preserve"> </w:t>
      </w:r>
      <w:r w:rsidR="00CA3E0A">
        <w:rPr>
          <w:rFonts w:ascii="Book Antiqua" w:hAnsi="Book Antiqua"/>
          <w:color w:val="000000" w:themeColor="text1"/>
          <w:kern w:val="2"/>
          <w:sz w:val="24"/>
          <w:szCs w:val="24"/>
          <w:lang w:eastAsia="zh-CN"/>
        </w:rPr>
        <w:t>31</w:t>
      </w:r>
      <w:r w:rsidRPr="00981DC5">
        <w:rPr>
          <w:rFonts w:ascii="Book Antiqua" w:hAnsi="Book Antiqua"/>
          <w:color w:val="000000" w:themeColor="text1"/>
          <w:kern w:val="2"/>
          <w:sz w:val="24"/>
          <w:szCs w:val="24"/>
          <w:lang w:eastAsia="zh-CN"/>
        </w:rPr>
        <w:t>, 2019</w:t>
      </w:r>
    </w:p>
    <w:p w14:paraId="52555AEC" w14:textId="3FBF0C20" w:rsidR="00B11A05" w:rsidRPr="00981DC5" w:rsidRDefault="00B11A05" w:rsidP="00B11A05">
      <w:pPr>
        <w:widowControl w:val="0"/>
        <w:adjustRightInd w:val="0"/>
        <w:snapToGrid w:val="0"/>
        <w:spacing w:after="0" w:line="360" w:lineRule="auto"/>
        <w:jc w:val="both"/>
        <w:rPr>
          <w:rFonts w:ascii="Book Antiqua" w:hAnsi="Book Antiqua"/>
          <w:b/>
          <w:color w:val="000000" w:themeColor="text1"/>
          <w:kern w:val="2"/>
          <w:sz w:val="24"/>
          <w:szCs w:val="24"/>
          <w:lang w:eastAsia="zh-CN"/>
        </w:rPr>
      </w:pPr>
      <w:r w:rsidRPr="00981DC5">
        <w:rPr>
          <w:rFonts w:ascii="Book Antiqua" w:hAnsi="Book Antiqua"/>
          <w:b/>
          <w:color w:val="000000" w:themeColor="text1"/>
          <w:kern w:val="2"/>
          <w:sz w:val="24"/>
          <w:szCs w:val="24"/>
          <w:lang w:eastAsia="zh-CN"/>
        </w:rPr>
        <w:t xml:space="preserve">Revised: </w:t>
      </w:r>
      <w:r w:rsidR="00CA3E0A">
        <w:rPr>
          <w:rFonts w:ascii="Book Antiqua" w:hAnsi="Book Antiqua"/>
          <w:color w:val="000000" w:themeColor="text1"/>
          <w:kern w:val="2"/>
          <w:sz w:val="24"/>
          <w:szCs w:val="24"/>
          <w:lang w:eastAsia="zh-CN"/>
        </w:rPr>
        <w:t>March</w:t>
      </w:r>
      <w:r w:rsidRPr="00981DC5">
        <w:rPr>
          <w:rFonts w:ascii="Book Antiqua" w:hAnsi="Book Antiqua"/>
          <w:color w:val="000000" w:themeColor="text1"/>
          <w:kern w:val="2"/>
          <w:sz w:val="24"/>
          <w:szCs w:val="24"/>
          <w:lang w:eastAsia="zh-CN"/>
        </w:rPr>
        <w:t xml:space="preserve"> 2</w:t>
      </w:r>
      <w:r w:rsidR="00CA3E0A">
        <w:rPr>
          <w:rFonts w:ascii="Book Antiqua" w:hAnsi="Book Antiqua"/>
          <w:color w:val="000000" w:themeColor="text1"/>
          <w:kern w:val="2"/>
          <w:sz w:val="24"/>
          <w:szCs w:val="24"/>
          <w:lang w:eastAsia="zh-CN"/>
        </w:rPr>
        <w:t>7</w:t>
      </w:r>
      <w:r w:rsidRPr="00981DC5">
        <w:rPr>
          <w:rFonts w:ascii="Book Antiqua" w:hAnsi="Book Antiqua"/>
          <w:color w:val="000000" w:themeColor="text1"/>
          <w:kern w:val="2"/>
          <w:sz w:val="24"/>
          <w:szCs w:val="24"/>
          <w:lang w:eastAsia="zh-CN"/>
        </w:rPr>
        <w:t>, 20</w:t>
      </w:r>
      <w:r w:rsidR="00CA3E0A">
        <w:rPr>
          <w:rFonts w:ascii="Book Antiqua" w:hAnsi="Book Antiqua"/>
          <w:color w:val="000000" w:themeColor="text1"/>
          <w:kern w:val="2"/>
          <w:sz w:val="24"/>
          <w:szCs w:val="24"/>
          <w:lang w:eastAsia="zh-CN"/>
        </w:rPr>
        <w:t>20</w:t>
      </w:r>
    </w:p>
    <w:p w14:paraId="2F8DFFD4" w14:textId="0830D711" w:rsidR="00B11A05" w:rsidRPr="00404573" w:rsidRDefault="00B11A05" w:rsidP="00B11A05">
      <w:pPr>
        <w:widowControl w:val="0"/>
        <w:adjustRightInd w:val="0"/>
        <w:snapToGrid w:val="0"/>
        <w:spacing w:after="0" w:line="360" w:lineRule="auto"/>
        <w:jc w:val="both"/>
        <w:rPr>
          <w:rFonts w:ascii="Book Antiqua" w:hAnsi="Book Antiqua"/>
          <w:bCs/>
          <w:color w:val="000000" w:themeColor="text1"/>
          <w:kern w:val="2"/>
          <w:sz w:val="24"/>
          <w:szCs w:val="24"/>
          <w:lang w:eastAsia="zh-CN"/>
        </w:rPr>
      </w:pPr>
      <w:r w:rsidRPr="00981DC5">
        <w:rPr>
          <w:rFonts w:ascii="Book Antiqua" w:hAnsi="Book Antiqua"/>
          <w:b/>
          <w:color w:val="000000" w:themeColor="text1"/>
          <w:kern w:val="2"/>
          <w:sz w:val="24"/>
          <w:szCs w:val="24"/>
          <w:lang w:eastAsia="zh-CN"/>
        </w:rPr>
        <w:t>Accepted:</w:t>
      </w:r>
      <w:r w:rsidR="00404573" w:rsidRPr="00404573">
        <w:t xml:space="preserve"> </w:t>
      </w:r>
      <w:r w:rsidR="00404573" w:rsidRPr="00404573">
        <w:rPr>
          <w:rFonts w:ascii="Book Antiqua" w:hAnsi="Book Antiqua"/>
          <w:bCs/>
          <w:color w:val="000000" w:themeColor="text1"/>
          <w:kern w:val="2"/>
          <w:sz w:val="24"/>
          <w:szCs w:val="24"/>
          <w:lang w:eastAsia="zh-CN"/>
        </w:rPr>
        <w:t>May 27, 2020</w:t>
      </w:r>
      <w:r w:rsidRPr="00404573">
        <w:rPr>
          <w:rFonts w:ascii="Book Antiqua" w:hAnsi="Book Antiqua"/>
          <w:bCs/>
          <w:color w:val="000000" w:themeColor="text1"/>
          <w:sz w:val="24"/>
          <w:szCs w:val="24"/>
        </w:rPr>
        <w:t xml:space="preserve"> </w:t>
      </w:r>
    </w:p>
    <w:p w14:paraId="759C37A9" w14:textId="77777777" w:rsidR="00B11A05" w:rsidRPr="00981DC5" w:rsidRDefault="00B11A05" w:rsidP="00B11A05">
      <w:pPr>
        <w:widowControl w:val="0"/>
        <w:adjustRightInd w:val="0"/>
        <w:snapToGrid w:val="0"/>
        <w:spacing w:after="0" w:line="360" w:lineRule="auto"/>
        <w:jc w:val="both"/>
        <w:rPr>
          <w:rFonts w:ascii="Book Antiqua" w:hAnsi="Book Antiqua"/>
          <w:b/>
          <w:color w:val="000000" w:themeColor="text1"/>
          <w:kern w:val="2"/>
          <w:sz w:val="24"/>
          <w:szCs w:val="24"/>
          <w:lang w:eastAsia="zh-CN"/>
        </w:rPr>
      </w:pPr>
      <w:r w:rsidRPr="00981DC5">
        <w:rPr>
          <w:rFonts w:ascii="Book Antiqua" w:hAnsi="Book Antiqua"/>
          <w:b/>
          <w:color w:val="000000" w:themeColor="text1"/>
          <w:kern w:val="2"/>
          <w:sz w:val="24"/>
          <w:szCs w:val="24"/>
          <w:lang w:eastAsia="zh-CN"/>
        </w:rPr>
        <w:t>Published online:</w:t>
      </w:r>
      <w:bookmarkEnd w:id="2"/>
      <w:bookmarkEnd w:id="3"/>
      <w:bookmarkEnd w:id="4"/>
      <w:bookmarkEnd w:id="5"/>
    </w:p>
    <w:p w14:paraId="7B67E8CB" w14:textId="3140701A" w:rsidR="006A3D96" w:rsidRPr="00981DC5" w:rsidRDefault="006A3D96" w:rsidP="00B11A05">
      <w:pPr>
        <w:adjustRightInd w:val="0"/>
        <w:snapToGrid w:val="0"/>
        <w:spacing w:after="0" w:line="360" w:lineRule="auto"/>
        <w:jc w:val="both"/>
        <w:rPr>
          <w:rFonts w:ascii="Book Antiqua" w:hAnsi="Book Antiqua"/>
          <w:color w:val="000000" w:themeColor="text1"/>
          <w:sz w:val="24"/>
          <w:szCs w:val="24"/>
          <w:lang w:val="fr-FR"/>
        </w:rPr>
      </w:pPr>
      <w:r w:rsidRPr="00981DC5">
        <w:rPr>
          <w:rFonts w:ascii="Book Antiqua" w:hAnsi="Book Antiqua"/>
          <w:color w:val="000000" w:themeColor="text1"/>
          <w:sz w:val="24"/>
          <w:szCs w:val="24"/>
          <w:lang w:val="fr-FR"/>
        </w:rPr>
        <w:br w:type="page"/>
      </w:r>
    </w:p>
    <w:p w14:paraId="6D80D5E1" w14:textId="77777777" w:rsidR="00B11A05" w:rsidRPr="00981DC5" w:rsidRDefault="00B11A05" w:rsidP="00B11A05">
      <w:pPr>
        <w:adjustRightInd w:val="0"/>
        <w:snapToGrid w:val="0"/>
        <w:spacing w:after="0" w:line="360" w:lineRule="auto"/>
        <w:jc w:val="both"/>
        <w:rPr>
          <w:rFonts w:ascii="Book Antiqua" w:hAnsi="Book Antiqua" w:cstheme="minorHAnsi"/>
          <w:b/>
          <w:color w:val="000000" w:themeColor="text1"/>
          <w:sz w:val="24"/>
          <w:szCs w:val="24"/>
        </w:rPr>
      </w:pPr>
      <w:r w:rsidRPr="00981DC5">
        <w:rPr>
          <w:rFonts w:ascii="Book Antiqua" w:hAnsi="Book Antiqua" w:cstheme="minorHAnsi"/>
          <w:b/>
          <w:color w:val="000000" w:themeColor="text1"/>
          <w:sz w:val="24"/>
          <w:szCs w:val="24"/>
        </w:rPr>
        <w:lastRenderedPageBreak/>
        <w:t>Abstract</w:t>
      </w:r>
    </w:p>
    <w:p w14:paraId="029A0BDF" w14:textId="77777777" w:rsidR="00B11A05" w:rsidRPr="00981DC5" w:rsidRDefault="00B11A05" w:rsidP="00B11A05">
      <w:pPr>
        <w:adjustRightInd w:val="0"/>
        <w:snapToGrid w:val="0"/>
        <w:spacing w:after="0" w:line="360" w:lineRule="auto"/>
        <w:jc w:val="both"/>
        <w:rPr>
          <w:rFonts w:ascii="Book Antiqua" w:hAnsi="Book Antiqua" w:cstheme="minorHAnsi"/>
          <w:color w:val="000000" w:themeColor="text1"/>
          <w:sz w:val="24"/>
          <w:szCs w:val="24"/>
          <w:lang w:eastAsia="zh-CN"/>
        </w:rPr>
      </w:pPr>
      <w:r w:rsidRPr="00981DC5">
        <w:rPr>
          <w:rFonts w:ascii="Book Antiqua" w:hAnsi="Book Antiqua" w:cstheme="minorHAnsi"/>
          <w:color w:val="000000" w:themeColor="text1"/>
          <w:sz w:val="24"/>
          <w:szCs w:val="24"/>
        </w:rPr>
        <w:t>BACKGROUND</w:t>
      </w:r>
    </w:p>
    <w:p w14:paraId="181C75FA" w14:textId="72181652" w:rsidR="006A3D96" w:rsidRPr="00981DC5" w:rsidRDefault="006A3D96" w:rsidP="00B11A05">
      <w:pPr>
        <w:adjustRightInd w:val="0"/>
        <w:snapToGrid w:val="0"/>
        <w:spacing w:after="0" w:line="360" w:lineRule="auto"/>
        <w:jc w:val="both"/>
        <w:rPr>
          <w:rFonts w:ascii="Book Antiqua" w:hAnsi="Book Antiqua" w:cs="Calibri"/>
          <w:color w:val="000000" w:themeColor="text1"/>
          <w:sz w:val="24"/>
          <w:szCs w:val="24"/>
          <w:lang w:val="en-US"/>
        </w:rPr>
      </w:pPr>
      <w:r w:rsidRPr="00981DC5">
        <w:rPr>
          <w:rFonts w:ascii="Book Antiqua" w:hAnsi="Book Antiqua" w:cs="Calibri"/>
          <w:color w:val="000000" w:themeColor="text1"/>
          <w:sz w:val="24"/>
          <w:szCs w:val="24"/>
          <w:lang w:val="en-US"/>
        </w:rPr>
        <w:t xml:space="preserve">The response to chemotherapy treatment of patients with pancreatic ductal adenocarcinoma (PDAC) is difficult to predict and the identification of patients who most likely will benefit from aggressive chemotherapy approaches is crucial. The concept of </w:t>
      </w:r>
      <w:r w:rsidR="009F5B25" w:rsidRPr="00981DC5">
        <w:rPr>
          <w:rFonts w:ascii="Book Antiqua" w:hAnsi="Book Antiqua" w:cs="Calibri"/>
          <w:color w:val="000000" w:themeColor="text1"/>
          <w:sz w:val="24"/>
          <w:szCs w:val="24"/>
          <w:lang w:val="en-US"/>
        </w:rPr>
        <w:t xml:space="preserve">personalized </w:t>
      </w:r>
      <w:r w:rsidRPr="00981DC5">
        <w:rPr>
          <w:rFonts w:ascii="Book Antiqua" w:hAnsi="Book Antiqua" w:cs="Calibri"/>
          <w:color w:val="000000" w:themeColor="text1"/>
          <w:sz w:val="24"/>
          <w:szCs w:val="24"/>
          <w:lang w:val="en-US"/>
        </w:rPr>
        <w:t>medicine has emerged in the last years with the objective to tailor the medical treatment to the individual characteristics of each patient, and particularly to the tumor biology of each patient.</w:t>
      </w:r>
      <w:r w:rsidR="00D42D1C" w:rsidRPr="00981DC5">
        <w:rPr>
          <w:rFonts w:ascii="Book Antiqua" w:hAnsi="Book Antiqua" w:cs="Calibri"/>
          <w:color w:val="000000" w:themeColor="text1"/>
          <w:sz w:val="24"/>
          <w:szCs w:val="24"/>
          <w:lang w:val="en-US"/>
        </w:rPr>
        <w:t xml:space="preserve"> </w:t>
      </w:r>
      <w:r w:rsidR="008F1AC1" w:rsidRPr="00981DC5">
        <w:rPr>
          <w:rFonts w:ascii="Book Antiqua" w:hAnsi="Book Antiqua" w:cs="Calibri"/>
          <w:color w:val="000000" w:themeColor="text1"/>
          <w:sz w:val="24"/>
          <w:szCs w:val="24"/>
          <w:lang w:val="en-US"/>
        </w:rPr>
        <w:t>T</w:t>
      </w:r>
      <w:r w:rsidR="00D42D1C" w:rsidRPr="00981DC5">
        <w:rPr>
          <w:rFonts w:ascii="Book Antiqua" w:hAnsi="Book Antiqua" w:cs="Calibri"/>
          <w:color w:val="000000" w:themeColor="text1"/>
          <w:sz w:val="24"/>
          <w:szCs w:val="24"/>
          <w:lang w:val="en-US"/>
        </w:rPr>
        <w:t>he need for in</w:t>
      </w:r>
      <w:r w:rsidR="00E31702" w:rsidRPr="00981DC5">
        <w:rPr>
          <w:rFonts w:ascii="Book Antiqua" w:hAnsi="Book Antiqua" w:cs="Calibri"/>
          <w:color w:val="000000" w:themeColor="text1"/>
          <w:sz w:val="24"/>
          <w:szCs w:val="24"/>
          <w:lang w:val="en-US"/>
        </w:rPr>
        <w:t>-</w:t>
      </w:r>
      <w:r w:rsidR="00D42D1C" w:rsidRPr="00981DC5">
        <w:rPr>
          <w:rFonts w:ascii="Book Antiqua" w:hAnsi="Book Antiqua" w:cs="Calibri"/>
          <w:color w:val="000000" w:themeColor="text1"/>
          <w:sz w:val="24"/>
          <w:szCs w:val="24"/>
          <w:lang w:val="en-US"/>
        </w:rPr>
        <w:t>vivo xenotransplantation models for cancer patients has increased exponentially, and for this reason zebrafish avatars have gained</w:t>
      </w:r>
      <w:r w:rsidR="00E31702" w:rsidRPr="00981DC5">
        <w:rPr>
          <w:rFonts w:ascii="Book Antiqua" w:hAnsi="Book Antiqua" w:cs="Calibri"/>
          <w:color w:val="000000" w:themeColor="text1"/>
          <w:sz w:val="24"/>
          <w:szCs w:val="24"/>
          <w:lang w:val="en-US"/>
        </w:rPr>
        <w:t xml:space="preserve"> popularity</w:t>
      </w:r>
      <w:r w:rsidRPr="00981DC5">
        <w:rPr>
          <w:rFonts w:ascii="Book Antiqua" w:hAnsi="Book Antiqua" w:cs="Calibri"/>
          <w:color w:val="000000" w:themeColor="text1"/>
          <w:sz w:val="24"/>
          <w:szCs w:val="24"/>
          <w:lang w:val="en-US"/>
        </w:rPr>
        <w:t>. Preliminary studies were conducted also with PDAC tissue.</w:t>
      </w:r>
    </w:p>
    <w:p w14:paraId="211D2FA4" w14:textId="77777777" w:rsidR="00B11A05" w:rsidRPr="00981DC5" w:rsidRDefault="00B11A05" w:rsidP="00B11A05">
      <w:pPr>
        <w:adjustRightInd w:val="0"/>
        <w:snapToGrid w:val="0"/>
        <w:spacing w:after="0" w:line="360" w:lineRule="auto"/>
        <w:jc w:val="both"/>
        <w:rPr>
          <w:rFonts w:ascii="Book Antiqua" w:hAnsi="Book Antiqua" w:cs="Calibri"/>
          <w:b/>
          <w:color w:val="000000" w:themeColor="text1"/>
          <w:sz w:val="24"/>
          <w:szCs w:val="24"/>
          <w:lang w:val="en-US"/>
        </w:rPr>
      </w:pPr>
    </w:p>
    <w:p w14:paraId="211BEA95" w14:textId="77777777" w:rsidR="00B11A05" w:rsidRPr="00981DC5" w:rsidRDefault="00B11A05" w:rsidP="00B11A05">
      <w:pPr>
        <w:adjustRightInd w:val="0"/>
        <w:snapToGrid w:val="0"/>
        <w:spacing w:after="0" w:line="360" w:lineRule="auto"/>
        <w:jc w:val="both"/>
        <w:rPr>
          <w:rFonts w:ascii="Book Antiqua" w:hAnsi="Book Antiqua"/>
          <w:color w:val="000000" w:themeColor="text1"/>
          <w:sz w:val="24"/>
          <w:szCs w:val="24"/>
        </w:rPr>
      </w:pPr>
      <w:r w:rsidRPr="00981DC5">
        <w:rPr>
          <w:rFonts w:ascii="Book Antiqua" w:hAnsi="Book Antiqua"/>
          <w:color w:val="000000" w:themeColor="text1"/>
          <w:sz w:val="24"/>
          <w:szCs w:val="24"/>
        </w:rPr>
        <w:t>AIM</w:t>
      </w:r>
    </w:p>
    <w:p w14:paraId="2D70EFD0" w14:textId="72F5B514" w:rsidR="006A3D96" w:rsidRPr="00981DC5" w:rsidRDefault="006A3D96" w:rsidP="00B11A05">
      <w:pPr>
        <w:adjustRightInd w:val="0"/>
        <w:snapToGrid w:val="0"/>
        <w:spacing w:after="0" w:line="360" w:lineRule="auto"/>
        <w:jc w:val="both"/>
        <w:rPr>
          <w:rFonts w:ascii="Book Antiqua" w:hAnsi="Book Antiqua" w:cs="Calibri"/>
          <w:color w:val="000000" w:themeColor="text1"/>
          <w:sz w:val="24"/>
          <w:szCs w:val="24"/>
          <w:lang w:val="en-US"/>
        </w:rPr>
      </w:pPr>
      <w:r w:rsidRPr="00981DC5">
        <w:rPr>
          <w:rFonts w:ascii="Book Antiqua" w:hAnsi="Book Antiqua" w:cs="Calibri"/>
          <w:color w:val="000000" w:themeColor="text1"/>
          <w:sz w:val="24"/>
          <w:szCs w:val="24"/>
          <w:lang w:val="en-US"/>
        </w:rPr>
        <w:t>To develop a simple, not expensive, diffusible zebrafish embryo model as avatar for patients affected by PDAC.</w:t>
      </w:r>
    </w:p>
    <w:p w14:paraId="5730A412" w14:textId="77777777" w:rsidR="00B11A05" w:rsidRPr="00981DC5" w:rsidRDefault="00B11A05" w:rsidP="00B11A05">
      <w:pPr>
        <w:adjustRightInd w:val="0"/>
        <w:snapToGrid w:val="0"/>
        <w:spacing w:after="0" w:line="360" w:lineRule="auto"/>
        <w:jc w:val="both"/>
        <w:rPr>
          <w:rFonts w:ascii="Book Antiqua" w:hAnsi="Book Antiqua" w:cs="Calibri"/>
          <w:b/>
          <w:color w:val="000000" w:themeColor="text1"/>
          <w:sz w:val="24"/>
          <w:szCs w:val="24"/>
          <w:lang w:val="en-US"/>
        </w:rPr>
      </w:pPr>
    </w:p>
    <w:p w14:paraId="787D7E87" w14:textId="77777777" w:rsidR="00B11A05" w:rsidRPr="00981DC5" w:rsidRDefault="00B11A05" w:rsidP="00B11A05">
      <w:pPr>
        <w:adjustRightInd w:val="0"/>
        <w:snapToGrid w:val="0"/>
        <w:spacing w:after="0" w:line="360" w:lineRule="auto"/>
        <w:jc w:val="both"/>
        <w:rPr>
          <w:rFonts w:ascii="Book Antiqua" w:hAnsi="Book Antiqua"/>
          <w:color w:val="000000" w:themeColor="text1"/>
          <w:sz w:val="24"/>
          <w:szCs w:val="24"/>
        </w:rPr>
      </w:pPr>
      <w:r w:rsidRPr="00981DC5">
        <w:rPr>
          <w:rFonts w:ascii="Book Antiqua" w:hAnsi="Book Antiqua"/>
          <w:color w:val="000000" w:themeColor="text1"/>
          <w:sz w:val="24"/>
          <w:szCs w:val="24"/>
        </w:rPr>
        <w:t>METHODS</w:t>
      </w:r>
    </w:p>
    <w:p w14:paraId="60364D43" w14:textId="76E7C0BA" w:rsidR="006A3D96" w:rsidRPr="00981DC5" w:rsidRDefault="006A3D96" w:rsidP="00B11A05">
      <w:pPr>
        <w:adjustRightInd w:val="0"/>
        <w:snapToGrid w:val="0"/>
        <w:spacing w:after="0" w:line="360" w:lineRule="auto"/>
        <w:jc w:val="both"/>
        <w:rPr>
          <w:rFonts w:ascii="Book Antiqua" w:hAnsi="Book Antiqua" w:cs="Calibri"/>
          <w:color w:val="000000" w:themeColor="text1"/>
          <w:sz w:val="24"/>
          <w:szCs w:val="24"/>
          <w:lang w:val="en-US"/>
        </w:rPr>
      </w:pPr>
      <w:r w:rsidRPr="00981DC5">
        <w:rPr>
          <w:rFonts w:ascii="Book Antiqua" w:hAnsi="Book Antiqua" w:cs="Calibri"/>
          <w:color w:val="000000" w:themeColor="text1"/>
          <w:sz w:val="24"/>
          <w:szCs w:val="24"/>
          <w:lang w:val="en-US"/>
        </w:rPr>
        <w:t>Tumor tissue was taken from the surgical specimen by the histopathologist. After its fragmentation into small pieces, they are stained with CM-Dil. Small pieces of stained tissue were trans</w:t>
      </w:r>
      <w:r w:rsidR="0011344F" w:rsidRPr="00981DC5">
        <w:rPr>
          <w:rFonts w:ascii="Book Antiqua" w:hAnsi="Book Antiqua" w:cs="Calibri"/>
          <w:color w:val="000000" w:themeColor="text1"/>
          <w:sz w:val="24"/>
          <w:szCs w:val="24"/>
          <w:lang w:val="en-US"/>
        </w:rPr>
        <w:t>planted</w:t>
      </w:r>
      <w:r w:rsidRPr="00981DC5">
        <w:rPr>
          <w:rFonts w:ascii="Book Antiqua" w:hAnsi="Book Antiqua" w:cs="Calibri"/>
          <w:color w:val="000000" w:themeColor="text1"/>
          <w:sz w:val="24"/>
          <w:szCs w:val="24"/>
          <w:lang w:val="en-US"/>
        </w:rPr>
        <w:t xml:space="preserve"> into the yolk of </w:t>
      </w:r>
      <w:proofErr w:type="spellStart"/>
      <w:r w:rsidR="00EA0852" w:rsidRPr="00981DC5">
        <w:rPr>
          <w:rFonts w:ascii="Book Antiqua" w:hAnsi="Book Antiqua" w:cs="Calibri"/>
          <w:color w:val="000000" w:themeColor="text1"/>
          <w:sz w:val="24"/>
          <w:szCs w:val="24"/>
          <w:lang w:val="en-US"/>
        </w:rPr>
        <w:t>wt</w:t>
      </w:r>
      <w:proofErr w:type="spellEnd"/>
      <w:r w:rsidR="00EA0852" w:rsidRPr="00981DC5">
        <w:rPr>
          <w:rFonts w:ascii="Book Antiqua" w:hAnsi="Book Antiqua" w:cs="Calibri"/>
          <w:color w:val="000000" w:themeColor="text1"/>
          <w:sz w:val="24"/>
          <w:szCs w:val="24"/>
          <w:lang w:val="en-US"/>
        </w:rPr>
        <w:t xml:space="preserve"> AB </w:t>
      </w:r>
      <w:r w:rsidRPr="00981DC5">
        <w:rPr>
          <w:rFonts w:ascii="Book Antiqua" w:hAnsi="Book Antiqua" w:cs="Calibri"/>
          <w:color w:val="000000" w:themeColor="text1"/>
          <w:sz w:val="24"/>
          <w:szCs w:val="24"/>
          <w:lang w:val="en-US"/>
        </w:rPr>
        <w:t xml:space="preserve">zebrafish embryos with a glass </w:t>
      </w:r>
      <w:r w:rsidR="0011344F" w:rsidRPr="00981DC5">
        <w:rPr>
          <w:rFonts w:ascii="Book Antiqua" w:hAnsi="Book Antiqua" w:cs="Calibri"/>
          <w:color w:val="000000" w:themeColor="text1"/>
          <w:sz w:val="24"/>
          <w:szCs w:val="24"/>
          <w:lang w:val="en-US"/>
        </w:rPr>
        <w:t>capillary</w:t>
      </w:r>
      <w:r w:rsidRPr="00981DC5">
        <w:rPr>
          <w:rFonts w:ascii="Book Antiqua" w:hAnsi="Book Antiqua" w:cs="Calibri"/>
          <w:color w:val="000000" w:themeColor="text1"/>
          <w:sz w:val="24"/>
          <w:szCs w:val="24"/>
          <w:lang w:val="en-US"/>
        </w:rPr>
        <w:t xml:space="preserve"> needle. Embryos were incubated at 35</w:t>
      </w:r>
      <w:r w:rsidR="00CA3E0A">
        <w:rPr>
          <w:rFonts w:ascii="Book Antiqua" w:hAnsi="Book Antiqua" w:cs="Calibri"/>
          <w:color w:val="000000" w:themeColor="text1"/>
          <w:sz w:val="24"/>
          <w:szCs w:val="24"/>
          <w:lang w:val="en-US"/>
        </w:rPr>
        <w:t xml:space="preserve"> </w:t>
      </w:r>
      <w:r w:rsidRPr="00981DC5">
        <w:rPr>
          <w:rFonts w:ascii="Book Antiqua" w:hAnsi="Book Antiqua" w:cs="Calibri"/>
          <w:color w:val="000000" w:themeColor="text1"/>
          <w:sz w:val="24"/>
          <w:szCs w:val="24"/>
          <w:lang w:val="en-US"/>
        </w:rPr>
        <w:t xml:space="preserve">°C in E3 medium supplemented with 1% Pen/Strep in the presence or absence of drugs for the following days in respect of the treatment plan (Gemcitabine; Gemcitabine and Oxaliplatin; Gemcitabine and nab-Paclitaxel; 5-Fluorouracil and </w:t>
      </w:r>
      <w:proofErr w:type="spellStart"/>
      <w:r w:rsidR="00316FEC" w:rsidRPr="00981DC5">
        <w:rPr>
          <w:rFonts w:ascii="Book Antiqua" w:hAnsi="Book Antiqua" w:cs="Calibri"/>
          <w:color w:val="000000" w:themeColor="text1"/>
          <w:sz w:val="24"/>
          <w:szCs w:val="24"/>
          <w:lang w:val="en-US"/>
        </w:rPr>
        <w:t>Folinic</w:t>
      </w:r>
      <w:proofErr w:type="spellEnd"/>
      <w:r w:rsidR="00316FEC" w:rsidRPr="00981DC5">
        <w:rPr>
          <w:rFonts w:ascii="Book Antiqua" w:hAnsi="Book Antiqua" w:cs="Calibri"/>
          <w:color w:val="000000" w:themeColor="text1"/>
          <w:sz w:val="24"/>
          <w:szCs w:val="24"/>
          <w:lang w:val="en-US"/>
        </w:rPr>
        <w:t xml:space="preserve"> acid</w:t>
      </w:r>
      <w:r w:rsidRPr="00981DC5">
        <w:rPr>
          <w:rFonts w:ascii="Book Antiqua" w:hAnsi="Book Antiqua" w:cs="Calibri"/>
          <w:color w:val="000000" w:themeColor="text1"/>
          <w:sz w:val="24"/>
          <w:szCs w:val="24"/>
          <w:lang w:val="en-US"/>
        </w:rPr>
        <w:t xml:space="preserve"> and Oxaliplatin and Irinotecan). The response of zebrafish xenografts to the chemotherapy options has been analyzed by monitoring the fluorescent stained area at 2 h post injection</w:t>
      </w:r>
      <w:r w:rsidR="00F20057" w:rsidRPr="00981DC5">
        <w:rPr>
          <w:rFonts w:ascii="Book Antiqua" w:hAnsi="Book Antiqua" w:cs="Calibri"/>
          <w:color w:val="000000" w:themeColor="text1"/>
          <w:sz w:val="24"/>
          <w:szCs w:val="24"/>
          <w:lang w:val="en-US"/>
        </w:rPr>
        <w:t xml:space="preserve"> (</w:t>
      </w:r>
      <w:proofErr w:type="spellStart"/>
      <w:r w:rsidR="00F20057" w:rsidRPr="00981DC5">
        <w:rPr>
          <w:rFonts w:ascii="Book Antiqua" w:hAnsi="Book Antiqua" w:cs="Calibri"/>
          <w:color w:val="000000" w:themeColor="text1"/>
          <w:sz w:val="24"/>
          <w:szCs w:val="24"/>
          <w:lang w:val="en-US"/>
        </w:rPr>
        <w:t>hpi</w:t>
      </w:r>
      <w:proofErr w:type="spellEnd"/>
      <w:r w:rsidR="00F20057" w:rsidRPr="00981DC5">
        <w:rPr>
          <w:rFonts w:ascii="Book Antiqua" w:hAnsi="Book Antiqua" w:cs="Calibri"/>
          <w:color w:val="000000" w:themeColor="text1"/>
          <w:sz w:val="24"/>
          <w:szCs w:val="24"/>
          <w:lang w:val="en-US"/>
        </w:rPr>
        <w:t>)</w:t>
      </w:r>
      <w:r w:rsidRPr="00981DC5">
        <w:rPr>
          <w:rFonts w:ascii="Book Antiqua" w:hAnsi="Book Antiqua" w:cs="Calibri"/>
          <w:color w:val="000000" w:themeColor="text1"/>
          <w:sz w:val="24"/>
          <w:szCs w:val="24"/>
          <w:lang w:val="en-US"/>
        </w:rPr>
        <w:t>, 1 d and 2 d post injection</w:t>
      </w:r>
      <w:r w:rsidR="00F20057" w:rsidRPr="00981DC5">
        <w:rPr>
          <w:rFonts w:ascii="Book Antiqua" w:hAnsi="Book Antiqua" w:cs="Calibri"/>
          <w:color w:val="000000" w:themeColor="text1"/>
          <w:sz w:val="24"/>
          <w:szCs w:val="24"/>
          <w:lang w:val="en-US"/>
        </w:rPr>
        <w:t xml:space="preserve"> (dpi)</w:t>
      </w:r>
      <w:r w:rsidRPr="00981DC5">
        <w:rPr>
          <w:rFonts w:ascii="Book Antiqua" w:hAnsi="Book Antiqua" w:cs="Calibri"/>
          <w:color w:val="000000" w:themeColor="text1"/>
          <w:sz w:val="24"/>
          <w:szCs w:val="24"/>
          <w:lang w:val="en-US"/>
        </w:rPr>
        <w:t>. In each time point</w:t>
      </w:r>
      <w:r w:rsidR="00FA405B" w:rsidRPr="00981DC5">
        <w:rPr>
          <w:rFonts w:ascii="Book Antiqua" w:hAnsi="Book Antiqua" w:cs="Calibri"/>
          <w:color w:val="000000" w:themeColor="text1"/>
          <w:sz w:val="24"/>
          <w:szCs w:val="24"/>
          <w:lang w:val="en-US"/>
        </w:rPr>
        <w:t>,</w:t>
      </w:r>
      <w:r w:rsidRPr="00981DC5">
        <w:rPr>
          <w:rFonts w:ascii="Book Antiqua" w:hAnsi="Book Antiqua" w:cs="Calibri"/>
          <w:color w:val="000000" w:themeColor="text1"/>
          <w:sz w:val="24"/>
          <w:szCs w:val="24"/>
          <w:lang w:val="en-US"/>
        </w:rPr>
        <w:t xml:space="preserve"> the mean size of the stained area was measured by ImageJ and it was normalized with respect to the 1 dpi time point mean relative tumor area </w:t>
      </w:r>
      <w:r w:rsidR="00CA3E0A">
        <w:rPr>
          <w:rFonts w:ascii="Book Antiqua" w:hAnsi="Book Antiqua" w:cs="Calibri"/>
          <w:color w:val="000000" w:themeColor="text1"/>
          <w:sz w:val="24"/>
          <w:szCs w:val="24"/>
          <w:lang w:val="en-US"/>
        </w:rPr>
        <w:t>(</w:t>
      </w:r>
      <w:r w:rsidRPr="00981DC5">
        <w:rPr>
          <w:rFonts w:ascii="Book Antiqua" w:hAnsi="Book Antiqua" w:cs="Calibri"/>
          <w:color w:val="000000" w:themeColor="text1"/>
          <w:sz w:val="24"/>
          <w:szCs w:val="24"/>
          <w:lang w:val="en-US"/>
        </w:rPr>
        <w:t xml:space="preserve">RTA). We evaluated the </w:t>
      </w:r>
      <w:r w:rsidR="00F20057" w:rsidRPr="00981DC5">
        <w:rPr>
          <w:rFonts w:ascii="Book Antiqua" w:hAnsi="Book Antiqua" w:cs="Calibri"/>
          <w:color w:val="000000" w:themeColor="text1"/>
          <w:sz w:val="24"/>
          <w:szCs w:val="24"/>
          <w:lang w:val="en-US"/>
        </w:rPr>
        <w:t>effect of</w:t>
      </w:r>
      <w:r w:rsidRPr="00981DC5">
        <w:rPr>
          <w:rFonts w:ascii="Book Antiqua" w:hAnsi="Book Antiqua" w:cs="Calibri"/>
          <w:color w:val="000000" w:themeColor="text1"/>
          <w:sz w:val="24"/>
          <w:szCs w:val="24"/>
          <w:lang w:val="en-US"/>
        </w:rPr>
        <w:t xml:space="preserve"> the chemotherapy exposition comparing the mean RTA </w:t>
      </w:r>
      <w:r w:rsidR="00BA3424" w:rsidRPr="00981DC5">
        <w:rPr>
          <w:rFonts w:ascii="Book Antiqua" w:hAnsi="Book Antiqua" w:cs="Calibri"/>
          <w:color w:val="000000" w:themeColor="text1"/>
          <w:sz w:val="24"/>
          <w:szCs w:val="24"/>
          <w:lang w:val="en-US"/>
        </w:rPr>
        <w:t>of</w:t>
      </w:r>
      <w:r w:rsidRPr="00981DC5">
        <w:rPr>
          <w:rFonts w:ascii="Book Antiqua" w:hAnsi="Book Antiqua" w:cs="Calibri"/>
          <w:color w:val="000000" w:themeColor="text1"/>
          <w:sz w:val="24"/>
          <w:szCs w:val="24"/>
          <w:lang w:val="en-US"/>
        </w:rPr>
        <w:t xml:space="preserve"> each treated subgroup and the control group and evaluating the percentage reduction of the mean RTA by comparing each treated subgroup with the control group.</w:t>
      </w:r>
    </w:p>
    <w:p w14:paraId="06EC96EC" w14:textId="77777777" w:rsidR="00B11A05" w:rsidRPr="00981DC5" w:rsidRDefault="00B11A05" w:rsidP="00B11A05">
      <w:pPr>
        <w:adjustRightInd w:val="0"/>
        <w:snapToGrid w:val="0"/>
        <w:spacing w:after="0" w:line="360" w:lineRule="auto"/>
        <w:jc w:val="both"/>
        <w:rPr>
          <w:rFonts w:ascii="Book Antiqua" w:hAnsi="Book Antiqua" w:cs="Calibri"/>
          <w:color w:val="000000" w:themeColor="text1"/>
          <w:sz w:val="24"/>
          <w:szCs w:val="24"/>
          <w:lang w:val="en-US"/>
        </w:rPr>
      </w:pPr>
    </w:p>
    <w:p w14:paraId="227F9D11" w14:textId="77777777" w:rsidR="00B11A05" w:rsidRPr="00981DC5" w:rsidRDefault="00B11A05" w:rsidP="00B11A05">
      <w:pPr>
        <w:adjustRightInd w:val="0"/>
        <w:snapToGrid w:val="0"/>
        <w:spacing w:after="0" w:line="360" w:lineRule="auto"/>
        <w:jc w:val="both"/>
        <w:rPr>
          <w:rFonts w:ascii="Book Antiqua" w:hAnsi="Book Antiqua"/>
          <w:color w:val="000000" w:themeColor="text1"/>
          <w:sz w:val="24"/>
          <w:szCs w:val="24"/>
        </w:rPr>
      </w:pPr>
      <w:r w:rsidRPr="00981DC5">
        <w:rPr>
          <w:rFonts w:ascii="Book Antiqua" w:hAnsi="Book Antiqua"/>
          <w:color w:val="000000" w:themeColor="text1"/>
          <w:sz w:val="24"/>
          <w:szCs w:val="24"/>
        </w:rPr>
        <w:t>RESULTS</w:t>
      </w:r>
    </w:p>
    <w:p w14:paraId="76DF2E39" w14:textId="6EA8E791" w:rsidR="006A3D96" w:rsidRPr="00981DC5" w:rsidRDefault="006A3D96" w:rsidP="00B11A05">
      <w:pPr>
        <w:adjustRightInd w:val="0"/>
        <w:snapToGrid w:val="0"/>
        <w:spacing w:after="0" w:line="360" w:lineRule="auto"/>
        <w:jc w:val="both"/>
        <w:rPr>
          <w:rFonts w:ascii="Book Antiqua" w:hAnsi="Book Antiqua" w:cs="Calibri"/>
          <w:color w:val="000000" w:themeColor="text1"/>
          <w:sz w:val="24"/>
          <w:szCs w:val="24"/>
          <w:lang w:val="en-US"/>
        </w:rPr>
      </w:pPr>
      <w:r w:rsidRPr="00981DC5">
        <w:rPr>
          <w:rFonts w:ascii="Book Antiqua" w:eastAsiaTheme="minorHAnsi" w:hAnsi="Book Antiqua" w:cs="Calibri"/>
          <w:color w:val="000000" w:themeColor="text1"/>
          <w:sz w:val="24"/>
          <w:szCs w:val="24"/>
          <w:lang w:val="en-US" w:eastAsia="en-US"/>
        </w:rPr>
        <w:lastRenderedPageBreak/>
        <w:t>Between</w:t>
      </w:r>
      <w:r w:rsidRPr="00981DC5">
        <w:rPr>
          <w:rFonts w:ascii="Book Antiqua" w:hAnsi="Book Antiqua" w:cs="Calibri"/>
          <w:color w:val="000000" w:themeColor="text1"/>
          <w:sz w:val="24"/>
          <w:szCs w:val="24"/>
          <w:lang w:val="en-US"/>
        </w:rPr>
        <w:t xml:space="preserve"> July 2018 </w:t>
      </w:r>
      <w:r w:rsidR="00BA3424" w:rsidRPr="00981DC5">
        <w:rPr>
          <w:rFonts w:ascii="Book Antiqua" w:hAnsi="Book Antiqua" w:cs="Calibri"/>
          <w:color w:val="000000" w:themeColor="text1"/>
          <w:sz w:val="24"/>
          <w:szCs w:val="24"/>
          <w:lang w:val="en-US"/>
        </w:rPr>
        <w:t>and</w:t>
      </w:r>
      <w:r w:rsidRPr="00981DC5">
        <w:rPr>
          <w:rFonts w:ascii="Book Antiqua" w:hAnsi="Book Antiqua" w:cs="Calibri"/>
          <w:color w:val="000000" w:themeColor="text1"/>
          <w:sz w:val="24"/>
          <w:szCs w:val="24"/>
          <w:lang w:val="en-US"/>
        </w:rPr>
        <w:t xml:space="preserve"> October 2019</w:t>
      </w:r>
      <w:r w:rsidRPr="00981DC5">
        <w:rPr>
          <w:rFonts w:ascii="Book Antiqua" w:eastAsiaTheme="minorHAnsi" w:hAnsi="Book Antiqua" w:cs="Calibri"/>
          <w:color w:val="000000" w:themeColor="text1"/>
          <w:sz w:val="24"/>
          <w:szCs w:val="24"/>
          <w:lang w:val="en-US" w:eastAsia="en-US"/>
        </w:rPr>
        <w:t xml:space="preserve">, a total of </w:t>
      </w:r>
      <w:r w:rsidRPr="00981DC5">
        <w:rPr>
          <w:rFonts w:ascii="Book Antiqua" w:hAnsi="Book Antiqua" w:cs="Calibri"/>
          <w:color w:val="000000" w:themeColor="text1"/>
          <w:sz w:val="24"/>
          <w:szCs w:val="24"/>
          <w:lang w:val="en-US"/>
        </w:rPr>
        <w:t>15</w:t>
      </w:r>
      <w:r w:rsidRPr="00981DC5">
        <w:rPr>
          <w:rFonts w:ascii="Book Antiqua" w:eastAsiaTheme="minorHAnsi" w:hAnsi="Book Antiqua" w:cs="Calibri"/>
          <w:color w:val="000000" w:themeColor="text1"/>
          <w:sz w:val="24"/>
          <w:szCs w:val="24"/>
          <w:lang w:val="en-US" w:eastAsia="en-US"/>
        </w:rPr>
        <w:t xml:space="preserve"> patients </w:t>
      </w:r>
      <w:r w:rsidRPr="00981DC5">
        <w:rPr>
          <w:rFonts w:ascii="Book Antiqua" w:hAnsi="Book Antiqua" w:cs="Calibri"/>
          <w:color w:val="000000" w:themeColor="text1"/>
          <w:sz w:val="24"/>
          <w:szCs w:val="24"/>
          <w:lang w:val="en-US"/>
        </w:rPr>
        <w:t xml:space="preserve">with pancreatic cancer were prospectively enrolled. In all cases, it was possible to take a fragment of the tumor from the surgical specimen for the xenotransplantation in the zebrafish embryos. The histological examination confirmed the presence of a PDAC in all cases. In absence of chemotherapy (control group), </w:t>
      </w:r>
      <w:r w:rsidR="00FA405B" w:rsidRPr="00981DC5">
        <w:rPr>
          <w:rFonts w:ascii="Book Antiqua" w:hAnsi="Book Antiqua" w:cs="Calibri"/>
          <w:color w:val="000000" w:themeColor="text1"/>
          <w:sz w:val="24"/>
          <w:szCs w:val="24"/>
          <w:lang w:val="en-US"/>
        </w:rPr>
        <w:t xml:space="preserve">over time </w:t>
      </w:r>
      <w:r w:rsidRPr="00981DC5">
        <w:rPr>
          <w:rFonts w:ascii="Book Antiqua" w:hAnsi="Book Antiqua" w:cs="Calibri"/>
          <w:color w:val="000000" w:themeColor="text1"/>
          <w:sz w:val="24"/>
          <w:szCs w:val="24"/>
          <w:lang w:val="en-US"/>
        </w:rPr>
        <w:t xml:space="preserve">the </w:t>
      </w:r>
      <w:proofErr w:type="spellStart"/>
      <w:r w:rsidRPr="00981DC5">
        <w:rPr>
          <w:rFonts w:ascii="Book Antiqua" w:hAnsi="Book Antiqua" w:cs="Calibri"/>
          <w:color w:val="000000" w:themeColor="text1"/>
          <w:sz w:val="24"/>
          <w:szCs w:val="24"/>
          <w:lang w:val="en-US"/>
        </w:rPr>
        <w:t>Dil</w:t>
      </w:r>
      <w:proofErr w:type="spellEnd"/>
      <w:r w:rsidRPr="00981DC5">
        <w:rPr>
          <w:rFonts w:ascii="Book Antiqua" w:hAnsi="Book Antiqua" w:cs="Calibri"/>
          <w:color w:val="000000" w:themeColor="text1"/>
          <w:sz w:val="24"/>
          <w:szCs w:val="24"/>
          <w:lang w:val="en-US"/>
        </w:rPr>
        <w:t xml:space="preserve">-stained area showed a statistically significant increase in all cases. A statistically significant reduction of the mean RTA in the treated subgroups for at least one chemotherapy scheme was reported in 6/15 (40%) cases. The analysis of </w:t>
      </w:r>
      <w:r w:rsidR="00E31702" w:rsidRPr="00981DC5">
        <w:rPr>
          <w:rFonts w:ascii="Book Antiqua" w:hAnsi="Book Antiqua" w:cs="Calibri"/>
          <w:color w:val="000000" w:themeColor="text1"/>
          <w:sz w:val="24"/>
          <w:szCs w:val="24"/>
          <w:lang w:val="en-US"/>
        </w:rPr>
        <w:t xml:space="preserve">the </w:t>
      </w:r>
      <w:r w:rsidRPr="00981DC5">
        <w:rPr>
          <w:rFonts w:ascii="Book Antiqua" w:hAnsi="Book Antiqua" w:cs="Calibri"/>
          <w:color w:val="000000" w:themeColor="text1"/>
          <w:sz w:val="24"/>
          <w:szCs w:val="24"/>
          <w:lang w:val="en-US"/>
        </w:rPr>
        <w:t>percentage reduction of the RTA in treated subgroups in comparison to the control group revealed the presence of a linear relation</w:t>
      </w:r>
      <w:r w:rsidR="00FA405B" w:rsidRPr="00981DC5">
        <w:rPr>
          <w:rFonts w:ascii="Book Antiqua" w:hAnsi="Book Antiqua" w:cs="Calibri"/>
          <w:color w:val="000000" w:themeColor="text1"/>
          <w:sz w:val="24"/>
          <w:szCs w:val="24"/>
          <w:lang w:val="en-US"/>
        </w:rPr>
        <w:t>ship</w:t>
      </w:r>
      <w:r w:rsidRPr="00981DC5">
        <w:rPr>
          <w:rFonts w:ascii="Book Antiqua" w:hAnsi="Book Antiqua" w:cs="Calibri"/>
          <w:color w:val="000000" w:themeColor="text1"/>
          <w:sz w:val="24"/>
          <w:szCs w:val="24"/>
          <w:lang w:val="en-US"/>
        </w:rPr>
        <w:t xml:space="preserve"> in each subgroup between the percentage reduction of the RTA and the number of cases reporting each percentage threshold considered for the analysis.</w:t>
      </w:r>
    </w:p>
    <w:p w14:paraId="60C8A08E" w14:textId="77777777" w:rsidR="00B11A05" w:rsidRPr="00981DC5" w:rsidRDefault="00B11A05" w:rsidP="00B11A05">
      <w:pPr>
        <w:adjustRightInd w:val="0"/>
        <w:snapToGrid w:val="0"/>
        <w:spacing w:after="0" w:line="360" w:lineRule="auto"/>
        <w:jc w:val="both"/>
        <w:rPr>
          <w:rFonts w:ascii="Book Antiqua" w:hAnsi="Book Antiqua" w:cs="Calibri"/>
          <w:color w:val="000000" w:themeColor="text1"/>
          <w:sz w:val="24"/>
          <w:szCs w:val="24"/>
          <w:lang w:val="en-US"/>
        </w:rPr>
      </w:pPr>
    </w:p>
    <w:p w14:paraId="082D894D" w14:textId="77777777" w:rsidR="00B11A05" w:rsidRPr="00981DC5" w:rsidRDefault="00B11A05" w:rsidP="00B11A05">
      <w:pPr>
        <w:adjustRightInd w:val="0"/>
        <w:snapToGrid w:val="0"/>
        <w:spacing w:after="0" w:line="360" w:lineRule="auto"/>
        <w:jc w:val="both"/>
        <w:rPr>
          <w:rFonts w:ascii="Book Antiqua" w:hAnsi="Book Antiqua"/>
          <w:color w:val="000000" w:themeColor="text1"/>
          <w:sz w:val="24"/>
          <w:szCs w:val="24"/>
        </w:rPr>
      </w:pPr>
      <w:r w:rsidRPr="00981DC5">
        <w:rPr>
          <w:rFonts w:ascii="Book Antiqua" w:hAnsi="Book Antiqua"/>
          <w:color w:val="000000" w:themeColor="text1"/>
          <w:sz w:val="24"/>
          <w:szCs w:val="24"/>
        </w:rPr>
        <w:t>CONCLUSION</w:t>
      </w:r>
    </w:p>
    <w:p w14:paraId="0D68A228" w14:textId="7D55C040" w:rsidR="006A3D96" w:rsidRPr="00981DC5" w:rsidRDefault="006A3D96" w:rsidP="00B11A05">
      <w:pPr>
        <w:adjustRightInd w:val="0"/>
        <w:snapToGrid w:val="0"/>
        <w:spacing w:after="0" w:line="360" w:lineRule="auto"/>
        <w:jc w:val="both"/>
        <w:rPr>
          <w:rFonts w:ascii="Book Antiqua" w:hAnsi="Book Antiqua" w:cs="Calibri"/>
          <w:color w:val="000000" w:themeColor="text1"/>
          <w:sz w:val="24"/>
          <w:szCs w:val="24"/>
          <w:lang w:val="en-US"/>
        </w:rPr>
      </w:pPr>
      <w:r w:rsidRPr="00981DC5">
        <w:rPr>
          <w:rFonts w:ascii="Book Antiqua" w:hAnsi="Book Antiqua" w:cs="Calibri"/>
          <w:color w:val="000000" w:themeColor="text1"/>
          <w:sz w:val="24"/>
          <w:szCs w:val="24"/>
          <w:lang w:val="en-US"/>
        </w:rPr>
        <w:t xml:space="preserve">Our model seems to be effective for the xenotransplantation of PDAC tissue and evaluation of the </w:t>
      </w:r>
      <w:r w:rsidR="00A75E36" w:rsidRPr="00981DC5">
        <w:rPr>
          <w:rFonts w:ascii="Book Antiqua" w:hAnsi="Book Antiqua" w:cs="Calibri"/>
          <w:color w:val="000000" w:themeColor="text1"/>
          <w:sz w:val="24"/>
          <w:szCs w:val="24"/>
          <w:lang w:val="en-US"/>
        </w:rPr>
        <w:t>effect</w:t>
      </w:r>
      <w:r w:rsidRPr="00981DC5">
        <w:rPr>
          <w:rFonts w:ascii="Book Antiqua" w:hAnsi="Book Antiqua" w:cs="Calibri"/>
          <w:color w:val="000000" w:themeColor="text1"/>
          <w:sz w:val="24"/>
          <w:szCs w:val="24"/>
          <w:lang w:val="en-US"/>
        </w:rPr>
        <w:t xml:space="preserve"> of each chemotherapy scheme </w:t>
      </w:r>
      <w:r w:rsidR="00A75E36" w:rsidRPr="00981DC5">
        <w:rPr>
          <w:rFonts w:ascii="Book Antiqua" w:hAnsi="Book Antiqua" w:cs="Calibri"/>
          <w:color w:val="000000" w:themeColor="text1"/>
          <w:sz w:val="24"/>
          <w:szCs w:val="24"/>
          <w:lang w:val="en-US"/>
        </w:rPr>
        <w:t xml:space="preserve">on the </w:t>
      </w:r>
      <w:proofErr w:type="spellStart"/>
      <w:r w:rsidR="00A75E36" w:rsidRPr="00981DC5">
        <w:rPr>
          <w:rFonts w:ascii="Book Antiqua" w:hAnsi="Book Antiqua" w:cs="Calibri"/>
          <w:color w:val="000000" w:themeColor="text1"/>
          <w:sz w:val="24"/>
          <w:szCs w:val="24"/>
          <w:lang w:val="en-US"/>
        </w:rPr>
        <w:t>xenotransplanted</w:t>
      </w:r>
      <w:proofErr w:type="spellEnd"/>
      <w:r w:rsidR="00A75E36" w:rsidRPr="00981DC5">
        <w:rPr>
          <w:rFonts w:ascii="Book Antiqua" w:hAnsi="Book Antiqua" w:cs="Calibri"/>
          <w:color w:val="000000" w:themeColor="text1"/>
          <w:sz w:val="24"/>
          <w:szCs w:val="24"/>
          <w:lang w:val="en-US"/>
        </w:rPr>
        <w:t xml:space="preserve"> tumor tissue</w:t>
      </w:r>
      <w:r w:rsidRPr="00981DC5">
        <w:rPr>
          <w:rFonts w:ascii="Book Antiqua" w:hAnsi="Book Antiqua" w:cs="Calibri"/>
          <w:color w:val="000000" w:themeColor="text1"/>
          <w:sz w:val="24"/>
          <w:szCs w:val="24"/>
          <w:lang w:val="en-US"/>
        </w:rPr>
        <w:t>.</w:t>
      </w:r>
    </w:p>
    <w:p w14:paraId="5DBD4252" w14:textId="77777777" w:rsidR="00B11A05" w:rsidRPr="00981DC5" w:rsidRDefault="00B11A05" w:rsidP="00B11A05">
      <w:pPr>
        <w:adjustRightInd w:val="0"/>
        <w:snapToGrid w:val="0"/>
        <w:spacing w:after="0" w:line="360" w:lineRule="auto"/>
        <w:jc w:val="both"/>
        <w:rPr>
          <w:rFonts w:ascii="Book Antiqua" w:hAnsi="Book Antiqua" w:cs="Calibri"/>
          <w:b/>
          <w:color w:val="000000" w:themeColor="text1"/>
          <w:sz w:val="24"/>
          <w:szCs w:val="24"/>
          <w:lang w:val="en-US"/>
        </w:rPr>
      </w:pPr>
    </w:p>
    <w:p w14:paraId="5F1E56B4" w14:textId="13C448B6" w:rsidR="006A3D96" w:rsidRPr="00981DC5" w:rsidRDefault="00B11A05" w:rsidP="00B11A05">
      <w:pPr>
        <w:adjustRightInd w:val="0"/>
        <w:snapToGrid w:val="0"/>
        <w:spacing w:after="0" w:line="360" w:lineRule="auto"/>
        <w:jc w:val="both"/>
        <w:rPr>
          <w:rFonts w:ascii="Book Antiqua" w:hAnsi="Book Antiqua" w:cs="Calibri"/>
          <w:color w:val="000000" w:themeColor="text1"/>
          <w:sz w:val="24"/>
          <w:szCs w:val="24"/>
          <w:lang w:val="en-US"/>
        </w:rPr>
      </w:pPr>
      <w:bookmarkStart w:id="6" w:name="_Hlk8052531"/>
      <w:r w:rsidRPr="00981DC5">
        <w:rPr>
          <w:rFonts w:ascii="Book Antiqua" w:hAnsi="Book Antiqua"/>
          <w:b/>
          <w:color w:val="000000" w:themeColor="text1"/>
          <w:sz w:val="24"/>
          <w:szCs w:val="24"/>
          <w:lang w:val="hu-HU"/>
        </w:rPr>
        <w:t>Key words:</w:t>
      </w:r>
      <w:bookmarkEnd w:id="6"/>
      <w:r w:rsidR="00EB33B3" w:rsidRPr="00981DC5">
        <w:rPr>
          <w:rFonts w:ascii="Book Antiqua" w:hAnsi="Book Antiqua"/>
          <w:color w:val="000000" w:themeColor="text1"/>
          <w:sz w:val="24"/>
          <w:szCs w:val="24"/>
          <w:lang w:eastAsia="zh-CN"/>
        </w:rPr>
        <w:t xml:space="preserve"> </w:t>
      </w:r>
      <w:r w:rsidR="00CA3E0A" w:rsidRPr="00981DC5">
        <w:rPr>
          <w:rFonts w:ascii="Book Antiqua" w:hAnsi="Book Antiqua" w:cs="Calibri"/>
          <w:color w:val="000000" w:themeColor="text1"/>
          <w:sz w:val="24"/>
          <w:szCs w:val="24"/>
          <w:lang w:val="en-US"/>
        </w:rPr>
        <w:t xml:space="preserve">Pancreatic </w:t>
      </w:r>
      <w:r w:rsidR="006A3D96" w:rsidRPr="00981DC5">
        <w:rPr>
          <w:rFonts w:ascii="Book Antiqua" w:hAnsi="Book Antiqua" w:cs="Calibri"/>
          <w:color w:val="000000" w:themeColor="text1"/>
          <w:sz w:val="24"/>
          <w:szCs w:val="24"/>
          <w:lang w:val="en-US"/>
        </w:rPr>
        <w:t>ductal adenocarcinoma</w:t>
      </w:r>
      <w:r w:rsidR="00E653A7" w:rsidRPr="00981DC5">
        <w:rPr>
          <w:rFonts w:ascii="Book Antiqua" w:hAnsi="Book Antiqua" w:cs="Calibri"/>
          <w:color w:val="000000" w:themeColor="text1"/>
          <w:sz w:val="24"/>
          <w:szCs w:val="24"/>
          <w:lang w:val="en-US"/>
        </w:rPr>
        <w:t>;</w:t>
      </w:r>
      <w:r w:rsidR="006A3D96" w:rsidRPr="00981DC5">
        <w:rPr>
          <w:rFonts w:ascii="Book Antiqua" w:hAnsi="Book Antiqua" w:cs="Calibri"/>
          <w:color w:val="000000" w:themeColor="text1"/>
          <w:sz w:val="24"/>
          <w:szCs w:val="24"/>
          <w:lang w:val="en-US"/>
        </w:rPr>
        <w:t xml:space="preserve"> </w:t>
      </w:r>
      <w:r w:rsidR="00CA3E0A" w:rsidRPr="00981DC5">
        <w:rPr>
          <w:rFonts w:ascii="Book Antiqua" w:hAnsi="Book Antiqua" w:cs="Calibri"/>
          <w:color w:val="000000" w:themeColor="text1"/>
          <w:sz w:val="24"/>
          <w:szCs w:val="24"/>
          <w:lang w:val="en-US"/>
        </w:rPr>
        <w:t xml:space="preserve">Zebrafish </w:t>
      </w:r>
      <w:r w:rsidR="006A3D96" w:rsidRPr="00981DC5">
        <w:rPr>
          <w:rFonts w:ascii="Book Antiqua" w:hAnsi="Book Antiqua" w:cs="Calibri"/>
          <w:color w:val="000000" w:themeColor="text1"/>
          <w:sz w:val="24"/>
          <w:szCs w:val="24"/>
          <w:lang w:val="en-US"/>
        </w:rPr>
        <w:t xml:space="preserve">embryos; </w:t>
      </w:r>
      <w:r w:rsidR="00CA3E0A" w:rsidRPr="00981DC5">
        <w:rPr>
          <w:rFonts w:ascii="Book Antiqua" w:hAnsi="Book Antiqua" w:cs="Calibri"/>
          <w:color w:val="000000" w:themeColor="text1"/>
          <w:sz w:val="24"/>
          <w:szCs w:val="24"/>
          <w:lang w:val="en-US"/>
        </w:rPr>
        <w:t xml:space="preserve">Personalized </w:t>
      </w:r>
      <w:r w:rsidR="006A3D96" w:rsidRPr="00981DC5">
        <w:rPr>
          <w:rFonts w:ascii="Book Antiqua" w:hAnsi="Book Antiqua" w:cs="Calibri"/>
          <w:color w:val="000000" w:themeColor="text1"/>
          <w:sz w:val="24"/>
          <w:szCs w:val="24"/>
          <w:lang w:val="en-US"/>
        </w:rPr>
        <w:t xml:space="preserve">medicine; </w:t>
      </w:r>
      <w:r w:rsidR="00CA3E0A" w:rsidRPr="00981DC5">
        <w:rPr>
          <w:rFonts w:ascii="Book Antiqua" w:hAnsi="Book Antiqua" w:cs="Calibri"/>
          <w:color w:val="000000" w:themeColor="text1"/>
          <w:sz w:val="24"/>
          <w:szCs w:val="24"/>
          <w:lang w:val="en-US"/>
        </w:rPr>
        <w:t>Xenotransplantation</w:t>
      </w:r>
      <w:r w:rsidR="006A3D96" w:rsidRPr="00981DC5">
        <w:rPr>
          <w:rFonts w:ascii="Book Antiqua" w:hAnsi="Book Antiqua" w:cs="Calibri"/>
          <w:color w:val="000000" w:themeColor="text1"/>
          <w:sz w:val="24"/>
          <w:szCs w:val="24"/>
          <w:lang w:val="en-US"/>
        </w:rPr>
        <w:t xml:space="preserve">; </w:t>
      </w:r>
      <w:r w:rsidR="00CA3E0A" w:rsidRPr="00981DC5">
        <w:rPr>
          <w:rFonts w:ascii="Book Antiqua" w:hAnsi="Book Antiqua" w:cs="Calibri"/>
          <w:color w:val="000000" w:themeColor="text1"/>
          <w:sz w:val="24"/>
          <w:szCs w:val="24"/>
          <w:lang w:val="en-US"/>
        </w:rPr>
        <w:t xml:space="preserve">Chemotherapy </w:t>
      </w:r>
      <w:r w:rsidR="006A3D96" w:rsidRPr="00981DC5">
        <w:rPr>
          <w:rFonts w:ascii="Book Antiqua" w:hAnsi="Book Antiqua" w:cs="Calibri"/>
          <w:color w:val="000000" w:themeColor="text1"/>
          <w:sz w:val="24"/>
          <w:szCs w:val="24"/>
          <w:lang w:val="en-US"/>
        </w:rPr>
        <w:t xml:space="preserve">efficacy; </w:t>
      </w:r>
      <w:r w:rsidR="00CA3E0A" w:rsidRPr="00981DC5">
        <w:rPr>
          <w:rFonts w:ascii="Book Antiqua" w:hAnsi="Book Antiqua" w:cs="Calibri"/>
          <w:color w:val="000000" w:themeColor="text1"/>
          <w:sz w:val="24"/>
          <w:szCs w:val="24"/>
          <w:lang w:val="en-US"/>
        </w:rPr>
        <w:t xml:space="preserve">Avatar </w:t>
      </w:r>
      <w:r w:rsidR="006A3D96" w:rsidRPr="00981DC5">
        <w:rPr>
          <w:rFonts w:ascii="Book Antiqua" w:hAnsi="Book Antiqua" w:cs="Calibri"/>
          <w:color w:val="000000" w:themeColor="text1"/>
          <w:sz w:val="24"/>
          <w:szCs w:val="24"/>
          <w:lang w:val="en-US"/>
        </w:rPr>
        <w:t>of oncological patients</w:t>
      </w:r>
    </w:p>
    <w:p w14:paraId="739746E7" w14:textId="0D880EF9" w:rsidR="009E5199" w:rsidRPr="00981DC5" w:rsidRDefault="009E5199" w:rsidP="00B11A05">
      <w:pPr>
        <w:adjustRightInd w:val="0"/>
        <w:snapToGrid w:val="0"/>
        <w:spacing w:after="0" w:line="360" w:lineRule="auto"/>
        <w:jc w:val="both"/>
        <w:rPr>
          <w:rFonts w:ascii="Book Antiqua" w:hAnsi="Book Antiqua" w:cs="Calibri"/>
          <w:color w:val="000000" w:themeColor="text1"/>
          <w:sz w:val="24"/>
          <w:szCs w:val="24"/>
          <w:lang w:val="en-US"/>
        </w:rPr>
      </w:pPr>
    </w:p>
    <w:p w14:paraId="6B308BED" w14:textId="65737CC0" w:rsidR="009E5199" w:rsidRPr="00981DC5" w:rsidRDefault="009E5199" w:rsidP="00B11A05">
      <w:pPr>
        <w:adjustRightInd w:val="0"/>
        <w:snapToGrid w:val="0"/>
        <w:spacing w:after="0" w:line="360" w:lineRule="auto"/>
        <w:jc w:val="both"/>
        <w:rPr>
          <w:rFonts w:ascii="Book Antiqua" w:hAnsi="Book Antiqua" w:cs="Calibri"/>
          <w:bCs/>
          <w:color w:val="000000" w:themeColor="text1"/>
          <w:sz w:val="24"/>
          <w:szCs w:val="24"/>
          <w:lang w:val="en-US"/>
        </w:rPr>
      </w:pPr>
      <w:r w:rsidRPr="00981DC5">
        <w:rPr>
          <w:rFonts w:ascii="Book Antiqua" w:hAnsi="Book Antiqua" w:cs="Calibri"/>
          <w:bCs/>
          <w:color w:val="000000" w:themeColor="text1"/>
          <w:sz w:val="24"/>
          <w:szCs w:val="24"/>
        </w:rPr>
        <w:t xml:space="preserve">Di Franco G, Usai A, Funel N, Palmeri M, Montesanti IER, Bianchini M, Gianardi D, Furbetta N, Guadagni S, Vasile E, Falcone A, Pollina LE, Raffa V, Morelli L. </w:t>
      </w:r>
      <w:r w:rsidR="00CA3E0A" w:rsidRPr="00981DC5">
        <w:rPr>
          <w:rFonts w:ascii="Book Antiqua" w:hAnsi="Book Antiqua" w:cs="Calibri"/>
          <w:bCs/>
          <w:color w:val="000000" w:themeColor="text1"/>
          <w:sz w:val="24"/>
          <w:szCs w:val="24"/>
          <w:lang w:val="en-GB"/>
        </w:rPr>
        <w:t xml:space="preserve">Use </w:t>
      </w:r>
      <w:r w:rsidRPr="00981DC5">
        <w:rPr>
          <w:rFonts w:ascii="Book Antiqua" w:hAnsi="Book Antiqua" w:cs="Calibri"/>
          <w:bCs/>
          <w:color w:val="000000" w:themeColor="text1"/>
          <w:sz w:val="24"/>
          <w:szCs w:val="24"/>
          <w:lang w:val="en-GB"/>
        </w:rPr>
        <w:t xml:space="preserve">of zebrafish embryos as avatar of patients with pancreatic cancer: </w:t>
      </w:r>
      <w:r w:rsidR="00CA3E0A" w:rsidRPr="00981DC5">
        <w:rPr>
          <w:rFonts w:ascii="Book Antiqua" w:hAnsi="Book Antiqua" w:cs="Calibri"/>
          <w:bCs/>
          <w:color w:val="000000" w:themeColor="text1"/>
          <w:sz w:val="24"/>
          <w:szCs w:val="24"/>
          <w:lang w:val="en-GB"/>
        </w:rPr>
        <w:t xml:space="preserve">A </w:t>
      </w:r>
      <w:r w:rsidRPr="00981DC5">
        <w:rPr>
          <w:rFonts w:ascii="Book Antiqua" w:hAnsi="Book Antiqua" w:cs="Calibri"/>
          <w:bCs/>
          <w:color w:val="000000" w:themeColor="text1"/>
          <w:sz w:val="24"/>
          <w:szCs w:val="24"/>
          <w:lang w:val="en-GB"/>
        </w:rPr>
        <w:t xml:space="preserve">new xenotransplantation model towards personalized medicine. </w:t>
      </w:r>
      <w:r w:rsidR="00B11A05" w:rsidRPr="00981DC5">
        <w:rPr>
          <w:rFonts w:ascii="Book Antiqua" w:hAnsi="Book Antiqua"/>
          <w:bCs/>
          <w:i/>
          <w:iCs/>
          <w:color w:val="000000" w:themeColor="text1"/>
          <w:sz w:val="24"/>
          <w:szCs w:val="24"/>
        </w:rPr>
        <w:t>World J Gastroenterol</w:t>
      </w:r>
      <w:r w:rsidR="00B11A05" w:rsidRPr="00981DC5">
        <w:rPr>
          <w:rFonts w:ascii="Book Antiqua" w:hAnsi="Book Antiqua" w:cs="Calibri"/>
          <w:bCs/>
          <w:i/>
          <w:iCs/>
          <w:color w:val="000000" w:themeColor="text1"/>
          <w:sz w:val="24"/>
          <w:szCs w:val="24"/>
          <w:lang w:val="en-GB"/>
        </w:rPr>
        <w:t xml:space="preserve"> </w:t>
      </w:r>
      <w:r w:rsidRPr="00025EFB">
        <w:rPr>
          <w:rFonts w:ascii="Book Antiqua" w:hAnsi="Book Antiqua" w:cs="Calibri"/>
          <w:bCs/>
          <w:color w:val="000000" w:themeColor="text1"/>
          <w:sz w:val="24"/>
          <w:szCs w:val="24"/>
          <w:lang w:val="en-GB"/>
        </w:rPr>
        <w:t>2020</w:t>
      </w:r>
      <w:r w:rsidRPr="00981DC5">
        <w:rPr>
          <w:rFonts w:ascii="Book Antiqua" w:hAnsi="Book Antiqua" w:cs="Calibri"/>
          <w:bCs/>
          <w:color w:val="000000" w:themeColor="text1"/>
          <w:sz w:val="24"/>
          <w:szCs w:val="24"/>
          <w:lang w:val="en-GB"/>
        </w:rPr>
        <w:t>; In press</w:t>
      </w:r>
    </w:p>
    <w:p w14:paraId="37B30E18" w14:textId="77777777" w:rsidR="009E5199" w:rsidRPr="00981DC5" w:rsidRDefault="009E5199" w:rsidP="00B11A05">
      <w:pPr>
        <w:adjustRightInd w:val="0"/>
        <w:snapToGrid w:val="0"/>
        <w:spacing w:after="0" w:line="360" w:lineRule="auto"/>
        <w:jc w:val="both"/>
        <w:rPr>
          <w:rFonts w:ascii="Book Antiqua" w:hAnsi="Book Antiqua" w:cs="Calibri"/>
          <w:color w:val="000000" w:themeColor="text1"/>
          <w:sz w:val="24"/>
          <w:szCs w:val="24"/>
          <w:lang w:val="en-US"/>
        </w:rPr>
      </w:pPr>
    </w:p>
    <w:p w14:paraId="2223169C" w14:textId="235AFBF2" w:rsidR="006A3D96" w:rsidRPr="00CA3E0A" w:rsidRDefault="00B11A05" w:rsidP="00B11A05">
      <w:pPr>
        <w:adjustRightInd w:val="0"/>
        <w:snapToGrid w:val="0"/>
        <w:spacing w:after="0" w:line="360" w:lineRule="auto"/>
        <w:jc w:val="both"/>
        <w:rPr>
          <w:rFonts w:ascii="Book Antiqua" w:hAnsi="Book Antiqua" w:cs="Calibri"/>
          <w:color w:val="000000" w:themeColor="text1"/>
          <w:sz w:val="24"/>
          <w:szCs w:val="24"/>
          <w:lang w:val="en-US"/>
        </w:rPr>
      </w:pPr>
      <w:r w:rsidRPr="00981DC5">
        <w:rPr>
          <w:rFonts w:ascii="Book Antiqua" w:hAnsi="Book Antiqua" w:cstheme="minorHAnsi"/>
          <w:b/>
          <w:iCs/>
          <w:color w:val="000000" w:themeColor="text1"/>
          <w:sz w:val="24"/>
          <w:szCs w:val="24"/>
        </w:rPr>
        <w:t>Core tip</w:t>
      </w:r>
      <w:r w:rsidRPr="00CA3E0A">
        <w:rPr>
          <w:rFonts w:ascii="Book Antiqua" w:hAnsi="Book Antiqua" w:cstheme="minorHAnsi"/>
          <w:b/>
          <w:bCs/>
          <w:iCs/>
          <w:color w:val="000000" w:themeColor="text1"/>
          <w:sz w:val="24"/>
          <w:szCs w:val="24"/>
        </w:rPr>
        <w:t>:</w:t>
      </w:r>
      <w:r w:rsidRPr="00CA3E0A">
        <w:rPr>
          <w:rFonts w:ascii="Book Antiqua" w:hAnsi="Book Antiqua" w:cstheme="minorHAnsi"/>
          <w:b/>
          <w:bCs/>
          <w:color w:val="000000" w:themeColor="text1"/>
          <w:sz w:val="24"/>
          <w:szCs w:val="24"/>
        </w:rPr>
        <w:t xml:space="preserve"> </w:t>
      </w:r>
      <w:r w:rsidR="006A3D96" w:rsidRPr="00981DC5">
        <w:rPr>
          <w:rFonts w:ascii="Book Antiqua" w:hAnsi="Book Antiqua" w:cs="Calibri"/>
          <w:color w:val="000000" w:themeColor="text1"/>
          <w:sz w:val="24"/>
          <w:szCs w:val="24"/>
          <w:lang w:val="en-US"/>
        </w:rPr>
        <w:t xml:space="preserve">Patient-derived xenograft model has emerged as an important tool for personalized medicine. Zebrafish embryos offer several advantages: the short generation time, the large number of offspring, the transparency, and the small size </w:t>
      </w:r>
      <w:r w:rsidR="0036037E" w:rsidRPr="00981DC5">
        <w:rPr>
          <w:rFonts w:ascii="Book Antiqua" w:hAnsi="Book Antiqua" w:cs="Calibri"/>
          <w:color w:val="000000" w:themeColor="text1"/>
          <w:sz w:val="24"/>
          <w:szCs w:val="24"/>
          <w:lang w:val="en-US"/>
        </w:rPr>
        <w:t>therefore</w:t>
      </w:r>
      <w:r w:rsidR="006A3D96" w:rsidRPr="00981DC5">
        <w:rPr>
          <w:rFonts w:ascii="Book Antiqua" w:hAnsi="Book Antiqua" w:cs="Calibri"/>
          <w:color w:val="000000" w:themeColor="text1"/>
          <w:sz w:val="24"/>
          <w:szCs w:val="24"/>
          <w:lang w:val="en-US"/>
        </w:rPr>
        <w:t xml:space="preserve"> mak</w:t>
      </w:r>
      <w:r w:rsidR="0036037E" w:rsidRPr="00981DC5">
        <w:rPr>
          <w:rFonts w:ascii="Book Antiqua" w:hAnsi="Book Antiqua" w:cs="Calibri"/>
          <w:color w:val="000000" w:themeColor="text1"/>
          <w:sz w:val="24"/>
          <w:szCs w:val="24"/>
          <w:lang w:val="en-US"/>
        </w:rPr>
        <w:t>ing</w:t>
      </w:r>
      <w:r w:rsidR="006A3D96" w:rsidRPr="00981DC5">
        <w:rPr>
          <w:rFonts w:ascii="Book Antiqua" w:hAnsi="Book Antiqua" w:cs="Calibri"/>
          <w:color w:val="000000" w:themeColor="text1"/>
          <w:sz w:val="24"/>
          <w:szCs w:val="24"/>
          <w:lang w:val="en-US"/>
        </w:rPr>
        <w:t xml:space="preserve"> zebrafish a more practical and less expensive laboratory system than other</w:t>
      </w:r>
      <w:r w:rsidR="00FA405B" w:rsidRPr="00981DC5">
        <w:rPr>
          <w:rFonts w:ascii="Book Antiqua" w:hAnsi="Book Antiqua" w:cs="Calibri"/>
          <w:color w:val="000000" w:themeColor="text1"/>
          <w:sz w:val="24"/>
          <w:szCs w:val="24"/>
          <w:lang w:val="en-US"/>
        </w:rPr>
        <w:t>s</w:t>
      </w:r>
      <w:r w:rsidR="006A3D96" w:rsidRPr="00981DC5">
        <w:rPr>
          <w:rFonts w:ascii="Book Antiqua" w:hAnsi="Book Antiqua" w:cs="Calibri"/>
          <w:color w:val="000000" w:themeColor="text1"/>
          <w:sz w:val="24"/>
          <w:szCs w:val="24"/>
          <w:lang w:val="en-US"/>
        </w:rPr>
        <w:t xml:space="preserve"> </w:t>
      </w:r>
      <w:r w:rsidR="006A3D96" w:rsidRPr="00CE2C42">
        <w:rPr>
          <w:rFonts w:ascii="Book Antiqua" w:hAnsi="Book Antiqua" w:cs="Calibri"/>
          <w:i/>
          <w:iCs/>
          <w:color w:val="000000" w:themeColor="text1"/>
          <w:sz w:val="24"/>
          <w:szCs w:val="24"/>
          <w:lang w:val="en-US"/>
        </w:rPr>
        <w:t xml:space="preserve">in vivo </w:t>
      </w:r>
      <w:r w:rsidR="006A3D96" w:rsidRPr="00981DC5">
        <w:rPr>
          <w:rFonts w:ascii="Book Antiqua" w:hAnsi="Book Antiqua" w:cs="Calibri"/>
          <w:color w:val="000000" w:themeColor="text1"/>
          <w:sz w:val="24"/>
          <w:szCs w:val="24"/>
          <w:lang w:val="en-US"/>
        </w:rPr>
        <w:t>cancer mo</w:t>
      </w:r>
      <w:r w:rsidR="009C4DB1" w:rsidRPr="00981DC5">
        <w:rPr>
          <w:rFonts w:ascii="Book Antiqua" w:hAnsi="Book Antiqua" w:cs="Calibri"/>
          <w:color w:val="000000" w:themeColor="text1"/>
          <w:sz w:val="24"/>
          <w:szCs w:val="24"/>
          <w:lang w:val="en-US"/>
        </w:rPr>
        <w:t>dels</w:t>
      </w:r>
      <w:r w:rsidR="001B2922" w:rsidRPr="00981DC5">
        <w:rPr>
          <w:rFonts w:ascii="Book Antiqua" w:hAnsi="Book Antiqua" w:cs="Calibri"/>
          <w:color w:val="000000" w:themeColor="text1"/>
          <w:sz w:val="24"/>
          <w:szCs w:val="24"/>
          <w:lang w:val="en-US"/>
        </w:rPr>
        <w:t>.</w:t>
      </w:r>
      <w:r w:rsidR="006A3D96" w:rsidRPr="00981DC5">
        <w:rPr>
          <w:rFonts w:ascii="Book Antiqua" w:hAnsi="Book Antiqua" w:cs="Calibri"/>
          <w:color w:val="000000" w:themeColor="text1"/>
          <w:sz w:val="24"/>
          <w:szCs w:val="24"/>
          <w:lang w:val="en-US"/>
        </w:rPr>
        <w:t xml:space="preserve"> We developed a model to use zebrafish embryos as avatar of patients with </w:t>
      </w:r>
      <w:r w:rsidR="00CA3E0A" w:rsidRPr="00981DC5">
        <w:rPr>
          <w:rFonts w:ascii="Book Antiqua" w:hAnsi="Book Antiqua" w:cs="Calibri"/>
          <w:color w:val="000000" w:themeColor="text1"/>
          <w:sz w:val="24"/>
          <w:szCs w:val="24"/>
          <w:lang w:val="en-US"/>
        </w:rPr>
        <w:t>pancreatic ductal adenocarcinoma</w:t>
      </w:r>
      <w:r w:rsidR="001B2922" w:rsidRPr="00981DC5">
        <w:rPr>
          <w:rFonts w:ascii="Book Antiqua" w:hAnsi="Book Antiqua" w:cs="Calibri"/>
          <w:color w:val="000000" w:themeColor="text1"/>
          <w:sz w:val="24"/>
          <w:szCs w:val="24"/>
          <w:lang w:val="en-US"/>
        </w:rPr>
        <w:t>,</w:t>
      </w:r>
      <w:r w:rsidR="006A3D96" w:rsidRPr="00981DC5">
        <w:rPr>
          <w:rFonts w:ascii="Book Antiqua" w:hAnsi="Book Antiqua" w:cs="Calibri"/>
          <w:color w:val="000000" w:themeColor="text1"/>
          <w:sz w:val="24"/>
          <w:szCs w:val="24"/>
          <w:lang w:val="en-US"/>
        </w:rPr>
        <w:t xml:space="preserve"> standardizing the protocol for the xenotransplantation of pancreatic tumor tissue, for the exposition of the </w:t>
      </w:r>
      <w:proofErr w:type="spellStart"/>
      <w:r w:rsidR="006A3D96" w:rsidRPr="00981DC5">
        <w:rPr>
          <w:rFonts w:ascii="Book Antiqua" w:hAnsi="Book Antiqua" w:cs="Calibri"/>
          <w:color w:val="000000" w:themeColor="text1"/>
          <w:sz w:val="24"/>
          <w:szCs w:val="24"/>
          <w:lang w:val="en-US"/>
        </w:rPr>
        <w:t>xenotransplanted</w:t>
      </w:r>
      <w:proofErr w:type="spellEnd"/>
      <w:r w:rsidR="006A3D96" w:rsidRPr="00981DC5">
        <w:rPr>
          <w:rFonts w:ascii="Book Antiqua" w:hAnsi="Book Antiqua" w:cs="Calibri"/>
          <w:color w:val="000000" w:themeColor="text1"/>
          <w:sz w:val="24"/>
          <w:szCs w:val="24"/>
          <w:lang w:val="en-US"/>
        </w:rPr>
        <w:t xml:space="preserve"> zebrafish embryos to </w:t>
      </w:r>
      <w:r w:rsidR="006A3D96" w:rsidRPr="00981DC5">
        <w:rPr>
          <w:rFonts w:ascii="Book Antiqua" w:hAnsi="Book Antiqua" w:cs="Calibri"/>
          <w:color w:val="000000" w:themeColor="text1"/>
          <w:sz w:val="24"/>
          <w:szCs w:val="24"/>
          <w:lang w:val="en-US"/>
        </w:rPr>
        <w:lastRenderedPageBreak/>
        <w:t xml:space="preserve">the chemotherapy drugs, and for the evaluation of </w:t>
      </w:r>
      <w:r w:rsidR="00FD5844" w:rsidRPr="00981DC5">
        <w:rPr>
          <w:rFonts w:ascii="Book Antiqua" w:hAnsi="Book Antiqua" w:cs="Calibri"/>
          <w:color w:val="000000" w:themeColor="text1"/>
          <w:sz w:val="24"/>
          <w:szCs w:val="24"/>
          <w:lang w:val="en-US"/>
        </w:rPr>
        <w:t>the</w:t>
      </w:r>
      <w:r w:rsidR="006A3D96" w:rsidRPr="00981DC5">
        <w:rPr>
          <w:rFonts w:ascii="Book Antiqua" w:hAnsi="Book Antiqua" w:cs="Calibri"/>
          <w:color w:val="000000" w:themeColor="text1"/>
          <w:sz w:val="24"/>
          <w:szCs w:val="24"/>
          <w:lang w:val="en-US"/>
        </w:rPr>
        <w:t xml:space="preserve"> </w:t>
      </w:r>
      <w:r w:rsidR="00FD5844" w:rsidRPr="00981DC5">
        <w:rPr>
          <w:rFonts w:ascii="Book Antiqua" w:hAnsi="Book Antiqua" w:cs="Calibri"/>
          <w:color w:val="000000" w:themeColor="text1"/>
          <w:sz w:val="24"/>
          <w:szCs w:val="24"/>
          <w:lang w:val="en-US"/>
        </w:rPr>
        <w:t xml:space="preserve">effects of chemotherapy on the </w:t>
      </w:r>
      <w:proofErr w:type="spellStart"/>
      <w:r w:rsidR="00FD5844" w:rsidRPr="00981DC5">
        <w:rPr>
          <w:rFonts w:ascii="Book Antiqua" w:hAnsi="Book Antiqua" w:cs="Calibri"/>
          <w:color w:val="000000" w:themeColor="text1"/>
          <w:sz w:val="24"/>
          <w:szCs w:val="24"/>
          <w:lang w:val="en-US"/>
        </w:rPr>
        <w:t>xenotransplanted</w:t>
      </w:r>
      <w:proofErr w:type="spellEnd"/>
      <w:r w:rsidR="00FD5844" w:rsidRPr="00981DC5">
        <w:rPr>
          <w:rFonts w:ascii="Book Antiqua" w:hAnsi="Book Antiqua" w:cs="Calibri"/>
          <w:color w:val="000000" w:themeColor="text1"/>
          <w:sz w:val="24"/>
          <w:szCs w:val="24"/>
          <w:lang w:val="en-US"/>
        </w:rPr>
        <w:t xml:space="preserve"> tumor tissue</w:t>
      </w:r>
      <w:r w:rsidR="006A3D96" w:rsidRPr="00981DC5">
        <w:rPr>
          <w:rFonts w:ascii="Book Antiqua" w:hAnsi="Book Antiqua" w:cs="Calibri"/>
          <w:color w:val="000000" w:themeColor="text1"/>
          <w:sz w:val="24"/>
          <w:szCs w:val="24"/>
          <w:lang w:val="en-US"/>
        </w:rPr>
        <w:t>.</w:t>
      </w:r>
      <w:r w:rsidR="006A3D96" w:rsidRPr="00981DC5">
        <w:rPr>
          <w:rFonts w:ascii="Book Antiqua" w:hAnsi="Book Antiqua" w:cs="Calibri"/>
          <w:b/>
          <w:color w:val="000000" w:themeColor="text1"/>
          <w:sz w:val="24"/>
          <w:szCs w:val="24"/>
          <w:lang w:val="en-US"/>
        </w:rPr>
        <w:br w:type="page"/>
      </w:r>
    </w:p>
    <w:p w14:paraId="5AF2EA4C" w14:textId="77777777" w:rsidR="00B11A05" w:rsidRPr="00981DC5" w:rsidRDefault="00B11A05" w:rsidP="00B11A05">
      <w:pPr>
        <w:adjustRightInd w:val="0"/>
        <w:snapToGrid w:val="0"/>
        <w:spacing w:after="0" w:line="360" w:lineRule="auto"/>
        <w:jc w:val="both"/>
        <w:rPr>
          <w:rFonts w:ascii="Book Antiqua" w:hAnsi="Book Antiqua" w:cstheme="minorHAnsi"/>
          <w:b/>
          <w:color w:val="000000" w:themeColor="text1"/>
          <w:sz w:val="24"/>
          <w:szCs w:val="24"/>
          <w:u w:val="single"/>
        </w:rPr>
      </w:pPr>
      <w:r w:rsidRPr="00981DC5">
        <w:rPr>
          <w:rFonts w:ascii="Book Antiqua" w:hAnsi="Book Antiqua" w:cstheme="minorHAnsi"/>
          <w:b/>
          <w:color w:val="000000" w:themeColor="text1"/>
          <w:sz w:val="24"/>
          <w:szCs w:val="24"/>
          <w:u w:val="single"/>
        </w:rPr>
        <w:lastRenderedPageBreak/>
        <w:t>INTRODUCTION</w:t>
      </w:r>
    </w:p>
    <w:p w14:paraId="1BF646DA" w14:textId="1912E8AB" w:rsidR="00D866C7" w:rsidRPr="00981DC5" w:rsidRDefault="00D866C7" w:rsidP="00B11A05">
      <w:pPr>
        <w:adjustRightInd w:val="0"/>
        <w:snapToGrid w:val="0"/>
        <w:spacing w:after="0" w:line="360" w:lineRule="auto"/>
        <w:jc w:val="both"/>
        <w:rPr>
          <w:rFonts w:ascii="Book Antiqua" w:hAnsi="Book Antiqua" w:cs="Calibri"/>
          <w:color w:val="000000" w:themeColor="text1"/>
          <w:sz w:val="24"/>
          <w:szCs w:val="24"/>
          <w:lang w:val="en-US"/>
        </w:rPr>
      </w:pPr>
      <w:r w:rsidRPr="00981DC5">
        <w:rPr>
          <w:rFonts w:ascii="Book Antiqua" w:hAnsi="Book Antiqua" w:cs="Calibri"/>
          <w:color w:val="000000" w:themeColor="text1"/>
          <w:sz w:val="24"/>
          <w:szCs w:val="24"/>
          <w:lang w:val="en-US"/>
        </w:rPr>
        <w:t xml:space="preserve">Pancreatic ductal adenocarcinoma (PDAC) is one of the most aggressive malignancies worldwide, with a median survival time of less than 18 </w:t>
      </w:r>
      <w:proofErr w:type="spellStart"/>
      <w:r w:rsidRPr="00981DC5">
        <w:rPr>
          <w:rFonts w:ascii="Book Antiqua" w:hAnsi="Book Antiqua" w:cs="Calibri"/>
          <w:color w:val="000000" w:themeColor="text1"/>
          <w:sz w:val="24"/>
          <w:szCs w:val="24"/>
          <w:lang w:val="en-US"/>
        </w:rPr>
        <w:t>mo</w:t>
      </w:r>
      <w:proofErr w:type="spellEnd"/>
      <w:r w:rsidRPr="00981DC5">
        <w:rPr>
          <w:rFonts w:ascii="Book Antiqua" w:hAnsi="Book Antiqua" w:cs="Calibri"/>
          <w:color w:val="000000" w:themeColor="text1"/>
          <w:sz w:val="24"/>
          <w:szCs w:val="24"/>
          <w:lang w:val="en-US"/>
        </w:rPr>
        <w:t xml:space="preserve"> and with a 5-year</w:t>
      </w:r>
      <w:r w:rsidR="00AD4332">
        <w:rPr>
          <w:rFonts w:ascii="Book Antiqua" w:hAnsi="Book Antiqua" w:cs="Calibri"/>
          <w:color w:val="000000" w:themeColor="text1"/>
          <w:sz w:val="24"/>
          <w:szCs w:val="24"/>
          <w:lang w:val="en-US"/>
        </w:rPr>
        <w:t xml:space="preserve"> </w:t>
      </w:r>
      <w:r w:rsidRPr="00981DC5">
        <w:rPr>
          <w:rFonts w:ascii="Book Antiqua" w:hAnsi="Book Antiqua" w:cs="Calibri"/>
          <w:color w:val="000000" w:themeColor="text1"/>
          <w:sz w:val="24"/>
          <w:szCs w:val="24"/>
          <w:lang w:val="en-US"/>
        </w:rPr>
        <w:t>survival rate for pancreatic cancer increased from 6% to 9% from 2014 to 2018</w:t>
      </w:r>
      <w:r w:rsidRPr="00981DC5">
        <w:rPr>
          <w:rFonts w:ascii="Book Antiqua" w:hAnsi="Book Antiqua" w:cs="Calibri"/>
          <w:color w:val="000000" w:themeColor="text1"/>
          <w:sz w:val="24"/>
          <w:szCs w:val="24"/>
          <w:lang w:val="en-US"/>
        </w:rPr>
        <w:fldChar w:fldCharType="begin" w:fldLock="1"/>
      </w:r>
      <w:r w:rsidRPr="00981DC5">
        <w:rPr>
          <w:rFonts w:ascii="Book Antiqua" w:hAnsi="Book Antiqua" w:cs="Calibri"/>
          <w:color w:val="000000" w:themeColor="text1"/>
          <w:sz w:val="24"/>
          <w:szCs w:val="24"/>
          <w:lang w:val="en-US"/>
        </w:rPr>
        <w:instrText>ADDIN CSL_CITATION {"citationItems":[{"id":"ITEM-1","itemData":{"DOI":"10.1016/j.ejca.2018.07.005","ISSN":"18790852","PMID":"30100160","abstract":"Introduction: Europe contains 9% of the world population but has a 25% share of the global cancer burden. Up-to-date cancer statistics in Europe are key to cancer planning. Cancer incidence and mortality estimates for 25 major cancers are presented for the 40 countries in the four United Nations-defined areas of Europe and for Europe and the European Union (EU-28) for 2018. Methods: Estimates of national incidence and mortality rates for 2018 were based on statistical models applied to the most recently published data, with predictions obtained from recent trends, where possible. The estimated rates in 2018 were applied to the 2018 population estimates to obtain the estimated numbers of new cancer cases and deaths in Europe in 2018. Results: There were an estimated 3.91 million new cases of cancer (excluding non-melanoma skin cancer) and 1.93 million deaths from cancer in Europe in 2018. The most common cancer sites were cancers of the female breast (523,000 cases), followed by colorectal (500,000), lung (470,000) and prostate cancer (450,000). These four cancers represent half of the overall burden of cancer in Europe. The most common causes of death from cancer were cancers of the lung (388,000 deaths), colorectal (243,000), breast (138,000) and pancreatic cancer (128,000). In the EU-28, the estimated number of new cases of cancer was approximately 1.6 million in males and 1.4 million in females, with 790,000 men and 620,000 women dying from the disease in the same year. Conclusion: The present estimates of the cancer burden in Europe alongside a description of the profiles of common cancers at the national and regional level provide a basis for establishing priorities for cancer control actions across Europe. The estimates presented here are based on the recorded data from 145 population-based cancer registries in Europe. Their long established role in planning and evaluating national cancer plans on the continent should not be undervalued.","author":[{"dropping-particle":"","family":"Ferlay","given":"J.","non-dropping-particle":"","parse-names":false,"suffix":""},{"dropping-particle":"","family":"Colombet","given":"M.","non-dropping-particle":"","parse-names":false,"suffix":""},{"dropping-particle":"","family":"Soerjomataram","given":"I.","non-dropping-particle":"","parse-names":false,"suffix":""},{"dropping-particle":"","family":"Dyba","given":"T.","non-dropping-particle":"","parse-names":false,"suffix":""},{"dropping-particle":"","family":"Randi","given":"G.","non-dropping-particle":"","parse-names":false,"suffix":""},{"dropping-particle":"","family":"Bettio","given":"M.","non-dropping-particle":"","parse-names":false,"suffix":""},{"dropping-particle":"","family":"Gavin","given":"A.","non-dropping-particle":"","parse-names":false,"suffix":""},{"dropping-particle":"","family":"Visser","given":"O.","non-dropping-particle":"","parse-names":false,"suffix":""},{"dropping-particle":"","family":"Bray","given":"F.","non-dropping-particle":"","parse-names":false,"suffix":""}],"container-title":"European Journal of Cancer","id":"ITEM-1","issued":{"date-parts":[["2018","11","1"]]},"page":"356-387","publisher":"Elsevier Ltd","title":"Cancer incidence and mortality patterns in Europe: Estimates for 40 countries and 25 major cancers in 2018","type":"article","volume":"103"},"uris":["http://www.mendeley.com/documents/?uuid=e6f367e8-5f81-374e-b918-22521f8c4ed1"]},{"id":"ITEM-2","itemData":{"DOI":"10.14740/wjon1166","ISSN":"1920-4531","PMID":"30834048","abstract":"Pancreatic cancer is the seventh leading cause of cancer-related deaths worldwide. However, its toll is higher in more developed countries. Reasons for vast differences in mortality rates of pancreatic cancer are not completely clear yet, but it may be due to lack of appropriate diagnosis , treatment and cataloging of cancer cases. Because patients seldom exhibit symptoms until an advanced stage of the disease, pan-creatic cancer remains one of the most lethal malignant neoplasms that caused 432,242 new deaths in 2018 (GLOBOCAN 2018 estimates). Globally, 458,918 new cases of pancreatic cancer have been reported in 2018, and 355,317 new cases are estimated to occur until 2040. Despite advancements in the detection and management of pancreatic cancer, the 5-year survival rate still stands at 9% only. To date, the causes of pancreatic carcinoma are still insufficiently known, although certain risk factors have been identified, such as tobacco smoking, diabetes mellitus, obesity, dietary factors, alcohol abuse, age, ethnicity, family history and genetic factors, Helicobacter pylori infection, non-O blood group and chronic pancreatitis. In general population, screening of large groups is not considered useful to detect the disease at its early stage, although newer techniques and the screening of tightly targeted groups (especially of those with family history), are being evaluated. Primary prevention is considered of utmost importance. Up-to-date statistics on pancreatic cancer occurrence and outcome along with a better understanding of the etiology and identifying the causative risk factors are essential for the primary prevention of this disease.","author":[{"dropping-particle":"","family":"Rawla","given":"Prashanth","non-dropping-particle":"","parse-names":false,"suffix":""},{"dropping-particle":"","family":"Sunkara","given":"Tagore","non-dropping-particle":"","parse-names":false,"suffix":""},{"dropping-particle":"","family":"Gaduputi","given":"Vinaya","non-dropping-particle":"","parse-names":false,"suffix":""}],"container-title":"World Journal of Oncology","id":"ITEM-2","issue":"1","issued":{"date-parts":[["2019"]]},"page":"10-27","publisher":"Elmer Press, Inc.","title":"Epidemiology of Pancreatic Cancer: Global Trends, Etiology and Risk Factors","type":"article-journal","volume":"10"},"uris":["http://www.mendeley.com/documents/?uuid=61e494ea-61b4-3534-b7c2-fe20d2d6754f"]}],"mendeley":{"formattedCitation":"&lt;sup&gt;[1,2]&lt;/sup&gt;","plainTextFormattedCitation":"[1,2]","previouslyFormattedCitation":"&lt;sup&gt;[1,2]&lt;/sup&gt;"},"properties":{"noteIndex":0},"schema":"https://github.com/citation-style-language/schema/raw/master/csl-citation.json"}</w:instrText>
      </w:r>
      <w:r w:rsidRPr="00981DC5">
        <w:rPr>
          <w:rFonts w:ascii="Book Antiqua" w:hAnsi="Book Antiqua" w:cs="Calibri"/>
          <w:color w:val="000000" w:themeColor="text1"/>
          <w:sz w:val="24"/>
          <w:szCs w:val="24"/>
          <w:lang w:val="en-US"/>
        </w:rPr>
        <w:fldChar w:fldCharType="separate"/>
      </w:r>
      <w:r w:rsidRPr="00981DC5">
        <w:rPr>
          <w:rFonts w:ascii="Book Antiqua" w:hAnsi="Book Antiqua" w:cs="Calibri"/>
          <w:noProof/>
          <w:color w:val="000000" w:themeColor="text1"/>
          <w:sz w:val="24"/>
          <w:szCs w:val="24"/>
          <w:vertAlign w:val="superscript"/>
          <w:lang w:val="en-US"/>
        </w:rPr>
        <w:t>[1,2]</w:t>
      </w:r>
      <w:r w:rsidRPr="00981DC5">
        <w:rPr>
          <w:rFonts w:ascii="Book Antiqua" w:hAnsi="Book Antiqua" w:cs="Calibri"/>
          <w:color w:val="000000" w:themeColor="text1"/>
          <w:sz w:val="24"/>
          <w:szCs w:val="24"/>
          <w:lang w:val="en-US"/>
        </w:rPr>
        <w:fldChar w:fldCharType="end"/>
      </w:r>
      <w:r w:rsidRPr="00981DC5">
        <w:rPr>
          <w:rFonts w:ascii="Book Antiqua" w:hAnsi="Book Antiqua" w:cs="Calibri"/>
          <w:color w:val="000000" w:themeColor="text1"/>
          <w:sz w:val="24"/>
          <w:szCs w:val="24"/>
          <w:lang w:val="en-US"/>
        </w:rPr>
        <w:t>. The annual death rate for PDAC is almost equal to the incidence rate</w:t>
      </w:r>
      <w:r w:rsidRPr="00981DC5">
        <w:rPr>
          <w:rFonts w:ascii="Book Antiqua" w:hAnsi="Book Antiqua" w:cs="Calibri"/>
          <w:color w:val="000000" w:themeColor="text1"/>
          <w:sz w:val="24"/>
          <w:szCs w:val="24"/>
          <w:lang w:val="en-US"/>
        </w:rPr>
        <w:fldChar w:fldCharType="begin" w:fldLock="1"/>
      </w:r>
      <w:r w:rsidRPr="00981DC5">
        <w:rPr>
          <w:rFonts w:ascii="Book Antiqua" w:hAnsi="Book Antiqua" w:cs="Calibri"/>
          <w:color w:val="000000" w:themeColor="text1"/>
          <w:sz w:val="24"/>
          <w:szCs w:val="24"/>
          <w:lang w:val="en-US"/>
        </w:rPr>
        <w:instrText>ADDIN CSL_CITATION {"citationItems":[{"id":"ITEM-1","itemData":{"DOI":"10.3322/caac.21492","ISSN":"1542-4863","PMID":"30207593","abstract":"This article provides a status report on the global burden of cancer worldwide using the GLOBOCAN 2018 estimates of cancer incidence and mortality produced by the International Agency for Research on Cancer, with a focus on geographic variability across 20 world regions. There will be an estimated 18.1 million new cancer cases (17.0 million excluding nonmelanoma skin cancer) and 9.6 million cancer deaths (9.5 million excluding nonmelanoma skin cancer) in 2018. In both sexes combined, lung cancer is the most commonly diagnosed cancer (11.6% of the total cases) and the leading cause of cancer death (18.4% of the total cancer deaths), closely followed by female breast cancer (11.6%), prostate cancer (7.1%), and colorectal cancer (6.1%) for incidence and colorectal cancer (9.2%), stomach cancer (8.2%), and liver cancer (8.2%) for mortality. Lung cancer is the most frequent cancer and the leading cause of cancer death among males, followed by prostate and colorectal cancer (for incidence) and liver and stomach cancer (for mortality). Among females, breast cancer is the most commonly diagnosed cancer and the leading cause of cancer death, followed by colorectal and lung cancer (for incidence), and vice versa (for mortality); cervical cancer ranks fourth for both incidence and mortality. The most frequently diagnosed cancer and the leading cause of cancer death, however, substantially vary across countries and within each country depending on the degree of economic development and associated social and life style factors. It is noteworthy that high-quality cancer registry data, the basis for planning and implementing evidence-based cancer control programs, are not available in most low- and middle-income countries. The Global Initiative for Cancer Registry Development is an international partnership that supports better estimation, as well as the collection and use of local data, to prioritize and evaluate national cancer control efforts. CA: A Cancer Journal for Clinicians 2018;0:1-31. © 2018 American Cancer Society.","author":[{"dropping-particle":"","family":"Bray","given":"Freddie","non-dropping-particle":"","parse-names":false,"suffix":""},{"dropping-particle":"","family":"Ferlay","given":"Jacques","non-dropping-particle":"","parse-names":false,"suffix":""},{"dropping-particle":"","family":"Soerjomataram","given":"Isabelle","non-dropping-particle":"","parse-names":false,"suffix":""},{"dropping-particle":"","family":"Siegel","given":"Rebecca L.","non-dropping-particle":"","parse-names":false,"suffix":""},{"dropping-particle":"","family":"Torre","given":"Lindsey A.","non-dropping-particle":"","parse-names":false,"suffix":""},{"dropping-particle":"","family":"Jemal","given":"Ahmedin","non-dropping-particle":"","parse-names":false,"suffix":""}],"container-title":"CA: A Cancer Journal for Clinicians","id":"ITEM-1","issue":"6","issued":{"date-parts":[["2018","11"]]},"page":"394-424","publisher":"Wiley","title":"Global cancer statistics 2018: GLOBOCAN estimates of incidence and mortality worldwide for 36 cancers in 185 countries","type":"article-journal","volume":"68"},"uris":["http://www.mendeley.com/documents/?uuid=3f9ab0e6-cc59-3de3-9e13-2b51f83f95a6"]}],"mendeley":{"formattedCitation":"&lt;sup&gt;[3]&lt;/sup&gt;","plainTextFormattedCitation":"[3]","previouslyFormattedCitation":"&lt;sup&gt;[3]&lt;/sup&gt;"},"properties":{"noteIndex":0},"schema":"https://github.com/citation-style-language/schema/raw/master/csl-citation.json"}</w:instrText>
      </w:r>
      <w:r w:rsidRPr="00981DC5">
        <w:rPr>
          <w:rFonts w:ascii="Book Antiqua" w:hAnsi="Book Antiqua" w:cs="Calibri"/>
          <w:color w:val="000000" w:themeColor="text1"/>
          <w:sz w:val="24"/>
          <w:szCs w:val="24"/>
          <w:lang w:val="en-US"/>
        </w:rPr>
        <w:fldChar w:fldCharType="separate"/>
      </w:r>
      <w:r w:rsidRPr="00981DC5">
        <w:rPr>
          <w:rFonts w:ascii="Book Antiqua" w:hAnsi="Book Antiqua" w:cs="Calibri"/>
          <w:noProof/>
          <w:color w:val="000000" w:themeColor="text1"/>
          <w:sz w:val="24"/>
          <w:szCs w:val="24"/>
          <w:vertAlign w:val="superscript"/>
          <w:lang w:val="en-US"/>
        </w:rPr>
        <w:t>[3]</w:t>
      </w:r>
      <w:r w:rsidRPr="00981DC5">
        <w:rPr>
          <w:rFonts w:ascii="Book Antiqua" w:hAnsi="Book Antiqua" w:cs="Calibri"/>
          <w:color w:val="000000" w:themeColor="text1"/>
          <w:sz w:val="24"/>
          <w:szCs w:val="24"/>
          <w:lang w:val="en-US"/>
        </w:rPr>
        <w:fldChar w:fldCharType="end"/>
      </w:r>
      <w:r w:rsidRPr="00981DC5">
        <w:rPr>
          <w:rFonts w:ascii="Book Antiqua" w:hAnsi="Book Antiqua" w:cs="Calibri"/>
          <w:color w:val="000000" w:themeColor="text1"/>
          <w:sz w:val="24"/>
          <w:szCs w:val="24"/>
          <w:lang w:val="en-US"/>
        </w:rPr>
        <w:t xml:space="preserve">, suggesting the lack of an effective screening method for targeted drug therapy. A radical surgical resection for a curative treatment option can be performed in less than 20% of cases because most patients have an advanced stage of the disease at the diagnosis. Chemotherapy plays a fundamental role for the treatment of patients affected by PDAC, as neoadjuvant, adjuvant or as unique treatment in non </w:t>
      </w:r>
      <w:proofErr w:type="spellStart"/>
      <w:r w:rsidRPr="00981DC5">
        <w:rPr>
          <w:rFonts w:ascii="Book Antiqua" w:hAnsi="Book Antiqua" w:cs="Calibri"/>
          <w:color w:val="000000" w:themeColor="text1"/>
          <w:sz w:val="24"/>
          <w:szCs w:val="24"/>
          <w:lang w:val="en-US"/>
        </w:rPr>
        <w:t>resectable</w:t>
      </w:r>
      <w:proofErr w:type="spellEnd"/>
      <w:r w:rsidRPr="00981DC5">
        <w:rPr>
          <w:rFonts w:ascii="Book Antiqua" w:hAnsi="Book Antiqua" w:cs="Calibri"/>
          <w:color w:val="000000" w:themeColor="text1"/>
          <w:sz w:val="24"/>
          <w:szCs w:val="24"/>
          <w:lang w:val="en-US"/>
        </w:rPr>
        <w:t xml:space="preserve"> PDAC. However, the response to chemotherapy treatment is difficult to predict and today different chemotherapy schemes are disposable for the treatment of PDAC. Recent trials showed significant improvement in over-all survival with the use of combined chemotherapy modalities compared to the gemcitabine monotherapy</w:t>
      </w:r>
      <w:r w:rsidRPr="00981DC5">
        <w:rPr>
          <w:rFonts w:ascii="Book Antiqua" w:hAnsi="Book Antiqua" w:cs="Calibri"/>
          <w:color w:val="000000" w:themeColor="text1"/>
          <w:sz w:val="24"/>
          <w:szCs w:val="24"/>
          <w:lang w:val="en-US"/>
        </w:rPr>
        <w:fldChar w:fldCharType="begin" w:fldLock="1"/>
      </w:r>
      <w:r w:rsidRPr="00981DC5">
        <w:rPr>
          <w:rFonts w:ascii="Book Antiqua" w:hAnsi="Book Antiqua" w:cs="Calibri"/>
          <w:color w:val="000000" w:themeColor="text1"/>
          <w:sz w:val="24"/>
          <w:szCs w:val="24"/>
          <w:lang w:val="en-US"/>
        </w:rPr>
        <w:instrText>ADDIN CSL_CITATION {"citationItems":[{"id":"ITEM-1","itemData":{"DOI":"10.1093/jjco/hyy132","ISSN":"1465-3621","PMID":"30256958","abstract":"Background FOLFIRINOX (FFX) and gemcitabine (GEM) plus nab-paclitaxel (GnP) have recently been available for treating pancreatic ductal adenocarcinoma (PDAC). We investigated trends in characteristics, treatment and outcomes of unselected patients with unresectable PDAC in real-life practice in Japan. Methods We retrospectively reviewed the medical records of 1085 patients diagnosed as having unresectable or recurrent PDAC in multiple centers in the Hokuriku area between January 2009 and July 2015. Results The incidence of pathologically proven PDAC had increased from 18.7% in 2009 to 56.2% in 2015. Oncological therapy was administered to 779 patients (71.8%): chemotherapy (n = 675), chemo-radiotherapy (n = 92) or radiotherapy (n = 12); the remaining patients were treated with best supportive care. Of 100 patients diagnosed in 2009, 62.0% received GEM as first-line chemotherapy; whereas 30.7% of the 75 patients diagnosed in 2015 received FFX, 25.3% GnP, 22.7% GEM and 17.3% S-1. The objective response rates of patients treated with FFX, GnP and GEM were 14.9%, 35.0% and 5.5%, respectively and the OS 10.3, 9.9 and 7.5 months after FFX, GnP and GEM, respectively. Grade 3 or greater any hematological toxicity occurred in 70.2%, 70.0% and 18.8% of the patients treated with FFX, GnP and GEM, respectively. The reasons for treatment discontinuation were adverse events in 9.8%, 26.7% and 24.1% of the patients treated with FFX, GnP and GEM, respectively. Conclusion Chemotherapeutic protocols changed dramatically between 2009 and 2015. Continuous collection and analysis for our cohort with longer follow-up provides useful information about treatment selection and prediction of outcome.","author":[{"dropping-particle":"","family":"Terashima","given":"Takeshi","non-dropping-particle":"","parse-names":false,"suffix":""},{"dropping-particle":"","family":"Yamashita","given":"Tatsuya","non-dropping-particle":"","parse-names":false,"suffix":""},{"dropping-particle":"","family":"Sakai","given":"Akito","non-dropping-particle":"","parse-names":false,"suffix":""},{"dropping-particle":"","family":"Ohta","given":"Hajime","non-dropping-particle":"","parse-names":false,"suffix":""},{"dropping-particle":"","family":"Hinoue","given":"Yoshinobu","non-dropping-particle":"","parse-names":false,"suffix":""},{"dropping-particle":"","family":"Toya","given":"Daisyu","non-dropping-particle":"","parse-names":false,"suffix":""},{"dropping-particle":"","family":"Kawai","given":"Hiroshi","non-dropping-particle":"","parse-names":false,"suffix":""},{"dropping-particle":"","family":"Yonejima","given":"Manabu","non-dropping-particle":"","parse-names":false,"suffix":""},{"dropping-particle":"","family":"Urabe","given":"Takeshi","non-dropping-particle":"","parse-names":false,"suffix":""},{"dropping-particle":"","family":"Noda","given":"Yatsugi","non-dropping-particle":"","parse-names":false,"suffix":""},{"dropping-particle":"","family":"Mizukoshi","given":"Eishiro","non-dropping-particle":"","parse-names":false,"suffix":""},{"dropping-particle":"","family":"Kaneko","given":"Shuichi","non-dropping-particle":"","parse-names":false,"suffix":""}],"container-title":"Japanese Journal of Clinical Oncology","id":"ITEM-1","issue":"11","issued":{"date-parts":[["2018","11","1"]]},"page":"966-973","title":"Treatment patterns and outcomes of unresectable pancreatic cancer patients in real-life practice: a region-wide analysis","type":"article-journal","volume":"48"},"uris":["http://www.mendeley.com/documents/?uuid=043c3b76-c8c3-34d2-9a53-a00dcbe4c1d0"]},{"id":"ITEM-2","itemData":{"DOI":"10.1371/journal.pone.0206688","ISSN":"1932-6203","PMID":"30412592","abstract":"BACKGROUND Despite modern chemotherapy regimens, survival of pancreatic cancer patients remains dismal. Toxicity is a major concern and it is a challenge to upfront identify patients with the highest benefit from aggressive polychemotherapy. We aimed to evaluate ORR and side effects of the FOLFIRINOX regimen, highlighting dose modification and to explore possible prognostic response factors as a clinical tool. METHODS This retrospective study includes 123 patients with metastatic PC that were treated with FOLFIRINOX between the years 2007 to 2016 in a single academic institution. Survival rates were analysed using the Kaplan-Meier method. Prognostic models including laboratory and clinical parameters were calculated using Cox proportional models in univariate and multivariate analyses. RESULTS Median age at diagnosis was 64 years (47-78 years), 71 (57, 7%) were male and the majority had an ECOG performance status of 0 or 1 (63 patients; 83.7%). After a median follow up of 17.8 months, median progression free survival (PFS) and overall survival (OS) were 5.7 (4.55-6.84; 95%CI) and 11.8 months (9.35-14.24; 95%CI) respectively. Overall response rate with FOLFIRINOX was 34.9% and stable disease rate was 21.9%. Regarding Grade 3/4 side effects, 62 events, were reported in 37 patients. Looking at risk factors e.g. patient characteristics, tumor marker, inflammatory markers and body composition multivariate analyses proved CEA &gt;4 elevation and BMI &gt; 25 at the time point before palliative chemotherapy to be independent negative prognostic factors for OS. Grouping patients with no risk factor, one or two of these risk factors we analyzed a median OS of 17.4 moths, 9.6 months and 6.7 months (p&lt;0.001) respectively. In addition we identified thrombocytosis and low BMI as predictors of early toxicity. CONCLUSION This study identifies two easily available factors influencing overall survival with FOLFIRINOX therapy. By combining these two factors to create a score for OS, we propose a prognostic tool for physicians to identify patients, who are unlikely to benefit more from FOLFIRINOX or likely to experience toxicity.","author":[{"dropping-particle":"","family":"Schlick","given":"Konstantin","non-dropping-particle":"","parse-names":false,"suffix":""},{"dropping-particle":"","family":"Magnes","given":"Teresa","non-dropping-particle":"","parse-names":false,"suffix":""},{"dropping-particle":"","family":"Ratzinger","given":"Lukas","non-dropping-particle":"","parse-names":false,"suffix":""},{"dropping-particle":"","family":"Jaud","given":"Bernhard","non-dropping-particle":"","parse-names":false,"suffix":""},{"dropping-particle":"","family":"Weiss","given":"Lukas","non-dropping-particle":"","parse-names":false,"suffix":""},{"dropping-particle":"","family":"Melchardt","given":"Thomas","non-dropping-particle":"","parse-names":false,"suffix":""},{"dropping-particle":"","family":"Greil","given":"Richard","non-dropping-particle":"","parse-names":false,"suffix":""},{"dropping-particle":"","family":"Egle","given":"Alexander","non-dropping-particle":"","parse-names":false,"suffix":""}],"container-title":"PLOS ONE","editor":[{"dropping-particle":"","family":"Ahmad","given":"Aamir","non-dropping-particle":"","parse-names":false,"suffix":""}],"id":"ITEM-2","issue":"11","issued":{"date-parts":[["2018","11","9"]]},"page":"e0206688","title":"Novel models for prediction of benefit and toxicity with FOLFIRINOX treatment of pancreatic cancer using clinically available parameters","type":"article-journal","volume":"13"},"uris":["http://www.mendeley.com/documents/?uuid=d67f8b54-115f-3628-8368-b323bfe22e24"]}],"mendeley":{"formattedCitation":"&lt;sup&gt;[4,5]&lt;/sup&gt;","plainTextFormattedCitation":"[4,5]","previouslyFormattedCitation":"&lt;sup&gt;[4,5]&lt;/sup&gt;"},"properties":{"noteIndex":0},"schema":"https://github.com/citation-style-language/schema/raw/master/csl-citation.json"}</w:instrText>
      </w:r>
      <w:r w:rsidRPr="00981DC5">
        <w:rPr>
          <w:rFonts w:ascii="Book Antiqua" w:hAnsi="Book Antiqua" w:cs="Calibri"/>
          <w:color w:val="000000" w:themeColor="text1"/>
          <w:sz w:val="24"/>
          <w:szCs w:val="24"/>
          <w:lang w:val="en-US"/>
        </w:rPr>
        <w:fldChar w:fldCharType="separate"/>
      </w:r>
      <w:r w:rsidRPr="00981DC5">
        <w:rPr>
          <w:rFonts w:ascii="Book Antiqua" w:hAnsi="Book Antiqua" w:cs="Calibri"/>
          <w:noProof/>
          <w:color w:val="000000" w:themeColor="text1"/>
          <w:sz w:val="24"/>
          <w:szCs w:val="24"/>
          <w:vertAlign w:val="superscript"/>
          <w:lang w:val="en-US"/>
        </w:rPr>
        <w:t>[4,5]</w:t>
      </w:r>
      <w:r w:rsidRPr="00981DC5">
        <w:rPr>
          <w:rFonts w:ascii="Book Antiqua" w:hAnsi="Book Antiqua" w:cs="Calibri"/>
          <w:color w:val="000000" w:themeColor="text1"/>
          <w:sz w:val="24"/>
          <w:szCs w:val="24"/>
          <w:lang w:val="en-US"/>
        </w:rPr>
        <w:fldChar w:fldCharType="end"/>
      </w:r>
      <w:r w:rsidRPr="00981DC5">
        <w:rPr>
          <w:rFonts w:ascii="Book Antiqua" w:hAnsi="Book Antiqua" w:cs="Calibri"/>
          <w:color w:val="000000" w:themeColor="text1"/>
          <w:sz w:val="24"/>
          <w:szCs w:val="24"/>
          <w:lang w:val="en-US"/>
        </w:rPr>
        <w:t>. Different regimens have been developed such as gemcitabine plus nab-paclitaxel and FOLFIRINOX and direct comparisons of these regimens are not available</w:t>
      </w:r>
      <w:r w:rsidRPr="00981DC5">
        <w:rPr>
          <w:rFonts w:ascii="Book Antiqua" w:hAnsi="Book Antiqua" w:cs="Calibri"/>
          <w:color w:val="000000" w:themeColor="text1"/>
          <w:sz w:val="24"/>
          <w:szCs w:val="24"/>
          <w:vertAlign w:val="superscript"/>
          <w:lang w:val="en-US"/>
        </w:rPr>
        <w:fldChar w:fldCharType="begin" w:fldLock="1"/>
      </w:r>
      <w:r w:rsidRPr="00981DC5">
        <w:rPr>
          <w:rFonts w:ascii="Book Antiqua" w:hAnsi="Book Antiqua" w:cs="Calibri"/>
          <w:color w:val="000000" w:themeColor="text1"/>
          <w:sz w:val="24"/>
          <w:szCs w:val="24"/>
          <w:vertAlign w:val="superscript"/>
          <w:lang w:val="en-US"/>
        </w:rPr>
        <w:instrText>ADDIN CSL_CITATION {"citationItems":[{"id":"ITEM-1","itemData":{"DOI":"10.1093/jnci/dju413","ISSN":"1460-2105","PMID":"25638248","abstract":"BACKGROUND Positive findings from the phase III MPACT trial led to the regulatory approval of nab-paclitaxel plus gemcitabine as a treatment option for patients with metastatic pancreatic cancer. This report is an update of overall survival (OS) based on longer follow-up. METHODS Patients (n = 861) with metastatic pancreatic cancer and a Karnofsky performance status of 70 or greater were randomly assigned one to one to receive nab-paclitaxel + gemcitabine or gemcitabine alone. Efficacy data for this post hoc analysis were collected through May 9, 2013. Exploratory analyses of carbohydrate antigen 19-9 (CA19-9) and neutrophil-to-lymphocyte ratio (NLR) were conducted. The primary efficacy endpoint was OS, which was analyzed for all randomly assigned patients by the Kaplan-Meier method. All statistical tests were two-sided. RESULTS The median OS was statistically significantly longer for nab-paclitaxel plus gemcitabine vs gemcitabine alone (8.7 vs 6.6 months, hazard ratio [HR] = 0.72, 95% confidence interval [CI] = 0.62 to 0.83, P &lt; .001). Long-term (&gt;three-year) survivors were identified in the nab-paclitaxel plus gemcitabine arm only (4%). In pooled treatment arm analyses, higher CA19-9 level and NLR at baseline were statistically significantly associated with worse OS. There appeared to be a treatment effect for OS favoring nab-paclitaxel plus gemcitabine over gemcitabine alone in poor-prognosis subgroups defined by these factors (HR = 0.612, P &lt; .001 for CA19-9 level ≥ median and HR = 0.81, P = .079 for NLR &gt; 5). CONCLUSIONS These data confirm and extend the primary report of OS, supporting the superior efficacy of nab-paclitaxel plus gemcitabine over gemcitabine alone. Subgroup analyses support the relevance of CA 19-9 and NLR as prognostic markers in metastatic pancreatic cancer.","author":[{"dropping-particle":"","family":"Goldstein","given":"David","non-dropping-particle":"","parse-names":false,"suffix":""},{"dropping-particle":"","family":"El-Maraghi","given":"Robert Hassan","non-dropping-particle":"","parse-names":false,"suffix":""},{"dropping-particle":"","family":"Hammel","given":"Pascal","non-dropping-particle":"","parse-names":false,"suffix":""},{"dropping-particle":"","family":"Heinemann","given":"Volker","non-dropping-particle":"","parse-names":false,"suffix":""},{"dropping-particle":"","family":"Kunzmann","given":"Volker","non-dropping-particle":"","parse-names":false,"suffix":""},{"dropping-particle":"","family":"Sastre","given":"Javier","non-dropping-particle":"","parse-names":false,"suffix":""},{"dropping-particle":"","family":"Scheithauer","given":"Werner","non-dropping-particle":"","parse-names":false,"suffix":""},{"dropping-particle":"","family":"Siena","given":"Salvatore","non-dropping-particle":"","parse-names":false,"suffix":""},{"dropping-particle":"","family":"Tabernero","given":"Josep","non-dropping-particle":"","parse-names":false,"suffix":""},{"dropping-particle":"","family":"Teixeira","given":"Luis","non-dropping-particle":"","parse-names":false,"suffix":""},{"dropping-particle":"","family":"Tortora","given":"Giampaolo","non-dropping-particle":"","parse-names":false,"suffix":""},{"dropping-particle":"","family":"Laethem","given":"Jean-Luc","non-dropping-particle":"Van","parse-names":false,"suffix":""},{"dropping-particle":"","family":"Young","given":"Rosemary","non-dropping-particle":"","parse-names":false,"suffix":""},{"dropping-particle":"","family":"Penenberg","given":"Darryl Neil","non-dropping-particle":"","parse-names":false,"suffix":""},{"dropping-particle":"","family":"Lu","given":"Brian","non-dropping-particle":"","parse-names":false,"suffix":""},{"dropping-particle":"","family":"Romano","given":"Alfredo","non-dropping-particle":"","parse-names":false,"suffix":""},{"dropping-particle":"","family":"Hoff","given":"Daniel D","non-dropping-particle":"Von","parse-names":false,"suffix":""}],"container-title":"Journal of the National Cancer Institute","id":"ITEM-1","issue":"2","issued":{"date-parts":[["2015","2"]]},"title":"nab-Paclitaxel plus gemcitabine for metastatic pancreatic cancer: long-term survival from a phase III trial.","type":"article-journal","volume":"107"},"uris":["http://www.mendeley.com/documents/?uuid=ffe75288-6c20-3a0d-bcf9-4ab6db10b5a2"]},{"id":"ITEM-2","itemData":{"DOI":"10.1056/NEJMoa1011923","ISSN":"15334406","PMID":"21561347","abstract":"BACKGROUND: Data are lacking on the efficacy and safety of a combination chemotherapy regimen consisting of oxaliplatin, irinotecan, fluorouracil, and leucovorin (FOLFIRINOX) as compared with gemcitabine as first-line therapy in patients with metastatic pancreatic cancer. METHODS: We randomly assigned 342 patients with an Eastern Cooperative Oncology Group performance status score of 0 or 1 (on a scale of 0 to 5, with higher scores indicating a greater severity of illness) to receive FOLFIRINOX (oxaliplatin, 85 mg per square meter of body-surface area; irinotecan, 180 mg per square meter; leucovorin, 400 mg per square meter; and fluorouracil, 400 mg per square meter given as a bolus followed by 2400 mg per square meter given as a 46-hour continuous infusion, every 2 weeks) or gemcitabine at a dose of 1000 mg per square meter weekly for 7 of 8 weeks and then weekly for 3 of 4 weeks. Six months of chemotherapy were recommended in both groups in patients who had a response. The primary end point was overall survival. RESULTS: The median overall survival was 11.1 months in the FOLFIRINOX group as compared with 6.8 months in the gemcitabine group (hazard ratio for death, 0.57; 95% confidence interval [CI], 0.45 to 0.73; P&lt;0.001). Median progression-free survival was 6.4 months in the FOLFIRINOX group and 3.3 months in the gemcitabine group (hazard ratio for disease progression, 0.47; 95% CI, 0.37 to 0.59; P&lt;0.001). The objective response rate was 31.6% in the FOLFIRINOX group versus 9.4% in the gemcitabine group (P&lt;0.001). More adverse events were noted in the FOLFIRINOX group; 5.4% of patients in this group had febrile neutropenia. At 6 months, 31% of the patients in the FOLFIRINOX group had a definitive degradation of the quality of life versus 66% in the gemcitabine group (hazard ratio, 0.47; 95% CI, 0.30 to 0.70; P&lt;0.001). CONCLUSIONS: As compared with gemcitabine, FOLFIRINOX was associated with a survival advantage and had increased toxicity. FOLFIRINOX is an option for the treatment of patients with metastatic pancreatic cancer and good performance status. (Funded by the French government and others; ClinicalTrials.gov number, NCT00112658.) Copyright © 2011 Massachusetts Medical Society.","author":[{"dropping-particle":"","family":"Conroy","given":"Thierry","non-dropping-particle":"","parse-names":false,"suffix":""},{"dropping-particle":"","family":"Desseigne","given":"Françoise","non-dropping-particle":"","parse-names":false,"suffix":""},{"dropping-particle":"","family":"Ychou","given":"Marc","non-dropping-particle":"","parse-names":false,"suffix":""},{"dropping-particle":"","family":"Bouché","given":"Olivier","non-dropping-particle":"","parse-names":false,"suffix":""},{"dropping-particle":"","family":"Guimbaud","given":"Rosine","non-dropping-particle":"","parse-names":false,"suffix":""},{"dropping-particle":"","family":"Bécouarn","given":"Yves","non-dropping-particle":"","parse-names":false,"suffix":""},{"dropping-particle":"","family":"Adenis","given":"Antoine","non-dropping-particle":"","parse-names":false,"suffix":""},{"dropping-particle":"","family":"Raoul","given":"Jean Luc","non-dropping-particle":"","parse-names":false,"suffix":""},{"dropping-particle":"","family":"Gourgou-Bourgade","given":"Sophie","non-dropping-particle":"","parse-names":false,"suffix":""},{"dropping-particle":"","family":"La Fouchardière","given":"Christelle","non-dropping-particle":"De","parse-names":false,"suffix":""},{"dropping-particle":"","family":"Bennouna","given":"Jaafar","non-dropping-particle":"","parse-names":false,"suffix":""},{"dropping-particle":"","family":"Bachet","given":"Jean Baptiste","non-dropping-particle":"","parse-names":false,"suffix":""},{"dropping-particle":"","family":"Khemissa-Akouz","given":"Faiza","non-dropping-particle":"","parse-names":false,"suffix":""},{"dropping-particle":"","family":"Péré-Vergé","given":"Denis","non-dropping-particle":"","parse-names":false,"suffix":""},{"dropping-particle":"","family":"Delbaldo","given":"Catherine","non-dropping-particle":"","parse-names":false,"suffix":""},{"dropping-particle":"","family":"Assenat","given":"Eric","non-dropping-particle":"","parse-names":false,"suffix":""},{"dropping-particle":"","family":"Chauffert","given":"Bruno","non-dropping-particle":"","parse-names":false,"suffix":""},{"dropping-particle":"","family":"Michel","given":"Pierre","non-dropping-particle":"","parse-names":false,"suffix":""},{"dropping-particle":"","family":"Montoto-Grillot","given":"Christine","non-dropping-particle":"","parse-names":false,"suffix":""},{"dropping-particle":"","family":"Ducreux","given":"Michel","non-dropping-particle":"","parse-names":false,"suffix":""}],"container-title":"New England Journal of Medicine","id":"ITEM-2","issue":"19","issued":{"date-parts":[["2011","5","12"]]},"page":"1817-1825","publisher":"Massachussetts Medical Society","title":"FOLFIRINOX versus gemcitabine for metastatic pancreatic cancer","type":"article-journal","volume":"364"},"uris":["http://www.mendeley.com/documents/?uuid=79115611-6660-388d-8f90-b6d1dd896e88"]}],"mendeley":{"formattedCitation":"&lt;sup&gt;[6,7]&lt;/sup&gt;","plainTextFormattedCitation":"[6,7]","previouslyFormattedCitation":"&lt;sup&gt;[6,7]&lt;/sup&gt;"},"properties":{"noteIndex":0},"schema":"https://github.com/citation-style-language/schema/raw/master/csl-citation.json"}</w:instrText>
      </w:r>
      <w:r w:rsidRPr="00981DC5">
        <w:rPr>
          <w:rFonts w:ascii="Book Antiqua" w:hAnsi="Book Antiqua" w:cs="Calibri"/>
          <w:color w:val="000000" w:themeColor="text1"/>
          <w:sz w:val="24"/>
          <w:szCs w:val="24"/>
          <w:vertAlign w:val="superscript"/>
          <w:lang w:val="en-US"/>
        </w:rPr>
        <w:fldChar w:fldCharType="separate"/>
      </w:r>
      <w:r w:rsidRPr="00981DC5">
        <w:rPr>
          <w:rFonts w:ascii="Book Antiqua" w:hAnsi="Book Antiqua" w:cs="Calibri"/>
          <w:noProof/>
          <w:color w:val="000000" w:themeColor="text1"/>
          <w:sz w:val="24"/>
          <w:szCs w:val="24"/>
          <w:vertAlign w:val="superscript"/>
          <w:lang w:val="en-US"/>
        </w:rPr>
        <w:t>[6,7]</w:t>
      </w:r>
      <w:r w:rsidRPr="00981DC5">
        <w:rPr>
          <w:rFonts w:ascii="Book Antiqua" w:hAnsi="Book Antiqua" w:cs="Calibri"/>
          <w:color w:val="000000" w:themeColor="text1"/>
          <w:sz w:val="24"/>
          <w:szCs w:val="24"/>
          <w:vertAlign w:val="superscript"/>
          <w:lang w:val="en-US"/>
        </w:rPr>
        <w:fldChar w:fldCharType="end"/>
      </w:r>
      <w:r w:rsidRPr="00981DC5">
        <w:rPr>
          <w:rFonts w:ascii="Book Antiqua" w:hAnsi="Book Antiqua" w:cs="Calibri"/>
          <w:color w:val="000000" w:themeColor="text1"/>
          <w:sz w:val="24"/>
          <w:szCs w:val="24"/>
          <w:lang w:val="en-US"/>
        </w:rPr>
        <w:t>. Moreover, the incidence of adverse events increases with the use of combination regimens compared to gemcitabine: the proportion of patients who experienced at least one grade 3 or higher treatment-related, treatment-emergent adverse event was 77% with nab-paclitaxel plus gemcitabine and 51% with gemcitabine-alone in the MPACT study</w:t>
      </w:r>
      <w:r w:rsidRPr="00981DC5">
        <w:rPr>
          <w:rFonts w:ascii="Book Antiqua" w:hAnsi="Book Antiqua" w:cs="Calibri"/>
          <w:color w:val="000000" w:themeColor="text1"/>
          <w:sz w:val="24"/>
          <w:szCs w:val="24"/>
          <w:vertAlign w:val="superscript"/>
          <w:lang w:val="en-US"/>
        </w:rPr>
        <w:fldChar w:fldCharType="begin" w:fldLock="1"/>
      </w:r>
      <w:r w:rsidRPr="00981DC5">
        <w:rPr>
          <w:rFonts w:ascii="Book Antiqua" w:hAnsi="Book Antiqua" w:cs="Calibri"/>
          <w:color w:val="000000" w:themeColor="text1"/>
          <w:sz w:val="24"/>
          <w:szCs w:val="24"/>
          <w:vertAlign w:val="superscript"/>
          <w:lang w:val="en-US"/>
        </w:rPr>
        <w:instrText>ADDIN CSL_CITATION {"citationItems":[{"id":"ITEM-1","itemData":{"DOI":"10.1093/jnci/dju413","ISSN":"1460-2105","PMID":"25638248","abstract":"BACKGROUND Positive findings from the phase III MPACT trial led to the regulatory approval of nab-paclitaxel plus gemcitabine as a treatment option for patients with metastatic pancreatic cancer. This report is an update of overall survival (OS) based on longer follow-up. METHODS Patients (n = 861) with metastatic pancreatic cancer and a Karnofsky performance status of 70 or greater were randomly assigned one to one to receive nab-paclitaxel + gemcitabine or gemcitabine alone. Efficacy data for this post hoc analysis were collected through May 9, 2013. Exploratory analyses of carbohydrate antigen 19-9 (CA19-9) and neutrophil-to-lymphocyte ratio (NLR) were conducted. The primary efficacy endpoint was OS, which was analyzed for all randomly assigned patients by the Kaplan-Meier method. All statistical tests were two-sided. RESULTS The median OS was statistically significantly longer for nab-paclitaxel plus gemcitabine vs gemcitabine alone (8.7 vs 6.6 months, hazard ratio [HR] = 0.72, 95% confidence interval [CI] = 0.62 to 0.83, P &lt; .001). Long-term (&gt;three-year) survivors were identified in the nab-paclitaxel plus gemcitabine arm only (4%). In pooled treatment arm analyses, higher CA19-9 level and NLR at baseline were statistically significantly associated with worse OS. There appeared to be a treatment effect for OS favoring nab-paclitaxel plus gemcitabine over gemcitabine alone in poor-prognosis subgroups defined by these factors (HR = 0.612, P &lt; .001 for CA19-9 level ≥ median and HR = 0.81, P = .079 for NLR &gt; 5). CONCLUSIONS These data confirm and extend the primary report of OS, supporting the superior efficacy of nab-paclitaxel plus gemcitabine over gemcitabine alone. Subgroup analyses support the relevance of CA 19-9 and NLR as prognostic markers in metastatic pancreatic cancer.","author":[{"dropping-particle":"","family":"Goldstein","given":"David","non-dropping-particle":"","parse-names":false,"suffix":""},{"dropping-particle":"","family":"El-Maraghi","given":"Robert Hassan","non-dropping-particle":"","parse-names":false,"suffix":""},{"dropping-particle":"","family":"Hammel","given":"Pascal","non-dropping-particle":"","parse-names":false,"suffix":""},{"dropping-particle":"","family":"Heinemann","given":"Volker","non-dropping-particle":"","parse-names":false,"suffix":""},{"dropping-particle":"","family":"Kunzmann","given":"Volker","non-dropping-particle":"","parse-names":false,"suffix":""},{"dropping-particle":"","family":"Sastre","given":"Javier","non-dropping-particle":"","parse-names":false,"suffix":""},{"dropping-particle":"","family":"Scheithauer","given":"Werner","non-dropping-particle":"","parse-names":false,"suffix":""},{"dropping-particle":"","family":"Siena","given":"Salvatore","non-dropping-particle":"","parse-names":false,"suffix":""},{"dropping-particle":"","family":"Tabernero","given":"Josep","non-dropping-particle":"","parse-names":false,"suffix":""},{"dropping-particle":"","family":"Teixeira","given":"Luis","non-dropping-particle":"","parse-names":false,"suffix":""},{"dropping-particle":"","family":"Tortora","given":"Giampaolo","non-dropping-particle":"","parse-names":false,"suffix":""},{"dropping-particle":"","family":"Laethem","given":"Jean-Luc","non-dropping-particle":"Van","parse-names":false,"suffix":""},{"dropping-particle":"","family":"Young","given":"Rosemary","non-dropping-particle":"","parse-names":false,"suffix":""},{"dropping-particle":"","family":"Penenberg","given":"Darryl Neil","non-dropping-particle":"","parse-names":false,"suffix":""},{"dropping-particle":"","family":"Lu","given":"Brian","non-dropping-particle":"","parse-names":false,"suffix":""},{"dropping-particle":"","family":"Romano","given":"Alfredo","non-dropping-particle":"","parse-names":false,"suffix":""},{"dropping-particle":"","family":"Hoff","given":"Daniel D","non-dropping-particle":"Von","parse-names":false,"suffix":""}],"container-title":"Journal of the National Cancer Institute","id":"ITEM-1","issue":"2","issued":{"date-parts":[["2015","2"]]},"title":"nab-Paclitaxel plus gemcitabine for metastatic pancreatic cancer: long-term survival from a phase III trial.","type":"article-journal","volume":"107"},"uris":["http://www.mendeley.com/documents/?uuid=ffe75288-6c20-3a0d-bcf9-4ab6db10b5a2"]}],"mendeley":{"formattedCitation":"&lt;sup&gt;[6]&lt;/sup&gt;","plainTextFormattedCitation":"[6]","previouslyFormattedCitation":"&lt;sup&gt;[6]&lt;/sup&gt;"},"properties":{"noteIndex":0},"schema":"https://github.com/citation-style-language/schema/raw/master/csl-citation.json"}</w:instrText>
      </w:r>
      <w:r w:rsidRPr="00981DC5">
        <w:rPr>
          <w:rFonts w:ascii="Book Antiqua" w:hAnsi="Book Antiqua" w:cs="Calibri"/>
          <w:color w:val="000000" w:themeColor="text1"/>
          <w:sz w:val="24"/>
          <w:szCs w:val="24"/>
          <w:vertAlign w:val="superscript"/>
          <w:lang w:val="en-US"/>
        </w:rPr>
        <w:fldChar w:fldCharType="separate"/>
      </w:r>
      <w:r w:rsidRPr="00981DC5">
        <w:rPr>
          <w:rFonts w:ascii="Book Antiqua" w:hAnsi="Book Antiqua" w:cs="Calibri"/>
          <w:noProof/>
          <w:color w:val="000000" w:themeColor="text1"/>
          <w:sz w:val="24"/>
          <w:szCs w:val="24"/>
          <w:vertAlign w:val="superscript"/>
          <w:lang w:val="en-US"/>
        </w:rPr>
        <w:t>[6]</w:t>
      </w:r>
      <w:r w:rsidRPr="00981DC5">
        <w:rPr>
          <w:rFonts w:ascii="Book Antiqua" w:hAnsi="Book Antiqua" w:cs="Calibri"/>
          <w:color w:val="000000" w:themeColor="text1"/>
          <w:sz w:val="24"/>
          <w:szCs w:val="24"/>
          <w:vertAlign w:val="superscript"/>
          <w:lang w:val="en-US"/>
        </w:rPr>
        <w:fldChar w:fldCharType="end"/>
      </w:r>
      <w:r w:rsidRPr="00981DC5">
        <w:rPr>
          <w:rFonts w:ascii="Book Antiqua" w:hAnsi="Book Antiqua" w:cs="Calibri"/>
          <w:color w:val="000000" w:themeColor="text1"/>
          <w:sz w:val="24"/>
          <w:szCs w:val="24"/>
          <w:lang w:val="en-US"/>
        </w:rPr>
        <w:t>. FOLFIRINOX produced higher rate of both hematological and non-hematological grade 3 or higher toxicities such as diarrhea and sensory neuropathy</w:t>
      </w:r>
      <w:r w:rsidRPr="00981DC5">
        <w:rPr>
          <w:rFonts w:ascii="Book Antiqua" w:hAnsi="Book Antiqua" w:cs="Calibri"/>
          <w:color w:val="000000" w:themeColor="text1"/>
          <w:sz w:val="24"/>
          <w:szCs w:val="24"/>
          <w:vertAlign w:val="superscript"/>
          <w:lang w:val="en-US"/>
        </w:rPr>
        <w:fldChar w:fldCharType="begin" w:fldLock="1"/>
      </w:r>
      <w:r w:rsidRPr="00981DC5">
        <w:rPr>
          <w:rFonts w:ascii="Book Antiqua" w:hAnsi="Book Antiqua" w:cs="Calibri"/>
          <w:color w:val="000000" w:themeColor="text1"/>
          <w:sz w:val="24"/>
          <w:szCs w:val="24"/>
          <w:vertAlign w:val="superscript"/>
          <w:lang w:val="en-US"/>
        </w:rPr>
        <w:instrText>ADDIN CSL_CITATION {"citationItems":[{"id":"ITEM-1","itemData":{"DOI":"10.1056/NEJMoa1011923","ISSN":"15334406","PMID":"21561347","abstract":"BACKGROUND: Data are lacking on the efficacy and safety of a combination chemotherapy regimen consisting of oxaliplatin, irinotecan, fluorouracil, and leucovorin (FOLFIRINOX) as compared with gemcitabine as first-line therapy in patients with metastatic pancreatic cancer. METHODS: We randomly assigned 342 patients with an Eastern Cooperative Oncology Group performance status score of 0 or 1 (on a scale of 0 to 5, with higher scores indicating a greater severity of illness) to receive FOLFIRINOX (oxaliplatin, 85 mg per square meter of body-surface area; irinotecan, 180 mg per square meter; leucovorin, 400 mg per square meter; and fluorouracil, 400 mg per square meter given as a bolus followed by 2400 mg per square meter given as a 46-hour continuous infusion, every 2 weeks) or gemcitabine at a dose of 1000 mg per square meter weekly for 7 of 8 weeks and then weekly for 3 of 4 weeks. Six months of chemotherapy were recommended in both groups in patients who had a response. The primary end point was overall survival. RESULTS: The median overall survival was 11.1 months in the FOLFIRINOX group as compared with 6.8 months in the gemcitabine group (hazard ratio for death, 0.57; 95% confidence interval [CI], 0.45 to 0.73; P&lt;0.001). Median progression-free survival was 6.4 months in the FOLFIRINOX group and 3.3 months in the gemcitabine group (hazard ratio for disease progression, 0.47; 95% CI, 0.37 to 0.59; P&lt;0.001). The objective response rate was 31.6% in the FOLFIRINOX group versus 9.4% in the gemcitabine group (P&lt;0.001). More adverse events were noted in the FOLFIRINOX group; 5.4% of patients in this group had febrile neutropenia. At 6 months, 31% of the patients in the FOLFIRINOX group had a definitive degradation of the quality of life versus 66% in the gemcitabine group (hazard ratio, 0.47; 95% CI, 0.30 to 0.70; P&lt;0.001). CONCLUSIONS: As compared with gemcitabine, FOLFIRINOX was associated with a survival advantage and had increased toxicity. FOLFIRINOX is an option for the treatment of patients with metastatic pancreatic cancer and good performance status. (Funded by the French government and others; ClinicalTrials.gov number, NCT00112658.) Copyright © 2011 Massachusetts Medical Society.","author":[{"dropping-particle":"","family":"Conroy","given":"Thierry","non-dropping-particle":"","parse-names":false,"suffix":""},{"dropping-particle":"","family":"Desseigne","given":"Françoise","non-dropping-particle":"","parse-names":false,"suffix":""},{"dropping-particle":"","family":"Ychou","given":"Marc","non-dropping-particle":"","parse-names":false,"suffix":""},{"dropping-particle":"","family":"Bouché","given":"Olivier","non-dropping-particle":"","parse-names":false,"suffix":""},{"dropping-particle":"","family":"Guimbaud","given":"Rosine","non-dropping-particle":"","parse-names":false,"suffix":""},{"dropping-particle":"","family":"Bécouarn","given":"Yves","non-dropping-particle":"","parse-names":false,"suffix":""},{"dropping-particle":"","family":"Adenis","given":"Antoine","non-dropping-particle":"","parse-names":false,"suffix":""},{"dropping-particle":"","family":"Raoul","given":"Jean Luc","non-dropping-particle":"","parse-names":false,"suffix":""},{"dropping-particle":"","family":"Gourgou-Bourgade","given":"Sophie","non-dropping-particle":"","parse-names":false,"suffix":""},{"dropping-particle":"","family":"La Fouchardière","given":"Christelle","non-dropping-particle":"De","parse-names":false,"suffix":""},{"dropping-particle":"","family":"Bennouna","given":"Jaafar","non-dropping-particle":"","parse-names":false,"suffix":""},{"dropping-particle":"","family":"Bachet","given":"Jean Baptiste","non-dropping-particle":"","parse-names":false,"suffix":""},{"dropping-particle":"","family":"Khemissa-Akouz","given":"Faiza","non-dropping-particle":"","parse-names":false,"suffix":""},{"dropping-particle":"","family":"Péré-Vergé","given":"Denis","non-dropping-particle":"","parse-names":false,"suffix":""},{"dropping-particle":"","family":"Delbaldo","given":"Catherine","non-dropping-particle":"","parse-names":false,"suffix":""},{"dropping-particle":"","family":"Assenat","given":"Eric","non-dropping-particle":"","parse-names":false,"suffix":""},{"dropping-particle":"","family":"Chauffert","given":"Bruno","non-dropping-particle":"","parse-names":false,"suffix":""},{"dropping-particle":"","family":"Michel","given":"Pierre","non-dropping-particle":"","parse-names":false,"suffix":""},{"dropping-particle":"","family":"Montoto-Grillot","given":"Christine","non-dropping-particle":"","parse-names":false,"suffix":""},{"dropping-particle":"","family":"Ducreux","given":"Michel","non-dropping-particle":"","parse-names":false,"suffix":""}],"container-title":"New England Journal of Medicine","id":"ITEM-1","issue":"19","issued":{"date-parts":[["2011","5","12"]]},"page":"1817-1825","publisher":"Massachussetts Medical Society","title":"FOLFIRINOX versus gemcitabine for metastatic pancreatic cancer","type":"article-journal","volume":"364"},"uris":["http://www.mendeley.com/documents/?uuid=79115611-6660-388d-8f90-b6d1dd896e88"]}],"mendeley":{"formattedCitation":"&lt;sup&gt;[7]&lt;/sup&gt;","plainTextFormattedCitation":"[7]","previouslyFormattedCitation":"&lt;sup&gt;[7]&lt;/sup&gt;"},"properties":{"noteIndex":0},"schema":"https://github.com/citation-style-language/schema/raw/master/csl-citation.json"}</w:instrText>
      </w:r>
      <w:r w:rsidRPr="00981DC5">
        <w:rPr>
          <w:rFonts w:ascii="Book Antiqua" w:hAnsi="Book Antiqua" w:cs="Calibri"/>
          <w:color w:val="000000" w:themeColor="text1"/>
          <w:sz w:val="24"/>
          <w:szCs w:val="24"/>
          <w:vertAlign w:val="superscript"/>
          <w:lang w:val="en-US"/>
        </w:rPr>
        <w:fldChar w:fldCharType="separate"/>
      </w:r>
      <w:r w:rsidRPr="00981DC5">
        <w:rPr>
          <w:rFonts w:ascii="Book Antiqua" w:hAnsi="Book Antiqua" w:cs="Calibri"/>
          <w:noProof/>
          <w:color w:val="000000" w:themeColor="text1"/>
          <w:sz w:val="24"/>
          <w:szCs w:val="24"/>
          <w:vertAlign w:val="superscript"/>
          <w:lang w:val="en-US"/>
        </w:rPr>
        <w:t>[7]</w:t>
      </w:r>
      <w:r w:rsidRPr="00981DC5">
        <w:rPr>
          <w:rFonts w:ascii="Book Antiqua" w:hAnsi="Book Antiqua" w:cs="Calibri"/>
          <w:color w:val="000000" w:themeColor="text1"/>
          <w:sz w:val="24"/>
          <w:szCs w:val="24"/>
          <w:vertAlign w:val="superscript"/>
          <w:lang w:val="en-US"/>
        </w:rPr>
        <w:fldChar w:fldCharType="end"/>
      </w:r>
      <w:r w:rsidRPr="00981DC5">
        <w:rPr>
          <w:rFonts w:ascii="Book Antiqua" w:hAnsi="Book Antiqua" w:cs="Calibri"/>
          <w:color w:val="000000" w:themeColor="text1"/>
          <w:sz w:val="24"/>
          <w:szCs w:val="24"/>
          <w:lang w:val="en-US"/>
        </w:rPr>
        <w:t>. An appropriate patient selection is crucial to identify those that are most likely to benefit from aggressive chemotherapy approaches and those who are more likely to have only little benefit due to increased rates of severe side effects. Some clinical parameters can help in the choice of the most effective scheme. However, the concept of precision medicine has emerged in the last years with the objective to tailor the medical treatment to the individual characteristics of each patient, and particularly to the tumor biology of each patient. In this context, precision oncology seeks to identify the most effective therapy for an individual patient, based on the characterization of his cancer. “Mouse Avatar” is an emerging approach of precision medicine in oncology that has recently grown in popularity</w:t>
      </w:r>
      <w:r w:rsidRPr="00981DC5">
        <w:rPr>
          <w:rFonts w:ascii="Book Antiqua" w:hAnsi="Book Antiqua" w:cs="Calibri"/>
          <w:color w:val="000000" w:themeColor="text1"/>
          <w:sz w:val="24"/>
          <w:szCs w:val="24"/>
          <w:lang w:val="en-US"/>
        </w:rPr>
        <w:fldChar w:fldCharType="begin" w:fldLock="1"/>
      </w:r>
      <w:r w:rsidRPr="00981DC5">
        <w:rPr>
          <w:rFonts w:ascii="Book Antiqua" w:hAnsi="Book Antiqua" w:cs="Calibri"/>
          <w:color w:val="000000" w:themeColor="text1"/>
          <w:sz w:val="24"/>
          <w:szCs w:val="24"/>
          <w:lang w:val="en-US"/>
        </w:rPr>
        <w:instrText>ADDIN CSL_CITATION {"citationItems":[{"id":"ITEM-1","itemData":{"DOI":"10.1038/nrclinonc.2012.61","ISSN":"1759-4774","PMID":"22508028","abstract":"Progress in oncology drug development has been hampered by a lack of preclinical models that reliably predict clinical activity of novel compounds in cancer patients. In an effort to address these shortcomings, there has been a recent increase in the use of patient-derived tumour xenografts (PDTX) engrafted into immune-compromised rodents such as athymic nude or NOD/SCID mice for preclinical modelling. Numerous tumour-specific PDTX models have been established and, importantly, they are biologically stable when passaged in mice in terms of global gene-expression patterns, mutational status, metastatic potential, drug responsiveness and tumour architecture. These characteristics might provide significant improvements over standard cell-line xenograft models. This Review will discuss specific PDTX disease examples illustrating an overview of the opportunities and limitations of these models in cancer drug development, and describe concepts regarding predictive biomarker development and future applications. © 2012 Macmillan Publishers Limited. All rights reserved.","author":[{"dropping-particle":"","family":"Tentler","given":"John J.","non-dropping-particle":"","parse-names":false,"suffix":""},{"dropping-particle":"","family":"Tan","given":"Aik Choon","non-dropping-particle":"","parse-names":false,"suffix":""},{"dropping-particle":"","family":"Weekes","given":"Colin D.","non-dropping-particle":"","parse-names":false,"suffix":""},{"dropping-particle":"","family":"Jimeno","given":"Antonio","non-dropping-particle":"","parse-names":false,"suffix":""},{"dropping-particle":"","family":"Leong","given":"Stephen","non-dropping-particle":"","parse-names":false,"suffix":""},{"dropping-particle":"","family":"Pitts","given":"Todd M.","non-dropping-particle":"","parse-names":false,"suffix":""},{"dropping-particle":"","family":"Arcaroli","given":"John J.","non-dropping-particle":"","parse-names":false,"suffix":""},{"dropping-particle":"","family":"Messersmith","given":"Wells A.","non-dropping-particle":"","parse-names":false,"suffix":""},{"dropping-particle":"","family":"Eckhardt","given":"S. Gail","non-dropping-particle":"","parse-names":false,"suffix":""}],"container-title":"Nature Reviews Clinical Oncology","id":"ITEM-1","issue":"6","issued":{"date-parts":[["2012","6","17"]]},"page":"338-350","title":"Patient-derived tumour xenografts as models for oncology drug development","type":"article-journal","volume":"9"},"uris":["http://www.mendeley.com/documents/?uuid=9b032a45-f3fb-38b1-9f63-85e76ca46bb5"]}],"mendeley":{"formattedCitation":"&lt;sup&gt;[8]&lt;/sup&gt;","plainTextFormattedCitation":"[8]","previouslyFormattedCitation":"&lt;sup&gt;[8]&lt;/sup&gt;"},"properties":{"noteIndex":0},"schema":"https://github.com/citation-style-language/schema/raw/master/csl-citation.json"}</w:instrText>
      </w:r>
      <w:r w:rsidRPr="00981DC5">
        <w:rPr>
          <w:rFonts w:ascii="Book Antiqua" w:hAnsi="Book Antiqua" w:cs="Calibri"/>
          <w:color w:val="000000" w:themeColor="text1"/>
          <w:sz w:val="24"/>
          <w:szCs w:val="24"/>
          <w:lang w:val="en-US"/>
        </w:rPr>
        <w:fldChar w:fldCharType="separate"/>
      </w:r>
      <w:r w:rsidRPr="00981DC5">
        <w:rPr>
          <w:rFonts w:ascii="Book Antiqua" w:hAnsi="Book Antiqua" w:cs="Calibri"/>
          <w:noProof/>
          <w:color w:val="000000" w:themeColor="text1"/>
          <w:sz w:val="24"/>
          <w:szCs w:val="24"/>
          <w:vertAlign w:val="superscript"/>
          <w:lang w:val="en-US"/>
        </w:rPr>
        <w:t>[8]</w:t>
      </w:r>
      <w:r w:rsidRPr="00981DC5">
        <w:rPr>
          <w:rFonts w:ascii="Book Antiqua" w:hAnsi="Book Antiqua" w:cs="Calibri"/>
          <w:color w:val="000000" w:themeColor="text1"/>
          <w:sz w:val="24"/>
          <w:szCs w:val="24"/>
          <w:lang w:val="en-US"/>
        </w:rPr>
        <w:fldChar w:fldCharType="end"/>
      </w:r>
      <w:r w:rsidRPr="00981DC5">
        <w:rPr>
          <w:rFonts w:ascii="Book Antiqua" w:hAnsi="Book Antiqua" w:cs="Calibri"/>
          <w:color w:val="000000" w:themeColor="text1"/>
          <w:sz w:val="24"/>
          <w:szCs w:val="24"/>
          <w:lang w:val="en-US"/>
        </w:rPr>
        <w:t>. It implicates the xenotransplantation of cancer cells from patient tumor sample in mouse models testing drug efficacy to run the so called “co-</w:t>
      </w:r>
      <w:r w:rsidRPr="00981DC5">
        <w:rPr>
          <w:rFonts w:ascii="Book Antiqua" w:hAnsi="Book Antiqua" w:cs="Calibri"/>
          <w:color w:val="000000" w:themeColor="text1"/>
          <w:sz w:val="24"/>
          <w:szCs w:val="24"/>
          <w:lang w:val="en-US"/>
        </w:rPr>
        <w:lastRenderedPageBreak/>
        <w:t xml:space="preserve">clinical trials”. The advantage of this approach is that each patient has his/her own tumor growing in an </w:t>
      </w:r>
      <w:r w:rsidRPr="00CE2C42">
        <w:rPr>
          <w:rFonts w:ascii="Book Antiqua" w:hAnsi="Book Antiqua" w:cs="Calibri"/>
          <w:i/>
          <w:iCs/>
          <w:color w:val="000000" w:themeColor="text1"/>
          <w:sz w:val="24"/>
          <w:szCs w:val="24"/>
          <w:lang w:val="en-US"/>
        </w:rPr>
        <w:t>in vivo</w:t>
      </w:r>
      <w:r w:rsidRPr="00981DC5">
        <w:rPr>
          <w:rFonts w:ascii="Book Antiqua" w:hAnsi="Book Antiqua" w:cs="Calibri"/>
          <w:color w:val="000000" w:themeColor="text1"/>
          <w:sz w:val="24"/>
          <w:szCs w:val="24"/>
          <w:lang w:val="en-US"/>
        </w:rPr>
        <w:t xml:space="preserve"> system, thereby allowing the identification of a personalized therapeutic approach. However, the use of mice as avatars has some limits such as high costs, the time-consuming process and the requirement of immunosuppressed strains. Recently, the use of zebrafish as avatar for oncological patients has gained popularity. After the first experiment reported in 2005</w:t>
      </w:r>
      <w:r w:rsidRPr="00981DC5">
        <w:rPr>
          <w:rFonts w:ascii="Book Antiqua" w:hAnsi="Book Antiqua" w:cs="Calibri"/>
          <w:color w:val="000000" w:themeColor="text1"/>
          <w:sz w:val="24"/>
          <w:szCs w:val="24"/>
          <w:lang w:val="en-US"/>
        </w:rPr>
        <w:fldChar w:fldCharType="begin" w:fldLock="1"/>
      </w:r>
      <w:r w:rsidRPr="00981DC5">
        <w:rPr>
          <w:rFonts w:ascii="Book Antiqua" w:hAnsi="Book Antiqua" w:cs="Calibri"/>
          <w:color w:val="000000" w:themeColor="text1"/>
          <w:sz w:val="24"/>
          <w:szCs w:val="24"/>
          <w:lang w:val="en-US"/>
        </w:rPr>
        <w:instrText>ADDIN CSL_CITATION {"citationItems":[{"id":"ITEM-1","itemData":{"DOI":"10.1002/dvdy.20471","ISSN":"1058-8388","PMID":"15968639","abstract":"Certain aggressive melanoma cell lines exhibit a dedifferentiated phenotype, expressing genes that are characteristic of various cell types including endothelial, neural, and stem cells. Moreover, we have shown that aggressive melanoma cells can participate in neovascularization in vivo and vasculogenic mimicry in vitro, demonstrating that these cells respond to microenvironmental cues and manifest developmental plasticity. To explore this plasticity further, we transplanted human metastatic melanoma cells into zebrafish blastula-stage embryos and monitored their behavior post-transplantation. The data show that human metastatic melanoma cells placed in the zebrafish embryo survive, exhibit motility, and divide. The melanoma cells do not form tumors nor integrate into host organs, but instead become scattered throughout the embryo in interstitial spaces, reflecting the dedifferentiated state of the cancer cells. In contrast to the fate of melanoma cells, human melanocytes transplanted into zebrafish embryos most frequently become distributed to their normal microenvironment of the skin, revealing that the zebrafish embryo contains possible homing cues that can be interpreted by normal human cells. Finally, we show that within the zebrafish embryo, metastatic melanoma cells retain their dedifferentiated phenotype. These results demonstrate the utility of the zebrafish embryonic model for the study of tumor cell plasticity and suggest that this experimental paradigm can be a powerful one in which to investigate tumor-microenvironment interactions.","author":[{"dropping-particle":"","family":"Lee","given":"Lisa M J","non-dropping-particle":"","parse-names":false,"suffix":""},{"dropping-particle":"","family":"Seftor","given":"Elisabeth A","non-dropping-particle":"","parse-names":false,"suffix":""},{"dropping-particle":"","family":"Bonde","given":"Gregory","non-dropping-particle":"","parse-names":false,"suffix":""},{"dropping-particle":"","family":"Cornell","given":"Robert A","non-dropping-particle":"","parse-names":false,"suffix":""},{"dropping-particle":"","family":"Hendrix","given":"Mary J C","non-dropping-particle":"","parse-names":false,"suffix":""}],"container-title":"Developmental dynamics : an official publication of the American Association of Anatomists","id":"ITEM-1","issue":"4","issued":{"date-parts":[["2005","8"]]},"page":"1560-70","title":"The fate of human malignant melanoma cells transplanted into zebrafish embryos: assessment of migration and cell division in the absence of tumor formation.","type":"article-journal","volume":"233"},"uris":["http://www.mendeley.com/documents/?uuid=d59550d3-bac9-3e7f-a0d4-6e7bb64c2bce"]}],"mendeley":{"formattedCitation":"&lt;sup&gt;[9]&lt;/sup&gt;","plainTextFormattedCitation":"[9]","previouslyFormattedCitation":"&lt;sup&gt;[9]&lt;/sup&gt;"},"properties":{"noteIndex":0},"schema":"https://github.com/citation-style-language/schema/raw/master/csl-citation.json"}</w:instrText>
      </w:r>
      <w:r w:rsidRPr="00981DC5">
        <w:rPr>
          <w:rFonts w:ascii="Book Antiqua" w:hAnsi="Book Antiqua" w:cs="Calibri"/>
          <w:color w:val="000000" w:themeColor="text1"/>
          <w:sz w:val="24"/>
          <w:szCs w:val="24"/>
          <w:lang w:val="en-US"/>
        </w:rPr>
        <w:fldChar w:fldCharType="separate"/>
      </w:r>
      <w:r w:rsidRPr="00981DC5">
        <w:rPr>
          <w:rFonts w:ascii="Book Antiqua" w:hAnsi="Book Antiqua" w:cs="Calibri"/>
          <w:noProof/>
          <w:color w:val="000000" w:themeColor="text1"/>
          <w:sz w:val="24"/>
          <w:szCs w:val="24"/>
          <w:vertAlign w:val="superscript"/>
          <w:lang w:val="en-US"/>
        </w:rPr>
        <w:t>[9]</w:t>
      </w:r>
      <w:r w:rsidRPr="00981DC5">
        <w:rPr>
          <w:rFonts w:ascii="Book Antiqua" w:hAnsi="Book Antiqua" w:cs="Calibri"/>
          <w:color w:val="000000" w:themeColor="text1"/>
          <w:sz w:val="24"/>
          <w:szCs w:val="24"/>
          <w:lang w:val="en-US"/>
        </w:rPr>
        <w:fldChar w:fldCharType="end"/>
      </w:r>
      <w:r w:rsidRPr="00981DC5">
        <w:rPr>
          <w:rFonts w:ascii="Book Antiqua" w:hAnsi="Book Antiqua" w:cs="Calibri"/>
          <w:color w:val="000000" w:themeColor="text1"/>
          <w:sz w:val="24"/>
          <w:szCs w:val="24"/>
          <w:lang w:val="en-US"/>
        </w:rPr>
        <w:t>, nowadays the use of the zebrafish model of xenotransplantation is one option for implementing strategies of personalized medicine, together with other models such as mouse patients-derived xenografts, patient-derived organoids</w:t>
      </w:r>
      <w:r w:rsidRPr="00981DC5">
        <w:rPr>
          <w:rFonts w:ascii="Book Antiqua" w:hAnsi="Book Antiqua" w:cs="Calibri"/>
          <w:color w:val="000000" w:themeColor="text1"/>
          <w:sz w:val="24"/>
          <w:szCs w:val="24"/>
          <w:lang w:val="en-US"/>
        </w:rPr>
        <w:fldChar w:fldCharType="begin" w:fldLock="1"/>
      </w:r>
      <w:r w:rsidRPr="00981DC5">
        <w:rPr>
          <w:rFonts w:ascii="Book Antiqua" w:hAnsi="Book Antiqua" w:cs="Calibri"/>
          <w:color w:val="000000" w:themeColor="text1"/>
          <w:sz w:val="24"/>
          <w:szCs w:val="24"/>
          <w:lang w:val="en-US"/>
        </w:rPr>
        <w:instrText>ADDIN CSL_CITATION {"citationItems":[{"id":"ITEM-1","itemData":{"DOI":"10.1016/j.tibtech.2017.12.005","ISSN":"01677799","PMID":"29366522","abstract":"Personalized cancer therapy applies specific treatments to each patient. Using personalized tumor models with similar characteristics to the original tumors may result in more accurate predictions of drug responses in patients. Tumor organoid models have several advantages over pre-existing models, including conserving the molecular and cellular composition of the original tumor. These advantages highlight the tremendous potential of tumor organoids in personalized cancer therapy, particularly preclinical drug screening and predicting patient responses to selected treatment regimens. Here, we highlight the advantages, challenges, and translational potential of tumor organoids in personalized cancer therapy and focus on gene–drug associations, drug response prediction, and treatment selection. Finally, we discuss how microfluidic technology can contribute to immunotherapy drug screening in tumor organoids.","author":[{"dropping-particle":"","family":"Aboulkheyr Es","given":"Hamidreza","non-dropping-particle":"","parse-names":false,"suffix":""},{"dropping-particle":"","family":"Montazeri","given":"Leila","non-dropping-particle":"","parse-names":false,"suffix":""},{"dropping-particle":"","family":"Aref","given":"Amir Reza","non-dropping-particle":"","parse-names":false,"suffix":""},{"dropping-particle":"","family":"Vosough","given":"Massoud","non-dropping-particle":"","parse-names":false,"suffix":""},{"dropping-particle":"","family":"Baharvand","given":"Hossein","non-dropping-particle":"","parse-names":false,"suffix":""}],"container-title":"Trends in Biotechnology","id":"ITEM-1","issue":"4","issued":{"date-parts":[["2018","4","1"]]},"page":"358-371","publisher":"Elsevier Ltd","title":"Personalized Cancer Medicine: An Organoid Approach","type":"article-journal","volume":"36"},"uris":["http://www.mendeley.com/documents/?uuid=f88ec5fd-af3e-38d3-a3e4-ea14ea9003a3"]},{"id":"ITEM-2","itemData":{"DOI":"10.2217/pme-2018-0071","ISSN":"1741-0541","PMID":"30418092","author":[{"dropping-particle":"","family":"Perkhofer","given":"Lukas","non-dropping-particle":"","parse-names":false,"suffix":""},{"dropping-particle":"","family":"Frappart","given":"Pierre-Olivier","non-dropping-particle":"","parse-names":false,"suffix":""},{"dropping-particle":"","family":"Müller","given":"Martin","non-dropping-particle":"","parse-names":false,"suffix":""},{"dropping-particle":"","family":"Kleger","given":"Alexander","non-dropping-particle":"","parse-names":false,"suffix":""}],"container-title":"Personalized Medicine","id":"ITEM-2","issue":"6","issued":{"date-parts":[["2018","11","1"]]},"page":"461-465","publisher":"Future Medicine Ltd.","title":"Importance of organoids for personalized medicine","type":"article-journal","volume":"15"},"uris":["http://www.mendeley.com/documents/?uuid=c1ca984c-844c-3575-a7c3-e0249a6e9335"]}],"mendeley":{"formattedCitation":"&lt;sup&gt;[10,11]&lt;/sup&gt;","plainTextFormattedCitation":"[10,11]","previouslyFormattedCitation":"&lt;sup&gt;[10,11]&lt;/sup&gt;"},"properties":{"noteIndex":0},"schema":"https://github.com/citation-style-language/schema/raw/master/csl-citation.json"}</w:instrText>
      </w:r>
      <w:r w:rsidRPr="00981DC5">
        <w:rPr>
          <w:rFonts w:ascii="Book Antiqua" w:hAnsi="Book Antiqua" w:cs="Calibri"/>
          <w:color w:val="000000" w:themeColor="text1"/>
          <w:sz w:val="24"/>
          <w:szCs w:val="24"/>
          <w:lang w:val="en-US"/>
        </w:rPr>
        <w:fldChar w:fldCharType="separate"/>
      </w:r>
      <w:r w:rsidRPr="00981DC5">
        <w:rPr>
          <w:rFonts w:ascii="Book Antiqua" w:hAnsi="Book Antiqua" w:cs="Calibri"/>
          <w:noProof/>
          <w:color w:val="000000" w:themeColor="text1"/>
          <w:sz w:val="24"/>
          <w:szCs w:val="24"/>
          <w:vertAlign w:val="superscript"/>
          <w:lang w:val="en-US"/>
        </w:rPr>
        <w:t>[10,11]</w:t>
      </w:r>
      <w:r w:rsidRPr="00981DC5">
        <w:rPr>
          <w:rFonts w:ascii="Book Antiqua" w:hAnsi="Book Antiqua" w:cs="Calibri"/>
          <w:color w:val="000000" w:themeColor="text1"/>
          <w:sz w:val="24"/>
          <w:szCs w:val="24"/>
          <w:lang w:val="en-US"/>
        </w:rPr>
        <w:fldChar w:fldCharType="end"/>
      </w:r>
      <w:r w:rsidRPr="00981DC5">
        <w:rPr>
          <w:rFonts w:ascii="Book Antiqua" w:hAnsi="Book Antiqua" w:cs="Calibri"/>
          <w:color w:val="000000" w:themeColor="text1"/>
          <w:sz w:val="24"/>
          <w:szCs w:val="24"/>
          <w:lang w:val="en-US"/>
        </w:rPr>
        <w:t xml:space="preserve"> or the whole tumor genome sequencing</w:t>
      </w:r>
      <w:r w:rsidRPr="00981DC5">
        <w:rPr>
          <w:rFonts w:ascii="Book Antiqua" w:hAnsi="Book Antiqua" w:cs="Calibri"/>
          <w:color w:val="000000" w:themeColor="text1"/>
          <w:sz w:val="24"/>
          <w:szCs w:val="24"/>
          <w:lang w:val="en-US"/>
        </w:rPr>
        <w:fldChar w:fldCharType="begin" w:fldLock="1"/>
      </w:r>
      <w:r w:rsidRPr="00981DC5">
        <w:rPr>
          <w:rFonts w:ascii="Book Antiqua" w:hAnsi="Book Antiqua" w:cs="Calibri"/>
          <w:color w:val="000000" w:themeColor="text1"/>
          <w:sz w:val="24"/>
          <w:szCs w:val="24"/>
          <w:lang w:val="en-US"/>
        </w:rPr>
        <w:instrText>ADDIN CSL_CITATION {"citationItems":[{"id":"ITEM-1","itemData":{"DOI":"10.1111/cas.13505","ISSN":"13479032","PMID":"29345757","abstract":"Explosive advances in next-generation sequencer (NGS) and computational analyses have enabled exploration of somatic protein-altered mutations in most cancer types, with coding mutation data intensively accumulated. However, there is limited information on somatic mutations in non-coding regions, including introns, regulatory elements and non-coding RNA. Structural variants and pathogen in cancer genomes remain widely unexplored. Whole genome sequencing (WGS) approaches can be used to comprehensively explore all types of genomic alterations in cancer and help us to better understand the whole landscape of driver mutations and mutational signatures in cancer genomes and elucidate the functional or clinical implications of these unexplored genomic regions and mutational signatures. This review describes recently developed technical approaches for cancer WGS and the future direction of cancer WGS, and discusses its utility and limitations as an analysis platform and for mutation interpretation for cancer genomics and cancer precision medicine. Taking into account the diversity of cancer genomes and phenotypes, interpretation of abundant mutation information from WGS, especially non-coding and structure variants, requires the analysis of large-scale WGS data integrated with RNA-Seq, epigenomics, immuno-genomic and clinic-pathological information.","author":[{"dropping-particle":"","family":"Nakagawa","given":"Hidewaki","non-dropping-particle":"","parse-names":false,"suffix":""},{"dropping-particle":"","family":"Fujita","given":"Masashi","non-dropping-particle":"","parse-names":false,"suffix":""}],"container-title":"Cancer Science","id":"ITEM-1","issue":"3","issued":{"date-parts":[["2018"]]},"page":"513-522","publisher":"Blackwell Publishing Ltd","title":"Whole genome sequencing analysis for cancer genomics and precision medicine","type":"article-journal","volume":"109"},"uris":["http://www.mendeley.com/documents/?uuid=9f9a3780-b8af-39de-8d8f-32dd38328cc0"]},{"id":"ITEM-2","itemData":{"DOI":"10.1152/physiolgenomics.00046.2018","ISSN":"1094-8341","PMID":"29727589","abstract":"Genomic sequencing has undergone massive expansion in the past 10 yr, from a rarely used research tool into an approach that has broad applications in a clinical setting. From rare disease to cancer, genomics is transforming our knowledge of biology. The transition from targeted gene sequencing, to whole exome sequencing, to whole genome sequencing has only been made possible due to rapid advancements in technologies and informatics that have plummeted the cost per base of DNA sequencing and analysis. The tools of genomics have resolved the etiology of disease for previously undiagnosable conditions, identified cancer driver gene variants, and have impacted the understanding of pathophysiology for many diseases. However, this expansion of use has also highlighted research’s current voids in knowledge. The lack of precise animal models for gene-to-function association, lack of tools for analysis of genomic structural changes, skew in populations used for genetic studies, publication biases, and the “Unknown Proteome” all contribute to voids needing filled for genomics to work in a fast-paced clinical setting. The future will hold the tools to fill in these voids, with new data sets and the continual development of new technologies allowing for expansion of genomic medicine, ushering in the days to come for precision medicine. In this review we highlight these and other points in hopes of advancing and guiding precision medicine into the future for optimal success.","author":[{"dropping-particle":"","family":"Prokop","given":"Jeremy W.","non-dropping-particle":"","parse-names":false,"suffix":""},{"dropping-particle":"","family":"May","given":"Thomas","non-dropping-particle":"","parse-names":false,"suffix":""},{"dropping-particle":"","family":"Strong","given":"Kim","non-dropping-particle":"","parse-names":false,"suffix":""},{"dropping-particle":"","family":"Bilinovich","given":"Stephanie M.","non-dropping-particle":"","parse-names":false,"suffix":""},{"dropping-particle":"","family":"Bupp","given":"Caleb","non-dropping-particle":"","parse-names":false,"suffix":""},{"dropping-particle":"","family":"Rajasekaran","given":"Surender","non-dropping-particle":"","parse-names":false,"suffix":""},{"dropping-particle":"","family":"Worthey","given":"Elizabeth A.","non-dropping-particle":"","parse-names":false,"suffix":""},{"dropping-particle":"","family":"Lazar","given":"Jozef","non-dropping-particle":"","parse-names":false,"suffix":""}],"container-title":"Physiological Genomics","id":"ITEM-2","issue":"8","issued":{"date-parts":[["2018","8","1"]]},"page":"563-579","publisher":"American Physiological Society","title":"Genome sequencing in the clinic: the past, present, and future of genomic medicine","type":"article-journal","volume":"50"},"uris":["http://www.mendeley.com/documents/?uuid=20aaa24e-3326-3514-af3d-988a3b3384f4"]}],"mendeley":{"formattedCitation":"&lt;sup&gt;[12,13]&lt;/sup&gt;","plainTextFormattedCitation":"[12,13]","previouslyFormattedCitation":"&lt;sup&gt;[12,13]&lt;/sup&gt;"},"properties":{"noteIndex":0},"schema":"https://github.com/citation-style-language/schema/raw/master/csl-citation.json"}</w:instrText>
      </w:r>
      <w:r w:rsidRPr="00981DC5">
        <w:rPr>
          <w:rFonts w:ascii="Book Antiqua" w:hAnsi="Book Antiqua" w:cs="Calibri"/>
          <w:color w:val="000000" w:themeColor="text1"/>
          <w:sz w:val="24"/>
          <w:szCs w:val="24"/>
          <w:lang w:val="en-US"/>
        </w:rPr>
        <w:fldChar w:fldCharType="separate"/>
      </w:r>
      <w:r w:rsidRPr="00981DC5">
        <w:rPr>
          <w:rFonts w:ascii="Book Antiqua" w:hAnsi="Book Antiqua" w:cs="Calibri"/>
          <w:noProof/>
          <w:color w:val="000000" w:themeColor="text1"/>
          <w:sz w:val="24"/>
          <w:szCs w:val="24"/>
          <w:vertAlign w:val="superscript"/>
          <w:lang w:val="en-US"/>
        </w:rPr>
        <w:t>[12,13]</w:t>
      </w:r>
      <w:r w:rsidRPr="00981DC5">
        <w:rPr>
          <w:rFonts w:ascii="Book Antiqua" w:hAnsi="Book Antiqua" w:cs="Calibri"/>
          <w:color w:val="000000" w:themeColor="text1"/>
          <w:sz w:val="24"/>
          <w:szCs w:val="24"/>
          <w:lang w:val="en-US"/>
        </w:rPr>
        <w:fldChar w:fldCharType="end"/>
      </w:r>
      <w:r w:rsidRPr="00981DC5">
        <w:rPr>
          <w:rFonts w:ascii="Book Antiqua" w:hAnsi="Book Antiqua" w:cs="Calibri"/>
          <w:color w:val="000000" w:themeColor="text1"/>
          <w:sz w:val="24"/>
          <w:szCs w:val="24"/>
          <w:lang w:val="en-US"/>
        </w:rPr>
        <w:t xml:space="preserve">. Several human cancer cells </w:t>
      </w:r>
      <w:r w:rsidRPr="00CA3E0A">
        <w:rPr>
          <w:rFonts w:ascii="Book Antiqua" w:hAnsi="Book Antiqua" w:cs="Calibri"/>
          <w:i/>
          <w:iCs/>
          <w:color w:val="000000" w:themeColor="text1"/>
          <w:sz w:val="24"/>
          <w:szCs w:val="24"/>
          <w:lang w:val="en-US"/>
        </w:rPr>
        <w:t>e.g.</w:t>
      </w:r>
      <w:r w:rsidR="00CA3E0A">
        <w:rPr>
          <w:rFonts w:ascii="Book Antiqua" w:hAnsi="Book Antiqua" w:cs="Calibri"/>
          <w:color w:val="000000" w:themeColor="text1"/>
          <w:sz w:val="24"/>
          <w:szCs w:val="24"/>
          <w:lang w:val="en-US"/>
        </w:rPr>
        <w:t>,</w:t>
      </w:r>
      <w:r w:rsidRPr="00981DC5">
        <w:rPr>
          <w:rFonts w:ascii="Book Antiqua" w:hAnsi="Book Antiqua" w:cs="Calibri"/>
          <w:color w:val="000000" w:themeColor="text1"/>
          <w:sz w:val="24"/>
          <w:szCs w:val="24"/>
          <w:lang w:val="en-US"/>
        </w:rPr>
        <w:t xml:space="preserve"> melanoma, glioma, breast and prostate cancer cells as well as fragments of human cancer tissues have been tested to date</w:t>
      </w:r>
      <w:r w:rsidRPr="00981DC5">
        <w:rPr>
          <w:rFonts w:ascii="Book Antiqua" w:hAnsi="Book Antiqua" w:cs="Calibri"/>
          <w:color w:val="000000" w:themeColor="text1"/>
          <w:sz w:val="24"/>
          <w:szCs w:val="24"/>
          <w:lang w:val="en-US"/>
        </w:rPr>
        <w:fldChar w:fldCharType="begin" w:fldLock="1"/>
      </w:r>
      <w:r w:rsidRPr="00981DC5">
        <w:rPr>
          <w:rFonts w:ascii="Book Antiqua" w:hAnsi="Book Antiqua" w:cs="Calibri"/>
          <w:color w:val="000000" w:themeColor="text1"/>
          <w:sz w:val="24"/>
          <w:szCs w:val="24"/>
          <w:lang w:val="en-US"/>
        </w:rPr>
        <w:instrText>ADDIN CSL_CITATION {"citationItems":[{"id":"ITEM-1","itemData":{"DOI":"10.1111/j.1749-6632.2012.06575.x","ISSN":"17496632","PMID":"22901264","abstract":"The zebrafish has become a powerful vertebrate model for genetic studies of embryonic development and organogenesis and increasingly for studies in cancer biology. Zebrafish facilitate the performance of reverse and forward genetic approaches, including mutagenesis and small molecule screens. Moreover, several studies report the feasibility of xenotransplanting human cells into zebrafish embryos and adult fish. This model provides a unique opportunity to monitor tumor-induced angiogenesis, invasiveness, and response to a range of treatments in vivo and in real time. Despite the high conservation of gene function between fish and humans, concern remains that potential differences in zebrafish tissue niches and/or missing microenvironmental cues could limit the relevance and translational utility of data obtained from zebrafish human cancer cell xenograft models. Here, we summarize current data on xenotransplantation of human cells into zebrafish, highlighting the advantages and limitations of this model in comparison to classical murine models of xenotransplantation. © 2012 New York Academy of Sciences.","author":[{"dropping-particle":"","family":"Konantz","given":"Martina","non-dropping-particle":"","parse-names":false,"suffix":""},{"dropping-particle":"","family":"Balci","given":"Tugce B.","non-dropping-particle":"","parse-names":false,"suffix":""},{"dropping-particle":"","family":"Hartwig","given":"Udo F.","non-dropping-particle":"","parse-names":false,"suffix":""},{"dropping-particle":"","family":"Dellaire","given":"Graham","non-dropping-particle":"","parse-names":false,"suffix":""},{"dropping-particle":"","family":"André","given":"Maya C.","non-dropping-particle":"","parse-names":false,"suffix":""},{"dropping-particle":"","family":"Berman","given":"Jason N.","non-dropping-particle":"","parse-names":false,"suffix":""},{"dropping-particle":"","family":"Lengerke","given":"Claudia","non-dropping-particle":"","parse-names":false,"suffix":""}],"container-title":"Annals of the New York Academy of Sciences","id":"ITEM-1","issue":"1","issued":{"date-parts":[["2012"]]},"page":"124-137","publisher":"Blackwell Publishing Inc.","title":"Zebrafish xenografts as a tool for in vivo studies on human cancer","type":"article-journal","volume":"1266"},"uris":["http://www.mendeley.com/documents/?uuid=11ce0275-39c4-3b23-bace-9ca0b06afec1"]}],"mendeley":{"formattedCitation":"&lt;sup&gt;[14]&lt;/sup&gt;","plainTextFormattedCitation":"[14]","previouslyFormattedCitation":"&lt;sup&gt;[14]&lt;/sup&gt;"},"properties":{"noteIndex":0},"schema":"https://github.com/citation-style-language/schema/raw/master/csl-citation.json"}</w:instrText>
      </w:r>
      <w:r w:rsidRPr="00981DC5">
        <w:rPr>
          <w:rFonts w:ascii="Book Antiqua" w:hAnsi="Book Antiqua" w:cs="Calibri"/>
          <w:color w:val="000000" w:themeColor="text1"/>
          <w:sz w:val="24"/>
          <w:szCs w:val="24"/>
          <w:lang w:val="en-US"/>
        </w:rPr>
        <w:fldChar w:fldCharType="separate"/>
      </w:r>
      <w:r w:rsidRPr="00981DC5">
        <w:rPr>
          <w:rFonts w:ascii="Book Antiqua" w:hAnsi="Book Antiqua" w:cs="Calibri"/>
          <w:noProof/>
          <w:color w:val="000000" w:themeColor="text1"/>
          <w:sz w:val="24"/>
          <w:szCs w:val="24"/>
          <w:vertAlign w:val="superscript"/>
          <w:lang w:val="en-US"/>
        </w:rPr>
        <w:t>[14]</w:t>
      </w:r>
      <w:r w:rsidRPr="00981DC5">
        <w:rPr>
          <w:rFonts w:ascii="Book Antiqua" w:hAnsi="Book Antiqua" w:cs="Calibri"/>
          <w:color w:val="000000" w:themeColor="text1"/>
          <w:sz w:val="24"/>
          <w:szCs w:val="24"/>
          <w:lang w:val="en-US"/>
        </w:rPr>
        <w:fldChar w:fldCharType="end"/>
      </w:r>
      <w:r w:rsidRPr="00981DC5">
        <w:rPr>
          <w:rFonts w:ascii="Book Antiqua" w:hAnsi="Book Antiqua" w:cs="Calibri"/>
          <w:color w:val="000000" w:themeColor="text1"/>
          <w:sz w:val="24"/>
          <w:szCs w:val="24"/>
          <w:lang w:val="en-US"/>
        </w:rPr>
        <w:t>. Preliminary studies were conducted also with patient-derived pancreatic cancer cells or tissue</w:t>
      </w:r>
      <w:r w:rsidRPr="00981DC5">
        <w:rPr>
          <w:rFonts w:ascii="Book Antiqua" w:hAnsi="Book Antiqua" w:cs="Calibri"/>
          <w:color w:val="000000" w:themeColor="text1"/>
          <w:sz w:val="24"/>
          <w:szCs w:val="24"/>
          <w:lang w:val="en-US"/>
        </w:rPr>
        <w:fldChar w:fldCharType="begin" w:fldLock="1"/>
      </w:r>
      <w:r w:rsidRPr="00981DC5">
        <w:rPr>
          <w:rFonts w:ascii="Book Antiqua" w:hAnsi="Book Antiqua" w:cs="Calibri"/>
          <w:color w:val="000000" w:themeColor="text1"/>
          <w:sz w:val="24"/>
          <w:szCs w:val="24"/>
          <w:lang w:val="en-US"/>
        </w:rPr>
        <w:instrText>ADDIN CSL_CITATION {"citationItems":[{"id":"ITEM-1","itemData":{"DOI":"10.1186/1471-2407-9-128","ISSN":"1471-2407","PMID":"19400945","abstract":"BACKGROUND Aberrant regulation of cell migration drives progression of many diseases, including cancer cell invasion and metastasis formation. Analysis of tumour invasion and metastasis in living organisms to date is cumbersome and involves difficult and time consuming investigative techniques. For primary human tumours we establish here a simple, fast, sensitive and cost-effective in vivo model to analyse tumour invasion and metastatic behaviour. METHODS We fluorescently labelled small explants from gastrointestinal human tumours and investigated their metastatic behaviour after transplantation into zebrafish embryos and larvae. The transparency of the zebrafish embryos allows to follow invasion, migration and micrometastasis formation in real-time. High resolution imaging was achieved through laser scanning confocal microscopy of live zebrafish. RESULTS In the transparent zebrafish embryos invasion, circulation of tumour cells in blood vessels, migration and micrometastasis formation can be followed in real-time. Xenografts of primary human tumours showed invasiveness and micrometastasis formation within 24 hours after transplantation, which was absent when non-tumour tissue was implanted. Furthermore, primary human tumour cells, when organotopically implanted in the zebrafish liver, demonstrated invasiveness and metastatic behaviour, whereas primary control cells remained in the liver. Pancreatic tumour cells showed no metastatic behaviour when injected into cloche mutant embryos, which lack a functional vasculature. CONCLUSION Our results show that the zebrafish is a useful in vivo animal model for rapid analysis of invasion and metastatic behaviour of primary human tumour specimen.","author":[{"dropping-particle":"","family":"Marques","given":"Ines J","non-dropping-particle":"","parse-names":false,"suffix":""},{"dropping-particle":"","family":"Weiss","given":"Frank Ulrich","non-dropping-particle":"","parse-names":false,"suffix":""},{"dropping-particle":"","family":"Vlecken","given":"Danielle H","non-dropping-particle":"","parse-names":false,"suffix":""},{"dropping-particle":"","family":"Nitsche","given":"Claudia","non-dropping-particle":"","parse-names":false,"suffix":""},{"dropping-particle":"","family":"Bakkers","given":"Jeroen","non-dropping-particle":"","parse-names":false,"suffix":""},{"dropping-particle":"","family":"Lagendijk","given":"Anne K","non-dropping-particle":"","parse-names":false,"suffix":""},{"dropping-particle":"","family":"Partecke","given":"Lars Ivo","non-dropping-particle":"","parse-names":false,"suffix":""},{"dropping-particle":"","family":"Heidecke","given":"Claus-Dieter","non-dropping-particle":"","parse-names":false,"suffix":""},{"dropping-particle":"","family":"Lerch","given":"Markus M","non-dropping-particle":"","parse-names":false,"suffix":""},{"dropping-particle":"","family":"Bagowski","given":"Christoph P","non-dropping-particle":"","parse-names":false,"suffix":""}],"container-title":"BMC Cancer","id":"ITEM-1","issue":"1","issued":{"date-parts":[["2009","12","28"]]},"page":"128","title":"Metastatic behaviour of primary human tumours in a zebrafish xenotransplantation model","type":"article-journal","volume":"9"},"uris":["http://www.mendeley.com/documents/?uuid=a9a83631-12d7-3b00-945b-0ad69199b290"]},{"id":"ITEM-2","itemData":{"DOI":"10.1053/j.gastro.2009.08.065","ISSN":"1528-0012","PMID":"19747919","abstract":"BACKGROUND &amp; AIMS The infiltrating ductal adenocarcinoma of the pancreas is among the most lethal of all solid malignancies, largely owing to a high frequency of early metastasis. We identified microRNA-10a (miR-10a) as an important mediator of metastasis formation in pancreatic tumor cells and investigated the upstream and downstream regulatory mechanisms of miR-10a. METHODS Northern blot analysis revealed increased expression levels of miR-10a in metastatic pancreatic adenocarcinoma. The role of miR-10a was analyzed by Morpholino and short interfering RNA transfection of pancreatic carcinoma cell lines and resected specimens of human pancreatic carcinoma. Metastatic behavior of primary pancreatic tumors and cancer cell lines was tested in xenotransplantation experiments in zebrafish embryos. RESULTS We show that miR-10a expression promotes metastatic behavior of pancreatic tumor cells and that repression of miR-10a is sufficient to inhibit invasion and metastasis formation. We further show that miR-10a is a retinoid acid target and that retinoic acid receptor antagonists effectively repress miR-10a expression and completely block metastasis. This antimetastatic activity can be prevented by specific knockdown of HOX genes, HOXB1 and HOXB3. Interestingly, suppression of HOXB1 and HOXB3 in pancreatic cancer cells is sufficient to promote metastasis formation. CONCLUSIONS These findings suggest that miR-10a is a key mediator of metastatic behavior in pancreatic cancer, which regulates metastasis via suppression of HOXB1 and HOXB3. Inhibition of miR-10a expression (with retinoic acid receptor antagonists) or function (with specific inhibitors) is a promising starting point for antimetastatic therapies.","author":[{"dropping-particle":"","family":"Weiss","given":"Frank Ulrich","non-dropping-particle":"","parse-names":false,"suffix":""},{"dropping-particle":"","family":"Marques","given":"Ines J","non-dropping-particle":"","parse-names":false,"suffix":""},{"dropping-particle":"","family":"Woltering","given":"Joost M","non-dropping-particle":"","parse-names":false,"suffix":""},{"dropping-particle":"","family":"Vlecken","given":"Danielle H","non-dropping-particle":"","parse-names":false,"suffix":""},{"dropping-particle":"","family":"Aghdassi","given":"Ali","non-dropping-particle":"","parse-names":false,"suffix":""},{"dropping-particle":"","family":"Partecke","given":"Lars Ivo","non-dropping-particle":"","parse-names":false,"suffix":""},{"dropping-particle":"","family":"Heidecke","given":"Claus-Dieter","non-dropping-particle":"","parse-names":false,"suffix":""},{"dropping-particle":"","family":"Lerch","given":"Markus M","non-dropping-particle":"","parse-names":false,"suffix":""},{"dropping-particle":"","family":"Bagowski","given":"Christoph P","non-dropping-particle":"","parse-names":false,"suffix":""}],"container-title":"Gastroenterology","id":"ITEM-2","issue":"6","issued":{"date-parts":[["2009","12"]]},"page":"2136-45.e1-7","title":"Retinoic acid receptor antagonists inhibit miR-10a expression and block metastatic behavior of pancreatic cancer.","type":"article-journal","volume":"137"},"uris":["http://www.mendeley.com/documents/?uuid=c6743fe7-b395-3981-8e63-7a032b0669a5"]},{"id":"ITEM-3","itemData":{"DOI":"10.3892/or.2015.4019","ISSN":"1791-2431","PMID":"26035715","abstract":"Pancreatic cancer is one of the most aggressive human cancers, and the pharmaceutical outcomes for its treatment remain disappointing. Proper animal models will provide an efficient platform for investigating novel drugs, and the zebrafish has become one of the most promising and comprehensive model animal in cancer research. In the present study, we used a novel xenograft model in zebrafish by transplanting human pancreatic cancer cells to study the progression and metastasis of pancreatic cancer cells and to assay the pharmacological effects of new drug U0126 in vivo. We first established a primary xenograft model of pancreatic cancer by injecting human pancreatic cancer cells into both live larval and adult zebrafish, and then investigated the behaviors of CM-DiI</w:instrText>
      </w:r>
      <w:r w:rsidRPr="00981DC5">
        <w:rPr>
          <w:rFonts w:ascii="Cambria Math" w:hAnsi="Cambria Math" w:cs="Cambria Math"/>
          <w:color w:val="000000" w:themeColor="text1"/>
          <w:sz w:val="24"/>
          <w:szCs w:val="24"/>
          <w:lang w:val="en-US"/>
        </w:rPr>
        <w:instrText>‑</w:instrText>
      </w:r>
      <w:r w:rsidRPr="00981DC5">
        <w:rPr>
          <w:rFonts w:ascii="Book Antiqua" w:hAnsi="Book Antiqua" w:cs="Calibri"/>
          <w:color w:val="000000" w:themeColor="text1"/>
          <w:sz w:val="24"/>
          <w:szCs w:val="24"/>
          <w:lang w:val="en-US"/>
        </w:rPr>
        <w:instrText>labeled human pancreatic cancer cells. Subsequently, we tested the potential of this model for drug screening by evaluating a known small-molecule inhibitor, U0126, which targets the KRAS signaling pathway. Cells with KRAS mutations exhibited significant proliferative and migratory behaviors and invaded the zebrafish vasculature system. In contrast, the proliferation and migration of Mia PaCa-2 cells in zebrafish larvae were substantially repressed following U0126 treatment. These results suggest that zebrafish xenotransplantation can be used as a simple and efficient tool to screen and identify new anti-pancreatic cancer compounds.","author":[{"dropping-particle":"","family":"Guo","given":"Meng","non-dropping-particle":"","parse-names":false,"suffix":""},{"dropping-particle":"","family":"Wei","given":"Huanhuan","non-dropping-particle":"","parse-names":false,"suffix":""},{"dropping-particle":"","family":"Hu","given":"Jingying","non-dropping-particle":"","parse-names":false,"suffix":""},{"dropping-particle":"","family":"Sun","given":"Shaoyang","non-dropping-particle":"","parse-names":false,"suffix":""},{"dropping-particle":"","family":"Long","given":"Jiang","non-dropping-particle":"","parse-names":false,"suffix":""},{"dropping-particle":"","family":"Wang","given":"Xu","non-dropping-particle":"","parse-names":false,"suffix":""}],"container-title":"Oncology reports","id":"ITEM-3","issue":"2","issued":{"date-parts":[["2015","8"]]},"page":"699-706","title":"U0126 inhibits pancreatic cancer progression via the KRAS signaling pathway in a zebrafish xenotransplantation model.","type":"article-journal","volume":"34"},"uris":["http://www.mendeley.com/documents/?uuid=b574eeca-a50a-32bc-a167-5978ab78fb9f"]}],"mendeley":{"formattedCitation":"&lt;sup&gt;[15–17]&lt;/sup&gt;","plainTextFormattedCitation":"[15–17]","previouslyFormattedCitation":"&lt;sup&gt;[15–17]&lt;/sup&gt;"},"properties":{"noteIndex":0},"schema":"https://github.com/citation-style-language/schema/raw/master/csl-citation.json"}</w:instrText>
      </w:r>
      <w:r w:rsidRPr="00981DC5">
        <w:rPr>
          <w:rFonts w:ascii="Book Antiqua" w:hAnsi="Book Antiqua" w:cs="Calibri"/>
          <w:color w:val="000000" w:themeColor="text1"/>
          <w:sz w:val="24"/>
          <w:szCs w:val="24"/>
          <w:lang w:val="en-US"/>
        </w:rPr>
        <w:fldChar w:fldCharType="separate"/>
      </w:r>
      <w:r w:rsidRPr="00981DC5">
        <w:rPr>
          <w:rFonts w:ascii="Book Antiqua" w:hAnsi="Book Antiqua" w:cs="Calibri"/>
          <w:noProof/>
          <w:color w:val="000000" w:themeColor="text1"/>
          <w:sz w:val="24"/>
          <w:szCs w:val="24"/>
          <w:vertAlign w:val="superscript"/>
          <w:lang w:val="en-US"/>
        </w:rPr>
        <w:t>[15</w:t>
      </w:r>
      <w:r w:rsidR="00B11A05" w:rsidRPr="00981DC5">
        <w:rPr>
          <w:rFonts w:ascii="Book Antiqua" w:hAnsi="Book Antiqua" w:cs="Calibri"/>
          <w:noProof/>
          <w:color w:val="000000" w:themeColor="text1"/>
          <w:sz w:val="24"/>
          <w:szCs w:val="24"/>
          <w:vertAlign w:val="superscript"/>
          <w:lang w:val="en-US"/>
        </w:rPr>
        <w:t>-</w:t>
      </w:r>
      <w:r w:rsidRPr="00981DC5">
        <w:rPr>
          <w:rFonts w:ascii="Book Antiqua" w:hAnsi="Book Antiqua" w:cs="Calibri"/>
          <w:noProof/>
          <w:color w:val="000000" w:themeColor="text1"/>
          <w:sz w:val="24"/>
          <w:szCs w:val="24"/>
          <w:vertAlign w:val="superscript"/>
          <w:lang w:val="en-US"/>
        </w:rPr>
        <w:t>17]</w:t>
      </w:r>
      <w:r w:rsidRPr="00981DC5">
        <w:rPr>
          <w:rFonts w:ascii="Book Antiqua" w:hAnsi="Book Antiqua" w:cs="Calibri"/>
          <w:color w:val="000000" w:themeColor="text1"/>
          <w:sz w:val="24"/>
          <w:szCs w:val="24"/>
          <w:lang w:val="en-US"/>
        </w:rPr>
        <w:fldChar w:fldCharType="end"/>
      </w:r>
      <w:r w:rsidRPr="00981DC5">
        <w:rPr>
          <w:rFonts w:ascii="Book Antiqua" w:hAnsi="Book Antiqua" w:cs="Calibri"/>
          <w:color w:val="000000" w:themeColor="text1"/>
          <w:sz w:val="24"/>
          <w:szCs w:val="24"/>
          <w:lang w:val="en-US"/>
        </w:rPr>
        <w:t>. The aim of this study is to propose a model that is possibly simple, not expensive and diffusible to use the zebrafish embryos as avatars for patients affected by PDAC to predict the efficacy of the different chemotherapy schemes and the clinical response to the treatment.</w:t>
      </w:r>
    </w:p>
    <w:p w14:paraId="1EC8AD53" w14:textId="77777777" w:rsidR="006A3D96" w:rsidRPr="00981DC5" w:rsidRDefault="006A3D96" w:rsidP="00B11A05">
      <w:pPr>
        <w:adjustRightInd w:val="0"/>
        <w:snapToGrid w:val="0"/>
        <w:spacing w:after="0" w:line="360" w:lineRule="auto"/>
        <w:jc w:val="both"/>
        <w:rPr>
          <w:rFonts w:ascii="Book Antiqua" w:hAnsi="Book Antiqua" w:cs="Calibri"/>
          <w:b/>
          <w:color w:val="000000" w:themeColor="text1"/>
          <w:sz w:val="24"/>
          <w:szCs w:val="24"/>
          <w:lang w:val="en-US"/>
        </w:rPr>
      </w:pPr>
    </w:p>
    <w:p w14:paraId="711EF3F3" w14:textId="77777777" w:rsidR="00B11A05" w:rsidRPr="00981DC5" w:rsidRDefault="00B11A05" w:rsidP="00B11A05">
      <w:pPr>
        <w:adjustRightInd w:val="0"/>
        <w:snapToGrid w:val="0"/>
        <w:spacing w:after="0" w:line="360" w:lineRule="auto"/>
        <w:jc w:val="both"/>
        <w:rPr>
          <w:rFonts w:ascii="Book Antiqua" w:hAnsi="Book Antiqua" w:cstheme="minorHAnsi"/>
          <w:b/>
          <w:color w:val="000000" w:themeColor="text1"/>
          <w:sz w:val="24"/>
          <w:szCs w:val="24"/>
          <w:u w:val="single"/>
        </w:rPr>
      </w:pPr>
      <w:r w:rsidRPr="00981DC5">
        <w:rPr>
          <w:rFonts w:ascii="Book Antiqua" w:hAnsi="Book Antiqua" w:cstheme="minorHAnsi"/>
          <w:b/>
          <w:color w:val="000000" w:themeColor="text1"/>
          <w:sz w:val="24"/>
          <w:szCs w:val="24"/>
          <w:u w:val="single"/>
        </w:rPr>
        <w:t>MATERIALS AND METHODS</w:t>
      </w:r>
    </w:p>
    <w:p w14:paraId="14C17E2A" w14:textId="717D4F85" w:rsidR="006A3D96" w:rsidRPr="00981DC5" w:rsidRDefault="006A3D96" w:rsidP="00B11A05">
      <w:pPr>
        <w:adjustRightInd w:val="0"/>
        <w:snapToGrid w:val="0"/>
        <w:spacing w:after="0" w:line="360" w:lineRule="auto"/>
        <w:jc w:val="both"/>
        <w:rPr>
          <w:rFonts w:ascii="Book Antiqua" w:hAnsi="Book Antiqua" w:cs="Calibri"/>
          <w:color w:val="000000" w:themeColor="text1"/>
          <w:sz w:val="24"/>
          <w:szCs w:val="24"/>
          <w:lang w:val="en-US"/>
        </w:rPr>
      </w:pPr>
      <w:r w:rsidRPr="00981DC5">
        <w:rPr>
          <w:rFonts w:ascii="Book Antiqua" w:hAnsi="Book Antiqua" w:cs="Calibri"/>
          <w:color w:val="000000" w:themeColor="text1"/>
          <w:sz w:val="24"/>
          <w:szCs w:val="24"/>
          <w:lang w:val="en-US"/>
        </w:rPr>
        <w:t>Patients affected by PDAC</w:t>
      </w:r>
      <w:r w:rsidR="0036037E" w:rsidRPr="00981DC5">
        <w:rPr>
          <w:rFonts w:ascii="Book Antiqua" w:hAnsi="Book Antiqua" w:cs="Calibri"/>
          <w:color w:val="000000" w:themeColor="text1"/>
          <w:sz w:val="24"/>
          <w:szCs w:val="24"/>
          <w:lang w:val="en-US"/>
        </w:rPr>
        <w:t xml:space="preserve"> that had</w:t>
      </w:r>
      <w:r w:rsidRPr="00981DC5">
        <w:rPr>
          <w:rFonts w:ascii="Book Antiqua" w:hAnsi="Book Antiqua" w:cs="Calibri"/>
          <w:color w:val="000000" w:themeColor="text1"/>
          <w:sz w:val="24"/>
          <w:szCs w:val="24"/>
          <w:lang w:val="en-US"/>
        </w:rPr>
        <w:t xml:space="preserve"> undergone pancreatic resection were enrolled after written informed consent. After the surgical operation, the specimen was analyzed by the pathologist and a fragment of the tumor was taken for the xenotransplantation in</w:t>
      </w:r>
      <w:r w:rsidR="00193E11" w:rsidRPr="00981DC5">
        <w:rPr>
          <w:rFonts w:ascii="Book Antiqua" w:hAnsi="Book Antiqua" w:cs="Calibri"/>
          <w:color w:val="000000" w:themeColor="text1"/>
          <w:sz w:val="24"/>
          <w:szCs w:val="24"/>
          <w:lang w:val="en-US"/>
        </w:rPr>
        <w:t xml:space="preserve"> </w:t>
      </w:r>
      <w:r w:rsidRPr="00981DC5">
        <w:rPr>
          <w:rFonts w:ascii="Book Antiqua" w:hAnsi="Book Antiqua" w:cs="Calibri"/>
          <w:color w:val="000000" w:themeColor="text1"/>
          <w:sz w:val="24"/>
          <w:szCs w:val="24"/>
          <w:lang w:val="en-US"/>
        </w:rPr>
        <w:t>zebrafish embryos.</w:t>
      </w:r>
    </w:p>
    <w:p w14:paraId="6AA3F2BE" w14:textId="26D4B079" w:rsidR="006A3D96" w:rsidRPr="00981DC5" w:rsidRDefault="006A3D96" w:rsidP="00B11A05">
      <w:pPr>
        <w:adjustRightInd w:val="0"/>
        <w:snapToGrid w:val="0"/>
        <w:spacing w:after="0" w:line="360" w:lineRule="auto"/>
        <w:ind w:firstLineChars="100" w:firstLine="240"/>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lang w:val="en-US"/>
        </w:rPr>
        <w:t xml:space="preserve">Preoperative data included diagnosis, age, gender, </w:t>
      </w:r>
      <w:r w:rsidR="00CA3E0A">
        <w:rPr>
          <w:rFonts w:ascii="Book Antiqua" w:hAnsi="Book Antiqua"/>
          <w:color w:val="000000" w:themeColor="text1"/>
          <w:sz w:val="24"/>
          <w:szCs w:val="24"/>
          <w:lang w:val="en-US"/>
        </w:rPr>
        <w:t>body mass index (</w:t>
      </w:r>
      <w:r w:rsidRPr="00981DC5">
        <w:rPr>
          <w:rFonts w:ascii="Book Antiqua" w:hAnsi="Book Antiqua"/>
          <w:color w:val="000000" w:themeColor="text1"/>
          <w:sz w:val="24"/>
          <w:szCs w:val="24"/>
          <w:lang w:val="en-US"/>
        </w:rPr>
        <w:t>BMI</w:t>
      </w:r>
      <w:r w:rsidR="00CA3E0A">
        <w:rPr>
          <w:rFonts w:ascii="Book Antiqua" w:hAnsi="Book Antiqua"/>
          <w:color w:val="000000" w:themeColor="text1"/>
          <w:sz w:val="24"/>
          <w:szCs w:val="24"/>
          <w:lang w:val="en-US"/>
        </w:rPr>
        <w:t>)</w:t>
      </w:r>
      <w:r w:rsidRPr="00981DC5">
        <w:rPr>
          <w:rFonts w:ascii="Book Antiqua" w:hAnsi="Book Antiqua"/>
          <w:color w:val="000000" w:themeColor="text1"/>
          <w:sz w:val="24"/>
          <w:szCs w:val="24"/>
          <w:lang w:val="en-US"/>
        </w:rPr>
        <w:t xml:space="preserve">, value of tumor marker </w:t>
      </w:r>
      <w:r w:rsidRPr="00613E2D">
        <w:rPr>
          <w:rFonts w:ascii="Book Antiqua" w:hAnsi="Book Antiqua"/>
          <w:caps/>
          <w:color w:val="000000" w:themeColor="text1"/>
          <w:sz w:val="24"/>
          <w:szCs w:val="24"/>
          <w:lang w:val="en-US"/>
        </w:rPr>
        <w:t>Ca</w:t>
      </w:r>
      <w:r w:rsidRPr="00981DC5">
        <w:rPr>
          <w:rFonts w:ascii="Book Antiqua" w:hAnsi="Book Antiqua"/>
          <w:color w:val="000000" w:themeColor="text1"/>
          <w:sz w:val="24"/>
          <w:szCs w:val="24"/>
          <w:lang w:val="en-US"/>
        </w:rPr>
        <w:t xml:space="preserve"> 19.9, and neoadjuvant chemotherapy and/or radiotherapy for neoplastic disease. Operative data included type of surgical procedure, if an associated vascular resection was performed, and if there were problems in taking a fragment of the tumor for the xenotransplantation. Histological data included: histological type of the tumor, grade of differentiation, tumor dimension, number of harvested lymph nodes, number of metastatic lymph nodes, presence of</w:t>
      </w:r>
      <w:r w:rsidRPr="00981DC5">
        <w:rPr>
          <w:rFonts w:ascii="Book Antiqua" w:hAnsi="Book Antiqua" w:cs="Calibri"/>
          <w:color w:val="000000" w:themeColor="text1"/>
          <w:sz w:val="24"/>
          <w:szCs w:val="24"/>
          <w:lang w:val="en-US"/>
        </w:rPr>
        <w:t xml:space="preserve"> angioinvasion and perineural infiltration, presence of vascular infiltration in case of vascular resection. Patients were staged according to the T and N definitions proposed for the </w:t>
      </w:r>
      <w:r w:rsidR="00CA3E0A" w:rsidRPr="00981DC5">
        <w:rPr>
          <w:rFonts w:ascii="Book Antiqua" w:hAnsi="Book Antiqua"/>
          <w:color w:val="000000" w:themeColor="text1"/>
          <w:sz w:val="24"/>
          <w:szCs w:val="24"/>
        </w:rPr>
        <w:t>American Joint Committee on Cancer</w:t>
      </w:r>
      <w:r w:rsidR="00CA3E0A" w:rsidRPr="00981DC5">
        <w:rPr>
          <w:rFonts w:ascii="Book Antiqua" w:hAnsi="Book Antiqua" w:cs="Calibri"/>
          <w:color w:val="000000" w:themeColor="text1"/>
          <w:sz w:val="24"/>
          <w:szCs w:val="24"/>
          <w:lang w:val="en-US"/>
        </w:rPr>
        <w:t xml:space="preserve"> </w:t>
      </w:r>
      <w:r w:rsidRPr="00981DC5">
        <w:rPr>
          <w:rFonts w:ascii="Book Antiqua" w:hAnsi="Book Antiqua" w:cs="Calibri"/>
          <w:color w:val="000000" w:themeColor="text1"/>
          <w:sz w:val="24"/>
          <w:szCs w:val="24"/>
          <w:lang w:val="en-US"/>
        </w:rPr>
        <w:t>8</w:t>
      </w:r>
      <w:r w:rsidRPr="00981DC5">
        <w:rPr>
          <w:rFonts w:ascii="Book Antiqua" w:hAnsi="Book Antiqua" w:cs="Calibri"/>
          <w:color w:val="000000" w:themeColor="text1"/>
          <w:sz w:val="24"/>
          <w:szCs w:val="24"/>
          <w:vertAlign w:val="superscript"/>
          <w:lang w:val="en-US"/>
        </w:rPr>
        <w:t>th</w:t>
      </w:r>
      <w:r w:rsidRPr="00981DC5">
        <w:rPr>
          <w:rFonts w:ascii="Book Antiqua" w:hAnsi="Book Antiqua" w:cs="Calibri"/>
          <w:color w:val="000000" w:themeColor="text1"/>
          <w:sz w:val="24"/>
          <w:szCs w:val="24"/>
          <w:lang w:val="en-US"/>
        </w:rPr>
        <w:t xml:space="preserve"> edition</w:t>
      </w:r>
      <w:r w:rsidRPr="00981DC5">
        <w:rPr>
          <w:rFonts w:ascii="Book Antiqua" w:hAnsi="Book Antiqua" w:cs="Calibri"/>
          <w:color w:val="000000" w:themeColor="text1"/>
          <w:sz w:val="24"/>
          <w:szCs w:val="24"/>
          <w:lang w:val="en-US"/>
        </w:rPr>
        <w:fldChar w:fldCharType="begin" w:fldLock="1"/>
      </w:r>
      <w:r w:rsidR="005E603D" w:rsidRPr="00981DC5">
        <w:rPr>
          <w:rFonts w:ascii="Book Antiqua" w:hAnsi="Book Antiqua" w:cs="Calibri"/>
          <w:color w:val="000000" w:themeColor="text1"/>
          <w:sz w:val="24"/>
          <w:szCs w:val="24"/>
          <w:lang w:val="en-US"/>
        </w:rPr>
        <w:instrText>ADDIN CSL_CITATION {"citationItems":[{"id":"ITEM-1","itemData":{"ISBN":"9783319406176","abstract":"Eighth edition. Previous edition published 2010. \"The AJCC Cancer Staging Manual is used by physicians and health care professionals throughout the world to facilitate the uniform description and reporting of neoplastic diseases. Proper classification and staging of cancer is essential for the physician to assign proper treatment, evaluate results of management and clinical trials, and to serve as the standard for local, regional and international reporting on cancer incidence and outcome. -- Significantly expanded and developed by international disease site expert panels, the Eighth Edition AJCC Cancer Staging Manual brings together all the currently available knowledge on staging of cancer at various anatomic sites. In this edition, evidence-based TNM staging is supplemented, as appropriate, by selected molecular markers and newly acquired insights into the molecular underpinnings of cancer. This edition features 12 entirely new staging systems, a wide range of changed or new staging definitions, and a refined emphasis on a personalized-medicine approach. To enhance the print and electronic usability of the cancer staging forms, they are now available exclusively for access and downloading at www.cancerstaging.org. -- The Eighth Edition AJCC Cancer Staging Manual remains the gold standard reference for oncologists, surgeons, pathologists, radiologists, cancer registrars and medical professionals world-wide to ensure that all those caring for cancer patients are fully versed in the language of cancer staging.\" -- from back of book. PART 1. General Information on Cancer Staging and End-Results Reporting -- PART 2. Head and Neck -- PART 3. Upper Gastrointestinal Tract -- PART 4. Lower Gastrointestinal Tract -- PART 5. Hepatobiliary System -- PART 6. Neuroendocrine Tumors -- PART 7. Thorax -- PART 8. Bone -- PART 9. Soft Tissue Sarcoma -- PART 10. Skin -- PART 11. Breast -- PART 12. Female Reproductive Organs -- PART 13. Male Genital Organs -- PART 14. Urinary Tract -- PART 15. Opthalmic Sites -- PART 16. Central Nervous System -- PART 17. Endocrine System -- PART 18. Hematologic Malignancies.","author":[{"dropping-particle":"","family":"Amin","given":"Mahul B.","non-dropping-particle":"","parse-names":false,"suffix":""},{"dropping-particle":"","family":"Edge","given":"Stephen B.","non-dropping-particle":"","parse-names":false,"suffix":""},{"dropping-particle":"","family":"American Joint Committee on Cancer","given":"","non-dropping-particle":"","parse-names":false,"suffix":""}],"edition":"8th ed.","id":"ITEM-1","issued":{"date-parts":[["2017"]]},"number-of-pages":"1024","publisher":"Springer","publisher-place":"New York","title":"AJCC cancer staging manual","type":"book"},"uris":["http://www.mendeley.com/documents/?uuid=b7085b8e-3bff-3a69-84a7-780b5146882b"]}],"mendeley":{"formattedCitation":"&lt;sup&gt;[18]&lt;/sup&gt;","plainTextFormattedCitation":"[18]","previouslyFormattedCitation":"&lt;sup&gt;[18]&lt;/sup&gt;"},"properties":{"noteIndex":0},"schema":"https://github.com/citation-style-language/schema/raw/master/csl-citation.json"}</w:instrText>
      </w:r>
      <w:r w:rsidRPr="00981DC5">
        <w:rPr>
          <w:rFonts w:ascii="Book Antiqua" w:hAnsi="Book Antiqua" w:cs="Calibri"/>
          <w:color w:val="000000" w:themeColor="text1"/>
          <w:sz w:val="24"/>
          <w:szCs w:val="24"/>
          <w:lang w:val="en-US"/>
        </w:rPr>
        <w:fldChar w:fldCharType="separate"/>
      </w:r>
      <w:r w:rsidR="005E603D" w:rsidRPr="00981DC5">
        <w:rPr>
          <w:rFonts w:ascii="Book Antiqua" w:hAnsi="Book Antiqua" w:cs="Calibri"/>
          <w:noProof/>
          <w:color w:val="000000" w:themeColor="text1"/>
          <w:sz w:val="24"/>
          <w:szCs w:val="24"/>
          <w:vertAlign w:val="superscript"/>
          <w:lang w:val="en-US"/>
        </w:rPr>
        <w:t>[18]</w:t>
      </w:r>
      <w:r w:rsidRPr="00981DC5">
        <w:rPr>
          <w:rFonts w:ascii="Book Antiqua" w:hAnsi="Book Antiqua" w:cs="Calibri"/>
          <w:color w:val="000000" w:themeColor="text1"/>
          <w:sz w:val="24"/>
          <w:szCs w:val="24"/>
          <w:lang w:val="en-US"/>
        </w:rPr>
        <w:fldChar w:fldCharType="end"/>
      </w:r>
      <w:r w:rsidRPr="00981DC5">
        <w:rPr>
          <w:rFonts w:ascii="Book Antiqua" w:hAnsi="Book Antiqua" w:cs="Calibri"/>
          <w:color w:val="000000" w:themeColor="text1"/>
          <w:sz w:val="24"/>
          <w:szCs w:val="24"/>
          <w:lang w:val="en-US"/>
        </w:rPr>
        <w:t>. Proposed T-stage definitions are the following: T1 ≤</w:t>
      </w:r>
      <w:r w:rsidR="00B11A05" w:rsidRPr="00981DC5">
        <w:rPr>
          <w:rFonts w:ascii="Book Antiqua" w:hAnsi="Book Antiqua" w:cs="Calibri"/>
          <w:color w:val="000000" w:themeColor="text1"/>
          <w:sz w:val="24"/>
          <w:szCs w:val="24"/>
          <w:lang w:val="en-US"/>
        </w:rPr>
        <w:t xml:space="preserve"> </w:t>
      </w:r>
      <w:r w:rsidRPr="00981DC5">
        <w:rPr>
          <w:rFonts w:ascii="Book Antiqua" w:hAnsi="Book Antiqua" w:cs="Calibri"/>
          <w:color w:val="000000" w:themeColor="text1"/>
          <w:sz w:val="24"/>
          <w:szCs w:val="24"/>
          <w:lang w:val="en-US"/>
        </w:rPr>
        <w:t xml:space="preserve">2 cm maximal diameter, </w:t>
      </w:r>
      <w:r w:rsidR="00CA3E0A" w:rsidRPr="00981DC5">
        <w:rPr>
          <w:rFonts w:ascii="Book Antiqua" w:hAnsi="Book Antiqua" w:cs="Calibri"/>
          <w:color w:val="000000" w:themeColor="text1"/>
          <w:sz w:val="24"/>
          <w:szCs w:val="24"/>
          <w:lang w:val="en-US"/>
        </w:rPr>
        <w:t>2</w:t>
      </w:r>
      <w:r w:rsidR="00CA3E0A">
        <w:rPr>
          <w:rFonts w:ascii="Book Antiqua" w:hAnsi="Book Antiqua" w:cs="Calibri"/>
          <w:color w:val="000000" w:themeColor="text1"/>
          <w:sz w:val="24"/>
          <w:szCs w:val="24"/>
          <w:lang w:val="en-US"/>
        </w:rPr>
        <w:t xml:space="preserve"> &lt; </w:t>
      </w:r>
      <w:r w:rsidRPr="00981DC5">
        <w:rPr>
          <w:rFonts w:ascii="Book Antiqua" w:hAnsi="Book Antiqua" w:cs="Calibri"/>
          <w:color w:val="000000" w:themeColor="text1"/>
          <w:sz w:val="24"/>
          <w:szCs w:val="24"/>
          <w:lang w:val="en-US"/>
        </w:rPr>
        <w:t>T2 ≤</w:t>
      </w:r>
      <w:r w:rsidR="00B11A05" w:rsidRPr="00981DC5">
        <w:rPr>
          <w:rFonts w:ascii="Book Antiqua" w:hAnsi="Book Antiqua" w:cs="Calibri"/>
          <w:color w:val="000000" w:themeColor="text1"/>
          <w:sz w:val="24"/>
          <w:szCs w:val="24"/>
          <w:lang w:val="en-US"/>
        </w:rPr>
        <w:t xml:space="preserve"> </w:t>
      </w:r>
      <w:r w:rsidRPr="00981DC5">
        <w:rPr>
          <w:rFonts w:ascii="Book Antiqua" w:hAnsi="Book Antiqua" w:cs="Calibri"/>
          <w:color w:val="000000" w:themeColor="text1"/>
          <w:sz w:val="24"/>
          <w:szCs w:val="24"/>
          <w:lang w:val="en-US"/>
        </w:rPr>
        <w:t>4 cm maximal diameter, T3 &gt;</w:t>
      </w:r>
      <w:r w:rsidR="00B11A05" w:rsidRPr="00981DC5">
        <w:rPr>
          <w:rFonts w:ascii="Book Antiqua" w:hAnsi="Book Antiqua" w:cs="Calibri"/>
          <w:color w:val="000000" w:themeColor="text1"/>
          <w:sz w:val="24"/>
          <w:szCs w:val="24"/>
          <w:lang w:val="en-US"/>
        </w:rPr>
        <w:t xml:space="preserve"> </w:t>
      </w:r>
      <w:r w:rsidRPr="00981DC5">
        <w:rPr>
          <w:rFonts w:ascii="Book Antiqua" w:hAnsi="Book Antiqua" w:cs="Calibri"/>
          <w:color w:val="000000" w:themeColor="text1"/>
          <w:sz w:val="24"/>
          <w:szCs w:val="24"/>
          <w:lang w:val="en-US"/>
        </w:rPr>
        <w:t>4 cm maximal diameter, T4 = locally unresectable. Extra</w:t>
      </w:r>
      <w:r w:rsidR="00A66D75" w:rsidRPr="00981DC5">
        <w:rPr>
          <w:rFonts w:ascii="Book Antiqua" w:hAnsi="Book Antiqua" w:cs="Calibri"/>
          <w:color w:val="000000" w:themeColor="text1"/>
          <w:sz w:val="24"/>
          <w:szCs w:val="24"/>
          <w:lang w:val="en-US"/>
        </w:rPr>
        <w:t>-</w:t>
      </w:r>
      <w:r w:rsidRPr="00981DC5">
        <w:rPr>
          <w:rFonts w:ascii="Book Antiqua" w:hAnsi="Book Antiqua" w:cs="Calibri"/>
          <w:color w:val="000000" w:themeColor="text1"/>
          <w:sz w:val="24"/>
          <w:szCs w:val="24"/>
          <w:lang w:val="en-US"/>
        </w:rPr>
        <w:t xml:space="preserve">pancreatic extension </w:t>
      </w:r>
      <w:r w:rsidRPr="00981DC5">
        <w:rPr>
          <w:rFonts w:ascii="Book Antiqua" w:hAnsi="Book Antiqua" w:cs="Calibri"/>
          <w:color w:val="000000" w:themeColor="text1"/>
          <w:sz w:val="24"/>
          <w:szCs w:val="24"/>
          <w:lang w:val="en-US"/>
        </w:rPr>
        <w:lastRenderedPageBreak/>
        <w:t>was not included in these T-stage definitions. Proposed N-stage definitions included the following: N0 = node negative, N1 = 1</w:t>
      </w:r>
      <w:r w:rsidR="00CA3E0A">
        <w:rPr>
          <w:rFonts w:ascii="Book Antiqua" w:hAnsi="Book Antiqua" w:cs="Calibri"/>
          <w:color w:val="000000" w:themeColor="text1"/>
          <w:sz w:val="24"/>
          <w:szCs w:val="24"/>
          <w:lang w:val="en-US"/>
        </w:rPr>
        <w:t>-</w:t>
      </w:r>
      <w:r w:rsidRPr="00981DC5">
        <w:rPr>
          <w:rFonts w:ascii="Book Antiqua" w:hAnsi="Book Antiqua" w:cs="Calibri"/>
          <w:color w:val="000000" w:themeColor="text1"/>
          <w:sz w:val="24"/>
          <w:szCs w:val="24"/>
          <w:lang w:val="en-US"/>
        </w:rPr>
        <w:t>3 nodes positive for metastatic disease, N2 ≥</w:t>
      </w:r>
      <w:r w:rsidR="00CA3E0A">
        <w:rPr>
          <w:rFonts w:ascii="Book Antiqua" w:hAnsi="Book Antiqua" w:cs="Calibri"/>
          <w:color w:val="000000" w:themeColor="text1"/>
          <w:sz w:val="24"/>
          <w:szCs w:val="24"/>
          <w:lang w:val="en-US"/>
        </w:rPr>
        <w:t xml:space="preserve"> </w:t>
      </w:r>
      <w:r w:rsidRPr="00981DC5">
        <w:rPr>
          <w:rFonts w:ascii="Book Antiqua" w:hAnsi="Book Antiqua" w:cs="Calibri"/>
          <w:color w:val="000000" w:themeColor="text1"/>
          <w:sz w:val="24"/>
          <w:szCs w:val="24"/>
          <w:lang w:val="en-US"/>
        </w:rPr>
        <w:t>4 nodes positive for metastatic disease.</w:t>
      </w:r>
    </w:p>
    <w:p w14:paraId="2FC9E55E" w14:textId="77777777" w:rsidR="00512A45" w:rsidRPr="00981DC5" w:rsidRDefault="00512A45" w:rsidP="00B11A05">
      <w:pPr>
        <w:adjustRightInd w:val="0"/>
        <w:snapToGrid w:val="0"/>
        <w:spacing w:after="0" w:line="360" w:lineRule="auto"/>
        <w:jc w:val="both"/>
        <w:rPr>
          <w:rFonts w:ascii="Book Antiqua" w:hAnsi="Book Antiqua" w:cs="Calibri"/>
          <w:i/>
          <w:color w:val="000000" w:themeColor="text1"/>
          <w:sz w:val="24"/>
          <w:szCs w:val="24"/>
          <w:lang w:val="en-US"/>
        </w:rPr>
      </w:pPr>
    </w:p>
    <w:p w14:paraId="7163120D" w14:textId="18C3EF8E" w:rsidR="006A3D96" w:rsidRPr="00981DC5" w:rsidRDefault="006A3D96" w:rsidP="00B11A05">
      <w:pPr>
        <w:adjustRightInd w:val="0"/>
        <w:snapToGrid w:val="0"/>
        <w:spacing w:after="0" w:line="360" w:lineRule="auto"/>
        <w:jc w:val="both"/>
        <w:rPr>
          <w:rFonts w:ascii="Book Antiqua" w:hAnsi="Book Antiqua"/>
          <w:b/>
          <w:bCs/>
          <w:color w:val="000000" w:themeColor="text1"/>
          <w:sz w:val="24"/>
          <w:szCs w:val="24"/>
          <w:lang w:val="en-US"/>
        </w:rPr>
      </w:pPr>
      <w:r w:rsidRPr="00981DC5">
        <w:rPr>
          <w:rFonts w:ascii="Book Antiqua" w:hAnsi="Book Antiqua" w:cs="Calibri"/>
          <w:b/>
          <w:bCs/>
          <w:i/>
          <w:color w:val="000000" w:themeColor="text1"/>
          <w:sz w:val="24"/>
          <w:szCs w:val="24"/>
          <w:lang w:val="en-US"/>
        </w:rPr>
        <w:t>Animal care and use statement</w:t>
      </w:r>
    </w:p>
    <w:p w14:paraId="41AB95B0" w14:textId="610469A2" w:rsidR="006A3D96" w:rsidRPr="00981DC5" w:rsidRDefault="006A3D96" w:rsidP="00B11A05">
      <w:pPr>
        <w:adjustRightInd w:val="0"/>
        <w:snapToGrid w:val="0"/>
        <w:spacing w:after="0" w:line="360" w:lineRule="auto"/>
        <w:jc w:val="both"/>
        <w:rPr>
          <w:rFonts w:ascii="Book Antiqua" w:hAnsi="Book Antiqua" w:cs="Calibri"/>
          <w:color w:val="000000" w:themeColor="text1"/>
          <w:sz w:val="24"/>
          <w:szCs w:val="24"/>
          <w:lang w:val="en-US"/>
        </w:rPr>
      </w:pPr>
      <w:r w:rsidRPr="00981DC5">
        <w:rPr>
          <w:rFonts w:ascii="Book Antiqua" w:hAnsi="Book Antiqua" w:cs="Calibri"/>
          <w:color w:val="000000" w:themeColor="text1"/>
          <w:sz w:val="24"/>
          <w:szCs w:val="24"/>
          <w:lang w:val="en-US"/>
        </w:rPr>
        <w:t xml:space="preserve">Zebrafish (Danio rerio) were handled in strict compliance with local animal welfare regulations (authorization n. 99/2012-A, 19.04.2012) and standard protocols approved by Italian Ministry of Public Health, in conformity with the Directive 2010/63/EU. </w:t>
      </w:r>
      <w:r w:rsidR="00601BEB" w:rsidRPr="00981DC5">
        <w:rPr>
          <w:rFonts w:ascii="Book Antiqua" w:hAnsi="Book Antiqua" w:cs="Calibri"/>
          <w:color w:val="000000" w:themeColor="text1"/>
          <w:sz w:val="24"/>
          <w:szCs w:val="24"/>
          <w:lang w:val="en-US"/>
        </w:rPr>
        <w:t xml:space="preserve">Fish were housed </w:t>
      </w:r>
      <w:r w:rsidR="00A048F5" w:rsidRPr="00981DC5">
        <w:rPr>
          <w:rFonts w:ascii="Book Antiqua" w:hAnsi="Book Antiqua" w:cs="Calibri"/>
          <w:color w:val="000000" w:themeColor="text1"/>
          <w:sz w:val="24"/>
          <w:szCs w:val="24"/>
          <w:lang w:val="en-US"/>
        </w:rPr>
        <w:t>at an average temperature of 28</w:t>
      </w:r>
      <w:r w:rsidR="00CA3E0A">
        <w:rPr>
          <w:rFonts w:ascii="Book Antiqua" w:hAnsi="Book Antiqua" w:cs="Calibri"/>
          <w:color w:val="000000" w:themeColor="text1"/>
          <w:sz w:val="24"/>
          <w:szCs w:val="24"/>
          <w:lang w:val="en-US"/>
        </w:rPr>
        <w:t xml:space="preserve"> </w:t>
      </w:r>
      <w:r w:rsidR="00A048F5" w:rsidRPr="00981DC5">
        <w:rPr>
          <w:rFonts w:ascii="Book Antiqua" w:hAnsi="Book Antiqua" w:cs="Calibri"/>
          <w:color w:val="000000" w:themeColor="text1"/>
          <w:sz w:val="24"/>
          <w:szCs w:val="24"/>
          <w:lang w:val="en-US"/>
        </w:rPr>
        <w:t xml:space="preserve">°C in a recirculating system with a 14:10 h light to dark cycle. </w:t>
      </w:r>
      <w:r w:rsidRPr="00981DC5">
        <w:rPr>
          <w:rFonts w:ascii="Book Antiqua" w:hAnsi="Book Antiqua" w:cs="Calibri"/>
          <w:color w:val="000000" w:themeColor="text1"/>
          <w:sz w:val="24"/>
          <w:szCs w:val="24"/>
          <w:lang w:val="en-US"/>
        </w:rPr>
        <w:t>Zebrafish fertilized eggs were obtained by natural mating of wild-type AB strain at our facilities and the developing embryos were staged in incubator at 28</w:t>
      </w:r>
      <w:r w:rsidR="00CA3E0A">
        <w:rPr>
          <w:rFonts w:ascii="Book Antiqua" w:hAnsi="Book Antiqua" w:cs="Calibri"/>
          <w:color w:val="000000" w:themeColor="text1"/>
          <w:sz w:val="24"/>
          <w:szCs w:val="24"/>
          <w:lang w:val="en-US"/>
        </w:rPr>
        <w:t xml:space="preserve"> </w:t>
      </w:r>
      <w:r w:rsidRPr="00981DC5">
        <w:rPr>
          <w:rFonts w:ascii="Book Antiqua" w:hAnsi="Book Antiqua" w:cs="Calibri"/>
          <w:color w:val="000000" w:themeColor="text1"/>
          <w:sz w:val="24"/>
          <w:szCs w:val="24"/>
          <w:lang w:val="en-US"/>
        </w:rPr>
        <w:t xml:space="preserve">°C according to Kimmel </w:t>
      </w:r>
      <w:r w:rsidRPr="00CA3E0A">
        <w:rPr>
          <w:rFonts w:ascii="Book Antiqua" w:hAnsi="Book Antiqua" w:cs="Calibri"/>
          <w:i/>
          <w:iCs/>
          <w:color w:val="000000" w:themeColor="text1"/>
          <w:sz w:val="24"/>
          <w:szCs w:val="24"/>
          <w:lang w:val="en-US"/>
        </w:rPr>
        <w:t>et al</w:t>
      </w:r>
      <w:r w:rsidRPr="00981DC5">
        <w:rPr>
          <w:rFonts w:ascii="Book Antiqua" w:hAnsi="Book Antiqua" w:cs="Calibri"/>
          <w:color w:val="000000" w:themeColor="text1"/>
          <w:sz w:val="24"/>
          <w:szCs w:val="24"/>
          <w:lang w:val="en-US"/>
        </w:rPr>
        <w:fldChar w:fldCharType="begin" w:fldLock="1"/>
      </w:r>
      <w:r w:rsidR="005E603D" w:rsidRPr="00981DC5">
        <w:rPr>
          <w:rFonts w:ascii="Book Antiqua" w:hAnsi="Book Antiqua" w:cs="Calibri"/>
          <w:color w:val="000000" w:themeColor="text1"/>
          <w:sz w:val="24"/>
          <w:szCs w:val="24"/>
          <w:lang w:val="en-US"/>
        </w:rPr>
        <w:instrText>ADDIN CSL_CITATION {"citationItems":[{"id":"ITEM-1","itemData":{"DOI":"10.1002/aja.1002030302","ISSN":"10970177","PMID":"8589427","abstract":"We describe a series of stages for development of the embryo of the zebrafish, Danio (Brachydanio) rerio. We define seven broad periods of embryogenesis—the zygote, cleavage, blastula, gastrula, segmentation, pharyngula, and hatching periods. These divisions highlight the changing spectrum of major developmental processes that occur during the first 3 days after fertilization, and we review some of what is known about morphogenesis and other significant events that occur during each of the periods. Stages subdivide the periods. Stages are named, not numbered as in most other series, providing for flexibility and continued evolution of the staging series as we learn more about development in this species. The stages, and their names, are based on morphological features, generally readily identified by examination of the live embryo with the dissecting stereomicroscope. The descriptions also fully utilize the optical transparancy of the live embryo, which provides for visibility of even very deep structures when the embryo is examined with the compound microscope and Nomarski interference contrast illumination. Photomicrographs and composite camera lucida line drawings characterize the stages pictorially. Other figures chart the development of distinctive characters used as staging aid signposts. ©1995 Wiley</w:instrText>
      </w:r>
      <w:r w:rsidR="005E603D" w:rsidRPr="00981DC5">
        <w:rPr>
          <w:rFonts w:ascii="Cambria Math" w:hAnsi="Cambria Math" w:cs="Cambria Math"/>
          <w:color w:val="000000" w:themeColor="text1"/>
          <w:sz w:val="24"/>
          <w:szCs w:val="24"/>
          <w:lang w:val="en-US"/>
        </w:rPr>
        <w:instrText>‐</w:instrText>
      </w:r>
      <w:r w:rsidR="005E603D" w:rsidRPr="00981DC5">
        <w:rPr>
          <w:rFonts w:ascii="Book Antiqua" w:hAnsi="Book Antiqua" w:cs="Calibri"/>
          <w:color w:val="000000" w:themeColor="text1"/>
          <w:sz w:val="24"/>
          <w:szCs w:val="24"/>
          <w:lang w:val="en-US"/>
        </w:rPr>
        <w:instrText>Liss, Inc. Copyright © 1995 Wiley</w:instrText>
      </w:r>
      <w:r w:rsidR="005E603D" w:rsidRPr="00981DC5">
        <w:rPr>
          <w:rFonts w:ascii="Cambria Math" w:hAnsi="Cambria Math" w:cs="Cambria Math"/>
          <w:color w:val="000000" w:themeColor="text1"/>
          <w:sz w:val="24"/>
          <w:szCs w:val="24"/>
          <w:lang w:val="en-US"/>
        </w:rPr>
        <w:instrText>‐</w:instrText>
      </w:r>
      <w:r w:rsidR="005E603D" w:rsidRPr="00981DC5">
        <w:rPr>
          <w:rFonts w:ascii="Book Antiqua" w:hAnsi="Book Antiqua" w:cs="Calibri"/>
          <w:color w:val="000000" w:themeColor="text1"/>
          <w:sz w:val="24"/>
          <w:szCs w:val="24"/>
          <w:lang w:val="en-US"/>
        </w:rPr>
        <w:instrText>Liss, Inc.","author":[{"dropping-particle":"","family":"Kimmel","given":"Charles B.","non-dropping-particle":"","parse-names":false,"suffix":""},{"dropping-particle":"","family":"Ballard","given":"William W.","non-dropping-particle":"","parse-names":false,"suffix":""},{"dropping-particle":"","family":"Kimmel","given":"Seth R.","non-dropping-particle":"","parse-names":false,"suffix":""},{"dropping-particle":"","family":"Ullmann","given":"Bonnie","non-dropping-particle":"","parse-names":false,"suffix":""},{"dropping-particle":"","family":"Schilling","given":"Thomas F.","non-dropping-particle":"","parse-names":false,"suffix":""}],"container-title":"Developmental Dynamics","id":"ITEM-1","issue":"3","issued":{"date-parts":[["1995"]]},"page":"253-310","title":"Stages of embryonic development of the zebrafish","type":"article-journal","volume":"203"},"uris":["http://www.mendeley.com/documents/?uuid=68e5d3e1-8db9-340f-9f03-49b836afb0de"]}],"mendeley":{"formattedCitation":"&lt;sup&gt;[19]&lt;/sup&gt;","plainTextFormattedCitation":"[19]","previouslyFormattedCitation":"&lt;sup&gt;[19]&lt;/sup&gt;"},"properties":{"noteIndex":0},"schema":"https://github.com/citation-style-language/schema/raw/master/csl-citation.json"}</w:instrText>
      </w:r>
      <w:r w:rsidRPr="00981DC5">
        <w:rPr>
          <w:rFonts w:ascii="Book Antiqua" w:hAnsi="Book Antiqua" w:cs="Calibri"/>
          <w:color w:val="000000" w:themeColor="text1"/>
          <w:sz w:val="24"/>
          <w:szCs w:val="24"/>
          <w:lang w:val="en-US"/>
        </w:rPr>
        <w:fldChar w:fldCharType="separate"/>
      </w:r>
      <w:r w:rsidR="005E603D" w:rsidRPr="00981DC5">
        <w:rPr>
          <w:rFonts w:ascii="Book Antiqua" w:hAnsi="Book Antiqua" w:cs="Calibri"/>
          <w:noProof/>
          <w:color w:val="000000" w:themeColor="text1"/>
          <w:sz w:val="24"/>
          <w:szCs w:val="24"/>
          <w:vertAlign w:val="superscript"/>
          <w:lang w:val="en-US"/>
        </w:rPr>
        <w:t>[19]</w:t>
      </w:r>
      <w:r w:rsidRPr="00981DC5">
        <w:rPr>
          <w:rFonts w:ascii="Book Antiqua" w:hAnsi="Book Antiqua" w:cs="Calibri"/>
          <w:color w:val="000000" w:themeColor="text1"/>
          <w:sz w:val="24"/>
          <w:szCs w:val="24"/>
          <w:lang w:val="en-US"/>
        </w:rPr>
        <w:fldChar w:fldCharType="end"/>
      </w:r>
      <w:r w:rsidRPr="00981DC5">
        <w:rPr>
          <w:rFonts w:ascii="Book Antiqua" w:hAnsi="Book Antiqua" w:cs="Calibri"/>
          <w:color w:val="000000" w:themeColor="text1"/>
          <w:sz w:val="24"/>
          <w:szCs w:val="24"/>
          <w:lang w:val="en-US"/>
        </w:rPr>
        <w:t>. Before any procedure, embryos were anesthetized in 0.02% tricaine.</w:t>
      </w:r>
    </w:p>
    <w:p w14:paraId="52EAE79A" w14:textId="77777777" w:rsidR="00512A45" w:rsidRPr="00981DC5" w:rsidRDefault="00512A45" w:rsidP="00B11A05">
      <w:pPr>
        <w:adjustRightInd w:val="0"/>
        <w:snapToGrid w:val="0"/>
        <w:spacing w:after="0" w:line="360" w:lineRule="auto"/>
        <w:jc w:val="both"/>
        <w:rPr>
          <w:rFonts w:ascii="Book Antiqua" w:hAnsi="Book Antiqua" w:cs="Calibri"/>
          <w:color w:val="000000" w:themeColor="text1"/>
          <w:sz w:val="24"/>
          <w:szCs w:val="24"/>
          <w:lang w:val="en-US"/>
        </w:rPr>
      </w:pPr>
    </w:p>
    <w:p w14:paraId="6E9A5D8C" w14:textId="77777777" w:rsidR="006A3D96" w:rsidRPr="00981DC5" w:rsidRDefault="006A3D96" w:rsidP="00B11A05">
      <w:pPr>
        <w:adjustRightInd w:val="0"/>
        <w:snapToGrid w:val="0"/>
        <w:spacing w:after="0" w:line="360" w:lineRule="auto"/>
        <w:jc w:val="both"/>
        <w:rPr>
          <w:rFonts w:ascii="Book Antiqua" w:hAnsi="Book Antiqua" w:cs="Calibri"/>
          <w:b/>
          <w:bCs/>
          <w:i/>
          <w:color w:val="000000" w:themeColor="text1"/>
          <w:sz w:val="24"/>
          <w:szCs w:val="24"/>
          <w:lang w:val="en-US"/>
        </w:rPr>
      </w:pPr>
      <w:r w:rsidRPr="00981DC5">
        <w:rPr>
          <w:rFonts w:ascii="Book Antiqua" w:hAnsi="Book Antiqua" w:cs="Calibri"/>
          <w:b/>
          <w:bCs/>
          <w:i/>
          <w:color w:val="000000" w:themeColor="text1"/>
          <w:sz w:val="24"/>
          <w:szCs w:val="24"/>
          <w:lang w:val="en-US"/>
        </w:rPr>
        <w:t>Zebrafish embryos xenotransplantation and chemotherapy test</w:t>
      </w:r>
    </w:p>
    <w:p w14:paraId="43B05355" w14:textId="7348B57F" w:rsidR="006A3D96" w:rsidRPr="00981DC5" w:rsidRDefault="006A3D96" w:rsidP="00B11A05">
      <w:pPr>
        <w:adjustRightInd w:val="0"/>
        <w:snapToGrid w:val="0"/>
        <w:spacing w:after="0" w:line="360" w:lineRule="auto"/>
        <w:jc w:val="both"/>
        <w:rPr>
          <w:rFonts w:ascii="Book Antiqua" w:hAnsi="Book Antiqua" w:cs="Calibri"/>
          <w:color w:val="000000" w:themeColor="text1"/>
          <w:sz w:val="24"/>
          <w:szCs w:val="24"/>
          <w:lang w:val="en-US"/>
        </w:rPr>
      </w:pPr>
      <w:r w:rsidRPr="00981DC5">
        <w:rPr>
          <w:rFonts w:ascii="Book Antiqua" w:hAnsi="Book Antiqua" w:cs="Calibri"/>
          <w:color w:val="000000" w:themeColor="text1"/>
          <w:sz w:val="24"/>
          <w:szCs w:val="24"/>
          <w:lang w:val="en-US"/>
        </w:rPr>
        <w:t xml:space="preserve">We used the protocol described in our article on validation of </w:t>
      </w:r>
      <w:r w:rsidR="00EA070F" w:rsidRPr="00981DC5">
        <w:rPr>
          <w:rFonts w:ascii="Book Antiqua" w:hAnsi="Book Antiqua" w:cs="Calibri"/>
          <w:color w:val="000000" w:themeColor="text1"/>
          <w:sz w:val="24"/>
          <w:szCs w:val="24"/>
          <w:lang w:val="en-US"/>
        </w:rPr>
        <w:t xml:space="preserve">zebrafish embryos as Avatar </w:t>
      </w:r>
      <w:r w:rsidRPr="00981DC5">
        <w:rPr>
          <w:rFonts w:ascii="Book Antiqua" w:hAnsi="Book Antiqua" w:cs="Calibri"/>
          <w:color w:val="000000" w:themeColor="text1"/>
          <w:sz w:val="24"/>
          <w:szCs w:val="24"/>
          <w:lang w:val="en-US"/>
        </w:rPr>
        <w:t>t</w:t>
      </w:r>
      <w:r w:rsidR="00EA070F" w:rsidRPr="00981DC5">
        <w:rPr>
          <w:rFonts w:ascii="Book Antiqua" w:hAnsi="Book Antiqua" w:cs="Calibri"/>
          <w:color w:val="000000" w:themeColor="text1"/>
          <w:sz w:val="24"/>
          <w:szCs w:val="24"/>
          <w:lang w:val="en-US"/>
        </w:rPr>
        <w:t xml:space="preserve">o </w:t>
      </w:r>
      <w:r w:rsidRPr="00981DC5">
        <w:rPr>
          <w:rFonts w:ascii="Book Antiqua" w:hAnsi="Book Antiqua" w:cs="Calibri"/>
          <w:color w:val="000000" w:themeColor="text1"/>
          <w:sz w:val="24"/>
          <w:szCs w:val="24"/>
          <w:lang w:val="en-US"/>
        </w:rPr>
        <w:t>test chemotherapy drugs</w:t>
      </w:r>
      <w:r w:rsidRPr="00981DC5">
        <w:rPr>
          <w:rFonts w:ascii="Book Antiqua" w:hAnsi="Book Antiqua" w:cs="Calibri"/>
          <w:color w:val="000000" w:themeColor="text1"/>
          <w:sz w:val="24"/>
          <w:szCs w:val="24"/>
          <w:lang w:val="en-US"/>
        </w:rPr>
        <w:fldChar w:fldCharType="begin" w:fldLock="1"/>
      </w:r>
      <w:r w:rsidR="005D0922" w:rsidRPr="00981DC5">
        <w:rPr>
          <w:rFonts w:ascii="Book Antiqua" w:hAnsi="Book Antiqua" w:cs="Calibri"/>
          <w:color w:val="000000" w:themeColor="text1"/>
          <w:sz w:val="24"/>
          <w:szCs w:val="24"/>
          <w:lang w:val="en-US"/>
        </w:rPr>
        <w:instrText>ADDIN CSL_CITATION {"citationItems":[{"id":"ITEM-1","itemData":{"DOI":"10.3390/cancers12030677","author":[{"dropping-particle":"","family":"Usai","given":"Alice","non-dropping-particle":"","parse-names":false,"suffix":""},{"dropping-particle":"","family":"Franco","given":"Gregorio","non-dropping-particle":"Di","parse-names":false,"suffix":""},{"dropping-particle":"","family":"Colucci","given":"Patrizia","non-dropping-particle":"","parse-names":false,"suffix":""},{"dropping-particle":"","family":"Pollina","given":"Luca Emanuele","non-dropping-particle":"","parse-names":false,"suffix":""},{"dropping-particle":"","family":"Vasile","given":"Enrico","non-dropping-particle":"","parse-names":false,"suffix":""},{"dropping-particle":"","family":"Funel","given":"Niccola","non-dropping-particle":"","parse-names":false,"suffix":""},{"dropping-particle":"","family":"Palmeri","given":"Matteo","non-dropping-particle":"","parse-names":false,"suffix":""},{"dropping-particle":"","family":"Dente","given":"Luciana","non-dropping-particle":"","parse-names":false,"suffix":""},{"dropping-particle":"","family":"Falcone","given":"Alfredo","non-dropping-particle":"","parse-names":false,"suffix":""},{"dropping-particle":"","family":"Morelli","given":"Luca","non-dropping-particle":"","parse-names":false,"suffix":""},{"dropping-particle":"","family":"Raffa","given":"Vittoria","non-dropping-particle":"","parse-names":false,"suffix":""}],"container-title":"Cancers","id":"ITEM-1","issue":"3","issued":{"date-parts":[["2020"]]},"page":"677","title":"A Model of a Zebrafish Avatar for Co-Clinical Trials","type":"article-journal","volume":"12"},"uris":["http://www.mendeley.com/documents/?uuid=3209d6c5-a9a0-4e03-9575-6a81b1031459"]}],"mendeley":{"formattedCitation":"&lt;sup&gt;[20]&lt;/sup&gt;","plainTextFormattedCitation":"[20]","previouslyFormattedCitation":"&lt;sup&gt;[20]&lt;/sup&gt;"},"properties":{"noteIndex":0},"schema":"https://github.com/citation-style-language/schema/raw/master/csl-citation.json"}</w:instrText>
      </w:r>
      <w:r w:rsidRPr="00981DC5">
        <w:rPr>
          <w:rFonts w:ascii="Book Antiqua" w:hAnsi="Book Antiqua" w:cs="Calibri"/>
          <w:color w:val="000000" w:themeColor="text1"/>
          <w:sz w:val="24"/>
          <w:szCs w:val="24"/>
          <w:lang w:val="en-US"/>
        </w:rPr>
        <w:fldChar w:fldCharType="separate"/>
      </w:r>
      <w:r w:rsidR="005E603D" w:rsidRPr="00981DC5">
        <w:rPr>
          <w:rFonts w:ascii="Book Antiqua" w:hAnsi="Book Antiqua" w:cs="Calibri"/>
          <w:noProof/>
          <w:color w:val="000000" w:themeColor="text1"/>
          <w:sz w:val="24"/>
          <w:szCs w:val="24"/>
          <w:vertAlign w:val="superscript"/>
          <w:lang w:val="en-US"/>
        </w:rPr>
        <w:t>[20]</w:t>
      </w:r>
      <w:r w:rsidRPr="00981DC5">
        <w:rPr>
          <w:rFonts w:ascii="Book Antiqua" w:hAnsi="Book Antiqua" w:cs="Calibri"/>
          <w:color w:val="000000" w:themeColor="text1"/>
          <w:sz w:val="24"/>
          <w:szCs w:val="24"/>
          <w:lang w:val="en-US"/>
        </w:rPr>
        <w:fldChar w:fldCharType="end"/>
      </w:r>
      <w:r w:rsidRPr="00981DC5">
        <w:rPr>
          <w:rFonts w:ascii="Book Antiqua" w:hAnsi="Book Antiqua" w:cs="Calibri"/>
          <w:color w:val="000000" w:themeColor="text1"/>
          <w:sz w:val="24"/>
          <w:szCs w:val="24"/>
          <w:lang w:val="en-US"/>
        </w:rPr>
        <w:t>. The tumor tissue taken from the surgical specimen by the histopathologist was washed three times with RPMI supplemented with 100 U/m</w:t>
      </w:r>
      <w:r w:rsidR="00CA3E0A">
        <w:rPr>
          <w:rFonts w:ascii="Book Antiqua" w:hAnsi="Book Antiqua" w:cs="Calibri"/>
          <w:color w:val="000000" w:themeColor="text1"/>
          <w:sz w:val="24"/>
          <w:szCs w:val="24"/>
          <w:lang w:val="en-US"/>
        </w:rPr>
        <w:t>L</w:t>
      </w:r>
      <w:r w:rsidRPr="00981DC5">
        <w:rPr>
          <w:rFonts w:ascii="Book Antiqua" w:hAnsi="Book Antiqua" w:cs="Calibri"/>
          <w:color w:val="000000" w:themeColor="text1"/>
          <w:sz w:val="24"/>
          <w:szCs w:val="24"/>
          <w:lang w:val="en-US"/>
        </w:rPr>
        <w:t xml:space="preserve"> penicillin, 100 </w:t>
      </w:r>
      <w:proofErr w:type="spellStart"/>
      <w:r w:rsidRPr="00981DC5">
        <w:rPr>
          <w:rFonts w:ascii="Book Antiqua" w:hAnsi="Book Antiqua" w:cs="Calibri"/>
          <w:color w:val="000000" w:themeColor="text1"/>
          <w:sz w:val="24"/>
          <w:szCs w:val="24"/>
          <w:lang w:val="en-US"/>
        </w:rPr>
        <w:t>μg</w:t>
      </w:r>
      <w:proofErr w:type="spellEnd"/>
      <w:r w:rsidRPr="00981DC5">
        <w:rPr>
          <w:rFonts w:ascii="Book Antiqua" w:hAnsi="Book Antiqua" w:cs="Calibri"/>
          <w:color w:val="000000" w:themeColor="text1"/>
          <w:sz w:val="24"/>
          <w:szCs w:val="24"/>
          <w:lang w:val="en-US"/>
        </w:rPr>
        <w:t>/m</w:t>
      </w:r>
      <w:r w:rsidR="00CA3E0A">
        <w:rPr>
          <w:rFonts w:ascii="Book Antiqua" w:hAnsi="Book Antiqua" w:cs="Calibri"/>
          <w:color w:val="000000" w:themeColor="text1"/>
          <w:sz w:val="24"/>
          <w:szCs w:val="24"/>
          <w:lang w:val="en-US"/>
        </w:rPr>
        <w:t>L</w:t>
      </w:r>
      <w:r w:rsidRPr="00981DC5">
        <w:rPr>
          <w:rFonts w:ascii="Book Antiqua" w:hAnsi="Book Antiqua" w:cs="Calibri"/>
          <w:color w:val="000000" w:themeColor="text1"/>
          <w:sz w:val="24"/>
          <w:szCs w:val="24"/>
          <w:lang w:val="en-US"/>
        </w:rPr>
        <w:t xml:space="preserve"> streptomycin and 2.5 </w:t>
      </w:r>
      <w:proofErr w:type="spellStart"/>
      <w:r w:rsidRPr="00981DC5">
        <w:rPr>
          <w:rFonts w:ascii="Book Antiqua" w:hAnsi="Book Antiqua" w:cs="Calibri"/>
          <w:color w:val="000000" w:themeColor="text1"/>
          <w:sz w:val="24"/>
          <w:szCs w:val="24"/>
          <w:lang w:val="en-US"/>
        </w:rPr>
        <w:t>μg</w:t>
      </w:r>
      <w:proofErr w:type="spellEnd"/>
      <w:r w:rsidRPr="00981DC5">
        <w:rPr>
          <w:rFonts w:ascii="Book Antiqua" w:hAnsi="Book Antiqua" w:cs="Calibri"/>
          <w:color w:val="000000" w:themeColor="text1"/>
          <w:sz w:val="24"/>
          <w:szCs w:val="24"/>
          <w:lang w:val="en-US"/>
        </w:rPr>
        <w:t>/m</w:t>
      </w:r>
      <w:r w:rsidR="00CA3E0A">
        <w:rPr>
          <w:rFonts w:ascii="Book Antiqua" w:hAnsi="Book Antiqua" w:cs="Calibri"/>
          <w:color w:val="000000" w:themeColor="text1"/>
          <w:sz w:val="24"/>
          <w:szCs w:val="24"/>
          <w:lang w:val="en-US"/>
        </w:rPr>
        <w:t>L</w:t>
      </w:r>
      <w:r w:rsidRPr="00981DC5">
        <w:rPr>
          <w:rFonts w:ascii="Book Antiqua" w:hAnsi="Book Antiqua" w:cs="Calibri"/>
          <w:color w:val="000000" w:themeColor="text1"/>
          <w:sz w:val="24"/>
          <w:szCs w:val="24"/>
          <w:lang w:val="en-US"/>
        </w:rPr>
        <w:t xml:space="preserve"> Amphotericin B and cut into small pieces (1-3 mm) using a scalp blade. The pieces were then transferred to a 5 m</w:t>
      </w:r>
      <w:r w:rsidR="00CA3E0A">
        <w:rPr>
          <w:rFonts w:ascii="Book Antiqua" w:hAnsi="Book Antiqua" w:cs="Calibri"/>
          <w:color w:val="000000" w:themeColor="text1"/>
          <w:sz w:val="24"/>
          <w:szCs w:val="24"/>
          <w:lang w:val="en-US"/>
        </w:rPr>
        <w:t>L</w:t>
      </w:r>
      <w:r w:rsidRPr="00981DC5">
        <w:rPr>
          <w:rFonts w:ascii="Book Antiqua" w:hAnsi="Book Antiqua" w:cs="Calibri"/>
          <w:color w:val="000000" w:themeColor="text1"/>
          <w:sz w:val="24"/>
          <w:szCs w:val="24"/>
          <w:lang w:val="en-US"/>
        </w:rPr>
        <w:t xml:space="preserve"> tube, and stained with 40 </w:t>
      </w:r>
      <w:proofErr w:type="spellStart"/>
      <w:r w:rsidRPr="00981DC5">
        <w:rPr>
          <w:rFonts w:ascii="Book Antiqua" w:hAnsi="Book Antiqua" w:cs="Calibri"/>
          <w:color w:val="000000" w:themeColor="text1"/>
          <w:sz w:val="24"/>
          <w:szCs w:val="24"/>
          <w:lang w:val="en-US"/>
        </w:rPr>
        <w:t>μg</w:t>
      </w:r>
      <w:proofErr w:type="spellEnd"/>
      <w:r w:rsidRPr="00981DC5">
        <w:rPr>
          <w:rFonts w:ascii="Book Antiqua" w:hAnsi="Book Antiqua" w:cs="Calibri"/>
          <w:color w:val="000000" w:themeColor="text1"/>
          <w:sz w:val="24"/>
          <w:szCs w:val="24"/>
          <w:lang w:val="en-US"/>
        </w:rPr>
        <w:t>/m</w:t>
      </w:r>
      <w:r w:rsidR="00CA3E0A">
        <w:rPr>
          <w:rFonts w:ascii="Book Antiqua" w:hAnsi="Book Antiqua" w:cs="Calibri"/>
          <w:color w:val="000000" w:themeColor="text1"/>
          <w:sz w:val="24"/>
          <w:szCs w:val="24"/>
          <w:lang w:val="en-US"/>
        </w:rPr>
        <w:t>L</w:t>
      </w:r>
      <w:r w:rsidRPr="00981DC5">
        <w:rPr>
          <w:rFonts w:ascii="Book Antiqua" w:hAnsi="Book Antiqua" w:cs="Calibri"/>
          <w:color w:val="000000" w:themeColor="text1"/>
          <w:sz w:val="24"/>
          <w:szCs w:val="24"/>
          <w:lang w:val="en-US"/>
        </w:rPr>
        <w:t xml:space="preserve"> CM-</w:t>
      </w:r>
      <w:proofErr w:type="spellStart"/>
      <w:r w:rsidRPr="00981DC5">
        <w:rPr>
          <w:rFonts w:ascii="Book Antiqua" w:hAnsi="Book Antiqua" w:cs="Calibri"/>
          <w:color w:val="000000" w:themeColor="text1"/>
          <w:sz w:val="24"/>
          <w:szCs w:val="24"/>
          <w:lang w:val="en-US"/>
        </w:rPr>
        <w:t>Dil</w:t>
      </w:r>
      <w:proofErr w:type="spellEnd"/>
      <w:r w:rsidRPr="00981DC5">
        <w:rPr>
          <w:rFonts w:ascii="Book Antiqua" w:hAnsi="Book Antiqua" w:cs="Calibri"/>
          <w:color w:val="000000" w:themeColor="text1"/>
          <w:sz w:val="24"/>
          <w:szCs w:val="24"/>
          <w:lang w:val="en-US"/>
        </w:rPr>
        <w:t xml:space="preserve"> in </w:t>
      </w:r>
      <w:r w:rsidR="00CA3E0A" w:rsidRPr="00CA3E0A">
        <w:rPr>
          <w:rFonts w:ascii="Book Antiqua" w:hAnsi="Book Antiqua" w:cs="Calibri"/>
          <w:color w:val="000000" w:themeColor="text1"/>
          <w:sz w:val="24"/>
          <w:szCs w:val="24"/>
          <w:lang w:val="en-US"/>
        </w:rPr>
        <w:t xml:space="preserve">Dulbecco's </w:t>
      </w:r>
      <w:r w:rsidR="00870220" w:rsidRPr="00CA3E0A">
        <w:rPr>
          <w:rFonts w:ascii="Book Antiqua" w:hAnsi="Book Antiqua" w:cs="Calibri"/>
          <w:color w:val="000000" w:themeColor="text1"/>
          <w:sz w:val="24"/>
          <w:szCs w:val="24"/>
          <w:lang w:val="en-US"/>
        </w:rPr>
        <w:t>phosphate buffered saline</w:t>
      </w:r>
      <w:r w:rsidR="00CA3E0A" w:rsidRPr="00CA3E0A">
        <w:rPr>
          <w:rFonts w:ascii="Book Antiqua" w:hAnsi="Book Antiqua" w:cs="Calibri"/>
          <w:color w:val="000000" w:themeColor="text1"/>
          <w:sz w:val="24"/>
          <w:szCs w:val="24"/>
          <w:lang w:val="en-US"/>
        </w:rPr>
        <w:t xml:space="preserve"> </w:t>
      </w:r>
      <w:r w:rsidR="00CA3E0A">
        <w:rPr>
          <w:rFonts w:ascii="Book Antiqua" w:hAnsi="Book Antiqua" w:cs="Calibri"/>
          <w:color w:val="000000" w:themeColor="text1"/>
          <w:sz w:val="24"/>
          <w:szCs w:val="24"/>
          <w:lang w:val="en-US"/>
        </w:rPr>
        <w:t>(</w:t>
      </w:r>
      <w:r w:rsidRPr="00981DC5">
        <w:rPr>
          <w:rFonts w:ascii="Book Antiqua" w:hAnsi="Book Antiqua" w:cs="Calibri"/>
          <w:color w:val="000000" w:themeColor="text1"/>
          <w:sz w:val="24"/>
          <w:szCs w:val="24"/>
          <w:lang w:val="en-US"/>
        </w:rPr>
        <w:t>D-PBS</w:t>
      </w:r>
      <w:r w:rsidR="00CA3E0A">
        <w:rPr>
          <w:rFonts w:ascii="Book Antiqua" w:hAnsi="Book Antiqua" w:cs="Calibri"/>
          <w:color w:val="000000" w:themeColor="text1"/>
          <w:sz w:val="24"/>
          <w:szCs w:val="24"/>
          <w:lang w:val="en-US"/>
        </w:rPr>
        <w:t>)</w:t>
      </w:r>
      <w:r w:rsidRPr="00981DC5">
        <w:rPr>
          <w:rFonts w:ascii="Book Antiqua" w:hAnsi="Book Antiqua" w:cs="Calibri"/>
          <w:color w:val="000000" w:themeColor="text1"/>
          <w:sz w:val="24"/>
          <w:szCs w:val="24"/>
          <w:lang w:val="en-US"/>
        </w:rPr>
        <w:t>. The tissue pieces were incubated for 15 min at 37</w:t>
      </w:r>
      <w:r w:rsidR="00CA3E0A">
        <w:rPr>
          <w:rFonts w:ascii="Book Antiqua" w:hAnsi="Book Antiqua" w:cs="Calibri"/>
          <w:color w:val="000000" w:themeColor="text1"/>
          <w:sz w:val="24"/>
          <w:szCs w:val="24"/>
          <w:lang w:val="en-US"/>
        </w:rPr>
        <w:t xml:space="preserve"> </w:t>
      </w:r>
      <w:r w:rsidRPr="00981DC5">
        <w:rPr>
          <w:rFonts w:ascii="Book Antiqua" w:hAnsi="Book Antiqua" w:cs="Calibri"/>
          <w:color w:val="000000" w:themeColor="text1"/>
          <w:sz w:val="24"/>
          <w:szCs w:val="24"/>
          <w:lang w:val="en-US"/>
        </w:rPr>
        <w:t>°C and for 15 min in ice cube</w:t>
      </w:r>
      <w:r w:rsidR="00A66D75" w:rsidRPr="00981DC5">
        <w:rPr>
          <w:rFonts w:ascii="Book Antiqua" w:hAnsi="Book Antiqua" w:cs="Calibri"/>
          <w:color w:val="000000" w:themeColor="text1"/>
          <w:sz w:val="24"/>
          <w:szCs w:val="24"/>
          <w:lang w:val="en-US"/>
        </w:rPr>
        <w:t>s</w:t>
      </w:r>
      <w:r w:rsidRPr="00981DC5">
        <w:rPr>
          <w:rFonts w:ascii="Book Antiqua" w:hAnsi="Book Antiqua" w:cs="Calibri"/>
          <w:color w:val="000000" w:themeColor="text1"/>
          <w:sz w:val="24"/>
          <w:szCs w:val="24"/>
          <w:lang w:val="en-US"/>
        </w:rPr>
        <w:t>. Tissue pieces were then washed and centrifuged three times by D-PBS and re</w:t>
      </w:r>
      <w:r w:rsidR="00A66D75" w:rsidRPr="00981DC5">
        <w:rPr>
          <w:rFonts w:ascii="Book Antiqua" w:hAnsi="Book Antiqua" w:cs="Calibri"/>
          <w:color w:val="000000" w:themeColor="text1"/>
          <w:sz w:val="24"/>
          <w:szCs w:val="24"/>
          <w:lang w:val="en-US"/>
        </w:rPr>
        <w:t>-</w:t>
      </w:r>
      <w:r w:rsidRPr="00981DC5">
        <w:rPr>
          <w:rFonts w:ascii="Book Antiqua" w:hAnsi="Book Antiqua" w:cs="Calibri"/>
          <w:color w:val="000000" w:themeColor="text1"/>
          <w:sz w:val="24"/>
          <w:szCs w:val="24"/>
          <w:lang w:val="en-US"/>
        </w:rPr>
        <w:t xml:space="preserve">suspended in D-PBS supplemented with 10% </w:t>
      </w:r>
      <w:r w:rsidR="00870220" w:rsidRPr="00870220">
        <w:rPr>
          <w:rFonts w:ascii="Book Antiqua" w:hAnsi="Book Antiqua" w:cs="Calibri"/>
          <w:color w:val="000000" w:themeColor="text1"/>
          <w:sz w:val="24"/>
          <w:szCs w:val="24"/>
          <w:lang w:val="en-US"/>
        </w:rPr>
        <w:t>fetal calf serum</w:t>
      </w:r>
      <w:r w:rsidRPr="00981DC5">
        <w:rPr>
          <w:rFonts w:ascii="Book Antiqua" w:hAnsi="Book Antiqua" w:cs="Calibri"/>
          <w:color w:val="000000" w:themeColor="text1"/>
          <w:sz w:val="24"/>
          <w:szCs w:val="24"/>
          <w:lang w:val="en-US"/>
        </w:rPr>
        <w:t xml:space="preserve">. For tissue transplantation, we used the manual method proposed by Marques </w:t>
      </w:r>
      <w:r w:rsidRPr="00870220">
        <w:rPr>
          <w:rFonts w:ascii="Book Antiqua" w:hAnsi="Book Antiqua" w:cs="Calibri"/>
          <w:i/>
          <w:iCs/>
          <w:color w:val="000000" w:themeColor="text1"/>
          <w:sz w:val="24"/>
          <w:szCs w:val="24"/>
          <w:lang w:val="en-US"/>
        </w:rPr>
        <w:t>et al</w:t>
      </w:r>
      <w:r w:rsidR="00870220" w:rsidRPr="00981DC5">
        <w:rPr>
          <w:rFonts w:ascii="Book Antiqua" w:hAnsi="Book Antiqua" w:cs="Calibri"/>
          <w:color w:val="000000" w:themeColor="text1"/>
          <w:sz w:val="24"/>
          <w:szCs w:val="24"/>
          <w:lang w:val="en-US"/>
        </w:rPr>
        <w:fldChar w:fldCharType="begin" w:fldLock="1"/>
      </w:r>
      <w:r w:rsidR="00870220" w:rsidRPr="00981DC5">
        <w:rPr>
          <w:rFonts w:ascii="Book Antiqua" w:hAnsi="Book Antiqua" w:cs="Calibri"/>
          <w:color w:val="000000" w:themeColor="text1"/>
          <w:sz w:val="24"/>
          <w:szCs w:val="24"/>
          <w:lang w:val="en-US"/>
        </w:rPr>
        <w:instrText>ADDIN CSL_CITATION {"citationItems":[{"id":"ITEM-1","itemData":{"DOI":"10.1186/1471-2407-9-128","ISSN":"1471-2407","PMID":"19400945","abstract":"BACKGROUND Aberrant regulation of cell migration drives progression of many diseases, including cancer cell invasion and metastasis formation. Analysis of tumour invasion and metastasis in living organisms to date is cumbersome and involves difficult and time consuming investigative techniques. For primary human tumours we establish here a simple, fast, sensitive and cost-effective in vivo model to analyse tumour invasion and metastatic behaviour. METHODS We fluorescently labelled small explants from gastrointestinal human tumours and investigated their metastatic behaviour after transplantation into zebrafish embryos and larvae. The transparency of the zebrafish embryos allows to follow invasion, migration and micrometastasis formation in real-time. High resolution imaging was achieved through laser scanning confocal microscopy of live zebrafish. RESULTS In the transparent zebrafish embryos invasion, circulation of tumour cells in blood vessels, migration and micrometastasis formation can be followed in real-time. Xenografts of primary human tumours showed invasiveness and micrometastasis formation within 24 hours after transplantation, which was absent when non-tumour tissue was implanted. Furthermore, primary human tumour cells, when organotopically implanted in the zebrafish liver, demonstrated invasiveness and metastatic behaviour, whereas primary control cells remained in the liver. Pancreatic tumour cells showed no metastatic behaviour when injected into cloche mutant embryos, which lack a functional vasculature. CONCLUSION Our results show that the zebrafish is a useful in vivo animal model for rapid analysis of invasion and metastatic behaviour of primary human tumour specimen.","author":[{"dropping-particle":"","family":"Marques","given":"Ines J","non-dropping-particle":"","parse-names":false,"suffix":""},{"dropping-particle":"","family":"Weiss","given":"Frank Ulrich","non-dropping-particle":"","parse-names":false,"suffix":""},{"dropping-particle":"","family":"Vlecken","given":"Danielle H","non-dropping-particle":"","parse-names":false,"suffix":""},{"dropping-particle":"","family":"Nitsche","given":"Claudia","non-dropping-particle":"","parse-names":false,"suffix":""},{"dropping-particle":"","family":"Bakkers","given":"Jeroen","non-dropping-particle":"","parse-names":false,"suffix":""},{"dropping-particle":"","family":"Lagendijk","given":"Anne K","non-dropping-particle":"","parse-names":false,"suffix":""},{"dropping-particle":"","family":"Partecke","given":"Lars Ivo","non-dropping-particle":"","parse-names":false,"suffix":""},{"dropping-particle":"","family":"Heidecke","given":"Claus-Dieter","non-dropping-particle":"","parse-names":false,"suffix":""},{"dropping-particle":"","family":"Lerch","given":"Markus M","non-dropping-particle":"","parse-names":false,"suffix":""},{"dropping-particle":"","family":"Bagowski","given":"Christoph P","non-dropping-particle":"","parse-names":false,"suffix":""}],"container-title":"BMC Cancer","id":"ITEM-1","issue":"1","issued":{"date-parts":[["2009","12","28"]]},"page":"128","title":"Metastatic behaviour of primary human tumours in a zebrafish xenotransplantation model","type":"article-journal","volume":"9"},"uris":["http://www.mendeley.com/documents/?uuid=a9a83631-12d7-3b00-945b-0ad69199b290"]}],"mendeley":{"formattedCitation":"&lt;sup&gt;[15]&lt;/sup&gt;","plainTextFormattedCitation":"[15]","previouslyFormattedCitation":"&lt;sup&gt;[15]&lt;/sup&gt;"},"properties":{"noteIndex":0},"schema":"https://github.com/citation-style-language/schema/raw/master/csl-citation.json"}</w:instrText>
      </w:r>
      <w:r w:rsidR="00870220" w:rsidRPr="00981DC5">
        <w:rPr>
          <w:rFonts w:ascii="Book Antiqua" w:hAnsi="Book Antiqua" w:cs="Calibri"/>
          <w:color w:val="000000" w:themeColor="text1"/>
          <w:sz w:val="24"/>
          <w:szCs w:val="24"/>
          <w:lang w:val="en-US"/>
        </w:rPr>
        <w:fldChar w:fldCharType="separate"/>
      </w:r>
      <w:r w:rsidR="00870220" w:rsidRPr="00981DC5">
        <w:rPr>
          <w:rFonts w:ascii="Book Antiqua" w:hAnsi="Book Antiqua" w:cs="Calibri"/>
          <w:noProof/>
          <w:color w:val="000000" w:themeColor="text1"/>
          <w:sz w:val="24"/>
          <w:szCs w:val="24"/>
          <w:vertAlign w:val="superscript"/>
          <w:lang w:val="en-US"/>
        </w:rPr>
        <w:t>[15]</w:t>
      </w:r>
      <w:r w:rsidR="00870220" w:rsidRPr="00981DC5">
        <w:rPr>
          <w:rFonts w:ascii="Book Antiqua" w:hAnsi="Book Antiqua" w:cs="Calibri"/>
          <w:color w:val="000000" w:themeColor="text1"/>
          <w:sz w:val="24"/>
          <w:szCs w:val="24"/>
          <w:lang w:val="en-US"/>
        </w:rPr>
        <w:fldChar w:fldCharType="end"/>
      </w:r>
      <w:r w:rsidRPr="00981DC5">
        <w:rPr>
          <w:rFonts w:ascii="Book Antiqua" w:hAnsi="Book Antiqua" w:cs="Calibri"/>
          <w:color w:val="000000" w:themeColor="text1"/>
          <w:sz w:val="24"/>
          <w:szCs w:val="24"/>
          <w:lang w:val="en-US"/>
        </w:rPr>
        <w:t xml:space="preserve"> 2009. Small pieces of stained tissue were further disaggregated using Dumont forceps (No.5) into a relative size of 1/4 to 1/2 the size of the yolk. Tissue pieces with the correct size were transferred to 1% agarose disks in which the </w:t>
      </w:r>
      <w:r w:rsidR="00901CF2" w:rsidRPr="00981DC5">
        <w:rPr>
          <w:rFonts w:ascii="Book Antiqua" w:hAnsi="Book Antiqua" w:cs="Calibri"/>
          <w:color w:val="000000" w:themeColor="text1"/>
          <w:sz w:val="24"/>
          <w:szCs w:val="24"/>
          <w:lang w:val="en-US"/>
        </w:rPr>
        <w:t>2-d post injection (dpi)</w:t>
      </w:r>
      <w:r w:rsidR="00901CF2">
        <w:rPr>
          <w:rFonts w:ascii="Book Antiqua" w:hAnsi="Book Antiqua" w:cs="Calibri"/>
          <w:color w:val="000000" w:themeColor="text1"/>
          <w:sz w:val="24"/>
          <w:szCs w:val="24"/>
          <w:lang w:val="en-US"/>
        </w:rPr>
        <w:t xml:space="preserve"> </w:t>
      </w:r>
      <w:r w:rsidRPr="00981DC5">
        <w:rPr>
          <w:rFonts w:ascii="Book Antiqua" w:hAnsi="Book Antiqua" w:cs="Calibri"/>
          <w:color w:val="000000" w:themeColor="text1"/>
          <w:sz w:val="24"/>
          <w:szCs w:val="24"/>
          <w:lang w:val="en-US"/>
        </w:rPr>
        <w:t xml:space="preserve">embryos were laying, ready for transplantation. A glass transplantation needle was used to </w:t>
      </w:r>
      <w:r w:rsidR="00A27EF9" w:rsidRPr="00981DC5">
        <w:rPr>
          <w:rFonts w:ascii="Book Antiqua" w:hAnsi="Book Antiqua" w:cs="Calibri"/>
          <w:color w:val="000000" w:themeColor="text1"/>
          <w:sz w:val="24"/>
          <w:szCs w:val="24"/>
          <w:lang w:val="en-US"/>
        </w:rPr>
        <w:t>implant</w:t>
      </w:r>
      <w:r w:rsidRPr="00981DC5">
        <w:rPr>
          <w:rFonts w:ascii="Book Antiqua" w:hAnsi="Book Antiqua" w:cs="Calibri"/>
          <w:color w:val="000000" w:themeColor="text1"/>
          <w:sz w:val="24"/>
          <w:szCs w:val="24"/>
          <w:lang w:val="en-US"/>
        </w:rPr>
        <w:t xml:space="preserve"> the tissue into the yolk. The tissue was picked up, put on the top of the yolk and then pushed inside. The yolk usually sealed itself and in the majority of embryos, the tumor remained in</w:t>
      </w:r>
      <w:r w:rsidR="00A66D75" w:rsidRPr="00981DC5">
        <w:rPr>
          <w:rFonts w:ascii="Book Antiqua" w:hAnsi="Book Antiqua" w:cs="Calibri"/>
          <w:color w:val="000000" w:themeColor="text1"/>
          <w:sz w:val="24"/>
          <w:szCs w:val="24"/>
          <w:lang w:val="en-US"/>
        </w:rPr>
        <w:t xml:space="preserve"> </w:t>
      </w:r>
      <w:r w:rsidRPr="00981DC5">
        <w:rPr>
          <w:rFonts w:ascii="Book Antiqua" w:hAnsi="Book Antiqua" w:cs="Calibri"/>
          <w:color w:val="000000" w:themeColor="text1"/>
          <w:sz w:val="24"/>
          <w:szCs w:val="24"/>
          <w:lang w:val="en-US"/>
        </w:rPr>
        <w:t>the yolk. After transplantation, embryos were incubated for 2 h at 35</w:t>
      </w:r>
      <w:r w:rsidR="001A29E5">
        <w:rPr>
          <w:rFonts w:ascii="Book Antiqua" w:hAnsi="Book Antiqua" w:cs="Calibri"/>
          <w:color w:val="000000" w:themeColor="text1"/>
          <w:sz w:val="24"/>
          <w:szCs w:val="24"/>
          <w:lang w:val="en-US"/>
        </w:rPr>
        <w:t xml:space="preserve"> </w:t>
      </w:r>
      <w:r w:rsidRPr="00981DC5">
        <w:rPr>
          <w:rFonts w:ascii="Book Antiqua" w:hAnsi="Book Antiqua" w:cs="Calibri"/>
          <w:color w:val="000000" w:themeColor="text1"/>
          <w:sz w:val="24"/>
          <w:szCs w:val="24"/>
          <w:lang w:val="en-US"/>
        </w:rPr>
        <w:t>°C, then embryos were checked for presence of tissue and incubated at 35</w:t>
      </w:r>
      <w:r w:rsidR="00870220">
        <w:rPr>
          <w:rFonts w:ascii="Book Antiqua" w:hAnsi="Book Antiqua" w:cs="Calibri"/>
          <w:color w:val="000000" w:themeColor="text1"/>
          <w:sz w:val="24"/>
          <w:szCs w:val="24"/>
          <w:lang w:val="en-US"/>
        </w:rPr>
        <w:t xml:space="preserve"> </w:t>
      </w:r>
      <w:r w:rsidRPr="00981DC5">
        <w:rPr>
          <w:rFonts w:ascii="Book Antiqua" w:hAnsi="Book Antiqua" w:cs="Calibri"/>
          <w:color w:val="000000" w:themeColor="text1"/>
          <w:sz w:val="24"/>
          <w:szCs w:val="24"/>
          <w:lang w:val="en-US"/>
        </w:rPr>
        <w:t xml:space="preserve">°C in E3 </w:t>
      </w:r>
      <w:r w:rsidR="00A27EF9" w:rsidRPr="00981DC5">
        <w:rPr>
          <w:rFonts w:ascii="Book Antiqua" w:hAnsi="Book Antiqua" w:cs="Calibri"/>
          <w:color w:val="000000" w:themeColor="text1"/>
          <w:sz w:val="24"/>
          <w:szCs w:val="24"/>
          <w:lang w:val="en-US"/>
        </w:rPr>
        <w:t xml:space="preserve">1% </w:t>
      </w:r>
      <w:r w:rsidRPr="00981DC5">
        <w:rPr>
          <w:rFonts w:ascii="Book Antiqua" w:hAnsi="Book Antiqua" w:cs="Calibri"/>
          <w:color w:val="000000" w:themeColor="text1"/>
          <w:sz w:val="24"/>
          <w:szCs w:val="24"/>
          <w:lang w:val="en-US"/>
        </w:rPr>
        <w:t xml:space="preserve">Pen/Strep medium with the presence or absence of drugs for </w:t>
      </w:r>
      <w:r w:rsidRPr="00981DC5">
        <w:rPr>
          <w:rFonts w:ascii="Book Antiqua" w:hAnsi="Book Antiqua" w:cs="Calibri"/>
          <w:color w:val="000000" w:themeColor="text1"/>
          <w:sz w:val="24"/>
          <w:szCs w:val="24"/>
          <w:lang w:val="en-US"/>
        </w:rPr>
        <w:lastRenderedPageBreak/>
        <w:t xml:space="preserve">the following days in respect of the treatment plan. The tumor tissue was </w:t>
      </w:r>
      <w:proofErr w:type="spellStart"/>
      <w:r w:rsidRPr="00981DC5">
        <w:rPr>
          <w:rFonts w:ascii="Book Antiqua" w:hAnsi="Book Antiqua" w:cs="Calibri"/>
          <w:color w:val="000000" w:themeColor="text1"/>
          <w:sz w:val="24"/>
          <w:szCs w:val="24"/>
          <w:lang w:val="en-US"/>
        </w:rPr>
        <w:t>xenotransplanted</w:t>
      </w:r>
      <w:proofErr w:type="spellEnd"/>
      <w:r w:rsidRPr="00981DC5">
        <w:rPr>
          <w:rFonts w:ascii="Book Antiqua" w:hAnsi="Book Antiqua" w:cs="Calibri"/>
          <w:color w:val="000000" w:themeColor="text1"/>
          <w:sz w:val="24"/>
          <w:szCs w:val="24"/>
          <w:lang w:val="en-US"/>
        </w:rPr>
        <w:t xml:space="preserve"> in </w:t>
      </w:r>
      <w:r w:rsidR="00A27EF9" w:rsidRPr="00870220">
        <w:rPr>
          <w:rFonts w:ascii="Book Antiqua" w:hAnsi="Book Antiqua" w:cs="Calibri"/>
          <w:i/>
          <w:iCs/>
          <w:color w:val="000000" w:themeColor="text1"/>
          <w:sz w:val="24"/>
          <w:szCs w:val="24"/>
          <w:lang w:val="en-US"/>
        </w:rPr>
        <w:t>n</w:t>
      </w:r>
      <w:r w:rsidR="00870220">
        <w:rPr>
          <w:rFonts w:ascii="Book Antiqua" w:hAnsi="Book Antiqua" w:cs="Calibri"/>
          <w:color w:val="000000" w:themeColor="text1"/>
          <w:sz w:val="24"/>
          <w:szCs w:val="24"/>
          <w:lang w:val="en-US"/>
        </w:rPr>
        <w:t xml:space="preserve"> </w:t>
      </w:r>
      <w:r w:rsidR="00A27EF9" w:rsidRPr="00981DC5">
        <w:rPr>
          <w:rFonts w:ascii="Book Antiqua" w:hAnsi="Book Antiqua" w:cs="Calibri"/>
          <w:color w:val="000000" w:themeColor="text1"/>
          <w:sz w:val="24"/>
          <w:szCs w:val="24"/>
          <w:lang w:val="en-US"/>
        </w:rPr>
        <w:t>=</w:t>
      </w:r>
      <w:r w:rsidR="00870220">
        <w:rPr>
          <w:rFonts w:ascii="Book Antiqua" w:hAnsi="Book Antiqua" w:cs="Calibri"/>
          <w:color w:val="000000" w:themeColor="text1"/>
          <w:sz w:val="24"/>
          <w:szCs w:val="24"/>
          <w:lang w:val="en-US"/>
        </w:rPr>
        <w:t xml:space="preserve"> </w:t>
      </w:r>
      <w:r w:rsidRPr="00981DC5">
        <w:rPr>
          <w:rFonts w:ascii="Book Antiqua" w:hAnsi="Book Antiqua" w:cs="Calibri"/>
          <w:color w:val="000000" w:themeColor="text1"/>
          <w:sz w:val="24"/>
          <w:szCs w:val="24"/>
          <w:lang w:val="en-US"/>
        </w:rPr>
        <w:t xml:space="preserve">100 zebrafish embryos and injected embryos were randomly allocated among 5 groups (4 therapeutic options and one control group). The treated groups were exposed to the four </w:t>
      </w:r>
      <w:r w:rsidR="00F20057" w:rsidRPr="00981DC5">
        <w:rPr>
          <w:rFonts w:ascii="Book Antiqua" w:hAnsi="Book Antiqua" w:cs="Calibri"/>
          <w:color w:val="000000" w:themeColor="text1"/>
          <w:sz w:val="24"/>
          <w:szCs w:val="24"/>
          <w:lang w:val="en-US"/>
        </w:rPr>
        <w:t>main</w:t>
      </w:r>
      <w:r w:rsidRPr="00981DC5">
        <w:rPr>
          <w:rFonts w:ascii="Book Antiqua" w:hAnsi="Book Antiqua" w:cs="Calibri"/>
          <w:color w:val="000000" w:themeColor="text1"/>
          <w:sz w:val="24"/>
          <w:szCs w:val="24"/>
          <w:lang w:val="en-US"/>
        </w:rPr>
        <w:t xml:space="preserve"> chemotherapy options used for PDAC: Gemcitabine (GEM), Gemcitabine + Oxaliplatin (GEMOX), Gemcitabine + nab-Paclitaxel (GEM/nab-P), and 5-Fluorouracil + </w:t>
      </w:r>
      <w:proofErr w:type="spellStart"/>
      <w:r w:rsidR="00316FEC" w:rsidRPr="00981DC5">
        <w:rPr>
          <w:rFonts w:ascii="Book Antiqua" w:hAnsi="Book Antiqua" w:cs="Calibri"/>
          <w:color w:val="000000" w:themeColor="text1"/>
          <w:sz w:val="24"/>
          <w:szCs w:val="24"/>
          <w:lang w:val="en-US"/>
        </w:rPr>
        <w:t>Folinic</w:t>
      </w:r>
      <w:proofErr w:type="spellEnd"/>
      <w:r w:rsidR="00316FEC" w:rsidRPr="00981DC5">
        <w:rPr>
          <w:rFonts w:ascii="Book Antiqua" w:hAnsi="Book Antiqua" w:cs="Calibri"/>
          <w:color w:val="000000" w:themeColor="text1"/>
          <w:sz w:val="24"/>
          <w:szCs w:val="24"/>
          <w:lang w:val="en-US"/>
        </w:rPr>
        <w:t xml:space="preserve"> acid</w:t>
      </w:r>
      <w:r w:rsidRPr="00981DC5">
        <w:rPr>
          <w:rFonts w:ascii="Book Antiqua" w:hAnsi="Book Antiqua" w:cs="Calibri"/>
          <w:color w:val="000000" w:themeColor="text1"/>
          <w:sz w:val="24"/>
          <w:szCs w:val="24"/>
          <w:lang w:val="en-US"/>
        </w:rPr>
        <w:t xml:space="preserve"> + Oxaliplatin + Irinotecan (FOLFOXIRI). The chemotherapies were dissolved in fish water, using the equivalent dose </w:t>
      </w:r>
      <w:r w:rsidR="00362834" w:rsidRPr="00981DC5">
        <w:rPr>
          <w:rFonts w:ascii="Book Antiqua" w:hAnsi="Book Antiqua" w:cs="Calibri"/>
          <w:color w:val="000000" w:themeColor="text1"/>
          <w:sz w:val="24"/>
          <w:szCs w:val="24"/>
          <w:lang w:val="en-US"/>
        </w:rPr>
        <w:t>(ED</w:t>
      </w:r>
      <w:r w:rsidR="00870220">
        <w:rPr>
          <w:rFonts w:ascii="Book Antiqua" w:hAnsi="Book Antiqua" w:cs="Calibri"/>
          <w:color w:val="000000" w:themeColor="text1"/>
          <w:sz w:val="24"/>
          <w:szCs w:val="24"/>
          <w:lang w:val="en-US"/>
        </w:rPr>
        <w:t xml:space="preserve"> </w:t>
      </w:r>
      <w:r w:rsidRPr="00981DC5">
        <w:rPr>
          <w:rFonts w:ascii="Book Antiqua" w:hAnsi="Book Antiqua" w:cs="Calibri"/>
          <w:color w:val="000000" w:themeColor="text1"/>
          <w:sz w:val="24"/>
          <w:szCs w:val="24"/>
          <w:lang w:val="en-US"/>
        </w:rPr>
        <w:t>=</w:t>
      </w:r>
      <w:r w:rsidR="00870220">
        <w:rPr>
          <w:rFonts w:ascii="Book Antiqua" w:hAnsi="Book Antiqua" w:cs="Calibri"/>
          <w:color w:val="000000" w:themeColor="text1"/>
          <w:sz w:val="24"/>
          <w:szCs w:val="24"/>
          <w:lang w:val="en-US"/>
        </w:rPr>
        <w:t xml:space="preserve"> </w:t>
      </w:r>
      <w:r w:rsidRPr="00981DC5">
        <w:rPr>
          <w:rFonts w:ascii="Book Antiqua" w:hAnsi="Book Antiqua" w:cs="Calibri"/>
          <w:color w:val="000000" w:themeColor="text1"/>
          <w:sz w:val="24"/>
          <w:szCs w:val="24"/>
          <w:lang w:val="en-US"/>
        </w:rPr>
        <w:t xml:space="preserve">5) calculated with a toxicity study on zebrafish embryos and validated </w:t>
      </w:r>
      <w:r w:rsidR="007547A5" w:rsidRPr="00981DC5">
        <w:rPr>
          <w:rFonts w:ascii="Book Antiqua" w:hAnsi="Book Antiqua" w:cs="Calibri"/>
          <w:color w:val="000000" w:themeColor="text1"/>
          <w:sz w:val="24"/>
          <w:szCs w:val="24"/>
          <w:lang w:val="en-US"/>
        </w:rPr>
        <w:t>by</w:t>
      </w:r>
      <w:r w:rsidRPr="00981DC5">
        <w:rPr>
          <w:rFonts w:ascii="Book Antiqua" w:hAnsi="Book Antiqua" w:cs="Calibri"/>
          <w:color w:val="000000" w:themeColor="text1"/>
          <w:sz w:val="24"/>
          <w:szCs w:val="24"/>
          <w:lang w:val="en-US"/>
        </w:rPr>
        <w:t xml:space="preserve"> test with cellular lines or tumor tissue </w:t>
      </w:r>
      <w:proofErr w:type="spellStart"/>
      <w:r w:rsidRPr="00981DC5">
        <w:rPr>
          <w:rFonts w:ascii="Book Antiqua" w:hAnsi="Book Antiqua" w:cs="Calibri"/>
          <w:color w:val="000000" w:themeColor="text1"/>
          <w:sz w:val="24"/>
          <w:szCs w:val="24"/>
          <w:lang w:val="en-US"/>
        </w:rPr>
        <w:t>xenotransplanted</w:t>
      </w:r>
      <w:proofErr w:type="spellEnd"/>
      <w:r w:rsidRPr="00981DC5">
        <w:rPr>
          <w:rFonts w:ascii="Book Antiqua" w:hAnsi="Book Antiqua" w:cs="Calibri"/>
          <w:color w:val="000000" w:themeColor="text1"/>
          <w:sz w:val="24"/>
          <w:szCs w:val="24"/>
          <w:lang w:val="en-US"/>
        </w:rPr>
        <w:t xml:space="preserve"> in zebrafish embryos</w:t>
      </w:r>
      <w:r w:rsidRPr="00981DC5">
        <w:rPr>
          <w:rFonts w:ascii="Book Antiqua" w:hAnsi="Book Antiqua" w:cs="Calibri"/>
          <w:color w:val="000000" w:themeColor="text1"/>
          <w:sz w:val="24"/>
          <w:szCs w:val="24"/>
          <w:lang w:val="en-US"/>
        </w:rPr>
        <w:fldChar w:fldCharType="begin" w:fldLock="1"/>
      </w:r>
      <w:r w:rsidR="005D0922" w:rsidRPr="00981DC5">
        <w:rPr>
          <w:rFonts w:ascii="Book Antiqua" w:hAnsi="Book Antiqua" w:cs="Calibri"/>
          <w:color w:val="000000" w:themeColor="text1"/>
          <w:sz w:val="24"/>
          <w:szCs w:val="24"/>
          <w:lang w:val="en-US"/>
        </w:rPr>
        <w:instrText>ADDIN CSL_CITATION {"citationItems":[{"id":"ITEM-1","itemData":{"DOI":"10.3390/cancers12030677","author":[{"dropping-particle":"","family":"Usai","given":"Alice","non-dropping-particle":"","parse-names":false,"suffix":""},{"dropping-particle":"","family":"Franco","given":"Gregorio","non-dropping-particle":"Di","parse-names":false,"suffix":""},{"dropping-particle":"","family":"Colucci","given":"Patrizia","non-dropping-particle":"","parse-names":false,"suffix":""},{"dropping-particle":"","family":"Pollina","given":"Luca Emanuele","non-dropping-particle":"","parse-names":false,"suffix":""},{"dropping-particle":"","family":"Vasile","given":"Enrico","non-dropping-particle":"","parse-names":false,"suffix":""},{"dropping-particle":"","family":"Funel","given":"Niccola","non-dropping-particle":"","parse-names":false,"suffix":""},{"dropping-particle":"","family":"Palmeri","given":"Matteo","non-dropping-particle":"","parse-names":false,"suffix":""},{"dropping-particle":"","family":"Dente","given":"Luciana","non-dropping-particle":"","parse-names":false,"suffix":""},{"dropping-particle":"","family":"Falcone","given":"Alfredo","non-dropping-particle":"","parse-names":false,"suffix":""},{"dropping-particle":"","family":"Morelli","given":"Luca","non-dropping-particle":"","parse-names":false,"suffix":""},{"dropping-particle":"","family":"Raffa","given":"Vittoria","non-dropping-particle":"","parse-names":false,"suffix":""}],"container-title":"Cancers","id":"ITEM-1","issue":"3","issued":{"date-parts":[["2020"]]},"page":"677","title":"A Model of a Zebrafish Avatar for Co-Clinical Trials","type":"article-journal","volume":"12"},"uris":["http://www.mendeley.com/documents/?uuid=3209d6c5-a9a0-4e03-9575-6a81b1031459"]}],"mendeley":{"formattedCitation":"&lt;sup&gt;[20]&lt;/sup&gt;","plainTextFormattedCitation":"[20]","previouslyFormattedCitation":"&lt;sup&gt;[20]&lt;/sup&gt;"},"properties":{"noteIndex":0},"schema":"https://github.com/citation-style-language/schema/raw/master/csl-citation.json"}</w:instrText>
      </w:r>
      <w:r w:rsidRPr="00981DC5">
        <w:rPr>
          <w:rFonts w:ascii="Book Antiqua" w:hAnsi="Book Antiqua" w:cs="Calibri"/>
          <w:color w:val="000000" w:themeColor="text1"/>
          <w:sz w:val="24"/>
          <w:szCs w:val="24"/>
          <w:lang w:val="en-US"/>
        </w:rPr>
        <w:fldChar w:fldCharType="separate"/>
      </w:r>
      <w:r w:rsidR="00B55671" w:rsidRPr="00981DC5">
        <w:rPr>
          <w:rFonts w:ascii="Book Antiqua" w:hAnsi="Book Antiqua" w:cs="Calibri"/>
          <w:noProof/>
          <w:color w:val="000000" w:themeColor="text1"/>
          <w:sz w:val="24"/>
          <w:szCs w:val="24"/>
          <w:vertAlign w:val="superscript"/>
          <w:lang w:val="en-US"/>
        </w:rPr>
        <w:t>[20]</w:t>
      </w:r>
      <w:r w:rsidRPr="00981DC5">
        <w:rPr>
          <w:rFonts w:ascii="Book Antiqua" w:hAnsi="Book Antiqua" w:cs="Calibri"/>
          <w:color w:val="000000" w:themeColor="text1"/>
          <w:sz w:val="24"/>
          <w:szCs w:val="24"/>
          <w:lang w:val="en-US"/>
        </w:rPr>
        <w:fldChar w:fldCharType="end"/>
      </w:r>
      <w:r w:rsidRPr="00981DC5">
        <w:rPr>
          <w:rFonts w:ascii="Book Antiqua" w:hAnsi="Book Antiqua" w:cs="Calibri"/>
          <w:color w:val="000000" w:themeColor="text1"/>
          <w:sz w:val="24"/>
          <w:szCs w:val="24"/>
          <w:lang w:val="en-US"/>
        </w:rPr>
        <w:t xml:space="preserve">. Two days post treatment the response of zebrafish xenografts to the chemotherapy options was analyzed by monitoring the stained area at 2 </w:t>
      </w:r>
      <w:proofErr w:type="spellStart"/>
      <w:r w:rsidRPr="00981DC5">
        <w:rPr>
          <w:rFonts w:ascii="Book Antiqua" w:hAnsi="Book Antiqua" w:cs="Calibri"/>
          <w:color w:val="000000" w:themeColor="text1"/>
          <w:sz w:val="24"/>
          <w:szCs w:val="24"/>
          <w:lang w:val="en-US"/>
        </w:rPr>
        <w:t>hpi</w:t>
      </w:r>
      <w:proofErr w:type="spellEnd"/>
      <w:r w:rsidRPr="00981DC5">
        <w:rPr>
          <w:rFonts w:ascii="Book Antiqua" w:hAnsi="Book Antiqua" w:cs="Calibri"/>
          <w:color w:val="000000" w:themeColor="text1"/>
          <w:sz w:val="24"/>
          <w:szCs w:val="24"/>
          <w:lang w:val="en-US"/>
        </w:rPr>
        <w:t>, 1 dpi and 2 dpi using ImageJ (Figure 1).</w:t>
      </w:r>
      <w:r w:rsidR="00D54D7A" w:rsidRPr="00981DC5">
        <w:rPr>
          <w:rFonts w:ascii="Book Antiqua" w:hAnsi="Book Antiqua" w:cs="Calibri"/>
          <w:color w:val="000000" w:themeColor="text1"/>
          <w:sz w:val="24"/>
          <w:szCs w:val="24"/>
          <w:lang w:val="en-US"/>
        </w:rPr>
        <w:t xml:space="preserve"> </w:t>
      </w:r>
      <w:r w:rsidRPr="00981DC5">
        <w:rPr>
          <w:rFonts w:ascii="Book Antiqua" w:hAnsi="Book Antiqua" w:cs="Calibri"/>
          <w:color w:val="000000" w:themeColor="text1"/>
          <w:sz w:val="24"/>
          <w:szCs w:val="24"/>
          <w:lang w:val="en-US"/>
        </w:rPr>
        <w:t xml:space="preserve">The mean size of the tumor mass area measured in each time point was normalized with respect to the 1 dpi time point </w:t>
      </w:r>
      <w:r w:rsidR="00CA3E0A" w:rsidRPr="00981DC5">
        <w:rPr>
          <w:rFonts w:ascii="Book Antiqua" w:hAnsi="Book Antiqua" w:cs="Calibri"/>
          <w:color w:val="000000" w:themeColor="text1"/>
          <w:sz w:val="24"/>
          <w:szCs w:val="24"/>
          <w:lang w:val="en-US"/>
        </w:rPr>
        <w:t xml:space="preserve">mean relative tumor area </w:t>
      </w:r>
      <w:r w:rsidR="00CA3E0A">
        <w:rPr>
          <w:rFonts w:ascii="Book Antiqua" w:hAnsi="Book Antiqua" w:cs="Calibri"/>
          <w:color w:val="000000" w:themeColor="text1"/>
          <w:sz w:val="24"/>
          <w:szCs w:val="24"/>
          <w:lang w:val="en-US"/>
        </w:rPr>
        <w:t>(</w:t>
      </w:r>
      <w:r w:rsidR="00CA3E0A" w:rsidRPr="00981DC5">
        <w:rPr>
          <w:rFonts w:ascii="Book Antiqua" w:hAnsi="Book Antiqua" w:cs="Calibri"/>
          <w:color w:val="000000" w:themeColor="text1"/>
          <w:sz w:val="24"/>
          <w:szCs w:val="24"/>
          <w:lang w:val="en-US"/>
        </w:rPr>
        <w:t>RTA)</w:t>
      </w:r>
      <w:r w:rsidRPr="00981DC5">
        <w:rPr>
          <w:rFonts w:ascii="Book Antiqua" w:hAnsi="Book Antiqua" w:cs="Calibri"/>
          <w:color w:val="000000" w:themeColor="text1"/>
          <w:sz w:val="24"/>
          <w:szCs w:val="24"/>
          <w:lang w:val="en-US"/>
        </w:rPr>
        <w:t xml:space="preserve">. We evaluated the efficacy of the chemotherapy exposition </w:t>
      </w:r>
      <w:r w:rsidR="00290DC9" w:rsidRPr="00981DC5">
        <w:rPr>
          <w:rFonts w:ascii="Book Antiqua" w:hAnsi="Book Antiqua" w:cs="Calibri"/>
          <w:color w:val="000000" w:themeColor="text1"/>
          <w:sz w:val="24"/>
          <w:szCs w:val="24"/>
          <w:lang w:val="en-US"/>
        </w:rPr>
        <w:t xml:space="preserve">using two </w:t>
      </w:r>
      <w:r w:rsidR="00E62597" w:rsidRPr="00981DC5">
        <w:rPr>
          <w:rFonts w:ascii="Book Antiqua" w:hAnsi="Book Antiqua" w:cs="Calibri"/>
          <w:color w:val="000000" w:themeColor="text1"/>
          <w:sz w:val="24"/>
          <w:szCs w:val="24"/>
          <w:lang w:val="en-US"/>
        </w:rPr>
        <w:t>modalities</w:t>
      </w:r>
      <w:r w:rsidRPr="00981DC5">
        <w:rPr>
          <w:rFonts w:ascii="Book Antiqua" w:hAnsi="Book Antiqua" w:cs="Calibri"/>
          <w:color w:val="000000" w:themeColor="text1"/>
          <w:sz w:val="24"/>
          <w:szCs w:val="24"/>
          <w:lang w:val="en-US"/>
        </w:rPr>
        <w:t xml:space="preserve">. The first one was the comparison of the mean RTA between each treated subgroup and the control group calculating the mean difference between the two groups. Moreover, we evaluated the possibility to </w:t>
      </w:r>
      <w:r w:rsidR="00362834" w:rsidRPr="00981DC5">
        <w:rPr>
          <w:rFonts w:ascii="Book Antiqua" w:hAnsi="Book Antiqua" w:cs="Calibri"/>
          <w:color w:val="000000" w:themeColor="text1"/>
          <w:sz w:val="24"/>
          <w:szCs w:val="24"/>
          <w:lang w:val="en-US"/>
        </w:rPr>
        <w:t>use</w:t>
      </w:r>
      <w:r w:rsidRPr="00981DC5">
        <w:rPr>
          <w:rFonts w:ascii="Book Antiqua" w:hAnsi="Book Antiqua" w:cs="Calibri"/>
          <w:color w:val="000000" w:themeColor="text1"/>
          <w:sz w:val="24"/>
          <w:szCs w:val="24"/>
          <w:lang w:val="en-US"/>
        </w:rPr>
        <w:t xml:space="preserve"> in the zebrafish model the “Response evaluation criteria in solid tumors (RECIST)” used in the common clinical practice to evaluate the response to the chemotherapy in oncological patients</w:t>
      </w:r>
      <w:r w:rsidRPr="00981DC5">
        <w:rPr>
          <w:rFonts w:ascii="Book Antiqua" w:hAnsi="Book Antiqua" w:cs="Calibri"/>
          <w:color w:val="000000" w:themeColor="text1"/>
          <w:sz w:val="24"/>
          <w:szCs w:val="24"/>
          <w:lang w:val="en-US"/>
        </w:rPr>
        <w:fldChar w:fldCharType="begin" w:fldLock="1"/>
      </w:r>
      <w:r w:rsidR="00B55671" w:rsidRPr="00981DC5">
        <w:rPr>
          <w:rFonts w:ascii="Book Antiqua" w:hAnsi="Book Antiqua" w:cs="Calibri"/>
          <w:color w:val="000000" w:themeColor="text1"/>
          <w:sz w:val="24"/>
          <w:szCs w:val="24"/>
          <w:lang w:val="en-US"/>
        </w:rPr>
        <w:instrText>ADDIN CSL_CITATION {"citationItems":[{"id":"ITEM-1","itemData":{"DOI":"10.1016/j.ejca.2008.10.026","ISSN":"03850684","PMID":"20009446","abstract":"This paper is an overview of the new response evaluation criteria in solid tumours: revised RECIST guideline (version 1.1), with a focus on updated contents.","author":[{"dropping-particle":"","family":"Watanabe","given":"Hirokazu","non-dropping-particle":"","parse-names":false,"suffix":""},{"dropping-particle":"","family":"Okada","given":"Morihito","non-dropping-particle":"","parse-names":false,"suffix":""},{"dropping-particle":"","family":"Kaji","given":"Yasushi","non-dropping-particle":"","parse-names":false,"suffix":""},{"dropping-particle":"","family":"Satouchi","given":"Miyako","non-dropping-particle":"","parse-names":false,"suffix":""},{"dropping-particle":"","family":"Sato","given":"Yozo","non-dropping-particle":"","parse-names":false,"suffix":""},{"dropping-particle":"","family":"Yamabe","given":"Yuichiro","non-dropping-particle":"","parse-names":false,"suffix":""},{"dropping-particle":"","family":"Onaya","given":"Hiroaki","non-dropping-particle":"","parse-names":false,"suffix":""},{"dropping-particle":"","family":"Endo","given":"Masahiro","non-dropping-particle":"","parse-names":false,"suffix":""},{"dropping-particle":"","family":"Sone","given":"Miyuki","non-dropping-particle":"","parse-names":false,"suffix":""},{"dropping-particle":"","family":"Arai","given":"Yasuaki","non-dropping-particle":"","parse-names":false,"suffix":""}],"container-title":"Japanese Journal of Cancer and Chemotherapy","id":"ITEM-1","issue":"13","issued":{"date-parts":[["2009"]]},"page":"2495-2501","publisher":"Japanese Journal of Cancer and Chemotherapy Publishers Inc.","title":"New response evaluation criteria in solid tumours - Revised RECIST Guideline (version 1.1)","type":"article","volume":"36"},"uris":["http://www.mendeley.com/documents/?uuid=89cd3c94-b2d9-3b50-8796-e1392ef71995"]}],"mendeley":{"formattedCitation":"&lt;sup&gt;[21]&lt;/sup&gt;","plainTextFormattedCitation":"[21]","previouslyFormattedCitation":"&lt;sup&gt;[21]&lt;/sup&gt;"},"properties":{"noteIndex":0},"schema":"https://github.com/citation-style-language/schema/raw/master/csl-citation.json"}</w:instrText>
      </w:r>
      <w:r w:rsidRPr="00981DC5">
        <w:rPr>
          <w:rFonts w:ascii="Book Antiqua" w:hAnsi="Book Antiqua" w:cs="Calibri"/>
          <w:color w:val="000000" w:themeColor="text1"/>
          <w:sz w:val="24"/>
          <w:szCs w:val="24"/>
          <w:lang w:val="en-US"/>
        </w:rPr>
        <w:fldChar w:fldCharType="separate"/>
      </w:r>
      <w:r w:rsidR="00B55671" w:rsidRPr="00981DC5">
        <w:rPr>
          <w:rFonts w:ascii="Book Antiqua" w:hAnsi="Book Antiqua" w:cs="Calibri"/>
          <w:noProof/>
          <w:color w:val="000000" w:themeColor="text1"/>
          <w:sz w:val="24"/>
          <w:szCs w:val="24"/>
          <w:vertAlign w:val="superscript"/>
          <w:lang w:val="en-US"/>
        </w:rPr>
        <w:t>[21]</w:t>
      </w:r>
      <w:r w:rsidRPr="00981DC5">
        <w:rPr>
          <w:rFonts w:ascii="Book Antiqua" w:hAnsi="Book Antiqua" w:cs="Calibri"/>
          <w:color w:val="000000" w:themeColor="text1"/>
          <w:sz w:val="24"/>
          <w:szCs w:val="24"/>
          <w:lang w:val="en-US"/>
        </w:rPr>
        <w:fldChar w:fldCharType="end"/>
      </w:r>
      <w:r w:rsidR="00362834" w:rsidRPr="00981DC5">
        <w:rPr>
          <w:rFonts w:ascii="Book Antiqua" w:hAnsi="Book Antiqua" w:cs="Calibri"/>
          <w:color w:val="000000" w:themeColor="text1"/>
          <w:sz w:val="24"/>
          <w:szCs w:val="24"/>
          <w:lang w:val="en-US"/>
        </w:rPr>
        <w:t xml:space="preserve"> as an objective parameter for evaluation of data obtained with zebrafish embryos tests</w:t>
      </w:r>
      <w:r w:rsidRPr="00981DC5">
        <w:rPr>
          <w:rFonts w:ascii="Book Antiqua" w:hAnsi="Book Antiqua" w:cs="Calibri"/>
          <w:color w:val="000000" w:themeColor="text1"/>
          <w:sz w:val="24"/>
          <w:szCs w:val="24"/>
          <w:lang w:val="en-US"/>
        </w:rPr>
        <w:t xml:space="preserve">. To do this, we evaluated the percentage reduction of the mean RTA in each treated subgroup taking as reference the mean RTA of the control group. After that, we calculated how many cases reported a reduction of at least a percentage value equivalent to a </w:t>
      </w:r>
      <w:r w:rsidR="00E62597" w:rsidRPr="00981DC5">
        <w:rPr>
          <w:rFonts w:ascii="Book Antiqua" w:hAnsi="Book Antiqua" w:cs="Calibri"/>
          <w:color w:val="000000" w:themeColor="text1"/>
          <w:sz w:val="24"/>
          <w:szCs w:val="24"/>
          <w:lang w:val="en-US"/>
        </w:rPr>
        <w:t>referent</w:t>
      </w:r>
      <w:r w:rsidRPr="00981DC5">
        <w:rPr>
          <w:rFonts w:ascii="Book Antiqua" w:hAnsi="Book Antiqua" w:cs="Calibri"/>
          <w:color w:val="000000" w:themeColor="text1"/>
          <w:sz w:val="24"/>
          <w:szCs w:val="24"/>
          <w:lang w:val="en-US"/>
        </w:rPr>
        <w:t xml:space="preserve"> threshold included between 0% and -90% decreasing the threshold value of 10% each time. We evaluated </w:t>
      </w:r>
      <w:r w:rsidR="00290DC9" w:rsidRPr="00981DC5">
        <w:rPr>
          <w:rFonts w:ascii="Book Antiqua" w:hAnsi="Book Antiqua" w:cs="Calibri"/>
          <w:color w:val="000000" w:themeColor="text1"/>
          <w:sz w:val="24"/>
          <w:szCs w:val="24"/>
          <w:lang w:val="en-US"/>
        </w:rPr>
        <w:t xml:space="preserve">for each treated subgroup </w:t>
      </w:r>
      <w:r w:rsidRPr="00981DC5">
        <w:rPr>
          <w:rFonts w:ascii="Book Antiqua" w:hAnsi="Book Antiqua" w:cs="Calibri"/>
          <w:color w:val="000000" w:themeColor="text1"/>
          <w:sz w:val="24"/>
          <w:szCs w:val="24"/>
          <w:lang w:val="en-US"/>
        </w:rPr>
        <w:t>if there was a linear relationship between the threshold values of the percentage reduction of the mean RTA</w:t>
      </w:r>
      <w:r w:rsidR="00290DC9" w:rsidRPr="00981DC5">
        <w:rPr>
          <w:rFonts w:ascii="Book Antiqua" w:hAnsi="Book Antiqua" w:cs="Calibri"/>
          <w:color w:val="000000" w:themeColor="text1"/>
          <w:sz w:val="24"/>
          <w:szCs w:val="24"/>
          <w:lang w:val="en-US"/>
        </w:rPr>
        <w:t xml:space="preserve"> </w:t>
      </w:r>
      <w:r w:rsidRPr="00981DC5">
        <w:rPr>
          <w:rFonts w:ascii="Book Antiqua" w:hAnsi="Book Antiqua" w:cs="Calibri"/>
          <w:color w:val="000000" w:themeColor="text1"/>
          <w:sz w:val="24"/>
          <w:szCs w:val="24"/>
          <w:lang w:val="en-US"/>
        </w:rPr>
        <w:t xml:space="preserve">and the number of cases reporting a percentage reduction of the mean RTA equal or greater to each threshold </w:t>
      </w:r>
      <w:r w:rsidR="00870220" w:rsidRPr="00981DC5">
        <w:rPr>
          <w:rFonts w:ascii="Book Antiqua" w:hAnsi="Book Antiqua" w:cs="Calibri"/>
          <w:color w:val="000000" w:themeColor="text1"/>
          <w:sz w:val="24"/>
          <w:szCs w:val="24"/>
          <w:lang w:val="en-US"/>
        </w:rPr>
        <w:t>value and</w:t>
      </w:r>
      <w:r w:rsidRPr="00981DC5">
        <w:rPr>
          <w:rFonts w:ascii="Book Antiqua" w:hAnsi="Book Antiqua" w:cs="Calibri"/>
          <w:color w:val="000000" w:themeColor="text1"/>
          <w:sz w:val="24"/>
          <w:szCs w:val="24"/>
          <w:lang w:val="en-US"/>
        </w:rPr>
        <w:t xml:space="preserve"> calculated the linear regression line equation. We researched in the literature data the percentage of partial response according to the RECIST criteria reported for each chemotherapy protocol tested in </w:t>
      </w:r>
      <w:proofErr w:type="spellStart"/>
      <w:r w:rsidRPr="00981DC5">
        <w:rPr>
          <w:rFonts w:ascii="Book Antiqua" w:hAnsi="Book Antiqua" w:cs="Calibri"/>
          <w:color w:val="000000" w:themeColor="text1"/>
          <w:sz w:val="24"/>
          <w:szCs w:val="24"/>
          <w:lang w:val="en-US"/>
        </w:rPr>
        <w:t>xenotransplanted</w:t>
      </w:r>
      <w:proofErr w:type="spellEnd"/>
      <w:r w:rsidRPr="00981DC5">
        <w:rPr>
          <w:rFonts w:ascii="Book Antiqua" w:hAnsi="Book Antiqua" w:cs="Calibri"/>
          <w:color w:val="000000" w:themeColor="text1"/>
          <w:sz w:val="24"/>
          <w:szCs w:val="24"/>
          <w:lang w:val="en-US"/>
        </w:rPr>
        <w:t xml:space="preserve"> zebrafish embryos</w:t>
      </w:r>
      <w:r w:rsidR="0061405B" w:rsidRPr="00981DC5">
        <w:rPr>
          <w:rFonts w:ascii="Book Antiqua" w:hAnsi="Book Antiqua" w:cs="Calibri"/>
          <w:color w:val="000000" w:themeColor="text1"/>
          <w:sz w:val="24"/>
          <w:szCs w:val="24"/>
          <w:lang w:val="en-US"/>
        </w:rPr>
        <w:t xml:space="preserve">. </w:t>
      </w:r>
      <w:r w:rsidR="00E06810" w:rsidRPr="00981DC5">
        <w:rPr>
          <w:rFonts w:ascii="Book Antiqua" w:hAnsi="Book Antiqua" w:cs="Calibri"/>
          <w:color w:val="000000" w:themeColor="text1"/>
          <w:sz w:val="24"/>
          <w:szCs w:val="24"/>
          <w:lang w:val="en-US"/>
        </w:rPr>
        <w:t>Then, u</w:t>
      </w:r>
      <w:r w:rsidRPr="00981DC5">
        <w:rPr>
          <w:rFonts w:ascii="Book Antiqua" w:hAnsi="Book Antiqua" w:cs="Calibri"/>
          <w:color w:val="000000" w:themeColor="text1"/>
          <w:sz w:val="24"/>
          <w:szCs w:val="24"/>
          <w:lang w:val="en-US"/>
        </w:rPr>
        <w:t xml:space="preserve">sing the linear regression line equation, we calculated for each protocol the expected percentage RTA reduction </w:t>
      </w:r>
      <w:r w:rsidR="00E06810" w:rsidRPr="00981DC5">
        <w:rPr>
          <w:rFonts w:ascii="Book Antiqua" w:hAnsi="Book Antiqua" w:cs="Calibri"/>
          <w:color w:val="000000" w:themeColor="text1"/>
          <w:sz w:val="24"/>
          <w:szCs w:val="24"/>
          <w:lang w:val="en-US"/>
        </w:rPr>
        <w:t xml:space="preserve">(theoretically the percentage of RTA reduction reported in a percentage of cases in test with </w:t>
      </w:r>
      <w:proofErr w:type="spellStart"/>
      <w:r w:rsidR="00E06810" w:rsidRPr="00981DC5">
        <w:rPr>
          <w:rFonts w:ascii="Book Antiqua" w:hAnsi="Book Antiqua" w:cs="Calibri"/>
          <w:color w:val="000000" w:themeColor="text1"/>
          <w:sz w:val="24"/>
          <w:szCs w:val="24"/>
          <w:lang w:val="en-US"/>
        </w:rPr>
        <w:t>xenotransplanted</w:t>
      </w:r>
      <w:proofErr w:type="spellEnd"/>
      <w:r w:rsidR="00E06810" w:rsidRPr="00981DC5">
        <w:rPr>
          <w:rFonts w:ascii="Book Antiqua" w:hAnsi="Book Antiqua" w:cs="Calibri"/>
          <w:color w:val="000000" w:themeColor="text1"/>
          <w:sz w:val="24"/>
          <w:szCs w:val="24"/>
          <w:lang w:val="en-US"/>
        </w:rPr>
        <w:t xml:space="preserve"> zebrafish embryos </w:t>
      </w:r>
      <w:r w:rsidR="00E06810" w:rsidRPr="00981DC5">
        <w:rPr>
          <w:rFonts w:ascii="Book Antiqua" w:hAnsi="Book Antiqua" w:cs="Calibri"/>
          <w:color w:val="000000" w:themeColor="text1"/>
          <w:sz w:val="24"/>
          <w:szCs w:val="24"/>
          <w:lang w:val="en-US"/>
        </w:rPr>
        <w:lastRenderedPageBreak/>
        <w:t>equal</w:t>
      </w:r>
      <w:r w:rsidRPr="00981DC5">
        <w:rPr>
          <w:rFonts w:ascii="Book Antiqua" w:hAnsi="Book Antiqua" w:cs="Calibri"/>
          <w:color w:val="000000" w:themeColor="text1"/>
          <w:sz w:val="24"/>
          <w:szCs w:val="24"/>
          <w:lang w:val="en-US"/>
        </w:rPr>
        <w:t xml:space="preserve"> to the percentage of partial response reported in literature</w:t>
      </w:r>
      <w:r w:rsidR="00E06810" w:rsidRPr="00981DC5">
        <w:rPr>
          <w:rFonts w:ascii="Book Antiqua" w:hAnsi="Book Antiqua" w:cs="Calibri"/>
          <w:color w:val="000000" w:themeColor="text1"/>
          <w:sz w:val="24"/>
          <w:szCs w:val="24"/>
          <w:lang w:val="en-US"/>
        </w:rPr>
        <w:t>)</w:t>
      </w:r>
      <w:r w:rsidRPr="00981DC5">
        <w:rPr>
          <w:rFonts w:ascii="Book Antiqua" w:hAnsi="Book Antiqua" w:cs="Calibri"/>
          <w:color w:val="000000" w:themeColor="text1"/>
          <w:sz w:val="24"/>
          <w:szCs w:val="24"/>
          <w:lang w:val="en-US"/>
        </w:rPr>
        <w:t xml:space="preserve"> with the following formula: </w:t>
      </w:r>
      <w:r w:rsidR="00870220">
        <w:rPr>
          <w:rFonts w:ascii="Book Antiqua" w:hAnsi="Book Antiqua" w:cs="Calibri"/>
          <w:color w:val="000000" w:themeColor="text1"/>
          <w:sz w:val="24"/>
          <w:szCs w:val="24"/>
          <w:lang w:val="en-US"/>
        </w:rPr>
        <w:t>expected percentage</w:t>
      </w:r>
      <w:r w:rsidR="00870220" w:rsidRPr="00870220">
        <w:rPr>
          <w:rFonts w:ascii="Book Antiqua" w:hAnsi="Book Antiqua" w:cs="Calibri"/>
          <w:color w:val="000000" w:themeColor="text1"/>
          <w:sz w:val="24"/>
          <w:szCs w:val="24"/>
          <w:lang w:val="en-US"/>
        </w:rPr>
        <w:t xml:space="preserve"> </w:t>
      </w:r>
      <w:r w:rsidR="00870220" w:rsidRPr="00981DC5">
        <w:rPr>
          <w:rFonts w:ascii="Book Antiqua" w:hAnsi="Book Antiqua" w:cs="Calibri"/>
          <w:color w:val="000000" w:themeColor="text1"/>
          <w:sz w:val="24"/>
          <w:szCs w:val="24"/>
          <w:lang w:val="en-US"/>
        </w:rPr>
        <w:t>reduction of the mean RTA</w:t>
      </w:r>
      <w:r w:rsidR="00870220">
        <w:rPr>
          <w:rFonts w:ascii="Book Antiqua" w:hAnsi="Book Antiqua" w:cs="Calibri"/>
          <w:color w:val="000000" w:themeColor="text1"/>
          <w:sz w:val="24"/>
          <w:szCs w:val="24"/>
          <w:lang w:val="en-US"/>
        </w:rPr>
        <w:t xml:space="preserve"> = (percentage of PR reported in literature – </w:t>
      </w:r>
      <w:proofErr w:type="spellStart"/>
      <w:r w:rsidR="00870220">
        <w:rPr>
          <w:rFonts w:ascii="Book Antiqua" w:hAnsi="Book Antiqua" w:cs="Calibri"/>
          <w:color w:val="000000" w:themeColor="text1"/>
          <w:sz w:val="24"/>
          <w:szCs w:val="24"/>
          <w:lang w:val="en-US"/>
        </w:rPr>
        <w:t>q</w:t>
      </w:r>
      <w:r w:rsidR="00870220" w:rsidRPr="00870220">
        <w:rPr>
          <w:rFonts w:ascii="Book Antiqua" w:hAnsi="Book Antiqua" w:cs="Calibri"/>
          <w:i/>
          <w:iCs/>
          <w:color w:val="000000" w:themeColor="text1"/>
          <w:sz w:val="24"/>
          <w:szCs w:val="24"/>
          <w:lang w:val="en-US"/>
        </w:rPr>
        <w:t>linear</w:t>
      </w:r>
      <w:proofErr w:type="spellEnd"/>
      <w:r w:rsidR="00870220" w:rsidRPr="00870220">
        <w:rPr>
          <w:rFonts w:ascii="Book Antiqua" w:hAnsi="Book Antiqua" w:cs="Calibri"/>
          <w:i/>
          <w:iCs/>
          <w:color w:val="000000" w:themeColor="text1"/>
          <w:sz w:val="24"/>
          <w:szCs w:val="24"/>
          <w:lang w:val="en-US"/>
        </w:rPr>
        <w:t xml:space="preserve"> regression line equation</w:t>
      </w:r>
      <w:r w:rsidR="00870220">
        <w:rPr>
          <w:rFonts w:ascii="Book Antiqua" w:hAnsi="Book Antiqua" w:cs="Calibri"/>
          <w:color w:val="000000" w:themeColor="text1"/>
          <w:sz w:val="24"/>
          <w:szCs w:val="24"/>
          <w:lang w:val="en-US"/>
        </w:rPr>
        <w:t>)/</w:t>
      </w:r>
      <w:proofErr w:type="spellStart"/>
      <w:r w:rsidR="00870220">
        <w:rPr>
          <w:rFonts w:ascii="Book Antiqua" w:hAnsi="Book Antiqua" w:cs="Calibri"/>
          <w:color w:val="000000" w:themeColor="text1"/>
          <w:sz w:val="24"/>
          <w:szCs w:val="24"/>
          <w:lang w:val="en-US"/>
        </w:rPr>
        <w:t>m</w:t>
      </w:r>
      <w:r w:rsidR="00870220" w:rsidRPr="00870220">
        <w:rPr>
          <w:rFonts w:ascii="Book Antiqua" w:hAnsi="Book Antiqua" w:cs="Calibri"/>
          <w:i/>
          <w:iCs/>
          <w:color w:val="000000" w:themeColor="text1"/>
          <w:sz w:val="24"/>
          <w:szCs w:val="24"/>
          <w:lang w:val="en-US"/>
        </w:rPr>
        <w:t>linear</w:t>
      </w:r>
      <w:proofErr w:type="spellEnd"/>
      <w:r w:rsidR="00870220" w:rsidRPr="00870220">
        <w:rPr>
          <w:rFonts w:ascii="Book Antiqua" w:hAnsi="Book Antiqua" w:cs="Calibri"/>
          <w:i/>
          <w:iCs/>
          <w:color w:val="000000" w:themeColor="text1"/>
          <w:sz w:val="24"/>
          <w:szCs w:val="24"/>
          <w:lang w:val="en-US"/>
        </w:rPr>
        <w:t xml:space="preserve"> regression line equation</w:t>
      </w:r>
      <w:r w:rsidR="00870220">
        <w:rPr>
          <w:rFonts w:ascii="Book Antiqua" w:hAnsi="Book Antiqua" w:cs="Calibri"/>
          <w:color w:val="000000" w:themeColor="text1"/>
          <w:sz w:val="24"/>
          <w:szCs w:val="24"/>
          <w:lang w:val="en-US"/>
        </w:rPr>
        <w:t xml:space="preserve">. </w:t>
      </w:r>
      <w:r w:rsidRPr="00981DC5">
        <w:rPr>
          <w:rFonts w:ascii="Book Antiqua" w:hAnsi="Book Antiqua" w:cs="Calibri"/>
          <w:color w:val="000000" w:themeColor="text1"/>
          <w:sz w:val="24"/>
          <w:szCs w:val="24"/>
          <w:lang w:val="en-US"/>
        </w:rPr>
        <w:t xml:space="preserve">Then, for each chemotherapy protocol we calculated the mean value of the expected percentage reduction of the mean RTA in treated </w:t>
      </w:r>
      <w:proofErr w:type="spellStart"/>
      <w:r w:rsidRPr="00981DC5">
        <w:rPr>
          <w:rFonts w:ascii="Book Antiqua" w:hAnsi="Book Antiqua" w:cs="Calibri"/>
          <w:color w:val="000000" w:themeColor="text1"/>
          <w:sz w:val="24"/>
          <w:szCs w:val="24"/>
          <w:lang w:val="en-US"/>
        </w:rPr>
        <w:t>xenotransplanted</w:t>
      </w:r>
      <w:proofErr w:type="spellEnd"/>
      <w:r w:rsidRPr="00981DC5">
        <w:rPr>
          <w:rFonts w:ascii="Book Antiqua" w:hAnsi="Book Antiqua" w:cs="Calibri"/>
          <w:color w:val="000000" w:themeColor="text1"/>
          <w:sz w:val="24"/>
          <w:szCs w:val="24"/>
          <w:lang w:val="en-US"/>
        </w:rPr>
        <w:t xml:space="preserve"> zebrafish embryos corresponding to a partial response in oncological patient and compared </w:t>
      </w:r>
      <w:r w:rsidR="00E65F3D" w:rsidRPr="00981DC5">
        <w:rPr>
          <w:rFonts w:ascii="Book Antiqua" w:hAnsi="Book Antiqua" w:cs="Calibri"/>
          <w:color w:val="000000" w:themeColor="text1"/>
          <w:sz w:val="24"/>
          <w:szCs w:val="24"/>
          <w:lang w:val="en-US"/>
        </w:rPr>
        <w:t>them</w:t>
      </w:r>
      <w:r w:rsidRPr="00981DC5">
        <w:rPr>
          <w:rFonts w:ascii="Book Antiqua" w:hAnsi="Book Antiqua" w:cs="Calibri"/>
          <w:color w:val="000000" w:themeColor="text1"/>
          <w:sz w:val="24"/>
          <w:szCs w:val="24"/>
          <w:lang w:val="en-US"/>
        </w:rPr>
        <w:t>.</w:t>
      </w:r>
    </w:p>
    <w:p w14:paraId="5ED44A15" w14:textId="77777777" w:rsidR="00D17E5C" w:rsidRPr="00981DC5" w:rsidRDefault="00D17E5C" w:rsidP="00B11A05">
      <w:pPr>
        <w:adjustRightInd w:val="0"/>
        <w:snapToGrid w:val="0"/>
        <w:spacing w:after="0" w:line="360" w:lineRule="auto"/>
        <w:jc w:val="both"/>
        <w:rPr>
          <w:rFonts w:ascii="Book Antiqua" w:hAnsi="Book Antiqua" w:cs="Calibri"/>
          <w:color w:val="000000" w:themeColor="text1"/>
          <w:sz w:val="24"/>
          <w:szCs w:val="24"/>
          <w:lang w:val="en-US"/>
        </w:rPr>
      </w:pPr>
    </w:p>
    <w:p w14:paraId="7859DC88" w14:textId="30C3B3C5" w:rsidR="00D17E5C" w:rsidRPr="00981DC5" w:rsidRDefault="00D17E5C" w:rsidP="00B11A05">
      <w:pPr>
        <w:adjustRightInd w:val="0"/>
        <w:snapToGrid w:val="0"/>
        <w:spacing w:after="0" w:line="360" w:lineRule="auto"/>
        <w:jc w:val="both"/>
        <w:rPr>
          <w:rFonts w:ascii="Book Antiqua" w:hAnsi="Book Antiqua" w:cs="Calibri"/>
          <w:b/>
          <w:bCs/>
          <w:i/>
          <w:iCs/>
          <w:color w:val="000000" w:themeColor="text1"/>
          <w:sz w:val="24"/>
          <w:szCs w:val="24"/>
          <w:lang w:val="en-US"/>
        </w:rPr>
      </w:pPr>
      <w:r w:rsidRPr="00981DC5">
        <w:rPr>
          <w:rFonts w:ascii="Book Antiqua" w:hAnsi="Book Antiqua" w:cs="Calibri"/>
          <w:b/>
          <w:bCs/>
          <w:i/>
          <w:iCs/>
          <w:color w:val="000000" w:themeColor="text1"/>
          <w:sz w:val="24"/>
          <w:szCs w:val="24"/>
          <w:lang w:val="en-US"/>
        </w:rPr>
        <w:t>Xenografts imaging and quantification</w:t>
      </w:r>
    </w:p>
    <w:p w14:paraId="75E7BF46" w14:textId="77981F0D" w:rsidR="00D17E5C" w:rsidRPr="00981DC5" w:rsidRDefault="00D17E5C" w:rsidP="00B11A05">
      <w:pPr>
        <w:adjustRightInd w:val="0"/>
        <w:snapToGrid w:val="0"/>
        <w:spacing w:after="0" w:line="360" w:lineRule="auto"/>
        <w:jc w:val="both"/>
        <w:rPr>
          <w:rFonts w:ascii="Book Antiqua" w:hAnsi="Book Antiqua" w:cs="Calibri"/>
          <w:color w:val="000000" w:themeColor="text1"/>
          <w:sz w:val="24"/>
          <w:szCs w:val="24"/>
          <w:lang w:val="en-US"/>
        </w:rPr>
      </w:pPr>
      <w:r w:rsidRPr="00981DC5">
        <w:rPr>
          <w:rFonts w:ascii="Book Antiqua" w:hAnsi="Book Antiqua" w:cs="Calibri"/>
          <w:color w:val="000000" w:themeColor="text1"/>
          <w:sz w:val="24"/>
          <w:szCs w:val="24"/>
          <w:lang w:val="en-US"/>
        </w:rPr>
        <w:t xml:space="preserve">All xenografts were imaged by fluorescence Nikon Eclipse E600 microscope to monitor the RTA and analyzed using ImageJ software. For the volumetric analysis of the nuclei the images were acquired by using a Nikon A1 confocal microscope with a 5 </w:t>
      </w:r>
      <w:proofErr w:type="spellStart"/>
      <w:r w:rsidRPr="00981DC5">
        <w:rPr>
          <w:rFonts w:ascii="Book Antiqua" w:hAnsi="Book Antiqua" w:cs="Calibri"/>
          <w:color w:val="000000" w:themeColor="text1"/>
          <w:sz w:val="24"/>
          <w:szCs w:val="24"/>
          <w:lang w:val="en-US"/>
        </w:rPr>
        <w:t>μm</w:t>
      </w:r>
      <w:proofErr w:type="spellEnd"/>
      <w:r w:rsidRPr="00981DC5">
        <w:rPr>
          <w:rFonts w:ascii="Book Antiqua" w:hAnsi="Book Antiqua" w:cs="Calibri"/>
          <w:color w:val="000000" w:themeColor="text1"/>
          <w:sz w:val="24"/>
          <w:szCs w:val="24"/>
          <w:lang w:val="en-US"/>
        </w:rPr>
        <w:t xml:space="preserve"> z-stacks. The quantifications were performed using the 3D Objects Counter function of ImageJ software.</w:t>
      </w:r>
    </w:p>
    <w:p w14:paraId="21EC37F3" w14:textId="4DDBBAA2" w:rsidR="004107CC" w:rsidRPr="00981DC5" w:rsidRDefault="004107CC" w:rsidP="00B11A05">
      <w:pPr>
        <w:adjustRightInd w:val="0"/>
        <w:snapToGrid w:val="0"/>
        <w:spacing w:after="0" w:line="360" w:lineRule="auto"/>
        <w:jc w:val="both"/>
        <w:rPr>
          <w:rFonts w:ascii="Book Antiqua" w:hAnsi="Book Antiqua" w:cs="Calibri"/>
          <w:color w:val="000000" w:themeColor="text1"/>
          <w:sz w:val="24"/>
          <w:szCs w:val="24"/>
          <w:lang w:val="en-US"/>
        </w:rPr>
      </w:pPr>
    </w:p>
    <w:p w14:paraId="1D517E69" w14:textId="1DD38463" w:rsidR="004107CC" w:rsidRPr="00981DC5" w:rsidRDefault="002D1B26" w:rsidP="00B11A05">
      <w:pPr>
        <w:adjustRightInd w:val="0"/>
        <w:snapToGrid w:val="0"/>
        <w:spacing w:after="0" w:line="360" w:lineRule="auto"/>
        <w:jc w:val="both"/>
        <w:rPr>
          <w:rFonts w:ascii="Book Antiqua" w:hAnsi="Book Antiqua" w:cs="Calibri"/>
          <w:b/>
          <w:bCs/>
          <w:i/>
          <w:iCs/>
          <w:color w:val="000000" w:themeColor="text1"/>
          <w:sz w:val="24"/>
          <w:szCs w:val="24"/>
          <w:lang w:val="en-US"/>
        </w:rPr>
      </w:pPr>
      <w:r w:rsidRPr="00981DC5">
        <w:rPr>
          <w:rFonts w:ascii="Book Antiqua" w:hAnsi="Book Antiqua" w:cs="Calibri"/>
          <w:b/>
          <w:bCs/>
          <w:i/>
          <w:iCs/>
          <w:color w:val="000000" w:themeColor="text1"/>
          <w:sz w:val="24"/>
          <w:szCs w:val="24"/>
          <w:lang w:val="en-US"/>
        </w:rPr>
        <w:t xml:space="preserve">Formalin-Fixed Paraffin Embedded samples </w:t>
      </w:r>
      <w:r w:rsidR="004107CC" w:rsidRPr="00981DC5">
        <w:rPr>
          <w:rFonts w:ascii="Book Antiqua" w:hAnsi="Book Antiqua" w:cs="Calibri"/>
          <w:b/>
          <w:bCs/>
          <w:i/>
          <w:iCs/>
          <w:color w:val="000000" w:themeColor="text1"/>
          <w:sz w:val="24"/>
          <w:szCs w:val="24"/>
          <w:lang w:val="en-US"/>
        </w:rPr>
        <w:t xml:space="preserve">preparation of Xenografts </w:t>
      </w:r>
    </w:p>
    <w:p w14:paraId="3F36B666" w14:textId="4ACB3F7F" w:rsidR="00CD6B9C" w:rsidRPr="00981DC5" w:rsidRDefault="004107CC" w:rsidP="00B11A05">
      <w:pPr>
        <w:widowControl w:val="0"/>
        <w:autoSpaceDE w:val="0"/>
        <w:autoSpaceDN w:val="0"/>
        <w:adjustRightInd w:val="0"/>
        <w:snapToGrid w:val="0"/>
        <w:spacing w:after="0" w:line="360" w:lineRule="auto"/>
        <w:jc w:val="both"/>
        <w:rPr>
          <w:rFonts w:ascii="Book Antiqua" w:hAnsi="Book Antiqua" w:cs="Calibri"/>
          <w:i/>
          <w:iCs/>
          <w:color w:val="000000" w:themeColor="text1"/>
          <w:sz w:val="24"/>
          <w:szCs w:val="24"/>
          <w:lang w:val="en-US"/>
        </w:rPr>
      </w:pPr>
      <w:r w:rsidRPr="00981DC5">
        <w:rPr>
          <w:rFonts w:ascii="Book Antiqua" w:hAnsi="Book Antiqua" w:cs="Calibri"/>
          <w:b/>
          <w:bCs/>
          <w:color w:val="000000" w:themeColor="text1"/>
          <w:sz w:val="24"/>
          <w:szCs w:val="24"/>
          <w:lang w:val="en-US"/>
        </w:rPr>
        <w:t>Histological analysis</w:t>
      </w:r>
      <w:r w:rsidR="00B11A05" w:rsidRPr="00981DC5">
        <w:rPr>
          <w:rFonts w:ascii="Book Antiqua" w:hAnsi="Book Antiqua" w:cs="Calibri"/>
          <w:b/>
          <w:bCs/>
          <w:color w:val="000000" w:themeColor="text1"/>
          <w:sz w:val="24"/>
          <w:szCs w:val="24"/>
          <w:lang w:val="en-US"/>
        </w:rPr>
        <w:t>:</w:t>
      </w:r>
      <w:r w:rsidR="00B11A05" w:rsidRPr="00981DC5">
        <w:rPr>
          <w:rFonts w:ascii="Book Antiqua" w:hAnsi="Book Antiqua" w:cs="Calibri"/>
          <w:i/>
          <w:iCs/>
          <w:color w:val="000000" w:themeColor="text1"/>
          <w:sz w:val="24"/>
          <w:szCs w:val="24"/>
          <w:lang w:val="en-US"/>
        </w:rPr>
        <w:t xml:space="preserve"> </w:t>
      </w:r>
      <w:r w:rsidR="00B11A05" w:rsidRPr="00981DC5">
        <w:rPr>
          <w:rFonts w:ascii="Book Antiqua" w:hAnsi="Book Antiqua" w:cs="Calibri"/>
          <w:color w:val="000000" w:themeColor="text1"/>
          <w:sz w:val="24"/>
          <w:szCs w:val="24"/>
          <w:lang w:val="en-US"/>
        </w:rPr>
        <w:t>Two</w:t>
      </w:r>
      <w:r w:rsidR="00CD6B9C" w:rsidRPr="00981DC5">
        <w:rPr>
          <w:rFonts w:ascii="Book Antiqua" w:hAnsi="Book Antiqua" w:cs="Calibri"/>
          <w:color w:val="000000" w:themeColor="text1"/>
          <w:sz w:val="24"/>
          <w:szCs w:val="24"/>
          <w:lang w:val="en-US"/>
        </w:rPr>
        <w:t xml:space="preserve"> days post treatment </w:t>
      </w:r>
      <w:r w:rsidR="000E45C7" w:rsidRPr="000E45C7">
        <w:rPr>
          <w:rFonts w:ascii="Book Antiqua" w:hAnsi="Book Antiqua" w:cs="Calibri"/>
          <w:color w:val="000000" w:themeColor="text1"/>
          <w:sz w:val="24"/>
          <w:szCs w:val="24"/>
          <w:lang w:val="en-US"/>
        </w:rPr>
        <w:t xml:space="preserve">zebrafish patient-derived xenografts </w:t>
      </w:r>
      <w:r w:rsidR="000E45C7">
        <w:rPr>
          <w:rFonts w:ascii="Book Antiqua" w:hAnsi="Book Antiqua" w:cs="Calibri"/>
          <w:color w:val="000000" w:themeColor="text1"/>
          <w:sz w:val="24"/>
          <w:szCs w:val="24"/>
          <w:lang w:val="en-US"/>
        </w:rPr>
        <w:t>(</w:t>
      </w:r>
      <w:proofErr w:type="spellStart"/>
      <w:r w:rsidR="00CD6B9C" w:rsidRPr="00981DC5">
        <w:rPr>
          <w:rFonts w:ascii="Book Antiqua" w:hAnsi="Book Antiqua" w:cs="Calibri"/>
          <w:color w:val="000000" w:themeColor="text1"/>
          <w:sz w:val="24"/>
          <w:szCs w:val="24"/>
          <w:lang w:val="en-US"/>
        </w:rPr>
        <w:t>zPDX</w:t>
      </w:r>
      <w:proofErr w:type="spellEnd"/>
      <w:r w:rsidR="000E45C7">
        <w:rPr>
          <w:rFonts w:ascii="Book Antiqua" w:hAnsi="Book Antiqua" w:cs="Calibri"/>
          <w:color w:val="000000" w:themeColor="text1"/>
          <w:sz w:val="24"/>
          <w:szCs w:val="24"/>
          <w:lang w:val="en-US"/>
        </w:rPr>
        <w:t>)</w:t>
      </w:r>
      <w:r w:rsidR="00CD6B9C" w:rsidRPr="00981DC5">
        <w:rPr>
          <w:rFonts w:ascii="Book Antiqua" w:hAnsi="Book Antiqua" w:cs="Calibri"/>
          <w:color w:val="000000" w:themeColor="text1"/>
          <w:sz w:val="24"/>
          <w:szCs w:val="24"/>
          <w:lang w:val="en-US"/>
        </w:rPr>
        <w:t xml:space="preserve"> were sampled for histopathological examination. Briefly, the embryos were fixed in 10% neutral buffered Formalin and dehydrated through increasing ethanol scale. Then the </w:t>
      </w:r>
      <w:proofErr w:type="spellStart"/>
      <w:r w:rsidR="00CD6B9C" w:rsidRPr="00981DC5">
        <w:rPr>
          <w:rFonts w:ascii="Book Antiqua" w:hAnsi="Book Antiqua" w:cs="Calibri"/>
          <w:color w:val="000000" w:themeColor="text1"/>
          <w:sz w:val="24"/>
          <w:szCs w:val="24"/>
          <w:lang w:val="en-US"/>
        </w:rPr>
        <w:t>zPDX</w:t>
      </w:r>
      <w:proofErr w:type="spellEnd"/>
      <w:r w:rsidR="00CD6B9C" w:rsidRPr="00981DC5">
        <w:rPr>
          <w:rFonts w:ascii="Book Antiqua" w:hAnsi="Book Antiqua" w:cs="Calibri"/>
          <w:color w:val="000000" w:themeColor="text1"/>
          <w:sz w:val="24"/>
          <w:szCs w:val="24"/>
          <w:lang w:val="en-US"/>
        </w:rPr>
        <w:t xml:space="preserve"> were embedded after immersion in liquid paraffin at 60</w:t>
      </w:r>
      <w:r w:rsidR="00870220">
        <w:rPr>
          <w:rFonts w:ascii="Book Antiqua" w:hAnsi="Book Antiqua" w:cs="Calibri"/>
          <w:color w:val="000000" w:themeColor="text1"/>
          <w:sz w:val="24"/>
          <w:szCs w:val="24"/>
          <w:lang w:val="en-US"/>
        </w:rPr>
        <w:t xml:space="preserve"> </w:t>
      </w:r>
      <w:r w:rsidR="00CD6B9C" w:rsidRPr="00981DC5">
        <w:rPr>
          <w:rFonts w:ascii="Book Antiqua" w:hAnsi="Book Antiqua" w:cs="Calibri"/>
          <w:color w:val="000000" w:themeColor="text1"/>
          <w:sz w:val="24"/>
          <w:szCs w:val="24"/>
          <w:lang w:val="en-US"/>
        </w:rPr>
        <w:sym w:font="Symbol" w:char="F0B0"/>
      </w:r>
      <w:r w:rsidR="00CD6B9C" w:rsidRPr="00981DC5">
        <w:rPr>
          <w:rFonts w:ascii="Book Antiqua" w:hAnsi="Book Antiqua" w:cs="Calibri"/>
          <w:color w:val="000000" w:themeColor="text1"/>
          <w:sz w:val="24"/>
          <w:szCs w:val="24"/>
          <w:lang w:val="en-US"/>
        </w:rPr>
        <w:t xml:space="preserve">C for 2 h. The Formalin-Fixed Paraffin Embedded (FFPE) were sectioned at 3 </w:t>
      </w:r>
      <w:r w:rsidR="00CD6B9C" w:rsidRPr="00981DC5">
        <w:rPr>
          <w:rFonts w:ascii="Book Antiqua" w:hAnsi="Book Antiqua" w:cs="Calibri"/>
          <w:color w:val="000000" w:themeColor="text1"/>
          <w:sz w:val="24"/>
          <w:szCs w:val="24"/>
          <w:lang w:val="en-US"/>
        </w:rPr>
        <w:sym w:font="Symbol" w:char="F06D"/>
      </w:r>
      <w:r w:rsidR="00CD6B9C" w:rsidRPr="00981DC5">
        <w:rPr>
          <w:rFonts w:ascii="Book Antiqua" w:hAnsi="Book Antiqua" w:cs="Calibri"/>
          <w:color w:val="000000" w:themeColor="text1"/>
          <w:sz w:val="24"/>
          <w:szCs w:val="24"/>
          <w:lang w:val="en-US"/>
        </w:rPr>
        <w:t xml:space="preserve">m-thick, then rehydrated using xylene and ethanol solutions. Finally, </w:t>
      </w:r>
      <w:proofErr w:type="spellStart"/>
      <w:r w:rsidR="00CD6B9C" w:rsidRPr="00981DC5">
        <w:rPr>
          <w:rFonts w:ascii="Book Antiqua" w:hAnsi="Book Antiqua" w:cs="Calibri"/>
          <w:color w:val="000000" w:themeColor="text1"/>
          <w:sz w:val="24"/>
          <w:szCs w:val="24"/>
          <w:lang w:val="en-US"/>
        </w:rPr>
        <w:t>zPDX</w:t>
      </w:r>
      <w:proofErr w:type="spellEnd"/>
      <w:r w:rsidR="00CD6B9C" w:rsidRPr="00981DC5">
        <w:rPr>
          <w:rFonts w:ascii="Book Antiqua" w:hAnsi="Book Antiqua" w:cs="Calibri"/>
          <w:color w:val="000000" w:themeColor="text1"/>
          <w:sz w:val="24"/>
          <w:szCs w:val="24"/>
          <w:lang w:val="en-US"/>
        </w:rPr>
        <w:t xml:space="preserve"> sections were stained with </w:t>
      </w:r>
      <w:r w:rsidR="00AD402B" w:rsidRPr="00981DC5">
        <w:rPr>
          <w:rFonts w:ascii="Book Antiqua" w:hAnsi="Book Antiqua" w:cs="Calibri"/>
          <w:color w:val="000000" w:themeColor="text1"/>
          <w:sz w:val="24"/>
          <w:szCs w:val="24"/>
          <w:lang w:val="en-US"/>
        </w:rPr>
        <w:t>hematoxylin and eosin</w:t>
      </w:r>
      <w:r w:rsidR="00CD6B9C" w:rsidRPr="00981DC5">
        <w:rPr>
          <w:rFonts w:ascii="Book Antiqua" w:hAnsi="Book Antiqua" w:cs="Calibri"/>
          <w:color w:val="000000" w:themeColor="text1"/>
          <w:sz w:val="24"/>
          <w:szCs w:val="24"/>
          <w:lang w:val="en-US"/>
        </w:rPr>
        <w:t xml:space="preserve"> for morphological analysis.</w:t>
      </w:r>
    </w:p>
    <w:p w14:paraId="14B42C4B" w14:textId="77777777" w:rsidR="004107CC" w:rsidRPr="00981DC5" w:rsidRDefault="004107CC" w:rsidP="00B11A05">
      <w:pPr>
        <w:adjustRightInd w:val="0"/>
        <w:snapToGrid w:val="0"/>
        <w:spacing w:after="0" w:line="360" w:lineRule="auto"/>
        <w:jc w:val="both"/>
        <w:rPr>
          <w:rFonts w:ascii="Book Antiqua" w:hAnsi="Book Antiqua" w:cs="Calibri"/>
          <w:color w:val="000000" w:themeColor="text1"/>
          <w:sz w:val="24"/>
          <w:szCs w:val="24"/>
          <w:lang w:val="en-US"/>
        </w:rPr>
      </w:pPr>
    </w:p>
    <w:p w14:paraId="1DA08206" w14:textId="142937ED" w:rsidR="004107CC" w:rsidRPr="00981DC5" w:rsidRDefault="004107CC" w:rsidP="00B11A05">
      <w:pPr>
        <w:widowControl w:val="0"/>
        <w:autoSpaceDE w:val="0"/>
        <w:autoSpaceDN w:val="0"/>
        <w:adjustRightInd w:val="0"/>
        <w:snapToGrid w:val="0"/>
        <w:spacing w:after="0" w:line="360" w:lineRule="auto"/>
        <w:jc w:val="both"/>
        <w:rPr>
          <w:rFonts w:ascii="Book Antiqua" w:hAnsi="Book Antiqua" w:cs="Calibri"/>
          <w:i/>
          <w:iCs/>
          <w:color w:val="000000" w:themeColor="text1"/>
          <w:sz w:val="24"/>
          <w:szCs w:val="24"/>
          <w:lang w:val="en-US"/>
        </w:rPr>
      </w:pPr>
      <w:r w:rsidRPr="00981DC5">
        <w:rPr>
          <w:rFonts w:ascii="Book Antiqua" w:hAnsi="Book Antiqua" w:cs="Calibri"/>
          <w:b/>
          <w:bCs/>
          <w:color w:val="000000" w:themeColor="text1"/>
          <w:sz w:val="24"/>
          <w:szCs w:val="24"/>
          <w:lang w:val="en-US"/>
        </w:rPr>
        <w:t>Immunohistochemistry</w:t>
      </w:r>
      <w:r w:rsidR="00B11A05" w:rsidRPr="00981DC5">
        <w:rPr>
          <w:rFonts w:ascii="Book Antiqua" w:hAnsi="Book Antiqua" w:cs="Calibri"/>
          <w:b/>
          <w:bCs/>
          <w:color w:val="000000" w:themeColor="text1"/>
          <w:sz w:val="24"/>
          <w:szCs w:val="24"/>
          <w:lang w:val="en-US"/>
        </w:rPr>
        <w:t xml:space="preserve">: </w:t>
      </w:r>
      <w:r w:rsidRPr="00981DC5">
        <w:rPr>
          <w:rFonts w:ascii="Book Antiqua" w:hAnsi="Book Antiqua" w:cs="Calibri"/>
          <w:color w:val="000000" w:themeColor="text1"/>
          <w:sz w:val="24"/>
          <w:szCs w:val="24"/>
          <w:lang w:val="en-US"/>
        </w:rPr>
        <w:t>The expression of Pan-Cytokeratin proteins (</w:t>
      </w:r>
      <w:proofErr w:type="spellStart"/>
      <w:r w:rsidRPr="00981DC5">
        <w:rPr>
          <w:rFonts w:ascii="Book Antiqua" w:hAnsi="Book Antiqua" w:cs="Calibri"/>
          <w:color w:val="000000" w:themeColor="text1"/>
          <w:sz w:val="24"/>
          <w:szCs w:val="24"/>
          <w:lang w:val="en-US"/>
        </w:rPr>
        <w:t>PanCKs</w:t>
      </w:r>
      <w:proofErr w:type="spellEnd"/>
      <w:r w:rsidRPr="00981DC5">
        <w:rPr>
          <w:rFonts w:ascii="Book Antiqua" w:hAnsi="Book Antiqua" w:cs="Calibri"/>
          <w:color w:val="000000" w:themeColor="text1"/>
          <w:sz w:val="24"/>
          <w:szCs w:val="24"/>
          <w:lang w:val="en-US"/>
        </w:rPr>
        <w:t>) was examined using immunohistochemistry in the preclinical models. FFPE sections were hydrated. Antigen retrieval was performed through soaking 3 times for 3 min in 10 m</w:t>
      </w:r>
      <w:r w:rsidR="00870220">
        <w:rPr>
          <w:rFonts w:ascii="Book Antiqua" w:hAnsi="Book Antiqua" w:cs="Calibri"/>
          <w:color w:val="000000" w:themeColor="text1"/>
          <w:sz w:val="24"/>
          <w:szCs w:val="24"/>
          <w:lang w:val="en-US"/>
        </w:rPr>
        <w:t>mol/L</w:t>
      </w:r>
      <w:r w:rsidRPr="00981DC5">
        <w:rPr>
          <w:rFonts w:ascii="Book Antiqua" w:hAnsi="Book Antiqua" w:cs="Calibri"/>
          <w:color w:val="000000" w:themeColor="text1"/>
          <w:sz w:val="24"/>
          <w:szCs w:val="24"/>
          <w:lang w:val="en-US"/>
        </w:rPr>
        <w:t xml:space="preserve"> citrate buffer pH 6 at 96</w:t>
      </w:r>
      <w:r w:rsidR="00870220">
        <w:rPr>
          <w:rFonts w:ascii="Book Antiqua" w:hAnsi="Book Antiqua" w:cs="Calibri"/>
          <w:color w:val="000000" w:themeColor="text1"/>
          <w:sz w:val="24"/>
          <w:szCs w:val="24"/>
          <w:lang w:val="en-US"/>
        </w:rPr>
        <w:t xml:space="preserve"> </w:t>
      </w:r>
      <w:r w:rsidR="002D1B26" w:rsidRPr="00981DC5">
        <w:rPr>
          <w:rFonts w:ascii="Book Antiqua" w:hAnsi="Book Antiqua" w:cs="Calibri"/>
          <w:color w:val="000000" w:themeColor="text1"/>
          <w:sz w:val="24"/>
          <w:szCs w:val="24"/>
          <w:lang w:val="en-US"/>
        </w:rPr>
        <w:t>°</w:t>
      </w:r>
      <w:r w:rsidRPr="00981DC5">
        <w:rPr>
          <w:rFonts w:ascii="Book Antiqua" w:hAnsi="Book Antiqua" w:cs="Calibri"/>
          <w:color w:val="000000" w:themeColor="text1"/>
          <w:sz w:val="24"/>
          <w:szCs w:val="24"/>
          <w:lang w:val="en-US"/>
        </w:rPr>
        <w:t>C. The sections were treated for endogenous peroxidase quenching, by incubating the specimens in a 3% H</w:t>
      </w:r>
      <w:r w:rsidRPr="00870220">
        <w:rPr>
          <w:rFonts w:ascii="Book Antiqua" w:hAnsi="Book Antiqua" w:cs="Calibri"/>
          <w:color w:val="000000" w:themeColor="text1"/>
          <w:sz w:val="24"/>
          <w:szCs w:val="24"/>
          <w:vertAlign w:val="subscript"/>
          <w:lang w:val="en-US"/>
        </w:rPr>
        <w:t>2</w:t>
      </w:r>
      <w:r w:rsidRPr="00981DC5">
        <w:rPr>
          <w:rFonts w:ascii="Book Antiqua" w:hAnsi="Book Antiqua" w:cs="Calibri"/>
          <w:color w:val="000000" w:themeColor="text1"/>
          <w:sz w:val="24"/>
          <w:szCs w:val="24"/>
          <w:lang w:val="en-US"/>
        </w:rPr>
        <w:t>O</w:t>
      </w:r>
      <w:r w:rsidRPr="00870220">
        <w:rPr>
          <w:rFonts w:ascii="Book Antiqua" w:hAnsi="Book Antiqua" w:cs="Calibri"/>
          <w:color w:val="000000" w:themeColor="text1"/>
          <w:sz w:val="24"/>
          <w:szCs w:val="24"/>
          <w:vertAlign w:val="subscript"/>
          <w:lang w:val="en-US"/>
        </w:rPr>
        <w:t>2</w:t>
      </w:r>
      <w:r w:rsidRPr="00981DC5">
        <w:rPr>
          <w:rFonts w:ascii="Book Antiqua" w:hAnsi="Book Antiqua" w:cs="Calibri"/>
          <w:color w:val="000000" w:themeColor="text1"/>
          <w:sz w:val="24"/>
          <w:szCs w:val="24"/>
          <w:lang w:val="en-US"/>
        </w:rPr>
        <w:t xml:space="preserve"> solution at room temperature in the dark for 15 min. Samples were incubated with monoclonal mouse anti-human </w:t>
      </w:r>
      <w:proofErr w:type="spellStart"/>
      <w:r w:rsidRPr="00981DC5">
        <w:rPr>
          <w:rFonts w:ascii="Book Antiqua" w:hAnsi="Book Antiqua" w:cs="Calibri"/>
          <w:color w:val="000000" w:themeColor="text1"/>
          <w:sz w:val="24"/>
          <w:szCs w:val="24"/>
          <w:lang w:val="en-US"/>
        </w:rPr>
        <w:t>PanCK</w:t>
      </w:r>
      <w:proofErr w:type="spellEnd"/>
      <w:r w:rsidRPr="00981DC5">
        <w:rPr>
          <w:rFonts w:ascii="Book Antiqua" w:hAnsi="Book Antiqua" w:cs="Calibri"/>
          <w:color w:val="000000" w:themeColor="text1"/>
          <w:sz w:val="24"/>
          <w:szCs w:val="24"/>
          <w:lang w:val="en-US"/>
        </w:rPr>
        <w:t xml:space="preserve"> antibody at 1:100 dilution for 1 h and stained with avidin-</w:t>
      </w:r>
      <w:proofErr w:type="spellStart"/>
      <w:r w:rsidRPr="00981DC5">
        <w:rPr>
          <w:rFonts w:ascii="Book Antiqua" w:hAnsi="Book Antiqua" w:cs="Calibri"/>
          <w:color w:val="000000" w:themeColor="text1"/>
          <w:sz w:val="24"/>
          <w:szCs w:val="24"/>
          <w:lang w:val="en-US"/>
        </w:rPr>
        <w:t>biotinperoxidase</w:t>
      </w:r>
      <w:proofErr w:type="spellEnd"/>
      <w:r w:rsidRPr="00981DC5">
        <w:rPr>
          <w:rFonts w:ascii="Book Antiqua" w:hAnsi="Book Antiqua" w:cs="Calibri"/>
          <w:color w:val="000000" w:themeColor="text1"/>
          <w:sz w:val="24"/>
          <w:szCs w:val="24"/>
          <w:lang w:val="en-US"/>
        </w:rPr>
        <w:t xml:space="preserve"> complex (Ventana system). The sections were counterstained with </w:t>
      </w:r>
      <w:r w:rsidR="002D1B26" w:rsidRPr="00981DC5">
        <w:rPr>
          <w:rFonts w:ascii="Book Antiqua" w:hAnsi="Book Antiqua" w:cs="Calibri"/>
          <w:color w:val="000000" w:themeColor="text1"/>
          <w:sz w:val="24"/>
          <w:szCs w:val="24"/>
          <w:lang w:val="en-US"/>
        </w:rPr>
        <w:t>hematoxylin</w:t>
      </w:r>
      <w:r w:rsidRPr="00981DC5">
        <w:rPr>
          <w:rFonts w:ascii="Book Antiqua" w:hAnsi="Book Antiqua" w:cs="Calibri"/>
          <w:color w:val="000000" w:themeColor="text1"/>
          <w:sz w:val="24"/>
          <w:szCs w:val="24"/>
          <w:lang w:val="en-US"/>
        </w:rPr>
        <w:t>. Positive cells w</w:t>
      </w:r>
      <w:r w:rsidR="002D1B26" w:rsidRPr="00981DC5">
        <w:rPr>
          <w:rFonts w:ascii="Book Antiqua" w:hAnsi="Book Antiqua" w:cs="Calibri"/>
          <w:color w:val="000000" w:themeColor="text1"/>
          <w:sz w:val="24"/>
          <w:szCs w:val="24"/>
          <w:lang w:val="en-US"/>
        </w:rPr>
        <w:t>e</w:t>
      </w:r>
      <w:r w:rsidRPr="00981DC5">
        <w:rPr>
          <w:rFonts w:ascii="Book Antiqua" w:hAnsi="Book Antiqua" w:cs="Calibri"/>
          <w:color w:val="000000" w:themeColor="text1"/>
          <w:sz w:val="24"/>
          <w:szCs w:val="24"/>
          <w:lang w:val="en-US"/>
        </w:rPr>
        <w:t xml:space="preserve">re identified </w:t>
      </w:r>
      <w:r w:rsidR="002D1B26" w:rsidRPr="00981DC5">
        <w:rPr>
          <w:rFonts w:ascii="Book Antiqua" w:hAnsi="Book Antiqua" w:cs="Calibri"/>
          <w:color w:val="000000" w:themeColor="text1"/>
          <w:sz w:val="24"/>
          <w:szCs w:val="24"/>
          <w:lang w:val="en-US"/>
        </w:rPr>
        <w:t>through</w:t>
      </w:r>
      <w:r w:rsidRPr="00981DC5">
        <w:rPr>
          <w:rFonts w:ascii="Book Antiqua" w:hAnsi="Book Antiqua" w:cs="Calibri"/>
          <w:color w:val="000000" w:themeColor="text1"/>
          <w:sz w:val="24"/>
          <w:szCs w:val="24"/>
          <w:lang w:val="en-US"/>
        </w:rPr>
        <w:t xml:space="preserve"> brown color </w:t>
      </w:r>
      <w:r w:rsidR="002D1B26" w:rsidRPr="00981DC5">
        <w:rPr>
          <w:rFonts w:ascii="Book Antiqua" w:hAnsi="Book Antiqua" w:cs="Calibri"/>
          <w:color w:val="000000" w:themeColor="text1"/>
          <w:sz w:val="24"/>
          <w:szCs w:val="24"/>
          <w:lang w:val="en-US"/>
        </w:rPr>
        <w:t>visualization</w:t>
      </w:r>
      <w:r w:rsidRPr="00981DC5">
        <w:rPr>
          <w:rFonts w:ascii="Book Antiqua" w:hAnsi="Book Antiqua" w:cs="Calibri"/>
          <w:color w:val="000000" w:themeColor="text1"/>
          <w:sz w:val="24"/>
          <w:szCs w:val="24"/>
          <w:lang w:val="en-US"/>
        </w:rPr>
        <w:t>.</w:t>
      </w:r>
    </w:p>
    <w:p w14:paraId="0193C74D" w14:textId="77777777" w:rsidR="004107CC" w:rsidRPr="00981DC5" w:rsidRDefault="004107CC" w:rsidP="00B11A05">
      <w:pPr>
        <w:adjustRightInd w:val="0"/>
        <w:snapToGrid w:val="0"/>
        <w:spacing w:after="0" w:line="360" w:lineRule="auto"/>
        <w:jc w:val="both"/>
        <w:rPr>
          <w:rFonts w:ascii="Book Antiqua" w:hAnsi="Book Antiqua" w:cs="Calibri"/>
          <w:color w:val="000000" w:themeColor="text1"/>
          <w:sz w:val="24"/>
          <w:szCs w:val="24"/>
          <w:lang w:val="en-US"/>
        </w:rPr>
      </w:pPr>
    </w:p>
    <w:p w14:paraId="7E0E7D6B" w14:textId="56A1CB80" w:rsidR="006A3D96" w:rsidRPr="00981DC5" w:rsidRDefault="006A3D96" w:rsidP="00B11A05">
      <w:pPr>
        <w:adjustRightInd w:val="0"/>
        <w:snapToGrid w:val="0"/>
        <w:spacing w:after="0" w:line="360" w:lineRule="auto"/>
        <w:jc w:val="both"/>
        <w:rPr>
          <w:rFonts w:ascii="Book Antiqua" w:hAnsi="Book Antiqua" w:cs="Calibri"/>
          <w:b/>
          <w:bCs/>
          <w:i/>
          <w:color w:val="000000" w:themeColor="text1"/>
          <w:sz w:val="24"/>
          <w:szCs w:val="24"/>
          <w:lang w:val="en-US"/>
        </w:rPr>
      </w:pPr>
      <w:r w:rsidRPr="00981DC5">
        <w:rPr>
          <w:rFonts w:ascii="Book Antiqua" w:hAnsi="Book Antiqua" w:cs="Calibri"/>
          <w:b/>
          <w:bCs/>
          <w:i/>
          <w:color w:val="000000" w:themeColor="text1"/>
          <w:sz w:val="24"/>
          <w:szCs w:val="24"/>
          <w:lang w:val="en-US"/>
        </w:rPr>
        <w:t>Statistical analysis</w:t>
      </w:r>
    </w:p>
    <w:p w14:paraId="0CEE79CB" w14:textId="77777777" w:rsidR="006A3D96" w:rsidRPr="00981DC5" w:rsidRDefault="006A3D96" w:rsidP="00B11A05">
      <w:pPr>
        <w:adjustRightInd w:val="0"/>
        <w:snapToGrid w:val="0"/>
        <w:spacing w:after="0" w:line="360" w:lineRule="auto"/>
        <w:jc w:val="both"/>
        <w:rPr>
          <w:rFonts w:ascii="Book Antiqua" w:hAnsi="Book Antiqua" w:cs="Calibri"/>
          <w:color w:val="000000" w:themeColor="text1"/>
          <w:sz w:val="24"/>
          <w:szCs w:val="24"/>
          <w:lang w:val="en-US"/>
        </w:rPr>
      </w:pPr>
      <w:r w:rsidRPr="00981DC5">
        <w:rPr>
          <w:rFonts w:ascii="Book Antiqua" w:hAnsi="Book Antiqua" w:cs="Calibri"/>
          <w:color w:val="000000" w:themeColor="text1"/>
          <w:sz w:val="24"/>
          <w:szCs w:val="24"/>
          <w:lang w:val="en-US"/>
        </w:rPr>
        <w:t>We used GraphPad Prism 7 as statistical analysis software. Data analysis was performed by ANOVA, followed by Bonferroni correction or Dunnett's post-hoc test. Statistical significance was set to 5%.</w:t>
      </w:r>
    </w:p>
    <w:p w14:paraId="33C32768" w14:textId="661CDAA7" w:rsidR="006A3D96" w:rsidRPr="00981DC5" w:rsidRDefault="006A3D96" w:rsidP="00B11A05">
      <w:pPr>
        <w:adjustRightInd w:val="0"/>
        <w:snapToGrid w:val="0"/>
        <w:spacing w:after="0" w:line="360" w:lineRule="auto"/>
        <w:ind w:firstLineChars="100" w:firstLine="240"/>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lang w:val="en-US"/>
        </w:rPr>
        <w:t>Continuous variables with normal distribution are expressed as mean ±</w:t>
      </w:r>
      <w:r w:rsidR="00B11A05" w:rsidRPr="00981DC5">
        <w:rPr>
          <w:rFonts w:ascii="Book Antiqua" w:hAnsi="Book Antiqua"/>
          <w:color w:val="000000" w:themeColor="text1"/>
          <w:sz w:val="24"/>
          <w:szCs w:val="24"/>
          <w:lang w:val="en-US"/>
        </w:rPr>
        <w:t xml:space="preserve"> </w:t>
      </w:r>
      <w:r w:rsidRPr="00981DC5">
        <w:rPr>
          <w:rFonts w:ascii="Book Antiqua" w:hAnsi="Book Antiqua"/>
          <w:color w:val="000000" w:themeColor="text1"/>
          <w:sz w:val="24"/>
          <w:szCs w:val="24"/>
          <w:lang w:val="en-US"/>
        </w:rPr>
        <w:t>SD</w:t>
      </w:r>
      <w:r w:rsidR="00527569" w:rsidRPr="00981DC5">
        <w:rPr>
          <w:rFonts w:ascii="Book Antiqua" w:hAnsi="Book Antiqua"/>
          <w:color w:val="000000" w:themeColor="text1"/>
          <w:sz w:val="24"/>
          <w:szCs w:val="24"/>
          <w:lang w:val="en-US"/>
        </w:rPr>
        <w:t xml:space="preserve"> and compared using </w:t>
      </w:r>
      <w:r w:rsidR="0005482B" w:rsidRPr="00981DC5">
        <w:rPr>
          <w:rFonts w:ascii="Book Antiqua" w:hAnsi="Book Antiqua"/>
          <w:i/>
          <w:color w:val="000000" w:themeColor="text1"/>
          <w:sz w:val="24"/>
          <w:szCs w:val="24"/>
          <w:lang w:val="en-US"/>
        </w:rPr>
        <w:t>t</w:t>
      </w:r>
      <w:r w:rsidR="0005482B" w:rsidRPr="00981DC5">
        <w:rPr>
          <w:rFonts w:ascii="Book Antiqua" w:hAnsi="Book Antiqua"/>
          <w:color w:val="000000" w:themeColor="text1"/>
          <w:sz w:val="24"/>
          <w:szCs w:val="24"/>
          <w:lang w:val="en-US"/>
        </w:rPr>
        <w:t xml:space="preserve"> test. </w:t>
      </w:r>
      <w:r w:rsidRPr="00981DC5">
        <w:rPr>
          <w:rFonts w:ascii="Book Antiqua" w:hAnsi="Book Antiqua"/>
          <w:color w:val="000000" w:themeColor="text1"/>
          <w:sz w:val="24"/>
          <w:szCs w:val="24"/>
          <w:lang w:val="en-US"/>
        </w:rPr>
        <w:t xml:space="preserve">The statistical analysis was performed using SPSS (Statistical Production and Service Solution for Windows, SPSS Inc., Chicago, IL, </w:t>
      </w:r>
      <w:r w:rsidR="00463B5F">
        <w:rPr>
          <w:rFonts w:ascii="Book Antiqua" w:hAnsi="Book Antiqua"/>
          <w:color w:val="000000" w:themeColor="text1"/>
          <w:sz w:val="24"/>
          <w:szCs w:val="24"/>
          <w:lang w:val="en-US"/>
        </w:rPr>
        <w:t>United States</w:t>
      </w:r>
      <w:r w:rsidRPr="00981DC5">
        <w:rPr>
          <w:rFonts w:ascii="Book Antiqua" w:hAnsi="Book Antiqua"/>
          <w:color w:val="000000" w:themeColor="text1"/>
          <w:sz w:val="24"/>
          <w:szCs w:val="24"/>
          <w:lang w:val="en-US"/>
        </w:rPr>
        <w:t>), version 23.</w:t>
      </w:r>
    </w:p>
    <w:p w14:paraId="3F0F69A6" w14:textId="77777777" w:rsidR="002F0860" w:rsidRPr="00981DC5" w:rsidRDefault="002F0860" w:rsidP="00B11A05">
      <w:pPr>
        <w:adjustRightInd w:val="0"/>
        <w:snapToGrid w:val="0"/>
        <w:spacing w:after="0" w:line="360" w:lineRule="auto"/>
        <w:jc w:val="both"/>
        <w:rPr>
          <w:rFonts w:ascii="Book Antiqua" w:hAnsi="Book Antiqua" w:cs="Calibri"/>
          <w:b/>
          <w:color w:val="000000" w:themeColor="text1"/>
          <w:sz w:val="24"/>
          <w:szCs w:val="24"/>
          <w:lang w:val="en-GB"/>
        </w:rPr>
      </w:pPr>
    </w:p>
    <w:p w14:paraId="555AEF42" w14:textId="77777777" w:rsidR="00B11A05" w:rsidRPr="00981DC5" w:rsidRDefault="00B11A05" w:rsidP="00B11A05">
      <w:pPr>
        <w:adjustRightInd w:val="0"/>
        <w:snapToGrid w:val="0"/>
        <w:spacing w:after="0" w:line="360" w:lineRule="auto"/>
        <w:jc w:val="both"/>
        <w:rPr>
          <w:rFonts w:ascii="Book Antiqua" w:hAnsi="Book Antiqua"/>
          <w:b/>
          <w:color w:val="000000" w:themeColor="text1"/>
          <w:sz w:val="24"/>
          <w:szCs w:val="24"/>
          <w:u w:val="single"/>
        </w:rPr>
      </w:pPr>
      <w:r w:rsidRPr="00981DC5">
        <w:rPr>
          <w:rFonts w:ascii="Book Antiqua" w:hAnsi="Book Antiqua"/>
          <w:b/>
          <w:color w:val="000000" w:themeColor="text1"/>
          <w:sz w:val="24"/>
          <w:szCs w:val="24"/>
          <w:u w:val="single"/>
        </w:rPr>
        <w:t>RESULTS</w:t>
      </w:r>
    </w:p>
    <w:p w14:paraId="64145C9F" w14:textId="6EC130A9" w:rsidR="006A3D96" w:rsidRPr="00981DC5" w:rsidRDefault="006A3D96" w:rsidP="00B11A05">
      <w:pPr>
        <w:adjustRightInd w:val="0"/>
        <w:snapToGrid w:val="0"/>
        <w:spacing w:after="0" w:line="360" w:lineRule="auto"/>
        <w:jc w:val="both"/>
        <w:rPr>
          <w:rFonts w:ascii="Book Antiqua" w:hAnsi="Book Antiqua" w:cs="Calibri"/>
          <w:color w:val="000000" w:themeColor="text1"/>
          <w:sz w:val="24"/>
          <w:szCs w:val="24"/>
          <w:lang w:val="en-US"/>
        </w:rPr>
      </w:pPr>
      <w:r w:rsidRPr="00981DC5">
        <w:rPr>
          <w:rFonts w:ascii="Book Antiqua" w:eastAsiaTheme="minorHAnsi" w:hAnsi="Book Antiqua" w:cs="Calibri"/>
          <w:color w:val="000000" w:themeColor="text1"/>
          <w:sz w:val="24"/>
          <w:szCs w:val="24"/>
          <w:lang w:val="en-US" w:eastAsia="en-US"/>
        </w:rPr>
        <w:t>Between</w:t>
      </w:r>
      <w:r w:rsidRPr="00981DC5">
        <w:rPr>
          <w:rFonts w:ascii="Book Antiqua" w:hAnsi="Book Antiqua" w:cs="Calibri"/>
          <w:color w:val="000000" w:themeColor="text1"/>
          <w:sz w:val="24"/>
          <w:szCs w:val="24"/>
          <w:lang w:val="en-US"/>
        </w:rPr>
        <w:t xml:space="preserve"> July 2018 to October 2019</w:t>
      </w:r>
      <w:r w:rsidRPr="00981DC5">
        <w:rPr>
          <w:rFonts w:ascii="Book Antiqua" w:eastAsiaTheme="minorHAnsi" w:hAnsi="Book Antiqua" w:cs="Calibri"/>
          <w:color w:val="000000" w:themeColor="text1"/>
          <w:sz w:val="24"/>
          <w:szCs w:val="24"/>
          <w:lang w:val="en-US" w:eastAsia="en-US"/>
        </w:rPr>
        <w:t xml:space="preserve">, a total of </w:t>
      </w:r>
      <w:r w:rsidRPr="00981DC5">
        <w:rPr>
          <w:rFonts w:ascii="Book Antiqua" w:hAnsi="Book Antiqua" w:cs="Calibri"/>
          <w:color w:val="000000" w:themeColor="text1"/>
          <w:sz w:val="24"/>
          <w:szCs w:val="24"/>
          <w:lang w:val="en-US"/>
        </w:rPr>
        <w:t>15</w:t>
      </w:r>
      <w:r w:rsidRPr="00981DC5">
        <w:rPr>
          <w:rFonts w:ascii="Book Antiqua" w:eastAsiaTheme="minorHAnsi" w:hAnsi="Book Antiqua" w:cs="Calibri"/>
          <w:color w:val="000000" w:themeColor="text1"/>
          <w:sz w:val="24"/>
          <w:szCs w:val="24"/>
          <w:lang w:val="en-US" w:eastAsia="en-US"/>
        </w:rPr>
        <w:t xml:space="preserve"> patients </w:t>
      </w:r>
      <w:r w:rsidRPr="00981DC5">
        <w:rPr>
          <w:rFonts w:ascii="Book Antiqua" w:hAnsi="Book Antiqua" w:cs="Calibri"/>
          <w:color w:val="000000" w:themeColor="text1"/>
          <w:sz w:val="24"/>
          <w:szCs w:val="24"/>
          <w:lang w:val="en-US"/>
        </w:rPr>
        <w:t xml:space="preserve">with PDAC were enrolled. Patients characteristics are summarized in Table 1. </w:t>
      </w:r>
      <w:r w:rsidRPr="00981DC5">
        <w:rPr>
          <w:rFonts w:ascii="Book Antiqua" w:eastAsiaTheme="minorHAnsi" w:hAnsi="Book Antiqua" w:cs="Calibri"/>
          <w:color w:val="000000" w:themeColor="text1"/>
          <w:sz w:val="24"/>
          <w:szCs w:val="24"/>
          <w:lang w:val="en-US" w:eastAsia="en-US"/>
        </w:rPr>
        <w:t xml:space="preserve">Of these 15 patients, </w:t>
      </w:r>
      <w:r w:rsidRPr="00981DC5">
        <w:rPr>
          <w:rFonts w:ascii="Book Antiqua" w:hAnsi="Book Antiqua" w:cs="Calibri"/>
          <w:color w:val="000000" w:themeColor="text1"/>
          <w:sz w:val="24"/>
          <w:szCs w:val="24"/>
          <w:lang w:val="en-US"/>
        </w:rPr>
        <w:t>8</w:t>
      </w:r>
      <w:r w:rsidRPr="00981DC5">
        <w:rPr>
          <w:rFonts w:ascii="Book Antiqua" w:eastAsiaTheme="minorHAnsi" w:hAnsi="Book Antiqua" w:cs="Calibri"/>
          <w:color w:val="000000" w:themeColor="text1"/>
          <w:sz w:val="24"/>
          <w:szCs w:val="24"/>
          <w:lang w:val="en-US" w:eastAsia="en-US"/>
        </w:rPr>
        <w:t xml:space="preserve"> (53.3%) were male. The </w:t>
      </w:r>
      <w:r w:rsidRPr="00981DC5">
        <w:rPr>
          <w:rFonts w:ascii="Book Antiqua" w:hAnsi="Book Antiqua" w:cs="Calibri"/>
          <w:color w:val="000000" w:themeColor="text1"/>
          <w:sz w:val="24"/>
          <w:szCs w:val="24"/>
          <w:lang w:val="en-US"/>
        </w:rPr>
        <w:t xml:space="preserve">mean age was 71.2 </w:t>
      </w:r>
      <w:r w:rsidR="00EB33B3" w:rsidRPr="00981DC5">
        <w:rPr>
          <w:rFonts w:ascii="Book Antiqua" w:hAnsi="Book Antiqua" w:cs="Calibri"/>
          <w:color w:val="000000" w:themeColor="text1"/>
          <w:sz w:val="24"/>
          <w:szCs w:val="24"/>
          <w:lang w:val="en-US"/>
        </w:rPr>
        <w:t>±</w:t>
      </w:r>
      <w:r w:rsidRPr="00981DC5">
        <w:rPr>
          <w:rFonts w:ascii="Book Antiqua" w:hAnsi="Book Antiqua" w:cs="Calibri"/>
          <w:color w:val="000000" w:themeColor="text1"/>
          <w:sz w:val="24"/>
          <w:szCs w:val="24"/>
          <w:lang w:val="en-US"/>
        </w:rPr>
        <w:t xml:space="preserve"> 9.9 years (range 44.1-83.2) and the mean </w:t>
      </w:r>
      <w:r w:rsidRPr="00981DC5">
        <w:rPr>
          <w:rFonts w:ascii="Book Antiqua" w:eastAsiaTheme="minorHAnsi" w:hAnsi="Book Antiqua" w:cs="Calibri"/>
          <w:color w:val="000000" w:themeColor="text1"/>
          <w:sz w:val="24"/>
          <w:szCs w:val="24"/>
          <w:lang w:val="en-US" w:eastAsia="en-US"/>
        </w:rPr>
        <w:t xml:space="preserve">BMI was </w:t>
      </w:r>
      <w:r w:rsidRPr="00981DC5">
        <w:rPr>
          <w:rFonts w:ascii="Book Antiqua" w:hAnsi="Book Antiqua" w:cs="Calibri"/>
          <w:color w:val="000000" w:themeColor="text1"/>
          <w:sz w:val="24"/>
          <w:szCs w:val="24"/>
          <w:lang w:val="en-US"/>
        </w:rPr>
        <w:t xml:space="preserve">26.4 </w:t>
      </w:r>
      <w:r w:rsidR="00EB33B3" w:rsidRPr="00981DC5">
        <w:rPr>
          <w:rFonts w:ascii="Book Antiqua" w:hAnsi="Book Antiqua" w:cs="Calibri"/>
          <w:color w:val="000000" w:themeColor="text1"/>
          <w:sz w:val="24"/>
          <w:szCs w:val="24"/>
          <w:lang w:val="en-US"/>
        </w:rPr>
        <w:t>±</w:t>
      </w:r>
      <w:r w:rsidRPr="00981DC5">
        <w:rPr>
          <w:rFonts w:ascii="Book Antiqua" w:hAnsi="Book Antiqua" w:cs="Calibri"/>
          <w:color w:val="000000" w:themeColor="text1"/>
          <w:sz w:val="24"/>
          <w:szCs w:val="24"/>
          <w:lang w:val="en-US"/>
        </w:rPr>
        <w:t xml:space="preserve"> 5.1 </w:t>
      </w:r>
      <w:r w:rsidRPr="00981DC5">
        <w:rPr>
          <w:rFonts w:ascii="Book Antiqua" w:eastAsiaTheme="minorHAnsi" w:hAnsi="Book Antiqua" w:cs="Calibri"/>
          <w:color w:val="000000" w:themeColor="text1"/>
          <w:sz w:val="24"/>
          <w:szCs w:val="24"/>
          <w:lang w:val="en-US" w:eastAsia="en-US"/>
        </w:rPr>
        <w:t>kg/m</w:t>
      </w:r>
      <w:r w:rsidRPr="00463B5F">
        <w:rPr>
          <w:rFonts w:ascii="Book Antiqua" w:eastAsiaTheme="minorHAnsi" w:hAnsi="Book Antiqua" w:cs="Calibri"/>
          <w:color w:val="000000" w:themeColor="text1"/>
          <w:sz w:val="24"/>
          <w:szCs w:val="24"/>
          <w:vertAlign w:val="superscript"/>
          <w:lang w:val="en-US" w:eastAsia="en-US"/>
        </w:rPr>
        <w:t>2</w:t>
      </w:r>
      <w:r w:rsidRPr="00981DC5">
        <w:rPr>
          <w:rFonts w:ascii="Book Antiqua" w:eastAsiaTheme="minorHAnsi" w:hAnsi="Book Antiqua" w:cs="Calibri"/>
          <w:color w:val="000000" w:themeColor="text1"/>
          <w:sz w:val="24"/>
          <w:szCs w:val="24"/>
          <w:lang w:val="en-US" w:eastAsia="en-US"/>
        </w:rPr>
        <w:t xml:space="preserve"> (range </w:t>
      </w:r>
      <w:r w:rsidRPr="00981DC5">
        <w:rPr>
          <w:rFonts w:ascii="Book Antiqua" w:hAnsi="Book Antiqua" w:cs="Calibri"/>
          <w:color w:val="000000" w:themeColor="text1"/>
          <w:sz w:val="24"/>
          <w:szCs w:val="24"/>
          <w:lang w:val="en-US"/>
        </w:rPr>
        <w:t>17.6-40.4</w:t>
      </w:r>
      <w:r w:rsidRPr="00981DC5">
        <w:rPr>
          <w:rFonts w:ascii="Book Antiqua" w:eastAsiaTheme="minorHAnsi" w:hAnsi="Book Antiqua" w:cs="Calibri"/>
          <w:color w:val="000000" w:themeColor="text1"/>
          <w:sz w:val="24"/>
          <w:szCs w:val="24"/>
          <w:lang w:val="en-US" w:eastAsia="en-US"/>
        </w:rPr>
        <w:t xml:space="preserve">). </w:t>
      </w:r>
      <w:r w:rsidRPr="00981DC5">
        <w:rPr>
          <w:rFonts w:ascii="Book Antiqua" w:hAnsi="Book Antiqua" w:cs="Calibri"/>
          <w:color w:val="000000" w:themeColor="text1"/>
          <w:sz w:val="24"/>
          <w:szCs w:val="24"/>
          <w:lang w:val="en-US"/>
        </w:rPr>
        <w:t xml:space="preserve">The mean preoperative Ca 19.9 was 347.1 </w:t>
      </w:r>
      <w:r w:rsidR="00EB33B3" w:rsidRPr="00981DC5">
        <w:rPr>
          <w:rFonts w:ascii="Book Antiqua" w:hAnsi="Book Antiqua" w:cs="Calibri"/>
          <w:color w:val="000000" w:themeColor="text1"/>
          <w:sz w:val="24"/>
          <w:szCs w:val="24"/>
          <w:lang w:val="en-US"/>
        </w:rPr>
        <w:t>±</w:t>
      </w:r>
      <w:r w:rsidRPr="00981DC5">
        <w:rPr>
          <w:rFonts w:ascii="Book Antiqua" w:hAnsi="Book Antiqua" w:cs="Calibri"/>
          <w:color w:val="000000" w:themeColor="text1"/>
          <w:sz w:val="24"/>
          <w:szCs w:val="24"/>
          <w:lang w:val="en-US"/>
        </w:rPr>
        <w:t xml:space="preserve"> 543.0 U/m</w:t>
      </w:r>
      <w:r w:rsidR="00463B5F">
        <w:rPr>
          <w:rFonts w:ascii="Book Antiqua" w:hAnsi="Book Antiqua" w:cs="Calibri"/>
          <w:color w:val="000000" w:themeColor="text1"/>
          <w:sz w:val="24"/>
          <w:szCs w:val="24"/>
          <w:lang w:val="en-US"/>
        </w:rPr>
        <w:t>L</w:t>
      </w:r>
      <w:r w:rsidRPr="00981DC5">
        <w:rPr>
          <w:rFonts w:ascii="Book Antiqua" w:hAnsi="Book Antiqua" w:cs="Calibri"/>
          <w:color w:val="000000" w:themeColor="text1"/>
          <w:sz w:val="24"/>
          <w:szCs w:val="24"/>
          <w:lang w:val="en-US"/>
        </w:rPr>
        <w:t xml:space="preserve"> (range 1.7-2094) and it was increased in 12/15 (80%) patients. A pancreatoduodenectomy was performed </w:t>
      </w:r>
      <w:r w:rsidR="0011750A" w:rsidRPr="00981DC5">
        <w:rPr>
          <w:rFonts w:ascii="Book Antiqua" w:hAnsi="Book Antiqua" w:cs="Calibri"/>
          <w:color w:val="000000" w:themeColor="text1"/>
          <w:sz w:val="24"/>
          <w:szCs w:val="24"/>
          <w:lang w:val="en-US"/>
        </w:rPr>
        <w:t xml:space="preserve">in </w:t>
      </w:r>
      <w:r w:rsidRPr="00981DC5">
        <w:rPr>
          <w:rFonts w:ascii="Book Antiqua" w:hAnsi="Book Antiqua" w:cs="Calibri"/>
          <w:color w:val="000000" w:themeColor="text1"/>
          <w:sz w:val="24"/>
          <w:szCs w:val="24"/>
          <w:lang w:val="en-US"/>
        </w:rPr>
        <w:t>11/15 (73.3%) patient</w:t>
      </w:r>
      <w:r w:rsidR="0011750A" w:rsidRPr="00981DC5">
        <w:rPr>
          <w:rFonts w:ascii="Book Antiqua" w:hAnsi="Book Antiqua" w:cs="Calibri"/>
          <w:color w:val="000000" w:themeColor="text1"/>
          <w:sz w:val="24"/>
          <w:szCs w:val="24"/>
          <w:lang w:val="en-US"/>
        </w:rPr>
        <w:t>s</w:t>
      </w:r>
      <w:r w:rsidRPr="00981DC5">
        <w:rPr>
          <w:rFonts w:ascii="Book Antiqua" w:hAnsi="Book Antiqua" w:cs="Calibri"/>
          <w:color w:val="000000" w:themeColor="text1"/>
          <w:sz w:val="24"/>
          <w:szCs w:val="24"/>
          <w:lang w:val="en-US"/>
        </w:rPr>
        <w:t xml:space="preserve">, a distal </w:t>
      </w:r>
      <w:proofErr w:type="spellStart"/>
      <w:r w:rsidRPr="00981DC5">
        <w:rPr>
          <w:rFonts w:ascii="Book Antiqua" w:hAnsi="Book Antiqua" w:cs="Calibri"/>
          <w:color w:val="000000" w:themeColor="text1"/>
          <w:sz w:val="24"/>
          <w:szCs w:val="24"/>
          <w:lang w:val="en-US"/>
        </w:rPr>
        <w:t>splenopancreatectomy</w:t>
      </w:r>
      <w:proofErr w:type="spellEnd"/>
      <w:r w:rsidRPr="00981DC5">
        <w:rPr>
          <w:rFonts w:ascii="Book Antiqua" w:hAnsi="Book Antiqua" w:cs="Calibri"/>
          <w:color w:val="000000" w:themeColor="text1"/>
          <w:sz w:val="24"/>
          <w:szCs w:val="24"/>
          <w:lang w:val="en-US"/>
        </w:rPr>
        <w:t xml:space="preserve"> in 3/15 patients (20%) and a total </w:t>
      </w:r>
      <w:proofErr w:type="spellStart"/>
      <w:r w:rsidRPr="00981DC5">
        <w:rPr>
          <w:rFonts w:ascii="Book Antiqua" w:hAnsi="Book Antiqua" w:cs="Calibri"/>
          <w:color w:val="000000" w:themeColor="text1"/>
          <w:sz w:val="24"/>
          <w:szCs w:val="24"/>
          <w:lang w:val="en-US"/>
        </w:rPr>
        <w:t>splenopancreatectomy</w:t>
      </w:r>
      <w:proofErr w:type="spellEnd"/>
      <w:r w:rsidRPr="00981DC5">
        <w:rPr>
          <w:rFonts w:ascii="Book Antiqua" w:hAnsi="Book Antiqua" w:cs="Calibri"/>
          <w:color w:val="000000" w:themeColor="text1"/>
          <w:sz w:val="24"/>
          <w:szCs w:val="24"/>
          <w:lang w:val="en-US"/>
        </w:rPr>
        <w:t xml:space="preserve"> in 1/15 (6.7%) patient</w:t>
      </w:r>
      <w:r w:rsidR="0011750A" w:rsidRPr="00981DC5">
        <w:rPr>
          <w:rFonts w:ascii="Book Antiqua" w:hAnsi="Book Antiqua" w:cs="Calibri"/>
          <w:color w:val="000000" w:themeColor="text1"/>
          <w:sz w:val="24"/>
          <w:szCs w:val="24"/>
          <w:lang w:val="en-US"/>
        </w:rPr>
        <w:t>s</w:t>
      </w:r>
      <w:r w:rsidRPr="00981DC5">
        <w:rPr>
          <w:rFonts w:ascii="Book Antiqua" w:hAnsi="Book Antiqua" w:cs="Calibri"/>
          <w:color w:val="000000" w:themeColor="text1"/>
          <w:sz w:val="24"/>
          <w:szCs w:val="24"/>
          <w:lang w:val="en-US"/>
        </w:rPr>
        <w:t xml:space="preserve">. An associated vascular resection was performed </w:t>
      </w:r>
      <w:r w:rsidR="0011750A" w:rsidRPr="00981DC5">
        <w:rPr>
          <w:rFonts w:ascii="Book Antiqua" w:hAnsi="Book Antiqua" w:cs="Calibri"/>
          <w:color w:val="000000" w:themeColor="text1"/>
          <w:sz w:val="24"/>
          <w:szCs w:val="24"/>
          <w:lang w:val="en-US"/>
        </w:rPr>
        <w:t xml:space="preserve">in </w:t>
      </w:r>
      <w:r w:rsidRPr="00981DC5">
        <w:rPr>
          <w:rFonts w:ascii="Book Antiqua" w:hAnsi="Book Antiqua" w:cs="Calibri"/>
          <w:color w:val="000000" w:themeColor="text1"/>
          <w:sz w:val="24"/>
          <w:szCs w:val="24"/>
          <w:lang w:val="en-US"/>
        </w:rPr>
        <w:t>4/15 (26.7%) patients: a venous resection in 3 cases and resection of the celiac trunk in 1 case. No intra</w:t>
      </w:r>
      <w:r w:rsidR="0011750A" w:rsidRPr="00981DC5">
        <w:rPr>
          <w:rFonts w:ascii="Book Antiqua" w:hAnsi="Book Antiqua" w:cs="Calibri"/>
          <w:color w:val="000000" w:themeColor="text1"/>
          <w:sz w:val="24"/>
          <w:szCs w:val="24"/>
          <w:lang w:val="en-US"/>
        </w:rPr>
        <w:t>-</w:t>
      </w:r>
      <w:r w:rsidRPr="00981DC5">
        <w:rPr>
          <w:rFonts w:ascii="Book Antiqua" w:hAnsi="Book Antiqua" w:cs="Calibri"/>
          <w:color w:val="000000" w:themeColor="text1"/>
          <w:sz w:val="24"/>
          <w:szCs w:val="24"/>
          <w:lang w:val="en-US"/>
        </w:rPr>
        <w:t xml:space="preserve">operative complications were </w:t>
      </w:r>
      <w:r w:rsidR="00463B5F" w:rsidRPr="00981DC5">
        <w:rPr>
          <w:rFonts w:ascii="Book Antiqua" w:hAnsi="Book Antiqua" w:cs="Calibri"/>
          <w:color w:val="000000" w:themeColor="text1"/>
          <w:sz w:val="24"/>
          <w:szCs w:val="24"/>
          <w:lang w:val="en-US"/>
        </w:rPr>
        <w:t>reported,</w:t>
      </w:r>
      <w:r w:rsidRPr="00981DC5">
        <w:rPr>
          <w:rFonts w:ascii="Book Antiqua" w:hAnsi="Book Antiqua" w:cs="Calibri"/>
          <w:color w:val="000000" w:themeColor="text1"/>
          <w:sz w:val="24"/>
          <w:szCs w:val="24"/>
          <w:lang w:val="en-US"/>
        </w:rPr>
        <w:t xml:space="preserve"> and, in all cases, it was possible to take a fragment of the tumor from the surgical specimen for the xenotransplantation in the zebrafish embryos. The histological examination confirmed the presence of a PDAC in all cases. A moderately differentiated adenocarcinoma (G2/3) was reported in 11/15 (73.3%) cases, while a poorly differentiated adenocarcinoma (G3/3) was reported in 4/15 (26.7%) cases. The mean diameter of the pancreatic neoplasia was 3.3 </w:t>
      </w:r>
      <w:r w:rsidR="00EB33B3" w:rsidRPr="00981DC5">
        <w:rPr>
          <w:rFonts w:ascii="Book Antiqua" w:hAnsi="Book Antiqua" w:cs="Calibri"/>
          <w:color w:val="000000" w:themeColor="text1"/>
          <w:sz w:val="24"/>
          <w:szCs w:val="24"/>
          <w:lang w:val="en-US"/>
        </w:rPr>
        <w:t>±</w:t>
      </w:r>
      <w:r w:rsidRPr="00981DC5">
        <w:rPr>
          <w:rFonts w:ascii="Book Antiqua" w:hAnsi="Book Antiqua" w:cs="Calibri"/>
          <w:color w:val="000000" w:themeColor="text1"/>
          <w:sz w:val="24"/>
          <w:szCs w:val="24"/>
          <w:lang w:val="en-US"/>
        </w:rPr>
        <w:t xml:space="preserve"> 1.2 cm</w:t>
      </w:r>
      <w:r w:rsidRPr="00981DC5">
        <w:rPr>
          <w:rFonts w:ascii="Book Antiqua" w:eastAsiaTheme="minorHAnsi" w:hAnsi="Book Antiqua" w:cs="Calibri"/>
          <w:color w:val="000000" w:themeColor="text1"/>
          <w:sz w:val="24"/>
          <w:szCs w:val="24"/>
          <w:lang w:val="en-US" w:eastAsia="en-US"/>
        </w:rPr>
        <w:t xml:space="preserve"> (range </w:t>
      </w:r>
      <w:r w:rsidRPr="00981DC5">
        <w:rPr>
          <w:rFonts w:ascii="Book Antiqua" w:hAnsi="Book Antiqua" w:cs="Calibri"/>
          <w:color w:val="000000" w:themeColor="text1"/>
          <w:sz w:val="24"/>
          <w:szCs w:val="24"/>
          <w:lang w:val="en-US"/>
        </w:rPr>
        <w:t>1.5-5.0</w:t>
      </w:r>
      <w:r w:rsidRPr="00981DC5">
        <w:rPr>
          <w:rFonts w:ascii="Book Antiqua" w:eastAsiaTheme="minorHAnsi" w:hAnsi="Book Antiqua" w:cs="Calibri"/>
          <w:color w:val="000000" w:themeColor="text1"/>
          <w:sz w:val="24"/>
          <w:szCs w:val="24"/>
          <w:lang w:val="en-US" w:eastAsia="en-US"/>
        </w:rPr>
        <w:t>)</w:t>
      </w:r>
      <w:r w:rsidRPr="00981DC5">
        <w:rPr>
          <w:rFonts w:ascii="Book Antiqua" w:hAnsi="Book Antiqua" w:cs="Calibri"/>
          <w:color w:val="000000" w:themeColor="text1"/>
          <w:sz w:val="24"/>
          <w:szCs w:val="24"/>
          <w:lang w:val="en-US"/>
        </w:rPr>
        <w:t xml:space="preserve">. The mean number of harvested lymph nodes was 40.6 </w:t>
      </w:r>
      <w:r w:rsidR="00EB33B3" w:rsidRPr="00981DC5">
        <w:rPr>
          <w:rFonts w:ascii="Book Antiqua" w:hAnsi="Book Antiqua" w:cs="Calibri"/>
          <w:color w:val="000000" w:themeColor="text1"/>
          <w:sz w:val="24"/>
          <w:szCs w:val="24"/>
          <w:lang w:val="en-US"/>
        </w:rPr>
        <w:t>±</w:t>
      </w:r>
      <w:r w:rsidRPr="00981DC5">
        <w:rPr>
          <w:rFonts w:ascii="Book Antiqua" w:hAnsi="Book Antiqua" w:cs="Calibri"/>
          <w:color w:val="000000" w:themeColor="text1"/>
          <w:sz w:val="24"/>
          <w:szCs w:val="24"/>
          <w:lang w:val="en-US"/>
        </w:rPr>
        <w:t xml:space="preserve"> 18.0 </w:t>
      </w:r>
      <w:r w:rsidRPr="00981DC5">
        <w:rPr>
          <w:rFonts w:ascii="Book Antiqua" w:eastAsiaTheme="minorHAnsi" w:hAnsi="Book Antiqua" w:cs="Calibri"/>
          <w:color w:val="000000" w:themeColor="text1"/>
          <w:sz w:val="24"/>
          <w:szCs w:val="24"/>
          <w:lang w:val="en-US" w:eastAsia="en-US"/>
        </w:rPr>
        <w:t>(range 1</w:t>
      </w:r>
      <w:r w:rsidRPr="00981DC5">
        <w:rPr>
          <w:rFonts w:ascii="Book Antiqua" w:hAnsi="Book Antiqua" w:cs="Calibri"/>
          <w:color w:val="000000" w:themeColor="text1"/>
          <w:sz w:val="24"/>
          <w:szCs w:val="24"/>
          <w:lang w:val="en-US"/>
        </w:rPr>
        <w:t>9-74</w:t>
      </w:r>
      <w:r w:rsidRPr="00981DC5">
        <w:rPr>
          <w:rFonts w:ascii="Book Antiqua" w:eastAsiaTheme="minorHAnsi" w:hAnsi="Book Antiqua" w:cs="Calibri"/>
          <w:color w:val="000000" w:themeColor="text1"/>
          <w:sz w:val="24"/>
          <w:szCs w:val="24"/>
          <w:lang w:val="en-US" w:eastAsia="en-US"/>
        </w:rPr>
        <w:t>)</w:t>
      </w:r>
      <w:r w:rsidRPr="00981DC5">
        <w:rPr>
          <w:rFonts w:ascii="Book Antiqua" w:hAnsi="Book Antiqua" w:cs="Calibri"/>
          <w:color w:val="000000" w:themeColor="text1"/>
          <w:sz w:val="24"/>
          <w:szCs w:val="24"/>
          <w:lang w:val="en-US"/>
        </w:rPr>
        <w:t xml:space="preserve">, while the mean number of positive lymph nodes was 5.7 </w:t>
      </w:r>
      <w:r w:rsidR="00EB33B3" w:rsidRPr="00981DC5">
        <w:rPr>
          <w:rFonts w:ascii="Book Antiqua" w:hAnsi="Book Antiqua" w:cs="Calibri"/>
          <w:color w:val="000000" w:themeColor="text1"/>
          <w:sz w:val="24"/>
          <w:szCs w:val="24"/>
          <w:lang w:val="en-US"/>
        </w:rPr>
        <w:t>±</w:t>
      </w:r>
      <w:r w:rsidRPr="00981DC5">
        <w:rPr>
          <w:rFonts w:ascii="Book Antiqua" w:hAnsi="Book Antiqua" w:cs="Calibri"/>
          <w:color w:val="000000" w:themeColor="text1"/>
          <w:sz w:val="24"/>
          <w:szCs w:val="24"/>
          <w:lang w:val="en-US"/>
        </w:rPr>
        <w:t xml:space="preserve"> 6.0 </w:t>
      </w:r>
      <w:r w:rsidRPr="00981DC5">
        <w:rPr>
          <w:rFonts w:ascii="Book Antiqua" w:eastAsiaTheme="minorHAnsi" w:hAnsi="Book Antiqua" w:cs="Calibri"/>
          <w:color w:val="000000" w:themeColor="text1"/>
          <w:sz w:val="24"/>
          <w:szCs w:val="24"/>
          <w:lang w:val="en-US" w:eastAsia="en-US"/>
        </w:rPr>
        <w:t xml:space="preserve">(range </w:t>
      </w:r>
      <w:r w:rsidRPr="00981DC5">
        <w:rPr>
          <w:rFonts w:ascii="Book Antiqua" w:hAnsi="Book Antiqua" w:cs="Calibri"/>
          <w:color w:val="000000" w:themeColor="text1"/>
          <w:sz w:val="24"/>
          <w:szCs w:val="24"/>
          <w:lang w:val="en-US"/>
        </w:rPr>
        <w:t>0-22</w:t>
      </w:r>
      <w:r w:rsidRPr="00981DC5">
        <w:rPr>
          <w:rFonts w:ascii="Book Antiqua" w:eastAsiaTheme="minorHAnsi" w:hAnsi="Book Antiqua" w:cs="Calibri"/>
          <w:color w:val="000000" w:themeColor="text1"/>
          <w:sz w:val="24"/>
          <w:szCs w:val="24"/>
          <w:lang w:val="en-US" w:eastAsia="en-US"/>
        </w:rPr>
        <w:t>)</w:t>
      </w:r>
      <w:r w:rsidRPr="00981DC5">
        <w:rPr>
          <w:rFonts w:ascii="Book Antiqua" w:hAnsi="Book Antiqua" w:cs="Calibri"/>
          <w:color w:val="000000" w:themeColor="text1"/>
          <w:sz w:val="24"/>
          <w:szCs w:val="24"/>
          <w:lang w:val="en-US"/>
        </w:rPr>
        <w:t>. The presence of positive lymph nodes was documented in 14/15 (93.3%) patients: a N1 status was reported in 7/15 (46.7%) patients, while a N2 status was reported in 7/15 (46.7%) patients. The presence of perineural infiltration was reported in 11/15 (73.3%) patients, while the a</w:t>
      </w:r>
      <w:r w:rsidR="003B4D37" w:rsidRPr="00981DC5">
        <w:rPr>
          <w:rFonts w:ascii="Book Antiqua" w:hAnsi="Book Antiqua" w:cs="Calibri"/>
          <w:color w:val="000000" w:themeColor="text1"/>
          <w:sz w:val="24"/>
          <w:szCs w:val="24"/>
          <w:lang w:val="en-US"/>
        </w:rPr>
        <w:t>n</w:t>
      </w:r>
      <w:r w:rsidRPr="00981DC5">
        <w:rPr>
          <w:rFonts w:ascii="Book Antiqua" w:hAnsi="Book Antiqua" w:cs="Calibri"/>
          <w:color w:val="000000" w:themeColor="text1"/>
          <w:sz w:val="24"/>
          <w:szCs w:val="24"/>
          <w:lang w:val="en-US"/>
        </w:rPr>
        <w:t>gioinvasion was reported in 2/15 (13.3%) patients. In 2/4 cases of vascular resection the histological examination confirmed the presence of vascular infiltration.</w:t>
      </w:r>
    </w:p>
    <w:p w14:paraId="1523D35E" w14:textId="77777777" w:rsidR="00D54D7A" w:rsidRPr="00981DC5" w:rsidRDefault="00D54D7A" w:rsidP="00B11A05">
      <w:pPr>
        <w:adjustRightInd w:val="0"/>
        <w:snapToGrid w:val="0"/>
        <w:spacing w:after="0" w:line="360" w:lineRule="auto"/>
        <w:jc w:val="both"/>
        <w:rPr>
          <w:rFonts w:ascii="Book Antiqua" w:hAnsi="Book Antiqua" w:cs="Calibri"/>
          <w:color w:val="000000" w:themeColor="text1"/>
          <w:sz w:val="24"/>
          <w:szCs w:val="24"/>
          <w:lang w:val="en-US"/>
        </w:rPr>
      </w:pPr>
    </w:p>
    <w:p w14:paraId="78EF197D" w14:textId="7378466F" w:rsidR="006A3D96" w:rsidRPr="00981DC5" w:rsidRDefault="006A3D96" w:rsidP="00B11A05">
      <w:pPr>
        <w:adjustRightInd w:val="0"/>
        <w:snapToGrid w:val="0"/>
        <w:spacing w:after="0" w:line="360" w:lineRule="auto"/>
        <w:jc w:val="both"/>
        <w:rPr>
          <w:rFonts w:ascii="Book Antiqua" w:hAnsi="Book Antiqua" w:cs="Calibri"/>
          <w:b/>
          <w:bCs/>
          <w:i/>
          <w:color w:val="000000" w:themeColor="text1"/>
          <w:sz w:val="24"/>
          <w:szCs w:val="24"/>
          <w:lang w:val="en-US"/>
        </w:rPr>
      </w:pPr>
      <w:r w:rsidRPr="00981DC5">
        <w:rPr>
          <w:rFonts w:ascii="Book Antiqua" w:hAnsi="Book Antiqua" w:cs="Calibri"/>
          <w:b/>
          <w:bCs/>
          <w:i/>
          <w:color w:val="000000" w:themeColor="text1"/>
          <w:sz w:val="24"/>
          <w:szCs w:val="24"/>
          <w:lang w:val="en-US"/>
        </w:rPr>
        <w:lastRenderedPageBreak/>
        <w:t xml:space="preserve">Results of tests with </w:t>
      </w:r>
      <w:r w:rsidR="00463B5F" w:rsidRPr="00981DC5">
        <w:rPr>
          <w:rFonts w:ascii="Book Antiqua" w:hAnsi="Book Antiqua" w:cs="Calibri"/>
          <w:b/>
          <w:bCs/>
          <w:i/>
          <w:color w:val="000000" w:themeColor="text1"/>
          <w:sz w:val="24"/>
          <w:szCs w:val="24"/>
          <w:lang w:val="en-US"/>
        </w:rPr>
        <w:t xml:space="preserve">zebrafish </w:t>
      </w:r>
      <w:r w:rsidRPr="00981DC5">
        <w:rPr>
          <w:rFonts w:ascii="Book Antiqua" w:hAnsi="Book Antiqua" w:cs="Calibri"/>
          <w:b/>
          <w:bCs/>
          <w:i/>
          <w:color w:val="000000" w:themeColor="text1"/>
          <w:sz w:val="24"/>
          <w:szCs w:val="24"/>
          <w:lang w:val="en-US"/>
        </w:rPr>
        <w:t>embryos</w:t>
      </w:r>
    </w:p>
    <w:p w14:paraId="42D22A12" w14:textId="0E2D573E" w:rsidR="009F5B25" w:rsidRPr="00981DC5" w:rsidRDefault="006A3D96" w:rsidP="00B11A05">
      <w:pPr>
        <w:adjustRightInd w:val="0"/>
        <w:snapToGrid w:val="0"/>
        <w:spacing w:after="0" w:line="360" w:lineRule="auto"/>
        <w:jc w:val="both"/>
        <w:rPr>
          <w:rFonts w:ascii="Book Antiqua" w:hAnsi="Book Antiqua" w:cs="Calibri"/>
          <w:color w:val="000000" w:themeColor="text1"/>
          <w:sz w:val="24"/>
          <w:szCs w:val="24"/>
          <w:lang w:val="en-US"/>
        </w:rPr>
      </w:pPr>
      <w:r w:rsidRPr="00981DC5">
        <w:rPr>
          <w:rFonts w:ascii="Book Antiqua" w:hAnsi="Book Antiqua" w:cs="Calibri"/>
          <w:color w:val="000000" w:themeColor="text1"/>
          <w:sz w:val="24"/>
          <w:szCs w:val="24"/>
          <w:lang w:val="en-US"/>
        </w:rPr>
        <w:t xml:space="preserve">Tumor tissue was successfully engrafted in </w:t>
      </w:r>
      <w:r w:rsidR="00657DFA" w:rsidRPr="00981DC5">
        <w:rPr>
          <w:rFonts w:ascii="Book Antiqua" w:hAnsi="Book Antiqua" w:cs="Calibri"/>
          <w:color w:val="000000" w:themeColor="text1"/>
          <w:sz w:val="24"/>
          <w:szCs w:val="24"/>
          <w:lang w:val="en-US"/>
        </w:rPr>
        <w:t xml:space="preserve">healthy </w:t>
      </w:r>
      <w:r w:rsidRPr="00981DC5">
        <w:rPr>
          <w:rFonts w:ascii="Book Antiqua" w:hAnsi="Book Antiqua" w:cs="Calibri"/>
          <w:color w:val="000000" w:themeColor="text1"/>
          <w:sz w:val="24"/>
          <w:szCs w:val="24"/>
          <w:lang w:val="en-US"/>
        </w:rPr>
        <w:t>zebrafish embryos in all cases (Figure 2).</w:t>
      </w:r>
      <w:r w:rsidR="00D54D7A" w:rsidRPr="00981DC5">
        <w:rPr>
          <w:rFonts w:ascii="Book Antiqua" w:hAnsi="Book Antiqua" w:cs="Calibri"/>
          <w:color w:val="000000" w:themeColor="text1"/>
          <w:sz w:val="24"/>
          <w:szCs w:val="24"/>
          <w:lang w:val="en-US"/>
        </w:rPr>
        <w:t xml:space="preserve"> </w:t>
      </w:r>
      <w:r w:rsidR="000C71A0" w:rsidRPr="00981DC5">
        <w:rPr>
          <w:rFonts w:ascii="Book Antiqua" w:hAnsi="Book Antiqua" w:cs="Calibri"/>
          <w:color w:val="000000" w:themeColor="text1"/>
          <w:sz w:val="24"/>
          <w:szCs w:val="24"/>
          <w:lang w:val="en-US"/>
        </w:rPr>
        <w:t>The volumetric analysis of the volume occupied by the nuclei of the patient’s tumor fragment inoculated in the zebrafish embryos revealed a volume of</w:t>
      </w:r>
      <w:r w:rsidR="000C71A0" w:rsidRPr="00981DC5">
        <w:rPr>
          <w:rFonts w:ascii="Book Antiqua" w:eastAsia="Calibri" w:hAnsi="Book Antiqua"/>
          <w:color w:val="000000" w:themeColor="text1"/>
          <w:sz w:val="24"/>
          <w:szCs w:val="24"/>
          <w:lang w:val="en-US" w:eastAsia="en-US"/>
        </w:rPr>
        <w:t xml:space="preserve"> </w:t>
      </w:r>
      <w:r w:rsidR="000C71A0" w:rsidRPr="00981DC5">
        <w:rPr>
          <w:rFonts w:ascii="Book Antiqua" w:hAnsi="Book Antiqua" w:cs="Calibri"/>
          <w:color w:val="000000" w:themeColor="text1"/>
          <w:sz w:val="24"/>
          <w:szCs w:val="24"/>
          <w:lang w:val="en-US"/>
        </w:rPr>
        <w:t>6411</w:t>
      </w:r>
      <w:r w:rsidR="00463B5F">
        <w:rPr>
          <w:rFonts w:ascii="Book Antiqua" w:hAnsi="Book Antiqua" w:cs="Calibri"/>
          <w:color w:val="000000" w:themeColor="text1"/>
          <w:sz w:val="24"/>
          <w:szCs w:val="24"/>
          <w:lang w:val="en-US"/>
        </w:rPr>
        <w:t xml:space="preserve"> </w:t>
      </w:r>
      <w:r w:rsidR="000C71A0" w:rsidRPr="00981DC5">
        <w:rPr>
          <w:rFonts w:ascii="Book Antiqua" w:hAnsi="Book Antiqua" w:cs="Calibri"/>
          <w:color w:val="000000" w:themeColor="text1"/>
          <w:sz w:val="24"/>
          <w:szCs w:val="24"/>
          <w:lang w:val="en-US"/>
        </w:rPr>
        <w:t>±</w:t>
      </w:r>
      <w:r w:rsidR="00463B5F">
        <w:rPr>
          <w:rFonts w:ascii="Book Antiqua" w:hAnsi="Book Antiqua" w:cs="Calibri"/>
          <w:color w:val="000000" w:themeColor="text1"/>
          <w:sz w:val="24"/>
          <w:szCs w:val="24"/>
          <w:lang w:val="en-US"/>
        </w:rPr>
        <w:t xml:space="preserve"> </w:t>
      </w:r>
      <w:r w:rsidR="000C71A0" w:rsidRPr="00981DC5">
        <w:rPr>
          <w:rFonts w:ascii="Book Antiqua" w:hAnsi="Book Antiqua" w:cs="Calibri"/>
          <w:color w:val="000000" w:themeColor="text1"/>
          <w:sz w:val="24"/>
          <w:szCs w:val="24"/>
          <w:lang w:val="en-US"/>
        </w:rPr>
        <w:t xml:space="preserve">10.96 </w:t>
      </w:r>
      <w:r w:rsidR="00463B5F">
        <w:rPr>
          <w:rFonts w:ascii="Book Antiqua" w:hAnsi="Book Antiqua" w:cs="Symbol" w:hint="eastAsia"/>
          <w:color w:val="000000" w:themeColor="text1"/>
          <w:sz w:val="24"/>
          <w:szCs w:val="24"/>
          <w:lang w:val="en-US" w:eastAsia="zh-CN"/>
        </w:rPr>
        <w:t>μ</w:t>
      </w:r>
      <w:r w:rsidR="000C71A0" w:rsidRPr="00981DC5">
        <w:rPr>
          <w:rFonts w:ascii="Book Antiqua" w:hAnsi="Book Antiqua" w:cs="Calibri"/>
          <w:color w:val="000000" w:themeColor="text1"/>
          <w:sz w:val="24"/>
          <w:szCs w:val="24"/>
          <w:lang w:val="en-US"/>
        </w:rPr>
        <w:t>m</w:t>
      </w:r>
      <w:r w:rsidR="000C71A0" w:rsidRPr="00981DC5">
        <w:rPr>
          <w:rFonts w:ascii="Book Antiqua" w:hAnsi="Book Antiqua" w:cs="Calibri"/>
          <w:color w:val="000000" w:themeColor="text1"/>
          <w:sz w:val="24"/>
          <w:szCs w:val="24"/>
          <w:vertAlign w:val="superscript"/>
          <w:lang w:val="en-US"/>
        </w:rPr>
        <w:t>3</w:t>
      </w:r>
      <w:r w:rsidR="000C71A0" w:rsidRPr="00981DC5">
        <w:rPr>
          <w:rFonts w:ascii="Book Antiqua" w:hAnsi="Book Antiqua" w:cs="Calibri"/>
          <w:color w:val="000000" w:themeColor="text1"/>
          <w:sz w:val="24"/>
          <w:szCs w:val="24"/>
          <w:lang w:val="en-US"/>
        </w:rPr>
        <w:t xml:space="preserve"> (mean ± SEM) derived from two embryos </w:t>
      </w:r>
      <w:proofErr w:type="spellStart"/>
      <w:r w:rsidR="000C71A0" w:rsidRPr="00981DC5">
        <w:rPr>
          <w:rFonts w:ascii="Book Antiqua" w:hAnsi="Book Antiqua" w:cs="Calibri"/>
          <w:color w:val="000000" w:themeColor="text1"/>
          <w:sz w:val="24"/>
          <w:szCs w:val="24"/>
          <w:lang w:val="en-US"/>
        </w:rPr>
        <w:t>xenotransplanted</w:t>
      </w:r>
      <w:proofErr w:type="spellEnd"/>
      <w:r w:rsidR="000C71A0" w:rsidRPr="00981DC5">
        <w:rPr>
          <w:rFonts w:ascii="Book Antiqua" w:hAnsi="Book Antiqua" w:cs="Calibri"/>
          <w:color w:val="000000" w:themeColor="text1"/>
          <w:sz w:val="24"/>
          <w:szCs w:val="24"/>
          <w:lang w:val="en-US"/>
        </w:rPr>
        <w:t xml:space="preserve"> with different patient’s tumors. Considering a </w:t>
      </w:r>
      <w:r w:rsidR="00CD6B9C" w:rsidRPr="00981DC5">
        <w:rPr>
          <w:rFonts w:ascii="Book Antiqua" w:hAnsi="Book Antiqua" w:cs="Calibri"/>
          <w:color w:val="000000" w:themeColor="text1"/>
          <w:sz w:val="24"/>
          <w:szCs w:val="24"/>
          <w:lang w:val="en-US"/>
        </w:rPr>
        <w:t xml:space="preserve">diameter </w:t>
      </w:r>
      <w:r w:rsidR="000C71A0" w:rsidRPr="00981DC5">
        <w:rPr>
          <w:rFonts w:ascii="Book Antiqua" w:hAnsi="Book Antiqua" w:cs="Calibri"/>
          <w:color w:val="000000" w:themeColor="text1"/>
          <w:sz w:val="24"/>
          <w:szCs w:val="24"/>
          <w:lang w:val="en-US"/>
        </w:rPr>
        <w:t xml:space="preserve">of 6 µm for a typical mammalian nucleus, this value </w:t>
      </w:r>
      <w:r w:rsidR="006A3ACC" w:rsidRPr="00981DC5">
        <w:rPr>
          <w:rFonts w:ascii="Book Antiqua" w:hAnsi="Book Antiqua" w:cs="Calibri"/>
          <w:color w:val="000000" w:themeColor="text1"/>
          <w:sz w:val="24"/>
          <w:szCs w:val="24"/>
          <w:lang w:val="en-US"/>
        </w:rPr>
        <w:t>corresponds</w:t>
      </w:r>
      <w:r w:rsidR="000C71A0" w:rsidRPr="00981DC5">
        <w:rPr>
          <w:rFonts w:ascii="Book Antiqua" w:hAnsi="Book Antiqua" w:cs="Calibri"/>
          <w:color w:val="000000" w:themeColor="text1"/>
          <w:sz w:val="24"/>
          <w:szCs w:val="24"/>
          <w:lang w:val="en-US"/>
        </w:rPr>
        <w:t xml:space="preserve"> to about 60 cells per xenotransplant. </w:t>
      </w:r>
      <w:r w:rsidR="00CD6B9C" w:rsidRPr="00981DC5">
        <w:rPr>
          <w:rFonts w:ascii="Book Antiqua" w:hAnsi="Book Antiqua" w:cs="Calibri"/>
          <w:color w:val="000000" w:themeColor="text1"/>
          <w:sz w:val="24"/>
          <w:szCs w:val="24"/>
          <w:lang w:val="en-US"/>
        </w:rPr>
        <w:t>We calculated the percentage of epithelial cells (mean PDAC counterpart) out of the total surface area (31.8</w:t>
      </w:r>
      <w:r w:rsidR="00463B5F">
        <w:rPr>
          <w:rFonts w:ascii="Book Antiqua" w:hAnsi="Book Antiqua" w:cs="Calibri"/>
          <w:color w:val="000000" w:themeColor="text1"/>
          <w:sz w:val="24"/>
          <w:szCs w:val="24"/>
          <w:lang w:val="en-US"/>
        </w:rPr>
        <w:t>%</w:t>
      </w:r>
      <w:r w:rsidR="00CD6B9C" w:rsidRPr="00981DC5">
        <w:rPr>
          <w:rFonts w:ascii="Book Antiqua" w:hAnsi="Book Antiqua" w:cs="Calibri"/>
          <w:color w:val="000000" w:themeColor="text1"/>
          <w:sz w:val="24"/>
          <w:szCs w:val="24"/>
          <w:lang w:val="en-US"/>
        </w:rPr>
        <w:t xml:space="preserve"> ± 4.9%, </w:t>
      </w:r>
      <w:r w:rsidR="00CD6B9C" w:rsidRPr="00463B5F">
        <w:rPr>
          <w:rFonts w:ascii="Book Antiqua" w:hAnsi="Book Antiqua" w:cs="Calibri"/>
          <w:i/>
          <w:iCs/>
          <w:color w:val="000000" w:themeColor="text1"/>
          <w:sz w:val="24"/>
          <w:szCs w:val="24"/>
          <w:lang w:val="en-US"/>
        </w:rPr>
        <w:t>n</w:t>
      </w:r>
      <w:r w:rsidR="00463B5F">
        <w:rPr>
          <w:rFonts w:ascii="Book Antiqua" w:hAnsi="Book Antiqua" w:cs="Calibri"/>
          <w:color w:val="000000" w:themeColor="text1"/>
          <w:sz w:val="24"/>
          <w:szCs w:val="24"/>
          <w:lang w:val="en-US"/>
        </w:rPr>
        <w:t xml:space="preserve"> </w:t>
      </w:r>
      <w:r w:rsidR="00CD6B9C" w:rsidRPr="00981DC5">
        <w:rPr>
          <w:rFonts w:ascii="Book Antiqua" w:hAnsi="Book Antiqua" w:cs="Calibri"/>
          <w:color w:val="000000" w:themeColor="text1"/>
          <w:sz w:val="24"/>
          <w:szCs w:val="24"/>
          <w:lang w:val="en-US"/>
        </w:rPr>
        <w:t>=</w:t>
      </w:r>
      <w:r w:rsidR="00463B5F">
        <w:rPr>
          <w:rFonts w:ascii="Book Antiqua" w:hAnsi="Book Antiqua" w:cs="Calibri"/>
          <w:color w:val="000000" w:themeColor="text1"/>
          <w:sz w:val="24"/>
          <w:szCs w:val="24"/>
          <w:lang w:val="en-US"/>
        </w:rPr>
        <w:t xml:space="preserve"> </w:t>
      </w:r>
      <w:r w:rsidR="00CD6B9C" w:rsidRPr="00981DC5">
        <w:rPr>
          <w:rFonts w:ascii="Book Antiqua" w:hAnsi="Book Antiqua" w:cs="Calibri"/>
          <w:color w:val="000000" w:themeColor="text1"/>
          <w:sz w:val="24"/>
          <w:szCs w:val="24"/>
          <w:lang w:val="en-US"/>
        </w:rPr>
        <w:t xml:space="preserve">3, Figure 2D). </w:t>
      </w:r>
      <w:r w:rsidRPr="00981DC5">
        <w:rPr>
          <w:rFonts w:ascii="Book Antiqua" w:hAnsi="Book Antiqua" w:cs="Calibri"/>
          <w:color w:val="000000" w:themeColor="text1"/>
          <w:sz w:val="24"/>
          <w:szCs w:val="24"/>
          <w:lang w:val="en-US"/>
        </w:rPr>
        <w:t xml:space="preserve">The </w:t>
      </w:r>
      <w:r w:rsidR="004858BF" w:rsidRPr="00981DC5">
        <w:rPr>
          <w:rFonts w:ascii="Book Antiqua" w:hAnsi="Book Antiqua" w:cs="Calibri"/>
          <w:color w:val="000000" w:themeColor="text1"/>
          <w:sz w:val="24"/>
          <w:szCs w:val="24"/>
          <w:lang w:val="en-US"/>
        </w:rPr>
        <w:t xml:space="preserve">mean </w:t>
      </w:r>
      <w:r w:rsidRPr="00981DC5">
        <w:rPr>
          <w:rFonts w:ascii="Book Antiqua" w:hAnsi="Book Antiqua" w:cs="Calibri"/>
          <w:color w:val="000000" w:themeColor="text1"/>
          <w:sz w:val="24"/>
          <w:szCs w:val="24"/>
          <w:lang w:val="en-US"/>
        </w:rPr>
        <w:t xml:space="preserve">survival rate of </w:t>
      </w:r>
      <w:proofErr w:type="spellStart"/>
      <w:r w:rsidRPr="00981DC5">
        <w:rPr>
          <w:rFonts w:ascii="Book Antiqua" w:hAnsi="Book Antiqua" w:cs="Calibri"/>
          <w:color w:val="000000" w:themeColor="text1"/>
          <w:sz w:val="24"/>
          <w:szCs w:val="24"/>
          <w:lang w:val="en-US"/>
        </w:rPr>
        <w:t>xenotransplanted</w:t>
      </w:r>
      <w:proofErr w:type="spellEnd"/>
      <w:r w:rsidRPr="00981DC5">
        <w:rPr>
          <w:rFonts w:ascii="Book Antiqua" w:hAnsi="Book Antiqua" w:cs="Calibri"/>
          <w:color w:val="000000" w:themeColor="text1"/>
          <w:sz w:val="24"/>
          <w:szCs w:val="24"/>
          <w:lang w:val="en-US"/>
        </w:rPr>
        <w:t xml:space="preserve"> zebrafish embryos was </w:t>
      </w:r>
      <w:r w:rsidR="004858BF" w:rsidRPr="00981DC5">
        <w:rPr>
          <w:rFonts w:ascii="Book Antiqua" w:hAnsi="Book Antiqua" w:cs="Calibri"/>
          <w:color w:val="000000" w:themeColor="text1"/>
          <w:sz w:val="24"/>
          <w:szCs w:val="24"/>
          <w:lang w:val="en-US"/>
        </w:rPr>
        <w:t>71.5%</w:t>
      </w:r>
      <w:r w:rsidRPr="00981DC5">
        <w:rPr>
          <w:rFonts w:ascii="Book Antiqua" w:hAnsi="Book Antiqua" w:cs="Calibri"/>
          <w:color w:val="000000" w:themeColor="text1"/>
          <w:sz w:val="24"/>
          <w:szCs w:val="24"/>
          <w:lang w:val="en-US"/>
        </w:rPr>
        <w:t xml:space="preserve"> at 1 dpi and </w:t>
      </w:r>
      <w:r w:rsidR="004858BF" w:rsidRPr="00981DC5">
        <w:rPr>
          <w:rFonts w:ascii="Book Antiqua" w:hAnsi="Book Antiqua" w:cs="Calibri"/>
          <w:color w:val="000000" w:themeColor="text1"/>
          <w:sz w:val="24"/>
          <w:szCs w:val="24"/>
          <w:lang w:val="en-US"/>
        </w:rPr>
        <w:t>52.4%</w:t>
      </w:r>
      <w:r w:rsidRPr="00981DC5">
        <w:rPr>
          <w:rFonts w:ascii="Book Antiqua" w:hAnsi="Book Antiqua" w:cs="Calibri"/>
          <w:color w:val="000000" w:themeColor="text1"/>
          <w:sz w:val="24"/>
          <w:szCs w:val="24"/>
          <w:lang w:val="en-US"/>
        </w:rPr>
        <w:t xml:space="preserve"> at 2 dpi</w:t>
      </w:r>
      <w:r w:rsidR="00F40166" w:rsidRPr="00981DC5">
        <w:rPr>
          <w:rFonts w:ascii="Book Antiqua" w:hAnsi="Book Antiqua" w:cs="Calibri"/>
          <w:color w:val="000000" w:themeColor="text1"/>
          <w:sz w:val="24"/>
          <w:szCs w:val="24"/>
          <w:lang w:val="en-US"/>
        </w:rPr>
        <w:t xml:space="preserve"> (Table 2)</w:t>
      </w:r>
      <w:r w:rsidRPr="00981DC5">
        <w:rPr>
          <w:rFonts w:ascii="Book Antiqua" w:hAnsi="Book Antiqua" w:cs="Calibri"/>
          <w:color w:val="000000" w:themeColor="text1"/>
          <w:sz w:val="24"/>
          <w:szCs w:val="24"/>
          <w:lang w:val="en-US"/>
        </w:rPr>
        <w:t xml:space="preserve">. </w:t>
      </w:r>
      <w:r w:rsidR="000C71A0" w:rsidRPr="00981DC5">
        <w:rPr>
          <w:rFonts w:ascii="Book Antiqua" w:hAnsi="Book Antiqua" w:cs="Calibri"/>
          <w:color w:val="000000" w:themeColor="text1"/>
          <w:sz w:val="24"/>
          <w:szCs w:val="24"/>
          <w:lang w:val="en-US"/>
        </w:rPr>
        <w:t xml:space="preserve">In absence of chemotherapy (control group), the </w:t>
      </w:r>
      <w:proofErr w:type="spellStart"/>
      <w:r w:rsidR="000C71A0" w:rsidRPr="00981DC5">
        <w:rPr>
          <w:rFonts w:ascii="Book Antiqua" w:hAnsi="Book Antiqua" w:cs="Calibri"/>
          <w:color w:val="000000" w:themeColor="text1"/>
          <w:sz w:val="24"/>
          <w:szCs w:val="24"/>
          <w:lang w:val="en-US"/>
        </w:rPr>
        <w:t>Dil</w:t>
      </w:r>
      <w:proofErr w:type="spellEnd"/>
      <w:r w:rsidR="000C71A0" w:rsidRPr="00981DC5">
        <w:rPr>
          <w:rFonts w:ascii="Book Antiqua" w:hAnsi="Book Antiqua" w:cs="Calibri"/>
          <w:color w:val="000000" w:themeColor="text1"/>
          <w:sz w:val="24"/>
          <w:szCs w:val="24"/>
          <w:lang w:val="en-US"/>
        </w:rPr>
        <w:t xml:space="preserve">-stained areas showed a statistically significant increase over time in all cases, while we observed a tendency to a reduction of the mean RTA in treated subgroups. In Figure 3 it is possible to observe the </w:t>
      </w:r>
      <w:r w:rsidR="00CD6B9C" w:rsidRPr="00981DC5">
        <w:rPr>
          <w:rFonts w:ascii="Book Antiqua" w:hAnsi="Book Antiqua" w:cs="Calibri"/>
          <w:color w:val="000000" w:themeColor="text1"/>
          <w:sz w:val="24"/>
          <w:szCs w:val="24"/>
          <w:lang w:val="en-US"/>
        </w:rPr>
        <w:t>alteration due to</w:t>
      </w:r>
      <w:r w:rsidR="000C71A0" w:rsidRPr="00981DC5">
        <w:rPr>
          <w:rFonts w:ascii="Book Antiqua" w:hAnsi="Book Antiqua" w:cs="Calibri"/>
          <w:color w:val="000000" w:themeColor="text1"/>
          <w:sz w:val="24"/>
          <w:szCs w:val="24"/>
          <w:lang w:val="en-US"/>
        </w:rPr>
        <w:t xml:space="preserve"> the chemotherapy </w:t>
      </w:r>
      <w:r w:rsidR="00CD6B9C" w:rsidRPr="00981DC5">
        <w:rPr>
          <w:rFonts w:ascii="Book Antiqua" w:hAnsi="Book Antiqua" w:cs="Calibri"/>
          <w:color w:val="000000" w:themeColor="text1"/>
          <w:sz w:val="24"/>
          <w:szCs w:val="24"/>
          <w:lang w:val="en-US"/>
        </w:rPr>
        <w:t xml:space="preserve">of </w:t>
      </w:r>
      <w:proofErr w:type="spellStart"/>
      <w:r w:rsidR="000C71A0" w:rsidRPr="00981DC5">
        <w:rPr>
          <w:rFonts w:ascii="Book Antiqua" w:hAnsi="Book Antiqua" w:cs="Calibri"/>
          <w:color w:val="000000" w:themeColor="text1"/>
          <w:sz w:val="24"/>
          <w:szCs w:val="24"/>
          <w:lang w:val="en-US"/>
        </w:rPr>
        <w:t>xenotransplanted</w:t>
      </w:r>
      <w:proofErr w:type="spellEnd"/>
      <w:r w:rsidR="000C71A0" w:rsidRPr="00981DC5">
        <w:rPr>
          <w:rFonts w:ascii="Book Antiqua" w:hAnsi="Book Antiqua" w:cs="Calibri"/>
          <w:color w:val="000000" w:themeColor="text1"/>
          <w:sz w:val="24"/>
          <w:szCs w:val="24"/>
          <w:lang w:val="en-US"/>
        </w:rPr>
        <w:t xml:space="preserve"> cells of some treated </w:t>
      </w:r>
      <w:proofErr w:type="spellStart"/>
      <w:r w:rsidR="000C71A0" w:rsidRPr="00981DC5">
        <w:rPr>
          <w:rFonts w:ascii="Book Antiqua" w:hAnsi="Book Antiqua" w:cs="Calibri"/>
          <w:color w:val="000000" w:themeColor="text1"/>
          <w:sz w:val="24"/>
          <w:szCs w:val="24"/>
          <w:lang w:val="en-US"/>
        </w:rPr>
        <w:t>xenotransplanted</w:t>
      </w:r>
      <w:proofErr w:type="spellEnd"/>
      <w:r w:rsidR="000C71A0" w:rsidRPr="00981DC5">
        <w:rPr>
          <w:rFonts w:ascii="Book Antiqua" w:hAnsi="Book Antiqua" w:cs="Calibri"/>
          <w:color w:val="000000" w:themeColor="text1"/>
          <w:sz w:val="24"/>
          <w:szCs w:val="24"/>
          <w:lang w:val="en-US"/>
        </w:rPr>
        <w:t xml:space="preserve"> zebrafish embryos.</w:t>
      </w:r>
      <w:r w:rsidRPr="00981DC5">
        <w:rPr>
          <w:rFonts w:ascii="Book Antiqua" w:hAnsi="Book Antiqua" w:cs="Calibri"/>
          <w:color w:val="000000" w:themeColor="text1"/>
          <w:sz w:val="24"/>
          <w:szCs w:val="24"/>
          <w:lang w:val="en-US"/>
        </w:rPr>
        <w:t xml:space="preserve"> The mean RTA of each subgroup and the differences of the mean RTA between the control group and the treated subgroups are reported in Table </w:t>
      </w:r>
      <w:r w:rsidR="00F40166" w:rsidRPr="00981DC5">
        <w:rPr>
          <w:rFonts w:ascii="Book Antiqua" w:hAnsi="Book Antiqua" w:cs="Calibri"/>
          <w:color w:val="000000" w:themeColor="text1"/>
          <w:sz w:val="24"/>
          <w:szCs w:val="24"/>
          <w:lang w:val="en-US"/>
        </w:rPr>
        <w:t>3</w:t>
      </w:r>
      <w:r w:rsidRPr="00981DC5">
        <w:rPr>
          <w:rFonts w:ascii="Book Antiqua" w:hAnsi="Book Antiqua" w:cs="Calibri"/>
          <w:color w:val="000000" w:themeColor="text1"/>
          <w:sz w:val="24"/>
          <w:szCs w:val="24"/>
          <w:lang w:val="en-US"/>
        </w:rPr>
        <w:t xml:space="preserve">. The analysis of the mean RTA revealed a </w:t>
      </w:r>
      <w:r w:rsidR="00463B5F" w:rsidRPr="00981DC5">
        <w:rPr>
          <w:rFonts w:ascii="Book Antiqua" w:hAnsi="Book Antiqua" w:cs="Calibri"/>
          <w:color w:val="000000" w:themeColor="text1"/>
          <w:sz w:val="24"/>
          <w:szCs w:val="24"/>
          <w:lang w:val="en-US"/>
        </w:rPr>
        <w:t>statistically</w:t>
      </w:r>
      <w:r w:rsidRPr="00981DC5">
        <w:rPr>
          <w:rFonts w:ascii="Book Antiqua" w:hAnsi="Book Antiqua" w:cs="Calibri"/>
          <w:color w:val="000000" w:themeColor="text1"/>
          <w:sz w:val="24"/>
          <w:szCs w:val="24"/>
          <w:lang w:val="en-US"/>
        </w:rPr>
        <w:t xml:space="preserve"> significant reduction of the mean RTA in the treated subgroups for at least one chemotherapy scheme in 6/15 (40%) cases</w:t>
      </w:r>
      <w:r w:rsidR="00F04789" w:rsidRPr="00981DC5">
        <w:rPr>
          <w:rFonts w:ascii="Book Antiqua" w:hAnsi="Book Antiqua" w:cs="Calibri"/>
          <w:color w:val="000000" w:themeColor="text1"/>
          <w:sz w:val="24"/>
          <w:szCs w:val="24"/>
          <w:lang w:val="en-US"/>
        </w:rPr>
        <w:t xml:space="preserve"> (Figure </w:t>
      </w:r>
      <w:r w:rsidR="009E7D15" w:rsidRPr="00981DC5">
        <w:rPr>
          <w:rFonts w:ascii="Book Antiqua" w:hAnsi="Book Antiqua" w:cs="Calibri"/>
          <w:color w:val="000000" w:themeColor="text1"/>
          <w:sz w:val="24"/>
          <w:szCs w:val="24"/>
          <w:lang w:val="en-US"/>
        </w:rPr>
        <w:t>4</w:t>
      </w:r>
      <w:r w:rsidR="00F04789" w:rsidRPr="00981DC5">
        <w:rPr>
          <w:rFonts w:ascii="Book Antiqua" w:hAnsi="Book Antiqua" w:cs="Calibri"/>
          <w:color w:val="000000" w:themeColor="text1"/>
          <w:sz w:val="24"/>
          <w:szCs w:val="24"/>
          <w:lang w:val="en-US"/>
        </w:rPr>
        <w:t>)</w:t>
      </w:r>
      <w:r w:rsidRPr="00981DC5">
        <w:rPr>
          <w:rFonts w:ascii="Book Antiqua" w:hAnsi="Book Antiqua" w:cs="Calibri"/>
          <w:color w:val="000000" w:themeColor="text1"/>
          <w:sz w:val="24"/>
          <w:szCs w:val="24"/>
          <w:lang w:val="en-US"/>
        </w:rPr>
        <w:t>.</w:t>
      </w:r>
      <w:r w:rsidR="00512A45" w:rsidRPr="00981DC5">
        <w:rPr>
          <w:rFonts w:ascii="Book Antiqua" w:hAnsi="Book Antiqua" w:cs="Calibri"/>
          <w:color w:val="000000" w:themeColor="text1"/>
          <w:sz w:val="24"/>
          <w:szCs w:val="24"/>
          <w:lang w:val="en-US"/>
        </w:rPr>
        <w:t xml:space="preserve"> </w:t>
      </w:r>
      <w:r w:rsidRPr="00981DC5">
        <w:rPr>
          <w:rFonts w:ascii="Book Antiqua" w:hAnsi="Book Antiqua" w:cs="Calibri"/>
          <w:color w:val="000000" w:themeColor="text1"/>
          <w:sz w:val="24"/>
          <w:szCs w:val="24"/>
          <w:lang w:val="en-US"/>
        </w:rPr>
        <w:t xml:space="preserve">The percentage reduction of the mean RTA in each treated subgroup, taking as reference the mean RTA of the control group, is reported in </w:t>
      </w:r>
      <w:r w:rsidR="001E2EC5" w:rsidRPr="00981DC5">
        <w:rPr>
          <w:rFonts w:ascii="Book Antiqua" w:hAnsi="Book Antiqua" w:cs="Calibri"/>
          <w:color w:val="000000" w:themeColor="text1"/>
          <w:sz w:val="24"/>
          <w:szCs w:val="24"/>
          <w:lang w:val="en-US"/>
        </w:rPr>
        <w:t xml:space="preserve">Table </w:t>
      </w:r>
      <w:r w:rsidR="00F40166" w:rsidRPr="00981DC5">
        <w:rPr>
          <w:rFonts w:ascii="Book Antiqua" w:hAnsi="Book Antiqua" w:cs="Calibri"/>
          <w:color w:val="000000" w:themeColor="text1"/>
          <w:sz w:val="24"/>
          <w:szCs w:val="24"/>
          <w:lang w:val="en-US"/>
        </w:rPr>
        <w:t>4</w:t>
      </w:r>
      <w:r w:rsidRPr="00981DC5">
        <w:rPr>
          <w:rFonts w:ascii="Book Antiqua" w:hAnsi="Book Antiqua" w:cs="Calibri"/>
          <w:color w:val="000000" w:themeColor="text1"/>
          <w:sz w:val="24"/>
          <w:szCs w:val="24"/>
          <w:lang w:val="en-US"/>
        </w:rPr>
        <w:t>.</w:t>
      </w:r>
    </w:p>
    <w:p w14:paraId="21AD0467" w14:textId="4CCE707F" w:rsidR="006A3D96" w:rsidRPr="00981DC5" w:rsidRDefault="006A3D96" w:rsidP="00B11A05">
      <w:pPr>
        <w:adjustRightInd w:val="0"/>
        <w:snapToGrid w:val="0"/>
        <w:spacing w:after="0" w:line="360" w:lineRule="auto"/>
        <w:ind w:firstLineChars="100" w:firstLine="240"/>
        <w:jc w:val="both"/>
        <w:rPr>
          <w:rFonts w:ascii="Book Antiqua" w:hAnsi="Book Antiqua" w:cs="Calibri"/>
          <w:color w:val="000000" w:themeColor="text1"/>
          <w:sz w:val="24"/>
          <w:szCs w:val="24"/>
          <w:lang w:val="en-US"/>
        </w:rPr>
      </w:pPr>
      <w:r w:rsidRPr="00981DC5">
        <w:rPr>
          <w:rFonts w:ascii="Book Antiqua" w:hAnsi="Book Antiqua" w:cs="Calibri"/>
          <w:color w:val="000000" w:themeColor="text1"/>
          <w:sz w:val="24"/>
          <w:szCs w:val="24"/>
          <w:lang w:val="en-US"/>
        </w:rPr>
        <w:t xml:space="preserve">Table </w:t>
      </w:r>
      <w:r w:rsidR="00F40166" w:rsidRPr="00981DC5">
        <w:rPr>
          <w:rFonts w:ascii="Book Antiqua" w:hAnsi="Book Antiqua" w:cs="Calibri"/>
          <w:color w:val="000000" w:themeColor="text1"/>
          <w:sz w:val="24"/>
          <w:szCs w:val="24"/>
          <w:lang w:val="en-US"/>
        </w:rPr>
        <w:t>5</w:t>
      </w:r>
      <w:r w:rsidRPr="00981DC5">
        <w:rPr>
          <w:rFonts w:ascii="Book Antiqua" w:hAnsi="Book Antiqua" w:cs="Calibri"/>
          <w:color w:val="000000" w:themeColor="text1"/>
          <w:sz w:val="24"/>
          <w:szCs w:val="24"/>
          <w:lang w:val="en-US"/>
        </w:rPr>
        <w:t xml:space="preserve"> shows how many cases </w:t>
      </w:r>
      <w:r w:rsidR="00917466" w:rsidRPr="00981DC5">
        <w:rPr>
          <w:rFonts w:ascii="Book Antiqua" w:hAnsi="Book Antiqua" w:cs="Calibri"/>
          <w:color w:val="000000" w:themeColor="text1"/>
          <w:sz w:val="24"/>
          <w:szCs w:val="24"/>
          <w:lang w:val="en-US"/>
        </w:rPr>
        <w:t xml:space="preserve">in each subgroup </w:t>
      </w:r>
      <w:r w:rsidRPr="00981DC5">
        <w:rPr>
          <w:rFonts w:ascii="Book Antiqua" w:hAnsi="Book Antiqua" w:cs="Calibri"/>
          <w:color w:val="000000" w:themeColor="text1"/>
          <w:sz w:val="24"/>
          <w:szCs w:val="24"/>
          <w:lang w:val="en-US"/>
        </w:rPr>
        <w:t xml:space="preserve">presented a percentage reduction of the mean RTA </w:t>
      </w:r>
      <w:r w:rsidR="00917466" w:rsidRPr="00981DC5">
        <w:rPr>
          <w:rFonts w:ascii="Book Antiqua" w:hAnsi="Book Antiqua" w:cs="Calibri"/>
          <w:color w:val="000000" w:themeColor="text1"/>
          <w:sz w:val="24"/>
          <w:szCs w:val="24"/>
          <w:lang w:val="en-US"/>
        </w:rPr>
        <w:t xml:space="preserve">equal or greater to each threshold value </w:t>
      </w:r>
      <w:r w:rsidRPr="00981DC5">
        <w:rPr>
          <w:rFonts w:ascii="Book Antiqua" w:hAnsi="Book Antiqua" w:cs="Calibri"/>
          <w:color w:val="000000" w:themeColor="text1"/>
          <w:sz w:val="24"/>
          <w:szCs w:val="24"/>
          <w:lang w:val="en-US"/>
        </w:rPr>
        <w:t>in comparison to the control group</w:t>
      </w:r>
      <w:r w:rsidR="00A82D59" w:rsidRPr="00981DC5">
        <w:rPr>
          <w:rFonts w:ascii="Book Antiqua" w:hAnsi="Book Antiqua" w:cs="Calibri"/>
          <w:color w:val="000000" w:themeColor="text1"/>
          <w:sz w:val="24"/>
          <w:szCs w:val="24"/>
          <w:lang w:val="en-US"/>
        </w:rPr>
        <w:t xml:space="preserve">. </w:t>
      </w:r>
      <w:r w:rsidRPr="00981DC5">
        <w:rPr>
          <w:rFonts w:ascii="Book Antiqua" w:hAnsi="Book Antiqua" w:cs="Calibri"/>
          <w:color w:val="000000" w:themeColor="text1"/>
          <w:sz w:val="24"/>
          <w:szCs w:val="24"/>
          <w:lang w:val="en-US"/>
        </w:rPr>
        <w:t xml:space="preserve">The analysis of percentage reduction of the RTA in the treated subgroups, compared to the control group, revealed the presence of a linear relation in each subgroup between the percentage reduction of the RTA and the number of cases reporting </w:t>
      </w:r>
      <w:r w:rsidR="00AD001C" w:rsidRPr="00981DC5">
        <w:rPr>
          <w:rFonts w:ascii="Book Antiqua" w:hAnsi="Book Antiqua" w:cs="Calibri"/>
          <w:color w:val="000000" w:themeColor="text1"/>
          <w:sz w:val="24"/>
          <w:szCs w:val="24"/>
          <w:lang w:val="en-US"/>
        </w:rPr>
        <w:t xml:space="preserve">at least </w:t>
      </w:r>
      <w:r w:rsidRPr="00981DC5">
        <w:rPr>
          <w:rFonts w:ascii="Book Antiqua" w:hAnsi="Book Antiqua" w:cs="Calibri"/>
          <w:color w:val="000000" w:themeColor="text1"/>
          <w:sz w:val="24"/>
          <w:szCs w:val="24"/>
          <w:lang w:val="en-US"/>
        </w:rPr>
        <w:t xml:space="preserve">each percentage threshold considered for the analysis </w:t>
      </w:r>
      <w:r w:rsidR="001E2EC5" w:rsidRPr="00981DC5">
        <w:rPr>
          <w:rFonts w:ascii="Book Antiqua" w:hAnsi="Book Antiqua" w:cs="Calibri"/>
          <w:color w:val="000000" w:themeColor="text1"/>
          <w:sz w:val="24"/>
          <w:szCs w:val="24"/>
          <w:lang w:val="en-US"/>
        </w:rPr>
        <w:t xml:space="preserve">(Figure </w:t>
      </w:r>
      <w:r w:rsidR="009E7D15" w:rsidRPr="00981DC5">
        <w:rPr>
          <w:rFonts w:ascii="Book Antiqua" w:hAnsi="Book Antiqua" w:cs="Calibri"/>
          <w:color w:val="000000" w:themeColor="text1"/>
          <w:sz w:val="24"/>
          <w:szCs w:val="24"/>
          <w:lang w:val="en-US"/>
        </w:rPr>
        <w:t>5</w:t>
      </w:r>
      <w:r w:rsidR="001E2EC5" w:rsidRPr="00981DC5">
        <w:rPr>
          <w:rFonts w:ascii="Book Antiqua" w:hAnsi="Book Antiqua" w:cs="Calibri"/>
          <w:color w:val="000000" w:themeColor="text1"/>
          <w:sz w:val="24"/>
          <w:szCs w:val="24"/>
          <w:lang w:val="en-US"/>
        </w:rPr>
        <w:t xml:space="preserve">). </w:t>
      </w:r>
      <w:r w:rsidRPr="00981DC5">
        <w:rPr>
          <w:rFonts w:ascii="Book Antiqua" w:hAnsi="Book Antiqua" w:cs="Calibri"/>
          <w:color w:val="000000" w:themeColor="text1"/>
          <w:sz w:val="24"/>
          <w:szCs w:val="24"/>
          <w:lang w:val="en-US"/>
        </w:rPr>
        <w:t xml:space="preserve">The linear regression line equations for each subgroup are reported in Figure </w:t>
      </w:r>
      <w:r w:rsidR="009E7D15" w:rsidRPr="00981DC5">
        <w:rPr>
          <w:rFonts w:ascii="Book Antiqua" w:hAnsi="Book Antiqua" w:cs="Calibri"/>
          <w:color w:val="000000" w:themeColor="text1"/>
          <w:sz w:val="24"/>
          <w:szCs w:val="24"/>
          <w:lang w:val="en-US"/>
        </w:rPr>
        <w:t>5</w:t>
      </w:r>
      <w:r w:rsidRPr="00981DC5">
        <w:rPr>
          <w:rFonts w:ascii="Book Antiqua" w:hAnsi="Book Antiqua" w:cs="Calibri"/>
          <w:color w:val="000000" w:themeColor="text1"/>
          <w:sz w:val="24"/>
          <w:szCs w:val="24"/>
          <w:lang w:val="en-US"/>
        </w:rPr>
        <w:t xml:space="preserve">. Using the linear regression line equations, we calculated the expected RTA reduction corresponding to the percentage of partial response reported in the literature for each chemotherapy scheme administered to each treated subgroup. Data are reported in Table </w:t>
      </w:r>
      <w:r w:rsidR="00F40166" w:rsidRPr="00981DC5">
        <w:rPr>
          <w:rFonts w:ascii="Book Antiqua" w:hAnsi="Book Antiqua" w:cs="Calibri"/>
          <w:color w:val="000000" w:themeColor="text1"/>
          <w:sz w:val="24"/>
          <w:szCs w:val="24"/>
          <w:lang w:val="en-US"/>
        </w:rPr>
        <w:t>6</w:t>
      </w:r>
      <w:r w:rsidRPr="00981DC5">
        <w:rPr>
          <w:rFonts w:ascii="Book Antiqua" w:hAnsi="Book Antiqua" w:cs="Calibri"/>
          <w:color w:val="000000" w:themeColor="text1"/>
          <w:sz w:val="24"/>
          <w:szCs w:val="24"/>
          <w:lang w:val="en-US"/>
        </w:rPr>
        <w:t>. The mean conversion factor calculated was -60.4% for FOLFOXIRI, -59.3% for GEM-nab/P, -62.4% for GEMOX, and -63.7% for GEM (</w:t>
      </w:r>
      <w:r w:rsidR="00463B5F" w:rsidRPr="00463B5F">
        <w:rPr>
          <w:rFonts w:ascii="Book Antiqua" w:hAnsi="Book Antiqua" w:cs="Calibri"/>
          <w:i/>
          <w:iCs/>
          <w:color w:val="000000" w:themeColor="text1"/>
          <w:sz w:val="24"/>
          <w:szCs w:val="24"/>
          <w:lang w:val="en-US"/>
        </w:rPr>
        <w:t>P</w:t>
      </w:r>
      <w:r w:rsidR="00463B5F">
        <w:rPr>
          <w:rFonts w:ascii="Book Antiqua" w:hAnsi="Book Antiqua" w:cs="Calibri"/>
          <w:color w:val="000000" w:themeColor="text1"/>
          <w:sz w:val="24"/>
          <w:szCs w:val="24"/>
          <w:lang w:val="en-US"/>
        </w:rPr>
        <w:t xml:space="preserve"> </w:t>
      </w:r>
      <w:r w:rsidRPr="00981DC5">
        <w:rPr>
          <w:rFonts w:ascii="Book Antiqua" w:hAnsi="Book Antiqua" w:cs="Calibri"/>
          <w:color w:val="000000" w:themeColor="text1"/>
          <w:sz w:val="24"/>
          <w:szCs w:val="24"/>
          <w:lang w:val="en-US"/>
        </w:rPr>
        <w:t>=</w:t>
      </w:r>
      <w:r w:rsidR="00463B5F">
        <w:rPr>
          <w:rFonts w:ascii="Book Antiqua" w:hAnsi="Book Antiqua" w:cs="Calibri"/>
          <w:color w:val="000000" w:themeColor="text1"/>
          <w:sz w:val="24"/>
          <w:szCs w:val="24"/>
          <w:lang w:val="en-US"/>
        </w:rPr>
        <w:t xml:space="preserve"> </w:t>
      </w:r>
      <w:r w:rsidRPr="00981DC5">
        <w:rPr>
          <w:rFonts w:ascii="Book Antiqua" w:hAnsi="Book Antiqua" w:cs="Calibri"/>
          <w:color w:val="000000" w:themeColor="text1"/>
          <w:sz w:val="24"/>
          <w:szCs w:val="24"/>
          <w:lang w:val="en-US"/>
        </w:rPr>
        <w:t>0.626).</w:t>
      </w:r>
    </w:p>
    <w:p w14:paraId="569E1A67" w14:textId="38E9E2BE" w:rsidR="00D54D7A" w:rsidRPr="00981DC5" w:rsidRDefault="00D54D7A" w:rsidP="00B11A05">
      <w:pPr>
        <w:adjustRightInd w:val="0"/>
        <w:snapToGrid w:val="0"/>
        <w:spacing w:after="0" w:line="360" w:lineRule="auto"/>
        <w:jc w:val="both"/>
        <w:rPr>
          <w:rFonts w:ascii="Book Antiqua" w:hAnsi="Book Antiqua" w:cs="Calibri"/>
          <w:color w:val="000000" w:themeColor="text1"/>
          <w:sz w:val="24"/>
          <w:szCs w:val="24"/>
          <w:lang w:val="en-US"/>
        </w:rPr>
      </w:pPr>
    </w:p>
    <w:p w14:paraId="143997BE" w14:textId="77777777" w:rsidR="00B11A05" w:rsidRPr="00981DC5" w:rsidRDefault="00B11A05" w:rsidP="00B11A05">
      <w:pPr>
        <w:adjustRightInd w:val="0"/>
        <w:snapToGrid w:val="0"/>
        <w:spacing w:after="0" w:line="360" w:lineRule="auto"/>
        <w:jc w:val="both"/>
        <w:rPr>
          <w:rFonts w:ascii="Book Antiqua" w:hAnsi="Book Antiqua" w:cstheme="minorHAnsi"/>
          <w:b/>
          <w:color w:val="000000" w:themeColor="text1"/>
          <w:sz w:val="24"/>
          <w:szCs w:val="24"/>
          <w:u w:val="single"/>
        </w:rPr>
      </w:pPr>
      <w:r w:rsidRPr="00981DC5">
        <w:rPr>
          <w:rFonts w:ascii="Book Antiqua" w:hAnsi="Book Antiqua"/>
          <w:b/>
          <w:color w:val="000000" w:themeColor="text1"/>
          <w:sz w:val="24"/>
          <w:szCs w:val="24"/>
          <w:u w:val="single"/>
        </w:rPr>
        <w:lastRenderedPageBreak/>
        <w:t>DISCUSSION</w:t>
      </w:r>
    </w:p>
    <w:p w14:paraId="4F7726C6" w14:textId="012708CE" w:rsidR="00474DD2" w:rsidRPr="00981DC5" w:rsidRDefault="006A3D96" w:rsidP="00B11A05">
      <w:pPr>
        <w:adjustRightInd w:val="0"/>
        <w:snapToGrid w:val="0"/>
        <w:spacing w:after="0" w:line="360" w:lineRule="auto"/>
        <w:jc w:val="both"/>
        <w:rPr>
          <w:rFonts w:ascii="Book Antiqua" w:hAnsi="Book Antiqua" w:cs="Calibri"/>
          <w:color w:val="000000" w:themeColor="text1"/>
          <w:sz w:val="24"/>
          <w:szCs w:val="24"/>
          <w:lang w:val="en-US"/>
        </w:rPr>
      </w:pPr>
      <w:r w:rsidRPr="00981DC5">
        <w:rPr>
          <w:rFonts w:ascii="Book Antiqua" w:hAnsi="Book Antiqua" w:cs="Calibri"/>
          <w:color w:val="000000" w:themeColor="text1"/>
          <w:sz w:val="24"/>
          <w:szCs w:val="24"/>
          <w:lang w:val="en-US"/>
        </w:rPr>
        <w:t>In the last decade, patient-derived xenograft model has emerged as an important tool for translational research, retaining much of the complexity of the tumor microenvironment and heterogeneity of the original tumor in an individual patient, and representing the first step towards personalized medicine</w:t>
      </w:r>
      <w:r w:rsidRPr="00981DC5">
        <w:rPr>
          <w:rFonts w:ascii="Book Antiqua" w:hAnsi="Book Antiqua" w:cs="Calibri"/>
          <w:color w:val="000000" w:themeColor="text1"/>
          <w:sz w:val="24"/>
          <w:szCs w:val="24"/>
          <w:lang w:val="en-US"/>
        </w:rPr>
        <w:fldChar w:fldCharType="begin" w:fldLock="1"/>
      </w:r>
      <w:r w:rsidR="00B55671" w:rsidRPr="00981DC5">
        <w:rPr>
          <w:rFonts w:ascii="Book Antiqua" w:hAnsi="Book Antiqua" w:cs="Calibri"/>
          <w:color w:val="000000" w:themeColor="text1"/>
          <w:sz w:val="24"/>
          <w:szCs w:val="24"/>
          <w:lang w:val="en-US"/>
        </w:rPr>
        <w:instrText>ADDIN CSL_CITATION {"citationItems":[{"id":"ITEM-1","itemData":{"DOI":"10.1007/s12020-016-1048-9","ISSN":"1559-0100","PMID":"27481363","abstract":"Preclinical research on neuroendocrine tumors usually involves immortalized cell lines and few animal models. In the present study we described an in vivo model based on patient-derived xenografts of neuroendocrine tumor cells in zebrafish (Danio rerio) embryos, allowing a rapid analysis of the angiogenic and invasive potential. Patient-derived neuroendocrine tumor cells were transplanted in 48 hours post-fertilization Tg(fli1a:EGFP) y1 zebrafish embryos that express enhanced green fluorescent protein in the entire vasculature. Neuroendocrine tumor cells, stained with CM-Dil, were injected into the subperidermal (perivitelline) space, close to the developing subintestinal venous plexus. A proper control group, represented by zebrafish injected with only D-PBS, was included in this study. Angiogenic and invasive potentials of each patient-derived xenograft were evaluated by both epifluorescence and confocal microscopes. Six out of eight neuroendocrine tumor samples were successfully transplanted in zebrafish embryos. Although the implanted tumor mass had a limited size (about 100 cells for embryos), patient-derived xenografts showed pro-angiogenic (5 cases) and invasive (6 cases) behaviors within 48 hours post injection. Patient-derived xenograft in zebrafish embryos appears to be a reliable in vivo preclinical model for neuroendocrine tumors, tumors with often limited cell availability. The rapidity of this procedure makes our model a promising platform to perform preclinical drug screening and opens a new scenario for personalized treatment in patients with neuroendocrine tumors.","author":[{"dropping-particle":"","family":"Gaudenzi","given":"Germano","non-dropping-particle":"","parse-names":false,"suffix":""},{"dropping-particle":"","family":"Albertelli","given":"Manuela","non-dropping-particle":"","parse-names":false,"suffix":""},{"dropping-particle":"","family":"Dicitore","given":"Alessandra","non-dropping-particle":"","parse-names":false,"suffix":""},{"dropping-particle":"","family":"Würth","given":"Roberto","non-dropping-particle":"","parse-names":false,"suffix":""},{"dropping-particle":"","family":"Gatto","given":"Federico","non-dropping-particle":"","parse-names":false,"suffix":""},{"dropping-particle":"","family":"Barbieri","given":"Federica","non-dropping-particle":"","parse-names":false,"suffix":""},{"dropping-particle":"","family":"Cotelli","given":"Franco","non-dropping-particle":"","parse-names":false,"suffix":""},{"dropping-particle":"","family":"Florio","given":"Tullio","non-dropping-particle":"","parse-names":false,"suffix":""},{"dropping-particle":"","family":"Ferone","given":"Diego","non-dropping-particle":"","parse-names":false,"suffix":""},{"dropping-particle":"","family":"Persani","given":"Luca","non-dropping-particle":"","parse-names":false,"suffix":""},{"dropping-particle":"","family":"Vitale","given":"Giovanni","non-dropping-particle":"","parse-names":false,"suffix":""}],"container-title":"Endocrine","id":"ITEM-1","issue":"2","issued":{"date-parts":[["2017","8","2"]]},"page":"214-219","title":"Patient-derived xenograft in zebrafish embryos: a new platform for translational research in neuroendocrine tumors.","type":"article-journal","volume":"57"},"uris":["http://www.mendeley.com/documents/?uuid=86d564f9-3672-3c28-b245-e758a0c2a9b3"]}],"mendeley":{"formattedCitation":"&lt;sup&gt;[22]&lt;/sup&gt;","plainTextFormattedCitation":"[22]","previouslyFormattedCitation":"&lt;sup&gt;[22]&lt;/sup&gt;"},"properties":{"noteIndex":0},"schema":"https://github.com/citation-style-language/schema/raw/master/csl-citation.json"}</w:instrText>
      </w:r>
      <w:r w:rsidRPr="00981DC5">
        <w:rPr>
          <w:rFonts w:ascii="Book Antiqua" w:hAnsi="Book Antiqua" w:cs="Calibri"/>
          <w:color w:val="000000" w:themeColor="text1"/>
          <w:sz w:val="24"/>
          <w:szCs w:val="24"/>
          <w:lang w:val="en-US"/>
        </w:rPr>
        <w:fldChar w:fldCharType="separate"/>
      </w:r>
      <w:r w:rsidR="00B55671" w:rsidRPr="00981DC5">
        <w:rPr>
          <w:rFonts w:ascii="Book Antiqua" w:hAnsi="Book Antiqua" w:cs="Calibri"/>
          <w:noProof/>
          <w:color w:val="000000" w:themeColor="text1"/>
          <w:sz w:val="24"/>
          <w:szCs w:val="24"/>
          <w:vertAlign w:val="superscript"/>
          <w:lang w:val="en-US"/>
        </w:rPr>
        <w:t>[22]</w:t>
      </w:r>
      <w:r w:rsidRPr="00981DC5">
        <w:rPr>
          <w:rFonts w:ascii="Book Antiqua" w:hAnsi="Book Antiqua" w:cs="Calibri"/>
          <w:color w:val="000000" w:themeColor="text1"/>
          <w:sz w:val="24"/>
          <w:szCs w:val="24"/>
          <w:lang w:val="en-US"/>
        </w:rPr>
        <w:fldChar w:fldCharType="end"/>
      </w:r>
      <w:r w:rsidRPr="00981DC5">
        <w:rPr>
          <w:rFonts w:ascii="Book Antiqua" w:hAnsi="Book Antiqua" w:cs="Calibri"/>
          <w:color w:val="000000" w:themeColor="text1"/>
          <w:sz w:val="24"/>
          <w:szCs w:val="24"/>
          <w:lang w:val="en-US"/>
        </w:rPr>
        <w:t>.</w:t>
      </w:r>
      <w:r w:rsidR="00F930B6" w:rsidRPr="00981DC5">
        <w:rPr>
          <w:rFonts w:ascii="Book Antiqua" w:hAnsi="Book Antiqua" w:cs="Calibri"/>
          <w:color w:val="000000" w:themeColor="text1"/>
          <w:sz w:val="24"/>
          <w:szCs w:val="24"/>
          <w:lang w:val="en-US"/>
        </w:rPr>
        <w:t xml:space="preserve"> </w:t>
      </w:r>
      <w:r w:rsidR="006F45EB" w:rsidRPr="00981DC5">
        <w:rPr>
          <w:rFonts w:ascii="Book Antiqua" w:hAnsi="Book Antiqua" w:cs="Calibri"/>
          <w:color w:val="000000" w:themeColor="text1"/>
          <w:sz w:val="24"/>
          <w:szCs w:val="24"/>
          <w:lang w:val="en-US"/>
        </w:rPr>
        <w:t xml:space="preserve">Different patients-derived tumor models, both </w:t>
      </w:r>
      <w:r w:rsidR="006F45EB" w:rsidRPr="00463B5F">
        <w:rPr>
          <w:rFonts w:ascii="Book Antiqua" w:hAnsi="Book Antiqua" w:cs="Calibri"/>
          <w:i/>
          <w:iCs/>
          <w:color w:val="000000" w:themeColor="text1"/>
          <w:sz w:val="24"/>
          <w:szCs w:val="24"/>
          <w:lang w:val="en-US"/>
        </w:rPr>
        <w:t>in vitro</w:t>
      </w:r>
      <w:r w:rsidR="006F45EB" w:rsidRPr="00981DC5">
        <w:rPr>
          <w:rFonts w:ascii="Book Antiqua" w:hAnsi="Book Antiqua" w:cs="Calibri"/>
          <w:color w:val="000000" w:themeColor="text1"/>
          <w:sz w:val="24"/>
          <w:szCs w:val="24"/>
          <w:lang w:val="en-US"/>
        </w:rPr>
        <w:t xml:space="preserve"> and</w:t>
      </w:r>
      <w:r w:rsidR="006F45EB" w:rsidRPr="00463B5F">
        <w:rPr>
          <w:rFonts w:ascii="Book Antiqua" w:hAnsi="Book Antiqua" w:cs="Calibri"/>
          <w:i/>
          <w:iCs/>
          <w:color w:val="000000" w:themeColor="text1"/>
          <w:sz w:val="24"/>
          <w:szCs w:val="24"/>
          <w:lang w:val="en-US"/>
        </w:rPr>
        <w:t xml:space="preserve"> in vivo</w:t>
      </w:r>
      <w:r w:rsidR="006F45EB" w:rsidRPr="00981DC5">
        <w:rPr>
          <w:rFonts w:ascii="Book Antiqua" w:hAnsi="Book Antiqua" w:cs="Calibri"/>
          <w:color w:val="000000" w:themeColor="text1"/>
          <w:sz w:val="24"/>
          <w:szCs w:val="24"/>
          <w:lang w:val="en-US"/>
        </w:rPr>
        <w:t xml:space="preserve">, have been developed. Organoid cultures were a major breakthrough in the </w:t>
      </w:r>
      <w:r w:rsidR="006F45EB" w:rsidRPr="00463B5F">
        <w:rPr>
          <w:rFonts w:ascii="Book Antiqua" w:hAnsi="Book Antiqua" w:cs="Calibri"/>
          <w:i/>
          <w:iCs/>
          <w:color w:val="000000" w:themeColor="text1"/>
          <w:sz w:val="24"/>
          <w:szCs w:val="24"/>
          <w:lang w:val="en-US"/>
        </w:rPr>
        <w:t>in vitro</w:t>
      </w:r>
      <w:r w:rsidR="006F45EB" w:rsidRPr="00981DC5">
        <w:rPr>
          <w:rFonts w:ascii="Book Antiqua" w:hAnsi="Book Antiqua" w:cs="Calibri"/>
          <w:color w:val="000000" w:themeColor="text1"/>
          <w:sz w:val="24"/>
          <w:szCs w:val="24"/>
          <w:lang w:val="en-US"/>
        </w:rPr>
        <w:t xml:space="preserve"> culture of tumor cells from patients, becoming the most attractive tool to be used as an </w:t>
      </w:r>
      <w:r w:rsidR="006F45EB" w:rsidRPr="00463B5F">
        <w:rPr>
          <w:rFonts w:ascii="Book Antiqua" w:hAnsi="Book Antiqua" w:cs="Calibri"/>
          <w:i/>
          <w:iCs/>
          <w:color w:val="000000" w:themeColor="text1"/>
          <w:sz w:val="24"/>
          <w:szCs w:val="24"/>
          <w:lang w:val="en-US"/>
        </w:rPr>
        <w:t>in vitro</w:t>
      </w:r>
      <w:r w:rsidR="006F45EB" w:rsidRPr="00981DC5">
        <w:rPr>
          <w:rFonts w:ascii="Book Antiqua" w:hAnsi="Book Antiqua" w:cs="Calibri"/>
          <w:color w:val="000000" w:themeColor="text1"/>
          <w:sz w:val="24"/>
          <w:szCs w:val="24"/>
          <w:lang w:val="en-US"/>
        </w:rPr>
        <w:t xml:space="preserve"> screening platform. Recently, this technique was further developed to generate organoids from patient-derived cancer tissues</w:t>
      </w:r>
      <w:r w:rsidR="006F45EB" w:rsidRPr="00981DC5">
        <w:rPr>
          <w:rFonts w:ascii="Book Antiqua" w:hAnsi="Book Antiqua" w:cs="Calibri"/>
          <w:color w:val="000000" w:themeColor="text1"/>
          <w:sz w:val="24"/>
          <w:szCs w:val="24"/>
          <w:lang w:val="en-US"/>
        </w:rPr>
        <w:fldChar w:fldCharType="begin" w:fldLock="1"/>
      </w:r>
      <w:r w:rsidR="002C251A" w:rsidRPr="00981DC5">
        <w:rPr>
          <w:rFonts w:ascii="Book Antiqua" w:hAnsi="Book Antiqua" w:cs="Calibri"/>
          <w:color w:val="000000" w:themeColor="text1"/>
          <w:sz w:val="24"/>
          <w:szCs w:val="24"/>
          <w:lang w:val="en-US"/>
        </w:rPr>
        <w:instrText>ADDIN CSL_CITATION {"citationItems":[{"id":"ITEM-1","itemData":{"DOI":"10.3390/cells9020293","PMID":"31991800","abstract":"Cancer frequency and prevalence have been increasing in the past decades, with devastating impacts on patients and their families. Despite the great advances in targeted approaches, there is still a lack of methods to predict individual patient responses, and therefore treatments are tailored according to average response rates. “Omics” approaches are used for patient stratification and choice of therapeutic options towards a more precise medicine. These methods, however, do not consider all genetic and non-genetic dynamic interactions that occur upon drug treatment. Therefore, the need to directly challenge patient cells in a personalized manner remains. The present review addresses the state of the art of patient-derived in vitro and in vivo models, from organoids to mouse and zebrafish Avatars. The predictive power of each model based on the retrospective correlation with the patient clinical outcome will be considered. Finally, the review is focused on the emerging zebrafish Avatars and their unique characteristics allowing a fast analysis of local and systemic effects of drug treatments at the single-cell level. We also address the technical challenges that the field has yet to overcome.","author":[{"dropping-particle":"","family":"Costa","given":"Bruno","non-dropping-particle":"","parse-names":false,"suffix":""},{"dropping-particle":"","family":"Estrada","given":"Marta F.","non-dropping-particle":"","parse-names":false,"suffix":""},{"dropping-particle":"V.","family":"Mendes","given":"Raquel","non-dropping-particle":"","parse-names":false,"suffix":""},{"dropping-particle":"","family":"Fior","given":"Rita","non-dropping-particle":"","parse-names":false,"suffix":""}],"container-title":"Cells","id":"ITEM-1","issue":"2","issued":{"date-parts":[["2020"]]},"page":"293","title":"Zebrafish Avatars towards Personalized Medicine—A Comparative Review between Avatar Models","type":"article-journal","volume":"9"},"uris":["http://www.mendeley.com/documents/?uuid=e2979240-d1ad-3adb-b1f4-314eb5123d96"]}],"mendeley":{"formattedCitation":"&lt;sup&gt;[23]&lt;/sup&gt;","plainTextFormattedCitation":"[23]","previouslyFormattedCitation":"&lt;sup&gt;[23]&lt;/sup&gt;"},"properties":{"noteIndex":0},"schema":"https://github.com/citation-style-language/schema/raw/master/csl-citation.json"}</w:instrText>
      </w:r>
      <w:r w:rsidR="006F45EB" w:rsidRPr="00981DC5">
        <w:rPr>
          <w:rFonts w:ascii="Book Antiqua" w:hAnsi="Book Antiqua" w:cs="Calibri"/>
          <w:color w:val="000000" w:themeColor="text1"/>
          <w:sz w:val="24"/>
          <w:szCs w:val="24"/>
          <w:lang w:val="en-US"/>
        </w:rPr>
        <w:fldChar w:fldCharType="separate"/>
      </w:r>
      <w:r w:rsidR="006F45EB" w:rsidRPr="00981DC5">
        <w:rPr>
          <w:rFonts w:ascii="Book Antiqua" w:hAnsi="Book Antiqua" w:cs="Calibri"/>
          <w:noProof/>
          <w:color w:val="000000" w:themeColor="text1"/>
          <w:sz w:val="24"/>
          <w:szCs w:val="24"/>
          <w:vertAlign w:val="superscript"/>
          <w:lang w:val="en-US"/>
        </w:rPr>
        <w:t>[23]</w:t>
      </w:r>
      <w:r w:rsidR="006F45EB" w:rsidRPr="00981DC5">
        <w:rPr>
          <w:rFonts w:ascii="Book Antiqua" w:hAnsi="Book Antiqua" w:cs="Calibri"/>
          <w:color w:val="000000" w:themeColor="text1"/>
          <w:sz w:val="24"/>
          <w:szCs w:val="24"/>
          <w:lang w:val="en-US"/>
        </w:rPr>
        <w:fldChar w:fldCharType="end"/>
      </w:r>
      <w:r w:rsidR="006F45EB" w:rsidRPr="00981DC5">
        <w:rPr>
          <w:rFonts w:ascii="Book Antiqua" w:hAnsi="Book Antiqua" w:cs="Calibri"/>
          <w:color w:val="000000" w:themeColor="text1"/>
          <w:sz w:val="24"/>
          <w:szCs w:val="24"/>
          <w:lang w:val="en-US"/>
        </w:rPr>
        <w:t>. However, only few retrospective studies correlated patient clinical outcomes with organoid drug response</w:t>
      </w:r>
      <w:r w:rsidR="006F45EB" w:rsidRPr="00981DC5">
        <w:rPr>
          <w:rFonts w:ascii="Book Antiqua" w:hAnsi="Book Antiqua" w:cs="Calibri"/>
          <w:color w:val="000000" w:themeColor="text1"/>
          <w:sz w:val="24"/>
          <w:szCs w:val="24"/>
          <w:lang w:val="en-US"/>
        </w:rPr>
        <w:fldChar w:fldCharType="begin" w:fldLock="1"/>
      </w:r>
      <w:r w:rsidR="00C67049" w:rsidRPr="00981DC5">
        <w:rPr>
          <w:rFonts w:ascii="Book Antiqua" w:hAnsi="Book Antiqua" w:cs="Calibri"/>
          <w:color w:val="000000" w:themeColor="text1"/>
          <w:sz w:val="24"/>
          <w:szCs w:val="24"/>
          <w:lang w:val="en-US"/>
        </w:rPr>
        <w:instrText>ADDIN CSL_CITATION {"citationItems":[{"id":"ITEM-1","itemData":{"DOI":"10.1126/scitranslmed.aay2574","ISSN":"19466242","PMID":"31597751","abstract":"There is a clear and unmet clinical need for biomarkers to predict responsiveness to chemotherapy for cancer. We developed an in vitro test based on patient-derived tumor organoids (PDOs) from metastatic lesions to identify nonresponders to standard-of-care chemotherapy in colorectal cancer (CRC). In a prospective clinical study, we show the feasibility of generating and testing PDOs for evaluation of sensitivity to chemotherapy. Our PDO test predicted response of the biopsied lesion in more than 80% of patients treated with irinotecan-based therapies without misclassifying patients who would have benefited from treatment. This correlation was specific to irinotecan-based chemotherapy, however, and the PDOs failed to predict outcome for treatment with 5-fluorouracil plus oxaliplatin. Our data suggest that PDOs could be used to prevent cancer patients from undergoing ineffective irinotecan-based chemotherapy.","author":[{"dropping-particle":"","family":"Ooft","given":"Salo N.","non-dropping-particle":"","parse-names":false,"suffix":""},{"dropping-particle":"","family":"Weeber","given":"Fleur","non-dropping-particle":"","parse-names":false,"suffix":""},{"dropping-particle":"","family":"Dijkstra","given":"Krijn K.","non-dropping-particle":"","parse-names":false,"suffix":""},{"dropping-particle":"","family":"McLean","given":"Chelsea M.","non-dropping-particle":"","parse-names":false,"suffix":""},{"dropping-particle":"","family":"Kaing","given":"Sovann","non-dropping-particle":"","parse-names":false,"suffix":""},{"dropping-particle":"","family":"Werkhoven","given":"Erik","non-dropping-particle":"van","parse-names":false,"suffix":""},{"dropping-particle":"","family":"Schipper","given":"Luuk","non-dropping-particle":"","parse-names":false,"suffix":""},{"dropping-particle":"","family":"Hoes","given":"Louisa","non-dropping-particle":"","parse-names":false,"suffix":""},{"dropping-particle":"","family":"Vis","given":"Daniel J.","non-dropping-particle":"","parse-names":false,"suffix":""},{"dropping-particle":"","family":"Haar","given":"Joris","non-dropping-particle":"van de","parse-names":false,"suffix":""},{"dropping-particle":"","family":"Prevoo","given":"Warner","non-dropping-particle":"","parse-names":false,"suffix":""},{"dropping-particle":"","family":"Snaebjornsson","given":"Petur","non-dropping-particle":"","parse-names":false,"suffix":""},{"dropping-particle":"","family":"Velden","given":"Daphne","non-dropping-particle":"van der","parse-names":false,"suffix":""},{"dropping-particle":"","family":"Klein","given":"Michelle","non-dropping-particle":"","parse-names":false,"suffix":""},{"dropping-particle":"","family":"Chalabi","given":"Myriam","non-dropping-particle":"","parse-names":false,"suffix":""},{"dropping-particle":"","family":"Boot","given":"Henk","non-dropping-particle":"","parse-names":false,"suffix":""},{"dropping-particle":"","family":"Leerdam","given":"Monique","non-dropping-particle":"van","parse-names":false,"suffix":""},{"dropping-particle":"","family":"Bloemendal","given":"Haiko J.","non-dropping-particle":"","parse-names":false,"suffix":""},{"dropping-particle":"V.","family":"Beerepoot","given":"Laurens","non-dropping-particle":"","parse-names":false,"suffix":""},{"dropping-particle":"","family":"Wessels","given":"Lodewyk","non-dropping-particle":"","parse-names":false,"suffix":""},{"dropping-particle":"","family":"Cuppen","given":"Edwin","non-dropping-particle":"","parse-names":false,"suffix":""},{"dropping-particle":"","family":"Clevers","given":"Hans","non-dropping-particle":"","parse-names":false,"suffix":""},{"dropping-particle":"","family":"Voest","given":"Emile E.","non-dropping-particle":"","parse-names":false,"suffix":""}],"container-title":"Science Translational Medicine","id":"ITEM-1","issue":"513","issued":{"date-parts":[["2019"]]},"publisher":"American Association for the Advancement of Science","title":"Patient-derived organoids can predict response to chemotherapy in metastatic colorectal cancer patients","type":"article-journal","volume":"11"},"uris":["http://www.mendeley.com/documents/?uuid=3c57d420-f0d0-3481-be67-eeb5896ba09a"]},{"id":"ITEM-2","itemData":{"DOI":"10.1126/science.aao2774","ISSN":"10959203","PMID":"29472484","abstract":"Patient-derived organoids (PDOs) have recently emerged as robust preclinical models; however, their potential to predict clinical outcomes in patients has remained unclear. We report on a living biobank of PDOs from metastatic, heavily pretreated colorectal and gastroesophageal cancer patients recruited in phase 1/2 clinical trials. Phenotypic and genotypic profiling of PDOs showed a high degree of similarity to the original patient tumors. Molecular profiling of tumor organoids was matched to drug-screening results, suggesting that PDOs could complement existing approaches in defining cancer vulnerabilities and improving treatment responses.We compared responses to anticancer agents ex vivo in organoids and PDO-based orthotopic mouse tumor xenograft models with the responses of the patients in clinical trials. Our data suggest that PDOs can recapitulate patient responses in the clinic and could be implemented in personalized medicine programs.","author":[{"dropping-particle":"","family":"Vlachogiannis","given":"Georgios","non-dropping-particle":"","parse-names":false,"suffix":""},{"dropping-particle":"","family":"Hedayat","given":"Somaieh","non-dropping-particle":"","parse-names":false,"suffix":""},{"dropping-particle":"","family":"Vatsiou","given":"Alexandra","non-dropping-particle":"","parse-names":false,"suffix":""},{"dropping-particle":"","family":"Jamin","given":"Yann","non-dropping-particle":"","parse-names":false,"suffix":""},{"dropping-particle":"","family":"Fernández-Mateos","given":"Javier","non-dropping-particle":"","parse-names":false,"suffix":""},{"dropping-particle":"","family":"Khan","given":"Khurum","non-dropping-particle":"","parse-names":false,"suffix":""},{"dropping-particle":"","family":"Lampis","given":"Andrea","non-dropping-particle":"","parse-names":false,"suffix":""},{"dropping-particle":"","family":"Eason","given":"Katherine","non-dropping-particle":"","parse-names":false,"suffix":""},{"dropping-particle":"","family":"Huntingford","given":"Ian","non-dropping-particle":"","parse-names":false,"suffix":""},{"dropping-particle":"","family":"Burke","given":"Rosemary","non-dropping-particle":"","parse-names":false,"suffix":""},{"dropping-particle":"","family":"Rata","given":"Mihaela","non-dropping-particle":"","parse-names":false,"suffix":""},{"dropping-particle":"","family":"Koh","given":"Dow Mu","non-dropping-particle":"","parse-names":false,"suffix":""},{"dropping-particle":"","family":"Tunariu","given":"Nina","non-dropping-particle":"","parse-names":false,"suffix":""},{"dropping-particle":"","family":"Collins","given":"David","non-dropping-particle":"","parse-names":false,"suffix":""},{"dropping-particle":"","family":"Hulkki-Wilson","given":"Sanna","non-dropping-particle":"","parse-names":false,"suffix":""},{"dropping-particle":"","family":"Ragulan","given":"Chanthirika","non-dropping-particle":"","parse-names":false,"suffix":""},{"dropping-particle":"","family":"Spiteri","given":"Inmaculada","non-dropping-particle":"","parse-names":false,"suffix":""},{"dropping-particle":"","family":"Moorcraft","given":"Sing Yu","non-dropping-particle":"","parse-names":false,"suffix":""},{"dropping-particle":"","family":"Chau","given":"Ian","non-dropping-particle":"","parse-names":false,"suffix":""},{"dropping-particle":"","family":"Rao","given":"Sheela","non-dropping-particle":"","parse-names":false,"suffix":""},{"dropping-particle":"","family":"Watkins","given":"David","non-dropping-particle":"","parse-names":false,"suffix":""},{"dropping-particle":"","family":"Fotiadis","given":"Nicos","non-dropping-particle":"","parse-names":false,"suffix":""},{"dropping-particle":"","family":"Bali","given":"Maria","non-dropping-particle":"","parse-names":false,"suffix":""},{"dropping-particle":"","family":"Darvish-Damavandi","given":"Mahnaz","non-dropping-particle":"","parse-names":false,"suffix":""},{"dropping-particle":"","family":"Lote","given":"Hazel","non-dropping-particle":"","parse-names":false,"suffix":""},{"dropping-particle":"","family":"Eltahir","given":"Zakaria","non-dropping-particle":"","parse-names":false,"suffix":""},{"dropping-particle":"","family":"Smyth","given":"Elizabeth C.","non-dropping-particle":"","parse-names":false,"suffix":""},{"dropping-particle":"","family":"Begum","given":"Ruwaida","non-dropping-particle":"","parse-names":false,"suffix":""},{"dropping-particle":"","family":"Clarke","given":"Paul A.","non-dropping-particle":"","parse-names":false,"suffix":""},{"dropping-particle":"","family":"Hahne","given":"Jens C.","non-dropping-particle":"","parse-names":false,"suffix":""},{"dropping-particle":"","family":"Dowsett","given":"Mitchell","non-dropping-particle":"","parse-names":false,"suffix":""},{"dropping-particle":"","family":"Bono","given":"Johann","non-dropping-particle":"De","parse-names":false,"suffix":""},{"dropping-particle":"","family":"Workman","given":"Paul","non-dropping-particle":"","parse-names":false,"suffix":""},{"dropping-particle":"","family":"Sadanandam","given":"Anguraj","non-dropping-particle":"","parse-names":false,"suffix":""},{"dropping-particle":"","family":"Fassan","given":"Matteo","non-dropping-particle":"","parse-names":false,"suffix":""},{"dropping-particle":"","family":"Sansom","given":"Owen J.","non-dropping-particle":"","parse-names":false,"suffix":""},{"dropping-particle":"","family":"Eccles","given":"Suzanne","non-dropping-particle":"","parse-names":false,"suffix":""},{"dropping-particle":"","family":"Starling","given":"Naureen","non-dropping-particle":"","parse-names":false,"suffix":""},{"dropping-particle":"","family":"Braconi","given":"Chiara","non-dropping-particle":"","parse-names":false,"suffix":""},{"dropping-particle":"","family":"Sottoriva","given":"Andrea","non-dropping-particle":"","parse-names":false,"suffix":""},{"dropping-particle":"","family":"Robinson","given":"Simon P.","non-dropping-particle":"","parse-names":false,"suffix":""},{"dropping-particle":"","family":"Cunningham","given":"David","non-dropping-particle":"","parse-names":false,"suffix":""},{"dropping-particle":"","family":"Valeri","given":"Nicola","non-dropping-particle":"","parse-names":false,"suffix":""}],"container-title":"Science","id":"ITEM-2","issue":"6378","issued":{"date-parts":[["2018"]]},"page":"920-926","publisher":"American Association for the Advancement of Science","title":"Patient-derived organoids model treatment response of metastatic gastrointestinal cancers","type":"article-journal","volume":"359"},"uris":["http://www.mendeley.com/documents/?uuid=714bbb8b-104e-3f14-88bd-2923efd6b985"]},{"id":"ITEM-3","itemData":{"DOI":"10.1016/j.cell.2017.11.010","ISSN":"10974172","PMID":"29224780","abstract":"Breast cancer (BC) comprises multiple distinct subtypes that differ genetically, pathologically, and clinically. Here, we describe a robust protocol for long-term culturing of human mammary epithelial organoids. Using this protocol, &gt;100 primary and metastatic BC organoid lines were generated, broadly recapitulating the diversity of the disease. BC organoid morphologies typically matched the histopathology, hormone receptor status, and HER2 status of the original tumor. DNA copy number variations as well as sequence changes were consistent within tumor-organoid pairs and largely retained even after extended passaging. BC organoids furthermore populated all major gene-expression-based classification groups and allowed in vitro drug screens that were consistent with in vivo xeno-transplantations and patient response. This study describes a representative collection of well-characterized BC organoids available for cancer research and drug development, as well as a strategy to assess in vitro drug response in a personalized fashion. The heterogeneity of breast cancer subtypes can be captured using organoid cultures that can facilitate drug screens that corroborate with patient responses.","author":[{"dropping-particle":"","family":"Sachs","given":"Norman","non-dropping-particle":"","parse-names":false,"suffix":""},{"dropping-particle":"","family":"Ligt","given":"Joep","non-dropping-particle":"de","parse-names":false,"suffix":""},{"dropping-particle":"","family":"Kopper","given":"Oded","non-dropping-particle":"","parse-names":false,"suffix":""},{"dropping-particle":"","family":"Gogola","given":"Ewa","non-dropping-particle":"","parse-names":false,"suffix":""},{"dropping-particle":"","family":"Bounova","given":"Gergana","non-dropping-particle":"","parse-names":false,"suffix":""},{"dropping-particle":"","family":"Weeber","given":"Fleur","non-dropping-particle":"","parse-names":false,"suffix":""},{"dropping-particle":"","family":"Balgobind","given":"Anjali Vanita","non-dropping-particle":"","parse-names":false,"suffix":""},{"dropping-particle":"","family":"Wind","given":"Karin","non-dropping-particle":"","parse-names":false,"suffix":""},{"dropping-particle":"","family":"Gracanin","given":"Ana","non-dropping-particle":"","parse-names":false,"suffix":""},{"dropping-particle":"","family":"Begthel","given":"Harry","non-dropping-particle":"","parse-names":false,"suffix":""},{"dropping-particle":"","family":"Korving","given":"Jeroen","non-dropping-particle":"","parse-names":false,"suffix":""},{"dropping-particle":"","family":"Boxtel","given":"Ruben","non-dropping-particle":"van","parse-names":false,"suffix":""},{"dropping-particle":"","family":"Duarte","given":"Alexandra Alves","non-dropping-particle":"","parse-names":false,"suffix":""},{"dropping-particle":"","family":"Lelieveld","given":"Daphne","non-dropping-particle":"","parse-names":false,"suffix":""},{"dropping-particle":"","family":"Hoeck","given":"Arne","non-dropping-particle":"van","parse-names":false,"suffix":""},{"dropping-particle":"","family":"Ernst","given":"Robert Frans","non-dropping-particle":"","parse-names":false,"suffix":""},{"dropping-particle":"","family":"Blokzijl","given":"Francis","non-dropping-particle":"","parse-names":false,"suffix":""},{"dropping-particle":"","family":"Nijman","given":"Isaac Johannes","non-dropping-particle":"","parse-names":false,"suffix":""},{"dropping-particle":"","family":"Hoogstraat","given":"Marlous","non-dropping-particle":"","parse-names":false,"suffix":""},{"dropping-particle":"","family":"Ven","given":"Marieke","non-dropping-particle":"van de","parse-names":false,"suffix":""},{"dropping-particle":"","family":"Egan","given":"David Anthony","non-dropping-particle":"","parse-names":false,"suffix":""},{"dropping-particle":"","family":"Zinzalla","given":"Vittoria","non-dropping-particle":"","parse-names":false,"suffix":""},{"dropping-particle":"","family":"Moll","given":"Jurgen","non-dropping-particle":"","parse-names":false,"suffix":""},{"dropping-particle":"","family":"Boj","given":"Sylvia Fernandez","non-dropping-particle":"","parse-names":false,"suffix":""},{"dropping-particle":"","family":"Voest","given":"Emile Eugene","non-dropping-particle":"","parse-names":false,"suffix":""},{"dropping-particle":"","family":"Wessels","given":"Lodewyk","non-dropping-particle":"","parse-names":false,"suffix":""},{"dropping-particle":"","family":"Diest","given":"Paul Joannes","non-dropping-particle":"van","parse-names":false,"suffix":""},{"dropping-particle":"","family":"Rottenberg","given":"Sven","non-dropping-particle":"","parse-names":false,"suffix":""},{"dropping-particle":"","family":"Vries","given":"Robert Gerhardus Jacob","non-dropping-particle":"","parse-names":false,"suffix":""},{"dropping-particle":"","family":"Cuppen","given":"Edwin","non-dropping-particle":"","parse-names":false,"suffix":""},{"dropping-particle":"","family":"Clevers","given":"Hans","non-dropping-particle":"","parse-names":false,"suffix":""}],"container-title":"Cell","id":"ITEM-3","issue":"1-2","issued":{"date-parts":[["2018"]]},"page":"373-386.e10","publisher":"Cell Press","title":"A Living Biobank of Breast Cancer Organoids Captures Disease Heterogeneity","type":"article-journal","volume":"172"},"uris":["http://www.mendeley.com/documents/?uuid=81235e83-938e-3dbe-bbe5-e6ef0bb2efe1"]}],"mendeley":{"formattedCitation":"&lt;sup&gt;[24–26]&lt;/sup&gt;","plainTextFormattedCitation":"[24–26]","previouslyFormattedCitation":"&lt;sup&gt;[24–26]&lt;/sup&gt;"},"properties":{"noteIndex":0},"schema":"https://github.com/citation-style-language/schema/raw/master/csl-citation.json"}</w:instrText>
      </w:r>
      <w:r w:rsidR="006F45EB" w:rsidRPr="00981DC5">
        <w:rPr>
          <w:rFonts w:ascii="Book Antiqua" w:hAnsi="Book Antiqua" w:cs="Calibri"/>
          <w:color w:val="000000" w:themeColor="text1"/>
          <w:sz w:val="24"/>
          <w:szCs w:val="24"/>
          <w:lang w:val="en-US"/>
        </w:rPr>
        <w:fldChar w:fldCharType="separate"/>
      </w:r>
      <w:r w:rsidR="006F45EB" w:rsidRPr="00981DC5">
        <w:rPr>
          <w:rFonts w:ascii="Book Antiqua" w:hAnsi="Book Antiqua" w:cs="Calibri"/>
          <w:noProof/>
          <w:color w:val="000000" w:themeColor="text1"/>
          <w:sz w:val="24"/>
          <w:szCs w:val="24"/>
          <w:vertAlign w:val="superscript"/>
          <w:lang w:val="en-US"/>
        </w:rPr>
        <w:t>[24</w:t>
      </w:r>
      <w:r w:rsidR="00463B5F">
        <w:rPr>
          <w:rFonts w:ascii="Book Antiqua" w:hAnsi="Book Antiqua" w:cs="Calibri"/>
          <w:noProof/>
          <w:color w:val="000000" w:themeColor="text1"/>
          <w:sz w:val="24"/>
          <w:szCs w:val="24"/>
          <w:vertAlign w:val="superscript"/>
          <w:lang w:val="en-US"/>
        </w:rPr>
        <w:t>-</w:t>
      </w:r>
      <w:r w:rsidR="006F45EB" w:rsidRPr="00981DC5">
        <w:rPr>
          <w:rFonts w:ascii="Book Antiqua" w:hAnsi="Book Antiqua" w:cs="Calibri"/>
          <w:noProof/>
          <w:color w:val="000000" w:themeColor="text1"/>
          <w:sz w:val="24"/>
          <w:szCs w:val="24"/>
          <w:vertAlign w:val="superscript"/>
          <w:lang w:val="en-US"/>
        </w:rPr>
        <w:t>26]</w:t>
      </w:r>
      <w:r w:rsidR="006F45EB" w:rsidRPr="00981DC5">
        <w:rPr>
          <w:rFonts w:ascii="Book Antiqua" w:hAnsi="Book Antiqua" w:cs="Calibri"/>
          <w:color w:val="000000" w:themeColor="text1"/>
          <w:sz w:val="24"/>
          <w:szCs w:val="24"/>
          <w:lang w:val="en-US"/>
        </w:rPr>
        <w:fldChar w:fldCharType="end"/>
      </w:r>
      <w:r w:rsidR="006F45EB" w:rsidRPr="00981DC5">
        <w:rPr>
          <w:rFonts w:ascii="Book Antiqua" w:hAnsi="Book Antiqua" w:cs="Calibri"/>
          <w:color w:val="000000" w:themeColor="text1"/>
          <w:sz w:val="24"/>
          <w:szCs w:val="24"/>
          <w:lang w:val="en-US"/>
        </w:rPr>
        <w:t xml:space="preserve">. Moreover, the use of organoids has some limitations in comparison to the zebrafish model. First of all, the initial organoid generation requires 4-5 </w:t>
      </w:r>
      <w:proofErr w:type="spellStart"/>
      <w:r w:rsidR="006F45EB" w:rsidRPr="00981DC5">
        <w:rPr>
          <w:rFonts w:ascii="Book Antiqua" w:hAnsi="Book Antiqua" w:cs="Calibri"/>
          <w:color w:val="000000" w:themeColor="text1"/>
          <w:sz w:val="24"/>
          <w:szCs w:val="24"/>
          <w:lang w:val="en-US"/>
        </w:rPr>
        <w:t>wk</w:t>
      </w:r>
      <w:proofErr w:type="spellEnd"/>
      <w:r w:rsidR="006F45EB" w:rsidRPr="00981DC5">
        <w:rPr>
          <w:rFonts w:ascii="Book Antiqua" w:hAnsi="Book Antiqua" w:cs="Calibri"/>
          <w:color w:val="000000" w:themeColor="text1"/>
          <w:sz w:val="24"/>
          <w:szCs w:val="24"/>
          <w:lang w:val="en-US"/>
        </w:rPr>
        <w:fldChar w:fldCharType="begin" w:fldLock="1"/>
      </w:r>
      <w:r w:rsidR="002C251A" w:rsidRPr="00981DC5">
        <w:rPr>
          <w:rFonts w:ascii="Book Antiqua" w:hAnsi="Book Antiqua" w:cs="Calibri"/>
          <w:color w:val="000000" w:themeColor="text1"/>
          <w:sz w:val="24"/>
          <w:szCs w:val="24"/>
          <w:lang w:val="en-US"/>
        </w:rPr>
        <w:instrText>ADDIN CSL_CITATION {"citationItems":[{"id":"ITEM-1","itemData":{"DOI":"10.1038/s41467-019-11867-6","ISSN":"20411723","PMID":"31488816","abstract":"Lung cancer shows substantial genetic and phenotypic heterogeneity across individuals, driving a need for personalised medicine. Here, we report lung cancer organoids and normal bronchial organoids established from patient tissues comprising five histological subtypes of lung cancer and non-neoplastic bronchial mucosa as in vitro models representing individual patient. The lung cancer organoids recapitulate the tissue architecture of the primary lung tumours and maintain the genomic alterations of the original tumours during long-term expansion in vitro. The normal bronchial organoids maintain cellular components of normal bronchial mucosa. Lung cancer organoids respond to drugs based on their genomic alterations: a BRCA2-mutant organoid to olaparib, an EGFR-mutant organoid to erlotinib, and an EGFR-mutant/MET-amplified organoid to crizotinib. Considering the short length of time from organoid establishment to drug testing, our newly developed model may prove useful for predicting patient-specific drug responses through in vitro patient-specific drug trials.","author":[{"dropping-particle":"","family":"Kim","given":"Minsuh","non-dropping-particle":"","parse-names":false,"suffix":""},{"dropping-particle":"","family":"Mun","given":"Hyemin","non-dropping-particle":"","parse-names":false,"suffix":""},{"dropping-particle":"","family":"Sung","given":"Chang Oak","non-dropping-particle":"","parse-names":false,"suffix":""},{"dropping-particle":"","family":"Cho","given":"Eun Jeong","non-dropping-particle":"","parse-names":false,"suffix":""},{"dropping-particle":"","family":"Jeon","given":"Hye Joon","non-dropping-particle":"","parse-names":false,"suffix":""},{"dropping-particle":"","family":"Chun","given":"Sung Min","non-dropping-particle":"","parse-names":false,"suffix":""},{"dropping-particle":"","family":"Jung","given":"Da Jung","non-dropping-particle":"","parse-names":false,"suffix":""},{"dropping-particle":"","family":"Shin","given":"Tae Hoon","non-dropping-particle":"","parse-names":false,"suffix":""},{"dropping-particle":"","family":"Jeong","given":"Gi Seok","non-dropping-particle":"","parse-names":false,"suffix":""},{"dropping-particle":"","family":"Kim","given":"Dong Kwan","non-dropping-particle":"","parse-names":false,"suffix":""},{"dropping-particle":"","family":"Choi","given":"Eun Kyung","non-dropping-particle":"","parse-names":false,"suffix":""},{"dropping-particle":"","family":"Jeong","given":"Seong Yun","non-dropping-particle":"","parse-names":false,"suffix":""},{"dropping-particle":"","family":"Taylor","given":"Alison M.","non-dropping-particle":"","parse-names":false,"suffix":""},{"dropping-particle":"","family":"Jain","given":"Sejal","non-dropping-particle":"","parse-names":false,"suffix":""},{"dropping-particle":"","family":"Meyerson","given":"Matthew","non-dropping-particle":"","parse-names":false,"suffix":""},{"dropping-particle":"","family":"Jang","given":"Se Jin","non-dropping-particle":"","parse-names":false,"suffix":""}],"container-title":"Nature Communications","id":"ITEM-1","issue":"1","issued":{"date-parts":[["2019","12","1"]]},"publisher":"Nature Publishing Group","title":"Patient-derived lung cancer organoids as in vitro cancer models for therapeutic screening","type":"article-journal","volume":"10"},"uris":["http://www.mendeley.com/documents/?uuid=00a36e41-93ae-3ea6-b07c-7e17c448275f"]},{"id":"ITEM-2","itemData":{"DOI":"10.3390/cells9020293","PMID":"31991800","abstract":"Cancer frequency and prevalence have been increasing in the past decades, with devastating impacts on patients and their families. Despite the great advances in targeted approaches, there is still a lack of methods to predict individual patient responses, and therefore treatments are tailored according to average response rates. “Omics” approaches are used for patient stratification and choice of therapeutic options towards a more precise medicine. These methods, however, do not consider all genetic and non-genetic dynamic interactions that occur upon drug treatment. Therefore, the need to directly challenge patient cells in a personalized manner remains. The present review addresses the state of the art of patient-derived in vitro and in vivo models, from organoids to mouse and zebrafish Avatars. The predictive power of each model based on the retrospective correlation with the patient clinical outcome will be considered. Finally, the review is focused on the emerging zebrafish Avatars and their unique characteristics allowing a fast analysis of local and systemic effects of drug treatments at the single-cell level. We also address the technical challenges that the field has yet to overcome.","author":[{"dropping-particle":"","family":"Costa","given":"Bruno","non-dropping-particle":"","parse-names":false,"suffix":""},{"dropping-particle":"","family":"Estrada","given":"Marta F.","non-dropping-particle":"","parse-names":false,"suffix":""},{"dropping-particle":"V.","family":"Mendes","given":"Raquel","non-dropping-particle":"","parse-names":false,"suffix":""},{"dropping-particle":"","family":"Fior","given":"Rita","non-dropping-particle":"","parse-names":false,"suffix":""}],"container-title":"Cells","id":"ITEM-2","issue":"2","issued":{"date-parts":[["2020"]]},"page":"293","title":"Zebrafish Avatars towards Personalized Medicine—A Comparative Review between Avatar Models","type":"article-journal","volume":"9"},"uris":["http://www.mendeley.com/documents/?uuid=e2979240-d1ad-3adb-b1f4-314eb5123d96"]}],"mendeley":{"formattedCitation":"&lt;sup&gt;[23,27]&lt;/sup&gt;","plainTextFormattedCitation":"[23,27]","previouslyFormattedCitation":"&lt;sup&gt;[23,27]&lt;/sup&gt;"},"properties":{"noteIndex":0},"schema":"https://github.com/citation-style-language/schema/raw/master/csl-citation.json"}</w:instrText>
      </w:r>
      <w:r w:rsidR="006F45EB" w:rsidRPr="00981DC5">
        <w:rPr>
          <w:rFonts w:ascii="Book Antiqua" w:hAnsi="Book Antiqua" w:cs="Calibri"/>
          <w:color w:val="000000" w:themeColor="text1"/>
          <w:sz w:val="24"/>
          <w:szCs w:val="24"/>
          <w:lang w:val="en-US"/>
        </w:rPr>
        <w:fldChar w:fldCharType="separate"/>
      </w:r>
      <w:r w:rsidR="006F45EB" w:rsidRPr="00981DC5">
        <w:rPr>
          <w:rFonts w:ascii="Book Antiqua" w:hAnsi="Book Antiqua" w:cs="Calibri"/>
          <w:noProof/>
          <w:color w:val="000000" w:themeColor="text1"/>
          <w:sz w:val="24"/>
          <w:szCs w:val="24"/>
          <w:vertAlign w:val="superscript"/>
          <w:lang w:val="en-US"/>
        </w:rPr>
        <w:t>[23,27]</w:t>
      </w:r>
      <w:r w:rsidR="006F45EB" w:rsidRPr="00981DC5">
        <w:rPr>
          <w:rFonts w:ascii="Book Antiqua" w:hAnsi="Book Antiqua" w:cs="Calibri"/>
          <w:color w:val="000000" w:themeColor="text1"/>
          <w:sz w:val="24"/>
          <w:szCs w:val="24"/>
          <w:lang w:val="en-US"/>
        </w:rPr>
        <w:fldChar w:fldCharType="end"/>
      </w:r>
      <w:r w:rsidR="006F45EB" w:rsidRPr="00981DC5">
        <w:rPr>
          <w:rFonts w:ascii="Book Antiqua" w:hAnsi="Book Antiqua" w:cs="Calibri"/>
          <w:color w:val="000000" w:themeColor="text1"/>
          <w:sz w:val="24"/>
          <w:szCs w:val="24"/>
          <w:lang w:val="en-US"/>
        </w:rPr>
        <w:t>, which is border line for the time frame needed to guide first clinical decisions. Moreover, for the lack of stromal components, these models lack many complex interactions observed in the TME or in a living organism and do not allow, for instance, the evaluation of the metastatic or angiogenic potential</w:t>
      </w:r>
      <w:r w:rsidR="006F45EB" w:rsidRPr="00981DC5">
        <w:rPr>
          <w:rFonts w:ascii="Book Antiqua" w:hAnsi="Book Antiqua" w:cs="Calibri"/>
          <w:color w:val="000000" w:themeColor="text1"/>
          <w:sz w:val="24"/>
          <w:szCs w:val="24"/>
          <w:lang w:val="en-US"/>
        </w:rPr>
        <w:fldChar w:fldCharType="begin" w:fldLock="1"/>
      </w:r>
      <w:r w:rsidR="002C251A" w:rsidRPr="00981DC5">
        <w:rPr>
          <w:rFonts w:ascii="Book Antiqua" w:hAnsi="Book Antiqua" w:cs="Calibri"/>
          <w:color w:val="000000" w:themeColor="text1"/>
          <w:sz w:val="24"/>
          <w:szCs w:val="24"/>
          <w:lang w:val="en-US"/>
        </w:rPr>
        <w:instrText>ADDIN CSL_CITATION {"citationItems":[{"id":"ITEM-1","itemData":{"DOI":"10.3390/cells9020293","PMID":"31991800","abstract":"Cancer frequency and prevalence have been increasing in the past decades, with devastating impacts on patients and their families. Despite the great advances in targeted approaches, there is still a lack of methods to predict individual patient responses, and therefore treatments are tailored according to average response rates. “Omics” approaches are used for patient stratification and choice of therapeutic options towards a more precise medicine. These methods, however, do not consider all genetic and non-genetic dynamic interactions that occur upon drug treatment. Therefore, the need to directly challenge patient cells in a personalized manner remains. The present review addresses the state of the art of patient-derived in vitro and in vivo models, from organoids to mouse and zebrafish Avatars. The predictive power of each model based on the retrospective correlation with the patient clinical outcome will be considered. Finally, the review is focused on the emerging zebrafish Avatars and their unique characteristics allowing a fast analysis of local and systemic effects of drug treatments at the single-cell level. We also address the technical challenges that the field has yet to overcome.","author":[{"dropping-particle":"","family":"Costa","given":"Bruno","non-dropping-particle":"","parse-names":false,"suffix":""},{"dropping-particle":"","family":"Estrada","given":"Marta F.","non-dropping-particle":"","parse-names":false,"suffix":""},{"dropping-particle":"V.","family":"Mendes","given":"Raquel","non-dropping-particle":"","parse-names":false,"suffix":""},{"dropping-particle":"","family":"Fior","given":"Rita","non-dropping-particle":"","parse-names":false,"suffix":""}],"container-title":"Cells","id":"ITEM-1","issue":"2","issued":{"date-parts":[["2020"]]},"page":"293","title":"Zebrafish Avatars towards Personalized Medicine—A Comparative Review between Avatar Models","type":"article-journal","volume":"9"},"uris":["http://www.mendeley.com/documents/?uuid=e2979240-d1ad-3adb-b1f4-314eb5123d96"]}],"mendeley":{"formattedCitation":"&lt;sup&gt;[23]&lt;/sup&gt;","plainTextFormattedCitation":"[23]","previouslyFormattedCitation":"&lt;sup&gt;[23]&lt;/sup&gt;"},"properties":{"noteIndex":0},"schema":"https://github.com/citation-style-language/schema/raw/master/csl-citation.json"}</w:instrText>
      </w:r>
      <w:r w:rsidR="006F45EB" w:rsidRPr="00981DC5">
        <w:rPr>
          <w:rFonts w:ascii="Book Antiqua" w:hAnsi="Book Antiqua" w:cs="Calibri"/>
          <w:color w:val="000000" w:themeColor="text1"/>
          <w:sz w:val="24"/>
          <w:szCs w:val="24"/>
          <w:lang w:val="en-US"/>
        </w:rPr>
        <w:fldChar w:fldCharType="separate"/>
      </w:r>
      <w:r w:rsidR="006F45EB" w:rsidRPr="00981DC5">
        <w:rPr>
          <w:rFonts w:ascii="Book Antiqua" w:hAnsi="Book Antiqua" w:cs="Calibri"/>
          <w:noProof/>
          <w:color w:val="000000" w:themeColor="text1"/>
          <w:sz w:val="24"/>
          <w:szCs w:val="24"/>
          <w:vertAlign w:val="superscript"/>
          <w:lang w:val="en-US"/>
        </w:rPr>
        <w:t>[23]</w:t>
      </w:r>
      <w:r w:rsidR="006F45EB" w:rsidRPr="00981DC5">
        <w:rPr>
          <w:rFonts w:ascii="Book Antiqua" w:hAnsi="Book Antiqua" w:cs="Calibri"/>
          <w:color w:val="000000" w:themeColor="text1"/>
          <w:sz w:val="24"/>
          <w:szCs w:val="24"/>
          <w:lang w:val="en-US"/>
        </w:rPr>
        <w:fldChar w:fldCharType="end"/>
      </w:r>
      <w:r w:rsidR="006F45EB" w:rsidRPr="00981DC5">
        <w:rPr>
          <w:rFonts w:ascii="Book Antiqua" w:hAnsi="Book Antiqua" w:cs="Calibri"/>
          <w:color w:val="000000" w:themeColor="text1"/>
          <w:sz w:val="24"/>
          <w:szCs w:val="24"/>
          <w:lang w:val="en-US"/>
        </w:rPr>
        <w:t xml:space="preserve">. PDX into immunodeficient mice has been considered the gold standard model for assessing pre-clinical efficacy of cancer drugs. The methodology of initiation and propagation consists in sectioning the fresh surgical tissue into </w:t>
      </w:r>
      <w:r w:rsidR="00463B5F">
        <w:rPr>
          <w:rFonts w:ascii="Book Antiqua" w:hAnsi="Book Antiqua" w:cs="Calibri"/>
          <w:color w:val="000000" w:themeColor="text1"/>
          <w:sz w:val="24"/>
          <w:szCs w:val="24"/>
          <w:lang w:val="en-US"/>
        </w:rPr>
        <w:t xml:space="preserve">about </w:t>
      </w:r>
      <w:r w:rsidR="006F45EB" w:rsidRPr="00981DC5">
        <w:rPr>
          <w:rFonts w:ascii="Book Antiqua" w:hAnsi="Book Antiqua" w:cs="Calibri"/>
          <w:color w:val="000000" w:themeColor="text1"/>
          <w:sz w:val="24"/>
          <w:szCs w:val="24"/>
          <w:lang w:val="en-US"/>
        </w:rPr>
        <w:t>3 mm</w:t>
      </w:r>
      <w:r w:rsidR="006F45EB" w:rsidRPr="00981DC5">
        <w:rPr>
          <w:rFonts w:ascii="Book Antiqua" w:hAnsi="Book Antiqua" w:cs="Calibri"/>
          <w:color w:val="000000" w:themeColor="text1"/>
          <w:sz w:val="24"/>
          <w:szCs w:val="24"/>
          <w:vertAlign w:val="superscript"/>
          <w:lang w:val="en-US"/>
        </w:rPr>
        <w:t>3</w:t>
      </w:r>
      <w:r w:rsidR="006F45EB" w:rsidRPr="00981DC5">
        <w:rPr>
          <w:rFonts w:ascii="Book Antiqua" w:hAnsi="Book Antiqua" w:cs="Calibri"/>
          <w:color w:val="000000" w:themeColor="text1"/>
          <w:sz w:val="24"/>
          <w:szCs w:val="24"/>
          <w:lang w:val="en-US"/>
        </w:rPr>
        <w:t xml:space="preserve"> pieces, followed by subcutaneous or orthotopic implantation into the flank of an immunodeficient mouse. During the engraftment phase, tumors are allowed to establish and grow and then are harvested upon reaching a size of 1500 mm</w:t>
      </w:r>
      <w:r w:rsidR="006F45EB" w:rsidRPr="00981DC5">
        <w:rPr>
          <w:rFonts w:ascii="Book Antiqua" w:hAnsi="Book Antiqua" w:cs="Calibri"/>
          <w:color w:val="000000" w:themeColor="text1"/>
          <w:sz w:val="24"/>
          <w:szCs w:val="24"/>
          <w:vertAlign w:val="superscript"/>
          <w:lang w:val="en-US"/>
        </w:rPr>
        <w:t>3</w:t>
      </w:r>
      <w:r w:rsidR="006F45EB" w:rsidRPr="00981DC5">
        <w:rPr>
          <w:rFonts w:ascii="Book Antiqua" w:hAnsi="Book Antiqua" w:cs="Calibri"/>
          <w:color w:val="000000" w:themeColor="text1"/>
          <w:sz w:val="24"/>
          <w:szCs w:val="24"/>
          <w:lang w:val="en-US"/>
        </w:rPr>
        <w:t>. Similar protocols are employed for subsequent expansion cohort and treatment cohort</w:t>
      </w:r>
      <w:r w:rsidR="00077BD5" w:rsidRPr="00981DC5">
        <w:rPr>
          <w:rFonts w:ascii="Book Antiqua" w:hAnsi="Book Antiqua" w:cs="Calibri"/>
          <w:color w:val="000000" w:themeColor="text1"/>
          <w:sz w:val="24"/>
          <w:szCs w:val="24"/>
          <w:lang w:val="en-US"/>
        </w:rPr>
        <w:fldChar w:fldCharType="begin" w:fldLock="1"/>
      </w:r>
      <w:r w:rsidR="00C67049" w:rsidRPr="00981DC5">
        <w:rPr>
          <w:rFonts w:ascii="Book Antiqua" w:hAnsi="Book Antiqua" w:cs="Calibri"/>
          <w:color w:val="000000" w:themeColor="text1"/>
          <w:sz w:val="24"/>
          <w:szCs w:val="24"/>
          <w:lang w:val="en-US"/>
        </w:rPr>
        <w:instrText>ADDIN CSL_CITATION {"citationItems":[{"id":"ITEM-1","itemData":{"DOI":"10.1158/1078-0432.CCR-06-0113","ISSN":"1078-0432","PMID":"16899615","abstract":"Effective development of targeted anticancer agents includes the definition of the optimal biological dose and biomarkers of drug activity. Currently available preclinical models are not optimal to this end. We aimed at generating a model for translational drug development using pancreatic cancer as a prototype. Resected pancreatic cancers from 14 patients were xenografted and expanded in successive groups of nude mice to develop cohorts of tumor-bearing mice suitable for drug therapy in simulated early clinical trials. The xenografted tumors maintain their fundamental genotypic features despite serial passages and recapitulate the genetic heterogeneity of pancreatic cancer. The in vivo platform is useful for integrating drug screening with biomarker discovery. Passages of tumors in successive cohorts of mice do not change their susceptibility to anticancer agents and represent a perpetual live bank, facilitating the application of new technologies that will result in the creation of an integrated stable database of tumor-drug response data and biomarkers.","author":[{"dropping-particle":"","family":"Rubio-Viqueira","given":"Belen","non-dropping-particle":"","parse-names":false,"suffix":""},{"dropping-particle":"","family":"Jimeno","given":"Antonio","non-dropping-particle":"","parse-names":false,"suffix":""},{"dropping-particle":"","family":"Cusatis","given":"George","non-dropping-particle":"","parse-names":false,"suffix":""},{"dropping-particle":"","family":"Zhang","given":"Xianfeng","non-dropping-particle":"","parse-names":false,"suffix":""},{"dropping-particle":"","family":"Iacobuzio-Donahue","given":"Christine","non-dropping-particle":"","parse-names":false,"suffix":""},{"dropping-particle":"","family":"Karikari","given":"Collins","non-dropping-particle":"","parse-names":false,"suffix":""},{"dropping-particle":"","family":"Shi","given":"Chanjusn","non-dropping-particle":"","parse-names":false,"suffix":""},{"dropping-particle":"","family":"Danenberg","given":"Kathleen","non-dropping-particle":"","parse-names":false,"suffix":""},{"dropping-particle":"V","family":"Danenberg","given":"Peter","non-dropping-particle":"","parse-names":false,"suffix":""},{"dropping-particle":"","family":"Kuramochi","given":"Hidekazu","non-dropping-particle":"","parse-names":false,"suffix":""},{"dropping-particle":"","family":"Tanaka","given":"Koji","non-dropping-particle":"","parse-names":false,"suffix":""},{"dropping-particle":"","family":"Singh","given":"Sharat","non-dropping-particle":"","parse-names":false,"suffix":""},{"dropping-particle":"","family":"Salimi-Moosavi","given":"Hossein","non-dropping-particle":"","parse-names":false,"suffix":""},{"dropping-particle":"","family":"Bouraoud","given":"Nadia","non-dropping-particle":"","parse-names":false,"suffix":""},{"dropping-particle":"","family":"Amador","given":"Maria L","non-dropping-particle":"","parse-names":false,"suffix":""},{"dropping-particle":"","family":"Altiok","given":"Soner","non-dropping-particle":"","parse-names":false,"suffix":""},{"dropping-particle":"","family":"Kulesza","given":"Piotr","non-dropping-particle":"","parse-names":false,"suffix":""},{"dropping-particle":"","family":"Yeo","given":"Charles","non-dropping-particle":"","parse-names":false,"suffix":""},{"dropping-particle":"","family":"Messersmith","given":"Wells","non-dropping-particle":"","parse-names":false,"suffix":""},{"dropping-particle":"","family":"Eshleman","given":"James","non-dropping-particle":"","parse-names":false,"suffix":""},{"dropping-particle":"","family":"Hruban","given":"Ralph H","non-dropping-particle":"","parse-names":false,"suffix":""},{"dropping-particle":"","family":"Maitra","given":"Anirban","non-dropping-particle":"","parse-names":false,"suffix":""},{"dropping-particle":"","family":"Hidalgo","given":"Manuel","non-dropping-particle":"","parse-names":false,"suffix":""}],"container-title":"Clinical cancer research : an official journal of the American Association for Cancer Research","id":"ITEM-1","issue":"15","issued":{"date-parts":[["2006"]]},"page":"4652-61","title":"An in vivo platform for translational drug development in pancreatic cancer.","type":"article-journal","volume":"12"},"uris":["http://www.mendeley.com/documents/?uuid=75478d5b-ff6f-332d-be76-c65c71f37c52"]}],"mendeley":{"formattedCitation":"&lt;sup&gt;[28]&lt;/sup&gt;","plainTextFormattedCitation":"[28]","previouslyFormattedCitation":"&lt;sup&gt;[28]&lt;/sup&gt;"},"properties":{"noteIndex":0},"schema":"https://github.com/citation-style-language/schema/raw/master/csl-citation.json"}</w:instrText>
      </w:r>
      <w:r w:rsidR="00077BD5" w:rsidRPr="00981DC5">
        <w:rPr>
          <w:rFonts w:ascii="Book Antiqua" w:hAnsi="Book Antiqua" w:cs="Calibri"/>
          <w:color w:val="000000" w:themeColor="text1"/>
          <w:sz w:val="24"/>
          <w:szCs w:val="24"/>
          <w:lang w:val="en-US"/>
        </w:rPr>
        <w:fldChar w:fldCharType="separate"/>
      </w:r>
      <w:r w:rsidR="00077BD5" w:rsidRPr="00981DC5">
        <w:rPr>
          <w:rFonts w:ascii="Book Antiqua" w:hAnsi="Book Antiqua" w:cs="Calibri"/>
          <w:noProof/>
          <w:color w:val="000000" w:themeColor="text1"/>
          <w:sz w:val="24"/>
          <w:szCs w:val="24"/>
          <w:vertAlign w:val="superscript"/>
          <w:lang w:val="en-US"/>
        </w:rPr>
        <w:t>[28]</w:t>
      </w:r>
      <w:r w:rsidR="00077BD5" w:rsidRPr="00981DC5">
        <w:rPr>
          <w:rFonts w:ascii="Book Antiqua" w:hAnsi="Book Antiqua" w:cs="Calibri"/>
          <w:color w:val="000000" w:themeColor="text1"/>
          <w:sz w:val="24"/>
          <w:szCs w:val="24"/>
          <w:lang w:val="en-US"/>
        </w:rPr>
        <w:fldChar w:fldCharType="end"/>
      </w:r>
      <w:r w:rsidR="00077BD5" w:rsidRPr="00981DC5">
        <w:rPr>
          <w:rFonts w:ascii="Book Antiqua" w:hAnsi="Book Antiqua" w:cs="Calibri"/>
          <w:color w:val="000000" w:themeColor="text1"/>
          <w:sz w:val="24"/>
          <w:szCs w:val="24"/>
          <w:lang w:val="en-US"/>
        </w:rPr>
        <w:t xml:space="preserve">. </w:t>
      </w:r>
      <w:r w:rsidR="006F45EB" w:rsidRPr="00981DC5">
        <w:rPr>
          <w:rFonts w:ascii="Book Antiqua" w:hAnsi="Book Antiqua" w:cs="Calibri"/>
          <w:color w:val="000000" w:themeColor="text1"/>
          <w:sz w:val="24"/>
          <w:szCs w:val="24"/>
          <w:lang w:val="en-US"/>
        </w:rPr>
        <w:t>Despite this preclinical model more closely recapitulate the heterogeneity of human tumors, there are inherent limitations. For example, mice are expensive and require large vivarium space, limiting the scale of experimentation. Moreover, the tumor propagation required a long amount of time, resulting in several genetic, pathological, histological and micro-environmental niche changes, that may not mirror the patient’s tumor accurately. Mice are also furred, and is not possible to image disseminated cancer cells throughout the whole animal</w:t>
      </w:r>
      <w:r w:rsidR="00077BD5" w:rsidRPr="00981DC5">
        <w:rPr>
          <w:rFonts w:ascii="Book Antiqua" w:hAnsi="Book Antiqua" w:cs="Calibri"/>
          <w:color w:val="000000" w:themeColor="text1"/>
          <w:sz w:val="24"/>
          <w:szCs w:val="24"/>
          <w:lang w:val="en-US"/>
        </w:rPr>
        <w:fldChar w:fldCharType="begin" w:fldLock="1"/>
      </w:r>
      <w:r w:rsidR="00C67049" w:rsidRPr="00981DC5">
        <w:rPr>
          <w:rFonts w:ascii="Book Antiqua" w:hAnsi="Book Antiqua" w:cs="Calibri"/>
          <w:color w:val="000000" w:themeColor="text1"/>
          <w:sz w:val="24"/>
          <w:szCs w:val="24"/>
          <w:lang w:val="en-US"/>
        </w:rPr>
        <w:instrText>ADDIN CSL_CITATION {"citationItems":[{"id":"ITEM-1","itemData":{"DOI":"10.1016/j.canlet.2013.10.010","ISSN":"1872-7980","PMID":"24157811","abstract":"Over the last few decades, study of cancer in mouse models has gained popularity. Sophisticated genetic manipulation technologies and commercialization of these murine systems have made it possible to generate mice to study human disease. Given the large socio-economic burden of cancer, both on academic research and the health care industry, there is a need for in vivo animal cancer models that can provide a rationale that is translatable to the clinic. Such a bench-to-bedside transition will facilitate a long term robust strategy that is economically feasible and clinically effective to manage cancer. The major hurdles in considering mouse models as a translational platform are the lack of tumor heterogeneity and genetic diversity, which are a hallmark of human cancers. The present review, while critical of these pitfalls, discusses two newly emerging concepts of personalized mouse models called \"Mouse Avatars\" and Co-clinical Trials. Development of \"Mouse Avatars\" entails implantation of patient tumor samples in mice for subsequent use in drug efficacy studies. These avatars allow for each patient to have their own tumor growing in an in vivo system, thereby allowing the identification of a personalized therapeutic regimen, eliminating the cost and toxicity associated with non-targeted chemotherapeutic measures. In Co-clinical Trials, genetically engineered mouse models (GEMMs) are used to guide therapy in an ongoing human patient trial. Murine and patient trials are conducted concurrently, and information obtained from the murine system is applied towards future clinical management of the patient's tumor. The concurrent trials allow for a real-time integration of the murine and human tumor data. In combination with several molecular profiling techniques, the \"Mouse Avatar\" and Co-clinical Trial concepts have the potential to revolutionize the drug development and health care process. The present review outlines the current status, challenges and the future potential of these two new in vivo approaches in the field of personalized oncology.","author":[{"dropping-particle":"","family":"Malaney","given":"Prerna","non-dropping-particle":"","parse-names":false,"suffix":""},{"dropping-particle":"V","family":"Nicosia","given":"Santo","non-dropping-particle":"","parse-names":false,"suffix":""},{"dropping-particle":"","family":"Davé","given":"Vrushank","non-dropping-particle":"","parse-names":false,"suffix":""}],"container-title":"Cancer letters","id":"ITEM-1","issue":"1","issued":{"date-parts":[["2014"]]},"page":"1-12","title":"One mouse, one patient paradigm: New avatars of personalized cancer therapy.","type":"article-journal","volume":"344"},"uris":["http://www.mendeley.com/documents/?uuid=ec29b1ce-2a38-3568-8bcf-e8c9e9684266"]}],"mendeley":{"formattedCitation":"&lt;sup&gt;[29]&lt;/sup&gt;","plainTextFormattedCitation":"[29]","previouslyFormattedCitation":"&lt;sup&gt;[29]&lt;/sup&gt;"},"properties":{"noteIndex":0},"schema":"https://github.com/citation-style-language/schema/raw/master/csl-citation.json"}</w:instrText>
      </w:r>
      <w:r w:rsidR="00077BD5" w:rsidRPr="00981DC5">
        <w:rPr>
          <w:rFonts w:ascii="Book Antiqua" w:hAnsi="Book Antiqua" w:cs="Calibri"/>
          <w:color w:val="000000" w:themeColor="text1"/>
          <w:sz w:val="24"/>
          <w:szCs w:val="24"/>
          <w:lang w:val="en-US"/>
        </w:rPr>
        <w:fldChar w:fldCharType="separate"/>
      </w:r>
      <w:r w:rsidR="00077BD5" w:rsidRPr="00981DC5">
        <w:rPr>
          <w:rFonts w:ascii="Book Antiqua" w:hAnsi="Book Antiqua" w:cs="Calibri"/>
          <w:noProof/>
          <w:color w:val="000000" w:themeColor="text1"/>
          <w:sz w:val="24"/>
          <w:szCs w:val="24"/>
          <w:vertAlign w:val="superscript"/>
          <w:lang w:val="en-US"/>
        </w:rPr>
        <w:t>[29]</w:t>
      </w:r>
      <w:r w:rsidR="00077BD5" w:rsidRPr="00981DC5">
        <w:rPr>
          <w:rFonts w:ascii="Book Antiqua" w:hAnsi="Book Antiqua" w:cs="Calibri"/>
          <w:color w:val="000000" w:themeColor="text1"/>
          <w:sz w:val="24"/>
          <w:szCs w:val="24"/>
          <w:lang w:val="en-US"/>
        </w:rPr>
        <w:fldChar w:fldCharType="end"/>
      </w:r>
      <w:r w:rsidR="00077BD5" w:rsidRPr="00981DC5">
        <w:rPr>
          <w:rFonts w:ascii="Book Antiqua" w:hAnsi="Book Antiqua" w:cs="Calibri"/>
          <w:color w:val="000000" w:themeColor="text1"/>
          <w:sz w:val="24"/>
          <w:szCs w:val="24"/>
          <w:lang w:val="en-US"/>
        </w:rPr>
        <w:t xml:space="preserve">. </w:t>
      </w:r>
      <w:r w:rsidR="006F45EB" w:rsidRPr="00981DC5">
        <w:rPr>
          <w:rFonts w:ascii="Book Antiqua" w:hAnsi="Book Antiqua" w:cs="Calibri"/>
          <w:color w:val="000000" w:themeColor="text1"/>
          <w:sz w:val="24"/>
          <w:szCs w:val="24"/>
          <w:lang w:val="en-US"/>
        </w:rPr>
        <w:t>To address these issues, have been developed zebrafish xenograft transplantation approaches to engraft human cancers into two days post fertilization zebrafish embryos at a stage prior to the development of the adaptive immune system</w:t>
      </w:r>
      <w:r w:rsidR="00077BD5" w:rsidRPr="00981DC5">
        <w:rPr>
          <w:rFonts w:ascii="Book Antiqua" w:hAnsi="Book Antiqua" w:cs="Calibri"/>
          <w:color w:val="000000" w:themeColor="text1"/>
          <w:sz w:val="24"/>
          <w:szCs w:val="24"/>
          <w:lang w:val="en-US"/>
        </w:rPr>
        <w:fldChar w:fldCharType="begin" w:fldLock="1"/>
      </w:r>
      <w:r w:rsidR="00986934" w:rsidRPr="00981DC5">
        <w:rPr>
          <w:rFonts w:ascii="Book Antiqua" w:hAnsi="Book Antiqua" w:cs="Calibri"/>
          <w:color w:val="000000" w:themeColor="text1"/>
          <w:sz w:val="24"/>
          <w:szCs w:val="24"/>
          <w:lang w:val="en-US"/>
        </w:rPr>
        <w:instrText>ADDIN CSL_CITATION {"citationItems":[{"id":"ITEM-1","itemData":{"DOI":"10.1186/1471-2407-9-128","ISSN":"1471-2407","PMID":"19400945","abstract":"BACKGROUND Aberrant regulation of cell migration drives progression of many diseases, including cancer cell invasion and metastasis formation. Analysis of tumour invasion and metastasis in living organisms to date is cumbersome and involves difficult and time consuming investigative techniques. For primary human tumours we establish here a simple, fast, sensitive and cost-effective in vivo model to analyse tumour invasion and metastatic behaviour. METHODS We fluorescently labelled small explants from gastrointestinal human tumours and investigated their metastatic behaviour after transplantation into zebrafish embryos and larvae. The transparency of the zebrafish embryos allows to follow invasion, migration and micrometastasis formation in real-time. High resolution imaging was achieved through laser scanning confocal microscopy of live zebrafish. RESULTS In the transparent zebrafish embryos invasion, circulation of tumour cells in blood vessels, migration and micrometastasis formation can be followed in real-time. Xenografts of primary human tumours showed invasiveness and micrometastasis formation within 24 hours after transplantation, which was absent when non-tumour tissue was implanted. Furthermore, primary human tumour cells, when organotopically implanted in the zebrafish liver, demonstrated invasiveness and metastatic behaviour, whereas primary control cells remained in the liver. Pancreatic tumour cells showed no metastatic behaviour when injected into cloche mutant embryos, which lack a functional vasculature. CONCLUSION Our results show that the zebrafish is a useful in vivo animal model for rapid analysis of invasion and metastatic behaviour of primary human tumour specimen.","author":[{"dropping-particle":"","family":"Marques","given":"Ines J","non-dropping-particle":"","parse-names":false,"suffix":""},{"dropping-particle":"","family":"Weiss","given":"Frank Ulrich","non-dropping-particle":"","parse-names":false,"suffix":""},{"dropping-particle":"","family":"Vlecken","given":"Danielle H","non-dropping-particle":"","parse-names":false,"suffix":""},{"dropping-particle":"","family":"Nitsche","given":"Claudia","non-dropping-particle":"","parse-names":false,"suffix":""},{"dropping-particle":"","family":"Bakkers","given":"Jeroen","non-dropping-particle":"","parse-names":false,"suffix":""},{"dropping-particle":"","family":"Lagendijk","given":"Anne K","non-dropping-particle":"","parse-names":false,"suffix":""},{"dropping-particle":"","family":"Partecke","given":"Lars Ivo","non-dropping-particle":"","parse-names":false,"suffix":""},{"dropping-particle":"","family":"Heidecke","given":"Claus-Dieter","non-dropping-particle":"","parse-names":false,"suffix":""},{"dropping-particle":"","family":"Lerch","given":"Markus M","non-dropping-particle":"","parse-names":false,"suffix":""},{"dropping-particle":"","family":"Bagowski","given":"Christoph P","non-dropping-particle":"","parse-names":false,"suffix":""}],"container-title":"BMC Cancer","id":"ITEM-1","issue":"1","issued":{"date-parts":[["2009","12","28"]]},"page":"128","title":"Metastatic behaviour of primary human tumours in a zebrafish xenotransplantation model","type":"article-journal","volume":"9"},"uris":["http://www.mendeley.com/documents/?uuid=a9a83631-12d7-3b00-945b-0ad69199b290"]}],"mendeley":{"formattedCitation":"&lt;sup&gt;[15]&lt;/sup&gt;","plainTextFormattedCitation":"[15]","previouslyFormattedCitation":"&lt;sup&gt;[15]&lt;/sup&gt;"},"properties":{"noteIndex":0},"schema":"https://github.com/citation-style-language/schema/raw/master/csl-citation.json"}</w:instrText>
      </w:r>
      <w:r w:rsidR="00077BD5" w:rsidRPr="00981DC5">
        <w:rPr>
          <w:rFonts w:ascii="Book Antiqua" w:hAnsi="Book Antiqua" w:cs="Calibri"/>
          <w:color w:val="000000" w:themeColor="text1"/>
          <w:sz w:val="24"/>
          <w:szCs w:val="24"/>
          <w:lang w:val="en-US"/>
        </w:rPr>
        <w:fldChar w:fldCharType="separate"/>
      </w:r>
      <w:r w:rsidR="00077BD5" w:rsidRPr="00981DC5">
        <w:rPr>
          <w:rFonts w:ascii="Book Antiqua" w:hAnsi="Book Antiqua" w:cs="Calibri"/>
          <w:noProof/>
          <w:color w:val="000000" w:themeColor="text1"/>
          <w:sz w:val="24"/>
          <w:szCs w:val="24"/>
          <w:vertAlign w:val="superscript"/>
          <w:lang w:val="en-US"/>
        </w:rPr>
        <w:t>[15]</w:t>
      </w:r>
      <w:r w:rsidR="00077BD5" w:rsidRPr="00981DC5">
        <w:rPr>
          <w:rFonts w:ascii="Book Antiqua" w:hAnsi="Book Antiqua" w:cs="Calibri"/>
          <w:color w:val="000000" w:themeColor="text1"/>
          <w:sz w:val="24"/>
          <w:szCs w:val="24"/>
          <w:lang w:val="en-US"/>
        </w:rPr>
        <w:fldChar w:fldCharType="end"/>
      </w:r>
      <w:r w:rsidR="00077BD5" w:rsidRPr="00981DC5">
        <w:rPr>
          <w:rFonts w:ascii="Book Antiqua" w:hAnsi="Book Antiqua" w:cs="Calibri"/>
          <w:color w:val="000000" w:themeColor="text1"/>
          <w:sz w:val="24"/>
          <w:szCs w:val="24"/>
          <w:lang w:val="en-US"/>
        </w:rPr>
        <w:t xml:space="preserve">. </w:t>
      </w:r>
      <w:r w:rsidR="006F45EB" w:rsidRPr="00981DC5">
        <w:rPr>
          <w:rFonts w:ascii="Book Antiqua" w:hAnsi="Book Antiqua" w:cs="Calibri"/>
          <w:color w:val="000000" w:themeColor="text1"/>
          <w:sz w:val="24"/>
          <w:szCs w:val="24"/>
          <w:lang w:val="en-US"/>
        </w:rPr>
        <w:t xml:space="preserve">Moreover, both in organoids and in </w:t>
      </w:r>
      <w:proofErr w:type="spellStart"/>
      <w:r w:rsidR="006F45EB" w:rsidRPr="00981DC5">
        <w:rPr>
          <w:rFonts w:ascii="Book Antiqua" w:hAnsi="Book Antiqua" w:cs="Calibri"/>
          <w:color w:val="000000" w:themeColor="text1"/>
          <w:sz w:val="24"/>
          <w:szCs w:val="24"/>
          <w:lang w:val="en-US"/>
        </w:rPr>
        <w:t>mPDX</w:t>
      </w:r>
      <w:proofErr w:type="spellEnd"/>
      <w:r w:rsidR="006F45EB" w:rsidRPr="00981DC5">
        <w:rPr>
          <w:rFonts w:ascii="Book Antiqua" w:hAnsi="Book Antiqua" w:cs="Calibri"/>
          <w:color w:val="000000" w:themeColor="text1"/>
          <w:sz w:val="24"/>
          <w:szCs w:val="24"/>
          <w:lang w:val="en-US"/>
        </w:rPr>
        <w:t xml:space="preserve">, </w:t>
      </w:r>
      <w:r w:rsidR="00CD6B9C" w:rsidRPr="00981DC5">
        <w:rPr>
          <w:rFonts w:ascii="Book Antiqua" w:hAnsi="Book Antiqua" w:cs="Calibri"/>
          <w:color w:val="000000" w:themeColor="text1"/>
          <w:sz w:val="24"/>
          <w:szCs w:val="24"/>
          <w:lang w:val="en-US"/>
        </w:rPr>
        <w:t xml:space="preserve">to amplify tumor </w:t>
      </w:r>
      <w:r w:rsidR="00CD6B9C" w:rsidRPr="00981DC5">
        <w:rPr>
          <w:rFonts w:ascii="Book Antiqua" w:hAnsi="Book Antiqua" w:cs="Calibri"/>
          <w:color w:val="000000" w:themeColor="text1"/>
          <w:sz w:val="24"/>
          <w:szCs w:val="24"/>
          <w:lang w:val="en-US"/>
        </w:rPr>
        <w:lastRenderedPageBreak/>
        <w:t xml:space="preserve">tissue to obtain enough material for </w:t>
      </w:r>
      <w:proofErr w:type="spellStart"/>
      <w:r w:rsidR="00CD6B9C" w:rsidRPr="00981DC5">
        <w:rPr>
          <w:rFonts w:ascii="Book Antiqua" w:hAnsi="Book Antiqua" w:cs="Calibri"/>
          <w:color w:val="000000" w:themeColor="text1"/>
          <w:sz w:val="24"/>
          <w:szCs w:val="24"/>
          <w:lang w:val="en-US"/>
        </w:rPr>
        <w:t>chemoresponse</w:t>
      </w:r>
      <w:proofErr w:type="spellEnd"/>
      <w:r w:rsidR="00CD6B9C" w:rsidRPr="00981DC5">
        <w:rPr>
          <w:rFonts w:ascii="Book Antiqua" w:hAnsi="Book Antiqua" w:cs="Calibri"/>
          <w:color w:val="000000" w:themeColor="text1"/>
          <w:sz w:val="24"/>
          <w:szCs w:val="24"/>
          <w:lang w:val="en-US"/>
        </w:rPr>
        <w:t xml:space="preserve"> analysis</w:t>
      </w:r>
      <w:r w:rsidR="006F45EB" w:rsidRPr="00981DC5">
        <w:rPr>
          <w:rFonts w:ascii="Book Antiqua" w:hAnsi="Book Antiqua" w:cs="Calibri"/>
          <w:color w:val="000000" w:themeColor="text1"/>
          <w:sz w:val="24"/>
          <w:szCs w:val="24"/>
          <w:lang w:val="en-US"/>
        </w:rPr>
        <w:t>, the cells are subjected to a strong selection pressure, diverging from the original tumor</w:t>
      </w:r>
      <w:r w:rsidR="005706FF" w:rsidRPr="00981DC5">
        <w:rPr>
          <w:rFonts w:ascii="Book Antiqua" w:hAnsi="Book Antiqua" w:cs="Calibri"/>
          <w:color w:val="000000" w:themeColor="text1"/>
          <w:sz w:val="24"/>
          <w:szCs w:val="24"/>
          <w:lang w:val="en-US"/>
        </w:rPr>
        <w:fldChar w:fldCharType="begin" w:fldLock="1"/>
      </w:r>
      <w:r w:rsidR="002C251A" w:rsidRPr="00981DC5">
        <w:rPr>
          <w:rFonts w:ascii="Book Antiqua" w:hAnsi="Book Antiqua" w:cs="Calibri"/>
          <w:color w:val="000000" w:themeColor="text1"/>
          <w:sz w:val="24"/>
          <w:szCs w:val="24"/>
          <w:lang w:val="en-US"/>
        </w:rPr>
        <w:instrText>ADDIN CSL_CITATION {"citationItems":[{"id":"ITEM-1","itemData":{"DOI":"10.1038/nrurol.2017.19","ISSN":"1759-4812","PMID":"28248952","abstract":"Lack of appropriate models that recapitulate the complexity and heterogeneity of urological tumours precludes most of the preclinical reagents that target urological tumours from receiving regulatory approval. Patient-derived xenograft (PDX) models are characterized by direct engraftment of patient-derived tumour fragments into immunocompromised mice. PDXs can maintain the original histology, as well as the molecular and genetic characteristics of the source tumour. Thus, PDX models have various advantages over conventional cell-line-derived xenograft (CDX) and other models, which has resulted in an increase in the use of urological tumour PDXs in the analysis of tumour biology and, importantly, for drug development and treatment decisions in personalized medicine. PDX models of urological malignancies have great potential to be used for both basic and clinical research, but limitations exist and need to be overcome. In particular, several agents targeting the immune system have shown promising results in kidney and bladder cancer; however, establishing PDX models in mice with an intact immune system so that an immune response against the tumour is triggered is important to investigate these new therapeutics. Moreover, international collaboration to share PDX models is essential for research concerning fatal urological tumours.","author":[{"dropping-particle":"","family":"Inoue","given":"Takahiro","non-dropping-particle":"","parse-names":false,"suffix":""},{"dropping-particle":"","family":"Terada","given":"Naoki","non-dropping-particle":"","parse-names":false,"suffix":""},{"dropping-particle":"","family":"Kobayashi","given":"Takashi","non-dropping-particle":"","parse-names":false,"suffix":""},{"dropping-particle":"","family":"Ogawa","given":"Osamu","non-dropping-particle":"","parse-names":false,"suffix":""}],"container-title":"Nature Reviews Urology","id":"ITEM-1","issue":"5","issued":{"date-parts":[["2017","5","21"]]},"page":"267-283","publisher":"Nature Publishing Group","title":"Patient-derived xenografts as in vivo models for research in urological malignancies","type":"article-journal","volume":"14"},"uris":["http://www.mendeley.com/documents/?uuid=42a2ac0d-09cd-3b50-9f49-5262d1d8380e"]}],"mendeley":{"formattedCitation":"&lt;sup&gt;[30]&lt;/sup&gt;","plainTextFormattedCitation":"[30]","previouslyFormattedCitation":"&lt;sup&gt;[30]&lt;/sup&gt;"},"properties":{"noteIndex":0},"schema":"https://github.com/citation-style-language/schema/raw/master/csl-citation.json"}</w:instrText>
      </w:r>
      <w:r w:rsidR="005706FF" w:rsidRPr="00981DC5">
        <w:rPr>
          <w:rFonts w:ascii="Book Antiqua" w:hAnsi="Book Antiqua" w:cs="Calibri"/>
          <w:color w:val="000000" w:themeColor="text1"/>
          <w:sz w:val="24"/>
          <w:szCs w:val="24"/>
          <w:lang w:val="en-US"/>
        </w:rPr>
        <w:fldChar w:fldCharType="separate"/>
      </w:r>
      <w:r w:rsidR="00077BD5" w:rsidRPr="00981DC5">
        <w:rPr>
          <w:rFonts w:ascii="Book Antiqua" w:hAnsi="Book Antiqua" w:cs="Calibri"/>
          <w:noProof/>
          <w:color w:val="000000" w:themeColor="text1"/>
          <w:sz w:val="24"/>
          <w:szCs w:val="24"/>
          <w:vertAlign w:val="superscript"/>
          <w:lang w:val="en-US"/>
        </w:rPr>
        <w:t>[30]</w:t>
      </w:r>
      <w:r w:rsidR="005706FF" w:rsidRPr="00981DC5">
        <w:rPr>
          <w:rFonts w:ascii="Book Antiqua" w:hAnsi="Book Antiqua" w:cs="Calibri"/>
          <w:color w:val="000000" w:themeColor="text1"/>
          <w:sz w:val="24"/>
          <w:szCs w:val="24"/>
          <w:lang w:val="en-US"/>
        </w:rPr>
        <w:fldChar w:fldCharType="end"/>
      </w:r>
      <w:r w:rsidR="00474DD2" w:rsidRPr="00981DC5">
        <w:rPr>
          <w:rFonts w:ascii="Book Antiqua" w:hAnsi="Book Antiqua" w:cs="Calibri"/>
          <w:color w:val="000000" w:themeColor="text1"/>
          <w:sz w:val="24"/>
          <w:szCs w:val="24"/>
          <w:lang w:val="en-US"/>
        </w:rPr>
        <w:t xml:space="preserve">. </w:t>
      </w:r>
      <w:r w:rsidR="006F45EB" w:rsidRPr="00981DC5">
        <w:rPr>
          <w:rFonts w:ascii="Book Antiqua" w:hAnsi="Book Antiqua" w:cs="Calibri"/>
          <w:color w:val="000000" w:themeColor="text1"/>
          <w:sz w:val="24"/>
          <w:szCs w:val="24"/>
          <w:lang w:val="en-US"/>
        </w:rPr>
        <w:t xml:space="preserve">For our </w:t>
      </w:r>
      <w:r w:rsidR="006A3ACC" w:rsidRPr="00981DC5">
        <w:rPr>
          <w:rFonts w:ascii="Book Antiqua" w:hAnsi="Book Antiqua" w:cs="Calibri"/>
          <w:color w:val="000000" w:themeColor="text1"/>
          <w:sz w:val="24"/>
          <w:szCs w:val="24"/>
          <w:lang w:val="en-US"/>
        </w:rPr>
        <w:t>purpose,</w:t>
      </w:r>
      <w:r w:rsidR="006F45EB" w:rsidRPr="00981DC5">
        <w:rPr>
          <w:rFonts w:ascii="Book Antiqua" w:hAnsi="Book Antiqua" w:cs="Calibri"/>
          <w:color w:val="000000" w:themeColor="text1"/>
          <w:sz w:val="24"/>
          <w:szCs w:val="24"/>
          <w:lang w:val="en-US"/>
        </w:rPr>
        <w:t xml:space="preserve"> we do</w:t>
      </w:r>
      <w:r w:rsidR="0036037E" w:rsidRPr="00981DC5">
        <w:rPr>
          <w:rFonts w:ascii="Book Antiqua" w:hAnsi="Book Antiqua" w:cs="Calibri"/>
          <w:color w:val="000000" w:themeColor="text1"/>
          <w:sz w:val="24"/>
          <w:szCs w:val="24"/>
          <w:lang w:val="en-US"/>
        </w:rPr>
        <w:t xml:space="preserve"> no</w:t>
      </w:r>
      <w:r w:rsidR="006F45EB" w:rsidRPr="00981DC5">
        <w:rPr>
          <w:rFonts w:ascii="Book Antiqua" w:hAnsi="Book Antiqua" w:cs="Calibri"/>
          <w:color w:val="000000" w:themeColor="text1"/>
          <w:sz w:val="24"/>
          <w:szCs w:val="24"/>
          <w:lang w:val="en-US"/>
        </w:rPr>
        <w:t xml:space="preserve">t need cell expansion, instead we directly observe the drug response of human tumor material </w:t>
      </w:r>
      <w:proofErr w:type="spellStart"/>
      <w:r w:rsidR="006F45EB" w:rsidRPr="00981DC5">
        <w:rPr>
          <w:rFonts w:ascii="Book Antiqua" w:hAnsi="Book Antiqua" w:cs="Calibri"/>
          <w:color w:val="000000" w:themeColor="text1"/>
          <w:sz w:val="24"/>
          <w:szCs w:val="24"/>
          <w:lang w:val="en-US"/>
        </w:rPr>
        <w:t>xenotransplanted</w:t>
      </w:r>
      <w:proofErr w:type="spellEnd"/>
      <w:r w:rsidR="006F45EB" w:rsidRPr="00981DC5">
        <w:rPr>
          <w:rFonts w:ascii="Book Antiqua" w:hAnsi="Book Antiqua" w:cs="Calibri"/>
          <w:color w:val="000000" w:themeColor="text1"/>
          <w:sz w:val="24"/>
          <w:szCs w:val="24"/>
          <w:lang w:val="en-US"/>
        </w:rPr>
        <w:t xml:space="preserve"> in zebrafish embryos. We believe that this is an appeal of zebrafish xenotransplantation and not a limitation.</w:t>
      </w:r>
    </w:p>
    <w:p w14:paraId="78F97472" w14:textId="44A8A4D9" w:rsidR="00EA0929" w:rsidRPr="00981DC5" w:rsidRDefault="006A3D96" w:rsidP="00B11A05">
      <w:pPr>
        <w:widowControl w:val="0"/>
        <w:autoSpaceDE w:val="0"/>
        <w:autoSpaceDN w:val="0"/>
        <w:adjustRightInd w:val="0"/>
        <w:snapToGrid w:val="0"/>
        <w:spacing w:after="0" w:line="360" w:lineRule="auto"/>
        <w:ind w:firstLineChars="100" w:firstLine="240"/>
        <w:jc w:val="both"/>
        <w:rPr>
          <w:rFonts w:ascii="Book Antiqua" w:hAnsi="Book Antiqua" w:cs="Calibri"/>
          <w:color w:val="000000" w:themeColor="text1"/>
          <w:sz w:val="24"/>
          <w:szCs w:val="24"/>
          <w:lang w:val="en-US"/>
        </w:rPr>
      </w:pPr>
      <w:r w:rsidRPr="00981DC5">
        <w:rPr>
          <w:rFonts w:ascii="Book Antiqua" w:hAnsi="Book Antiqua" w:cs="Calibri"/>
          <w:color w:val="000000" w:themeColor="text1"/>
          <w:sz w:val="24"/>
          <w:szCs w:val="24"/>
          <w:lang w:val="en-US"/>
        </w:rPr>
        <w:t>When compared to other vertebrate model systems, zebrafish embryos offer several advantages. The short generation time, the large number of offspring, transparency (enabling noninvasive imaging), the external development of the embryos and the small size make zebrafish a more practical and less expensive laboratory system than other</w:t>
      </w:r>
      <w:r w:rsidRPr="00463B5F">
        <w:rPr>
          <w:rFonts w:ascii="Book Antiqua" w:hAnsi="Book Antiqua" w:cs="Calibri"/>
          <w:i/>
          <w:iCs/>
          <w:color w:val="000000" w:themeColor="text1"/>
          <w:sz w:val="24"/>
          <w:szCs w:val="24"/>
          <w:lang w:val="en-US"/>
        </w:rPr>
        <w:t xml:space="preserve"> in vivo</w:t>
      </w:r>
      <w:r w:rsidRPr="00981DC5">
        <w:rPr>
          <w:rFonts w:ascii="Book Antiqua" w:hAnsi="Book Antiqua" w:cs="Calibri"/>
          <w:color w:val="000000" w:themeColor="text1"/>
          <w:sz w:val="24"/>
          <w:szCs w:val="24"/>
          <w:lang w:val="en-US"/>
        </w:rPr>
        <w:t xml:space="preserve"> cancer models</w:t>
      </w:r>
      <w:r w:rsidRPr="00981DC5">
        <w:rPr>
          <w:rFonts w:ascii="Book Antiqua" w:hAnsi="Book Antiqua" w:cs="Calibri"/>
          <w:color w:val="000000" w:themeColor="text1"/>
          <w:sz w:val="24"/>
          <w:szCs w:val="24"/>
          <w:lang w:val="en-US"/>
        </w:rPr>
        <w:fldChar w:fldCharType="begin" w:fldLock="1"/>
      </w:r>
      <w:r w:rsidR="00077BD5" w:rsidRPr="00981DC5">
        <w:rPr>
          <w:rFonts w:ascii="Book Antiqua" w:hAnsi="Book Antiqua" w:cs="Calibri"/>
          <w:color w:val="000000" w:themeColor="text1"/>
          <w:sz w:val="24"/>
          <w:szCs w:val="24"/>
          <w:lang w:val="en-US"/>
        </w:rPr>
        <w:instrText>ADDIN CSL_CITATION {"citationItems":[{"id":"ITEM-1","itemData":{"DOI":"10.1242/dmm.012245","ISSN":"1754-8411","PMID":"24271780","abstract":"In recent years, zebrafish, and to a lesser extent medaka, have become widely used small animal models for human diseases. These organisms have convincingly demonstrated the usefulness of fish for improving our understanding of the molecular and cellular mechanisms leading to pathological conditions, and for the development of new diagnostic and therapeutic tools. Despite the usefulness of zebrafish and medaka in the investigation of a wide spectrum of traits, there is evidence to suggest that other fish species could be better suited for more targeted questions. With the emergence of new, improved sequencing technologies that enable genomic resources to be generated with increasing efficiency and speed, the potential of non-mainstream fish species as disease models can now be explored. A key feature of these fish species is that the pathological condition that they model is often related to specific evolutionary adaptations. By exploring these adaptations, new disease-causing and disease-modifier genes might be identified; thus, diverse fish species could be exploited to better understand the complexity of disease processes. In addition, non-mainstream fish models could allow us to study the impact of environmental factors, as well as genetic variation, on complex disease phenotypes. This Review will discuss the opportunities that such fish models offer for current and future biomedical research.","author":[{"dropping-particle":"","family":"Schartl","given":"Manfred","non-dropping-particle":"","parse-names":false,"suffix":""}],"container-title":"Disease models &amp; mechanisms","id":"ITEM-1","issue":"2","issued":{"date-parts":[["2014","2","1"]]},"page":"181-92","title":"Beyond the zebrafish: diverse fish species for modeling human disease.","type":"article-journal","volume":"7"},"uris":["http://www.mendeley.com/documents/?uuid=6858b551-3e0c-3ca5-ab7e-2474421954bd"]}],"mendeley":{"formattedCitation":"&lt;sup&gt;[31]&lt;/sup&gt;","plainTextFormattedCitation":"[31]","previouslyFormattedCitation":"&lt;sup&gt;[31]&lt;/sup&gt;"},"properties":{"noteIndex":0},"schema":"https://github.com/citation-style-language/schema/raw/master/csl-citation.json"}</w:instrText>
      </w:r>
      <w:r w:rsidRPr="00981DC5">
        <w:rPr>
          <w:rFonts w:ascii="Book Antiqua" w:hAnsi="Book Antiqua" w:cs="Calibri"/>
          <w:color w:val="000000" w:themeColor="text1"/>
          <w:sz w:val="24"/>
          <w:szCs w:val="24"/>
          <w:lang w:val="en-US"/>
        </w:rPr>
        <w:fldChar w:fldCharType="separate"/>
      </w:r>
      <w:r w:rsidR="00077BD5" w:rsidRPr="00981DC5">
        <w:rPr>
          <w:rFonts w:ascii="Book Antiqua" w:hAnsi="Book Antiqua" w:cs="Calibri"/>
          <w:noProof/>
          <w:color w:val="000000" w:themeColor="text1"/>
          <w:sz w:val="24"/>
          <w:szCs w:val="24"/>
          <w:vertAlign w:val="superscript"/>
          <w:lang w:val="en-US"/>
        </w:rPr>
        <w:t>[31]</w:t>
      </w:r>
      <w:r w:rsidRPr="00981DC5">
        <w:rPr>
          <w:rFonts w:ascii="Book Antiqua" w:hAnsi="Book Antiqua" w:cs="Calibri"/>
          <w:color w:val="000000" w:themeColor="text1"/>
          <w:sz w:val="24"/>
          <w:szCs w:val="24"/>
          <w:lang w:val="en-US"/>
        </w:rPr>
        <w:fldChar w:fldCharType="end"/>
      </w:r>
      <w:r w:rsidRPr="00981DC5">
        <w:rPr>
          <w:rFonts w:ascii="Book Antiqua" w:hAnsi="Book Antiqua" w:cs="Calibri"/>
          <w:color w:val="000000" w:themeColor="text1"/>
          <w:sz w:val="24"/>
          <w:szCs w:val="24"/>
          <w:lang w:val="en-US"/>
        </w:rPr>
        <w:t>. The appeal of zebrafish xenograft lies also in the possibility to overcome some drawbacks of murine xenograft, such as the larger number of tumor cells needed (about 1 million), the long time required (from several weeks to months) to have a visible tumor implant, the need of immunosuppressed animals to avoid transplant rejection and the high difficulties to generate mouse xenotransplant models able to metastasize</w:t>
      </w:r>
      <w:r w:rsidRPr="00981DC5">
        <w:rPr>
          <w:rFonts w:ascii="Book Antiqua" w:hAnsi="Book Antiqua" w:cs="Calibri"/>
          <w:color w:val="000000" w:themeColor="text1"/>
          <w:sz w:val="24"/>
          <w:szCs w:val="24"/>
          <w:lang w:val="en-US"/>
        </w:rPr>
        <w:fldChar w:fldCharType="begin" w:fldLock="1"/>
      </w:r>
      <w:r w:rsidR="00077BD5" w:rsidRPr="00981DC5">
        <w:rPr>
          <w:rFonts w:ascii="Book Antiqua" w:hAnsi="Book Antiqua" w:cs="Calibri"/>
          <w:color w:val="000000" w:themeColor="text1"/>
          <w:sz w:val="24"/>
          <w:szCs w:val="24"/>
          <w:lang w:val="en-US"/>
        </w:rPr>
        <w:instrText>ADDIN CSL_CITATION {"citationItems":[{"id":"ITEM-1","itemData":{"DOI":"10.1007/978-3-319-30654-4_13","ISSN":"0065-2598","PMID":"27165359","abstract":"Animal xenografts of human cancers represent a key preclinical tool in the field of cancer research. While mouse xenografts have long been the gold standard, investigators have begun to use zebrafish (Danio rerio) xenotransplantation as a relatively rapid, robust and cost-effective in vivo model of human cancers. There are several important methodological considerations in the design of an informative and efficient zebrafish xenotransplantation experiment. Various transgenic fish strains have been created that facilitate microscopic observation, ranging from the completely transparent casper fish to the Tg(fli1:eGFP) fish that expresses fluorescent GFP protein in its vascular tissue. While human cancer cell lines have been used extensively in zebrafish xenotransplantation studies, several reports have also used primary patient samples as the donor material. The zebrafish is ideally suited for transplanting primary patient material by virtue of the relatively low number of cells required for each embryo (between 50 and 300 cells), the absence of an adaptive immune system in the early zebrafish embryo, and the short experimental timeframe (5-7 days). Following xenotransplantation into the fish, cells can be tracked using in vivo or ex vivo measures of cell proliferation and migration, facilitated by fluorescence or human-specific protein expression. Importantly, assays have been developed that allow for the reliable detection of in vivo human cancer cell growth or inhibition following administration of drugs of interest. The zebrafish xenotransplantation model is a unique and effective tool for the study of cancer cell biology.","author":[{"dropping-particle":"","family":"Wertman","given":"Jaime","non-dropping-particle":"","parse-names":false,"suffix":""},{"dropping-particle":"","family":"Veinotte","given":"Chansey J","non-dropping-particle":"","parse-names":false,"suffix":""},{"dropping-particle":"","family":"Dellaire","given":"Graham","non-dropping-particle":"","parse-names":false,"suffix":""},{"dropping-particle":"","family":"Berman","given":"Jason N","non-dropping-particle":"","parse-names":false,"suffix":""}],"container-title":"Advances in experimental medicine and biology","id":"ITEM-1","issued":{"date-parts":[["2016"]]},"page":"289-314","title":"The Zebrafish Xenograft Platform: Evolution of a Novel Cancer Model and Preclinical Screening Tool.","type":"article-journal","volume":"916"},"uris":["http://www.mendeley.com/documents/?uuid=39dcf1b7-0a52-3451-b773-09f74c35b332"]}],"mendeley":{"formattedCitation":"&lt;sup&gt;[32]&lt;/sup&gt;","plainTextFormattedCitation":"[32]","previouslyFormattedCitation":"&lt;sup&gt;[32]&lt;/sup&gt;"},"properties":{"noteIndex":0},"schema":"https://github.com/citation-style-language/schema/raw/master/csl-citation.json"}</w:instrText>
      </w:r>
      <w:r w:rsidRPr="00981DC5">
        <w:rPr>
          <w:rFonts w:ascii="Book Antiqua" w:hAnsi="Book Antiqua" w:cs="Calibri"/>
          <w:color w:val="000000" w:themeColor="text1"/>
          <w:sz w:val="24"/>
          <w:szCs w:val="24"/>
          <w:lang w:val="en-US"/>
        </w:rPr>
        <w:fldChar w:fldCharType="separate"/>
      </w:r>
      <w:r w:rsidR="00077BD5" w:rsidRPr="00981DC5">
        <w:rPr>
          <w:rFonts w:ascii="Book Antiqua" w:hAnsi="Book Antiqua" w:cs="Calibri"/>
          <w:noProof/>
          <w:color w:val="000000" w:themeColor="text1"/>
          <w:sz w:val="24"/>
          <w:szCs w:val="24"/>
          <w:vertAlign w:val="superscript"/>
          <w:lang w:val="en-US"/>
        </w:rPr>
        <w:t>[32]</w:t>
      </w:r>
      <w:r w:rsidRPr="00981DC5">
        <w:rPr>
          <w:rFonts w:ascii="Book Antiqua" w:hAnsi="Book Antiqua" w:cs="Calibri"/>
          <w:color w:val="000000" w:themeColor="text1"/>
          <w:sz w:val="24"/>
          <w:szCs w:val="24"/>
          <w:lang w:val="en-US"/>
        </w:rPr>
        <w:fldChar w:fldCharType="end"/>
      </w:r>
      <w:r w:rsidRPr="00981DC5">
        <w:rPr>
          <w:rFonts w:ascii="Book Antiqua" w:hAnsi="Book Antiqua" w:cs="Calibri"/>
          <w:color w:val="000000" w:themeColor="text1"/>
          <w:sz w:val="24"/>
          <w:szCs w:val="24"/>
          <w:lang w:val="en-US"/>
        </w:rPr>
        <w:t>.</w:t>
      </w:r>
      <w:r w:rsidR="00EA0929" w:rsidRPr="00981DC5">
        <w:rPr>
          <w:rFonts w:ascii="Book Antiqua" w:hAnsi="Book Antiqua" w:cs="Calibri"/>
          <w:color w:val="000000" w:themeColor="text1"/>
          <w:sz w:val="24"/>
          <w:szCs w:val="24"/>
          <w:lang w:val="en-US"/>
        </w:rPr>
        <w:t xml:space="preserve"> </w:t>
      </w:r>
      <w:r w:rsidR="006F45EB" w:rsidRPr="00981DC5">
        <w:rPr>
          <w:rFonts w:ascii="Book Antiqua" w:hAnsi="Book Antiqua" w:cs="Calibri"/>
          <w:color w:val="000000" w:themeColor="text1"/>
          <w:sz w:val="24"/>
          <w:szCs w:val="24"/>
          <w:lang w:val="en-US"/>
        </w:rPr>
        <w:t>The patients-derived zebrafish avatars do not require tumor cell expansion and the results of the chemosensitivity assay can be obtained in just few days. Previously study with different tumor type (patient derived gastric xenografts) demonstrate sensitivity to chemotherapy after 2 d post treatment</w:t>
      </w:r>
      <w:r w:rsidR="00421EF5" w:rsidRPr="00981DC5">
        <w:rPr>
          <w:rFonts w:ascii="Book Antiqua" w:hAnsi="Book Antiqua" w:cs="Calibri"/>
          <w:color w:val="000000" w:themeColor="text1"/>
          <w:sz w:val="24"/>
          <w:szCs w:val="24"/>
          <w:lang w:val="en-US"/>
        </w:rPr>
        <w:fldChar w:fldCharType="begin" w:fldLock="1"/>
      </w:r>
      <w:r w:rsidR="00C67049" w:rsidRPr="00981DC5">
        <w:rPr>
          <w:rFonts w:ascii="Book Antiqua" w:hAnsi="Book Antiqua" w:cs="Calibri"/>
          <w:color w:val="000000" w:themeColor="text1"/>
          <w:sz w:val="24"/>
          <w:szCs w:val="24"/>
          <w:lang w:val="en-US"/>
        </w:rPr>
        <w:instrText>ADDIN CSL_CITATION {"citationItems":[{"id":"ITEM-1","itemData":{"DOI":"10.1186/s13046-017-0631-0","ISSN":"1756-9966","PMID":"29141689","abstract":"BACKGROUND Gastric cancer (GC) is among the most commonly cancer occurred in Asian, especially in China. With its high heterogeneity and few of validated drug targets, GC remains to be one of the most under explored areas of precision medicine. In this study, we aimed to establish an in vivo patient-derived xenograft (PDX) model based on zebrafish (Danio rerio) embryos, allowing for a rapid analysis of the angiogenic and invasive potentials, as well as a fast drug sensitivity testing. METHODS Two human gastric cancer cell lines (AGS and SGC-7901) were xenografted into zebrafish embryos, their sensitivity to 5-FU were tested both in vitro and in vivo. Fourteen human primary cells from gastric cancer tissue were xenografted into zebrafish embryos, their proliferating, angiogenic and metastatic activities were evaluated in vivo. Sensitivity to 5-FU, docetaxel, and apatinib were also tested on primary samples from four patients. RESULTS SGC-7901 showed higher sensitivity to 5-FU than AGS both in vitro (6.3 ± 0.9 μM vs.10.5 ± 1.8 μM) and in vivo. Nine out of fourteen patient samples were successfully transplanted in zebrafish embryos and all showed proliferating, angiogenic and metastatic potentials in the living embryos. Four cases showed varied sensitivity to the selected three chemotherapeutic drugs. CONCLUSIONS Our zebrafish PDX (zPDX) model is a preclinically reliable in vivo model for GC. The zPDX model is also a promising platform for the translational research and personalized treatment on GC.","author":[{"dropping-particle":"","family":"Wu","given":"Jia-Qi","non-dropping-particle":"","parse-names":false,"suffix":""},{"dropping-particle":"","family":"Zhai","given":"Jing","non-dropping-particle":"","parse-names":false,"suffix":""},{"dropping-particle":"","family":"Li","given":"Chong-Yong","non-dropping-particle":"","parse-names":false,"suffix":""},{"dropping-particle":"","family":"Tan","given":"Ai-Min","non-dropping-particle":"","parse-names":false,"suffix":""},{"dropping-particle":"","family":"Wei","given":"Ping","non-dropping-particle":"","parse-names":false,"suffix":""},{"dropping-particle":"","family":"Shen","given":"Li-Zong","non-dropping-particle":"","parse-names":false,"suffix":""},{"dropping-particle":"","family":"He","given":"Ming-Fang","non-dropping-particle":"","parse-names":false,"suffix":""}],"container-title":"Journal of experimental &amp; clinical cancer research : CR","id":"ITEM-1","issue":"1","issued":{"date-parts":[["2017"]]},"page":"160","publisher":"BioMed Central Ltd.","title":"Patient-derived xenograft in zebrafish embryos: a new platform for translational research in gastric cancer.","type":"article-journal","volume":"36"},"uris":["http://www.mendeley.com/documents/?uuid=6a02d5ef-0d26-305b-a355-c4a72417bdb7"]}],"mendeley":{"formattedCitation":"&lt;sup&gt;[33]&lt;/sup&gt;","plainTextFormattedCitation":"[33]","previouslyFormattedCitation":"&lt;sup&gt;[33]&lt;/sup&gt;"},"properties":{"noteIndex":0},"schema":"https://github.com/citation-style-language/schema/raw/master/csl-citation.json"}</w:instrText>
      </w:r>
      <w:r w:rsidR="00421EF5" w:rsidRPr="00981DC5">
        <w:rPr>
          <w:rFonts w:ascii="Book Antiqua" w:hAnsi="Book Antiqua" w:cs="Calibri"/>
          <w:color w:val="000000" w:themeColor="text1"/>
          <w:sz w:val="24"/>
          <w:szCs w:val="24"/>
          <w:lang w:val="en-US"/>
        </w:rPr>
        <w:fldChar w:fldCharType="separate"/>
      </w:r>
      <w:r w:rsidR="00077BD5" w:rsidRPr="00981DC5">
        <w:rPr>
          <w:rFonts w:ascii="Book Antiqua" w:hAnsi="Book Antiqua" w:cs="Calibri"/>
          <w:noProof/>
          <w:color w:val="000000" w:themeColor="text1"/>
          <w:sz w:val="24"/>
          <w:szCs w:val="24"/>
          <w:vertAlign w:val="superscript"/>
          <w:lang w:val="en-US"/>
        </w:rPr>
        <w:t>[33]</w:t>
      </w:r>
      <w:r w:rsidR="00421EF5" w:rsidRPr="00981DC5">
        <w:rPr>
          <w:rFonts w:ascii="Book Antiqua" w:hAnsi="Book Antiqua" w:cs="Calibri"/>
          <w:color w:val="000000" w:themeColor="text1"/>
          <w:sz w:val="24"/>
          <w:szCs w:val="24"/>
          <w:lang w:val="en-US"/>
        </w:rPr>
        <w:fldChar w:fldCharType="end"/>
      </w:r>
      <w:r w:rsidR="00421EF5" w:rsidRPr="00981DC5">
        <w:rPr>
          <w:rFonts w:ascii="Book Antiqua" w:hAnsi="Book Antiqua" w:cs="Calibri"/>
          <w:color w:val="000000" w:themeColor="text1"/>
          <w:sz w:val="24"/>
          <w:szCs w:val="24"/>
          <w:lang w:val="en-US"/>
        </w:rPr>
        <w:t xml:space="preserve">. </w:t>
      </w:r>
      <w:r w:rsidR="006F45EB" w:rsidRPr="00981DC5">
        <w:rPr>
          <w:rFonts w:ascii="Book Antiqua" w:hAnsi="Book Antiqua" w:cs="Calibri"/>
          <w:color w:val="000000" w:themeColor="text1"/>
          <w:sz w:val="24"/>
          <w:szCs w:val="24"/>
          <w:lang w:val="en-US"/>
        </w:rPr>
        <w:t>The difference in time scale of the assay is not due to the fast zebrafish’s biology, but rather because zebrafish larvae are 10000 times smaller than adult mice therefore they require reduced cells number to perform the injection (ranging from 50</w:t>
      </w:r>
      <w:r w:rsidR="00F930B6" w:rsidRPr="00981DC5">
        <w:rPr>
          <w:rFonts w:ascii="Book Antiqua" w:hAnsi="Book Antiqua" w:cs="Calibri"/>
          <w:color w:val="000000" w:themeColor="text1"/>
          <w:sz w:val="24"/>
          <w:szCs w:val="24"/>
          <w:lang w:val="en-US"/>
        </w:rPr>
        <w:t>0</w:t>
      </w:r>
      <w:r w:rsidR="006F45EB" w:rsidRPr="00981DC5">
        <w:rPr>
          <w:rFonts w:ascii="Book Antiqua" w:hAnsi="Book Antiqua" w:cs="Calibri"/>
          <w:color w:val="000000" w:themeColor="text1"/>
          <w:sz w:val="24"/>
          <w:szCs w:val="24"/>
          <w:lang w:val="en-US"/>
        </w:rPr>
        <w:t xml:space="preserve"> to 5000 cells in each zebrafish embryo instead of 1 × 10</w:t>
      </w:r>
      <w:r w:rsidR="006F45EB" w:rsidRPr="00981DC5">
        <w:rPr>
          <w:rFonts w:ascii="Book Antiqua" w:hAnsi="Book Antiqua" w:cs="Calibri"/>
          <w:color w:val="000000" w:themeColor="text1"/>
          <w:sz w:val="24"/>
          <w:szCs w:val="24"/>
          <w:vertAlign w:val="superscript"/>
          <w:lang w:val="en-US"/>
        </w:rPr>
        <w:t xml:space="preserve">6 </w:t>
      </w:r>
      <w:r w:rsidR="006F45EB" w:rsidRPr="00981DC5">
        <w:rPr>
          <w:rFonts w:ascii="Book Antiqua" w:hAnsi="Book Antiqua" w:cs="Calibri"/>
          <w:color w:val="000000" w:themeColor="text1"/>
          <w:sz w:val="24"/>
          <w:szCs w:val="24"/>
          <w:lang w:val="en-US"/>
        </w:rPr>
        <w:t>in the mouse). A lower quantity of PDAC cells let to perform a higher number of xenograft that provide powerful statistical analysis</w:t>
      </w:r>
      <w:r w:rsidR="00421EF5" w:rsidRPr="00981DC5">
        <w:rPr>
          <w:rFonts w:ascii="Book Antiqua" w:hAnsi="Book Antiqua" w:cs="Calibri"/>
          <w:color w:val="000000" w:themeColor="text1"/>
          <w:sz w:val="24"/>
          <w:szCs w:val="24"/>
          <w:lang w:val="en-US"/>
        </w:rPr>
        <w:fldChar w:fldCharType="begin" w:fldLock="1"/>
      </w:r>
      <w:r w:rsidR="002C251A" w:rsidRPr="00981DC5">
        <w:rPr>
          <w:rFonts w:ascii="Book Antiqua" w:hAnsi="Book Antiqua" w:cs="Calibri"/>
          <w:color w:val="000000" w:themeColor="text1"/>
          <w:sz w:val="24"/>
          <w:szCs w:val="24"/>
          <w:lang w:val="en-US"/>
        </w:rPr>
        <w:instrText>ADDIN CSL_CITATION {"citationItems":[{"id":"ITEM-1","itemData":{"DOI":"10.3390/cells9020293","PMID":"31991800","abstract":"Cancer frequency and prevalence have been increasing in the past decades, with devastating impacts on patients and their families. Despite the great advances in targeted approaches, there is still a lack of methods to predict individual patient responses, and therefore treatments are tailored according to average response rates. “Omics” approaches are used for patient stratification and choice of therapeutic options towards a more precise medicine. These methods, however, do not consider all genetic and non-genetic dynamic interactions that occur upon drug treatment. Therefore, the need to directly challenge patient cells in a personalized manner remains. The present review addresses the state of the art of patient-derived in vitro and in vivo models, from organoids to mouse and zebrafish Avatars. The predictive power of each model based on the retrospective correlation with the patient clinical outcome will be considered. Finally, the review is focused on the emerging zebrafish Avatars and their unique characteristics allowing a fast analysis of local and systemic effects of drug treatments at the single-cell level. We also address the technical challenges that the field has yet to overcome.","author":[{"dropping-particle":"","family":"Costa","given":"Bruno","non-dropping-particle":"","parse-names":false,"suffix":""},{"dropping-particle":"","family":"Estrada","given":"Marta F.","non-dropping-particle":"","parse-names":false,"suffix":""},{"dropping-particle":"V.","family":"Mendes","given":"Raquel","non-dropping-particle":"","parse-names":false,"suffix":""},{"dropping-particle":"","family":"Fior","given":"Rita","non-dropping-particle":"","parse-names":false,"suffix":""}],"container-title":"Cells","id":"ITEM-1","issue":"2","issued":{"date-parts":[["2020"]]},"page":"293","title":"Zebrafish Avatars towards Personalized Medicine—A Comparative Review between Avatar Models","type":"article-journal","volume":"9"},"uris":["http://www.mendeley.com/documents/?uuid=e2979240-d1ad-3adb-b1f4-314eb5123d96"]},{"id":"ITEM-2","itemData":{"DOI":"10.1073/pnas.1618389114","ISSN":"1091-6490","PMID":"28835536","abstract":"Cancer is as unique as the person fighting it. With the exception of a few biomarker-driven therapies, patients go through rounds of trial-and-error approaches to find the best treatment. Using patient-derived cell lines, we show that zebrafish larvae xenotransplants constitute a fast and highly sensitive in vivo model for differential therapy response, with resolution to reveal intratumor functional cancer heterogeneity. We screened international colorectal cancer therapeutic guidelines and determined distinct functional tumor behaviors (proliferation, metastasis, and angiogenesis) and differential sensitivities to standard therapy. We observed a general higher sensitivity to FOLFIRI [5-fluorouracil(FU)+irinotecan+folinic acid] than to FOLFOX (5-FU+oxaliplatin+folinic acid), not only between isogenic tumors but also within the same tumor. We directly compared zebrafish xenografts with mouse xenografts and show that relative sensitivities obtained in zebrafish are maintained in the rodent model. Our data also illustrate how KRAS mutations can provide proliferation advantages in relation to KRASWT and how chemotherapy can unbalance this advantage, selecting for a minor clone resistant to chemotherapy. Zebrafish xenografts provide remarkable resolution to measure Cetuximab sensitivity. Finally, we demonstrate the feasibility of using primary patient samples to generate zebrafish patient-derived xenografts (zPDX) and provide proof-of-concept experiments that compare response to chemotherapy and biological therapies between patients and zPDX. Altogether, our results suggest that zebrafish larvae xenografts constitute a promising fast assay for precision medicine, bridging the gap between genotype and phenotype in an in vivo setting.","author":[{"dropping-particle":"","family":"Fior","given":"Rita","non-dropping-particle":"","parse-names":false,"suffix":""},{"dropping-particle":"","family":"Póvoa","given":"Vanda","non-dropping-particle":"","parse-names":false,"suffix":""},{"dropping-particle":"V","family":"Mendes","given":"Raquel","non-dropping-particle":"","parse-names":false,"suffix":""},{"dropping-particle":"","family":"Carvalho","given":"Tânia","non-dropping-particle":"","parse-names":false,"suffix":""},{"dropping-particle":"","family":"Gomes","given":"António","non-dropping-particle":"","parse-names":false,"suffix":""},{"dropping-particle":"","family":"Figueiredo","given":"Nuno","non-dropping-particle":"","parse-names":false,"suffix":""},{"dropping-particle":"","family":"Ferreira","given":"Miguel Godinho","non-dropping-particle":"","parse-names":false,"suffix":""}],"container-title":"Proceedings of the National Academy of Sciences of the United States of America","id":"ITEM-2","issue":"39","issued":{"date-parts":[["2017","9","26"]]},"page":"E8234-E8243","title":"Single-cell functional and chemosensitive profiling of combinatorial colorectal therapy in zebrafish xenografts.","type":"article-journal","volume":"114"},"uris":["http://www.mendeley.com/documents/?uuid=1aff67bd-c7e6-338c-b70e-4be9353a1858"]}],"mendeley":{"formattedCitation":"&lt;sup&gt;[23,34]&lt;/sup&gt;","plainTextFormattedCitation":"[23,34]","previouslyFormattedCitation":"&lt;sup&gt;[23,34]&lt;/sup&gt;"},"properties":{"noteIndex":0},"schema":"https://github.com/citation-style-language/schema/raw/master/csl-citation.json"}</w:instrText>
      </w:r>
      <w:r w:rsidR="00421EF5" w:rsidRPr="00981DC5">
        <w:rPr>
          <w:rFonts w:ascii="Book Antiqua" w:hAnsi="Book Antiqua" w:cs="Calibri"/>
          <w:color w:val="000000" w:themeColor="text1"/>
          <w:sz w:val="24"/>
          <w:szCs w:val="24"/>
          <w:lang w:val="en-US"/>
        </w:rPr>
        <w:fldChar w:fldCharType="separate"/>
      </w:r>
      <w:r w:rsidR="00077BD5" w:rsidRPr="00981DC5">
        <w:rPr>
          <w:rFonts w:ascii="Book Antiqua" w:hAnsi="Book Antiqua" w:cs="Calibri"/>
          <w:noProof/>
          <w:color w:val="000000" w:themeColor="text1"/>
          <w:sz w:val="24"/>
          <w:szCs w:val="24"/>
          <w:vertAlign w:val="superscript"/>
          <w:lang w:val="en-US"/>
        </w:rPr>
        <w:t>[23,34]</w:t>
      </w:r>
      <w:r w:rsidR="00421EF5" w:rsidRPr="00981DC5">
        <w:rPr>
          <w:rFonts w:ascii="Book Antiqua" w:hAnsi="Book Antiqua" w:cs="Calibri"/>
          <w:color w:val="000000" w:themeColor="text1"/>
          <w:sz w:val="24"/>
          <w:szCs w:val="24"/>
          <w:lang w:val="en-US"/>
        </w:rPr>
        <w:fldChar w:fldCharType="end"/>
      </w:r>
      <w:r w:rsidR="00421EF5" w:rsidRPr="00981DC5">
        <w:rPr>
          <w:rFonts w:ascii="Book Antiqua" w:hAnsi="Book Antiqua" w:cs="Calibri"/>
          <w:color w:val="000000" w:themeColor="text1"/>
          <w:sz w:val="24"/>
          <w:szCs w:val="24"/>
          <w:lang w:val="en-US"/>
        </w:rPr>
        <w:t>. All these aspects make possible to evaluate an evident effect of chemotherapy in just few days.</w:t>
      </w:r>
    </w:p>
    <w:p w14:paraId="4391F791" w14:textId="5FA05393" w:rsidR="006A3D96" w:rsidRPr="00981DC5" w:rsidRDefault="006A3D96" w:rsidP="00B11A05">
      <w:pPr>
        <w:adjustRightInd w:val="0"/>
        <w:snapToGrid w:val="0"/>
        <w:spacing w:after="0" w:line="360" w:lineRule="auto"/>
        <w:ind w:firstLineChars="100" w:firstLine="240"/>
        <w:jc w:val="both"/>
        <w:rPr>
          <w:rFonts w:ascii="Book Antiqua" w:hAnsi="Book Antiqua" w:cs="Calibri"/>
          <w:color w:val="000000" w:themeColor="text1"/>
          <w:sz w:val="24"/>
          <w:szCs w:val="24"/>
          <w:lang w:val="en-US"/>
        </w:rPr>
      </w:pPr>
      <w:r w:rsidRPr="00981DC5">
        <w:rPr>
          <w:rFonts w:ascii="Book Antiqua" w:hAnsi="Book Antiqua" w:cs="Calibri"/>
          <w:color w:val="000000" w:themeColor="text1"/>
          <w:sz w:val="24"/>
          <w:szCs w:val="24"/>
          <w:lang w:val="en-US"/>
        </w:rPr>
        <w:t>Zebrafish transplantation models offer the possibility to study many hallmarks of cancer and steps of cancer progression, such as self-renewal, tumor-induced angiogenesis, invasion and dissemination, interaction between tumor and host, and drug responses</w:t>
      </w:r>
      <w:r w:rsidRPr="00981DC5">
        <w:rPr>
          <w:rFonts w:ascii="Book Antiqua" w:hAnsi="Book Antiqua" w:cs="Calibri"/>
          <w:color w:val="000000" w:themeColor="text1"/>
          <w:sz w:val="24"/>
          <w:szCs w:val="24"/>
          <w:lang w:val="en-US"/>
        </w:rPr>
        <w:fldChar w:fldCharType="begin" w:fldLock="1"/>
      </w:r>
      <w:r w:rsidR="007534CB" w:rsidRPr="00981DC5">
        <w:rPr>
          <w:rFonts w:ascii="Book Antiqua" w:hAnsi="Book Antiqua" w:cs="Calibri"/>
          <w:color w:val="000000" w:themeColor="text1"/>
          <w:sz w:val="24"/>
          <w:szCs w:val="24"/>
          <w:lang w:val="en-US"/>
        </w:rPr>
        <w:instrText>ADDIN CSL_CITATION {"citationItems":[{"id":"ITEM-1","itemData":{"DOI":"10.1093/jjco/hyy132","ISSN":"1465-3621","PMID":"30256958","abstract":"Background FOLFIRINOX (FFX) and gemcitabine (GEM) plus nab-paclitaxel (GnP) have recently been available for treating pancreatic ductal adenocarcinoma (PDAC). We investigated trends in characteristics, treatment and outcomes of unselected patients with unresectable PDAC in real-life practice in Japan. Methods We retrospectively reviewed the medical records of 1085 patients diagnosed as having unresectable or recurrent PDAC in multiple centers in the Hokuriku area between January 2009 and July 2015. Results The incidence of pathologically proven PDAC had increased from 18.7% in 2009 to 56.2% in 2015. Oncological therapy was administered to 779 patients (71.8%): chemotherapy (n = 675), chemo-radiotherapy (n = 92) or radiotherapy (n = 12); the remaining patients were treated with best supportive care. Of 100 patients diagnosed in 2009, 62.0% received GEM as first-line chemotherapy; whereas 30.7% of the 75 patients diagnosed in 2015 received FFX, 25.3% GnP, 22.7% GEM and 17.3% S-1. The objective response rates of patients treated with FFX, GnP and GEM were 14.9%, 35.0% and 5.5%, respectively and the OS 10.3, 9.9 and 7.5 months after FFX, GnP and GEM, respectively. Grade 3 or greater any hematological toxicity occurred in 70.2%, 70.0% and 18.8% of the patients treated with FFX, GnP and GEM, respectively. The reasons for treatment discontinuation were adverse events in 9.8%, 26.7% and 24.1% of the patients treated with FFX, GnP and GEM, respectively. Conclusion Chemotherapeutic protocols changed dramatically between 2009 and 2015. Continuous collection and analysis for our cohort with longer follow-up provides useful information about treatment selection and prediction of outcome.","author":[{"dropping-particle":"","family":"Terashima","given":"Takeshi","non-dropping-particle":"","parse-names":false,"suffix":""},{"dropping-particle":"","family":"Yamashita","given":"Tatsuya","non-dropping-particle":"","parse-names":false,"suffix":""},{"dropping-particle":"","family":"Sakai","given":"Akito","non-dropping-particle":"","parse-names":false,"suffix":""},{"dropping-particle":"","family":"Ohta","given":"Hajime","non-dropping-particle":"","parse-names":false,"suffix":""},{"dropping-particle":"","family":"Hinoue","given":"Yoshinobu","non-dropping-particle":"","parse-names":false,"suffix":""},{"dropping-particle":"","family":"Toya","given":"Daisyu","non-dropping-particle":"","parse-names":false,"suffix":""},{"dropping-particle":"","family":"Kawai","given":"Hiroshi","non-dropping-particle":"","parse-names":false,"suffix":""},{"dropping-particle":"","family":"Yonejima","given":"Manabu","non-dropping-particle":"","parse-names":false,"suffix":""},{"dropping-particle":"","family":"Urabe","given":"Takeshi","non-dropping-particle":"","parse-names":false,"suffix":""},{"dropping-particle":"","family":"Noda","given":"Yatsugi","non-dropping-particle":"","parse-names":false,"suffix":""},{"dropping-particle":"","family":"Mizukoshi","given":"Eishiro","non-dropping-particle":"","parse-names":false,"suffix":""},{"dropping-particle":"","family":"Kaneko","given":"Shuichi","non-dropping-particle":"","parse-names":false,"suffix":""}],"container-title":"Japanese Journal of Clinical Oncology","id":"ITEM-1","issue":"11","issued":{"date-parts":[["2018","11","1"]]},"page":"966-973","title":"Treatment patterns and outcomes of unresectable pancreatic cancer patients in real-life practice: a region-wide analysis","type":"article-journal","volume":"48"},"uris":["http://www.mendeley.com/documents/?uuid=043c3b76-c8c3-34d2-9a53-a00dcbe4c1d0"]}],"mendeley":{"formattedCitation":"&lt;sup&gt;[4]&lt;/sup&gt;","plainTextFormattedCitation":"[4]","previouslyFormattedCitation":"&lt;sup&gt;[4]&lt;/sup&gt;"},"properties":{"noteIndex":0},"schema":"https://github.com/citation-style-language/schema/raw/master/csl-citation.json"}</w:instrText>
      </w:r>
      <w:r w:rsidRPr="00981DC5">
        <w:rPr>
          <w:rFonts w:ascii="Book Antiqua" w:hAnsi="Book Antiqua" w:cs="Calibri"/>
          <w:color w:val="000000" w:themeColor="text1"/>
          <w:sz w:val="24"/>
          <w:szCs w:val="24"/>
          <w:lang w:val="en-US"/>
        </w:rPr>
        <w:fldChar w:fldCharType="separate"/>
      </w:r>
      <w:r w:rsidR="00567B7D" w:rsidRPr="00981DC5">
        <w:rPr>
          <w:rFonts w:ascii="Book Antiqua" w:hAnsi="Book Antiqua" w:cs="Calibri"/>
          <w:noProof/>
          <w:color w:val="000000" w:themeColor="text1"/>
          <w:sz w:val="24"/>
          <w:szCs w:val="24"/>
          <w:vertAlign w:val="superscript"/>
          <w:lang w:val="en-US"/>
        </w:rPr>
        <w:t>[4]</w:t>
      </w:r>
      <w:r w:rsidRPr="00981DC5">
        <w:rPr>
          <w:rFonts w:ascii="Book Antiqua" w:hAnsi="Book Antiqua" w:cs="Calibri"/>
          <w:color w:val="000000" w:themeColor="text1"/>
          <w:sz w:val="24"/>
          <w:szCs w:val="24"/>
          <w:lang w:val="en-US"/>
        </w:rPr>
        <w:fldChar w:fldCharType="end"/>
      </w:r>
      <w:r w:rsidRPr="00981DC5">
        <w:rPr>
          <w:rFonts w:ascii="Book Antiqua" w:hAnsi="Book Antiqua" w:cs="Calibri"/>
          <w:color w:val="000000" w:themeColor="text1"/>
          <w:sz w:val="24"/>
          <w:szCs w:val="24"/>
          <w:lang w:val="en-US"/>
        </w:rPr>
        <w:t xml:space="preserve">. In fact, several studies have exemplified the potential of zebrafish models as transplantation metastatic models or to contribute more significantly and directly to precision oncology through identifying and testing drugs for targeted inhibition of specific pathways/alterations by utilizing zebrafish as an </w:t>
      </w:r>
      <w:r w:rsidRPr="00CE2C42">
        <w:rPr>
          <w:rFonts w:ascii="Book Antiqua" w:hAnsi="Book Antiqua" w:cs="Calibri"/>
          <w:i/>
          <w:iCs/>
          <w:color w:val="000000" w:themeColor="text1"/>
          <w:sz w:val="24"/>
          <w:szCs w:val="24"/>
          <w:lang w:val="en-US"/>
        </w:rPr>
        <w:t>in vivo</w:t>
      </w:r>
      <w:r w:rsidRPr="00981DC5">
        <w:rPr>
          <w:rFonts w:ascii="Book Antiqua" w:hAnsi="Book Antiqua" w:cs="Calibri"/>
          <w:color w:val="000000" w:themeColor="text1"/>
          <w:sz w:val="24"/>
          <w:szCs w:val="24"/>
          <w:lang w:val="en-US"/>
        </w:rPr>
        <w:t xml:space="preserve"> drug screening platform.</w:t>
      </w:r>
      <w:r w:rsidR="000F1CFA" w:rsidRPr="00981DC5">
        <w:rPr>
          <w:rFonts w:ascii="Book Antiqua" w:hAnsi="Book Antiqua" w:cs="Calibri"/>
          <w:color w:val="000000" w:themeColor="text1"/>
          <w:sz w:val="24"/>
          <w:szCs w:val="24"/>
          <w:lang w:val="en-US"/>
        </w:rPr>
        <w:t xml:space="preserve"> </w:t>
      </w:r>
      <w:r w:rsidRPr="00981DC5">
        <w:rPr>
          <w:rFonts w:ascii="Book Antiqua" w:hAnsi="Book Antiqua" w:cs="Calibri"/>
          <w:color w:val="000000" w:themeColor="text1"/>
          <w:sz w:val="24"/>
          <w:szCs w:val="24"/>
          <w:lang w:val="en-US"/>
        </w:rPr>
        <w:t xml:space="preserve">In fact, </w:t>
      </w:r>
      <w:r w:rsidRPr="00981DC5">
        <w:rPr>
          <w:rFonts w:ascii="Book Antiqua" w:hAnsi="Book Antiqua" w:cs="Calibri"/>
          <w:color w:val="000000" w:themeColor="text1"/>
          <w:sz w:val="24"/>
          <w:szCs w:val="24"/>
          <w:lang w:val="en-US"/>
        </w:rPr>
        <w:lastRenderedPageBreak/>
        <w:t>zebrafish model has some advantages. Firstly, the aquatic environment of the zebrafish means that many drugs (depending on solubility) can be added directly to the embryo water and absorbed through the fish, avoiding the burden of administering drug to each individual animal</w:t>
      </w:r>
      <w:r w:rsidRPr="00981DC5">
        <w:rPr>
          <w:rFonts w:ascii="Book Antiqua" w:hAnsi="Book Antiqua" w:cs="Calibri"/>
          <w:color w:val="000000" w:themeColor="text1"/>
          <w:sz w:val="24"/>
          <w:szCs w:val="24"/>
          <w:lang w:val="en-US"/>
        </w:rPr>
        <w:fldChar w:fldCharType="begin" w:fldLock="1"/>
      </w:r>
      <w:r w:rsidR="00077BD5" w:rsidRPr="00981DC5">
        <w:rPr>
          <w:rFonts w:ascii="Book Antiqua" w:hAnsi="Book Antiqua" w:cs="Calibri"/>
          <w:color w:val="000000" w:themeColor="text1"/>
          <w:sz w:val="24"/>
          <w:szCs w:val="24"/>
          <w:lang w:val="en-US"/>
        </w:rPr>
        <w:instrText>ADDIN CSL_CITATION {"citationItems":[{"id":"ITEM-1","itemData":{"DOI":"10.1242/dmm.015784","ISSN":"1754-8411","PMID":"24973744","abstract":"The current preclinical pipeline for drug discovery can be cumbersome and costly, which limits the number of compounds that can effectively be transitioned to use as therapies. Chemical screens in zebrafish have uncovered new uses for existing drugs and identified promising new compounds from large libraries. Xenotransplantation of human cancer cells into zebrafish embryos builds on this work and enables direct evaluation of patient-derived tumor specimens in vivo in a rapid and cost-effective manner. The short time frame needed for xenotransplantation studies means that the zebrafish can serve as an early preclinical drug screening tool and can also help personalize cancer therapy by providing real-time data on the response of the human cells to treatment. In this Review, we summarize the use of zebrafish embryos in drug screening and highlight the potential for xenotransplantation approaches to be adopted as a preclinical tool to identify and prioritize therapies for further clinical evaluation. We also discuss some of the limitations of using zebrafish xenografts and the benefits of using them in concert with murine xenografts in drug optimization.","author":[{"dropping-particle":"","family":"Veinotte","given":"Chansey J","non-dropping-particle":"","parse-names":false,"suffix":""},{"dropping-particle":"","family":"Dellaire","given":"Graham","non-dropping-particle":"","parse-names":false,"suffix":""},{"dropping-particle":"","family":"Berman","given":"Jason N","non-dropping-particle":"","parse-names":false,"suffix":""}],"container-title":"Disease models &amp; mechanisms","id":"ITEM-1","issue":"7","issued":{"date-parts":[["2014","7","1"]]},"page":"745-54","title":"Hooking the big one: the potential of zebrafish xenotransplantation to reform cancer drug screening in the genomic era.","type":"article-journal","volume":"7"},"uris":["http://www.mendeley.com/documents/?uuid=ec2be080-8ac5-35d5-972c-c19c27f344c8"]}],"mendeley":{"formattedCitation":"&lt;sup&gt;[35]&lt;/sup&gt;","plainTextFormattedCitation":"[35]","previouslyFormattedCitation":"&lt;sup&gt;[35]&lt;/sup&gt;"},"properties":{"noteIndex":0},"schema":"https://github.com/citation-style-language/schema/raw/master/csl-citation.json"}</w:instrText>
      </w:r>
      <w:r w:rsidRPr="00981DC5">
        <w:rPr>
          <w:rFonts w:ascii="Book Antiqua" w:hAnsi="Book Antiqua" w:cs="Calibri"/>
          <w:color w:val="000000" w:themeColor="text1"/>
          <w:sz w:val="24"/>
          <w:szCs w:val="24"/>
          <w:lang w:val="en-US"/>
        </w:rPr>
        <w:fldChar w:fldCharType="separate"/>
      </w:r>
      <w:r w:rsidR="00077BD5" w:rsidRPr="00981DC5">
        <w:rPr>
          <w:rFonts w:ascii="Book Antiqua" w:hAnsi="Book Antiqua" w:cs="Calibri"/>
          <w:noProof/>
          <w:color w:val="000000" w:themeColor="text1"/>
          <w:sz w:val="24"/>
          <w:szCs w:val="24"/>
          <w:vertAlign w:val="superscript"/>
          <w:lang w:val="en-US"/>
        </w:rPr>
        <w:t>[35]</w:t>
      </w:r>
      <w:r w:rsidRPr="00981DC5">
        <w:rPr>
          <w:rFonts w:ascii="Book Antiqua" w:hAnsi="Book Antiqua" w:cs="Calibri"/>
          <w:color w:val="000000" w:themeColor="text1"/>
          <w:sz w:val="24"/>
          <w:szCs w:val="24"/>
          <w:lang w:val="en-US"/>
        </w:rPr>
        <w:fldChar w:fldCharType="end"/>
      </w:r>
      <w:r w:rsidRPr="00981DC5">
        <w:rPr>
          <w:rFonts w:ascii="Book Antiqua" w:hAnsi="Book Antiqua" w:cs="Calibri"/>
          <w:color w:val="000000" w:themeColor="text1"/>
          <w:sz w:val="24"/>
          <w:szCs w:val="24"/>
          <w:lang w:val="en-US"/>
        </w:rPr>
        <w:t xml:space="preserve">. </w:t>
      </w:r>
      <w:r w:rsidR="000F1CFA" w:rsidRPr="00981DC5">
        <w:rPr>
          <w:rFonts w:ascii="Book Antiqua" w:hAnsi="Book Antiqua" w:cs="Calibri"/>
          <w:color w:val="000000" w:themeColor="text1"/>
          <w:sz w:val="24"/>
          <w:szCs w:val="24"/>
          <w:lang w:val="en-US"/>
        </w:rPr>
        <w:t>However</w:t>
      </w:r>
      <w:r w:rsidRPr="00981DC5">
        <w:rPr>
          <w:rFonts w:ascii="Book Antiqua" w:hAnsi="Book Antiqua" w:cs="Calibri"/>
          <w:color w:val="000000" w:themeColor="text1"/>
          <w:sz w:val="24"/>
          <w:szCs w:val="24"/>
          <w:lang w:val="en-US"/>
        </w:rPr>
        <w:t>, it is absolutely essential to determine the toxicity curve for each compound before embarking on xenograft studies and following completion of toxicity curves and in this setting drug toxicity can be easily evaluated in zebrafish. Indeed, xenografted zebrafish can be exposed to the appropriate concentration of drug and observed over time for cancer progression, in terms of cell proliferation, migration and angiogenesis</w:t>
      </w:r>
      <w:r w:rsidRPr="00981DC5">
        <w:rPr>
          <w:rFonts w:ascii="Book Antiqua" w:hAnsi="Book Antiqua" w:cs="Calibri"/>
          <w:color w:val="000000" w:themeColor="text1"/>
          <w:sz w:val="24"/>
          <w:szCs w:val="24"/>
          <w:lang w:val="en-US"/>
        </w:rPr>
        <w:fldChar w:fldCharType="begin" w:fldLock="1"/>
      </w:r>
      <w:r w:rsidR="00077BD5" w:rsidRPr="00981DC5">
        <w:rPr>
          <w:rFonts w:ascii="Book Antiqua" w:hAnsi="Book Antiqua" w:cs="Calibri"/>
          <w:color w:val="000000" w:themeColor="text1"/>
          <w:sz w:val="24"/>
          <w:szCs w:val="24"/>
          <w:lang w:val="en-US"/>
        </w:rPr>
        <w:instrText>ADDIN CSL_CITATION {"citationItems":[{"id":"ITEM-1","itemData":{"DOI":"10.1007/978-3-319-30654-4_13","ISSN":"0065-2598","PMID":"27165359","abstract":"Animal xenografts of human cancers represent a key preclinical tool in the field of cancer research. While mouse xenografts have long been the gold standard, investigators have begun to use zebrafish (Danio rerio) xenotransplantation as a relatively rapid, robust and cost-effective in vivo model of human cancers. There are several important methodological considerations in the design of an informative and efficient zebrafish xenotransplantation experiment. Various transgenic fish strains have been created that facilitate microscopic observation, ranging from the completely transparent casper fish to the Tg(fli1:eGFP) fish that expresses fluorescent GFP protein in its vascular tissue. While human cancer cell lines have been used extensively in zebrafish xenotransplantation studies, several reports have also used primary patient samples as the donor material. The zebrafish is ideally suited for transplanting primary patient material by virtue of the relatively low number of cells required for each embryo (between 50 and 300 cells), the absence of an adaptive immune system in the early zebrafish embryo, and the short experimental timeframe (5-7 days). Following xenotransplantation into the fish, cells can be tracked using in vivo or ex vivo measures of cell proliferation and migration, facilitated by fluorescence or human-specific protein expression. Importantly, assays have been developed that allow for the reliable detection of in vivo human cancer cell growth or inhibition following administration of drugs of interest. The zebrafish xenotransplantation model is a unique and effective tool for the study of cancer cell biology.","author":[{"dropping-particle":"","family":"Wertman","given":"Jaime","non-dropping-particle":"","parse-names":false,"suffix":""},{"dropping-particle":"","family":"Veinotte","given":"Chansey J","non-dropping-particle":"","parse-names":false,"suffix":""},{"dropping-particle":"","family":"Dellaire","given":"Graham","non-dropping-particle":"","parse-names":false,"suffix":""},{"dropping-particle":"","family":"Berman","given":"Jason N","non-dropping-particle":"","parse-names":false,"suffix":""}],"container-title":"Advances in experimental medicine and biology","id":"ITEM-1","issued":{"date-parts":[["2016"]]},"page":"289-314","title":"The Zebrafish Xenograft Platform: Evolution of a Novel Cancer Model and Preclinical Screening Tool.","type":"article-journal","volume":"916"},"uris":["http://www.mendeley.com/documents/?uuid=39dcf1b7-0a52-3451-b773-09f74c35b332"]}],"mendeley":{"formattedCitation":"&lt;sup&gt;[32]&lt;/sup&gt;","plainTextFormattedCitation":"[32]","previouslyFormattedCitation":"&lt;sup&gt;[32]&lt;/sup&gt;"},"properties":{"noteIndex":0},"schema":"https://github.com/citation-style-language/schema/raw/master/csl-citation.json"}</w:instrText>
      </w:r>
      <w:r w:rsidRPr="00981DC5">
        <w:rPr>
          <w:rFonts w:ascii="Book Antiqua" w:hAnsi="Book Antiqua" w:cs="Calibri"/>
          <w:color w:val="000000" w:themeColor="text1"/>
          <w:sz w:val="24"/>
          <w:szCs w:val="24"/>
          <w:lang w:val="en-US"/>
        </w:rPr>
        <w:fldChar w:fldCharType="separate"/>
      </w:r>
      <w:r w:rsidR="00077BD5" w:rsidRPr="00981DC5">
        <w:rPr>
          <w:rFonts w:ascii="Book Antiqua" w:hAnsi="Book Antiqua" w:cs="Calibri"/>
          <w:noProof/>
          <w:color w:val="000000" w:themeColor="text1"/>
          <w:sz w:val="24"/>
          <w:szCs w:val="24"/>
          <w:vertAlign w:val="superscript"/>
          <w:lang w:val="en-US"/>
        </w:rPr>
        <w:t>[32]</w:t>
      </w:r>
      <w:r w:rsidRPr="00981DC5">
        <w:rPr>
          <w:rFonts w:ascii="Book Antiqua" w:hAnsi="Book Antiqua" w:cs="Calibri"/>
          <w:color w:val="000000" w:themeColor="text1"/>
          <w:sz w:val="24"/>
          <w:szCs w:val="24"/>
          <w:lang w:val="en-US"/>
        </w:rPr>
        <w:fldChar w:fldCharType="end"/>
      </w:r>
      <w:r w:rsidRPr="00981DC5">
        <w:rPr>
          <w:rFonts w:ascii="Book Antiqua" w:hAnsi="Book Antiqua" w:cs="Calibri"/>
          <w:color w:val="000000" w:themeColor="text1"/>
          <w:sz w:val="24"/>
          <w:szCs w:val="24"/>
          <w:lang w:val="en-US"/>
        </w:rPr>
        <w:t>.</w:t>
      </w:r>
      <w:r w:rsidR="005155BB" w:rsidRPr="00981DC5">
        <w:rPr>
          <w:rFonts w:ascii="Book Antiqua" w:hAnsi="Book Antiqua" w:cs="Calibri"/>
          <w:color w:val="000000" w:themeColor="text1"/>
          <w:sz w:val="24"/>
          <w:szCs w:val="24"/>
          <w:lang w:val="en-US"/>
        </w:rPr>
        <w:t xml:space="preserve"> </w:t>
      </w:r>
      <w:r w:rsidRPr="00981DC5">
        <w:rPr>
          <w:rFonts w:ascii="Book Antiqua" w:hAnsi="Book Antiqua" w:cs="Calibri"/>
          <w:color w:val="000000" w:themeColor="text1"/>
          <w:sz w:val="24"/>
          <w:szCs w:val="24"/>
          <w:lang w:val="en-US"/>
        </w:rPr>
        <w:t xml:space="preserve">In this regard, we have performed a safety study with the calculation of the </w:t>
      </w:r>
      <w:r w:rsidR="00C16BDF" w:rsidRPr="00981DC5">
        <w:rPr>
          <w:rFonts w:ascii="Book Antiqua" w:hAnsi="Book Antiqua" w:cs="Calibri"/>
          <w:color w:val="000000" w:themeColor="text1"/>
          <w:sz w:val="24"/>
          <w:szCs w:val="24"/>
          <w:lang w:val="en-US"/>
        </w:rPr>
        <w:t>ED</w:t>
      </w:r>
      <w:r w:rsidRPr="00981DC5">
        <w:rPr>
          <w:rFonts w:ascii="Book Antiqua" w:hAnsi="Book Antiqua" w:cs="Calibri"/>
          <w:color w:val="000000" w:themeColor="text1"/>
          <w:sz w:val="24"/>
          <w:szCs w:val="24"/>
          <w:lang w:val="en-US"/>
        </w:rPr>
        <w:t xml:space="preserve"> human to fish able to impair</w:t>
      </w:r>
      <w:r w:rsidR="0092069A" w:rsidRPr="00981DC5">
        <w:rPr>
          <w:rFonts w:ascii="Book Antiqua" w:hAnsi="Book Antiqua" w:cs="Calibri"/>
          <w:color w:val="000000" w:themeColor="text1"/>
          <w:sz w:val="24"/>
          <w:szCs w:val="24"/>
          <w:lang w:val="en-US"/>
        </w:rPr>
        <w:t xml:space="preserve"> the</w:t>
      </w:r>
      <w:r w:rsidRPr="00981DC5">
        <w:rPr>
          <w:rFonts w:ascii="Book Antiqua" w:hAnsi="Book Antiqua" w:cs="Calibri"/>
          <w:color w:val="000000" w:themeColor="text1"/>
          <w:sz w:val="24"/>
          <w:szCs w:val="24"/>
          <w:lang w:val="en-US"/>
        </w:rPr>
        <w:t xml:space="preserve"> </w:t>
      </w:r>
      <w:r w:rsidR="0092069A" w:rsidRPr="00981DC5">
        <w:rPr>
          <w:rFonts w:ascii="Book Antiqua" w:hAnsi="Book Antiqua" w:cs="Calibri"/>
          <w:color w:val="000000" w:themeColor="text1"/>
          <w:sz w:val="24"/>
          <w:szCs w:val="24"/>
          <w:lang w:val="en-US"/>
        </w:rPr>
        <w:t>increase of the mean RTA</w:t>
      </w:r>
      <w:r w:rsidRPr="00981DC5">
        <w:rPr>
          <w:rFonts w:ascii="Book Antiqua" w:hAnsi="Book Antiqua" w:cs="Calibri"/>
          <w:color w:val="000000" w:themeColor="text1"/>
          <w:sz w:val="24"/>
          <w:szCs w:val="24"/>
          <w:lang w:val="en-US"/>
        </w:rPr>
        <w:t xml:space="preserve"> of </w:t>
      </w:r>
      <w:proofErr w:type="spellStart"/>
      <w:r w:rsidRPr="00981DC5">
        <w:rPr>
          <w:rFonts w:ascii="Book Antiqua" w:hAnsi="Book Antiqua" w:cs="Calibri"/>
          <w:color w:val="000000" w:themeColor="text1"/>
          <w:sz w:val="24"/>
          <w:szCs w:val="24"/>
          <w:lang w:val="en-US"/>
        </w:rPr>
        <w:t>xenotransplanted</w:t>
      </w:r>
      <w:proofErr w:type="spellEnd"/>
      <w:r w:rsidRPr="00981DC5">
        <w:rPr>
          <w:rFonts w:ascii="Book Antiqua" w:hAnsi="Book Antiqua" w:cs="Calibri"/>
          <w:color w:val="000000" w:themeColor="text1"/>
          <w:sz w:val="24"/>
          <w:szCs w:val="24"/>
          <w:lang w:val="en-US"/>
        </w:rPr>
        <w:t xml:space="preserve"> tumor tissue in zebrafish embryos</w:t>
      </w:r>
      <w:r w:rsidRPr="00981DC5">
        <w:rPr>
          <w:rFonts w:ascii="Book Antiqua" w:hAnsi="Book Antiqua" w:cs="Calibri"/>
          <w:color w:val="000000" w:themeColor="text1"/>
          <w:sz w:val="24"/>
          <w:szCs w:val="24"/>
          <w:lang w:val="en-US"/>
        </w:rPr>
        <w:fldChar w:fldCharType="begin" w:fldLock="1"/>
      </w:r>
      <w:r w:rsidR="005D0922" w:rsidRPr="00981DC5">
        <w:rPr>
          <w:rFonts w:ascii="Book Antiqua" w:hAnsi="Book Antiqua" w:cs="Calibri"/>
          <w:color w:val="000000" w:themeColor="text1"/>
          <w:sz w:val="24"/>
          <w:szCs w:val="24"/>
          <w:lang w:val="en-US"/>
        </w:rPr>
        <w:instrText>ADDIN CSL_CITATION {"citationItems":[{"id":"ITEM-1","itemData":{"DOI":"10.3390/cancers12030677","author":[{"dropping-particle":"","family":"Usai","given":"Alice","non-dropping-particle":"","parse-names":false,"suffix":""},{"dropping-particle":"","family":"Franco","given":"Gregorio","non-dropping-particle":"Di","parse-names":false,"suffix":""},{"dropping-particle":"","family":"Colucci","given":"Patrizia","non-dropping-particle":"","parse-names":false,"suffix":""},{"dropping-particle":"","family":"Pollina","given":"Luca Emanuele","non-dropping-particle":"","parse-names":false,"suffix":""},{"dropping-particle":"","family":"Vasile","given":"Enrico","non-dropping-particle":"","parse-names":false,"suffix":""},{"dropping-particle":"","family":"Funel","given":"Niccola","non-dropping-particle":"","parse-names":false,"suffix":""},{"dropping-particle":"","family":"Palmeri","given":"Matteo","non-dropping-particle":"","parse-names":false,"suffix":""},{"dropping-particle":"","family":"Dente","given":"Luciana","non-dropping-particle":"","parse-names":false,"suffix":""},{"dropping-particle":"","family":"Falcone","given":"Alfredo","non-dropping-particle":"","parse-names":false,"suffix":""},{"dropping-particle":"","family":"Morelli","given":"Luca","non-dropping-particle":"","parse-names":false,"suffix":""},{"dropping-particle":"","family":"Raffa","given":"Vittoria","non-dropping-particle":"","parse-names":false,"suffix":""}],"container-title":"Cancers","id":"ITEM-1","issue":"3","issued":{"date-parts":[["2020"]]},"page":"677","title":"A Model of a Zebrafish Avatar for Co-Clinical Trials","type":"article-journal","volume":"12"},"uris":["http://www.mendeley.com/documents/?uuid=3209d6c5-a9a0-4e03-9575-6a81b1031459"]}],"mendeley":{"formattedCitation":"&lt;sup&gt;[20]&lt;/sup&gt;","plainTextFormattedCitation":"[20]","previouslyFormattedCitation":"&lt;sup&gt;[20]&lt;/sup&gt;"},"properties":{"noteIndex":0},"schema":"https://github.com/citation-style-language/schema/raw/master/csl-citation.json"}</w:instrText>
      </w:r>
      <w:r w:rsidRPr="00981DC5">
        <w:rPr>
          <w:rFonts w:ascii="Book Antiqua" w:hAnsi="Book Antiqua" w:cs="Calibri"/>
          <w:color w:val="000000" w:themeColor="text1"/>
          <w:sz w:val="24"/>
          <w:szCs w:val="24"/>
          <w:lang w:val="en-US"/>
        </w:rPr>
        <w:fldChar w:fldCharType="separate"/>
      </w:r>
      <w:r w:rsidR="00B55671" w:rsidRPr="00981DC5">
        <w:rPr>
          <w:rFonts w:ascii="Book Antiqua" w:hAnsi="Book Antiqua" w:cs="Calibri"/>
          <w:noProof/>
          <w:color w:val="000000" w:themeColor="text1"/>
          <w:sz w:val="24"/>
          <w:szCs w:val="24"/>
          <w:vertAlign w:val="superscript"/>
          <w:lang w:val="en-US"/>
        </w:rPr>
        <w:t>[20]</w:t>
      </w:r>
      <w:r w:rsidRPr="00981DC5">
        <w:rPr>
          <w:rFonts w:ascii="Book Antiqua" w:hAnsi="Book Antiqua" w:cs="Calibri"/>
          <w:color w:val="000000" w:themeColor="text1"/>
          <w:sz w:val="24"/>
          <w:szCs w:val="24"/>
          <w:lang w:val="en-US"/>
        </w:rPr>
        <w:fldChar w:fldCharType="end"/>
      </w:r>
      <w:r w:rsidRPr="00981DC5">
        <w:rPr>
          <w:rFonts w:ascii="Book Antiqua" w:hAnsi="Book Antiqua" w:cs="Calibri"/>
          <w:color w:val="000000" w:themeColor="text1"/>
          <w:sz w:val="24"/>
          <w:szCs w:val="24"/>
          <w:lang w:val="en-US"/>
        </w:rPr>
        <w:t xml:space="preserve">. As reported in our initial experience, </w:t>
      </w:r>
      <w:r w:rsidR="00901CF2" w:rsidRPr="00981DC5">
        <w:rPr>
          <w:rFonts w:ascii="Book Antiqua" w:hAnsi="Book Antiqua" w:cs="Calibri"/>
          <w:color w:val="000000" w:themeColor="text1"/>
          <w:sz w:val="24"/>
          <w:szCs w:val="24"/>
          <w:lang w:val="en-US"/>
        </w:rPr>
        <w:t>an</w:t>
      </w:r>
      <w:r w:rsidRPr="00981DC5">
        <w:rPr>
          <w:rFonts w:ascii="Book Antiqua" w:hAnsi="Book Antiqua" w:cs="Calibri"/>
          <w:color w:val="000000" w:themeColor="text1"/>
          <w:sz w:val="24"/>
          <w:szCs w:val="24"/>
          <w:lang w:val="en-US"/>
        </w:rPr>
        <w:t xml:space="preserve"> </w:t>
      </w:r>
      <w:r w:rsidR="00C16BDF" w:rsidRPr="00981DC5">
        <w:rPr>
          <w:rFonts w:ascii="Book Antiqua" w:hAnsi="Book Antiqua" w:cs="Calibri"/>
          <w:color w:val="000000" w:themeColor="text1"/>
          <w:sz w:val="24"/>
          <w:szCs w:val="24"/>
          <w:lang w:val="en-US"/>
        </w:rPr>
        <w:t>ED</w:t>
      </w:r>
      <w:r w:rsidR="00463B5F">
        <w:rPr>
          <w:rFonts w:ascii="Book Antiqua" w:hAnsi="Book Antiqua" w:cs="Calibri"/>
          <w:color w:val="000000" w:themeColor="text1"/>
          <w:sz w:val="24"/>
          <w:szCs w:val="24"/>
          <w:lang w:val="en-US"/>
        </w:rPr>
        <w:t xml:space="preserve"> </w:t>
      </w:r>
      <w:r w:rsidRPr="00981DC5">
        <w:rPr>
          <w:rFonts w:ascii="Book Antiqua" w:hAnsi="Book Antiqua" w:cs="Calibri"/>
          <w:color w:val="000000" w:themeColor="text1"/>
          <w:sz w:val="24"/>
          <w:szCs w:val="24"/>
          <w:lang w:val="en-US"/>
        </w:rPr>
        <w:t>=</w:t>
      </w:r>
      <w:r w:rsidR="00463B5F">
        <w:rPr>
          <w:rFonts w:ascii="Book Antiqua" w:hAnsi="Book Antiqua" w:cs="Calibri"/>
          <w:color w:val="000000" w:themeColor="text1"/>
          <w:sz w:val="24"/>
          <w:szCs w:val="24"/>
          <w:lang w:val="en-US"/>
        </w:rPr>
        <w:t xml:space="preserve"> </w:t>
      </w:r>
      <w:r w:rsidRPr="00981DC5">
        <w:rPr>
          <w:rFonts w:ascii="Book Antiqua" w:hAnsi="Book Antiqua" w:cs="Calibri"/>
          <w:color w:val="000000" w:themeColor="text1"/>
          <w:sz w:val="24"/>
          <w:szCs w:val="24"/>
          <w:lang w:val="en-US"/>
        </w:rPr>
        <w:t xml:space="preserve">5 was effective both </w:t>
      </w:r>
      <w:r w:rsidR="0092069A" w:rsidRPr="00981DC5">
        <w:rPr>
          <w:rFonts w:ascii="Book Antiqua" w:hAnsi="Book Antiqua" w:cs="Calibri"/>
          <w:color w:val="000000" w:themeColor="text1"/>
          <w:sz w:val="24"/>
          <w:szCs w:val="24"/>
          <w:lang w:val="en-US"/>
        </w:rPr>
        <w:t>for</w:t>
      </w:r>
      <w:r w:rsidRPr="00981DC5">
        <w:rPr>
          <w:rFonts w:ascii="Book Antiqua" w:hAnsi="Book Antiqua" w:cs="Calibri"/>
          <w:color w:val="000000" w:themeColor="text1"/>
          <w:sz w:val="24"/>
          <w:szCs w:val="24"/>
          <w:lang w:val="en-US"/>
        </w:rPr>
        <w:t xml:space="preserve"> cancer cell lines and </w:t>
      </w:r>
      <w:r w:rsidR="0092069A" w:rsidRPr="00981DC5">
        <w:rPr>
          <w:rFonts w:ascii="Book Antiqua" w:hAnsi="Book Antiqua" w:cs="Calibri"/>
          <w:color w:val="000000" w:themeColor="text1"/>
          <w:sz w:val="24"/>
          <w:szCs w:val="24"/>
          <w:lang w:val="en-US"/>
        </w:rPr>
        <w:t>for</w:t>
      </w:r>
      <w:r w:rsidRPr="00981DC5">
        <w:rPr>
          <w:rFonts w:ascii="Book Antiqua" w:hAnsi="Book Antiqua" w:cs="Calibri"/>
          <w:color w:val="000000" w:themeColor="text1"/>
          <w:sz w:val="24"/>
          <w:szCs w:val="24"/>
          <w:lang w:val="en-US"/>
        </w:rPr>
        <w:t xml:space="preserve"> tumor tissue </w:t>
      </w:r>
      <w:proofErr w:type="spellStart"/>
      <w:r w:rsidRPr="00981DC5">
        <w:rPr>
          <w:rFonts w:ascii="Book Antiqua" w:hAnsi="Book Antiqua" w:cs="Calibri"/>
          <w:color w:val="000000" w:themeColor="text1"/>
          <w:sz w:val="24"/>
          <w:szCs w:val="24"/>
          <w:lang w:val="en-US"/>
        </w:rPr>
        <w:t>xenotransplanted</w:t>
      </w:r>
      <w:proofErr w:type="spellEnd"/>
      <w:r w:rsidRPr="00981DC5">
        <w:rPr>
          <w:rFonts w:ascii="Book Antiqua" w:hAnsi="Book Antiqua" w:cs="Calibri"/>
          <w:color w:val="000000" w:themeColor="text1"/>
          <w:sz w:val="24"/>
          <w:szCs w:val="24"/>
          <w:lang w:val="en-US"/>
        </w:rPr>
        <w:t xml:space="preserve"> in zebrafish embryos. Therefore, in this analysis we used this </w:t>
      </w:r>
      <w:r w:rsidR="00C16BDF" w:rsidRPr="00981DC5">
        <w:rPr>
          <w:rFonts w:ascii="Book Antiqua" w:hAnsi="Book Antiqua" w:cs="Calibri"/>
          <w:color w:val="000000" w:themeColor="text1"/>
          <w:sz w:val="24"/>
          <w:szCs w:val="24"/>
          <w:lang w:val="en-US"/>
        </w:rPr>
        <w:t>ED</w:t>
      </w:r>
      <w:r w:rsidRPr="00981DC5">
        <w:rPr>
          <w:rFonts w:ascii="Book Antiqua" w:hAnsi="Book Antiqua" w:cs="Calibri"/>
          <w:color w:val="000000" w:themeColor="text1"/>
          <w:sz w:val="24"/>
          <w:szCs w:val="24"/>
          <w:lang w:val="en-US"/>
        </w:rPr>
        <w:t xml:space="preserve"> in </w:t>
      </w:r>
      <w:r w:rsidR="00783D9E" w:rsidRPr="00981DC5">
        <w:rPr>
          <w:rFonts w:ascii="Book Antiqua" w:hAnsi="Book Antiqua" w:cs="Calibri"/>
          <w:color w:val="000000" w:themeColor="text1"/>
          <w:sz w:val="24"/>
          <w:szCs w:val="24"/>
          <w:lang w:val="en-US"/>
        </w:rPr>
        <w:t xml:space="preserve">the </w:t>
      </w:r>
      <w:r w:rsidRPr="00981DC5">
        <w:rPr>
          <w:rFonts w:ascii="Book Antiqua" w:hAnsi="Book Antiqua" w:cs="Calibri"/>
          <w:color w:val="000000" w:themeColor="text1"/>
          <w:sz w:val="24"/>
          <w:szCs w:val="24"/>
          <w:lang w:val="en-US"/>
        </w:rPr>
        <w:t xml:space="preserve">tests performed with pancreatic tissue directly </w:t>
      </w:r>
      <w:proofErr w:type="spellStart"/>
      <w:r w:rsidRPr="00981DC5">
        <w:rPr>
          <w:rFonts w:ascii="Book Antiqua" w:hAnsi="Book Antiqua" w:cs="Calibri"/>
          <w:color w:val="000000" w:themeColor="text1"/>
          <w:sz w:val="24"/>
          <w:szCs w:val="24"/>
          <w:lang w:val="en-US"/>
        </w:rPr>
        <w:t>xenotransplanted</w:t>
      </w:r>
      <w:proofErr w:type="spellEnd"/>
      <w:r w:rsidRPr="00981DC5">
        <w:rPr>
          <w:rFonts w:ascii="Book Antiqua" w:hAnsi="Book Antiqua" w:cs="Calibri"/>
          <w:color w:val="000000" w:themeColor="text1"/>
          <w:sz w:val="24"/>
          <w:szCs w:val="24"/>
          <w:lang w:val="en-US"/>
        </w:rPr>
        <w:t xml:space="preserve"> in the zebrafish embryos.</w:t>
      </w:r>
    </w:p>
    <w:p w14:paraId="51D35DFA" w14:textId="78A46BCD" w:rsidR="006A3D96" w:rsidRPr="00981DC5" w:rsidRDefault="006A3D96" w:rsidP="00B11A05">
      <w:pPr>
        <w:adjustRightInd w:val="0"/>
        <w:snapToGrid w:val="0"/>
        <w:spacing w:after="0" w:line="360" w:lineRule="auto"/>
        <w:ind w:firstLineChars="100" w:firstLine="240"/>
        <w:jc w:val="both"/>
        <w:rPr>
          <w:rFonts w:ascii="Book Antiqua" w:hAnsi="Book Antiqua" w:cs="Calibri"/>
          <w:color w:val="000000" w:themeColor="text1"/>
          <w:sz w:val="24"/>
          <w:szCs w:val="24"/>
          <w:lang w:val="en-US"/>
        </w:rPr>
      </w:pPr>
      <w:r w:rsidRPr="00981DC5">
        <w:rPr>
          <w:rFonts w:ascii="Book Antiqua" w:hAnsi="Book Antiqua" w:cs="Calibri"/>
          <w:color w:val="000000" w:themeColor="text1"/>
          <w:sz w:val="24"/>
          <w:szCs w:val="24"/>
          <w:lang w:val="en-US"/>
        </w:rPr>
        <w:t>To date, very few authors have used zebrafish embryos to test new drugs after xenotransplantation of pancreatic cancer tissue. Weiss and colleagues used zebrafish embryos as a patient-derived transplantation model of metastasis for pancreatic cancer</w:t>
      </w:r>
      <w:r w:rsidRPr="00981DC5">
        <w:rPr>
          <w:rFonts w:ascii="Book Antiqua" w:hAnsi="Book Antiqua" w:cs="Calibri"/>
          <w:color w:val="000000" w:themeColor="text1"/>
          <w:sz w:val="24"/>
          <w:szCs w:val="24"/>
          <w:lang w:val="en-US"/>
        </w:rPr>
        <w:fldChar w:fldCharType="begin" w:fldLock="1"/>
      </w:r>
      <w:r w:rsidR="005E603D" w:rsidRPr="00981DC5">
        <w:rPr>
          <w:rFonts w:ascii="Book Antiqua" w:hAnsi="Book Antiqua" w:cs="Calibri"/>
          <w:color w:val="000000" w:themeColor="text1"/>
          <w:sz w:val="24"/>
          <w:szCs w:val="24"/>
          <w:lang w:val="en-US"/>
        </w:rPr>
        <w:instrText>ADDIN CSL_CITATION {"citationItems":[{"id":"ITEM-1","itemData":{"DOI":"10.1053/j.gastro.2009.08.065","ISSN":"1528-0012","PMID":"19747919","abstract":"BACKGROUND &amp; AIMS The infiltrating ductal adenocarcinoma of the pancreas is among the most lethal of all solid malignancies, largely owing to a high frequency of early metastasis. We identified microRNA-10a (miR-10a) as an important mediator of metastasis formation in pancreatic tumor cells and investigated the upstream and downstream regulatory mechanisms of miR-10a. METHODS Northern blot analysis revealed increased expression levels of miR-10a in metastatic pancreatic adenocarcinoma. The role of miR-10a was analyzed by Morpholino and short interfering RNA transfection of pancreatic carcinoma cell lines and resected specimens of human pancreatic carcinoma. Metastatic behavior of primary pancreatic tumors and cancer cell lines was tested in xenotransplantation experiments in zebrafish embryos. RESULTS We show that miR-10a expression promotes metastatic behavior of pancreatic tumor cells and that repression of miR-10a is sufficient to inhibit invasion and metastasis formation. We further show that miR-10a is a retinoid acid target and that retinoic acid receptor antagonists effectively repress miR-10a expression and completely block metastasis. This antimetastatic activity can be prevented by specific knockdown of HOX genes, HOXB1 and HOXB3. Interestingly, suppression of HOXB1 and HOXB3 in pancreatic cancer cells is sufficient to promote metastasis formation. CONCLUSIONS These findings suggest that miR-10a is a key mediator of metastatic behavior in pancreatic cancer, which regulates metastasis via suppression of HOXB1 and HOXB3. Inhibition of miR-10a expression (with retinoic acid receptor antagonists) or function (with specific inhibitors) is a promising starting point for antimetastatic therapies.","author":[{"dropping-particle":"","family":"Weiss","given":"Frank Ulrich","non-dropping-particle":"","parse-names":false,"suffix":""},{"dropping-particle":"","family":"Marques","given":"Ines J","non-dropping-particle":"","parse-names":false,"suffix":""},{"dropping-particle":"","family":"Woltering","given":"Joost M","non-dropping-particle":"","parse-names":false,"suffix":""},{"dropping-particle":"","family":"Vlecken","given":"Danielle H","non-dropping-particle":"","parse-names":false,"suffix":""},{"dropping-particle":"","family":"Aghdassi","given":"Ali","non-dropping-particle":"","parse-names":false,"suffix":""},{"dropping-particle":"","family":"Partecke","given":"Lars Ivo","non-dropping-particle":"","parse-names":false,"suffix":""},{"dropping-particle":"","family":"Heidecke","given":"Claus-Dieter","non-dropping-particle":"","parse-names":false,"suffix":""},{"dropping-particle":"","family":"Lerch","given":"Markus M","non-dropping-particle":"","parse-names":false,"suffix":""},{"dropping-particle":"","family":"Bagowski","given":"Christoph P","non-dropping-particle":"","parse-names":false,"suffix":""}],"container-title":"Gastroenterology","id":"ITEM-1","issue":"6","issued":{"date-parts":[["2009","12"]]},"page":"2136-45.e1-7","title":"Retinoic acid receptor antagonists inhibit miR-10a expression and block metastatic behavior of pancreatic cancer.","type":"article-journal","volume":"137"},"uris":["http://www.mendeley.com/documents/?uuid=c6743fe7-b395-3981-8e63-7a032b0669a5"]}],"mendeley":{"formattedCitation":"&lt;sup&gt;[16]&lt;/sup&gt;","plainTextFormattedCitation":"[16]","previouslyFormattedCitation":"&lt;sup&gt;[16]&lt;/sup&gt;"},"properties":{"noteIndex":0},"schema":"https://github.com/citation-style-language/schema/raw/master/csl-citation.json"}</w:instrText>
      </w:r>
      <w:r w:rsidRPr="00981DC5">
        <w:rPr>
          <w:rFonts w:ascii="Book Antiqua" w:hAnsi="Book Antiqua" w:cs="Calibri"/>
          <w:color w:val="000000" w:themeColor="text1"/>
          <w:sz w:val="24"/>
          <w:szCs w:val="24"/>
          <w:lang w:val="en-US"/>
        </w:rPr>
        <w:fldChar w:fldCharType="separate"/>
      </w:r>
      <w:r w:rsidR="005E603D" w:rsidRPr="00981DC5">
        <w:rPr>
          <w:rFonts w:ascii="Book Antiqua" w:hAnsi="Book Antiqua" w:cs="Calibri"/>
          <w:noProof/>
          <w:color w:val="000000" w:themeColor="text1"/>
          <w:sz w:val="24"/>
          <w:szCs w:val="24"/>
          <w:vertAlign w:val="superscript"/>
          <w:lang w:val="en-US"/>
        </w:rPr>
        <w:t>[16]</w:t>
      </w:r>
      <w:r w:rsidRPr="00981DC5">
        <w:rPr>
          <w:rFonts w:ascii="Book Antiqua" w:hAnsi="Book Antiqua" w:cs="Calibri"/>
          <w:color w:val="000000" w:themeColor="text1"/>
          <w:sz w:val="24"/>
          <w:szCs w:val="24"/>
          <w:lang w:val="en-US"/>
        </w:rPr>
        <w:fldChar w:fldCharType="end"/>
      </w:r>
      <w:r w:rsidRPr="00981DC5">
        <w:rPr>
          <w:rFonts w:ascii="Book Antiqua" w:hAnsi="Book Antiqua" w:cs="Calibri"/>
          <w:color w:val="000000" w:themeColor="text1"/>
          <w:sz w:val="24"/>
          <w:szCs w:val="24"/>
          <w:lang w:val="en-US"/>
        </w:rPr>
        <w:t>. They transplanted pancreatic carcinoma cells and resected specimens of human pancreatic carcinoma into zebrafish embryos and the model was used to demonstrate the</w:t>
      </w:r>
      <w:r w:rsidRPr="00463B5F">
        <w:rPr>
          <w:rFonts w:ascii="Book Antiqua" w:hAnsi="Book Antiqua" w:cs="Calibri"/>
          <w:i/>
          <w:iCs/>
          <w:color w:val="000000" w:themeColor="text1"/>
          <w:sz w:val="24"/>
          <w:szCs w:val="24"/>
          <w:lang w:val="en-US"/>
        </w:rPr>
        <w:t xml:space="preserve"> in vivo</w:t>
      </w:r>
      <w:r w:rsidRPr="00981DC5">
        <w:rPr>
          <w:rFonts w:ascii="Book Antiqua" w:hAnsi="Book Antiqua" w:cs="Calibri"/>
          <w:color w:val="000000" w:themeColor="text1"/>
          <w:sz w:val="24"/>
          <w:szCs w:val="24"/>
          <w:lang w:val="en-US"/>
        </w:rPr>
        <w:t xml:space="preserve"> anti-metastatic activity of retinoid acid receptor antagonists, following the identification of the retinoid acid target miR-10A as a key mediator of metastasis in pancreatic cancer. </w:t>
      </w:r>
      <w:r w:rsidR="00B11A05" w:rsidRPr="00981DC5">
        <w:rPr>
          <w:rFonts w:ascii="Book Antiqua" w:hAnsi="Book Antiqua" w:cs="Calibri"/>
          <w:color w:val="000000" w:themeColor="text1"/>
          <w:sz w:val="24"/>
          <w:szCs w:val="24"/>
          <w:lang w:val="en-US"/>
        </w:rPr>
        <w:t>Also,</w:t>
      </w:r>
      <w:r w:rsidRPr="00981DC5">
        <w:rPr>
          <w:rFonts w:ascii="Book Antiqua" w:hAnsi="Book Antiqua" w:cs="Calibri"/>
          <w:color w:val="000000" w:themeColor="text1"/>
          <w:sz w:val="24"/>
          <w:szCs w:val="24"/>
          <w:lang w:val="en-US"/>
        </w:rPr>
        <w:t xml:space="preserve"> Guo </w:t>
      </w:r>
      <w:r w:rsidR="00463B5F" w:rsidRPr="00463B5F">
        <w:rPr>
          <w:rFonts w:ascii="Book Antiqua" w:hAnsi="Book Antiqua" w:cs="Calibri"/>
          <w:i/>
          <w:iCs/>
          <w:color w:val="000000" w:themeColor="text1"/>
          <w:sz w:val="24"/>
          <w:szCs w:val="24"/>
          <w:lang w:val="en-US"/>
        </w:rPr>
        <w:t xml:space="preserve">et </w:t>
      </w:r>
      <w:proofErr w:type="gramStart"/>
      <w:r w:rsidR="00463B5F" w:rsidRPr="00463B5F">
        <w:rPr>
          <w:rFonts w:ascii="Book Antiqua" w:hAnsi="Book Antiqua" w:cs="Calibri"/>
          <w:i/>
          <w:iCs/>
          <w:color w:val="000000" w:themeColor="text1"/>
          <w:sz w:val="24"/>
          <w:szCs w:val="24"/>
          <w:lang w:val="en-US"/>
        </w:rPr>
        <w:t>al</w:t>
      </w:r>
      <w:r w:rsidR="00463B5F" w:rsidRPr="00463B5F">
        <w:rPr>
          <w:rFonts w:ascii="Book Antiqua" w:hAnsi="Book Antiqua" w:cs="Calibri"/>
          <w:color w:val="000000" w:themeColor="text1"/>
          <w:sz w:val="24"/>
          <w:szCs w:val="24"/>
          <w:vertAlign w:val="superscript"/>
          <w:lang w:val="en-US"/>
        </w:rPr>
        <w:t>[</w:t>
      </w:r>
      <w:proofErr w:type="gramEnd"/>
      <w:r w:rsidR="00463B5F" w:rsidRPr="00463B5F">
        <w:rPr>
          <w:rFonts w:ascii="Book Antiqua" w:hAnsi="Book Antiqua" w:cs="Calibri"/>
          <w:color w:val="000000" w:themeColor="text1"/>
          <w:sz w:val="24"/>
          <w:szCs w:val="24"/>
          <w:vertAlign w:val="superscript"/>
          <w:lang w:val="en-US"/>
        </w:rPr>
        <w:t>17]</w:t>
      </w:r>
      <w:r w:rsidRPr="00981DC5">
        <w:rPr>
          <w:rFonts w:ascii="Book Antiqua" w:hAnsi="Book Antiqua" w:cs="Calibri"/>
          <w:color w:val="000000" w:themeColor="text1"/>
          <w:sz w:val="24"/>
          <w:szCs w:val="24"/>
          <w:lang w:val="en-US"/>
        </w:rPr>
        <w:t xml:space="preserve"> used the pancreatic adenocarcinoma xenograft model in zebrafish embryos evaluating their possible use for the screening of new anti-cancer compounds. They found that a known small molecule inhibitor, U0126, targeting the KRAS signaling pathway, represses proliferation and migration of the transplanted of Mia PaCa-2 cells in zebrafish larvae</w:t>
      </w:r>
      <w:r w:rsidRPr="00981DC5">
        <w:rPr>
          <w:rFonts w:ascii="Book Antiqua" w:hAnsi="Book Antiqua" w:cs="Calibri"/>
          <w:color w:val="000000" w:themeColor="text1"/>
          <w:sz w:val="24"/>
          <w:szCs w:val="24"/>
          <w:lang w:val="en-US"/>
        </w:rPr>
        <w:fldChar w:fldCharType="begin" w:fldLock="1"/>
      </w:r>
      <w:r w:rsidR="005E603D" w:rsidRPr="00981DC5">
        <w:rPr>
          <w:rFonts w:ascii="Book Antiqua" w:hAnsi="Book Antiqua" w:cs="Calibri"/>
          <w:color w:val="000000" w:themeColor="text1"/>
          <w:sz w:val="24"/>
          <w:szCs w:val="24"/>
          <w:lang w:val="en-US"/>
        </w:rPr>
        <w:instrText>ADDIN CSL_CITATION {"citationItems":[{"id":"ITEM-1","itemData":{"DOI":"10.3892/or.2015.4019","ISSN":"1791-2431","PMID":"26035715","abstract":"Pancreatic cancer is one of the most aggressive human cancers, and the pharmaceutical outcomes for its treatment remain disappointing. Proper animal models will provide an efficient platform for investigating novel drugs, and the zebrafish has become one of the most promising and comprehensive model animal in cancer research. In the present study, we used a novel xenograft model in zebrafish by transplanting human pancreatic cancer cells to study the progression and metastasis of pancreatic cancer cells and to assay the pharmacological effects of new drug U0126 in vivo. We first established a primary xenograft model of pancreatic cancer by injecting human pancreatic cancer cells into both live larval and adult zebrafish, and then investigated the behaviors of CM-DiI</w:instrText>
      </w:r>
      <w:r w:rsidR="005E603D" w:rsidRPr="00981DC5">
        <w:rPr>
          <w:rFonts w:ascii="Cambria Math" w:hAnsi="Cambria Math" w:cs="Cambria Math"/>
          <w:color w:val="000000" w:themeColor="text1"/>
          <w:sz w:val="24"/>
          <w:szCs w:val="24"/>
          <w:lang w:val="en-US"/>
        </w:rPr>
        <w:instrText>‑</w:instrText>
      </w:r>
      <w:r w:rsidR="005E603D" w:rsidRPr="00981DC5">
        <w:rPr>
          <w:rFonts w:ascii="Book Antiqua" w:hAnsi="Book Antiqua" w:cs="Calibri"/>
          <w:color w:val="000000" w:themeColor="text1"/>
          <w:sz w:val="24"/>
          <w:szCs w:val="24"/>
          <w:lang w:val="en-US"/>
        </w:rPr>
        <w:instrText>labeled human pancreatic cancer cells. Subsequently, we tested the potential of this model for drug screening by evaluating a known small-molecule inhibitor, U0126, which targets the KRAS signaling pathway. Cells with KRAS mutations exhibited significant proliferative and migratory behaviors and invaded the zebrafish vasculature system. In contrast, the proliferation and migration of Mia PaCa-2 cells in zebrafish larvae were substantially repressed following U0126 treatment. These results suggest that zebrafish xenotransplantation can be used as a simple and efficient tool to screen and identify new anti-pancreatic cancer compounds.","author":[{"dropping-particle":"","family":"Guo","given":"Meng","non-dropping-particle":"","parse-names":false,"suffix":""},{"dropping-particle":"","family":"Wei","given":"Huanhuan","non-dropping-particle":"","parse-names":false,"suffix":""},{"dropping-particle":"","family":"Hu","given":"Jingying","non-dropping-particle":"","parse-names":false,"suffix":""},{"dropping-particle":"","family":"Sun","given":"Shaoyang","non-dropping-particle":"","parse-names":false,"suffix":""},{"dropping-particle":"","family":"Long","given":"Jiang","non-dropping-particle":"","parse-names":false,"suffix":""},{"dropping-particle":"","family":"Wang","given":"Xu","non-dropping-particle":"","parse-names":false,"suffix":""}],"container-title":"Oncology reports","id":"ITEM-1","issue":"2","issued":{"date-parts":[["2015","8"]]},"page":"699-706","title":"U0126 inhibits pancreatic cancer progression via the KRAS signaling pathway in a zebrafish xenotransplantation model.","type":"article-journal","volume":"34"},"uris":["http://www.mendeley.com/documents/?uuid=b574eeca-a50a-32bc-a167-5978ab78fb9f"]}],"mendeley":{"formattedCitation":"&lt;sup&gt;[17]&lt;/sup&gt;","plainTextFormattedCitation":"[17]","previouslyFormattedCitation":"&lt;sup&gt;[17]&lt;/sup&gt;"},"properties":{"noteIndex":0},"schema":"https://github.com/citation-style-language/schema/raw/master/csl-citation.json"}</w:instrText>
      </w:r>
      <w:r w:rsidRPr="00981DC5">
        <w:rPr>
          <w:rFonts w:ascii="Book Antiqua" w:hAnsi="Book Antiqua" w:cs="Calibri"/>
          <w:color w:val="000000" w:themeColor="text1"/>
          <w:sz w:val="24"/>
          <w:szCs w:val="24"/>
          <w:lang w:val="en-US"/>
        </w:rPr>
        <w:fldChar w:fldCharType="separate"/>
      </w:r>
      <w:r w:rsidR="005E603D" w:rsidRPr="00981DC5">
        <w:rPr>
          <w:rFonts w:ascii="Book Antiqua" w:hAnsi="Book Antiqua" w:cs="Calibri"/>
          <w:noProof/>
          <w:color w:val="000000" w:themeColor="text1"/>
          <w:sz w:val="24"/>
          <w:szCs w:val="24"/>
          <w:vertAlign w:val="superscript"/>
          <w:lang w:val="en-US"/>
        </w:rPr>
        <w:t>[17]</w:t>
      </w:r>
      <w:r w:rsidRPr="00981DC5">
        <w:rPr>
          <w:rFonts w:ascii="Book Antiqua" w:hAnsi="Book Antiqua" w:cs="Calibri"/>
          <w:color w:val="000000" w:themeColor="text1"/>
          <w:sz w:val="24"/>
          <w:szCs w:val="24"/>
          <w:lang w:val="en-US"/>
        </w:rPr>
        <w:fldChar w:fldCharType="end"/>
      </w:r>
      <w:r w:rsidRPr="00981DC5">
        <w:rPr>
          <w:rFonts w:ascii="Book Antiqua" w:hAnsi="Book Antiqua" w:cs="Calibri"/>
          <w:color w:val="000000" w:themeColor="text1"/>
          <w:sz w:val="24"/>
          <w:szCs w:val="24"/>
          <w:lang w:val="en-US"/>
        </w:rPr>
        <w:t xml:space="preserve">. </w:t>
      </w:r>
      <w:r w:rsidR="00882DDC" w:rsidRPr="00981DC5">
        <w:rPr>
          <w:rFonts w:ascii="Book Antiqua" w:hAnsi="Book Antiqua" w:cs="Calibri"/>
          <w:color w:val="000000" w:themeColor="text1"/>
          <w:sz w:val="24"/>
          <w:szCs w:val="24"/>
          <w:lang w:val="en-US"/>
        </w:rPr>
        <w:t>Due to</w:t>
      </w:r>
      <w:r w:rsidRPr="00981DC5">
        <w:rPr>
          <w:rFonts w:ascii="Book Antiqua" w:hAnsi="Book Antiqua" w:cs="Calibri"/>
          <w:color w:val="000000" w:themeColor="text1"/>
          <w:sz w:val="24"/>
          <w:szCs w:val="24"/>
          <w:lang w:val="en-US"/>
        </w:rPr>
        <w:t xml:space="preserve"> the permeability of zebrafish embryos to small molecules, a number of compounds can be added directly to the embryo water, and Guo</w:t>
      </w:r>
      <w:r w:rsidRPr="00463B5F">
        <w:rPr>
          <w:rFonts w:ascii="Book Antiqua" w:hAnsi="Book Antiqua" w:cs="Calibri"/>
          <w:i/>
          <w:iCs/>
          <w:color w:val="000000" w:themeColor="text1"/>
          <w:sz w:val="24"/>
          <w:szCs w:val="24"/>
          <w:lang w:val="en-US"/>
        </w:rPr>
        <w:t xml:space="preserve"> et </w:t>
      </w:r>
      <w:proofErr w:type="gramStart"/>
      <w:r w:rsidRPr="00463B5F">
        <w:rPr>
          <w:rFonts w:ascii="Book Antiqua" w:hAnsi="Book Antiqua" w:cs="Calibri"/>
          <w:i/>
          <w:iCs/>
          <w:color w:val="000000" w:themeColor="text1"/>
          <w:sz w:val="24"/>
          <w:szCs w:val="24"/>
          <w:lang w:val="en-US"/>
        </w:rPr>
        <w:t>al</w:t>
      </w:r>
      <w:r w:rsidR="00463B5F" w:rsidRPr="00463B5F">
        <w:rPr>
          <w:rFonts w:ascii="Book Antiqua" w:hAnsi="Book Antiqua" w:cs="Calibri"/>
          <w:color w:val="000000" w:themeColor="text1"/>
          <w:sz w:val="24"/>
          <w:szCs w:val="24"/>
          <w:vertAlign w:val="superscript"/>
          <w:lang w:val="en-US"/>
        </w:rPr>
        <w:t>[</w:t>
      </w:r>
      <w:proofErr w:type="gramEnd"/>
      <w:r w:rsidR="00463B5F" w:rsidRPr="00463B5F">
        <w:rPr>
          <w:rFonts w:ascii="Book Antiqua" w:hAnsi="Book Antiqua" w:cs="Calibri"/>
          <w:color w:val="000000" w:themeColor="text1"/>
          <w:sz w:val="24"/>
          <w:szCs w:val="24"/>
          <w:vertAlign w:val="superscript"/>
          <w:lang w:val="en-US"/>
        </w:rPr>
        <w:t>17]</w:t>
      </w:r>
      <w:r w:rsidRPr="00981DC5">
        <w:rPr>
          <w:rFonts w:ascii="Book Antiqua" w:hAnsi="Book Antiqua" w:cs="Calibri"/>
          <w:color w:val="000000" w:themeColor="text1"/>
          <w:sz w:val="24"/>
          <w:szCs w:val="24"/>
          <w:lang w:val="en-US"/>
        </w:rPr>
        <w:t xml:space="preserve"> dissolved the drug treatment, U0126, in DMSO and added it directly to the water, as we performed in our study. The results reported by Guo </w:t>
      </w:r>
      <w:r w:rsidR="00463B5F" w:rsidRPr="00463B5F">
        <w:rPr>
          <w:rFonts w:ascii="Book Antiqua" w:hAnsi="Book Antiqua" w:cs="Calibri"/>
          <w:i/>
          <w:iCs/>
          <w:color w:val="000000" w:themeColor="text1"/>
          <w:sz w:val="24"/>
          <w:szCs w:val="24"/>
          <w:lang w:val="en-US"/>
        </w:rPr>
        <w:t xml:space="preserve">et </w:t>
      </w:r>
      <w:proofErr w:type="gramStart"/>
      <w:r w:rsidR="00463B5F" w:rsidRPr="00463B5F">
        <w:rPr>
          <w:rFonts w:ascii="Book Antiqua" w:hAnsi="Book Antiqua" w:cs="Calibri"/>
          <w:i/>
          <w:iCs/>
          <w:color w:val="000000" w:themeColor="text1"/>
          <w:sz w:val="24"/>
          <w:szCs w:val="24"/>
          <w:lang w:val="en-US"/>
        </w:rPr>
        <w:t>al</w:t>
      </w:r>
      <w:r w:rsidR="00463B5F" w:rsidRPr="00463B5F">
        <w:rPr>
          <w:rFonts w:ascii="Book Antiqua" w:hAnsi="Book Antiqua" w:cs="Calibri"/>
          <w:color w:val="000000" w:themeColor="text1"/>
          <w:sz w:val="24"/>
          <w:szCs w:val="24"/>
          <w:vertAlign w:val="superscript"/>
          <w:lang w:val="en-US"/>
        </w:rPr>
        <w:t>[</w:t>
      </w:r>
      <w:proofErr w:type="gramEnd"/>
      <w:r w:rsidR="00463B5F" w:rsidRPr="00463B5F">
        <w:rPr>
          <w:rFonts w:ascii="Book Antiqua" w:hAnsi="Book Antiqua" w:cs="Calibri"/>
          <w:color w:val="000000" w:themeColor="text1"/>
          <w:sz w:val="24"/>
          <w:szCs w:val="24"/>
          <w:vertAlign w:val="superscript"/>
          <w:lang w:val="en-US"/>
        </w:rPr>
        <w:t>17]</w:t>
      </w:r>
      <w:r w:rsidR="00463B5F" w:rsidRPr="00981DC5">
        <w:rPr>
          <w:rFonts w:ascii="Book Antiqua" w:hAnsi="Book Antiqua" w:cs="Calibri"/>
          <w:color w:val="000000" w:themeColor="text1"/>
          <w:sz w:val="24"/>
          <w:szCs w:val="24"/>
          <w:lang w:val="en-US"/>
        </w:rPr>
        <w:t xml:space="preserve"> </w:t>
      </w:r>
      <w:r w:rsidRPr="00981DC5">
        <w:rPr>
          <w:rFonts w:ascii="Book Antiqua" w:hAnsi="Book Antiqua" w:cs="Calibri"/>
          <w:color w:val="000000" w:themeColor="text1"/>
          <w:sz w:val="24"/>
          <w:szCs w:val="24"/>
          <w:lang w:val="en-US"/>
        </w:rPr>
        <w:t xml:space="preserve">suggest that zebrafish larvae as xenotransplantation model of pancreatic cancer is useful for facilitating </w:t>
      </w:r>
      <w:r w:rsidRPr="00CE2C42">
        <w:rPr>
          <w:rFonts w:ascii="Book Antiqua" w:hAnsi="Book Antiqua" w:cs="Calibri"/>
          <w:i/>
          <w:iCs/>
          <w:color w:val="000000" w:themeColor="text1"/>
          <w:sz w:val="24"/>
          <w:szCs w:val="24"/>
          <w:lang w:val="en-US"/>
        </w:rPr>
        <w:t xml:space="preserve">in vivo </w:t>
      </w:r>
      <w:r w:rsidRPr="00981DC5">
        <w:rPr>
          <w:rFonts w:ascii="Book Antiqua" w:hAnsi="Book Antiqua" w:cs="Calibri"/>
          <w:color w:val="000000" w:themeColor="text1"/>
          <w:sz w:val="24"/>
          <w:szCs w:val="24"/>
          <w:lang w:val="en-US"/>
        </w:rPr>
        <w:t xml:space="preserve">drug screening and identification of new anti-pancreatic cancer compounds. Instead, in our experience, we tested the different </w:t>
      </w:r>
      <w:r w:rsidRPr="00981DC5">
        <w:rPr>
          <w:rFonts w:ascii="Book Antiqua" w:hAnsi="Book Antiqua" w:cs="Calibri"/>
          <w:color w:val="000000" w:themeColor="text1"/>
          <w:sz w:val="24"/>
          <w:szCs w:val="24"/>
          <w:lang w:val="en-US"/>
        </w:rPr>
        <w:lastRenderedPageBreak/>
        <w:t xml:space="preserve">chemotherapy schemes already used for the treatment of pancreatic cancer in the common clinical practice in order to evaluate if the zebrafish model could be used for the definition of a personalized treatment plan for each patient </w:t>
      </w:r>
      <w:r w:rsidR="00307EBC" w:rsidRPr="00981DC5">
        <w:rPr>
          <w:rFonts w:ascii="Book Antiqua" w:hAnsi="Book Antiqua" w:cs="Calibri"/>
          <w:color w:val="000000" w:themeColor="text1"/>
          <w:sz w:val="24"/>
          <w:szCs w:val="24"/>
          <w:lang w:val="en-US"/>
        </w:rPr>
        <w:t>with pancreatic cancer</w:t>
      </w:r>
      <w:r w:rsidRPr="00981DC5">
        <w:rPr>
          <w:rFonts w:ascii="Book Antiqua" w:hAnsi="Book Antiqua" w:cs="Calibri"/>
          <w:color w:val="000000" w:themeColor="text1"/>
          <w:sz w:val="24"/>
          <w:szCs w:val="24"/>
          <w:lang w:val="en-US"/>
        </w:rPr>
        <w:t xml:space="preserve">. The idea of precision oncology is that in the future primary specimens from patients diagnosed with cancer could be </w:t>
      </w:r>
      <w:proofErr w:type="spellStart"/>
      <w:r w:rsidRPr="00981DC5">
        <w:rPr>
          <w:rFonts w:ascii="Book Antiqua" w:hAnsi="Book Antiqua" w:cs="Calibri"/>
          <w:color w:val="000000" w:themeColor="text1"/>
          <w:sz w:val="24"/>
          <w:szCs w:val="24"/>
          <w:lang w:val="en-US"/>
        </w:rPr>
        <w:t>xenotransplanted</w:t>
      </w:r>
      <w:proofErr w:type="spellEnd"/>
      <w:r w:rsidRPr="00981DC5">
        <w:rPr>
          <w:rFonts w:ascii="Book Antiqua" w:hAnsi="Book Antiqua" w:cs="Calibri"/>
          <w:color w:val="000000" w:themeColor="text1"/>
          <w:sz w:val="24"/>
          <w:szCs w:val="24"/>
          <w:lang w:val="en-US"/>
        </w:rPr>
        <w:t xml:space="preserve"> in zebrafish embryos to test the responses of the patient cancer cells to various available drugs and the output of the test, obtainable in </w:t>
      </w:r>
      <w:r w:rsidR="00FB254C" w:rsidRPr="00981DC5">
        <w:rPr>
          <w:rFonts w:ascii="Book Antiqua" w:hAnsi="Book Antiqua" w:cs="Calibri"/>
          <w:color w:val="000000" w:themeColor="text1"/>
          <w:sz w:val="24"/>
          <w:szCs w:val="24"/>
          <w:lang w:val="en-US"/>
        </w:rPr>
        <w:t xml:space="preserve">a few </w:t>
      </w:r>
      <w:r w:rsidRPr="00981DC5">
        <w:rPr>
          <w:rFonts w:ascii="Book Antiqua" w:hAnsi="Book Antiqua" w:cs="Calibri"/>
          <w:color w:val="000000" w:themeColor="text1"/>
          <w:sz w:val="24"/>
          <w:szCs w:val="24"/>
          <w:lang w:val="en-US"/>
        </w:rPr>
        <w:t xml:space="preserve">days, will dictate the most effective treatment for </w:t>
      </w:r>
      <w:r w:rsidR="0092069A" w:rsidRPr="00981DC5">
        <w:rPr>
          <w:rFonts w:ascii="Book Antiqua" w:hAnsi="Book Antiqua" w:cs="Calibri"/>
          <w:color w:val="000000" w:themeColor="text1"/>
          <w:sz w:val="24"/>
          <w:szCs w:val="24"/>
          <w:lang w:val="en-US"/>
        </w:rPr>
        <w:t>the</w:t>
      </w:r>
      <w:r w:rsidRPr="00981DC5">
        <w:rPr>
          <w:rFonts w:ascii="Book Antiqua" w:hAnsi="Book Antiqua" w:cs="Calibri"/>
          <w:color w:val="000000" w:themeColor="text1"/>
          <w:sz w:val="24"/>
          <w:szCs w:val="24"/>
          <w:lang w:val="en-US"/>
        </w:rPr>
        <w:t xml:space="preserve"> individual patient. The application of the zebrafish model to precision oncology is still in its infancy, and there are not yet examples of direct use of zebrafish to guide patient-specific cancer treatments in clinical practice. However, th</w:t>
      </w:r>
      <w:r w:rsidR="00991529" w:rsidRPr="00981DC5">
        <w:rPr>
          <w:rFonts w:ascii="Book Antiqua" w:hAnsi="Book Antiqua" w:cs="Calibri"/>
          <w:color w:val="000000" w:themeColor="text1"/>
          <w:sz w:val="24"/>
          <w:szCs w:val="24"/>
          <w:lang w:val="en-US"/>
        </w:rPr>
        <w:t>is</w:t>
      </w:r>
      <w:r w:rsidRPr="00981DC5">
        <w:rPr>
          <w:rFonts w:ascii="Book Antiqua" w:hAnsi="Book Antiqua" w:cs="Calibri"/>
          <w:color w:val="000000" w:themeColor="text1"/>
          <w:sz w:val="24"/>
          <w:szCs w:val="24"/>
          <w:lang w:val="en-US"/>
        </w:rPr>
        <w:t xml:space="preserve"> field has matured enough to move towards this aim in the near future. Modeling cancer in zebrafish has provided important insights that contribute to the development of precision oncology as well as straightforward examples of advantages and feasibility of direct clinical utilization</w:t>
      </w:r>
      <w:r w:rsidRPr="00981DC5">
        <w:rPr>
          <w:rFonts w:ascii="Book Antiqua" w:hAnsi="Book Antiqua" w:cs="Calibri"/>
          <w:color w:val="000000" w:themeColor="text1"/>
          <w:sz w:val="24"/>
          <w:szCs w:val="24"/>
          <w:lang w:val="en-US"/>
        </w:rPr>
        <w:fldChar w:fldCharType="begin" w:fldLock="1"/>
      </w:r>
      <w:r w:rsidR="00077BD5" w:rsidRPr="00981DC5">
        <w:rPr>
          <w:rFonts w:ascii="Book Antiqua" w:hAnsi="Book Antiqua" w:cs="Calibri"/>
          <w:color w:val="000000" w:themeColor="text1"/>
          <w:sz w:val="24"/>
          <w:szCs w:val="24"/>
          <w:lang w:val="en-US"/>
        </w:rPr>
        <w:instrText>ADDIN CSL_CITATION {"citationItems":[{"id":"ITEM-1","itemData":{"DOI":"10.1038/s41698-017-0043-9","ISSN":"2397-768X","PMID":"29376139","abstract":"Zebrafish have proven to be a valuable model to study human cancer biology with the ultimate aim of developing new therapies. Danio rerio are amenable to in vivo imaging, high throughput drug screening, mutagenesis, and transgenesis, and they share histological and genetic similarities with Homo sapiens. The significance of zebrafish in the field of precision oncology is rapidly emerging. Indeed, modeling cancer in zebrafish has already been used to identify tumor biomarkers, define therapeutic targets and provide an in vivo platform for drug discovery. New zebrafish studies are starting to pave the way to direct individualized clinical applications. Patient-derived cancer cell xenograft models have demonstrated the feasibility of using zebrafish as a real time avatar of prognosis and drug response to identify the most ideal therapy for an individual patient. Genetic cancer modeling in zebrafish, now facilitated by rapidly evolving genome editing techniques, represents another innovative approach to recapitulate human oncogenesis and develop individualized treatments. Utilizing zebrafish to design customizable precision therapies will improve the clinical outcome of patients afflicted with cancer.","author":[{"dropping-particle":"","family":"Astone","given":"Matteo","non-dropping-particle":"","parse-names":false,"suffix":""},{"dropping-particle":"","family":"Dankert","given":"Erin N","non-dropping-particle":"","parse-names":false,"suffix":""},{"dropping-particle":"","family":"Alam","given":"Sk Kayum","non-dropping-particle":"","parse-names":false,"suffix":""},{"dropping-particle":"","family":"Hoeppner","given":"Luke H","non-dropping-particle":"","parse-names":false,"suffix":""}],"container-title":"NPJ precision oncology","id":"ITEM-1","issue":"1","issued":{"date-parts":[["2017","12","27"]]},"page":"39","title":"Fishing for cures: The alLURE of using zebrafish to develop precision oncology therapies.","type":"article-journal","volume":"1"},"uris":["http://www.mendeley.com/documents/?uuid=12ef072e-a0f1-34f9-a543-5ed854fbd052"]}],"mendeley":{"formattedCitation":"&lt;sup&gt;[36]&lt;/sup&gt;","plainTextFormattedCitation":"[36]","previouslyFormattedCitation":"&lt;sup&gt;[36]&lt;/sup&gt;"},"properties":{"noteIndex":0},"schema":"https://github.com/citation-style-language/schema/raw/master/csl-citation.json"}</w:instrText>
      </w:r>
      <w:r w:rsidRPr="00981DC5">
        <w:rPr>
          <w:rFonts w:ascii="Book Antiqua" w:hAnsi="Book Antiqua" w:cs="Calibri"/>
          <w:color w:val="000000" w:themeColor="text1"/>
          <w:sz w:val="24"/>
          <w:szCs w:val="24"/>
          <w:lang w:val="en-US"/>
        </w:rPr>
        <w:fldChar w:fldCharType="separate"/>
      </w:r>
      <w:r w:rsidR="00077BD5" w:rsidRPr="00981DC5">
        <w:rPr>
          <w:rFonts w:ascii="Book Antiqua" w:hAnsi="Book Antiqua" w:cs="Calibri"/>
          <w:noProof/>
          <w:color w:val="000000" w:themeColor="text1"/>
          <w:sz w:val="24"/>
          <w:szCs w:val="24"/>
          <w:vertAlign w:val="superscript"/>
          <w:lang w:val="en-US"/>
        </w:rPr>
        <w:t>[36]</w:t>
      </w:r>
      <w:r w:rsidRPr="00981DC5">
        <w:rPr>
          <w:rFonts w:ascii="Book Antiqua" w:hAnsi="Book Antiqua" w:cs="Calibri"/>
          <w:color w:val="000000" w:themeColor="text1"/>
          <w:sz w:val="24"/>
          <w:szCs w:val="24"/>
          <w:lang w:val="en-US"/>
        </w:rPr>
        <w:fldChar w:fldCharType="end"/>
      </w:r>
      <w:r w:rsidRPr="00981DC5">
        <w:rPr>
          <w:rFonts w:ascii="Book Antiqua" w:hAnsi="Book Antiqua" w:cs="Calibri"/>
          <w:color w:val="000000" w:themeColor="text1"/>
          <w:sz w:val="24"/>
          <w:szCs w:val="24"/>
          <w:lang w:val="en-US"/>
        </w:rPr>
        <w:t>. As reported by different studies, it is possible to xenotransplant in zebrafish embryos tumor cells from cancer cell lines</w:t>
      </w:r>
      <w:r w:rsidRPr="00981DC5">
        <w:rPr>
          <w:rFonts w:ascii="Book Antiqua" w:hAnsi="Book Antiqua" w:cs="Calibri"/>
          <w:color w:val="000000" w:themeColor="text1"/>
          <w:sz w:val="24"/>
          <w:szCs w:val="24"/>
          <w:lang w:val="en-US"/>
        </w:rPr>
        <w:fldChar w:fldCharType="begin" w:fldLock="1"/>
      </w:r>
      <w:r w:rsidR="00077BD5" w:rsidRPr="00981DC5">
        <w:rPr>
          <w:rFonts w:ascii="Book Antiqua" w:hAnsi="Book Antiqua" w:cs="Calibri"/>
          <w:color w:val="000000" w:themeColor="text1"/>
          <w:sz w:val="24"/>
          <w:szCs w:val="24"/>
          <w:lang w:val="en-US"/>
        </w:rPr>
        <w:instrText>ADDIN CSL_CITATION {"citationItems":[{"id":"ITEM-1","itemData":{"DOI":"10.1007/978-3-319-30654-4_13","ISSN":"0065-2598","PMID":"27165359","abstract":"Animal xenografts of human cancers represent a key preclinical tool in the field of cancer research. While mouse xenografts have long been the gold standard, investigators have begun to use zebrafish (Danio rerio) xenotransplantation as a relatively rapid, robust and cost-effective in vivo model of human cancers. There are several important methodological considerations in the design of an informative and efficient zebrafish xenotransplantation experiment. Various transgenic fish strains have been created that facilitate microscopic observation, ranging from the completely transparent casper fish to the Tg(fli1:eGFP) fish that expresses fluorescent GFP protein in its vascular tissue. While human cancer cell lines have been used extensively in zebrafish xenotransplantation studies, several reports have also used primary patient samples as the donor material. The zebrafish is ideally suited for transplanting primary patient material by virtue of the relatively low number of cells required for each embryo (between 50 and 300 cells), the absence of an adaptive immune system in the early zebrafish embryo, and the short experimental timeframe (5-7 days). Following xenotransplantation into the fish, cells can be tracked using in vivo or ex vivo measures of cell proliferation and migration, facilitated by fluorescence or human-specific protein expression. Importantly, assays have been developed that allow for the reliable detection of in vivo human cancer cell growth or inhibition following administration of drugs of interest. The zebrafish xenotransplantation model is a unique and effective tool for the study of cancer cell biology.","author":[{"dropping-particle":"","family":"Wertman","given":"Jaime","non-dropping-particle":"","parse-names":false,"suffix":""},{"dropping-particle":"","family":"Veinotte","given":"Chansey J","non-dropping-particle":"","parse-names":false,"suffix":""},{"dropping-particle":"","family":"Dellaire","given":"Graham","non-dropping-particle":"","parse-names":false,"suffix":""},{"dropping-particle":"","family":"Berman","given":"Jason N","non-dropping-particle":"","parse-names":false,"suffix":""}],"container-title":"Advances in experimental medicine and biology","id":"ITEM-1","issued":{"date-parts":[["2016"]]},"page":"289-314","title":"The Zebrafish Xenograft Platform: Evolution of a Novel Cancer Model and Preclinical Screening Tool.","type":"article-journal","volume":"916"},"uris":["http://www.mendeley.com/documents/?uuid=39dcf1b7-0a52-3451-b773-09f74c35b332"]}],"mendeley":{"formattedCitation":"&lt;sup&gt;[32]&lt;/sup&gt;","plainTextFormattedCitation":"[32]","previouslyFormattedCitation":"&lt;sup&gt;[32]&lt;/sup&gt;"},"properties":{"noteIndex":0},"schema":"https://github.com/citation-style-language/schema/raw/master/csl-citation.json"}</w:instrText>
      </w:r>
      <w:r w:rsidRPr="00981DC5">
        <w:rPr>
          <w:rFonts w:ascii="Book Antiqua" w:hAnsi="Book Antiqua" w:cs="Calibri"/>
          <w:color w:val="000000" w:themeColor="text1"/>
          <w:sz w:val="24"/>
          <w:szCs w:val="24"/>
          <w:lang w:val="en-US"/>
        </w:rPr>
        <w:fldChar w:fldCharType="separate"/>
      </w:r>
      <w:r w:rsidR="00077BD5" w:rsidRPr="00981DC5">
        <w:rPr>
          <w:rFonts w:ascii="Book Antiqua" w:hAnsi="Book Antiqua" w:cs="Calibri"/>
          <w:noProof/>
          <w:color w:val="000000" w:themeColor="text1"/>
          <w:sz w:val="24"/>
          <w:szCs w:val="24"/>
          <w:vertAlign w:val="superscript"/>
          <w:lang w:val="en-US"/>
        </w:rPr>
        <w:t>[32]</w:t>
      </w:r>
      <w:r w:rsidRPr="00981DC5">
        <w:rPr>
          <w:rFonts w:ascii="Book Antiqua" w:hAnsi="Book Antiqua" w:cs="Calibri"/>
          <w:color w:val="000000" w:themeColor="text1"/>
          <w:sz w:val="24"/>
          <w:szCs w:val="24"/>
          <w:lang w:val="en-US"/>
        </w:rPr>
        <w:fldChar w:fldCharType="end"/>
      </w:r>
      <w:r w:rsidRPr="00981DC5">
        <w:rPr>
          <w:rFonts w:ascii="Book Antiqua" w:hAnsi="Book Antiqua" w:cs="Calibri"/>
          <w:color w:val="000000" w:themeColor="text1"/>
          <w:sz w:val="24"/>
          <w:szCs w:val="24"/>
          <w:lang w:val="en-US"/>
        </w:rPr>
        <w:t xml:space="preserve"> and preliminary studies about the possibility of a direct, real-time application of zebrafish xenograft models in clinic</w:t>
      </w:r>
      <w:r w:rsidR="00991529" w:rsidRPr="00981DC5">
        <w:rPr>
          <w:rFonts w:ascii="Book Antiqua" w:hAnsi="Book Antiqua" w:cs="Calibri"/>
          <w:color w:val="000000" w:themeColor="text1"/>
          <w:sz w:val="24"/>
          <w:szCs w:val="24"/>
          <w:lang w:val="en-US"/>
        </w:rPr>
        <w:t>al</w:t>
      </w:r>
      <w:r w:rsidRPr="00981DC5">
        <w:rPr>
          <w:rFonts w:ascii="Book Antiqua" w:hAnsi="Book Antiqua" w:cs="Calibri"/>
          <w:color w:val="000000" w:themeColor="text1"/>
          <w:sz w:val="24"/>
          <w:szCs w:val="24"/>
          <w:lang w:val="en-US"/>
        </w:rPr>
        <w:t xml:space="preserve"> practice suggest</w:t>
      </w:r>
      <w:r w:rsidR="00991529" w:rsidRPr="00981DC5">
        <w:rPr>
          <w:rFonts w:ascii="Book Antiqua" w:hAnsi="Book Antiqua" w:cs="Calibri"/>
          <w:color w:val="000000" w:themeColor="text1"/>
          <w:sz w:val="24"/>
          <w:szCs w:val="24"/>
          <w:lang w:val="en-US"/>
        </w:rPr>
        <w:t>s</w:t>
      </w:r>
      <w:r w:rsidRPr="00981DC5">
        <w:rPr>
          <w:rFonts w:ascii="Book Antiqua" w:hAnsi="Book Antiqua" w:cs="Calibri"/>
          <w:color w:val="000000" w:themeColor="text1"/>
          <w:sz w:val="24"/>
          <w:szCs w:val="24"/>
          <w:lang w:val="en-US"/>
        </w:rPr>
        <w:t xml:space="preserve"> the possibility to use zebrafish embryos for a precision oncology</w:t>
      </w:r>
      <w:r w:rsidRPr="00981DC5">
        <w:rPr>
          <w:rFonts w:ascii="Book Antiqua" w:hAnsi="Book Antiqua" w:cs="Calibri"/>
          <w:color w:val="000000" w:themeColor="text1"/>
          <w:sz w:val="24"/>
          <w:szCs w:val="24"/>
          <w:lang w:val="en-US"/>
        </w:rPr>
        <w:fldChar w:fldCharType="begin" w:fldLock="1"/>
      </w:r>
      <w:r w:rsidR="00077BD5" w:rsidRPr="00981DC5">
        <w:rPr>
          <w:rFonts w:ascii="Book Antiqua" w:hAnsi="Book Antiqua" w:cs="Calibri"/>
          <w:color w:val="000000" w:themeColor="text1"/>
          <w:sz w:val="24"/>
          <w:szCs w:val="24"/>
          <w:lang w:val="en-US"/>
        </w:rPr>
        <w:instrText>ADDIN CSL_CITATION {"citationItems":[{"id":"ITEM-1","itemData":{"DOI":"10.3324/haematol.2014.110742","ISSN":"1592-8721","PMID":"25281505","abstract":"Cancer therapeutics is evolving to precision medicine, with the goal of matching targeted compounds with molecular aberrations underlying a patient's cancer. While murine models offer a pre-clinical tool, associated costs and time are not compatible with actionable patient-directed interventions. Using the paradigm of T-cell acute lymphoblastic leukemia, a high-risk disease with defined molecular underpinnings, we developed a zebrafish human cancer xenotransplantation model to inform therapeutic decisions. Using a focused chemical genomic approach, we demonstrate that xenografted cell lines harboring mutations in the NOTCH1 and PI3K/AKT pathways respond concordantly to their targeted therapies, patient-derived T-cell acute lymphoblastic leukemia can be successfully engrafted in zebrafish and specific drug responses can be quantitatively determined. Using this approach, we identified a mutation sensitive to γ-secretase inhibition in a xenograft from a child with T-cell acute lymphoblastic leukemia, confirmed by Sanger sequencing and validated as a gain-of-function NOTCH1 mutation. The zebrafish xenotransplantation platform provides a novel cost-effective means of tailoring leukemia therapy in real time.","author":[{"dropping-particle":"","family":"Bentley","given":"Victoria L","non-dropping-particle":"","parse-names":false,"suffix":""},{"dropping-particle":"","family":"Veinotte","given":"Chansey J","non-dropping-particle":"","parse-names":false,"suffix":""},{"dropping-particle":"","family":"Corkery","given":"Dale P","non-dropping-particle":"","parse-names":false,"suffix":""},{"dropping-particle":"","family":"Pinder","given":"Jordan B","non-dropping-particle":"","parse-names":false,"suffix":""},{"dropping-particle":"","family":"LeBlanc","given":"Marissa A","non-dropping-particle":"","parse-names":false,"suffix":""},{"dropping-particle":"","family":"Bedard","given":"Karen","non-dropping-particle":"","parse-names":false,"suffix":""},{"dropping-particle":"","family":"Weng","given":"Andrew P","non-dropping-particle":"","parse-names":false,"suffix":""},{"dropping-particle":"","family":"Berman","given":"Jason N","non-dropping-particle":"","parse-names":false,"suffix":""},{"dropping-particle":"","family":"Dellaire","given":"Graham","non-dropping-particle":"","parse-names":false,"suffix":""}],"container-title":"Haematologica","id":"ITEM-1","issue":"1","issued":{"date-parts":[["2015","1","1"]]},"page":"70-6","title":"Focused chemical genomics using zebrafish xenotransplantation as a pre-clinical therapeutic platform for T-cell acute lymphoblastic leukemia.","type":"article-journal","volume":"100"},"uris":["http://www.mendeley.com/documents/?uuid=aa55a36d-8ae8-37e9-8d6b-55fc49c0a4c7"]}],"mendeley":{"formattedCitation":"&lt;sup&gt;[37]&lt;/sup&gt;","plainTextFormattedCitation":"[37]","previouslyFormattedCitation":"&lt;sup&gt;[37]&lt;/sup&gt;"},"properties":{"noteIndex":0},"schema":"https://github.com/citation-style-language/schema/raw/master/csl-citation.json"}</w:instrText>
      </w:r>
      <w:r w:rsidRPr="00981DC5">
        <w:rPr>
          <w:rFonts w:ascii="Book Antiqua" w:hAnsi="Book Antiqua" w:cs="Calibri"/>
          <w:color w:val="000000" w:themeColor="text1"/>
          <w:sz w:val="24"/>
          <w:szCs w:val="24"/>
          <w:lang w:val="en-US"/>
        </w:rPr>
        <w:fldChar w:fldCharType="separate"/>
      </w:r>
      <w:r w:rsidR="00077BD5" w:rsidRPr="00981DC5">
        <w:rPr>
          <w:rFonts w:ascii="Book Antiqua" w:hAnsi="Book Antiqua" w:cs="Calibri"/>
          <w:noProof/>
          <w:color w:val="000000" w:themeColor="text1"/>
          <w:sz w:val="24"/>
          <w:szCs w:val="24"/>
          <w:vertAlign w:val="superscript"/>
          <w:lang w:val="en-US"/>
        </w:rPr>
        <w:t>[37]</w:t>
      </w:r>
      <w:r w:rsidRPr="00981DC5">
        <w:rPr>
          <w:rFonts w:ascii="Book Antiqua" w:hAnsi="Book Antiqua" w:cs="Calibri"/>
          <w:color w:val="000000" w:themeColor="text1"/>
          <w:sz w:val="24"/>
          <w:szCs w:val="24"/>
          <w:lang w:val="en-US"/>
        </w:rPr>
        <w:fldChar w:fldCharType="end"/>
      </w:r>
      <w:r w:rsidRPr="00981DC5">
        <w:rPr>
          <w:rFonts w:ascii="Book Antiqua" w:hAnsi="Book Antiqua" w:cs="Calibri"/>
          <w:color w:val="000000" w:themeColor="text1"/>
          <w:sz w:val="24"/>
          <w:szCs w:val="24"/>
          <w:lang w:val="en-US"/>
        </w:rPr>
        <w:t xml:space="preserve">. However, in order to obtain a tool for precision medicine and personalized medicine, it is important to transplant primary cancer cells from biopsy or surgical specimen. In fact, studies with the use of commercially available cells lines are </w:t>
      </w:r>
      <w:r w:rsidR="00991529" w:rsidRPr="00981DC5">
        <w:rPr>
          <w:rFonts w:ascii="Book Antiqua" w:hAnsi="Book Antiqua" w:cs="Calibri"/>
          <w:color w:val="000000" w:themeColor="text1"/>
          <w:sz w:val="24"/>
          <w:szCs w:val="24"/>
          <w:lang w:val="en-US"/>
        </w:rPr>
        <w:t>criticized</w:t>
      </w:r>
      <w:r w:rsidRPr="00981DC5">
        <w:rPr>
          <w:rFonts w:ascii="Book Antiqua" w:hAnsi="Book Antiqua" w:cs="Calibri"/>
          <w:color w:val="000000" w:themeColor="text1"/>
          <w:sz w:val="24"/>
          <w:szCs w:val="24"/>
          <w:lang w:val="en-US"/>
        </w:rPr>
        <w:t xml:space="preserve"> because the results gleaned do not always correlate with those found in primary cancers</w:t>
      </w:r>
      <w:r w:rsidRPr="00981DC5">
        <w:rPr>
          <w:rFonts w:ascii="Book Antiqua" w:hAnsi="Book Antiqua" w:cs="Calibri"/>
          <w:color w:val="000000" w:themeColor="text1"/>
          <w:sz w:val="24"/>
          <w:szCs w:val="24"/>
          <w:lang w:val="en-US"/>
        </w:rPr>
        <w:fldChar w:fldCharType="begin" w:fldLock="1"/>
      </w:r>
      <w:r w:rsidR="00077BD5" w:rsidRPr="00981DC5">
        <w:rPr>
          <w:rFonts w:ascii="Book Antiqua" w:hAnsi="Book Antiqua" w:cs="Calibri"/>
          <w:color w:val="000000" w:themeColor="text1"/>
          <w:sz w:val="24"/>
          <w:szCs w:val="24"/>
          <w:lang w:val="en-US"/>
        </w:rPr>
        <w:instrText>ADDIN CSL_CITATION {"citationItems":[{"id":"ITEM-1","itemData":{"DOI":"10.1007/978-3-319-30654-4_13","ISSN":"0065-2598","PMID":"27165359","abstract":"Animal xenografts of human cancers represent a key preclinical tool in the field of cancer research. While mouse xenografts have long been the gold standard, investigators have begun to use zebrafish (Danio rerio) xenotransplantation as a relatively rapid, robust and cost-effective in vivo model of human cancers. There are several important methodological considerations in the design of an informative and efficient zebrafish xenotransplantation experiment. Various transgenic fish strains have been created that facilitate microscopic observation, ranging from the completely transparent casper fish to the Tg(fli1:eGFP) fish that expresses fluorescent GFP protein in its vascular tissue. While human cancer cell lines have been used extensively in zebrafish xenotransplantation studies, several reports have also used primary patient samples as the donor material. The zebrafish is ideally suited for transplanting primary patient material by virtue of the relatively low number of cells required for each embryo (between 50 and 300 cells), the absence of an adaptive immune system in the early zebrafish embryo, and the short experimental timeframe (5-7 days). Following xenotransplantation into the fish, cells can be tracked using in vivo or ex vivo measures of cell proliferation and migration, facilitated by fluorescence or human-specific protein expression. Importantly, assays have been developed that allow for the reliable detection of in vivo human cancer cell growth or inhibition following administration of drugs of interest. The zebrafish xenotransplantation model is a unique and effective tool for the study of cancer cell biology.","author":[{"dropping-particle":"","family":"Wertman","given":"Jaime","non-dropping-particle":"","parse-names":false,"suffix":""},{"dropping-particle":"","family":"Veinotte","given":"Chansey J","non-dropping-particle":"","parse-names":false,"suffix":""},{"dropping-particle":"","family":"Dellaire","given":"Graham","non-dropping-particle":"","parse-names":false,"suffix":""},{"dropping-particle":"","family":"Berman","given":"Jason N","non-dropping-particle":"","parse-names":false,"suffix":""}],"container-title":"Advances in experimental medicine and biology","id":"ITEM-1","issued":{"date-parts":[["2016"]]},"page":"289-314","title":"The Zebrafish Xenograft Platform: Evolution of a Novel Cancer Model and Preclinical Screening Tool.","type":"article-journal","volume":"916"},"uris":["http://www.mendeley.com/documents/?uuid=39dcf1b7-0a52-3451-b773-09f74c35b332"]}],"mendeley":{"formattedCitation":"&lt;sup&gt;[32]&lt;/sup&gt;","plainTextFormattedCitation":"[32]","previouslyFormattedCitation":"&lt;sup&gt;[32]&lt;/sup&gt;"},"properties":{"noteIndex":0},"schema":"https://github.com/citation-style-language/schema/raw/master/csl-citation.json"}</w:instrText>
      </w:r>
      <w:r w:rsidRPr="00981DC5">
        <w:rPr>
          <w:rFonts w:ascii="Book Antiqua" w:hAnsi="Book Antiqua" w:cs="Calibri"/>
          <w:color w:val="000000" w:themeColor="text1"/>
          <w:sz w:val="24"/>
          <w:szCs w:val="24"/>
          <w:lang w:val="en-US"/>
        </w:rPr>
        <w:fldChar w:fldCharType="separate"/>
      </w:r>
      <w:r w:rsidR="00077BD5" w:rsidRPr="00981DC5">
        <w:rPr>
          <w:rFonts w:ascii="Book Antiqua" w:hAnsi="Book Antiqua" w:cs="Calibri"/>
          <w:noProof/>
          <w:color w:val="000000" w:themeColor="text1"/>
          <w:sz w:val="24"/>
          <w:szCs w:val="24"/>
          <w:vertAlign w:val="superscript"/>
          <w:lang w:val="en-US"/>
        </w:rPr>
        <w:t>[32]</w:t>
      </w:r>
      <w:r w:rsidRPr="00981DC5">
        <w:rPr>
          <w:rFonts w:ascii="Book Antiqua" w:hAnsi="Book Antiqua" w:cs="Calibri"/>
          <w:color w:val="000000" w:themeColor="text1"/>
          <w:sz w:val="24"/>
          <w:szCs w:val="24"/>
          <w:lang w:val="en-US"/>
        </w:rPr>
        <w:fldChar w:fldCharType="end"/>
      </w:r>
      <w:r w:rsidRPr="00981DC5">
        <w:rPr>
          <w:rFonts w:ascii="Book Antiqua" w:hAnsi="Book Antiqua" w:cs="Calibri"/>
          <w:color w:val="000000" w:themeColor="text1"/>
          <w:sz w:val="24"/>
          <w:szCs w:val="24"/>
          <w:lang w:val="en-US"/>
        </w:rPr>
        <w:t xml:space="preserve">. In fact cell lines do not capture the heterogeneity that exists within a given cancer because </w:t>
      </w:r>
      <w:r w:rsidRPr="00981DC5">
        <w:rPr>
          <w:rFonts w:ascii="Book Antiqua" w:hAnsi="Book Antiqua" w:cs="Calibri"/>
          <w:bCs/>
          <w:color w:val="000000" w:themeColor="text1"/>
          <w:sz w:val="24"/>
          <w:szCs w:val="24"/>
          <w:lang w:val="en-US"/>
        </w:rPr>
        <w:t>clones with a higher proliferative rate than that of the primary tumor are selected during the process of adaptation, and thus they could not be really representative of the cancer cell population</w:t>
      </w:r>
      <w:r w:rsidRPr="00981DC5">
        <w:rPr>
          <w:rFonts w:ascii="Book Antiqua" w:hAnsi="Book Antiqua" w:cs="Calibri"/>
          <w:bCs/>
          <w:color w:val="000000" w:themeColor="text1"/>
          <w:sz w:val="24"/>
          <w:szCs w:val="24"/>
          <w:lang w:val="en-US"/>
        </w:rPr>
        <w:fldChar w:fldCharType="begin" w:fldLock="1"/>
      </w:r>
      <w:r w:rsidR="00077BD5" w:rsidRPr="00981DC5">
        <w:rPr>
          <w:rFonts w:ascii="Book Antiqua" w:hAnsi="Book Antiqua" w:cs="Calibri"/>
          <w:bCs/>
          <w:color w:val="000000" w:themeColor="text1"/>
          <w:sz w:val="24"/>
          <w:szCs w:val="24"/>
          <w:lang w:val="en-US"/>
        </w:rPr>
        <w:instrText>ADDIN CSL_CITATION {"citationItems":[{"id":"ITEM-1","itemData":{"DOI":"10.1158/1078-0432.CCR-14-2921","ISSN":"1078-0432","PMID":"25573382","abstract":"In an era of high-throughput \"omic\" technologies, the unprecedented amount of data that can be generated presents a significant opportunity but simultaneously an even greater challenge for oncologists trying to provide personalized treatment. Classically, preclinical testing of new targets and identification of active compounds against those targets have entailed the extensive use of established human cell lines, as well as genetically modified mouse tumor models. Patient-derived xenografts in zebrafish may in the near future provide a platform for selecting an appropriate personalized therapy and together with zebrafish transgenic tumor models represent an alternative vehicle for drug development. The zebrafish is readily genetically modified. The transparency of zebrafish embryos and the recent development of pigment-deficient zebrafish afford researchers the valuable capacity to observe directly cancer formation and progression in a live vertebrate host. The zebrafish is amenable to transplantation assays that test the serial passage of fluorescently labeled tumor cells as well as their capacity to disseminate and/or metastasize. Progress achieved to date in genetic engineering and xenotransplantation will establish the zebrafish as one of the most versatile animal models for cancer research. A model organism that can be used in transgenesis, transplantation assays, single-cell functional assays, and in vivo imaging studies make zebrafish a natural companion for mice in translational oncology research.","author":[{"dropping-particle":"","family":"Barriuso","given":"Jorge","non-dropping-particle":"","parse-names":false,"suffix":""},{"dropping-particle":"","family":"Nagaraju","given":"Raghavendar","non-dropping-particle":"","parse-names":false,"suffix":""},{"dropping-particle":"","family":"Hurlstone","given":"Adam","non-dropping-particle":"","parse-names":false,"suffix":""}],"container-title":"Clinical cancer research : an official journal of the American Association for Cancer Research","id":"ITEM-1","issue":"5","issued":{"date-parts":[["2015","3","1"]]},"page":"969-75","title":"Zebrafish: a new companion for translational research in oncology.","type":"article-journal","volume":"21"},"uris":["http://www.mendeley.com/documents/?uuid=fb1dddb4-b192-3d5f-8bc3-d8e1af9df1f2"]}],"mendeley":{"formattedCitation":"&lt;sup&gt;[38]&lt;/sup&gt;","plainTextFormattedCitation":"[38]","previouslyFormattedCitation":"&lt;sup&gt;[38]&lt;/sup&gt;"},"properties":{"noteIndex":0},"schema":"https://github.com/citation-style-language/schema/raw/master/csl-citation.json"}</w:instrText>
      </w:r>
      <w:r w:rsidRPr="00981DC5">
        <w:rPr>
          <w:rFonts w:ascii="Book Antiqua" w:hAnsi="Book Antiqua" w:cs="Calibri"/>
          <w:bCs/>
          <w:color w:val="000000" w:themeColor="text1"/>
          <w:sz w:val="24"/>
          <w:szCs w:val="24"/>
          <w:lang w:val="en-US"/>
        </w:rPr>
        <w:fldChar w:fldCharType="separate"/>
      </w:r>
      <w:r w:rsidR="00077BD5" w:rsidRPr="00981DC5">
        <w:rPr>
          <w:rFonts w:ascii="Book Antiqua" w:hAnsi="Book Antiqua" w:cs="Calibri"/>
          <w:bCs/>
          <w:noProof/>
          <w:color w:val="000000" w:themeColor="text1"/>
          <w:sz w:val="24"/>
          <w:szCs w:val="24"/>
          <w:vertAlign w:val="superscript"/>
          <w:lang w:val="en-US"/>
        </w:rPr>
        <w:t>[38]</w:t>
      </w:r>
      <w:r w:rsidRPr="00981DC5">
        <w:rPr>
          <w:rFonts w:ascii="Book Antiqua" w:hAnsi="Book Antiqua" w:cs="Calibri"/>
          <w:bCs/>
          <w:color w:val="000000" w:themeColor="text1"/>
          <w:sz w:val="24"/>
          <w:szCs w:val="24"/>
          <w:lang w:val="en-US"/>
        </w:rPr>
        <w:fldChar w:fldCharType="end"/>
      </w:r>
      <w:r w:rsidRPr="00981DC5">
        <w:rPr>
          <w:rFonts w:ascii="Book Antiqua" w:hAnsi="Book Antiqua" w:cs="Calibri"/>
          <w:bCs/>
          <w:color w:val="000000" w:themeColor="text1"/>
          <w:sz w:val="24"/>
          <w:szCs w:val="24"/>
          <w:lang w:val="en-US"/>
        </w:rPr>
        <w:t xml:space="preserve">. </w:t>
      </w:r>
      <w:r w:rsidRPr="00981DC5">
        <w:rPr>
          <w:rFonts w:ascii="Book Antiqua" w:hAnsi="Book Antiqua" w:cs="Calibri"/>
          <w:color w:val="000000" w:themeColor="text1"/>
          <w:sz w:val="24"/>
          <w:szCs w:val="24"/>
          <w:lang w:val="en-US"/>
        </w:rPr>
        <w:t>However, the experience with pancreatic tissue is limited. Marques et al. described the first use of primary patient material as the transplanted tissue using small samples from pancreas, colon and stomach adenocarcinomas</w:t>
      </w:r>
      <w:r w:rsidRPr="00981DC5">
        <w:rPr>
          <w:rFonts w:ascii="Book Antiqua" w:hAnsi="Book Antiqua" w:cs="Calibri"/>
          <w:color w:val="000000" w:themeColor="text1"/>
          <w:sz w:val="24"/>
          <w:szCs w:val="24"/>
          <w:lang w:val="en-US"/>
        </w:rPr>
        <w:fldChar w:fldCharType="begin" w:fldLock="1"/>
      </w:r>
      <w:r w:rsidR="005E603D" w:rsidRPr="00981DC5">
        <w:rPr>
          <w:rFonts w:ascii="Book Antiqua" w:hAnsi="Book Antiqua" w:cs="Calibri"/>
          <w:color w:val="000000" w:themeColor="text1"/>
          <w:sz w:val="24"/>
          <w:szCs w:val="24"/>
          <w:lang w:val="en-US"/>
        </w:rPr>
        <w:instrText>ADDIN CSL_CITATION {"citationItems":[{"id":"ITEM-1","itemData":{"DOI":"10.1186/1471-2407-9-128","ISSN":"1471-2407","PMID":"19400945","abstract":"BACKGROUND Aberrant regulation of cell migration drives progression of many diseases, including cancer cell invasion and metastasis formation. Analysis of tumour invasion and metastasis in living organisms to date is cumbersome and involves difficult and time consuming investigative techniques. For primary human tumours we establish here a simple, fast, sensitive and cost-effective in vivo model to analyse tumour invasion and metastatic behaviour. METHODS We fluorescently labelled small explants from gastrointestinal human tumours and investigated their metastatic behaviour after transplantation into zebrafish embryos and larvae. The transparency of the zebrafish embryos allows to follow invasion, migration and micrometastasis formation in real-time. High resolution imaging was achieved through laser scanning confocal microscopy of live zebrafish. RESULTS In the transparent zebrafish embryos invasion, circulation of tumour cells in blood vessels, migration and micrometastasis formation can be followed in real-time. Xenografts of primary human tumours showed invasiveness and micrometastasis formation within 24 hours after transplantation, which was absent when non-tumour tissue was implanted. Furthermore, primary human tumour cells, when organotopically implanted in the zebrafish liver, demonstrated invasiveness and metastatic behaviour, whereas primary control cells remained in the liver. Pancreatic tumour cells showed no metastatic behaviour when injected into cloche mutant embryos, which lack a functional vasculature. CONCLUSION Our results show that the zebrafish is a useful in vivo animal model for rapid analysis of invasion and metastatic behaviour of primary human tumour specimen.","author":[{"dropping-particle":"","family":"Marques","given":"Ines J","non-dropping-particle":"","parse-names":false,"suffix":""},{"dropping-particle":"","family":"Weiss","given":"Frank Ulrich","non-dropping-particle":"","parse-names":false,"suffix":""},{"dropping-particle":"","family":"Vlecken","given":"Danielle H","non-dropping-particle":"","parse-names":false,"suffix":""},{"dropping-particle":"","family":"Nitsche","given":"Claudia","non-dropping-particle":"","parse-names":false,"suffix":""},{"dropping-particle":"","family":"Bakkers","given":"Jeroen","non-dropping-particle":"","parse-names":false,"suffix":""},{"dropping-particle":"","family":"Lagendijk","given":"Anne K","non-dropping-particle":"","parse-names":false,"suffix":""},{"dropping-particle":"","family":"Partecke","given":"Lars Ivo","non-dropping-particle":"","parse-names":false,"suffix":""},{"dropping-particle":"","family":"Heidecke","given":"Claus-Dieter","non-dropping-particle":"","parse-names":false,"suffix":""},{"dropping-particle":"","family":"Lerch","given":"Markus M","non-dropping-particle":"","parse-names":false,"suffix":""},{"dropping-particle":"","family":"Bagowski","given":"Christoph P","non-dropping-particle":"","parse-names":false,"suffix":""}],"container-title":"BMC Cancer","id":"ITEM-1","issue":"1","issued":{"date-parts":[["2009","12","28"]]},"page":"128","title":"Metastatic behaviour of primary human tumours in a zebrafish xenotransplantation model","type":"article-journal","volume":"9"},"uris":["http://www.mendeley.com/documents/?uuid=a9a83631-12d7-3b00-945b-0ad69199b290"]}],"mendeley":{"formattedCitation":"&lt;sup&gt;[15]&lt;/sup&gt;","plainTextFormattedCitation":"[15]","previouslyFormattedCitation":"&lt;sup&gt;[15]&lt;/sup&gt;"},"properties":{"noteIndex":0},"schema":"https://github.com/citation-style-language/schema/raw/master/csl-citation.json"}</w:instrText>
      </w:r>
      <w:r w:rsidRPr="00981DC5">
        <w:rPr>
          <w:rFonts w:ascii="Book Antiqua" w:hAnsi="Book Antiqua" w:cs="Calibri"/>
          <w:color w:val="000000" w:themeColor="text1"/>
          <w:sz w:val="24"/>
          <w:szCs w:val="24"/>
          <w:lang w:val="en-US"/>
        </w:rPr>
        <w:fldChar w:fldCharType="separate"/>
      </w:r>
      <w:r w:rsidR="005E603D" w:rsidRPr="00981DC5">
        <w:rPr>
          <w:rFonts w:ascii="Book Antiqua" w:hAnsi="Book Antiqua" w:cs="Calibri"/>
          <w:noProof/>
          <w:color w:val="000000" w:themeColor="text1"/>
          <w:sz w:val="24"/>
          <w:szCs w:val="24"/>
          <w:vertAlign w:val="superscript"/>
          <w:lang w:val="en-US"/>
        </w:rPr>
        <w:t>[15]</w:t>
      </w:r>
      <w:r w:rsidRPr="00981DC5">
        <w:rPr>
          <w:rFonts w:ascii="Book Antiqua" w:hAnsi="Book Antiqua" w:cs="Calibri"/>
          <w:color w:val="000000" w:themeColor="text1"/>
          <w:sz w:val="24"/>
          <w:szCs w:val="24"/>
          <w:lang w:val="en-US"/>
        </w:rPr>
        <w:fldChar w:fldCharType="end"/>
      </w:r>
      <w:r w:rsidRPr="00981DC5">
        <w:rPr>
          <w:rFonts w:ascii="Book Antiqua" w:hAnsi="Book Antiqua" w:cs="Calibri"/>
          <w:color w:val="000000" w:themeColor="text1"/>
          <w:sz w:val="24"/>
          <w:szCs w:val="24"/>
          <w:lang w:val="en-US"/>
        </w:rPr>
        <w:t>. Pancreatic tumor fragments showed invasion and migration in the developing zebrafish and, comparing the non-invasive pancreatitis tissue xenografted with those from infiltrating pancreatic adenocarcinoma, only the latter invaded the embryos</w:t>
      </w:r>
      <w:r w:rsidRPr="00981DC5">
        <w:rPr>
          <w:rFonts w:ascii="Book Antiqua" w:hAnsi="Book Antiqua" w:cs="Calibri"/>
          <w:color w:val="000000" w:themeColor="text1"/>
          <w:sz w:val="24"/>
          <w:szCs w:val="24"/>
          <w:lang w:val="en-US"/>
        </w:rPr>
        <w:fldChar w:fldCharType="begin" w:fldLock="1"/>
      </w:r>
      <w:r w:rsidR="005E603D" w:rsidRPr="00981DC5">
        <w:rPr>
          <w:rFonts w:ascii="Book Antiqua" w:hAnsi="Book Antiqua" w:cs="Calibri"/>
          <w:color w:val="000000" w:themeColor="text1"/>
          <w:sz w:val="24"/>
          <w:szCs w:val="24"/>
          <w:lang w:val="en-US"/>
        </w:rPr>
        <w:instrText>ADDIN CSL_CITATION {"citationItems":[{"id":"ITEM-1","itemData":{"DOI":"10.1186/1471-2407-9-128","ISSN":"1471-2407","PMID":"19400945","abstract":"BACKGROUND Aberrant regulation of cell migration drives progression of many diseases, including cancer cell invasion and metastasis formation. Analysis of tumour invasion and metastasis in living organisms to date is cumbersome and involves difficult and time consuming investigative techniques. For primary human tumours we establish here a simple, fast, sensitive and cost-effective in vivo model to analyse tumour invasion and metastatic behaviour. METHODS We fluorescently labelled small explants from gastrointestinal human tumours and investigated their metastatic behaviour after transplantation into zebrafish embryos and larvae. The transparency of the zebrafish embryos allows to follow invasion, migration and micrometastasis formation in real-time. High resolution imaging was achieved through laser scanning confocal microscopy of live zebrafish. RESULTS In the transparent zebrafish embryos invasion, circulation of tumour cells in blood vessels, migration and micrometastasis formation can be followed in real-time. Xenografts of primary human tumours showed invasiveness and micrometastasis formation within 24 hours after transplantation, which was absent when non-tumour tissue was implanted. Furthermore, primary human tumour cells, when organotopically implanted in the zebrafish liver, demonstrated invasiveness and metastatic behaviour, whereas primary control cells remained in the liver. Pancreatic tumour cells showed no metastatic behaviour when injected into cloche mutant embryos, which lack a functional vasculature. CONCLUSION Our results show that the zebrafish is a useful in vivo animal model for rapid analysis of invasion and metastatic behaviour of primary human tumour specimen.","author":[{"dropping-particle":"","family":"Marques","given":"Ines J","non-dropping-particle":"","parse-names":false,"suffix":""},{"dropping-particle":"","family":"Weiss","given":"Frank Ulrich","non-dropping-particle":"","parse-names":false,"suffix":""},{"dropping-particle":"","family":"Vlecken","given":"Danielle H","non-dropping-particle":"","parse-names":false,"suffix":""},{"dropping-particle":"","family":"Nitsche","given":"Claudia","non-dropping-particle":"","parse-names":false,"suffix":""},{"dropping-particle":"","family":"Bakkers","given":"Jeroen","non-dropping-particle":"","parse-names":false,"suffix":""},{"dropping-particle":"","family":"Lagendijk","given":"Anne K","non-dropping-particle":"","parse-names":false,"suffix":""},{"dropping-particle":"","family":"Partecke","given":"Lars Ivo","non-dropping-particle":"","parse-names":false,"suffix":""},{"dropping-particle":"","family":"Heidecke","given":"Claus-Dieter","non-dropping-particle":"","parse-names":false,"suffix":""},{"dropping-particle":"","family":"Lerch","given":"Markus M","non-dropping-particle":"","parse-names":false,"suffix":""},{"dropping-particle":"","family":"Bagowski","given":"Christoph P","non-dropping-particle":"","parse-names":false,"suffix":""}],"container-title":"BMC Cancer","id":"ITEM-1","issue":"1","issued":{"date-parts":[["2009","12","28"]]},"page":"128","title":"Metastatic behaviour of primary human tumours in a zebrafish xenotransplantation model","type":"article-journal","volume":"9"},"uris":["http://www.mendeley.com/documents/?uuid=a9a83631-12d7-3b00-945b-0ad69199b290"]}],"mendeley":{"formattedCitation":"&lt;sup&gt;[15]&lt;/sup&gt;","plainTextFormattedCitation":"[15]","previouslyFormattedCitation":"&lt;sup&gt;[15]&lt;/sup&gt;"},"properties":{"noteIndex":0},"schema":"https://github.com/citation-style-language/schema/raw/master/csl-citation.json"}</w:instrText>
      </w:r>
      <w:r w:rsidRPr="00981DC5">
        <w:rPr>
          <w:rFonts w:ascii="Book Antiqua" w:hAnsi="Book Antiqua" w:cs="Calibri"/>
          <w:color w:val="000000" w:themeColor="text1"/>
          <w:sz w:val="24"/>
          <w:szCs w:val="24"/>
          <w:lang w:val="en-US"/>
        </w:rPr>
        <w:fldChar w:fldCharType="separate"/>
      </w:r>
      <w:r w:rsidR="005E603D" w:rsidRPr="00981DC5">
        <w:rPr>
          <w:rFonts w:ascii="Book Antiqua" w:hAnsi="Book Antiqua" w:cs="Calibri"/>
          <w:noProof/>
          <w:color w:val="000000" w:themeColor="text1"/>
          <w:sz w:val="24"/>
          <w:szCs w:val="24"/>
          <w:vertAlign w:val="superscript"/>
          <w:lang w:val="en-US"/>
        </w:rPr>
        <w:t>[15]</w:t>
      </w:r>
      <w:r w:rsidRPr="00981DC5">
        <w:rPr>
          <w:rFonts w:ascii="Book Antiqua" w:hAnsi="Book Antiqua" w:cs="Calibri"/>
          <w:color w:val="000000" w:themeColor="text1"/>
          <w:sz w:val="24"/>
          <w:szCs w:val="24"/>
          <w:lang w:val="en-US"/>
        </w:rPr>
        <w:fldChar w:fldCharType="end"/>
      </w:r>
      <w:r w:rsidRPr="00981DC5">
        <w:rPr>
          <w:rFonts w:ascii="Book Antiqua" w:hAnsi="Book Antiqua" w:cs="Calibri"/>
          <w:color w:val="000000" w:themeColor="text1"/>
          <w:sz w:val="24"/>
          <w:szCs w:val="24"/>
          <w:lang w:val="en-US"/>
        </w:rPr>
        <w:t xml:space="preserve">. Guo </w:t>
      </w:r>
      <w:r w:rsidR="00463B5F" w:rsidRPr="00463B5F">
        <w:rPr>
          <w:rFonts w:ascii="Book Antiqua" w:hAnsi="Book Antiqua" w:cs="Calibri"/>
          <w:i/>
          <w:iCs/>
          <w:color w:val="000000" w:themeColor="text1"/>
          <w:sz w:val="24"/>
          <w:szCs w:val="24"/>
          <w:lang w:val="en-US"/>
        </w:rPr>
        <w:t xml:space="preserve">et </w:t>
      </w:r>
      <w:proofErr w:type="gramStart"/>
      <w:r w:rsidR="00463B5F" w:rsidRPr="00463B5F">
        <w:rPr>
          <w:rFonts w:ascii="Book Antiqua" w:hAnsi="Book Antiqua" w:cs="Calibri"/>
          <w:i/>
          <w:iCs/>
          <w:color w:val="000000" w:themeColor="text1"/>
          <w:sz w:val="24"/>
          <w:szCs w:val="24"/>
          <w:lang w:val="en-US"/>
        </w:rPr>
        <w:t>al</w:t>
      </w:r>
      <w:r w:rsidR="00463B5F" w:rsidRPr="00463B5F">
        <w:rPr>
          <w:rFonts w:ascii="Book Antiqua" w:hAnsi="Book Antiqua" w:cs="Calibri"/>
          <w:color w:val="000000" w:themeColor="text1"/>
          <w:sz w:val="24"/>
          <w:szCs w:val="24"/>
          <w:vertAlign w:val="superscript"/>
          <w:lang w:val="en-US"/>
        </w:rPr>
        <w:t>[</w:t>
      </w:r>
      <w:proofErr w:type="gramEnd"/>
      <w:r w:rsidR="00463B5F" w:rsidRPr="00463B5F">
        <w:rPr>
          <w:rFonts w:ascii="Book Antiqua" w:hAnsi="Book Antiqua" w:cs="Calibri"/>
          <w:color w:val="000000" w:themeColor="text1"/>
          <w:sz w:val="24"/>
          <w:szCs w:val="24"/>
          <w:vertAlign w:val="superscript"/>
          <w:lang w:val="en-US"/>
        </w:rPr>
        <w:t>17]</w:t>
      </w:r>
      <w:r w:rsidR="00463B5F" w:rsidRPr="00981DC5">
        <w:rPr>
          <w:rFonts w:ascii="Book Antiqua" w:hAnsi="Book Antiqua" w:cs="Calibri"/>
          <w:color w:val="000000" w:themeColor="text1"/>
          <w:sz w:val="24"/>
          <w:szCs w:val="24"/>
          <w:lang w:val="en-US"/>
        </w:rPr>
        <w:t xml:space="preserve"> </w:t>
      </w:r>
      <w:r w:rsidRPr="00981DC5">
        <w:rPr>
          <w:rFonts w:ascii="Book Antiqua" w:hAnsi="Book Antiqua" w:cs="Calibri"/>
          <w:color w:val="000000" w:themeColor="text1"/>
          <w:sz w:val="24"/>
          <w:szCs w:val="24"/>
          <w:lang w:val="en-US"/>
        </w:rPr>
        <w:t>used cells acquired from culture dishes using a non-enzymatic cell-lifting solution and injected approximately 100-200 cancer cells labeled with CM-</w:t>
      </w:r>
      <w:proofErr w:type="spellStart"/>
      <w:r w:rsidRPr="00981DC5">
        <w:rPr>
          <w:rFonts w:ascii="Book Antiqua" w:hAnsi="Book Antiqua" w:cs="Calibri"/>
          <w:color w:val="000000" w:themeColor="text1"/>
          <w:sz w:val="24"/>
          <w:szCs w:val="24"/>
          <w:lang w:val="en-US"/>
        </w:rPr>
        <w:t>DiI</w:t>
      </w:r>
      <w:proofErr w:type="spellEnd"/>
      <w:r w:rsidRPr="00981DC5">
        <w:rPr>
          <w:rFonts w:ascii="Book Antiqua" w:hAnsi="Book Antiqua" w:cs="Calibri"/>
          <w:color w:val="000000" w:themeColor="text1"/>
          <w:sz w:val="24"/>
          <w:szCs w:val="24"/>
          <w:lang w:val="en-US"/>
        </w:rPr>
        <w:t xml:space="preserve"> into the perivitelline cavity of each zebrafish. Instead in our experience, in </w:t>
      </w:r>
      <w:r w:rsidRPr="00981DC5">
        <w:rPr>
          <w:rFonts w:ascii="Book Antiqua" w:hAnsi="Book Antiqua" w:cs="Calibri"/>
          <w:color w:val="000000" w:themeColor="text1"/>
          <w:sz w:val="24"/>
          <w:szCs w:val="24"/>
          <w:lang w:val="en-US"/>
        </w:rPr>
        <w:lastRenderedPageBreak/>
        <w:t xml:space="preserve">order to preserve the tumor micro-environment, we decided to xenotransplant fresh tissue fragments, by modifying the protocol published by Marques </w:t>
      </w:r>
      <w:r w:rsidRPr="00463B5F">
        <w:rPr>
          <w:rFonts w:ascii="Book Antiqua" w:hAnsi="Book Antiqua" w:cs="Calibri"/>
          <w:i/>
          <w:iCs/>
          <w:color w:val="000000" w:themeColor="text1"/>
          <w:sz w:val="24"/>
          <w:szCs w:val="24"/>
          <w:lang w:val="en-US"/>
        </w:rPr>
        <w:t>et al</w:t>
      </w:r>
      <w:r w:rsidRPr="00981DC5">
        <w:rPr>
          <w:rFonts w:ascii="Book Antiqua" w:hAnsi="Book Antiqua" w:cs="Calibri"/>
          <w:color w:val="000000" w:themeColor="text1"/>
          <w:sz w:val="24"/>
          <w:szCs w:val="24"/>
          <w:lang w:val="en-US"/>
        </w:rPr>
        <w:fldChar w:fldCharType="begin" w:fldLock="1"/>
      </w:r>
      <w:r w:rsidR="005E603D" w:rsidRPr="00981DC5">
        <w:rPr>
          <w:rFonts w:ascii="Book Antiqua" w:hAnsi="Book Antiqua" w:cs="Calibri"/>
          <w:color w:val="000000" w:themeColor="text1"/>
          <w:sz w:val="24"/>
          <w:szCs w:val="24"/>
          <w:lang w:val="en-US"/>
        </w:rPr>
        <w:instrText>ADDIN CSL_CITATION {"citationItems":[{"id":"ITEM-1","itemData":{"DOI":"10.1186/1471-2407-9-128","ISSN":"1471-2407","PMID":"19400945","abstract":"BACKGROUND Aberrant regulation of cell migration drives progression of many diseases, including cancer cell invasion and metastasis formation. Analysis of tumour invasion and metastasis in living organisms to date is cumbersome and involves difficult and time consuming investigative techniques. For primary human tumours we establish here a simple, fast, sensitive and cost-effective in vivo model to analyse tumour invasion and metastatic behaviour. METHODS We fluorescently labelled small explants from gastrointestinal human tumours and investigated their metastatic behaviour after transplantation into zebrafish embryos and larvae. The transparency of the zebrafish embryos allows to follow invasion, migration and micrometastasis formation in real-time. High resolution imaging was achieved through laser scanning confocal microscopy of live zebrafish. RESULTS In the transparent zebrafish embryos invasion, circulation of tumour cells in blood vessels, migration and micrometastasis formation can be followed in real-time. Xenografts of primary human tumours showed invasiveness and micrometastasis formation within 24 hours after transplantation, which was absent when non-tumour tissue was implanted. Furthermore, primary human tumour cells, when organotopically implanted in the zebrafish liver, demonstrated invasiveness and metastatic behaviour, whereas primary control cells remained in the liver. Pancreatic tumour cells showed no metastatic behaviour when injected into cloche mutant embryos, which lack a functional vasculature. CONCLUSION Our results show that the zebrafish is a useful in vivo animal model for rapid analysis of invasion and metastatic behaviour of primary human tumour specimen.","author":[{"dropping-particle":"","family":"Marques","given":"Ines J","non-dropping-particle":"","parse-names":false,"suffix":""},{"dropping-particle":"","family":"Weiss","given":"Frank Ulrich","non-dropping-particle":"","parse-names":false,"suffix":""},{"dropping-particle":"","family":"Vlecken","given":"Danielle H","non-dropping-particle":"","parse-names":false,"suffix":""},{"dropping-particle":"","family":"Nitsche","given":"Claudia","non-dropping-particle":"","parse-names":false,"suffix":""},{"dropping-particle":"","family":"Bakkers","given":"Jeroen","non-dropping-particle":"","parse-names":false,"suffix":""},{"dropping-particle":"","family":"Lagendijk","given":"Anne K","non-dropping-particle":"","parse-names":false,"suffix":""},{"dropping-particle":"","family":"Partecke","given":"Lars Ivo","non-dropping-particle":"","parse-names":false,"suffix":""},{"dropping-particle":"","family":"Heidecke","given":"Claus-Dieter","non-dropping-particle":"","parse-names":false,"suffix":""},{"dropping-particle":"","family":"Lerch","given":"Markus M","non-dropping-particle":"","parse-names":false,"suffix":""},{"dropping-particle":"","family":"Bagowski","given":"Christoph P","non-dropping-particle":"","parse-names":false,"suffix":""}],"container-title":"BMC Cancer","id":"ITEM-1","issue":"1","issued":{"date-parts":[["2009","12","28"]]},"page":"128","title":"Metastatic behaviour of primary human tumours in a zebrafish xenotransplantation model","type":"article-journal","volume":"9"},"uris":["http://www.mendeley.com/documents/?uuid=a9a83631-12d7-3b00-945b-0ad69199b290"]}],"mendeley":{"formattedCitation":"&lt;sup&gt;[15]&lt;/sup&gt;","plainTextFormattedCitation":"[15]","previouslyFormattedCitation":"&lt;sup&gt;[15]&lt;/sup&gt;"},"properties":{"noteIndex":0},"schema":"https://github.com/citation-style-language/schema/raw/master/csl-citation.json"}</w:instrText>
      </w:r>
      <w:r w:rsidRPr="00981DC5">
        <w:rPr>
          <w:rFonts w:ascii="Book Antiqua" w:hAnsi="Book Antiqua" w:cs="Calibri"/>
          <w:color w:val="000000" w:themeColor="text1"/>
          <w:sz w:val="24"/>
          <w:szCs w:val="24"/>
          <w:lang w:val="en-US"/>
        </w:rPr>
        <w:fldChar w:fldCharType="separate"/>
      </w:r>
      <w:r w:rsidR="005E603D" w:rsidRPr="00981DC5">
        <w:rPr>
          <w:rFonts w:ascii="Book Antiqua" w:hAnsi="Book Antiqua" w:cs="Calibri"/>
          <w:noProof/>
          <w:color w:val="000000" w:themeColor="text1"/>
          <w:sz w:val="24"/>
          <w:szCs w:val="24"/>
          <w:vertAlign w:val="superscript"/>
          <w:lang w:val="en-US"/>
        </w:rPr>
        <w:t>[15]</w:t>
      </w:r>
      <w:r w:rsidRPr="00981DC5">
        <w:rPr>
          <w:rFonts w:ascii="Book Antiqua" w:hAnsi="Book Antiqua" w:cs="Calibri"/>
          <w:color w:val="000000" w:themeColor="text1"/>
          <w:sz w:val="24"/>
          <w:szCs w:val="24"/>
          <w:lang w:val="en-US"/>
        </w:rPr>
        <w:fldChar w:fldCharType="end"/>
      </w:r>
      <w:r w:rsidRPr="00981DC5">
        <w:rPr>
          <w:rFonts w:ascii="Book Antiqua" w:hAnsi="Book Antiqua" w:cs="Calibri"/>
          <w:color w:val="000000" w:themeColor="text1"/>
          <w:sz w:val="24"/>
          <w:szCs w:val="24"/>
          <w:lang w:val="en-US"/>
        </w:rPr>
        <w:t>. Our data confirmed the possibility to xenotransplant tumor cells taken directly from the tumor tissue of each patient, obtaining a model for testing the sensibility to the different chemotherapies associated with the specific alterations present in the tumor of each patient. In fact, in all cases of the control group the tumor area increased at 1 dpi and 2 dpi.</w:t>
      </w:r>
    </w:p>
    <w:p w14:paraId="2104446A" w14:textId="6C57E33F" w:rsidR="006A3D96" w:rsidRPr="00981DC5" w:rsidRDefault="0036037E" w:rsidP="00B11A05">
      <w:pPr>
        <w:adjustRightInd w:val="0"/>
        <w:snapToGrid w:val="0"/>
        <w:spacing w:after="0" w:line="360" w:lineRule="auto"/>
        <w:ind w:firstLineChars="100" w:firstLine="240"/>
        <w:jc w:val="both"/>
        <w:rPr>
          <w:rFonts w:ascii="Book Antiqua" w:hAnsi="Book Antiqua" w:cs="Calibri"/>
          <w:color w:val="000000" w:themeColor="text1"/>
          <w:sz w:val="24"/>
          <w:szCs w:val="24"/>
          <w:lang w:val="en-US"/>
        </w:rPr>
      </w:pPr>
      <w:r w:rsidRPr="00981DC5">
        <w:rPr>
          <w:rFonts w:ascii="Book Antiqua" w:hAnsi="Book Antiqua" w:cs="Calibri"/>
          <w:color w:val="000000" w:themeColor="text1"/>
          <w:sz w:val="24"/>
          <w:szCs w:val="24"/>
          <w:lang w:val="en-US"/>
        </w:rPr>
        <w:t>Very few studies evaluate the use of zebrafish embryos for personalized medicine and passaging</w:t>
      </w:r>
      <w:r w:rsidRPr="00981DC5" w:rsidDel="009750C8">
        <w:rPr>
          <w:rFonts w:ascii="Book Antiqua" w:hAnsi="Book Antiqua" w:cs="Calibri"/>
          <w:color w:val="000000" w:themeColor="text1"/>
          <w:sz w:val="24"/>
          <w:szCs w:val="24"/>
          <w:lang w:val="en-US"/>
        </w:rPr>
        <w:t xml:space="preserve"> </w:t>
      </w:r>
      <w:r w:rsidRPr="00981DC5">
        <w:rPr>
          <w:rFonts w:ascii="Book Antiqua" w:hAnsi="Book Antiqua" w:cs="Calibri"/>
          <w:color w:val="000000" w:themeColor="text1"/>
          <w:sz w:val="24"/>
          <w:szCs w:val="24"/>
          <w:lang w:val="en-US"/>
        </w:rPr>
        <w:t xml:space="preserve">to the best of our knowledge there are no results in literature of treatment correlation between zebrafish xenografts and matched PDAC patients. </w:t>
      </w:r>
      <w:r w:rsidR="00474DD2" w:rsidRPr="00981DC5">
        <w:rPr>
          <w:rFonts w:ascii="Book Antiqua" w:hAnsi="Book Antiqua" w:cs="Calibri"/>
          <w:color w:val="000000" w:themeColor="text1"/>
          <w:sz w:val="24"/>
          <w:szCs w:val="24"/>
          <w:lang w:val="en-US"/>
        </w:rPr>
        <w:t>However a preclinical human cancer xenotransplantation platform has been recently developed in zebrafish to inform therapeutic decisions in patients with T-cell acute lymphoblastic leukemia</w:t>
      </w:r>
      <w:r w:rsidR="00C67049" w:rsidRPr="00981DC5">
        <w:rPr>
          <w:rFonts w:ascii="Book Antiqua" w:hAnsi="Book Antiqua" w:cs="Calibri"/>
          <w:color w:val="000000" w:themeColor="text1"/>
          <w:sz w:val="24"/>
          <w:szCs w:val="24"/>
          <w:lang w:val="en-US"/>
        </w:rPr>
        <w:fldChar w:fldCharType="begin" w:fldLock="1"/>
      </w:r>
      <w:r w:rsidR="00237FBC" w:rsidRPr="00981DC5">
        <w:rPr>
          <w:rFonts w:ascii="Book Antiqua" w:hAnsi="Book Antiqua" w:cs="Calibri"/>
          <w:color w:val="000000" w:themeColor="text1"/>
          <w:sz w:val="24"/>
          <w:szCs w:val="24"/>
          <w:lang w:val="en-US"/>
        </w:rPr>
        <w:instrText>ADDIN CSL_CITATION {"citationItems":[{"id":"ITEM-1","itemData":{"DOI":"10.3324/haematol.2014.110742","ISSN":"1592-8721","PMID":"25281505","abstract":"Cancer therapeutics is evolving to precision medicine, with the goal of matching targeted compounds with molecular aberrations underlying a patient's cancer. While murine models offer a pre-clinical tool, associated costs and time are not compatible with actionable patient-directed interventions. Using the paradigm of T-cell acute lymphoblastic leukemia, a high-risk disease with defined molecular underpinnings, we developed a zebrafish human cancer xenotransplantation model to inform therapeutic decisions. Using a focused chemical genomic approach, we demonstrate that xenografted cell lines harboring mutations in the NOTCH1 and PI3K/AKT pathways respond concordantly to their targeted therapies, patient-derived T-cell acute lymphoblastic leukemia can be successfully engrafted in zebrafish and specific drug responses can be quantitatively determined. Using this approach, we identified a mutation sensitive to γ-secretase inhibition in a xenograft from a child with T-cell acute lymphoblastic leukemia, confirmed by Sanger sequencing and validated as a gain-of-function NOTCH1 mutation. The zebrafish xenotransplantation platform provides a novel cost-effective means of tailoring leukemia therapy in real time.","author":[{"dropping-particle":"","family":"Bentley","given":"Victoria L","non-dropping-particle":"","parse-names":false,"suffix":""},{"dropping-particle":"","family":"Veinotte","given":"Chansey J","non-dropping-particle":"","parse-names":false,"suffix":""},{"dropping-particle":"","family":"Corkery","given":"Dale P","non-dropping-particle":"","parse-names":false,"suffix":""},{"dropping-particle":"","family":"Pinder","given":"Jordan B","non-dropping-particle":"","parse-names":false,"suffix":""},{"dropping-particle":"","family":"LeBlanc","given":"Marissa A","non-dropping-particle":"","parse-names":false,"suffix":""},{"dropping-particle":"","family":"Bedard","given":"Karen","non-dropping-particle":"","parse-names":false,"suffix":""},{"dropping-particle":"","family":"Weng","given":"Andrew P","non-dropping-particle":"","parse-names":false,"suffix":""},{"dropping-particle":"","family":"Berman","given":"Jason N","non-dropping-particle":"","parse-names":false,"suffix":""},{"dropping-particle":"","family":"Dellaire","given":"Graham","non-dropping-particle":"","parse-names":false,"suffix":""}],"container-title":"Haematologica","id":"ITEM-1","issue":"1","issued":{"date-parts":[["2015","1","1"]]},"page":"70-6","title":"Focused chemical genomics using zebrafish xenotransplantation as a pre-clinical therapeutic platform for T-cell acute lymphoblastic leukemia.","type":"article-journal","volume":"100"},"uris":["http://www.mendeley.com/documents/?uuid=aa55a36d-8ae8-37e9-8d6b-55fc49c0a4c7"]}],"mendeley":{"formattedCitation":"&lt;sup&gt;[37]&lt;/sup&gt;","plainTextFormattedCitation":"[37]","previouslyFormattedCitation":"&lt;sup&gt;[37]&lt;/sup&gt;"},"properties":{"noteIndex":0},"schema":"https://github.com/citation-style-language/schema/raw/master/csl-citation.json"}</w:instrText>
      </w:r>
      <w:r w:rsidR="00C67049" w:rsidRPr="00981DC5">
        <w:rPr>
          <w:rFonts w:ascii="Book Antiqua" w:hAnsi="Book Antiqua" w:cs="Calibri"/>
          <w:color w:val="000000" w:themeColor="text1"/>
          <w:sz w:val="24"/>
          <w:szCs w:val="24"/>
          <w:lang w:val="en-US"/>
        </w:rPr>
        <w:fldChar w:fldCharType="separate"/>
      </w:r>
      <w:r w:rsidR="00C67049" w:rsidRPr="00981DC5">
        <w:rPr>
          <w:rFonts w:ascii="Book Antiqua" w:hAnsi="Book Antiqua" w:cs="Calibri"/>
          <w:noProof/>
          <w:color w:val="000000" w:themeColor="text1"/>
          <w:sz w:val="24"/>
          <w:szCs w:val="24"/>
          <w:vertAlign w:val="superscript"/>
          <w:lang w:val="en-US"/>
        </w:rPr>
        <w:t>[37]</w:t>
      </w:r>
      <w:r w:rsidR="00C67049" w:rsidRPr="00981DC5">
        <w:rPr>
          <w:rFonts w:ascii="Book Antiqua" w:hAnsi="Book Antiqua" w:cs="Calibri"/>
          <w:color w:val="000000" w:themeColor="text1"/>
          <w:sz w:val="24"/>
          <w:szCs w:val="24"/>
          <w:lang w:val="en-US"/>
        </w:rPr>
        <w:fldChar w:fldCharType="end"/>
      </w:r>
      <w:r w:rsidR="00474DD2" w:rsidRPr="00981DC5">
        <w:rPr>
          <w:rFonts w:ascii="Book Antiqua" w:hAnsi="Book Antiqua" w:cs="Calibri"/>
          <w:color w:val="000000" w:themeColor="text1"/>
          <w:sz w:val="24"/>
          <w:szCs w:val="24"/>
          <w:lang w:val="en-US"/>
        </w:rPr>
        <w:t xml:space="preserve">. Moreover, a retrospective study with </w:t>
      </w:r>
      <w:proofErr w:type="spellStart"/>
      <w:r w:rsidR="00474DD2" w:rsidRPr="00981DC5">
        <w:rPr>
          <w:rFonts w:ascii="Book Antiqua" w:hAnsi="Book Antiqua" w:cs="Calibri"/>
          <w:color w:val="000000" w:themeColor="text1"/>
          <w:sz w:val="24"/>
          <w:szCs w:val="24"/>
          <w:lang w:val="en-US"/>
        </w:rPr>
        <w:t>zPDXs</w:t>
      </w:r>
      <w:proofErr w:type="spellEnd"/>
      <w:r w:rsidR="00474DD2" w:rsidRPr="00981DC5">
        <w:rPr>
          <w:rFonts w:ascii="Book Antiqua" w:hAnsi="Book Antiqua" w:cs="Calibri"/>
          <w:color w:val="000000" w:themeColor="text1"/>
          <w:sz w:val="24"/>
          <w:szCs w:val="24"/>
          <w:lang w:val="en-US"/>
        </w:rPr>
        <w:t xml:space="preserve"> from multiple myeloma cells, demonstrate that </w:t>
      </w:r>
      <w:proofErr w:type="spellStart"/>
      <w:r w:rsidR="00474DD2" w:rsidRPr="00981DC5">
        <w:rPr>
          <w:rFonts w:ascii="Book Antiqua" w:hAnsi="Book Antiqua" w:cs="Calibri"/>
          <w:color w:val="000000" w:themeColor="text1"/>
          <w:sz w:val="24"/>
          <w:szCs w:val="24"/>
          <w:lang w:val="en-US"/>
        </w:rPr>
        <w:t>zPDXs</w:t>
      </w:r>
      <w:proofErr w:type="spellEnd"/>
      <w:r w:rsidR="00474DD2" w:rsidRPr="00981DC5">
        <w:rPr>
          <w:rFonts w:ascii="Book Antiqua" w:hAnsi="Book Antiqua" w:cs="Calibri"/>
          <w:color w:val="000000" w:themeColor="text1"/>
          <w:sz w:val="24"/>
          <w:szCs w:val="24"/>
          <w:lang w:val="en-US"/>
        </w:rPr>
        <w:t xml:space="preserve"> showed a response equivalent to patient’s clinical outcome</w:t>
      </w:r>
      <w:r w:rsidR="00474DD2" w:rsidRPr="00981DC5">
        <w:rPr>
          <w:rFonts w:ascii="Book Antiqua" w:hAnsi="Book Antiqua" w:cs="Calibri"/>
          <w:color w:val="000000" w:themeColor="text1"/>
          <w:sz w:val="24"/>
          <w:szCs w:val="24"/>
          <w:lang w:val="en-US"/>
        </w:rPr>
        <w:fldChar w:fldCharType="begin" w:fldLock="1"/>
      </w:r>
      <w:r w:rsidR="00237FBC" w:rsidRPr="00981DC5">
        <w:rPr>
          <w:rFonts w:ascii="Book Antiqua" w:hAnsi="Book Antiqua" w:cs="Calibri"/>
          <w:color w:val="000000" w:themeColor="text1"/>
          <w:sz w:val="24"/>
          <w:szCs w:val="24"/>
          <w:lang w:val="en-US"/>
        </w:rPr>
        <w:instrText>ADDIN CSL_CITATION {"citationItems":[{"id":"ITEM-1","itemData":{"DOI":"10.1182/blood-2016-03-704460","ISSN":"1528-0020","PMID":"27207793","abstract":"Patient-derived multiple myeloma (MM) cells are difficult to establish in culture or propagate in vivo in murine model. Here, we describe a zebrafish xenograft model that permits rapid, reliable growth of human MM cells injected into the perivitelline space of albino zebrafish (Casper) embryos 48 hours postfertilization. MM1S and MM1R MM cell lines and primary CD138(+) MM cells were stained with CM-Dil red fluorescent dye and suspended in Matrigel prior to their injection. The cells grew at the site of injection and disseminated throughout the developing embryos and larvae. Tumor size was quantified by fluorescent microscopy, and cell fate was followed for 4 days. All of the cell line xenografts showed responses similar to those previously observed with in vitro assays. CD138(+) plasma cell xenografts derived from MM patients also grew and were inhibited by the same drugs patients had responded to clinically. Using this technique, we can assess drug sensitivity or resistance with a small number of MM cells in a short period. This raises the possibility that one might be able to assess drug sensitivity in real time with readily obtainable clinical samples.","author":[{"dropping-particle":"","family":"Lin","given":"Jianhong","non-dropping-particle":"","parse-names":false,"suffix":""},{"dropping-particle":"","family":"Zhang","given":"Weihong","non-dropping-particle":"","parse-names":false,"suffix":""},{"dropping-particle":"","family":"Zhao","given":"Jian-Jun","non-dropping-particle":"","parse-names":false,"suffix":""},{"dropping-particle":"","family":"Kwart","given":"Ariel H","non-dropping-particle":"","parse-names":false,"suffix":""},{"dropping-particle":"","family":"Yang","given":"Chun","non-dropping-particle":"","parse-names":false,"suffix":""},{"dropping-particle":"","family":"Ma","given":"Dongdong","non-dropping-particle":"","parse-names":false,"suffix":""},{"dropping-particle":"","family":"Ren","given":"Xiubao","non-dropping-particle":"","parse-names":false,"suffix":""},{"dropping-particle":"","family":"Tai","given":"Yu-Tzu","non-dropping-particle":"","parse-names":false,"suffix":""},{"dropping-particle":"","family":"Anderson","given":"Kenneth C","non-dropping-particle":"","parse-names":false,"suffix":""},{"dropping-particle":"","family":"Handin","given":"Robert I","non-dropping-particle":"","parse-names":false,"suffix":""},{"dropping-particle":"","family":"Munshi","given":"Nikhil C","non-dropping-particle":"","parse-names":false,"suffix":""}],"container-title":"Blood","id":"ITEM-1","issue":"2","issued":{"date-parts":[["2016"]]},"page":"249-52","publisher":"American Society of Hematology","title":"A clinically relevant in vivo zebrafish model of human multiple myeloma to study preclinical therapeutic efficacy.","type":"article-journal","volume":"128"},"uris":["http://www.mendeley.com/documents/?uuid=d5f24356-b90d-3038-98e1-ea0c24d50622"]}],"mendeley":{"formattedCitation":"&lt;sup&gt;[39]&lt;/sup&gt;","plainTextFormattedCitation":"[39]","previouslyFormattedCitation":"&lt;sup&gt;[39]&lt;/sup&gt;"},"properties":{"noteIndex":0},"schema":"https://github.com/citation-style-language/schema/raw/master/csl-citation.json"}</w:instrText>
      </w:r>
      <w:r w:rsidR="00474DD2" w:rsidRPr="00981DC5">
        <w:rPr>
          <w:rFonts w:ascii="Book Antiqua" w:hAnsi="Book Antiqua" w:cs="Calibri"/>
          <w:color w:val="000000" w:themeColor="text1"/>
          <w:sz w:val="24"/>
          <w:szCs w:val="24"/>
          <w:lang w:val="en-US"/>
        </w:rPr>
        <w:fldChar w:fldCharType="separate"/>
      </w:r>
      <w:r w:rsidR="00C67049" w:rsidRPr="00981DC5">
        <w:rPr>
          <w:rFonts w:ascii="Book Antiqua" w:hAnsi="Book Antiqua" w:cs="Calibri"/>
          <w:noProof/>
          <w:color w:val="000000" w:themeColor="text1"/>
          <w:sz w:val="24"/>
          <w:szCs w:val="24"/>
          <w:vertAlign w:val="superscript"/>
          <w:lang w:val="en-US"/>
        </w:rPr>
        <w:t>[39]</w:t>
      </w:r>
      <w:r w:rsidR="00474DD2" w:rsidRPr="00981DC5">
        <w:rPr>
          <w:rFonts w:ascii="Book Antiqua" w:hAnsi="Book Antiqua" w:cs="Calibri"/>
          <w:color w:val="000000" w:themeColor="text1"/>
          <w:sz w:val="24"/>
          <w:szCs w:val="24"/>
          <w:lang w:val="en-US"/>
        </w:rPr>
        <w:fldChar w:fldCharType="end"/>
      </w:r>
      <w:r w:rsidR="00474DD2" w:rsidRPr="00981DC5">
        <w:rPr>
          <w:rFonts w:ascii="Book Antiqua" w:hAnsi="Book Antiqua" w:cs="Calibri"/>
          <w:color w:val="000000" w:themeColor="text1"/>
          <w:sz w:val="24"/>
          <w:szCs w:val="24"/>
          <w:lang w:val="en-US"/>
        </w:rPr>
        <w:t xml:space="preserve">. </w:t>
      </w:r>
      <w:r w:rsidR="00992CDD" w:rsidRPr="00981DC5">
        <w:rPr>
          <w:rFonts w:ascii="Book Antiqua" w:hAnsi="Book Antiqua" w:cs="Calibri"/>
          <w:color w:val="000000" w:themeColor="text1"/>
          <w:sz w:val="24"/>
          <w:szCs w:val="24"/>
          <w:lang w:val="en-US"/>
        </w:rPr>
        <w:t>Similarly,</w:t>
      </w:r>
      <w:r w:rsidR="00474DD2" w:rsidRPr="00981DC5">
        <w:rPr>
          <w:rFonts w:ascii="Book Antiqua" w:hAnsi="Book Antiqua" w:cs="Calibri"/>
          <w:color w:val="000000" w:themeColor="text1"/>
          <w:sz w:val="24"/>
          <w:szCs w:val="24"/>
          <w:lang w:val="en-US"/>
        </w:rPr>
        <w:t xml:space="preserve"> Wu </w:t>
      </w:r>
      <w:r w:rsidR="00474DD2" w:rsidRPr="00463B5F">
        <w:rPr>
          <w:rFonts w:ascii="Book Antiqua" w:hAnsi="Book Antiqua" w:cs="Calibri"/>
          <w:i/>
          <w:iCs/>
          <w:color w:val="000000" w:themeColor="text1"/>
          <w:sz w:val="24"/>
          <w:szCs w:val="24"/>
          <w:lang w:val="en-US"/>
        </w:rPr>
        <w:t>et al</w:t>
      </w:r>
      <w:r w:rsidR="00463B5F" w:rsidRPr="00981DC5">
        <w:rPr>
          <w:rFonts w:ascii="Book Antiqua" w:hAnsi="Book Antiqua" w:cs="Calibri"/>
          <w:color w:val="000000" w:themeColor="text1"/>
          <w:sz w:val="24"/>
          <w:szCs w:val="24"/>
          <w:lang w:val="en-US"/>
        </w:rPr>
        <w:fldChar w:fldCharType="begin" w:fldLock="1"/>
      </w:r>
      <w:r w:rsidR="00463B5F" w:rsidRPr="00981DC5">
        <w:rPr>
          <w:rFonts w:ascii="Book Antiqua" w:hAnsi="Book Antiqua" w:cs="Calibri"/>
          <w:color w:val="000000" w:themeColor="text1"/>
          <w:sz w:val="24"/>
          <w:szCs w:val="24"/>
          <w:lang w:val="en-US"/>
        </w:rPr>
        <w:instrText>ADDIN CSL_CITATION {"citationItems":[{"id":"ITEM-1","itemData":{"DOI":"10.1186/s13046-017-0631-0","ISSN":"1756-9966","PMID":"29141689","abstract":"BACKGROUND Gastric cancer (GC) is among the most commonly cancer occurred in Asian, especially in China. With its high heterogeneity and few of validated drug targets, GC remains to be one of the most under explored areas of precision medicine. In this study, we aimed to establish an in vivo patient-derived xenograft (PDX) model based on zebrafish (Danio rerio) embryos, allowing for a rapid analysis of the angiogenic and invasive potentials, as well as a fast drug sensitivity testing. METHODS Two human gastric cancer cell lines (AGS and SGC-7901) were xenografted into zebrafish embryos, their sensitivity to 5-FU were tested both in vitro and in vivo. Fourteen human primary cells from gastric cancer tissue were xenografted into zebrafish embryos, their proliferating, angiogenic and metastatic activities were evaluated in vivo. Sensitivity to 5-FU, docetaxel, and apatinib were also tested on primary samples from four patients. RESULTS SGC-7901 showed higher sensitivity to 5-FU than AGS both in vitro (6.3 ± 0.9 μM vs.10.5 ± 1.8 μM) and in vivo. Nine out of fourteen patient samples were successfully transplanted in zebrafish embryos and all showed proliferating, angiogenic and metastatic potentials in the living embryos. Four cases showed varied sensitivity to the selected three chemotherapeutic drugs. CONCLUSIONS Our zebrafish PDX (zPDX) model is a preclinically reliable in vivo model for GC. The zPDX model is also a promising platform for the translational research and personalized treatment on GC.","author":[{"dropping-particle":"","family":"Wu","given":"Jia-Qi","non-dropping-particle":"","parse-names":false,"suffix":""},{"dropping-particle":"","family":"Zhai","given":"Jing","non-dropping-particle":"","parse-names":false,"suffix":""},{"dropping-particle":"","family":"Li","given":"Chong-Yong","non-dropping-particle":"","parse-names":false,"suffix":""},{"dropping-particle":"","family":"Tan","given":"Ai-Min","non-dropping-particle":"","parse-names":false,"suffix":""},{"dropping-particle":"","family":"Wei","given":"Ping","non-dropping-particle":"","parse-names":false,"suffix":""},{"dropping-particle":"","family":"Shen","given":"Li-Zong","non-dropping-particle":"","parse-names":false,"suffix":""},{"dropping-particle":"","family":"He","given":"Ming-Fang","non-dropping-particle":"","parse-names":false,"suffix":""}],"container-title":"Journal of experimental &amp; clinical cancer research : CR","id":"ITEM-1","issue":"1","issued":{"date-parts":[["2017"]]},"page":"160","publisher":"BioMed Central Ltd.","title":"Patient-derived xenograft in zebrafish embryos: a new platform for translational research in gastric cancer.","type":"article-journal","volume":"36"},"uris":["http://www.mendeley.com/documents/?uuid=6a02d5ef-0d26-305b-a355-c4a72417bdb7"]}],"mendeley":{"formattedCitation":"&lt;sup&gt;[33]&lt;/sup&gt;","plainTextFormattedCitation":"[33]","previouslyFormattedCitation":"&lt;sup&gt;[33]&lt;/sup&gt;"},"properties":{"noteIndex":0},"schema":"https://github.com/citation-style-language/schema/raw/master/csl-citation.json"}</w:instrText>
      </w:r>
      <w:r w:rsidR="00463B5F" w:rsidRPr="00981DC5">
        <w:rPr>
          <w:rFonts w:ascii="Book Antiqua" w:hAnsi="Book Antiqua" w:cs="Calibri"/>
          <w:color w:val="000000" w:themeColor="text1"/>
          <w:sz w:val="24"/>
          <w:szCs w:val="24"/>
          <w:lang w:val="en-US"/>
        </w:rPr>
        <w:fldChar w:fldCharType="separate"/>
      </w:r>
      <w:r w:rsidR="00463B5F" w:rsidRPr="00981DC5">
        <w:rPr>
          <w:rFonts w:ascii="Book Antiqua" w:hAnsi="Book Antiqua" w:cs="Calibri"/>
          <w:noProof/>
          <w:color w:val="000000" w:themeColor="text1"/>
          <w:sz w:val="24"/>
          <w:szCs w:val="24"/>
          <w:vertAlign w:val="superscript"/>
          <w:lang w:val="en-US"/>
        </w:rPr>
        <w:t>[33]</w:t>
      </w:r>
      <w:r w:rsidR="00463B5F" w:rsidRPr="00981DC5">
        <w:rPr>
          <w:rFonts w:ascii="Book Antiqua" w:hAnsi="Book Antiqua" w:cs="Calibri"/>
          <w:color w:val="000000" w:themeColor="text1"/>
          <w:sz w:val="24"/>
          <w:szCs w:val="24"/>
          <w:lang w:val="en-US"/>
        </w:rPr>
        <w:fldChar w:fldCharType="end"/>
      </w:r>
      <w:r w:rsidR="00474DD2" w:rsidRPr="00981DC5">
        <w:rPr>
          <w:rFonts w:ascii="Book Antiqua" w:hAnsi="Book Antiqua" w:cs="Calibri"/>
          <w:color w:val="000000" w:themeColor="text1"/>
          <w:sz w:val="24"/>
          <w:szCs w:val="24"/>
          <w:lang w:val="en-US"/>
        </w:rPr>
        <w:t xml:space="preserve"> showed a retrospective correlation with one gastric tumor patient clinical outcome. In 2017 </w:t>
      </w:r>
      <w:proofErr w:type="spellStart"/>
      <w:r w:rsidR="00474DD2" w:rsidRPr="00981DC5">
        <w:rPr>
          <w:rFonts w:ascii="Book Antiqua" w:hAnsi="Book Antiqua" w:cs="Calibri"/>
          <w:color w:val="000000" w:themeColor="text1"/>
          <w:sz w:val="24"/>
          <w:szCs w:val="24"/>
          <w:lang w:val="en-US"/>
        </w:rPr>
        <w:t>Fior</w:t>
      </w:r>
      <w:proofErr w:type="spellEnd"/>
      <w:r w:rsidR="00474DD2" w:rsidRPr="00981DC5">
        <w:rPr>
          <w:rFonts w:ascii="Book Antiqua" w:hAnsi="Book Antiqua" w:cs="Calibri"/>
          <w:color w:val="000000" w:themeColor="text1"/>
          <w:sz w:val="24"/>
          <w:szCs w:val="24"/>
          <w:lang w:val="en-US"/>
        </w:rPr>
        <w:t xml:space="preserve"> </w:t>
      </w:r>
      <w:r w:rsidR="00474DD2" w:rsidRPr="00463B5F">
        <w:rPr>
          <w:rFonts w:ascii="Book Antiqua" w:hAnsi="Book Antiqua" w:cs="Calibri"/>
          <w:i/>
          <w:iCs/>
          <w:color w:val="000000" w:themeColor="text1"/>
          <w:sz w:val="24"/>
          <w:szCs w:val="24"/>
          <w:lang w:val="en-US"/>
        </w:rPr>
        <w:t>et al</w:t>
      </w:r>
      <w:r w:rsidR="00463B5F" w:rsidRPr="00981DC5">
        <w:rPr>
          <w:rFonts w:ascii="Book Antiqua" w:hAnsi="Book Antiqua" w:cs="Calibri"/>
          <w:color w:val="000000" w:themeColor="text1"/>
          <w:sz w:val="24"/>
          <w:szCs w:val="24"/>
          <w:lang w:val="en-US"/>
        </w:rPr>
        <w:fldChar w:fldCharType="begin" w:fldLock="1"/>
      </w:r>
      <w:r w:rsidR="00463B5F" w:rsidRPr="00981DC5">
        <w:rPr>
          <w:rFonts w:ascii="Book Antiqua" w:hAnsi="Book Antiqua" w:cs="Calibri"/>
          <w:color w:val="000000" w:themeColor="text1"/>
          <w:sz w:val="24"/>
          <w:szCs w:val="24"/>
          <w:lang w:val="en-US"/>
        </w:rPr>
        <w:instrText>ADDIN CSL_CITATION {"citationItems":[{"id":"ITEM-1","itemData":{"DOI":"10.1073/pnas.1618389114","ISSN":"1091-6490","PMID":"28835536","abstract":"Cancer is as unique as the person fighting it. With the exception of a few biomarker-driven therapies, patients go through rounds of trial-and-error approaches to find the best treatment. Using patient-derived cell lines, we show that zebrafish larvae xenotransplants constitute a fast and highly sensitive in vivo model for differential therapy response, with resolution to reveal intratumor functional cancer heterogeneity. We screened international colorectal cancer therapeutic guidelines and determined distinct functional tumor behaviors (proliferation, metastasis, and angiogenesis) and differential sensitivities to standard therapy. We observed a general higher sensitivity to FOLFIRI [5-fluorouracil(FU)+irinotecan+folinic acid] than to FOLFOX (5-FU+oxaliplatin+folinic acid), not only between isogenic tumors but also within the same tumor. We directly compared zebrafish xenografts with mouse xenografts and show that relative sensitivities obtained in zebrafish are maintained in the rodent model. Our data also illustrate how KRAS mutations can provide proliferation advantages in relation to KRASWT and how chemotherapy can unbalance this advantage, selecting for a minor clone resistant to chemotherapy. Zebrafish xenografts provide remarkable resolution to measure Cetuximab sensitivity. Finally, we demonstrate the feasibility of using primary patient samples to generate zebrafish patient-derived xenografts (zPDX) and provide proof-of-concept experiments that compare response to chemotherapy and biological therapies between patients and zPDX. Altogether, our results suggest that zebrafish larvae xenografts constitute a promising fast assay for precision medicine, bridging the gap between genotype and phenotype in an in vivo setting.","author":[{"dropping-particle":"","family":"Fior","given":"Rita","non-dropping-particle":"","parse-names":false,"suffix":""},{"dropping-particle":"","family":"Póvoa","given":"Vanda","non-dropping-particle":"","parse-names":false,"suffix":""},{"dropping-particle":"V","family":"Mendes","given":"Raquel","non-dropping-particle":"","parse-names":false,"suffix":""},{"dropping-particle":"","family":"Carvalho","given":"Tânia","non-dropping-particle":"","parse-names":false,"suffix":""},{"dropping-particle":"","family":"Gomes","given":"António","non-dropping-particle":"","parse-names":false,"suffix":""},{"dropping-particle":"","family":"Figueiredo","given":"Nuno","non-dropping-particle":"","parse-names":false,"suffix":""},{"dropping-particle":"","family":"Ferreira","given":"Miguel Godinho","non-dropping-particle":"","parse-names":false,"suffix":""}],"container-title":"Proceedings of the National Academy of Sciences of the United States of America","id":"ITEM-1","issue":"39","issued":{"date-parts":[["2017","9","26"]]},"page":"E8234-E8243","title":"Single-cell functional and chemosensitive profiling of combinatorial colorectal therapy in zebrafish xenografts.","type":"article-journal","volume":"114"},"uris":["http://www.mendeley.com/documents/?uuid=1aff67bd-c7e6-338c-b70e-4be9353a1858"]}],"mendeley":{"formattedCitation":"&lt;sup&gt;[34]&lt;/sup&gt;","plainTextFormattedCitation":"[34]","previouslyFormattedCitation":"&lt;sup&gt;[34]&lt;/sup&gt;"},"properties":{"noteIndex":0},"schema":"https://github.com/citation-style-language/schema/raw/master/csl-citation.json"}</w:instrText>
      </w:r>
      <w:r w:rsidR="00463B5F" w:rsidRPr="00981DC5">
        <w:rPr>
          <w:rFonts w:ascii="Book Antiqua" w:hAnsi="Book Antiqua" w:cs="Calibri"/>
          <w:color w:val="000000" w:themeColor="text1"/>
          <w:sz w:val="24"/>
          <w:szCs w:val="24"/>
          <w:lang w:val="en-US"/>
        </w:rPr>
        <w:fldChar w:fldCharType="separate"/>
      </w:r>
      <w:r w:rsidR="00463B5F" w:rsidRPr="00981DC5">
        <w:rPr>
          <w:rFonts w:ascii="Book Antiqua" w:hAnsi="Book Antiqua" w:cs="Calibri"/>
          <w:noProof/>
          <w:color w:val="000000" w:themeColor="text1"/>
          <w:sz w:val="24"/>
          <w:szCs w:val="24"/>
          <w:vertAlign w:val="superscript"/>
          <w:lang w:val="en-US"/>
        </w:rPr>
        <w:t>[34]</w:t>
      </w:r>
      <w:r w:rsidR="00463B5F" w:rsidRPr="00981DC5">
        <w:rPr>
          <w:rFonts w:ascii="Book Antiqua" w:hAnsi="Book Antiqua" w:cs="Calibri"/>
          <w:color w:val="000000" w:themeColor="text1"/>
          <w:sz w:val="24"/>
          <w:szCs w:val="24"/>
          <w:lang w:val="en-US"/>
        </w:rPr>
        <w:fldChar w:fldCharType="end"/>
      </w:r>
      <w:r w:rsidR="00474DD2" w:rsidRPr="00981DC5">
        <w:rPr>
          <w:rFonts w:ascii="Book Antiqua" w:hAnsi="Book Antiqua" w:cs="Calibri"/>
          <w:color w:val="000000" w:themeColor="text1"/>
          <w:sz w:val="24"/>
          <w:szCs w:val="24"/>
          <w:lang w:val="en-US"/>
        </w:rPr>
        <w:t xml:space="preserve"> performed a retrospective study, showing that colorectal patient’s avatars are predictive of patient clinical outcome in 4 out 5 patients (80%). These results bode well for our co-clinical trial (NCT03668418).</w:t>
      </w:r>
      <w:r w:rsidR="002C5768" w:rsidRPr="00981DC5">
        <w:rPr>
          <w:rFonts w:ascii="Book Antiqua" w:hAnsi="Book Antiqua" w:cs="Calibri"/>
          <w:color w:val="000000" w:themeColor="text1"/>
          <w:sz w:val="24"/>
          <w:szCs w:val="24"/>
          <w:lang w:val="en-US"/>
        </w:rPr>
        <w:t xml:space="preserve"> </w:t>
      </w:r>
      <w:r w:rsidR="006A3D96" w:rsidRPr="00981DC5">
        <w:rPr>
          <w:rFonts w:ascii="Book Antiqua" w:hAnsi="Book Antiqua" w:cs="Calibri"/>
          <w:color w:val="000000" w:themeColor="text1"/>
          <w:sz w:val="24"/>
          <w:szCs w:val="24"/>
          <w:lang w:val="en-US"/>
        </w:rPr>
        <w:t xml:space="preserve">Our study is the first one that evaluate the use of zebrafish embryos as avatar for patients affected by pancreatic cancer. Preliminary results are encouraging. </w:t>
      </w:r>
      <w:r w:rsidR="006F45EB" w:rsidRPr="00981DC5">
        <w:rPr>
          <w:rFonts w:ascii="Book Antiqua" w:eastAsia="Book Antiqua" w:hAnsi="Book Antiqua" w:cs="Book Antiqua"/>
          <w:color w:val="000000" w:themeColor="text1"/>
          <w:sz w:val="24"/>
          <w:szCs w:val="24"/>
          <w:lang w:val="en-US"/>
        </w:rPr>
        <w:t xml:space="preserve">Indeed, in all cases the tumor cells successfully engrafted in the </w:t>
      </w:r>
      <w:proofErr w:type="spellStart"/>
      <w:r w:rsidR="006F45EB" w:rsidRPr="00981DC5">
        <w:rPr>
          <w:rFonts w:ascii="Book Antiqua" w:eastAsia="Book Antiqua" w:hAnsi="Book Antiqua" w:cs="Book Antiqua"/>
          <w:color w:val="000000" w:themeColor="text1"/>
          <w:sz w:val="24"/>
          <w:szCs w:val="24"/>
          <w:lang w:val="en-US"/>
        </w:rPr>
        <w:t>xenotransplanted</w:t>
      </w:r>
      <w:proofErr w:type="spellEnd"/>
      <w:r w:rsidR="006F45EB" w:rsidRPr="00981DC5">
        <w:rPr>
          <w:rFonts w:ascii="Book Antiqua" w:eastAsia="Book Antiqua" w:hAnsi="Book Antiqua" w:cs="Book Antiqua"/>
          <w:color w:val="000000" w:themeColor="text1"/>
          <w:sz w:val="24"/>
          <w:szCs w:val="24"/>
          <w:lang w:val="en-US"/>
        </w:rPr>
        <w:t xml:space="preserve"> zebrafish embryos and the mean </w:t>
      </w:r>
      <w:proofErr w:type="spellStart"/>
      <w:r w:rsidR="006F45EB" w:rsidRPr="00981DC5">
        <w:rPr>
          <w:rFonts w:ascii="Book Antiqua" w:eastAsia="Book Antiqua" w:hAnsi="Book Antiqua" w:cs="Book Antiqua"/>
          <w:color w:val="000000" w:themeColor="text1"/>
          <w:sz w:val="24"/>
          <w:szCs w:val="24"/>
          <w:lang w:val="en-US"/>
        </w:rPr>
        <w:t>xenotransplanted</w:t>
      </w:r>
      <w:proofErr w:type="spellEnd"/>
      <w:r w:rsidR="006F45EB" w:rsidRPr="00981DC5">
        <w:rPr>
          <w:rFonts w:ascii="Book Antiqua" w:eastAsia="Book Antiqua" w:hAnsi="Book Antiqua" w:cs="Book Antiqua"/>
          <w:color w:val="000000" w:themeColor="text1"/>
          <w:sz w:val="24"/>
          <w:szCs w:val="24"/>
          <w:lang w:val="en-US"/>
        </w:rPr>
        <w:t xml:space="preserve"> zebrafish embryos survival rate was 71.5% at 1 dpi but decreased at 52.4% at 2 dpi, probably due to the high invasiveness of the tumor xenografts and the everyday embryo anesthetization and manipulation to image the tumor</w:t>
      </w:r>
      <w:r w:rsidR="006A3D96" w:rsidRPr="00981DC5">
        <w:rPr>
          <w:rFonts w:ascii="Book Antiqua" w:hAnsi="Book Antiqua" w:cs="Calibri"/>
          <w:color w:val="000000" w:themeColor="text1"/>
          <w:sz w:val="24"/>
          <w:szCs w:val="24"/>
          <w:lang w:val="en-US"/>
        </w:rPr>
        <w:t>. Comparing directly the mean RTA between the treated subgroups and the control group we obtained a statistically significant reduction of the mean RTA in the treated subgroups for at least one chemotherapy scheme in only 6/15 (40%) cases</w:t>
      </w:r>
      <w:r w:rsidR="001B3108" w:rsidRPr="00981DC5">
        <w:rPr>
          <w:rFonts w:ascii="Book Antiqua" w:hAnsi="Book Antiqua" w:cs="Calibri"/>
          <w:color w:val="000000" w:themeColor="text1"/>
          <w:sz w:val="24"/>
          <w:szCs w:val="24"/>
          <w:lang w:val="en-US"/>
        </w:rPr>
        <w:t xml:space="preserve">. </w:t>
      </w:r>
      <w:r w:rsidR="0032538F" w:rsidRPr="00981DC5">
        <w:rPr>
          <w:rFonts w:ascii="Book Antiqua" w:hAnsi="Book Antiqua" w:cs="Calibri"/>
          <w:color w:val="000000" w:themeColor="text1"/>
          <w:sz w:val="24"/>
          <w:szCs w:val="24"/>
          <w:lang w:val="en-US"/>
        </w:rPr>
        <w:t xml:space="preserve">Moreover, due to the too short follow-up of the enrolled patients and the consequent absence of clinical data of response to chemotherapy treatments, </w:t>
      </w:r>
      <w:r w:rsidR="00367FCA" w:rsidRPr="00981DC5">
        <w:rPr>
          <w:rFonts w:ascii="Book Antiqua" w:hAnsi="Book Antiqua" w:cs="Calibri"/>
          <w:color w:val="000000" w:themeColor="text1"/>
          <w:sz w:val="24"/>
          <w:szCs w:val="24"/>
          <w:lang w:val="en-US"/>
        </w:rPr>
        <w:t xml:space="preserve">we tried to </w:t>
      </w:r>
      <w:r w:rsidR="002442C0" w:rsidRPr="00981DC5">
        <w:rPr>
          <w:rFonts w:ascii="Book Antiqua" w:hAnsi="Book Antiqua" w:cs="Calibri"/>
          <w:color w:val="000000" w:themeColor="text1"/>
          <w:sz w:val="24"/>
          <w:szCs w:val="24"/>
          <w:lang w:val="en-US"/>
        </w:rPr>
        <w:t>use</w:t>
      </w:r>
      <w:r w:rsidR="006A3D96" w:rsidRPr="00981DC5">
        <w:rPr>
          <w:rFonts w:ascii="Book Antiqua" w:hAnsi="Book Antiqua" w:cs="Calibri"/>
          <w:color w:val="000000" w:themeColor="text1"/>
          <w:sz w:val="24"/>
          <w:szCs w:val="24"/>
          <w:lang w:val="en-US"/>
        </w:rPr>
        <w:t xml:space="preserve"> the RECIST criteria in the experiment with the </w:t>
      </w:r>
      <w:proofErr w:type="spellStart"/>
      <w:r w:rsidR="006A3D96" w:rsidRPr="00981DC5">
        <w:rPr>
          <w:rFonts w:ascii="Book Antiqua" w:hAnsi="Book Antiqua" w:cs="Calibri"/>
          <w:color w:val="000000" w:themeColor="text1"/>
          <w:sz w:val="24"/>
          <w:szCs w:val="24"/>
          <w:lang w:val="en-US"/>
        </w:rPr>
        <w:t>xenotransplanted</w:t>
      </w:r>
      <w:proofErr w:type="spellEnd"/>
      <w:r w:rsidR="006A3D96" w:rsidRPr="00981DC5">
        <w:rPr>
          <w:rFonts w:ascii="Book Antiqua" w:hAnsi="Book Antiqua" w:cs="Calibri"/>
          <w:color w:val="000000" w:themeColor="text1"/>
          <w:sz w:val="24"/>
          <w:szCs w:val="24"/>
          <w:lang w:val="en-US"/>
        </w:rPr>
        <w:t xml:space="preserve"> zebrafish embryos</w:t>
      </w:r>
      <w:r w:rsidR="008A42EF" w:rsidRPr="00981DC5">
        <w:rPr>
          <w:rFonts w:ascii="Book Antiqua" w:hAnsi="Book Antiqua" w:cs="Calibri"/>
          <w:color w:val="000000" w:themeColor="text1"/>
          <w:sz w:val="24"/>
          <w:szCs w:val="24"/>
          <w:lang w:val="en-US"/>
        </w:rPr>
        <w:t>,</w:t>
      </w:r>
      <w:r w:rsidR="0032538F" w:rsidRPr="00981DC5">
        <w:rPr>
          <w:rFonts w:ascii="Book Antiqua" w:hAnsi="Book Antiqua" w:cs="Calibri"/>
          <w:color w:val="000000" w:themeColor="text1"/>
          <w:sz w:val="24"/>
          <w:szCs w:val="24"/>
          <w:lang w:val="en-US"/>
        </w:rPr>
        <w:t xml:space="preserve"> with the intent to use an objective parameter in </w:t>
      </w:r>
      <w:r w:rsidR="00933552" w:rsidRPr="00981DC5">
        <w:rPr>
          <w:rFonts w:ascii="Book Antiqua" w:hAnsi="Book Antiqua" w:cs="Calibri"/>
          <w:color w:val="000000" w:themeColor="text1"/>
          <w:sz w:val="24"/>
          <w:szCs w:val="24"/>
          <w:lang w:val="en-US"/>
        </w:rPr>
        <w:t>the evaluation of</w:t>
      </w:r>
      <w:r w:rsidR="0032538F" w:rsidRPr="00981DC5">
        <w:rPr>
          <w:rFonts w:ascii="Book Antiqua" w:hAnsi="Book Antiqua" w:cs="Calibri"/>
          <w:color w:val="000000" w:themeColor="text1"/>
          <w:sz w:val="24"/>
          <w:szCs w:val="24"/>
          <w:lang w:val="en-US"/>
        </w:rPr>
        <w:t xml:space="preserve"> the robustness </w:t>
      </w:r>
      <w:r w:rsidRPr="00981DC5">
        <w:rPr>
          <w:rFonts w:ascii="Book Antiqua" w:hAnsi="Book Antiqua" w:cs="Calibri"/>
          <w:color w:val="000000" w:themeColor="text1"/>
          <w:sz w:val="24"/>
          <w:szCs w:val="24"/>
          <w:lang w:val="en-US"/>
        </w:rPr>
        <w:t xml:space="preserve">of </w:t>
      </w:r>
      <w:r w:rsidR="0032538F" w:rsidRPr="00981DC5">
        <w:rPr>
          <w:rFonts w:ascii="Book Antiqua" w:hAnsi="Book Antiqua" w:cs="Calibri"/>
          <w:color w:val="000000" w:themeColor="text1"/>
          <w:sz w:val="24"/>
          <w:szCs w:val="24"/>
          <w:lang w:val="en-US"/>
        </w:rPr>
        <w:t xml:space="preserve">our model. In this </w:t>
      </w:r>
      <w:r w:rsidR="00992CDD" w:rsidRPr="00981DC5">
        <w:rPr>
          <w:rFonts w:ascii="Book Antiqua" w:hAnsi="Book Antiqua" w:cs="Calibri"/>
          <w:color w:val="000000" w:themeColor="text1"/>
          <w:sz w:val="24"/>
          <w:szCs w:val="24"/>
          <w:lang w:val="en-US"/>
        </w:rPr>
        <w:t>way,</w:t>
      </w:r>
      <w:r w:rsidR="0032538F" w:rsidRPr="00981DC5">
        <w:rPr>
          <w:rFonts w:ascii="Book Antiqua" w:hAnsi="Book Antiqua" w:cs="Calibri"/>
          <w:color w:val="000000" w:themeColor="text1"/>
          <w:sz w:val="24"/>
          <w:szCs w:val="24"/>
          <w:lang w:val="en-US"/>
        </w:rPr>
        <w:t xml:space="preserve"> we evaluate if the results of the tests with the different chemotherapy scheme could </w:t>
      </w:r>
      <w:r w:rsidR="00933552" w:rsidRPr="00981DC5">
        <w:rPr>
          <w:rFonts w:ascii="Book Antiqua" w:hAnsi="Book Antiqua" w:cs="Calibri"/>
          <w:color w:val="000000" w:themeColor="text1"/>
          <w:sz w:val="24"/>
          <w:szCs w:val="24"/>
          <w:lang w:val="en-US"/>
        </w:rPr>
        <w:t>be in accordance with</w:t>
      </w:r>
      <w:r w:rsidR="0032538F" w:rsidRPr="00981DC5">
        <w:rPr>
          <w:rFonts w:ascii="Book Antiqua" w:hAnsi="Book Antiqua" w:cs="Calibri"/>
          <w:color w:val="000000" w:themeColor="text1"/>
          <w:sz w:val="24"/>
          <w:szCs w:val="24"/>
          <w:lang w:val="en-US"/>
        </w:rPr>
        <w:t xml:space="preserve"> data reported in large number of series </w:t>
      </w:r>
      <w:r w:rsidR="0032538F" w:rsidRPr="00981DC5">
        <w:rPr>
          <w:rFonts w:ascii="Book Antiqua" w:hAnsi="Book Antiqua" w:cs="Calibri"/>
          <w:color w:val="000000" w:themeColor="text1"/>
          <w:sz w:val="24"/>
          <w:szCs w:val="24"/>
          <w:lang w:val="en-US"/>
        </w:rPr>
        <w:lastRenderedPageBreak/>
        <w:t>published in literature. We</w:t>
      </w:r>
      <w:r w:rsidR="006A3D96" w:rsidRPr="00981DC5">
        <w:rPr>
          <w:rFonts w:ascii="Book Antiqua" w:hAnsi="Book Antiqua" w:cs="Calibri"/>
          <w:color w:val="000000" w:themeColor="text1"/>
          <w:sz w:val="24"/>
          <w:szCs w:val="24"/>
          <w:lang w:val="en-US"/>
        </w:rPr>
        <w:t xml:space="preserve"> evaluated the percentage of the mean RTA reduction in the treated subgroups in comparison to the control group for each case, reporting interesting results. First of all, we reported for each chemotherapy scheme tested the presence of a linear relationship between each threshold of the percentage reduction of the mean RTA and the number of cases in which we reported the mean RTA reduction at least for a percentage equal or greater to the threshold value. Interestingly, the FOLFOXIRI scheme resulted the most efficacious in accordance with data reported in the literature in the common clinical practice for the treatment of patients with PDAC</w:t>
      </w:r>
      <w:r w:rsidR="006A3D96" w:rsidRPr="00981DC5">
        <w:rPr>
          <w:rFonts w:ascii="Book Antiqua" w:hAnsi="Book Antiqua" w:cs="Calibri"/>
          <w:color w:val="000000" w:themeColor="text1"/>
          <w:sz w:val="24"/>
          <w:szCs w:val="24"/>
          <w:lang w:val="en-US"/>
        </w:rPr>
        <w:fldChar w:fldCharType="begin" w:fldLock="1"/>
      </w:r>
      <w:r w:rsidR="00237FBC" w:rsidRPr="00981DC5">
        <w:rPr>
          <w:rFonts w:ascii="Book Antiqua" w:hAnsi="Book Antiqua" w:cs="Calibri"/>
          <w:color w:val="000000" w:themeColor="text1"/>
          <w:sz w:val="24"/>
          <w:szCs w:val="24"/>
          <w:lang w:val="en-US"/>
        </w:rPr>
        <w:instrText>ADDIN CSL_CITATION {"citationItems":[{"id":"ITEM-1","itemData":{"DOI":"10.1056/NEJMoa1011923","ISSN":"15334406","PMID":"21561347","abstract":"BACKGROUND: Data are lacking on the efficacy and safety of a combination chemotherapy regimen consisting of oxaliplatin, irinotecan, fluorouracil, and leucovorin (FOLFIRINOX) as compared with gemcitabine as first-line therapy in patients with metastatic pancreatic cancer. METHODS: We randomly assigned 342 patients with an Eastern Cooperative Oncology Group performance status score of 0 or 1 (on a scale of 0 to 5, with higher scores indicating a greater severity of illness) to receive FOLFIRINOX (oxaliplatin, 85 mg per square meter of body-surface area; irinotecan, 180 mg per square meter; leucovorin, 400 mg per square meter; and fluorouracil, 400 mg per square meter given as a bolus followed by 2400 mg per square meter given as a 46-hour continuous infusion, every 2 weeks) or gemcitabine at a dose of 1000 mg per square meter weekly for 7 of 8 weeks and then weekly for 3 of 4 weeks. Six months of chemotherapy were recommended in both groups in patients who had a response. The primary end point was overall survival. RESULTS: The median overall survival was 11.1 months in the FOLFIRINOX group as compared with 6.8 months in the gemcitabine group (hazard ratio for death, 0.57; 95% confidence interval [CI], 0.45 to 0.73; P&lt;0.001). Median progression-free survival was 6.4 months in the FOLFIRINOX group and 3.3 months in the gemcitabine group (hazard ratio for disease progression, 0.47; 95% CI, 0.37 to 0.59; P&lt;0.001). The objective response rate was 31.6% in the FOLFIRINOX group versus 9.4% in the gemcitabine group (P&lt;0.001). More adverse events were noted in the FOLFIRINOX group; 5.4% of patients in this group had febrile neutropenia. At 6 months, 31% of the patients in the FOLFIRINOX group had a definitive degradation of the quality of life versus 66% in the gemcitabine group (hazard ratio, 0.47; 95% CI, 0.30 to 0.70; P&lt;0.001). CONCLUSIONS: As compared with gemcitabine, FOLFIRINOX was associated with a survival advantage and had increased toxicity. FOLFIRINOX is an option for the treatment of patients with metastatic pancreatic cancer and good performance status. (Funded by the French government and others; ClinicalTrials.gov number, NCT00112658.) Copyright © 2011 Massachusetts Medical Society.","author":[{"dropping-particle":"","family":"Conroy","given":"Thierry","non-dropping-particle":"","parse-names":false,"suffix":""},{"dropping-particle":"","family":"Desseigne","given":"Françoise","non-dropping-particle":"","parse-names":false,"suffix":""},{"dropping-particle":"","family":"Ychou","given":"Marc","non-dropping-particle":"","parse-names":false,"suffix":""},{"dropping-particle":"","family":"Bouché","given":"Olivier","non-dropping-particle":"","parse-names":false,"suffix":""},{"dropping-particle":"","family":"Guimbaud","given":"Rosine","non-dropping-particle":"","parse-names":false,"suffix":""},{"dropping-particle":"","family":"Bécouarn","given":"Yves","non-dropping-particle":"","parse-names":false,"suffix":""},{"dropping-particle":"","family":"Adenis","given":"Antoine","non-dropping-particle":"","parse-names":false,"suffix":""},{"dropping-particle":"","family":"Raoul","given":"Jean Luc","non-dropping-particle":"","parse-names":false,"suffix":""},{"dropping-particle":"","family":"Gourgou-Bourgade","given":"Sophie","non-dropping-particle":"","parse-names":false,"suffix":""},{"dropping-particle":"","family":"La Fouchardière","given":"Christelle","non-dropping-particle":"De","parse-names":false,"suffix":""},{"dropping-particle":"","family":"Bennouna","given":"Jaafar","non-dropping-particle":"","parse-names":false,"suffix":""},{"dropping-particle":"","family":"Bachet","given":"Jean Baptiste","non-dropping-particle":"","parse-names":false,"suffix":""},{"dropping-particle":"","family":"Khemissa-Akouz","given":"Faiza","non-dropping-particle":"","parse-names":false,"suffix":""},{"dropping-particle":"","family":"Péré-Vergé","given":"Denis","non-dropping-particle":"","parse-names":false,"suffix":""},{"dropping-particle":"","family":"Delbaldo","given":"Catherine","non-dropping-particle":"","parse-names":false,"suffix":""},{"dropping-particle":"","family":"Assenat","given":"Eric","non-dropping-particle":"","parse-names":false,"suffix":""},{"dropping-particle":"","family":"Chauffert","given":"Bruno","non-dropping-particle":"","parse-names":false,"suffix":""},{"dropping-particle":"","family":"Michel","given":"Pierre","non-dropping-particle":"","parse-names":false,"suffix":""},{"dropping-particle":"","family":"Montoto-Grillot","given":"Christine","non-dropping-particle":"","parse-names":false,"suffix":""},{"dropping-particle":"","family":"Ducreux","given":"Michel","non-dropping-particle":"","parse-names":false,"suffix":""}],"container-title":"New England Journal of Medicine","id":"ITEM-1","issue":"19","issued":{"date-parts":[["2011","5","12"]]},"page":"1817-1825","publisher":"Massachussetts Medical Society","title":"FOLFIRINOX versus gemcitabine for metastatic pancreatic cancer","type":"article-journal","volume":"364"},"uris":["http://www.mendeley.com/documents/?uuid=79115611-6660-388d-8f90-b6d1dd896e88"]},{"id":"ITEM-2","itemData":{"DOI":"10.1038/s41598-018-26811-9","ISSN":"2045-2322","PMID":"29141689","abstract":"FOLFIRINOX has been one of the first-line options for advanced pancreatic cancer, even though it induces significant adverse effects. Several institutions have begun using modified FOLFIRINOX to decrease its side effects and increase its tolerability. We systematically investigated the outcome from patients who initially received modified FOLFIRINOX as a chemotherapy regimen for advanced pancreatic cancer. We used the random-model generic inverse variance method to analyse the binary data with 95% confidence intervals (CIs). Eleven studies were included in the meta-analysis with 563 total patients. The 6-month and 1-year overall survival (OS) rates of locally advanced pancreatic cancer (LAPC) were 90.9% and 76.2%. The 6-month and 1-year progression-free survival (PFS) rates of LAPC were 81.5% and 48.5%. The 6-month and 1-year OS rates of metastatic pancreatic cancer (MPC) were 79.7% and 47.6%. The 6-month and 1-year PFS rates of MPC were 56.3% and 20.6%. The following rates were also calculated: complete response rate (CR): 2.9%; partial response rate (PR): 35.9%; stable disease rate (SD): 41.2%; overall response rate (OR): 34.6%; disease control rate (DCR): 76.7%; progressive disease: 23.1%; and grade III/IV adverse events (AEs): neutropenia 23.1%, febrile neutropenia 4.8%, thrombocytopenia 4.8%, anaemia 5.7%, fatigue 11.5%, nausea 9.1%, diarrhoea 10.1%, vomiting 5.7%, neuropathy 3.8%, and increased ALT 5.7%. In conclusion, modified FOLFIRINOX could provide comparative survival benefits with fewer adverse events compared to the conventional dosage.","author":[{"dropping-particle":"","family":"Tong","given":"Hongxuan","non-dropping-particle":"","parse-names":false,"suffix":""},{"dropping-particle":"","family":"Fan","given":"Zhu","non-dropping-particle":"","parse-names":false,"suffix":""},{"dropping-particle":"","family":"Liu","given":"Biyuan","non-dropping-particle":"","parse-names":false,"suffix":""},{"dropping-particle":"","family":"Lu","given":"Tao","non-dropping-particle":"","parse-names":false,"suffix":""}],"container-title":"Scientific Reports","id":"ITEM-2","issue":"1","issued":{"date-parts":[["2018"]]},"page":"8666","publisher":"Nature Publishing Group","title":"The benefits of modified FOLFIRINOX for advanced pancreatic cancer and its induced adverse events: a systematic review and meta-analysis","type":"article-journal","volume":"8"},"uris":["http://www.mendeley.com/documents/?uuid=2925cfa8-e5ab-3d22-8982-0d65d9739a72"]},{"id":"ITEM-3","itemData":{"DOI":"10.1007/s12253-016-0176-0","ISSN":"1532-2807","PMID":"28062950","abstract":"The management of locally advanced pancreatic cancer (LAPC) is a major challenge. Although new drugs are available for the treatment of metastatic disease, the optimal treatment of non-metastatic cases remains controversial. The role of neoadjuvant therapy is still a question of debate in this setting. The aim of the study was to prospectively collect and analyse data on efficacy and safety of a modified FOLFIRINOX regimen in LAPC patients treated in a single institution. Another major objective was to assess the capability of FOLFIRINOX to render primary non-resectable cancer to resectable. No bolus fluorouracil was given and a 20% dose reduction of oxaliplatin and irinotecan was applied. Primary G-CSF prophylaxis was applied to prevent febrile neutropenia. Thirty-two patients (mean age 60.2 years, range: 40-77 years) have been enrolled into the study. All patients had ECOG performance status of 0 or 1. Best response to therapy was stable disease (SD) or partial regression (PR) in 18 (56.2%) and 6 (18.8%) cases. Two patients (6.3%) underwent surgical resection (100% R0). The most frequent grade 3/4 adverse events were nausea (18.8%), fatigue (12.5%) and diarrhea (12.5%). The incidence of severe neutropenia was 28.1%, with only one documented case of febrile neutropenia. The probability of disease progression was 25% and 50% after 75 and 160 days with 88.4% of possibility of disease progression after 500 days. OS probability was 92.1, 71.5% and 49.5% at 180-, 365 and 540 days. Our data does not support the capability of FOLFIRINOX to render primary non-resectable cancer to resectable. However, due to the high disease control rate observed, FOLFRINOX might be recommended as first line option for the palliative treatment of LAPC. Despite reduced chemotherapy doses significant toxicity has been seen.","author":[{"dropping-particle":"","family":"Lakatos","given":"G","non-dropping-particle":"","parse-names":false,"suffix":""},{"dropping-particle":"","family":"Petranyi","given":"A","non-dropping-particle":"","parse-names":false,"suffix":""},{"dropping-particle":"","family":"Szűcs","given":"A","non-dropping-particle":"","parse-names":false,"suffix":""},{"dropping-particle":"","family":"Nehéz","given":"L","non-dropping-particle":"","parse-names":false,"suffix":""},{"dropping-particle":"","family":"Harsanyi","given":"L","non-dropping-particle":"","parse-names":false,"suffix":""},{"dropping-particle":"","family":"Hegyi","given":"P","non-dropping-particle":"","parse-names":false,"suffix":""},{"dropping-particle":"","family":"Bodoky","given":"G","non-dropping-particle":"","parse-names":false,"suffix":""}],"container-title":"Pathology oncology research : POR","id":"ITEM-3","issue":"4","issued":{"date-parts":[["2017","10"]]},"page":"753-759","title":"Efficacy and Safety of FOLFIRINOX in Locally Advanced Pancreatic Cancer. A Single Center Experience.","type":"article-journal","volume":"23"},"uris":["http://www.mendeley.com/documents/?uuid=e1df8b41-18e5-364b-8241-b143ffe57de8"]},{"id":"ITEM-4","itemData":{"DOI":"10.1245/s10434-015-4851-2","ISSN":"1534-4681","PMID":"26350368","abstract":"BACKGROUND FOLFIRINOX is an active but relatively toxic chemotherapeutic regimen for patients with metastatic pancreatic ductal adenocarcinoma (PDAC). The increased frequency of responding tumors shift interest to neoadjuvant approaches. We report our institutional experience with FOLFIRINOX for therapy-naïve patients with locally advanced and initially unresectable PDAC. METHODS All patients with unresectable locally advanced PDAC who underwent treatment with FOLFIRINOX at a single center between 2011 and 2014 were identified and evaluated retrospectively regarding chemotherapy response, toxicity, conversion to resectability, and survival. Resectability, response to chemotherapy, and postoperative complications were reported according to NCCN-guidelines, RECIST-criteria, and Clavien-Dindo-classification, respectively. RESULTS Overall, 14 patients received FOLFIRINOX as first-line therapy for locally advanced and unresectable PDAC. Fifty-seven percent of the patients had severe tumor-related comorbidities at the time of diagnosis, and in 86 %, dose reduction due to toxicity was necessary during a median of seven cycles. Nevertheless, only one patient had progressive disease during FOLFIRINOX, whereas the others experienced stable disease (n = 6) or partial remission (n = 6; no restaging in one patient). Oncological tumor resection was possible in 4 patients (29 % of all patients) with no postoperative mortality and only one grade 2 surgical complication. After a median follow-up of 10 months, 4 of the 14 patients were still in remission, 5 were alive with stable disease under ongoing systemic chemotherapy, and 5 died tumor-related. CONCLUSIONS FOLFIRINOX is a powerful first-line regimen that leads to resectability in a substantial portion of patients with initially unresectable pancreatic cancer.","author":[{"dropping-particle":"","family":"Nitsche","given":"Ulrich","non-dropping-particle":"","parse-names":false,"suffix":""},{"dropping-particle":"","family":"Wenzel","given":"Patrick","non-dropping-particle":"","parse-names":false,"suffix":""},{"dropping-particle":"","family":"Siveke","given":"Jens T","non-dropping-particle":"","parse-names":false,"suffix":""},{"dropping-particle":"","family":"Braren","given":"Rickmer","non-dropping-particle":"","parse-names":false,"suffix":""},{"dropping-particle":"","family":"Holzapfel","given":"Konstantin","non-dropping-particle":"","parse-names":false,"suffix":""},{"dropping-particle":"","family":"Schlitter","given":"Anna M","non-dropping-particle":"","parse-names":false,"suffix":""},{"dropping-particle":"","family":"Stöß","given":"Christian","non-dropping-particle":"","parse-names":false,"suffix":""},{"dropping-particle":"","family":"Kong","given":"Bo","non-dropping-particle":"","parse-names":false,"suffix":""},{"dropping-particle":"","family":"Esposito","given":"Irene","non-dropping-particle":"","parse-names":false,"suffix":""},{"dropping-particle":"","family":"Erkan","given":"Mert","non-dropping-particle":"","parse-names":false,"suffix":""},{"dropping-particle":"","family":"Michalski","given":"Christoph W","non-dropping-particle":"","parse-names":false,"suffix":""},{"dropping-particle":"","family":"Friess","given":"Helmut","non-dropping-particle":"","parse-names":false,"suffix":""},{"dropping-particle":"","family":"Kleeff","given":"Jörg","non-dropping-particle":"","parse-names":false,"suffix":""}],"container-title":"Annals of surgical oncology","id":"ITEM-4","issued":{"date-parts":[["2015","12"]]},"page":"S1212-20","title":"Resectability After First-Line FOLFIRINOX in Initially Unresectable Locally Advanced Pancreatic Cancer: A Single-Center Experience.","type":"article-journal","volume":"22 Suppl 3"},"uris":["http://www.mendeley.com/documents/?uuid=a90ae3e1-d351-3f86-ba9d-81dce65698e1"]},{"id":"ITEM-5","itemData":{"DOI":"10.1245/s10434-015-4647-4","ISSN":"15344681","PMID":"26065868","abstract":"Background: Reports show that FOLFIRINOX therapy for pancreatic ductal adenocarcinoma (PDAC) results in objective response rates two to threefold higher than those of other regimens. This study aimed to assess response and resection rates for locally unresectable (stage 3) patients initially treated with induction FOLFIRINOX. Methods: The institutional cancer database was queried for patients treated with induction FOLFIRINOX therapy between 2010 and 2013. Patients were included in the study if they were treated at the authors’ institution for stage 3 PDAC (locally unresectable) that had been adjudicated at a weekly multidisciplinary tumor board. Results: The study identified 101 patients. The median age was 64 years (range 37–81 years), and the median follow-up period was 12 months (range 3–37 months). The patients received a median of six cycles (range 1–20 cycles) of induction FOLFIRINOX. No grade 4 or 5 toxicity was recorded. At the initial restaging (median of 3 months after diagnosis), 23 patients (23 %) had developed distant metastases, 15 patients (15 %) had undergone resection, and 63 patients (63 %) had proceeded to chemoradiation. In the group of 63 patients who had proceeded to chemoradiation (median of 9 months after diagnosis), an additional 16 patients (16 %) had undergone resection, and 5 patients (5 %) had developed metastases. A partial radiographic response was observed in 29 % of all the patients, which was associated with ability to perform resection (p = 0.004). The median overall survival time was 11 months for the group that progressed with FOLFIRINOX and 26 months for the group that did not progress. Conclusion: Nearly one third of the patients who had been initially identified as having stage 3 pancreatic carcinoma and had been treated with FOLFIRINOX responded radiographically and underwent tumor resection.","author":[{"dropping-particle":"","family":"Sadot","given":"Eran","non-dropping-particle":"","parse-names":false,"suffix":""},{"dropping-particle":"","family":"Doussot","given":"Alexandre","non-dropping-particle":"","parse-names":false,"suffix":""},{"dropping-particle":"","family":"O’Reilly","given":"Eileen M.","non-dropping-particle":"","parse-names":false,"suffix":""},{"dropping-particle":"","family":"Lowery","given":"Maeve A.","non-dropping-particle":"","parse-names":false,"suffix":""},{"dropping-particle":"","family":"Goodman","given":"Karyn A.","non-dropping-particle":"","parse-names":false,"suffix":""},{"dropping-particle":"","family":"Do","given":"Richard Kinh Gian","non-dropping-particle":"","parse-names":false,"suffix":""},{"dropping-particle":"","family":"Tang","given":"Laura H.","non-dropping-particle":"","parse-names":false,"suffix":""},{"dropping-particle":"","family":"Gönen","given":"Mithat","non-dropping-particle":"","parse-names":false,"suffix":""},{"dropping-particle":"","family":"D’Angelica","given":"Michael I.","non-dropping-particle":"","parse-names":false,"suffix":""},{"dropping-particle":"","family":"DeMatteo","given":"Ronald P.","non-dropping-particle":"","parse-names":false,"suffix":""},{"dropping-particle":"","family":"Kingham","given":"T. Peter","non-dropping-particle":"","parse-names":false,"suffix":""},{"dropping-particle":"","family":"Jarnagin","given":"William R.","non-dropping-particle":"","parse-names":false,"suffix":""},{"dropping-particle":"","family":"Allen","given":"Peter J.","non-dropping-particle":"","parse-names":false,"suffix":""}],"container-title":"Annals of Surgical Oncology","id":"ITEM-5","issue":"11","issued":{"date-parts":[["2015","10","15"]]},"page":"3512-3521","publisher":"Springer New York LLC","title":"FOLFIRINOX Induction Therapy for Stage 3 Pancreatic Adenocarcinoma","type":"article-journal","volume":"22"},"uris":["http://www.mendeley.com/documents/?uuid=30436abb-08be-3448-8332-9f407f9b385b"]},{"id":"ITEM-6","itemData":{"DOI":"10.1186/s40880-019-0367-7","ISSN":"2523-3548","PMID":"31068222","abstract":"BACKGROUND Oxaliplatin, irinotecan, 5-fluorouracil, and L-leucovorin (FOLFIRINOX) has become one of the first-line treatment options for advanced pancreatic cancer (PC). However, the relatively high rate of grade 3 or 4 adverse events associated with the standard dosage of FOLFIRINOX limits its widespread use in clinical practice. In this study, we were to evaluate the efficacy and safety of a modified FOLFIRINOX regimen as a first-line chemotherapy for Chinese patients with metastatic PC. METHODS Patients with histologically confirmed primary metastatic pancreatic adenocarcinoma with an Eastern Cooperative Oncology Group (ECOG) performance status score of 0-2 were recruited to receive the modified FOLFIRINOX regimen (intravenous infusion of oxaliplatin, 65 mg/m2; irinotecan, 150 mg/m2; L-leucovorin, 200 mg/m2; and 5-fluorouracil, 2400 mg/m2, repeated every 2 weeks). The treatment was continued for 12 cycles unless the patient had progressive disease (PD), stable disease (SD) with symptom deterioration, unacceptable adverse events, or requested to terminate the treatment prematurely. The primary endpoint was objective response rate (ORR). RESULTS Sixty-five patients were enrolled from July 2012 to April 2017 in three institutions, and they all received at least one cycle of chemotherapy, with a median of 8 cycles (range 1-12 cycles). No complete response was observed. Twenty-one (32.3%) patients had partial responses, and 27 (41.5%) had SD. The ORR and disease control rate of the study cohort was 32.3% and 73.8%. The estimated median overall survival and progression-free survival were 11.60 (95% confidence interval [CI] 8.76-14.44) and 5.77 (95% CI 5.00-6.54) months. Major grade 3 or 4 adverse events included neutropenia (12.3%) and diarrhea (6.2%). No treatment-related death was observed. CONCLUSIONS Modified FOLFIRINOX was well-tolerated and might be a promising option as first-line therapy for Chinese patients with metastatic PC. Trial registration ClinicalTrials.gov, NCT02028806. Registered 7 January 2014, https://clinicaltrials.gov/ct2/show/NCT02028806.","author":[{"dropping-particle":"","family":"Wang","given":"Zhi-Qiang","non-dropping-particle":"","parse-names":false,"suffix":""},{"dropping-particle":"","family":"Zhang","given":"Fei","non-dropping-particle":"","parse-names":false,"suffix":""},{"dropping-particle":"","family":"Deng","given":"Ting","non-dropping-particle":"","parse-names":false,"suffix":""},{"dropping-particle":"","family":"Zhang","given":"Le","non-dropping-particle":"","parse-names":false,"suffix":""},{"dropping-particle":"","family":"Feng","given":"Fen","non-dropping-particle":"","parse-names":false,"suffix":""},{"dropping-particle":"","family":"Wang","given":"Feng-Hua","non-dropping-particle":"","parse-names":false,"suffix":""},{"dropping-particle":"","family":"Wang","given":"Wei","non-dropping-particle":"","parse-names":false,"suffix":""},{"dropping-particle":"","family":"Wang","given":"De-Shen","non-dropping-particle":"","parse-names":false,"suffix":""},{"dropping-particle":"","family":"Luo","given":"Hui-Yan","non-dropping-particle":"","parse-names":false,"suffix":""},{"dropping-particle":"","family":"Xu","given":"Rui-Hua","non-dropping-particle":"","parse-names":false,"suffix":""},{"dropping-particle":"","family":"Ba","given":"Yi","non-dropping-particle":"","parse-names":false,"suffix":""},{"dropping-particle":"","family":"Li","given":"Yu-Hong","non-dropping-particle":"","parse-names":false,"suffix":""}],"container-title":"Cancer communications (London, England)","id":"ITEM-6","issue":"1","issued":{"date-parts":[["2019"]]},"page":"26","title":"The efficacy and safety of modified FOLFIRINOX as first-line chemotherapy for Chinese patients with metastatic pancreatic cancer.","type":"article-journal","volume":"39"},"uris":["http://www.mendeley.com/documents/?uuid=a285c4d9-3c7d-39c9-83fb-48c42396bb03"]},{"id":"ITEM-7","itemData":{"ISSN":"2245-1919","PMID":"24814594","abstract":"INTRODUCTION Worldwide, pancreatic cancer (PC) ranks 13th in cancer incidence, but eighth as a cause of cancer death. For more than a decade, the reference regimen for palliative treatment of PC has been gemcitabine. In 2011, a randomised trial published by the PRODRIGE Intergroup showed an increase in median overall survival from 6.8 to 11.1 months in patients treated with FOLFIRINOX as compared with gemcitabine. MATERIAL AND METHODS A total of 16 patients treated with FOLFIRINOX as first-line therapy for inoperable PC were included for this retrospective study. FOLFIRINOX was administered unmodified according to the PRODRIGE trial, and up to 12 cycles were planned with a computed tomography (CT) for every fourth cycle. RESULTS Eleven patients completing at least four cycles of chemotherapy and therefore evaluable for response were assessed by review of CT. Partial response (PR) was shown after four cycles in four patients, whereas seven patients had stable disease, which resulted in an objective response rate of 36%. After eight cycles, one additional patient obtained a PR. No complete responders or patients with progressive disease were recorded. Toxicity was assessed by review of medical records with respect to toxic effects requiring interruption of therapy, admission of the patient or prolonged admission. CONCLUSION Toxicity was shown to be a problem only during the first five cycles, and no patients were admitted to hospital due to toxicity after having received more than five cycles. The six-month-survival was 81%. FUNDING not relevant. TRIAL REGISTRATION not relevant.","author":[{"dropping-particle":"","family":"Kræmer","given":"Pia Charlotte","non-dropping-particle":"","parse-names":false,"suffix":""},{"dropping-particle":"","family":"Schmidt","given":"Hjørdis Hjalting","non-dropping-particle":"","parse-names":false,"suffix":""},{"dropping-particle":"","family":"Ladekarl","given":"Morten","non-dropping-particle":"","parse-names":false,"suffix":""}],"container-title":"Danish medical journal","id":"ITEM-7","issue":"4","issued":{"date-parts":[["2014","4"]]},"page":"A4819","title":"Danish experiences with FOLFIRINOX as first-line therapy in patients with inoperable pancreatic cancer.","type":"article-journal","volume":"61"},"uris":["http://www.mendeley.com/documents/?uuid=d0e2e4bf-c9bf-3185-a5d1-35c25365756a"]}],"mendeley":{"formattedCitation":"&lt;sup&gt;[7,40–45]&lt;/sup&gt;","plainTextFormattedCitation":"[7,40–45]","previouslyFormattedCitation":"&lt;sup&gt;[7,40–45]&lt;/sup&gt;"},"properties":{"noteIndex":0},"schema":"https://github.com/citation-style-language/schema/raw/master/csl-citation.json"}</w:instrText>
      </w:r>
      <w:r w:rsidR="006A3D96" w:rsidRPr="00981DC5">
        <w:rPr>
          <w:rFonts w:ascii="Book Antiqua" w:hAnsi="Book Antiqua" w:cs="Calibri"/>
          <w:color w:val="000000" w:themeColor="text1"/>
          <w:sz w:val="24"/>
          <w:szCs w:val="24"/>
          <w:lang w:val="en-US"/>
        </w:rPr>
        <w:fldChar w:fldCharType="separate"/>
      </w:r>
      <w:r w:rsidR="00237FBC" w:rsidRPr="00981DC5">
        <w:rPr>
          <w:rFonts w:ascii="Book Antiqua" w:hAnsi="Book Antiqua" w:cs="Calibri"/>
          <w:noProof/>
          <w:color w:val="000000" w:themeColor="text1"/>
          <w:sz w:val="24"/>
          <w:szCs w:val="24"/>
          <w:vertAlign w:val="superscript"/>
          <w:lang w:val="en-US"/>
        </w:rPr>
        <w:t>[7,40</w:t>
      </w:r>
      <w:r w:rsidR="00463B5F">
        <w:rPr>
          <w:rFonts w:ascii="Book Antiqua" w:hAnsi="Book Antiqua" w:cs="Calibri"/>
          <w:noProof/>
          <w:color w:val="000000" w:themeColor="text1"/>
          <w:sz w:val="24"/>
          <w:szCs w:val="24"/>
          <w:vertAlign w:val="superscript"/>
          <w:lang w:val="en-US"/>
        </w:rPr>
        <w:t>-</w:t>
      </w:r>
      <w:r w:rsidR="00237FBC" w:rsidRPr="00981DC5">
        <w:rPr>
          <w:rFonts w:ascii="Book Antiqua" w:hAnsi="Book Antiqua" w:cs="Calibri"/>
          <w:noProof/>
          <w:color w:val="000000" w:themeColor="text1"/>
          <w:sz w:val="24"/>
          <w:szCs w:val="24"/>
          <w:vertAlign w:val="superscript"/>
          <w:lang w:val="en-US"/>
        </w:rPr>
        <w:t>45]</w:t>
      </w:r>
      <w:r w:rsidR="006A3D96" w:rsidRPr="00981DC5">
        <w:rPr>
          <w:rFonts w:ascii="Book Antiqua" w:hAnsi="Book Antiqua" w:cs="Calibri"/>
          <w:color w:val="000000" w:themeColor="text1"/>
          <w:sz w:val="24"/>
          <w:szCs w:val="24"/>
          <w:lang w:val="en-US"/>
        </w:rPr>
        <w:fldChar w:fldCharType="end"/>
      </w:r>
      <w:r w:rsidR="006A3D96" w:rsidRPr="00981DC5">
        <w:rPr>
          <w:rFonts w:ascii="Book Antiqua" w:hAnsi="Book Antiqua" w:cs="Calibri"/>
          <w:color w:val="000000" w:themeColor="text1"/>
          <w:sz w:val="24"/>
          <w:szCs w:val="24"/>
          <w:lang w:val="en-US"/>
        </w:rPr>
        <w:t xml:space="preserve">. Moreover, using the linear regression line equation, we calculated a conversion factor for each chemotherapy scheme evaluating the percentage reduction of the mean RTA in each treated subgroup corresponding to the percentage of patients with a partial response after chemotherapy treatment reported in literature. Interestingly, the conversion factor value calculated for each chemotherapy scheme resulted similar to the other ones with a value ranging between -63.7% and </w:t>
      </w:r>
      <w:r w:rsidR="0066030F" w:rsidRPr="00981DC5">
        <w:rPr>
          <w:rFonts w:ascii="Book Antiqua" w:hAnsi="Book Antiqua" w:cs="Calibri"/>
          <w:color w:val="000000" w:themeColor="text1"/>
          <w:sz w:val="24"/>
          <w:szCs w:val="24"/>
          <w:lang w:val="en-US"/>
        </w:rPr>
        <w:t>-</w:t>
      </w:r>
      <w:r w:rsidR="006A3D96" w:rsidRPr="00981DC5">
        <w:rPr>
          <w:rFonts w:ascii="Book Antiqua" w:hAnsi="Book Antiqua" w:cs="Calibri"/>
          <w:color w:val="000000" w:themeColor="text1"/>
          <w:sz w:val="24"/>
          <w:szCs w:val="24"/>
          <w:lang w:val="en-US"/>
        </w:rPr>
        <w:t xml:space="preserve">59.3%. So, we can hypothesize that our model reflects the different efficacy of the various chemotherapy schemes used for the treatment of patients affected by PDAC. In fact, we obtained different percentage reductions of the mean RTA and different linear regression lines for each treated subgroup and these data are in accordance with the different efficacy </w:t>
      </w:r>
      <w:r w:rsidR="0066030F" w:rsidRPr="00981DC5">
        <w:rPr>
          <w:rFonts w:ascii="Book Antiqua" w:hAnsi="Book Antiqua" w:cs="Calibri"/>
          <w:color w:val="000000" w:themeColor="text1"/>
          <w:sz w:val="24"/>
          <w:szCs w:val="24"/>
          <w:lang w:val="en-US"/>
        </w:rPr>
        <w:t xml:space="preserve">reported in literature </w:t>
      </w:r>
      <w:r w:rsidR="006A3D96" w:rsidRPr="00981DC5">
        <w:rPr>
          <w:rFonts w:ascii="Book Antiqua" w:hAnsi="Book Antiqua" w:cs="Calibri"/>
          <w:color w:val="000000" w:themeColor="text1"/>
          <w:sz w:val="24"/>
          <w:szCs w:val="24"/>
          <w:lang w:val="en-US"/>
        </w:rPr>
        <w:t xml:space="preserve">of the various chemotherapy schemes used in the common clinical practice. </w:t>
      </w:r>
      <w:r w:rsidR="0066030F" w:rsidRPr="00981DC5">
        <w:rPr>
          <w:rFonts w:ascii="Book Antiqua" w:hAnsi="Book Antiqua" w:cs="Calibri"/>
          <w:color w:val="000000" w:themeColor="text1"/>
          <w:sz w:val="24"/>
          <w:szCs w:val="24"/>
          <w:lang w:val="en-US"/>
        </w:rPr>
        <w:t>In fact</w:t>
      </w:r>
      <w:r w:rsidR="006A3D96" w:rsidRPr="00981DC5">
        <w:rPr>
          <w:rFonts w:ascii="Book Antiqua" w:hAnsi="Book Antiqua" w:cs="Calibri"/>
          <w:color w:val="000000" w:themeColor="text1"/>
          <w:sz w:val="24"/>
          <w:szCs w:val="24"/>
          <w:lang w:val="en-US"/>
        </w:rPr>
        <w:t>, we reported</w:t>
      </w:r>
      <w:r w:rsidR="002442C0" w:rsidRPr="00981DC5">
        <w:rPr>
          <w:rFonts w:ascii="Book Antiqua" w:hAnsi="Book Antiqua" w:cs="Calibri"/>
          <w:color w:val="000000" w:themeColor="text1"/>
          <w:sz w:val="24"/>
          <w:szCs w:val="24"/>
          <w:lang w:val="en-US"/>
        </w:rPr>
        <w:t xml:space="preserve"> </w:t>
      </w:r>
      <w:r w:rsidR="006A3D96" w:rsidRPr="00981DC5">
        <w:rPr>
          <w:rFonts w:ascii="Book Antiqua" w:hAnsi="Book Antiqua" w:cs="Calibri"/>
          <w:color w:val="000000" w:themeColor="text1"/>
          <w:sz w:val="24"/>
          <w:szCs w:val="24"/>
          <w:lang w:val="en-US"/>
        </w:rPr>
        <w:t>the same conversion factor in all subgroups. Naturally these are preliminary data and we do</w:t>
      </w:r>
      <w:r w:rsidR="00255BCD" w:rsidRPr="00981DC5">
        <w:rPr>
          <w:rFonts w:ascii="Book Antiqua" w:hAnsi="Book Antiqua" w:cs="Calibri"/>
          <w:color w:val="000000" w:themeColor="text1"/>
          <w:sz w:val="24"/>
          <w:szCs w:val="24"/>
          <w:lang w:val="en-US"/>
        </w:rPr>
        <w:t xml:space="preserve"> no</w:t>
      </w:r>
      <w:r w:rsidR="006A3D96" w:rsidRPr="00981DC5">
        <w:rPr>
          <w:rFonts w:ascii="Book Antiqua" w:hAnsi="Book Antiqua" w:cs="Calibri"/>
          <w:color w:val="000000" w:themeColor="text1"/>
          <w:sz w:val="24"/>
          <w:szCs w:val="24"/>
          <w:lang w:val="en-US"/>
        </w:rPr>
        <w:t>t have confirming data from the chemotherapy treatment of the patients enrolled because of the too short follow-up.</w:t>
      </w:r>
      <w:r w:rsidR="00933552" w:rsidRPr="00981DC5">
        <w:rPr>
          <w:rFonts w:ascii="Book Antiqua" w:hAnsi="Book Antiqua" w:cs="Calibri"/>
          <w:color w:val="000000" w:themeColor="text1"/>
          <w:sz w:val="24"/>
          <w:szCs w:val="24"/>
          <w:lang w:val="en-US"/>
        </w:rPr>
        <w:t xml:space="preserve"> </w:t>
      </w:r>
      <w:r w:rsidR="006327EF" w:rsidRPr="00981DC5">
        <w:rPr>
          <w:rFonts w:ascii="Book Antiqua" w:hAnsi="Book Antiqua" w:cs="Calibri"/>
          <w:color w:val="000000" w:themeColor="text1"/>
          <w:sz w:val="24"/>
          <w:szCs w:val="24"/>
          <w:lang w:val="en-US"/>
        </w:rPr>
        <w:t>We know that this comparison has important limitations and could not replace the comparison with data obtainable with the follow-up of the enrolled patients</w:t>
      </w:r>
      <w:r w:rsidR="007B2E90" w:rsidRPr="00981DC5">
        <w:rPr>
          <w:rFonts w:ascii="Book Antiqua" w:hAnsi="Book Antiqua" w:cs="Calibri"/>
          <w:color w:val="000000" w:themeColor="text1"/>
          <w:sz w:val="24"/>
          <w:szCs w:val="24"/>
          <w:lang w:val="en-US"/>
        </w:rPr>
        <w:t>.</w:t>
      </w:r>
      <w:r w:rsidR="00391EFB" w:rsidRPr="00981DC5">
        <w:rPr>
          <w:rFonts w:ascii="Book Antiqua" w:hAnsi="Book Antiqua" w:cs="Calibri"/>
          <w:color w:val="000000" w:themeColor="text1"/>
          <w:sz w:val="24"/>
          <w:szCs w:val="24"/>
          <w:lang w:val="en-US"/>
        </w:rPr>
        <w:t xml:space="preserve"> </w:t>
      </w:r>
      <w:r w:rsidR="007B2E90" w:rsidRPr="00981DC5">
        <w:rPr>
          <w:rFonts w:ascii="Book Antiqua" w:hAnsi="Book Antiqua" w:cs="Calibri"/>
          <w:color w:val="000000" w:themeColor="text1"/>
          <w:sz w:val="24"/>
          <w:szCs w:val="24"/>
          <w:lang w:val="en-US"/>
        </w:rPr>
        <w:t>W</w:t>
      </w:r>
      <w:r w:rsidR="006327EF" w:rsidRPr="00981DC5">
        <w:rPr>
          <w:rFonts w:ascii="Book Antiqua" w:hAnsi="Book Antiqua" w:cs="Calibri"/>
          <w:color w:val="000000" w:themeColor="text1"/>
          <w:sz w:val="24"/>
          <w:szCs w:val="24"/>
          <w:lang w:val="en-US"/>
        </w:rPr>
        <w:t xml:space="preserve">e performed this </w:t>
      </w:r>
      <w:r w:rsidR="00391EFB" w:rsidRPr="00981DC5">
        <w:rPr>
          <w:rFonts w:ascii="Book Antiqua" w:hAnsi="Book Antiqua" w:cs="Calibri"/>
          <w:color w:val="000000" w:themeColor="text1"/>
          <w:sz w:val="24"/>
          <w:szCs w:val="24"/>
          <w:lang w:val="en-US"/>
        </w:rPr>
        <w:t xml:space="preserve">analysis </w:t>
      </w:r>
      <w:r w:rsidR="006327EF" w:rsidRPr="00981DC5">
        <w:rPr>
          <w:rFonts w:ascii="Book Antiqua" w:hAnsi="Book Antiqua" w:cs="Calibri"/>
          <w:color w:val="000000" w:themeColor="text1"/>
          <w:sz w:val="24"/>
          <w:szCs w:val="24"/>
          <w:lang w:val="en-US"/>
        </w:rPr>
        <w:t xml:space="preserve">only to give an initial assessment of the reliability of our model. </w:t>
      </w:r>
      <w:r w:rsidR="006A3D96" w:rsidRPr="00981DC5">
        <w:rPr>
          <w:rFonts w:ascii="Book Antiqua" w:hAnsi="Book Antiqua" w:cs="Calibri"/>
          <w:color w:val="000000" w:themeColor="text1"/>
          <w:sz w:val="24"/>
          <w:szCs w:val="24"/>
          <w:lang w:val="en-US"/>
        </w:rPr>
        <w:t xml:space="preserve">However, </w:t>
      </w:r>
      <w:r w:rsidR="006327EF" w:rsidRPr="00981DC5">
        <w:rPr>
          <w:rFonts w:ascii="Book Antiqua" w:hAnsi="Book Antiqua" w:cs="Calibri"/>
          <w:color w:val="000000" w:themeColor="text1"/>
          <w:sz w:val="24"/>
          <w:szCs w:val="24"/>
          <w:lang w:val="en-US"/>
        </w:rPr>
        <w:t xml:space="preserve">taking in consideration the previous premises, </w:t>
      </w:r>
      <w:r w:rsidR="006A3D96" w:rsidRPr="00981DC5">
        <w:rPr>
          <w:rFonts w:ascii="Book Antiqua" w:hAnsi="Book Antiqua" w:cs="Calibri"/>
          <w:color w:val="000000" w:themeColor="text1"/>
          <w:sz w:val="24"/>
          <w:szCs w:val="24"/>
          <w:lang w:val="en-US"/>
        </w:rPr>
        <w:t xml:space="preserve">these preliminary results are encouraging because first of all </w:t>
      </w:r>
      <w:r w:rsidR="006F6978" w:rsidRPr="00981DC5">
        <w:rPr>
          <w:rFonts w:ascii="Book Antiqua" w:hAnsi="Book Antiqua" w:cs="Calibri"/>
          <w:color w:val="000000" w:themeColor="text1"/>
          <w:sz w:val="24"/>
          <w:szCs w:val="24"/>
          <w:lang w:val="en-US"/>
        </w:rPr>
        <w:t xml:space="preserve">they </w:t>
      </w:r>
      <w:r w:rsidR="006A3D96" w:rsidRPr="00981DC5">
        <w:rPr>
          <w:rFonts w:ascii="Book Antiqua" w:hAnsi="Book Antiqua" w:cs="Calibri"/>
          <w:color w:val="000000" w:themeColor="text1"/>
          <w:sz w:val="24"/>
          <w:szCs w:val="24"/>
          <w:lang w:val="en-US"/>
        </w:rPr>
        <w:t xml:space="preserve">confirmed the possibility to successfully xenotransplant directly the tumor tissue in the zebrafish embryos. Moreover, we observed the </w:t>
      </w:r>
      <w:r w:rsidR="00307EBC" w:rsidRPr="00981DC5">
        <w:rPr>
          <w:rFonts w:ascii="Book Antiqua" w:hAnsi="Book Antiqua" w:cs="Calibri"/>
          <w:color w:val="000000" w:themeColor="text1"/>
          <w:sz w:val="24"/>
          <w:szCs w:val="24"/>
          <w:lang w:val="en-US"/>
        </w:rPr>
        <w:t xml:space="preserve">effect </w:t>
      </w:r>
      <w:r w:rsidR="006A3D96" w:rsidRPr="00981DC5">
        <w:rPr>
          <w:rFonts w:ascii="Book Antiqua" w:hAnsi="Book Antiqua" w:cs="Calibri"/>
          <w:color w:val="000000" w:themeColor="text1"/>
          <w:sz w:val="24"/>
          <w:szCs w:val="24"/>
          <w:lang w:val="en-US"/>
        </w:rPr>
        <w:t xml:space="preserve">of the chemotherapy </w:t>
      </w:r>
      <w:r w:rsidR="00307EBC" w:rsidRPr="00981DC5">
        <w:rPr>
          <w:rFonts w:ascii="Book Antiqua" w:hAnsi="Book Antiqua" w:cs="Calibri"/>
          <w:color w:val="000000" w:themeColor="text1"/>
          <w:sz w:val="24"/>
          <w:szCs w:val="24"/>
          <w:lang w:val="en-US"/>
        </w:rPr>
        <w:t xml:space="preserve">on the </w:t>
      </w:r>
      <w:proofErr w:type="spellStart"/>
      <w:r w:rsidR="00307EBC" w:rsidRPr="00981DC5">
        <w:rPr>
          <w:rFonts w:ascii="Book Antiqua" w:hAnsi="Book Antiqua" w:cs="Calibri"/>
          <w:color w:val="000000" w:themeColor="text1"/>
          <w:sz w:val="24"/>
          <w:szCs w:val="24"/>
          <w:lang w:val="en-US"/>
        </w:rPr>
        <w:t>xenotransplanted</w:t>
      </w:r>
      <w:proofErr w:type="spellEnd"/>
      <w:r w:rsidR="00307EBC" w:rsidRPr="00981DC5">
        <w:rPr>
          <w:rFonts w:ascii="Book Antiqua" w:hAnsi="Book Antiqua" w:cs="Calibri"/>
          <w:color w:val="000000" w:themeColor="text1"/>
          <w:sz w:val="24"/>
          <w:szCs w:val="24"/>
          <w:lang w:val="en-US"/>
        </w:rPr>
        <w:t xml:space="preserve"> tumor </w:t>
      </w:r>
      <w:r w:rsidR="00F3252B" w:rsidRPr="00981DC5">
        <w:rPr>
          <w:rFonts w:ascii="Book Antiqua" w:hAnsi="Book Antiqua" w:cs="Calibri"/>
          <w:color w:val="000000" w:themeColor="text1"/>
          <w:sz w:val="24"/>
          <w:szCs w:val="24"/>
          <w:lang w:val="en-US"/>
        </w:rPr>
        <w:t>tissue</w:t>
      </w:r>
      <w:r w:rsidR="00307EBC" w:rsidRPr="00981DC5">
        <w:rPr>
          <w:rFonts w:ascii="Book Antiqua" w:hAnsi="Book Antiqua" w:cs="Calibri"/>
          <w:color w:val="000000" w:themeColor="text1"/>
          <w:sz w:val="24"/>
          <w:szCs w:val="24"/>
          <w:lang w:val="en-US"/>
        </w:rPr>
        <w:t xml:space="preserve"> with </w:t>
      </w:r>
      <w:r w:rsidR="006A3D96" w:rsidRPr="00981DC5">
        <w:rPr>
          <w:rFonts w:ascii="Book Antiqua" w:hAnsi="Book Antiqua" w:cs="Calibri"/>
          <w:color w:val="000000" w:themeColor="text1"/>
          <w:sz w:val="24"/>
          <w:szCs w:val="24"/>
          <w:lang w:val="en-US"/>
        </w:rPr>
        <w:t xml:space="preserve">the possibility to use the zebrafish embryos as a model to predict the possible efficacy of the chemotherapy treatment. </w:t>
      </w:r>
      <w:r w:rsidR="00391EFB" w:rsidRPr="00981DC5">
        <w:rPr>
          <w:rFonts w:ascii="Book Antiqua" w:hAnsi="Book Antiqua" w:cs="Calibri"/>
          <w:color w:val="000000" w:themeColor="text1"/>
          <w:sz w:val="24"/>
          <w:szCs w:val="24"/>
          <w:lang w:val="en-US"/>
        </w:rPr>
        <w:t>T</w:t>
      </w:r>
      <w:r w:rsidR="006A3D96" w:rsidRPr="00981DC5">
        <w:rPr>
          <w:rFonts w:ascii="Book Antiqua" w:hAnsi="Book Antiqua" w:cs="Calibri"/>
          <w:color w:val="000000" w:themeColor="text1"/>
          <w:sz w:val="24"/>
          <w:szCs w:val="24"/>
          <w:lang w:val="en-US"/>
        </w:rPr>
        <w:t xml:space="preserve">he correlation between these data and the real clinical response to adjuvant chemotherapy will be essential to determine the possible role of our model in predicting the efficacy of the chemotherapy </w:t>
      </w:r>
      <w:r w:rsidR="006A3D96" w:rsidRPr="00981DC5">
        <w:rPr>
          <w:rFonts w:ascii="Book Antiqua" w:hAnsi="Book Antiqua" w:cs="Calibri"/>
          <w:color w:val="000000" w:themeColor="text1"/>
          <w:sz w:val="24"/>
          <w:szCs w:val="24"/>
          <w:lang w:val="en-US"/>
        </w:rPr>
        <w:lastRenderedPageBreak/>
        <w:t xml:space="preserve">scheme administered to patients with PDAC. A co-clinical trial </w:t>
      </w:r>
      <w:r w:rsidR="00307EBC" w:rsidRPr="00981DC5">
        <w:rPr>
          <w:rFonts w:ascii="Book Antiqua" w:hAnsi="Book Antiqua" w:cs="Calibri"/>
          <w:color w:val="000000" w:themeColor="text1"/>
          <w:sz w:val="24"/>
          <w:szCs w:val="24"/>
          <w:lang w:val="en-US"/>
        </w:rPr>
        <w:t>(NCT</w:t>
      </w:r>
      <w:r w:rsidR="004F487C" w:rsidRPr="00981DC5">
        <w:rPr>
          <w:rFonts w:ascii="Book Antiqua" w:hAnsi="Book Antiqua" w:cs="Calibri"/>
          <w:color w:val="000000" w:themeColor="text1"/>
          <w:sz w:val="24"/>
          <w:szCs w:val="24"/>
          <w:lang w:val="en-US"/>
        </w:rPr>
        <w:t xml:space="preserve">00070213) </w:t>
      </w:r>
      <w:r w:rsidR="006A3D96" w:rsidRPr="00981DC5">
        <w:rPr>
          <w:rFonts w:ascii="Book Antiqua" w:hAnsi="Book Antiqua" w:cs="Calibri"/>
          <w:color w:val="000000" w:themeColor="text1"/>
          <w:sz w:val="24"/>
          <w:szCs w:val="24"/>
          <w:lang w:val="en-US"/>
        </w:rPr>
        <w:t>is underway in our institution and will be object of further publication.</w:t>
      </w:r>
    </w:p>
    <w:p w14:paraId="0D4F8E2D" w14:textId="77777777" w:rsidR="00D96C19" w:rsidRPr="00981DC5" w:rsidRDefault="006A3D96" w:rsidP="00B11A05">
      <w:pPr>
        <w:adjustRightInd w:val="0"/>
        <w:snapToGrid w:val="0"/>
        <w:spacing w:after="0" w:line="360" w:lineRule="auto"/>
        <w:ind w:firstLineChars="100" w:firstLine="240"/>
        <w:jc w:val="both"/>
        <w:rPr>
          <w:rFonts w:ascii="Book Antiqua" w:hAnsi="Book Antiqua" w:cs="Calibri"/>
          <w:color w:val="000000" w:themeColor="text1"/>
          <w:sz w:val="24"/>
          <w:szCs w:val="24"/>
          <w:lang w:val="en-US"/>
        </w:rPr>
      </w:pPr>
      <w:r w:rsidRPr="00981DC5">
        <w:rPr>
          <w:rFonts w:ascii="Book Antiqua" w:hAnsi="Book Antiqua" w:cs="Calibri"/>
          <w:color w:val="000000" w:themeColor="text1"/>
          <w:sz w:val="24"/>
          <w:szCs w:val="24"/>
          <w:lang w:val="en-US"/>
        </w:rPr>
        <w:t xml:space="preserve">In conclusion, the described model appears to be an effective, usable and not expensive model for the xenotransplantation of pancreatic tumor tissue and for the evaluation of the efficacy of the different chemotherapy schemes available for the treatment of patients with PDAC. This could open a new frontier to personalized medicine because the results of the tests obtained in our model in the </w:t>
      </w:r>
      <w:proofErr w:type="spellStart"/>
      <w:r w:rsidRPr="00981DC5">
        <w:rPr>
          <w:rFonts w:ascii="Book Antiqua" w:hAnsi="Book Antiqua" w:cs="Calibri"/>
          <w:color w:val="000000" w:themeColor="text1"/>
          <w:sz w:val="24"/>
          <w:szCs w:val="24"/>
          <w:lang w:val="en-US"/>
        </w:rPr>
        <w:t>xenotransplanted</w:t>
      </w:r>
      <w:proofErr w:type="spellEnd"/>
      <w:r w:rsidRPr="00981DC5">
        <w:rPr>
          <w:rFonts w:ascii="Book Antiqua" w:hAnsi="Book Antiqua" w:cs="Calibri"/>
          <w:color w:val="000000" w:themeColor="text1"/>
          <w:sz w:val="24"/>
          <w:szCs w:val="24"/>
          <w:lang w:val="en-US"/>
        </w:rPr>
        <w:t xml:space="preserve"> zebrafish embryos could reflect the clinical course of the patients’ medical history, and such an approach might improve the evaluation of the patient’s prognosis and the identification of the most appropriate individualized therapy.</w:t>
      </w:r>
    </w:p>
    <w:p w14:paraId="3CA38E2E" w14:textId="66680170" w:rsidR="006A3D96" w:rsidRPr="00981DC5" w:rsidRDefault="006A3D96" w:rsidP="00B11A05">
      <w:pPr>
        <w:adjustRightInd w:val="0"/>
        <w:snapToGrid w:val="0"/>
        <w:spacing w:after="0" w:line="360" w:lineRule="auto"/>
        <w:jc w:val="both"/>
        <w:rPr>
          <w:rFonts w:ascii="Book Antiqua" w:eastAsia="MS Mincho" w:hAnsi="Book Antiqua"/>
          <w:color w:val="000000" w:themeColor="text1"/>
          <w:sz w:val="24"/>
          <w:szCs w:val="24"/>
          <w:lang w:val="en-US"/>
        </w:rPr>
      </w:pPr>
    </w:p>
    <w:p w14:paraId="362489DC" w14:textId="77777777" w:rsidR="00B11A05" w:rsidRPr="00981DC5" w:rsidRDefault="00B11A05" w:rsidP="00B11A05">
      <w:pPr>
        <w:adjustRightInd w:val="0"/>
        <w:snapToGrid w:val="0"/>
        <w:spacing w:after="0" w:line="360" w:lineRule="auto"/>
        <w:jc w:val="both"/>
        <w:rPr>
          <w:rFonts w:ascii="Book Antiqua" w:hAnsi="Book Antiqua" w:cstheme="minorHAnsi"/>
          <w:b/>
          <w:color w:val="000000" w:themeColor="text1"/>
          <w:sz w:val="24"/>
          <w:szCs w:val="24"/>
          <w:u w:val="single"/>
        </w:rPr>
      </w:pPr>
      <w:r w:rsidRPr="00981DC5">
        <w:rPr>
          <w:rFonts w:ascii="Book Antiqua" w:hAnsi="Book Antiqua" w:cstheme="minorHAnsi"/>
          <w:b/>
          <w:color w:val="000000" w:themeColor="text1"/>
          <w:sz w:val="24"/>
          <w:szCs w:val="24"/>
          <w:u w:val="single"/>
        </w:rPr>
        <w:t>ARTICLE HIGHLIGHTS</w:t>
      </w:r>
    </w:p>
    <w:p w14:paraId="32C9933E" w14:textId="77777777" w:rsidR="00B11A05" w:rsidRPr="00981DC5" w:rsidRDefault="00B11A05" w:rsidP="00B11A05">
      <w:pPr>
        <w:adjustRightInd w:val="0"/>
        <w:snapToGrid w:val="0"/>
        <w:spacing w:after="0" w:line="360" w:lineRule="auto"/>
        <w:jc w:val="both"/>
        <w:rPr>
          <w:rFonts w:ascii="Book Antiqua" w:hAnsi="Book Antiqua"/>
          <w:b/>
          <w:i/>
          <w:iCs/>
          <w:color w:val="000000" w:themeColor="text1"/>
          <w:sz w:val="24"/>
          <w:szCs w:val="24"/>
        </w:rPr>
      </w:pPr>
      <w:r w:rsidRPr="00981DC5">
        <w:rPr>
          <w:rFonts w:ascii="Book Antiqua" w:hAnsi="Book Antiqua"/>
          <w:b/>
          <w:i/>
          <w:iCs/>
          <w:color w:val="000000" w:themeColor="text1"/>
          <w:sz w:val="24"/>
          <w:szCs w:val="24"/>
        </w:rPr>
        <w:t>Research background</w:t>
      </w:r>
    </w:p>
    <w:p w14:paraId="093019E1" w14:textId="649D3C70" w:rsidR="00CB0773" w:rsidRPr="00981DC5" w:rsidRDefault="009D5C75" w:rsidP="00B11A05">
      <w:pPr>
        <w:adjustRightInd w:val="0"/>
        <w:snapToGrid w:val="0"/>
        <w:spacing w:after="0" w:line="360" w:lineRule="auto"/>
        <w:jc w:val="both"/>
        <w:rPr>
          <w:rFonts w:ascii="Book Antiqua" w:hAnsi="Book Antiqua" w:cs="Calibri"/>
          <w:color w:val="000000" w:themeColor="text1"/>
          <w:sz w:val="24"/>
          <w:szCs w:val="24"/>
          <w:lang w:val="en-US"/>
        </w:rPr>
      </w:pPr>
      <w:r w:rsidRPr="00981DC5">
        <w:rPr>
          <w:rFonts w:ascii="Book Antiqua" w:hAnsi="Book Antiqua" w:cs="Calibri"/>
          <w:color w:val="000000" w:themeColor="text1"/>
          <w:sz w:val="24"/>
          <w:szCs w:val="24"/>
          <w:lang w:val="en-US"/>
        </w:rPr>
        <w:t>T</w:t>
      </w:r>
      <w:r w:rsidR="00CB0773" w:rsidRPr="00981DC5">
        <w:rPr>
          <w:rFonts w:ascii="Book Antiqua" w:hAnsi="Book Antiqua" w:cs="Calibri"/>
          <w:color w:val="000000" w:themeColor="text1"/>
          <w:sz w:val="24"/>
          <w:szCs w:val="24"/>
          <w:lang w:val="en-US"/>
        </w:rPr>
        <w:t xml:space="preserve">he response </w:t>
      </w:r>
      <w:r w:rsidR="00F4657A" w:rsidRPr="00981DC5">
        <w:rPr>
          <w:rFonts w:ascii="Book Antiqua" w:hAnsi="Book Antiqua" w:cs="Calibri"/>
          <w:color w:val="000000" w:themeColor="text1"/>
          <w:sz w:val="24"/>
          <w:szCs w:val="24"/>
          <w:lang w:val="en-US"/>
        </w:rPr>
        <w:t xml:space="preserve">of patients with pancreatic ductal adenocarcinoma (PDAC) </w:t>
      </w:r>
      <w:r w:rsidR="00CB0773" w:rsidRPr="00981DC5">
        <w:rPr>
          <w:rFonts w:ascii="Book Antiqua" w:hAnsi="Book Antiqua" w:cs="Calibri"/>
          <w:color w:val="000000" w:themeColor="text1"/>
          <w:sz w:val="24"/>
          <w:szCs w:val="24"/>
          <w:lang w:val="en-US"/>
        </w:rPr>
        <w:t xml:space="preserve">to </w:t>
      </w:r>
      <w:r w:rsidR="009667A3" w:rsidRPr="00981DC5">
        <w:rPr>
          <w:rFonts w:ascii="Book Antiqua" w:hAnsi="Book Antiqua" w:cs="Calibri"/>
          <w:color w:val="000000" w:themeColor="text1"/>
          <w:sz w:val="24"/>
          <w:szCs w:val="24"/>
          <w:lang w:val="en-US"/>
        </w:rPr>
        <w:t>the different chemotherapy schemes</w:t>
      </w:r>
      <w:r w:rsidR="00F4657A" w:rsidRPr="00981DC5">
        <w:rPr>
          <w:rFonts w:ascii="Book Antiqua" w:hAnsi="Book Antiqua" w:cs="Calibri"/>
          <w:color w:val="000000" w:themeColor="text1"/>
          <w:sz w:val="24"/>
          <w:szCs w:val="24"/>
          <w:lang w:val="en-US"/>
        </w:rPr>
        <w:t xml:space="preserve"> </w:t>
      </w:r>
      <w:r w:rsidR="00CB0773" w:rsidRPr="00981DC5">
        <w:rPr>
          <w:rFonts w:ascii="Book Antiqua" w:hAnsi="Book Antiqua" w:cs="Calibri"/>
          <w:color w:val="000000" w:themeColor="text1"/>
          <w:sz w:val="24"/>
          <w:szCs w:val="24"/>
          <w:lang w:val="en-US"/>
        </w:rPr>
        <w:t>is difficult to</w:t>
      </w:r>
      <w:r w:rsidR="009667A3" w:rsidRPr="00981DC5">
        <w:rPr>
          <w:rFonts w:ascii="Book Antiqua" w:hAnsi="Book Antiqua" w:cs="Calibri"/>
          <w:color w:val="000000" w:themeColor="text1"/>
          <w:sz w:val="24"/>
          <w:szCs w:val="24"/>
          <w:lang w:val="en-US"/>
        </w:rPr>
        <w:t xml:space="preserve"> predict</w:t>
      </w:r>
      <w:r w:rsidR="00394778" w:rsidRPr="00981DC5">
        <w:rPr>
          <w:rFonts w:ascii="Book Antiqua" w:hAnsi="Book Antiqua" w:cs="Calibri"/>
          <w:color w:val="000000" w:themeColor="text1"/>
          <w:sz w:val="24"/>
          <w:szCs w:val="24"/>
          <w:lang w:val="en-US"/>
        </w:rPr>
        <w:t xml:space="preserve">. </w:t>
      </w:r>
      <w:r w:rsidR="00F4657A" w:rsidRPr="00981DC5">
        <w:rPr>
          <w:rFonts w:ascii="Book Antiqua" w:hAnsi="Book Antiqua" w:cs="Calibri"/>
          <w:color w:val="000000" w:themeColor="text1"/>
          <w:sz w:val="24"/>
          <w:szCs w:val="24"/>
          <w:lang w:val="en-US"/>
        </w:rPr>
        <w:t>T</w:t>
      </w:r>
      <w:r w:rsidR="00CB0773" w:rsidRPr="00981DC5">
        <w:rPr>
          <w:rFonts w:ascii="Book Antiqua" w:hAnsi="Book Antiqua" w:cs="Calibri"/>
          <w:color w:val="000000" w:themeColor="text1"/>
          <w:sz w:val="24"/>
          <w:szCs w:val="24"/>
          <w:lang w:val="en-US"/>
        </w:rPr>
        <w:t xml:space="preserve">he concept of precision medicine has emerged </w:t>
      </w:r>
      <w:r w:rsidR="009667A3" w:rsidRPr="00981DC5">
        <w:rPr>
          <w:rFonts w:ascii="Book Antiqua" w:hAnsi="Book Antiqua" w:cs="Calibri"/>
          <w:color w:val="000000" w:themeColor="text1"/>
          <w:sz w:val="24"/>
          <w:szCs w:val="24"/>
          <w:lang w:val="en-US"/>
        </w:rPr>
        <w:t>recently</w:t>
      </w:r>
      <w:r w:rsidR="00CB0773" w:rsidRPr="00981DC5">
        <w:rPr>
          <w:rFonts w:ascii="Book Antiqua" w:hAnsi="Book Antiqua" w:cs="Calibri"/>
          <w:color w:val="000000" w:themeColor="text1"/>
          <w:sz w:val="24"/>
          <w:szCs w:val="24"/>
          <w:lang w:val="en-US"/>
        </w:rPr>
        <w:t xml:space="preserve"> with the objective to tailor the medical treatment to the individual characteristics of each patient, and particularly to the tumor biology of each patient.</w:t>
      </w:r>
    </w:p>
    <w:p w14:paraId="6FB77C3F" w14:textId="77777777" w:rsidR="003A319F" w:rsidRPr="00981DC5" w:rsidRDefault="003A319F" w:rsidP="00B11A05">
      <w:pPr>
        <w:adjustRightInd w:val="0"/>
        <w:snapToGrid w:val="0"/>
        <w:spacing w:after="0" w:line="360" w:lineRule="auto"/>
        <w:jc w:val="both"/>
        <w:rPr>
          <w:rFonts w:ascii="Book Antiqua" w:eastAsia="MS Mincho" w:hAnsi="Book Antiqua"/>
          <w:color w:val="000000" w:themeColor="text1"/>
          <w:sz w:val="24"/>
          <w:szCs w:val="24"/>
          <w:lang w:val="en-US"/>
        </w:rPr>
      </w:pPr>
    </w:p>
    <w:p w14:paraId="743F1E9C" w14:textId="77777777" w:rsidR="003A319F" w:rsidRPr="00981DC5" w:rsidRDefault="003A319F" w:rsidP="00B11A05">
      <w:pPr>
        <w:adjustRightInd w:val="0"/>
        <w:snapToGrid w:val="0"/>
        <w:spacing w:after="0" w:line="360" w:lineRule="auto"/>
        <w:jc w:val="both"/>
        <w:rPr>
          <w:rFonts w:ascii="Book Antiqua" w:hAnsi="Book Antiqua" w:cs="Calibri"/>
          <w:b/>
          <w:i/>
          <w:iCs/>
          <w:color w:val="000000" w:themeColor="text1"/>
          <w:sz w:val="24"/>
          <w:szCs w:val="24"/>
          <w:lang w:val="en-GB"/>
        </w:rPr>
      </w:pPr>
      <w:r w:rsidRPr="00981DC5">
        <w:rPr>
          <w:rFonts w:ascii="Book Antiqua" w:hAnsi="Book Antiqua" w:cs="Calibri"/>
          <w:b/>
          <w:i/>
          <w:iCs/>
          <w:color w:val="000000" w:themeColor="text1"/>
          <w:sz w:val="24"/>
          <w:szCs w:val="24"/>
          <w:lang w:val="en-GB"/>
        </w:rPr>
        <w:t>Research motivation</w:t>
      </w:r>
    </w:p>
    <w:p w14:paraId="17921DC0" w14:textId="3031A72B" w:rsidR="00CB0773" w:rsidRPr="00981DC5" w:rsidRDefault="00CB0773" w:rsidP="00B11A05">
      <w:pPr>
        <w:adjustRightInd w:val="0"/>
        <w:snapToGrid w:val="0"/>
        <w:spacing w:after="0" w:line="360" w:lineRule="auto"/>
        <w:jc w:val="both"/>
        <w:rPr>
          <w:rFonts w:ascii="Book Antiqua" w:hAnsi="Book Antiqua" w:cs="Calibri"/>
          <w:color w:val="000000" w:themeColor="text1"/>
          <w:sz w:val="24"/>
          <w:szCs w:val="24"/>
          <w:lang w:val="en-US"/>
        </w:rPr>
      </w:pPr>
      <w:r w:rsidRPr="00981DC5">
        <w:rPr>
          <w:rFonts w:ascii="Book Antiqua" w:hAnsi="Book Antiqua" w:cs="Calibri"/>
          <w:color w:val="000000" w:themeColor="text1"/>
          <w:sz w:val="24"/>
          <w:szCs w:val="24"/>
          <w:lang w:val="en-US"/>
        </w:rPr>
        <w:t xml:space="preserve">Recently, the use of zebrafish as avatar for oncological patients has gained popularity. However, only preliminary studies were conducted with patient-derived pancreatic cancer cells or tissue. </w:t>
      </w:r>
    </w:p>
    <w:p w14:paraId="1B1B1693" w14:textId="77777777" w:rsidR="003A319F" w:rsidRPr="00981DC5" w:rsidRDefault="003A319F" w:rsidP="00B11A05">
      <w:pPr>
        <w:adjustRightInd w:val="0"/>
        <w:snapToGrid w:val="0"/>
        <w:spacing w:after="0" w:line="360" w:lineRule="auto"/>
        <w:jc w:val="both"/>
        <w:rPr>
          <w:rFonts w:ascii="Book Antiqua" w:hAnsi="Book Antiqua" w:cs="Calibri"/>
          <w:b/>
          <w:i/>
          <w:iCs/>
          <w:color w:val="000000" w:themeColor="text1"/>
          <w:sz w:val="24"/>
          <w:szCs w:val="24"/>
          <w:lang w:val="en-US"/>
        </w:rPr>
      </w:pPr>
    </w:p>
    <w:p w14:paraId="3754EA9F" w14:textId="77777777" w:rsidR="003A319F" w:rsidRPr="00981DC5" w:rsidRDefault="003A319F" w:rsidP="00B11A05">
      <w:pPr>
        <w:adjustRightInd w:val="0"/>
        <w:snapToGrid w:val="0"/>
        <w:spacing w:after="0" w:line="360" w:lineRule="auto"/>
        <w:jc w:val="both"/>
        <w:rPr>
          <w:rFonts w:ascii="Book Antiqua" w:hAnsi="Book Antiqua" w:cs="Calibri"/>
          <w:b/>
          <w:i/>
          <w:iCs/>
          <w:color w:val="000000" w:themeColor="text1"/>
          <w:sz w:val="24"/>
          <w:szCs w:val="24"/>
          <w:lang w:val="en-GB"/>
        </w:rPr>
      </w:pPr>
      <w:r w:rsidRPr="00981DC5">
        <w:rPr>
          <w:rFonts w:ascii="Book Antiqua" w:hAnsi="Book Antiqua" w:cs="Calibri"/>
          <w:b/>
          <w:i/>
          <w:iCs/>
          <w:color w:val="000000" w:themeColor="text1"/>
          <w:sz w:val="24"/>
          <w:szCs w:val="24"/>
          <w:lang w:val="en-GB"/>
        </w:rPr>
        <w:t>Research objectives</w:t>
      </w:r>
    </w:p>
    <w:p w14:paraId="230DE78C" w14:textId="2ED438DD" w:rsidR="003A319F" w:rsidRPr="00981DC5" w:rsidRDefault="00CB0773" w:rsidP="00B11A05">
      <w:pPr>
        <w:adjustRightInd w:val="0"/>
        <w:snapToGrid w:val="0"/>
        <w:spacing w:after="0" w:line="360" w:lineRule="auto"/>
        <w:jc w:val="both"/>
        <w:rPr>
          <w:rFonts w:ascii="Book Antiqua" w:hAnsi="Book Antiqua" w:cs="Calibri"/>
          <w:color w:val="000000" w:themeColor="text1"/>
          <w:sz w:val="24"/>
          <w:szCs w:val="24"/>
          <w:lang w:val="en-US"/>
        </w:rPr>
      </w:pPr>
      <w:r w:rsidRPr="00981DC5">
        <w:rPr>
          <w:rFonts w:ascii="Book Antiqua" w:hAnsi="Book Antiqua" w:cs="Calibri"/>
          <w:color w:val="000000" w:themeColor="text1"/>
          <w:sz w:val="24"/>
          <w:szCs w:val="24"/>
          <w:lang w:val="en-US"/>
        </w:rPr>
        <w:t>The aim of this study is to evaluate the usability of zebrafish embryos as a model possibly simple, not expensive and diffusible, that could be used as avatar for patients affected by PDAC</w:t>
      </w:r>
      <w:r w:rsidR="002F373C" w:rsidRPr="00981DC5">
        <w:rPr>
          <w:rFonts w:ascii="Book Antiqua" w:hAnsi="Book Antiqua" w:cs="Calibri"/>
          <w:color w:val="000000" w:themeColor="text1"/>
          <w:sz w:val="24"/>
          <w:szCs w:val="24"/>
          <w:lang w:val="en-US"/>
        </w:rPr>
        <w:t>,</w:t>
      </w:r>
      <w:r w:rsidRPr="00981DC5">
        <w:rPr>
          <w:rFonts w:ascii="Book Antiqua" w:hAnsi="Book Antiqua" w:cs="Calibri"/>
          <w:color w:val="000000" w:themeColor="text1"/>
          <w:sz w:val="24"/>
          <w:szCs w:val="24"/>
          <w:lang w:val="en-US"/>
        </w:rPr>
        <w:t xml:space="preserve"> to predict the efficacy of the different chemotherapy schemes and the clinical response to the treatment.</w:t>
      </w:r>
    </w:p>
    <w:p w14:paraId="71E906D9" w14:textId="77777777" w:rsidR="00CB0773" w:rsidRPr="00981DC5" w:rsidRDefault="00CB0773" w:rsidP="00B11A05">
      <w:pPr>
        <w:adjustRightInd w:val="0"/>
        <w:snapToGrid w:val="0"/>
        <w:spacing w:after="0" w:line="360" w:lineRule="auto"/>
        <w:jc w:val="both"/>
        <w:rPr>
          <w:rFonts w:ascii="Book Antiqua" w:hAnsi="Book Antiqua" w:cs="Calibri"/>
          <w:b/>
          <w:i/>
          <w:iCs/>
          <w:color w:val="000000" w:themeColor="text1"/>
          <w:sz w:val="24"/>
          <w:szCs w:val="24"/>
          <w:lang w:val="en-GB"/>
        </w:rPr>
      </w:pPr>
    </w:p>
    <w:p w14:paraId="5BC8B566" w14:textId="48BEFD17" w:rsidR="003A319F" w:rsidRPr="00981DC5" w:rsidRDefault="003A319F" w:rsidP="00B11A05">
      <w:pPr>
        <w:adjustRightInd w:val="0"/>
        <w:snapToGrid w:val="0"/>
        <w:spacing w:after="0" w:line="360" w:lineRule="auto"/>
        <w:jc w:val="both"/>
        <w:rPr>
          <w:rFonts w:ascii="Book Antiqua" w:hAnsi="Book Antiqua" w:cs="Calibri"/>
          <w:b/>
          <w:i/>
          <w:iCs/>
          <w:color w:val="000000" w:themeColor="text1"/>
          <w:sz w:val="24"/>
          <w:szCs w:val="24"/>
          <w:lang w:val="en-GB"/>
        </w:rPr>
      </w:pPr>
      <w:r w:rsidRPr="00981DC5">
        <w:rPr>
          <w:rFonts w:ascii="Book Antiqua" w:hAnsi="Book Antiqua" w:cs="Calibri"/>
          <w:b/>
          <w:i/>
          <w:iCs/>
          <w:color w:val="000000" w:themeColor="text1"/>
          <w:sz w:val="24"/>
          <w:szCs w:val="24"/>
          <w:lang w:val="en-GB"/>
        </w:rPr>
        <w:t>Research methods</w:t>
      </w:r>
    </w:p>
    <w:p w14:paraId="69D023B1" w14:textId="3B092362" w:rsidR="003A319F" w:rsidRPr="00463B5F" w:rsidRDefault="00440EC0" w:rsidP="00B11A05">
      <w:pPr>
        <w:adjustRightInd w:val="0"/>
        <w:snapToGrid w:val="0"/>
        <w:spacing w:after="0" w:line="360" w:lineRule="auto"/>
        <w:jc w:val="both"/>
        <w:rPr>
          <w:rFonts w:ascii="Book Antiqua" w:hAnsi="Book Antiqua" w:cs="Calibri"/>
          <w:color w:val="000000" w:themeColor="text1"/>
          <w:sz w:val="24"/>
          <w:szCs w:val="24"/>
          <w:lang w:val="en-US"/>
        </w:rPr>
      </w:pPr>
      <w:r w:rsidRPr="00981DC5">
        <w:rPr>
          <w:rFonts w:ascii="Book Antiqua" w:hAnsi="Book Antiqua" w:cs="Calibri"/>
          <w:color w:val="000000" w:themeColor="text1"/>
          <w:sz w:val="24"/>
          <w:szCs w:val="24"/>
          <w:lang w:val="en-US"/>
        </w:rPr>
        <w:t>A</w:t>
      </w:r>
      <w:r w:rsidR="009667A3" w:rsidRPr="00981DC5">
        <w:rPr>
          <w:rFonts w:ascii="Book Antiqua" w:hAnsi="Book Antiqua" w:cs="Calibri"/>
          <w:color w:val="000000" w:themeColor="text1"/>
          <w:sz w:val="24"/>
          <w:szCs w:val="24"/>
          <w:lang w:val="en-US"/>
        </w:rPr>
        <w:t xml:space="preserve"> fragment of the tumor was taken </w:t>
      </w:r>
      <w:r w:rsidRPr="00981DC5">
        <w:rPr>
          <w:rFonts w:ascii="Book Antiqua" w:hAnsi="Book Antiqua" w:cs="Calibri"/>
          <w:color w:val="000000" w:themeColor="text1"/>
          <w:sz w:val="24"/>
          <w:szCs w:val="24"/>
          <w:lang w:val="en-US"/>
        </w:rPr>
        <w:t xml:space="preserve">from the surgical specimen </w:t>
      </w:r>
      <w:r w:rsidR="009667A3" w:rsidRPr="00981DC5">
        <w:rPr>
          <w:rFonts w:ascii="Book Antiqua" w:hAnsi="Book Antiqua" w:cs="Calibri"/>
          <w:color w:val="000000" w:themeColor="text1"/>
          <w:sz w:val="24"/>
          <w:szCs w:val="24"/>
          <w:lang w:val="en-US"/>
        </w:rPr>
        <w:t xml:space="preserve">and sectioned into </w:t>
      </w:r>
      <w:r w:rsidR="00463B5F">
        <w:rPr>
          <w:rFonts w:ascii="Book Antiqua" w:hAnsi="Book Antiqua" w:cs="Calibri"/>
          <w:color w:val="000000" w:themeColor="text1"/>
          <w:sz w:val="24"/>
          <w:szCs w:val="24"/>
          <w:lang w:val="en-US"/>
        </w:rPr>
        <w:t xml:space="preserve">about </w:t>
      </w:r>
      <w:r w:rsidR="009667A3" w:rsidRPr="00981DC5">
        <w:rPr>
          <w:rFonts w:ascii="Book Antiqua" w:hAnsi="Book Antiqua" w:cs="Calibri"/>
          <w:color w:val="000000" w:themeColor="text1"/>
          <w:sz w:val="24"/>
          <w:szCs w:val="24"/>
          <w:lang w:val="en-US"/>
        </w:rPr>
        <w:t>3 mm</w:t>
      </w:r>
      <w:r w:rsidR="009667A3" w:rsidRPr="00463B5F">
        <w:rPr>
          <w:rFonts w:ascii="Book Antiqua" w:hAnsi="Book Antiqua" w:cs="Calibri"/>
          <w:color w:val="000000" w:themeColor="text1"/>
          <w:sz w:val="24"/>
          <w:szCs w:val="24"/>
          <w:vertAlign w:val="superscript"/>
          <w:lang w:val="en-US"/>
        </w:rPr>
        <w:t>3</w:t>
      </w:r>
      <w:r w:rsidR="009667A3" w:rsidRPr="00981DC5">
        <w:rPr>
          <w:rFonts w:ascii="Book Antiqua" w:hAnsi="Book Antiqua" w:cs="Calibri"/>
          <w:color w:val="000000" w:themeColor="text1"/>
          <w:sz w:val="24"/>
          <w:szCs w:val="24"/>
          <w:lang w:val="en-US"/>
        </w:rPr>
        <w:t xml:space="preserve"> pieces for </w:t>
      </w:r>
      <w:proofErr w:type="spellStart"/>
      <w:r w:rsidR="009667A3" w:rsidRPr="00981DC5">
        <w:rPr>
          <w:rFonts w:ascii="Book Antiqua" w:hAnsi="Book Antiqua" w:cs="Calibri"/>
          <w:color w:val="000000" w:themeColor="text1"/>
          <w:sz w:val="24"/>
          <w:szCs w:val="24"/>
          <w:lang w:val="en-US"/>
        </w:rPr>
        <w:t>DiI</w:t>
      </w:r>
      <w:proofErr w:type="spellEnd"/>
      <w:r w:rsidR="009667A3" w:rsidRPr="00981DC5">
        <w:rPr>
          <w:rFonts w:ascii="Book Antiqua" w:hAnsi="Book Antiqua" w:cs="Calibri"/>
          <w:color w:val="000000" w:themeColor="text1"/>
          <w:sz w:val="24"/>
          <w:szCs w:val="24"/>
          <w:lang w:val="en-US"/>
        </w:rPr>
        <w:t xml:space="preserve"> staining. Small pieces of stained tissue were </w:t>
      </w:r>
      <w:proofErr w:type="spellStart"/>
      <w:r w:rsidR="009667A3" w:rsidRPr="00981DC5">
        <w:rPr>
          <w:rFonts w:ascii="Book Antiqua" w:hAnsi="Book Antiqua" w:cs="Calibri"/>
          <w:color w:val="000000" w:themeColor="text1"/>
          <w:sz w:val="24"/>
          <w:szCs w:val="24"/>
          <w:lang w:val="en-US"/>
        </w:rPr>
        <w:t>xenotransplanted</w:t>
      </w:r>
      <w:proofErr w:type="spellEnd"/>
      <w:r w:rsidR="009667A3" w:rsidRPr="00981DC5">
        <w:rPr>
          <w:rFonts w:ascii="Book Antiqua" w:hAnsi="Book Antiqua" w:cs="Calibri"/>
          <w:color w:val="000000" w:themeColor="text1"/>
          <w:sz w:val="24"/>
          <w:szCs w:val="24"/>
          <w:lang w:val="en-US"/>
        </w:rPr>
        <w:t xml:space="preserve"> into the </w:t>
      </w:r>
      <w:r w:rsidR="009667A3" w:rsidRPr="00981DC5">
        <w:rPr>
          <w:rFonts w:ascii="Book Antiqua" w:hAnsi="Book Antiqua" w:cs="Calibri"/>
          <w:color w:val="000000" w:themeColor="text1"/>
          <w:sz w:val="24"/>
          <w:szCs w:val="24"/>
          <w:lang w:val="en-US"/>
        </w:rPr>
        <w:lastRenderedPageBreak/>
        <w:t xml:space="preserve">yolk of </w:t>
      </w:r>
      <w:r w:rsidR="009667A3" w:rsidRPr="00463B5F">
        <w:rPr>
          <w:rFonts w:ascii="Book Antiqua" w:hAnsi="Book Antiqua" w:cs="Calibri"/>
          <w:i/>
          <w:iCs/>
          <w:color w:val="000000" w:themeColor="text1"/>
          <w:sz w:val="24"/>
          <w:szCs w:val="24"/>
          <w:lang w:val="en-US"/>
        </w:rPr>
        <w:t>n</w:t>
      </w:r>
      <w:r w:rsidR="00463B5F">
        <w:rPr>
          <w:rFonts w:ascii="Book Antiqua" w:hAnsi="Book Antiqua" w:cs="Calibri"/>
          <w:color w:val="000000" w:themeColor="text1"/>
          <w:sz w:val="24"/>
          <w:szCs w:val="24"/>
          <w:lang w:val="en-US"/>
        </w:rPr>
        <w:t xml:space="preserve"> </w:t>
      </w:r>
      <w:r w:rsidR="009667A3" w:rsidRPr="00981DC5">
        <w:rPr>
          <w:rFonts w:ascii="Book Antiqua" w:hAnsi="Book Antiqua" w:cs="Calibri"/>
          <w:color w:val="000000" w:themeColor="text1"/>
          <w:sz w:val="24"/>
          <w:szCs w:val="24"/>
          <w:lang w:val="en-US"/>
        </w:rPr>
        <w:t>=</w:t>
      </w:r>
      <w:r w:rsidR="00463B5F">
        <w:rPr>
          <w:rFonts w:ascii="Book Antiqua" w:hAnsi="Book Antiqua" w:cs="Calibri"/>
          <w:color w:val="000000" w:themeColor="text1"/>
          <w:sz w:val="24"/>
          <w:szCs w:val="24"/>
          <w:lang w:val="en-US"/>
        </w:rPr>
        <w:t xml:space="preserve"> </w:t>
      </w:r>
      <w:r w:rsidR="009667A3" w:rsidRPr="00981DC5">
        <w:rPr>
          <w:rFonts w:ascii="Book Antiqua" w:hAnsi="Book Antiqua" w:cs="Calibri"/>
          <w:color w:val="000000" w:themeColor="text1"/>
          <w:sz w:val="24"/>
          <w:szCs w:val="24"/>
          <w:lang w:val="en-US"/>
        </w:rPr>
        <w:t xml:space="preserve">100 zebrafish embryos 2 </w:t>
      </w:r>
      <w:proofErr w:type="spellStart"/>
      <w:r w:rsidR="009667A3" w:rsidRPr="00981DC5">
        <w:rPr>
          <w:rFonts w:ascii="Book Antiqua" w:hAnsi="Book Antiqua" w:cs="Calibri"/>
          <w:color w:val="000000" w:themeColor="text1"/>
          <w:sz w:val="24"/>
          <w:szCs w:val="24"/>
          <w:lang w:val="en-US"/>
        </w:rPr>
        <w:t>dpf</w:t>
      </w:r>
      <w:proofErr w:type="spellEnd"/>
      <w:r w:rsidR="009667A3" w:rsidRPr="00981DC5">
        <w:rPr>
          <w:rFonts w:ascii="Book Antiqua" w:hAnsi="Book Antiqua" w:cs="Calibri"/>
          <w:color w:val="000000" w:themeColor="text1"/>
          <w:sz w:val="24"/>
          <w:szCs w:val="24"/>
          <w:lang w:val="en-US"/>
        </w:rPr>
        <w:t xml:space="preserve">. </w:t>
      </w:r>
      <w:r w:rsidR="00F177ED" w:rsidRPr="00981DC5">
        <w:rPr>
          <w:rFonts w:ascii="Book Antiqua" w:hAnsi="Book Antiqua" w:cs="Calibri"/>
          <w:color w:val="000000" w:themeColor="text1"/>
          <w:sz w:val="24"/>
          <w:szCs w:val="24"/>
          <w:lang w:val="en-US"/>
        </w:rPr>
        <w:t>T</w:t>
      </w:r>
      <w:r w:rsidR="009667A3" w:rsidRPr="00981DC5">
        <w:rPr>
          <w:rFonts w:ascii="Book Antiqua" w:hAnsi="Book Antiqua" w:cs="Calibri"/>
          <w:color w:val="000000" w:themeColor="text1"/>
          <w:sz w:val="24"/>
          <w:szCs w:val="24"/>
          <w:lang w:val="en-US"/>
        </w:rPr>
        <w:t xml:space="preserve">he zebrafish xenografts </w:t>
      </w:r>
      <w:r w:rsidR="00F177ED" w:rsidRPr="00981DC5">
        <w:rPr>
          <w:rFonts w:ascii="Book Antiqua" w:hAnsi="Book Antiqua" w:cs="Calibri"/>
          <w:color w:val="000000" w:themeColor="text1"/>
          <w:sz w:val="24"/>
          <w:szCs w:val="24"/>
          <w:lang w:val="en-US"/>
        </w:rPr>
        <w:t xml:space="preserve">were incubated </w:t>
      </w:r>
      <w:r w:rsidR="009667A3" w:rsidRPr="00981DC5">
        <w:rPr>
          <w:rFonts w:ascii="Book Antiqua" w:hAnsi="Book Antiqua" w:cs="Calibri"/>
          <w:color w:val="000000" w:themeColor="text1"/>
          <w:sz w:val="24"/>
          <w:szCs w:val="24"/>
          <w:lang w:val="en-US"/>
        </w:rPr>
        <w:t>at 35°C</w:t>
      </w:r>
      <w:r w:rsidR="009667A3" w:rsidRPr="00981DC5" w:rsidDel="009C0131">
        <w:rPr>
          <w:rFonts w:ascii="Book Antiqua" w:hAnsi="Book Antiqua" w:cs="Calibri"/>
          <w:color w:val="000000" w:themeColor="text1"/>
          <w:sz w:val="24"/>
          <w:szCs w:val="24"/>
          <w:lang w:val="en-US"/>
        </w:rPr>
        <w:t xml:space="preserve"> </w:t>
      </w:r>
      <w:r w:rsidR="009667A3" w:rsidRPr="00981DC5">
        <w:rPr>
          <w:rFonts w:ascii="Book Antiqua" w:hAnsi="Book Antiqua" w:cs="Calibri"/>
          <w:color w:val="000000" w:themeColor="text1"/>
          <w:sz w:val="24"/>
          <w:szCs w:val="24"/>
          <w:lang w:val="en-US"/>
        </w:rPr>
        <w:t>with the presence or absence of drugs (GEM, GEMOX, GEM/nab-P, FOLFOXIRI) dissolved in fish water, using the equivalent dose (ED</w:t>
      </w:r>
      <w:r w:rsidR="00463B5F">
        <w:rPr>
          <w:rFonts w:ascii="Book Antiqua" w:hAnsi="Book Antiqua" w:cs="Calibri"/>
          <w:color w:val="000000" w:themeColor="text1"/>
          <w:sz w:val="24"/>
          <w:szCs w:val="24"/>
          <w:lang w:val="en-US"/>
        </w:rPr>
        <w:t xml:space="preserve"> </w:t>
      </w:r>
      <w:r w:rsidR="009667A3" w:rsidRPr="00981DC5">
        <w:rPr>
          <w:rFonts w:ascii="Book Antiqua" w:hAnsi="Book Antiqua" w:cs="Calibri"/>
          <w:color w:val="000000" w:themeColor="text1"/>
          <w:sz w:val="24"/>
          <w:szCs w:val="24"/>
          <w:lang w:val="en-US"/>
        </w:rPr>
        <w:t>=</w:t>
      </w:r>
      <w:r w:rsidR="00463B5F">
        <w:rPr>
          <w:rFonts w:ascii="Book Antiqua" w:hAnsi="Book Antiqua" w:cs="Calibri"/>
          <w:color w:val="000000" w:themeColor="text1"/>
          <w:sz w:val="24"/>
          <w:szCs w:val="24"/>
          <w:lang w:val="en-US"/>
        </w:rPr>
        <w:t xml:space="preserve"> </w:t>
      </w:r>
      <w:r w:rsidR="009667A3" w:rsidRPr="00981DC5">
        <w:rPr>
          <w:rFonts w:ascii="Book Antiqua" w:hAnsi="Book Antiqua" w:cs="Calibri"/>
          <w:color w:val="000000" w:themeColor="text1"/>
          <w:sz w:val="24"/>
          <w:szCs w:val="24"/>
          <w:lang w:val="en-US"/>
        </w:rPr>
        <w:t xml:space="preserve">5). </w:t>
      </w:r>
      <w:r w:rsidR="00CE7A85" w:rsidRPr="00981DC5">
        <w:rPr>
          <w:rFonts w:ascii="Book Antiqua" w:hAnsi="Book Antiqua" w:cs="Calibri"/>
          <w:color w:val="000000" w:themeColor="text1"/>
          <w:sz w:val="24"/>
          <w:szCs w:val="24"/>
          <w:lang w:val="en-US"/>
        </w:rPr>
        <w:t xml:space="preserve">Firstly, we compared </w:t>
      </w:r>
      <w:r w:rsidR="00CB0773" w:rsidRPr="00981DC5">
        <w:rPr>
          <w:rFonts w:ascii="Book Antiqua" w:hAnsi="Book Antiqua" w:cs="Calibri"/>
          <w:color w:val="000000" w:themeColor="text1"/>
          <w:sz w:val="24"/>
          <w:szCs w:val="24"/>
          <w:lang w:val="en-US"/>
        </w:rPr>
        <w:t xml:space="preserve">the mean </w:t>
      </w:r>
      <w:r w:rsidR="00CA3E0A" w:rsidRPr="00981DC5">
        <w:rPr>
          <w:rFonts w:ascii="Book Antiqua" w:hAnsi="Book Antiqua" w:cs="Calibri"/>
          <w:color w:val="000000" w:themeColor="text1"/>
          <w:sz w:val="24"/>
          <w:szCs w:val="24"/>
          <w:lang w:val="en-US"/>
        </w:rPr>
        <w:t xml:space="preserve">relative tumor area </w:t>
      </w:r>
      <w:r w:rsidR="00CA3E0A">
        <w:rPr>
          <w:rFonts w:ascii="Book Antiqua" w:hAnsi="Book Antiqua" w:cs="Calibri"/>
          <w:color w:val="000000" w:themeColor="text1"/>
          <w:sz w:val="24"/>
          <w:szCs w:val="24"/>
          <w:lang w:val="en-US"/>
        </w:rPr>
        <w:t>(</w:t>
      </w:r>
      <w:r w:rsidR="00CA3E0A" w:rsidRPr="00981DC5">
        <w:rPr>
          <w:rFonts w:ascii="Book Antiqua" w:hAnsi="Book Antiqua" w:cs="Calibri"/>
          <w:color w:val="000000" w:themeColor="text1"/>
          <w:sz w:val="24"/>
          <w:szCs w:val="24"/>
          <w:lang w:val="en-US"/>
        </w:rPr>
        <w:t>RTA)</w:t>
      </w:r>
      <w:r w:rsidR="00CB0773" w:rsidRPr="00981DC5">
        <w:rPr>
          <w:rFonts w:ascii="Book Antiqua" w:hAnsi="Book Antiqua" w:cs="Calibri"/>
          <w:color w:val="000000" w:themeColor="text1"/>
          <w:sz w:val="24"/>
          <w:szCs w:val="24"/>
          <w:lang w:val="en-US"/>
        </w:rPr>
        <w:t xml:space="preserve"> between each treated subgroup and the control group. </w:t>
      </w:r>
      <w:r w:rsidR="00CE7A85" w:rsidRPr="00981DC5">
        <w:rPr>
          <w:rFonts w:ascii="Book Antiqua" w:hAnsi="Book Antiqua" w:cs="Calibri"/>
          <w:color w:val="000000" w:themeColor="text1"/>
          <w:sz w:val="24"/>
          <w:szCs w:val="24"/>
          <w:lang w:val="en-US"/>
        </w:rPr>
        <w:t>Secondly</w:t>
      </w:r>
      <w:r w:rsidR="00CB0773" w:rsidRPr="00981DC5">
        <w:rPr>
          <w:rFonts w:ascii="Book Antiqua" w:hAnsi="Book Antiqua" w:cs="Calibri"/>
          <w:color w:val="000000" w:themeColor="text1"/>
          <w:sz w:val="24"/>
          <w:szCs w:val="24"/>
          <w:lang w:val="en-US"/>
        </w:rPr>
        <w:t>, we evaluated the percentage reduction of the mean RTA</w:t>
      </w:r>
      <w:r w:rsidR="00A377B0" w:rsidRPr="00981DC5">
        <w:rPr>
          <w:rFonts w:ascii="Book Antiqua" w:hAnsi="Book Antiqua" w:cs="Calibri"/>
          <w:color w:val="000000" w:themeColor="text1"/>
          <w:sz w:val="24"/>
          <w:szCs w:val="24"/>
          <w:lang w:val="en-US"/>
        </w:rPr>
        <w:t xml:space="preserve"> (</w:t>
      </w:r>
      <w:proofErr w:type="spellStart"/>
      <w:r w:rsidR="00A377B0" w:rsidRPr="00981DC5">
        <w:rPr>
          <w:rFonts w:ascii="Book Antiqua" w:hAnsi="Book Antiqua" w:cs="Calibri"/>
          <w:color w:val="000000" w:themeColor="text1"/>
          <w:sz w:val="24"/>
          <w:szCs w:val="24"/>
          <w:lang w:val="en-US"/>
        </w:rPr>
        <w:t>PRmRTA</w:t>
      </w:r>
      <w:proofErr w:type="spellEnd"/>
      <w:r w:rsidR="00A377B0" w:rsidRPr="00981DC5">
        <w:rPr>
          <w:rFonts w:ascii="Book Antiqua" w:hAnsi="Book Antiqua" w:cs="Calibri"/>
          <w:color w:val="000000" w:themeColor="text1"/>
          <w:sz w:val="24"/>
          <w:szCs w:val="24"/>
          <w:lang w:val="en-US"/>
        </w:rPr>
        <w:t>)</w:t>
      </w:r>
      <w:r w:rsidR="00CB0773" w:rsidRPr="00981DC5">
        <w:rPr>
          <w:rFonts w:ascii="Book Antiqua" w:hAnsi="Book Antiqua" w:cs="Calibri"/>
          <w:color w:val="000000" w:themeColor="text1"/>
          <w:sz w:val="24"/>
          <w:szCs w:val="24"/>
          <w:lang w:val="en-US"/>
        </w:rPr>
        <w:t xml:space="preserve"> in each treated subgroup </w:t>
      </w:r>
      <w:r w:rsidR="009667A3" w:rsidRPr="00981DC5">
        <w:rPr>
          <w:rFonts w:ascii="Book Antiqua" w:hAnsi="Book Antiqua" w:cs="Calibri"/>
          <w:color w:val="000000" w:themeColor="text1"/>
          <w:sz w:val="24"/>
          <w:szCs w:val="24"/>
          <w:lang w:val="en-US"/>
        </w:rPr>
        <w:t xml:space="preserve">in comparison to </w:t>
      </w:r>
      <w:r w:rsidR="00CB0773" w:rsidRPr="00981DC5">
        <w:rPr>
          <w:rFonts w:ascii="Book Antiqua" w:hAnsi="Book Antiqua" w:cs="Calibri"/>
          <w:color w:val="000000" w:themeColor="text1"/>
          <w:sz w:val="24"/>
          <w:szCs w:val="24"/>
          <w:lang w:val="en-US"/>
        </w:rPr>
        <w:t>the control group</w:t>
      </w:r>
      <w:r w:rsidR="009667A3" w:rsidRPr="00981DC5">
        <w:rPr>
          <w:rFonts w:ascii="Book Antiqua" w:hAnsi="Book Antiqua" w:cs="Calibri"/>
          <w:color w:val="000000" w:themeColor="text1"/>
          <w:sz w:val="24"/>
          <w:szCs w:val="24"/>
          <w:lang w:val="en-US"/>
        </w:rPr>
        <w:t>, evaluating the presence of</w:t>
      </w:r>
      <w:r w:rsidR="00CB0773" w:rsidRPr="00981DC5">
        <w:rPr>
          <w:rFonts w:ascii="Book Antiqua" w:hAnsi="Book Antiqua" w:cs="Calibri"/>
          <w:color w:val="000000" w:themeColor="text1"/>
          <w:sz w:val="24"/>
          <w:szCs w:val="24"/>
          <w:lang w:val="en-US"/>
        </w:rPr>
        <w:t xml:space="preserve"> a linear relationship between </w:t>
      </w:r>
      <w:r w:rsidRPr="00981DC5">
        <w:rPr>
          <w:rFonts w:ascii="Book Antiqua" w:hAnsi="Book Antiqua" w:cs="Calibri"/>
          <w:color w:val="000000" w:themeColor="text1"/>
          <w:sz w:val="24"/>
          <w:szCs w:val="24"/>
          <w:lang w:val="en-US"/>
        </w:rPr>
        <w:t xml:space="preserve">each </w:t>
      </w:r>
      <w:r w:rsidR="00CB0773" w:rsidRPr="00981DC5">
        <w:rPr>
          <w:rFonts w:ascii="Book Antiqua" w:hAnsi="Book Antiqua" w:cs="Calibri"/>
          <w:color w:val="000000" w:themeColor="text1"/>
          <w:sz w:val="24"/>
          <w:szCs w:val="24"/>
          <w:lang w:val="en-US"/>
        </w:rPr>
        <w:t xml:space="preserve">threshold value of the </w:t>
      </w:r>
      <w:proofErr w:type="spellStart"/>
      <w:r w:rsidR="00A377B0" w:rsidRPr="00981DC5">
        <w:rPr>
          <w:rFonts w:ascii="Book Antiqua" w:hAnsi="Book Antiqua" w:cs="Calibri"/>
          <w:color w:val="000000" w:themeColor="text1"/>
          <w:sz w:val="24"/>
          <w:szCs w:val="24"/>
          <w:lang w:val="en-US"/>
        </w:rPr>
        <w:t>PRmRTA</w:t>
      </w:r>
      <w:proofErr w:type="spellEnd"/>
      <w:r w:rsidR="00CB0773" w:rsidRPr="00981DC5">
        <w:rPr>
          <w:rFonts w:ascii="Book Antiqua" w:hAnsi="Book Antiqua" w:cs="Calibri"/>
          <w:color w:val="000000" w:themeColor="text1"/>
          <w:sz w:val="24"/>
          <w:szCs w:val="24"/>
          <w:lang w:val="en-US"/>
        </w:rPr>
        <w:t xml:space="preserve"> and the number of cases reporting a </w:t>
      </w:r>
      <w:proofErr w:type="spellStart"/>
      <w:r w:rsidR="00A377B0" w:rsidRPr="00981DC5">
        <w:rPr>
          <w:rFonts w:ascii="Book Antiqua" w:hAnsi="Book Antiqua" w:cs="Calibri"/>
          <w:color w:val="000000" w:themeColor="text1"/>
          <w:sz w:val="24"/>
          <w:szCs w:val="24"/>
          <w:lang w:val="en-US"/>
        </w:rPr>
        <w:t>PRmRTA</w:t>
      </w:r>
      <w:proofErr w:type="spellEnd"/>
      <w:r w:rsidR="00CB0773" w:rsidRPr="00981DC5">
        <w:rPr>
          <w:rFonts w:ascii="Book Antiqua" w:hAnsi="Book Antiqua" w:cs="Calibri"/>
          <w:color w:val="000000" w:themeColor="text1"/>
          <w:sz w:val="24"/>
          <w:szCs w:val="24"/>
          <w:lang w:val="en-US"/>
        </w:rPr>
        <w:t xml:space="preserve"> equal or greater to each threshold value</w:t>
      </w:r>
      <w:r w:rsidR="009667A3" w:rsidRPr="00981DC5">
        <w:rPr>
          <w:rFonts w:ascii="Book Antiqua" w:hAnsi="Book Antiqua" w:cs="Calibri"/>
          <w:color w:val="000000" w:themeColor="text1"/>
          <w:sz w:val="24"/>
          <w:szCs w:val="24"/>
          <w:lang w:val="en-US"/>
        </w:rPr>
        <w:t>.</w:t>
      </w:r>
      <w:r w:rsidR="00CB0773" w:rsidRPr="00981DC5">
        <w:rPr>
          <w:rFonts w:ascii="Book Antiqua" w:hAnsi="Book Antiqua" w:cs="Calibri"/>
          <w:color w:val="000000" w:themeColor="text1"/>
          <w:sz w:val="24"/>
          <w:szCs w:val="24"/>
          <w:lang w:val="en-US"/>
        </w:rPr>
        <w:t xml:space="preserve"> </w:t>
      </w:r>
      <w:r w:rsidR="009667A3" w:rsidRPr="00981DC5">
        <w:rPr>
          <w:rFonts w:ascii="Book Antiqua" w:hAnsi="Book Antiqua" w:cs="Calibri"/>
          <w:color w:val="000000" w:themeColor="text1"/>
          <w:sz w:val="24"/>
          <w:szCs w:val="24"/>
          <w:lang w:val="en-US"/>
        </w:rPr>
        <w:t>U</w:t>
      </w:r>
      <w:r w:rsidR="00CB0773" w:rsidRPr="00981DC5">
        <w:rPr>
          <w:rFonts w:ascii="Book Antiqua" w:hAnsi="Book Antiqua" w:cs="Calibri"/>
          <w:color w:val="000000" w:themeColor="text1"/>
          <w:sz w:val="24"/>
          <w:szCs w:val="24"/>
          <w:lang w:val="en-US"/>
        </w:rPr>
        <w:t xml:space="preserve">sing the linear regression line equation, we calculated for each protocol the expected percentage RTA reduction with the following formula: </w:t>
      </w:r>
      <w:r w:rsidR="00463B5F">
        <w:rPr>
          <w:rFonts w:ascii="Book Antiqua" w:hAnsi="Book Antiqua" w:cs="Calibri"/>
          <w:color w:val="000000" w:themeColor="text1"/>
          <w:sz w:val="24"/>
          <w:szCs w:val="24"/>
          <w:lang w:val="en-US"/>
        </w:rPr>
        <w:t>expected percentage</w:t>
      </w:r>
      <w:r w:rsidR="00463B5F" w:rsidRPr="00870220">
        <w:rPr>
          <w:rFonts w:ascii="Book Antiqua" w:hAnsi="Book Antiqua" w:cs="Calibri"/>
          <w:color w:val="000000" w:themeColor="text1"/>
          <w:sz w:val="24"/>
          <w:szCs w:val="24"/>
          <w:lang w:val="en-US"/>
        </w:rPr>
        <w:t xml:space="preserve"> </w:t>
      </w:r>
      <w:r w:rsidR="00463B5F" w:rsidRPr="00981DC5">
        <w:rPr>
          <w:rFonts w:ascii="Book Antiqua" w:hAnsi="Book Antiqua" w:cs="Calibri"/>
          <w:color w:val="000000" w:themeColor="text1"/>
          <w:sz w:val="24"/>
          <w:szCs w:val="24"/>
          <w:lang w:val="en-US"/>
        </w:rPr>
        <w:t>reduction of the mean RTA</w:t>
      </w:r>
      <w:r w:rsidR="00463B5F">
        <w:rPr>
          <w:rFonts w:ascii="Book Antiqua" w:hAnsi="Book Antiqua" w:cs="Calibri"/>
          <w:color w:val="000000" w:themeColor="text1"/>
          <w:sz w:val="24"/>
          <w:szCs w:val="24"/>
          <w:lang w:val="en-US"/>
        </w:rPr>
        <w:t xml:space="preserve"> = (percentage of PR reported in literature – </w:t>
      </w:r>
      <w:proofErr w:type="spellStart"/>
      <w:r w:rsidR="00463B5F">
        <w:rPr>
          <w:rFonts w:ascii="Book Antiqua" w:hAnsi="Book Antiqua" w:cs="Calibri"/>
          <w:color w:val="000000" w:themeColor="text1"/>
          <w:sz w:val="24"/>
          <w:szCs w:val="24"/>
          <w:lang w:val="en-US"/>
        </w:rPr>
        <w:t>q</w:t>
      </w:r>
      <w:r w:rsidR="00463B5F" w:rsidRPr="00870220">
        <w:rPr>
          <w:rFonts w:ascii="Book Antiqua" w:hAnsi="Book Antiqua" w:cs="Calibri"/>
          <w:i/>
          <w:iCs/>
          <w:color w:val="000000" w:themeColor="text1"/>
          <w:sz w:val="24"/>
          <w:szCs w:val="24"/>
          <w:lang w:val="en-US"/>
        </w:rPr>
        <w:t>linear</w:t>
      </w:r>
      <w:proofErr w:type="spellEnd"/>
      <w:r w:rsidR="00463B5F" w:rsidRPr="00870220">
        <w:rPr>
          <w:rFonts w:ascii="Book Antiqua" w:hAnsi="Book Antiqua" w:cs="Calibri"/>
          <w:i/>
          <w:iCs/>
          <w:color w:val="000000" w:themeColor="text1"/>
          <w:sz w:val="24"/>
          <w:szCs w:val="24"/>
          <w:lang w:val="en-US"/>
        </w:rPr>
        <w:t xml:space="preserve"> regression line equation</w:t>
      </w:r>
      <w:r w:rsidR="00463B5F">
        <w:rPr>
          <w:rFonts w:ascii="Book Antiqua" w:hAnsi="Book Antiqua" w:cs="Calibri"/>
          <w:color w:val="000000" w:themeColor="text1"/>
          <w:sz w:val="24"/>
          <w:szCs w:val="24"/>
          <w:lang w:val="en-US"/>
        </w:rPr>
        <w:t>)/</w:t>
      </w:r>
      <w:proofErr w:type="spellStart"/>
      <w:r w:rsidR="00463B5F">
        <w:rPr>
          <w:rFonts w:ascii="Book Antiqua" w:hAnsi="Book Antiqua" w:cs="Calibri"/>
          <w:color w:val="000000" w:themeColor="text1"/>
          <w:sz w:val="24"/>
          <w:szCs w:val="24"/>
          <w:lang w:val="en-US"/>
        </w:rPr>
        <w:t>m</w:t>
      </w:r>
      <w:r w:rsidR="00463B5F" w:rsidRPr="00870220">
        <w:rPr>
          <w:rFonts w:ascii="Book Antiqua" w:hAnsi="Book Antiqua" w:cs="Calibri"/>
          <w:i/>
          <w:iCs/>
          <w:color w:val="000000" w:themeColor="text1"/>
          <w:sz w:val="24"/>
          <w:szCs w:val="24"/>
          <w:lang w:val="en-US"/>
        </w:rPr>
        <w:t>linear</w:t>
      </w:r>
      <w:proofErr w:type="spellEnd"/>
      <w:r w:rsidR="00463B5F" w:rsidRPr="00870220">
        <w:rPr>
          <w:rFonts w:ascii="Book Antiqua" w:hAnsi="Book Antiqua" w:cs="Calibri"/>
          <w:i/>
          <w:iCs/>
          <w:color w:val="000000" w:themeColor="text1"/>
          <w:sz w:val="24"/>
          <w:szCs w:val="24"/>
          <w:lang w:val="en-US"/>
        </w:rPr>
        <w:t xml:space="preserve"> regression line equation</w:t>
      </w:r>
      <w:r w:rsidR="00463B5F">
        <w:rPr>
          <w:rFonts w:ascii="Book Antiqua" w:hAnsi="Book Antiqua" w:cs="Calibri"/>
          <w:color w:val="000000" w:themeColor="text1"/>
          <w:sz w:val="24"/>
          <w:szCs w:val="24"/>
          <w:lang w:val="en-US"/>
        </w:rPr>
        <w:t xml:space="preserve">. </w:t>
      </w:r>
      <w:r w:rsidR="00F177ED" w:rsidRPr="00981DC5">
        <w:rPr>
          <w:rFonts w:ascii="Book Antiqua" w:hAnsi="Book Antiqua" w:cs="Calibri"/>
          <w:color w:val="000000" w:themeColor="text1"/>
          <w:sz w:val="24"/>
          <w:szCs w:val="24"/>
          <w:lang w:val="en-US"/>
        </w:rPr>
        <w:t>F</w:t>
      </w:r>
      <w:r w:rsidR="00CB0773" w:rsidRPr="00981DC5">
        <w:rPr>
          <w:rFonts w:ascii="Book Antiqua" w:hAnsi="Book Antiqua" w:cs="Calibri"/>
          <w:color w:val="000000" w:themeColor="text1"/>
          <w:sz w:val="24"/>
          <w:szCs w:val="24"/>
          <w:lang w:val="en-US"/>
        </w:rPr>
        <w:t xml:space="preserve">or each chemotherapy </w:t>
      </w:r>
      <w:r w:rsidR="001F5BB1" w:rsidRPr="00981DC5">
        <w:rPr>
          <w:rFonts w:ascii="Book Antiqua" w:hAnsi="Book Antiqua" w:cs="Calibri"/>
          <w:color w:val="000000" w:themeColor="text1"/>
          <w:sz w:val="24"/>
          <w:szCs w:val="24"/>
          <w:lang w:val="en-US"/>
        </w:rPr>
        <w:t>protocol,</w:t>
      </w:r>
      <w:r w:rsidR="00CB0773" w:rsidRPr="00981DC5">
        <w:rPr>
          <w:rFonts w:ascii="Book Antiqua" w:hAnsi="Book Antiqua" w:cs="Calibri"/>
          <w:color w:val="000000" w:themeColor="text1"/>
          <w:sz w:val="24"/>
          <w:szCs w:val="24"/>
          <w:lang w:val="en-US"/>
        </w:rPr>
        <w:t xml:space="preserve"> we calculated the mean value of the expected </w:t>
      </w:r>
      <w:proofErr w:type="spellStart"/>
      <w:r w:rsidR="00A377B0" w:rsidRPr="00981DC5">
        <w:rPr>
          <w:rFonts w:ascii="Book Antiqua" w:hAnsi="Book Antiqua" w:cs="Calibri"/>
          <w:color w:val="000000" w:themeColor="text1"/>
          <w:sz w:val="24"/>
          <w:szCs w:val="24"/>
          <w:lang w:val="en-US"/>
        </w:rPr>
        <w:t>PRmRTA</w:t>
      </w:r>
      <w:proofErr w:type="spellEnd"/>
      <w:r w:rsidR="00CB0773" w:rsidRPr="00981DC5">
        <w:rPr>
          <w:rFonts w:ascii="Book Antiqua" w:hAnsi="Book Antiqua" w:cs="Calibri"/>
          <w:color w:val="000000" w:themeColor="text1"/>
          <w:sz w:val="24"/>
          <w:szCs w:val="24"/>
          <w:lang w:val="en-US"/>
        </w:rPr>
        <w:t xml:space="preserve"> and compared </w:t>
      </w:r>
      <w:r w:rsidR="009667A3" w:rsidRPr="00981DC5">
        <w:rPr>
          <w:rFonts w:ascii="Book Antiqua" w:hAnsi="Book Antiqua" w:cs="Calibri"/>
          <w:color w:val="000000" w:themeColor="text1"/>
          <w:sz w:val="24"/>
          <w:szCs w:val="24"/>
          <w:lang w:val="en-US"/>
        </w:rPr>
        <w:t>each other’s</w:t>
      </w:r>
      <w:r w:rsidR="00CB0773" w:rsidRPr="00981DC5">
        <w:rPr>
          <w:rFonts w:ascii="Book Antiqua" w:hAnsi="Book Antiqua" w:cs="Calibri"/>
          <w:color w:val="000000" w:themeColor="text1"/>
          <w:sz w:val="24"/>
          <w:szCs w:val="24"/>
          <w:lang w:val="en-US"/>
        </w:rPr>
        <w:t>.</w:t>
      </w:r>
    </w:p>
    <w:p w14:paraId="122DA5FD" w14:textId="77777777" w:rsidR="00651398" w:rsidRPr="00981DC5" w:rsidRDefault="00651398" w:rsidP="00B11A05">
      <w:pPr>
        <w:adjustRightInd w:val="0"/>
        <w:snapToGrid w:val="0"/>
        <w:spacing w:after="0" w:line="360" w:lineRule="auto"/>
        <w:jc w:val="both"/>
        <w:rPr>
          <w:rFonts w:ascii="Book Antiqua" w:hAnsi="Book Antiqua" w:cs="Calibri"/>
          <w:b/>
          <w:i/>
          <w:iCs/>
          <w:color w:val="000000" w:themeColor="text1"/>
          <w:sz w:val="24"/>
          <w:szCs w:val="24"/>
          <w:lang w:val="en-GB"/>
        </w:rPr>
      </w:pPr>
    </w:p>
    <w:p w14:paraId="18572E4A" w14:textId="7D2511ED" w:rsidR="003A319F" w:rsidRPr="00981DC5" w:rsidRDefault="003A319F" w:rsidP="00B11A05">
      <w:pPr>
        <w:adjustRightInd w:val="0"/>
        <w:snapToGrid w:val="0"/>
        <w:spacing w:after="0" w:line="360" w:lineRule="auto"/>
        <w:jc w:val="both"/>
        <w:rPr>
          <w:rFonts w:ascii="Book Antiqua" w:hAnsi="Book Antiqua" w:cs="Calibri"/>
          <w:b/>
          <w:i/>
          <w:iCs/>
          <w:color w:val="000000" w:themeColor="text1"/>
          <w:sz w:val="24"/>
          <w:szCs w:val="24"/>
          <w:lang w:val="en-GB"/>
        </w:rPr>
      </w:pPr>
      <w:r w:rsidRPr="00981DC5">
        <w:rPr>
          <w:rFonts w:ascii="Book Antiqua" w:hAnsi="Book Antiqua" w:cs="Calibri"/>
          <w:b/>
          <w:i/>
          <w:iCs/>
          <w:color w:val="000000" w:themeColor="text1"/>
          <w:sz w:val="24"/>
          <w:szCs w:val="24"/>
          <w:lang w:val="en-GB"/>
        </w:rPr>
        <w:t>Research results</w:t>
      </w:r>
    </w:p>
    <w:p w14:paraId="45EF01CE" w14:textId="034AC048" w:rsidR="00651398" w:rsidRPr="00981DC5" w:rsidRDefault="00651398" w:rsidP="00B11A05">
      <w:pPr>
        <w:adjustRightInd w:val="0"/>
        <w:snapToGrid w:val="0"/>
        <w:spacing w:after="0" w:line="360" w:lineRule="auto"/>
        <w:jc w:val="both"/>
        <w:rPr>
          <w:rFonts w:ascii="Book Antiqua" w:hAnsi="Book Antiqua" w:cs="Calibri"/>
          <w:color w:val="000000" w:themeColor="text1"/>
          <w:sz w:val="24"/>
          <w:szCs w:val="24"/>
          <w:lang w:val="en-US"/>
        </w:rPr>
      </w:pPr>
      <w:r w:rsidRPr="00981DC5">
        <w:rPr>
          <w:rFonts w:ascii="Book Antiqua" w:hAnsi="Book Antiqua" w:cs="Calibri"/>
          <w:color w:val="000000" w:themeColor="text1"/>
          <w:sz w:val="24"/>
          <w:szCs w:val="24"/>
          <w:lang w:val="en-US"/>
        </w:rPr>
        <w:t xml:space="preserve">In </w:t>
      </w:r>
      <w:r w:rsidR="00763FB3" w:rsidRPr="00981DC5">
        <w:rPr>
          <w:rFonts w:ascii="Book Antiqua" w:hAnsi="Book Antiqua" w:cs="Calibri"/>
          <w:color w:val="000000" w:themeColor="text1"/>
          <w:sz w:val="24"/>
          <w:szCs w:val="24"/>
          <w:lang w:val="en-US"/>
        </w:rPr>
        <w:t xml:space="preserve">the </w:t>
      </w:r>
      <w:r w:rsidRPr="00981DC5">
        <w:rPr>
          <w:rFonts w:ascii="Book Antiqua" w:hAnsi="Book Antiqua" w:cs="Calibri"/>
          <w:color w:val="000000" w:themeColor="text1"/>
          <w:sz w:val="24"/>
          <w:szCs w:val="24"/>
          <w:lang w:val="en-US"/>
        </w:rPr>
        <w:t xml:space="preserve">control group the </w:t>
      </w:r>
      <w:proofErr w:type="spellStart"/>
      <w:r w:rsidRPr="00981DC5">
        <w:rPr>
          <w:rFonts w:ascii="Book Antiqua" w:hAnsi="Book Antiqua" w:cs="Calibri"/>
          <w:color w:val="000000" w:themeColor="text1"/>
          <w:sz w:val="24"/>
          <w:szCs w:val="24"/>
          <w:lang w:val="en-US"/>
        </w:rPr>
        <w:t>Dil</w:t>
      </w:r>
      <w:proofErr w:type="spellEnd"/>
      <w:r w:rsidRPr="00981DC5">
        <w:rPr>
          <w:rFonts w:ascii="Book Antiqua" w:hAnsi="Book Antiqua" w:cs="Calibri"/>
          <w:color w:val="000000" w:themeColor="text1"/>
          <w:sz w:val="24"/>
          <w:szCs w:val="24"/>
          <w:lang w:val="en-US"/>
        </w:rPr>
        <w:t xml:space="preserve">-stained areas showed a statistically significant increase over time in all cases, while a tendency to a reduction of the mean RTA </w:t>
      </w:r>
      <w:r w:rsidR="00763FB3" w:rsidRPr="00981DC5">
        <w:rPr>
          <w:rFonts w:ascii="Book Antiqua" w:hAnsi="Book Antiqua" w:cs="Calibri"/>
          <w:color w:val="000000" w:themeColor="text1"/>
          <w:sz w:val="24"/>
          <w:szCs w:val="24"/>
          <w:lang w:val="en-US"/>
        </w:rPr>
        <w:t xml:space="preserve">was observed </w:t>
      </w:r>
      <w:r w:rsidRPr="00981DC5">
        <w:rPr>
          <w:rFonts w:ascii="Book Antiqua" w:hAnsi="Book Antiqua" w:cs="Calibri"/>
          <w:color w:val="000000" w:themeColor="text1"/>
          <w:sz w:val="24"/>
          <w:szCs w:val="24"/>
          <w:lang w:val="en-US"/>
        </w:rPr>
        <w:t>in treated subgroups</w:t>
      </w:r>
      <w:r w:rsidR="00763FB3" w:rsidRPr="00981DC5">
        <w:rPr>
          <w:rFonts w:ascii="Book Antiqua" w:hAnsi="Book Antiqua" w:cs="Calibri"/>
          <w:color w:val="000000" w:themeColor="text1"/>
          <w:sz w:val="24"/>
          <w:szCs w:val="24"/>
          <w:lang w:val="en-US"/>
        </w:rPr>
        <w:t xml:space="preserve">, with </w:t>
      </w:r>
      <w:r w:rsidRPr="00981DC5">
        <w:rPr>
          <w:rFonts w:ascii="Book Antiqua" w:hAnsi="Book Antiqua" w:cs="Calibri"/>
          <w:color w:val="000000" w:themeColor="text1"/>
          <w:sz w:val="24"/>
          <w:szCs w:val="24"/>
          <w:lang w:val="en-US"/>
        </w:rPr>
        <w:t xml:space="preserve">a </w:t>
      </w:r>
      <w:r w:rsidR="002F373C" w:rsidRPr="00981DC5">
        <w:rPr>
          <w:rFonts w:ascii="Book Antiqua" w:hAnsi="Book Antiqua" w:cs="Calibri"/>
          <w:color w:val="000000" w:themeColor="text1"/>
          <w:sz w:val="24"/>
          <w:szCs w:val="24"/>
          <w:lang w:val="en-US"/>
        </w:rPr>
        <w:t>statistically</w:t>
      </w:r>
      <w:r w:rsidRPr="00981DC5">
        <w:rPr>
          <w:rFonts w:ascii="Book Antiqua" w:hAnsi="Book Antiqua" w:cs="Calibri"/>
          <w:color w:val="000000" w:themeColor="text1"/>
          <w:sz w:val="24"/>
          <w:szCs w:val="24"/>
          <w:lang w:val="en-US"/>
        </w:rPr>
        <w:t xml:space="preserve"> significant reduction of the mean RTA for at least one chemotherapy scheme in 6/15 (40%) cases. </w:t>
      </w:r>
      <w:r w:rsidR="009667A3" w:rsidRPr="00981DC5">
        <w:rPr>
          <w:rFonts w:ascii="Book Antiqua" w:hAnsi="Book Antiqua" w:cs="Calibri"/>
          <w:color w:val="000000" w:themeColor="text1"/>
          <w:sz w:val="24"/>
          <w:szCs w:val="24"/>
          <w:lang w:val="en-US"/>
        </w:rPr>
        <w:t>T</w:t>
      </w:r>
      <w:r w:rsidRPr="00981DC5">
        <w:rPr>
          <w:rFonts w:ascii="Book Antiqua" w:hAnsi="Book Antiqua" w:cs="Calibri"/>
          <w:color w:val="000000" w:themeColor="text1"/>
          <w:sz w:val="24"/>
          <w:szCs w:val="24"/>
          <w:lang w:val="en-US"/>
        </w:rPr>
        <w:t xml:space="preserve">he presence of a linear relation between the percentage reduction of the RTA and the number of cases reporting at least each percentage threshold </w:t>
      </w:r>
      <w:r w:rsidR="009667A3" w:rsidRPr="00981DC5">
        <w:rPr>
          <w:rFonts w:ascii="Book Antiqua" w:hAnsi="Book Antiqua" w:cs="Calibri"/>
          <w:color w:val="000000" w:themeColor="text1"/>
          <w:sz w:val="24"/>
          <w:szCs w:val="24"/>
          <w:lang w:val="en-US"/>
        </w:rPr>
        <w:t>was observed in each subgroup</w:t>
      </w:r>
      <w:r w:rsidRPr="00981DC5">
        <w:rPr>
          <w:rFonts w:ascii="Book Antiqua" w:hAnsi="Book Antiqua" w:cs="Calibri"/>
          <w:color w:val="000000" w:themeColor="text1"/>
          <w:sz w:val="24"/>
          <w:szCs w:val="24"/>
          <w:lang w:val="en-US"/>
        </w:rPr>
        <w:t xml:space="preserve">. </w:t>
      </w:r>
      <w:r w:rsidR="00626FDC" w:rsidRPr="00981DC5">
        <w:rPr>
          <w:rFonts w:ascii="Book Antiqua" w:hAnsi="Book Antiqua" w:cs="Calibri"/>
          <w:color w:val="000000" w:themeColor="text1"/>
          <w:sz w:val="24"/>
          <w:szCs w:val="24"/>
          <w:lang w:val="en-US"/>
        </w:rPr>
        <w:t>The</w:t>
      </w:r>
      <w:r w:rsidRPr="00981DC5">
        <w:rPr>
          <w:rFonts w:ascii="Book Antiqua" w:hAnsi="Book Antiqua" w:cs="Calibri"/>
          <w:color w:val="000000" w:themeColor="text1"/>
          <w:sz w:val="24"/>
          <w:szCs w:val="24"/>
          <w:lang w:val="en-US"/>
        </w:rPr>
        <w:t xml:space="preserve"> mean conversion factor was </w:t>
      </w:r>
      <w:r w:rsidR="00626FDC" w:rsidRPr="00981DC5">
        <w:rPr>
          <w:rFonts w:ascii="Book Antiqua" w:hAnsi="Book Antiqua" w:cs="Calibri"/>
          <w:color w:val="000000" w:themeColor="text1"/>
          <w:sz w:val="24"/>
          <w:szCs w:val="24"/>
          <w:lang w:val="en-US"/>
        </w:rPr>
        <w:t>-</w:t>
      </w:r>
      <w:r w:rsidRPr="00981DC5">
        <w:rPr>
          <w:rFonts w:ascii="Book Antiqua" w:hAnsi="Book Antiqua" w:cs="Calibri"/>
          <w:color w:val="000000" w:themeColor="text1"/>
          <w:sz w:val="24"/>
          <w:szCs w:val="24"/>
          <w:lang w:val="en-US"/>
        </w:rPr>
        <w:t>60.4% for FOLFOXIRI, -59.3% for GEM-nab/P, -62.4% for GEMOX, and -63.7% for GEM (</w:t>
      </w:r>
      <w:r w:rsidR="00463B5F" w:rsidRPr="00463B5F">
        <w:rPr>
          <w:rFonts w:ascii="Book Antiqua" w:hAnsi="Book Antiqua" w:cs="Calibri"/>
          <w:i/>
          <w:iCs/>
          <w:color w:val="000000" w:themeColor="text1"/>
          <w:sz w:val="24"/>
          <w:szCs w:val="24"/>
          <w:lang w:val="en-US"/>
        </w:rPr>
        <w:t>P</w:t>
      </w:r>
      <w:r w:rsidR="00463B5F">
        <w:rPr>
          <w:rFonts w:ascii="Book Antiqua" w:hAnsi="Book Antiqua" w:cs="Calibri"/>
          <w:color w:val="000000" w:themeColor="text1"/>
          <w:sz w:val="24"/>
          <w:szCs w:val="24"/>
          <w:lang w:val="en-US"/>
        </w:rPr>
        <w:t xml:space="preserve"> </w:t>
      </w:r>
      <w:r w:rsidRPr="00981DC5">
        <w:rPr>
          <w:rFonts w:ascii="Book Antiqua" w:hAnsi="Book Antiqua" w:cs="Calibri"/>
          <w:color w:val="000000" w:themeColor="text1"/>
          <w:sz w:val="24"/>
          <w:szCs w:val="24"/>
          <w:lang w:val="en-US"/>
        </w:rPr>
        <w:t>=</w:t>
      </w:r>
      <w:r w:rsidR="00463B5F">
        <w:rPr>
          <w:rFonts w:ascii="Book Antiqua" w:hAnsi="Book Antiqua" w:cs="Calibri"/>
          <w:color w:val="000000" w:themeColor="text1"/>
          <w:sz w:val="24"/>
          <w:szCs w:val="24"/>
          <w:lang w:val="en-US"/>
        </w:rPr>
        <w:t xml:space="preserve"> </w:t>
      </w:r>
      <w:r w:rsidRPr="00981DC5">
        <w:rPr>
          <w:rFonts w:ascii="Book Antiqua" w:hAnsi="Book Antiqua" w:cs="Calibri"/>
          <w:color w:val="000000" w:themeColor="text1"/>
          <w:sz w:val="24"/>
          <w:szCs w:val="24"/>
          <w:lang w:val="en-US"/>
        </w:rPr>
        <w:t>0.626).</w:t>
      </w:r>
    </w:p>
    <w:p w14:paraId="3D674C70" w14:textId="3EEC4B6A" w:rsidR="003A319F" w:rsidRPr="00981DC5" w:rsidRDefault="003A319F" w:rsidP="00B11A05">
      <w:pPr>
        <w:adjustRightInd w:val="0"/>
        <w:snapToGrid w:val="0"/>
        <w:spacing w:after="0" w:line="360" w:lineRule="auto"/>
        <w:jc w:val="both"/>
        <w:rPr>
          <w:rFonts w:ascii="Book Antiqua" w:hAnsi="Book Antiqua" w:cs="Calibri"/>
          <w:b/>
          <w:i/>
          <w:iCs/>
          <w:color w:val="000000" w:themeColor="text1"/>
          <w:sz w:val="24"/>
          <w:szCs w:val="24"/>
          <w:lang w:val="en-US"/>
        </w:rPr>
      </w:pPr>
    </w:p>
    <w:p w14:paraId="0A15FC79" w14:textId="517E5A22" w:rsidR="003A319F" w:rsidRPr="00981DC5" w:rsidRDefault="00CB0773" w:rsidP="00B11A05">
      <w:pPr>
        <w:adjustRightInd w:val="0"/>
        <w:snapToGrid w:val="0"/>
        <w:spacing w:after="0" w:line="360" w:lineRule="auto"/>
        <w:jc w:val="both"/>
        <w:rPr>
          <w:rFonts w:ascii="Book Antiqua" w:hAnsi="Book Antiqua" w:cs="Calibri"/>
          <w:b/>
          <w:i/>
          <w:iCs/>
          <w:color w:val="000000" w:themeColor="text1"/>
          <w:sz w:val="24"/>
          <w:szCs w:val="24"/>
          <w:lang w:val="en-GB"/>
        </w:rPr>
      </w:pPr>
      <w:r w:rsidRPr="00981DC5">
        <w:rPr>
          <w:rFonts w:ascii="Book Antiqua" w:hAnsi="Book Antiqua" w:cs="Calibri"/>
          <w:b/>
          <w:i/>
          <w:iCs/>
          <w:color w:val="000000" w:themeColor="text1"/>
          <w:sz w:val="24"/>
          <w:szCs w:val="24"/>
          <w:lang w:val="en-GB"/>
        </w:rPr>
        <w:t>Research conclusions</w:t>
      </w:r>
    </w:p>
    <w:p w14:paraId="3E444244" w14:textId="7BF7B5CA" w:rsidR="009667A3" w:rsidRPr="00981DC5" w:rsidRDefault="009667A3" w:rsidP="00B11A05">
      <w:pPr>
        <w:adjustRightInd w:val="0"/>
        <w:snapToGrid w:val="0"/>
        <w:spacing w:after="0" w:line="360" w:lineRule="auto"/>
        <w:jc w:val="both"/>
        <w:rPr>
          <w:rFonts w:ascii="Book Antiqua" w:hAnsi="Book Antiqua" w:cs="Calibri"/>
          <w:color w:val="000000" w:themeColor="text1"/>
          <w:sz w:val="24"/>
          <w:szCs w:val="24"/>
          <w:lang w:val="en-US"/>
        </w:rPr>
      </w:pPr>
      <w:r w:rsidRPr="00981DC5">
        <w:rPr>
          <w:rFonts w:ascii="Book Antiqua" w:eastAsia="Times New Roman" w:hAnsi="Book Antiqua" w:cstheme="majorBidi"/>
          <w:color w:val="000000" w:themeColor="text1"/>
          <w:sz w:val="24"/>
          <w:szCs w:val="24"/>
          <w:lang w:val="en-US" w:eastAsia="en-GB"/>
        </w:rPr>
        <w:t xml:space="preserve">This study provides a simple, reliant and </w:t>
      </w:r>
      <w:r w:rsidRPr="00981DC5">
        <w:rPr>
          <w:rFonts w:ascii="Book Antiqua" w:hAnsi="Book Antiqua" w:cs="Calibri"/>
          <w:color w:val="000000" w:themeColor="text1"/>
          <w:sz w:val="24"/>
          <w:szCs w:val="24"/>
          <w:lang w:val="en-US"/>
        </w:rPr>
        <w:t>not expensive</w:t>
      </w:r>
      <w:r w:rsidRPr="00981DC5">
        <w:rPr>
          <w:rFonts w:ascii="Book Antiqua" w:eastAsia="Times New Roman" w:hAnsi="Book Antiqua" w:cstheme="majorBidi"/>
          <w:color w:val="000000" w:themeColor="text1"/>
          <w:sz w:val="24"/>
          <w:szCs w:val="24"/>
          <w:lang w:val="en-US" w:eastAsia="en-GB"/>
        </w:rPr>
        <w:t xml:space="preserve"> </w:t>
      </w:r>
      <w:r w:rsidRPr="00981DC5">
        <w:rPr>
          <w:rFonts w:ascii="Book Antiqua" w:hAnsi="Book Antiqua" w:cs="Calibri"/>
          <w:color w:val="000000" w:themeColor="text1"/>
          <w:sz w:val="24"/>
          <w:szCs w:val="24"/>
          <w:lang w:val="en-US"/>
        </w:rPr>
        <w:t>PDAC patients-derived xenograft model</w:t>
      </w:r>
      <w:r w:rsidRPr="00981DC5">
        <w:rPr>
          <w:rFonts w:ascii="Book Antiqua" w:eastAsia="Times New Roman" w:hAnsi="Book Antiqua" w:cstheme="majorBidi"/>
          <w:color w:val="000000" w:themeColor="text1"/>
          <w:sz w:val="24"/>
          <w:szCs w:val="24"/>
          <w:lang w:val="en-US" w:eastAsia="en-GB"/>
        </w:rPr>
        <w:t xml:space="preserve"> for the rapid pre-clinical </w:t>
      </w:r>
      <w:r w:rsidRPr="00981DC5">
        <w:rPr>
          <w:rFonts w:ascii="Book Antiqua" w:hAnsi="Book Antiqua" w:cs="Calibri"/>
          <w:color w:val="000000" w:themeColor="text1"/>
          <w:sz w:val="24"/>
          <w:szCs w:val="24"/>
          <w:lang w:val="en-US"/>
        </w:rPr>
        <w:t>evaluation of the efficacy of different chemotherapy schemes available for the treatment of each individual PDAC patient’s case.</w:t>
      </w:r>
    </w:p>
    <w:p w14:paraId="6844BF28" w14:textId="77777777" w:rsidR="009D5C75" w:rsidRPr="00981DC5" w:rsidRDefault="009D5C75" w:rsidP="00B11A05">
      <w:pPr>
        <w:adjustRightInd w:val="0"/>
        <w:snapToGrid w:val="0"/>
        <w:spacing w:after="0" w:line="360" w:lineRule="auto"/>
        <w:jc w:val="both"/>
        <w:rPr>
          <w:rFonts w:ascii="Book Antiqua" w:hAnsi="Book Antiqua" w:cs="Calibri"/>
          <w:b/>
          <w:i/>
          <w:iCs/>
          <w:color w:val="000000" w:themeColor="text1"/>
          <w:sz w:val="24"/>
          <w:szCs w:val="24"/>
          <w:lang w:val="en-GB"/>
        </w:rPr>
      </w:pPr>
    </w:p>
    <w:p w14:paraId="4AAC9B08" w14:textId="34061447" w:rsidR="009D5C75" w:rsidRPr="00981DC5" w:rsidRDefault="00CB0773" w:rsidP="00B11A05">
      <w:pPr>
        <w:adjustRightInd w:val="0"/>
        <w:snapToGrid w:val="0"/>
        <w:spacing w:after="0" w:line="360" w:lineRule="auto"/>
        <w:jc w:val="both"/>
        <w:rPr>
          <w:rFonts w:ascii="Book Antiqua" w:hAnsi="Book Antiqua" w:cs="Calibri"/>
          <w:b/>
          <w:i/>
          <w:iCs/>
          <w:color w:val="000000" w:themeColor="text1"/>
          <w:sz w:val="24"/>
          <w:szCs w:val="24"/>
          <w:lang w:val="en-GB"/>
        </w:rPr>
      </w:pPr>
      <w:r w:rsidRPr="00981DC5">
        <w:rPr>
          <w:rFonts w:ascii="Book Antiqua" w:hAnsi="Book Antiqua" w:cs="Calibri"/>
          <w:b/>
          <w:i/>
          <w:iCs/>
          <w:color w:val="000000" w:themeColor="text1"/>
          <w:sz w:val="24"/>
          <w:szCs w:val="24"/>
          <w:lang w:val="en-GB"/>
        </w:rPr>
        <w:t>Research perspectives</w:t>
      </w:r>
    </w:p>
    <w:p w14:paraId="5E899939" w14:textId="375DB46A" w:rsidR="00763FB3" w:rsidRPr="00981DC5" w:rsidRDefault="009D5C75" w:rsidP="00B11A05">
      <w:pPr>
        <w:adjustRightInd w:val="0"/>
        <w:snapToGrid w:val="0"/>
        <w:spacing w:after="0" w:line="360" w:lineRule="auto"/>
        <w:jc w:val="both"/>
        <w:rPr>
          <w:rFonts w:ascii="Book Antiqua" w:hAnsi="Book Antiqua" w:cs="Calibri"/>
          <w:bCs/>
          <w:color w:val="000000" w:themeColor="text1"/>
          <w:sz w:val="24"/>
          <w:szCs w:val="24"/>
          <w:lang w:val="en-US"/>
        </w:rPr>
      </w:pPr>
      <w:r w:rsidRPr="00981DC5">
        <w:rPr>
          <w:rFonts w:ascii="Book Antiqua" w:hAnsi="Book Antiqua" w:cs="Calibri"/>
          <w:bCs/>
          <w:color w:val="000000" w:themeColor="text1"/>
          <w:sz w:val="24"/>
          <w:szCs w:val="24"/>
          <w:lang w:val="en-GB"/>
        </w:rPr>
        <w:t xml:space="preserve">Our model seems to </w:t>
      </w:r>
      <w:r w:rsidRPr="00981DC5">
        <w:rPr>
          <w:rFonts w:ascii="Book Antiqua" w:hAnsi="Book Antiqua" w:cs="Calibri"/>
          <w:bCs/>
          <w:color w:val="000000" w:themeColor="text1"/>
          <w:sz w:val="24"/>
          <w:szCs w:val="24"/>
          <w:lang w:val="en-US"/>
        </w:rPr>
        <w:t xml:space="preserve">reflect the </w:t>
      </w:r>
      <w:r w:rsidR="00066C0E" w:rsidRPr="00981DC5">
        <w:rPr>
          <w:rFonts w:ascii="Book Antiqua" w:hAnsi="Book Antiqua" w:cs="Calibri"/>
          <w:bCs/>
          <w:color w:val="000000" w:themeColor="text1"/>
          <w:sz w:val="24"/>
          <w:szCs w:val="24"/>
          <w:lang w:val="en-US"/>
        </w:rPr>
        <w:t xml:space="preserve">clinical </w:t>
      </w:r>
      <w:r w:rsidR="00763FB3" w:rsidRPr="00981DC5">
        <w:rPr>
          <w:rFonts w:ascii="Book Antiqua" w:hAnsi="Book Antiqua" w:cs="Calibri"/>
          <w:bCs/>
          <w:color w:val="000000" w:themeColor="text1"/>
          <w:sz w:val="24"/>
          <w:szCs w:val="24"/>
          <w:lang w:val="en-US"/>
        </w:rPr>
        <w:t>response rate reported in</w:t>
      </w:r>
      <w:r w:rsidR="00AC700C" w:rsidRPr="00981DC5">
        <w:rPr>
          <w:rFonts w:ascii="Book Antiqua" w:hAnsi="Book Antiqua" w:cs="Calibri"/>
          <w:bCs/>
          <w:color w:val="000000" w:themeColor="text1"/>
          <w:sz w:val="24"/>
          <w:szCs w:val="24"/>
          <w:lang w:val="en-US"/>
        </w:rPr>
        <w:t xml:space="preserve"> literature</w:t>
      </w:r>
      <w:r w:rsidR="00763FB3" w:rsidRPr="00981DC5">
        <w:rPr>
          <w:rFonts w:ascii="Book Antiqua" w:hAnsi="Book Antiqua" w:cs="Calibri"/>
          <w:bCs/>
          <w:color w:val="000000" w:themeColor="text1"/>
          <w:sz w:val="24"/>
          <w:szCs w:val="24"/>
          <w:lang w:val="en-US"/>
        </w:rPr>
        <w:t xml:space="preserve">. However, to determinate the possible </w:t>
      </w:r>
      <w:r w:rsidR="00763FB3" w:rsidRPr="00981DC5">
        <w:rPr>
          <w:rFonts w:ascii="Book Antiqua" w:hAnsi="Book Antiqua" w:cs="Calibri"/>
          <w:color w:val="000000" w:themeColor="text1"/>
          <w:sz w:val="24"/>
          <w:szCs w:val="24"/>
          <w:lang w:val="en-US"/>
        </w:rPr>
        <w:t>capability of our model in predicting the efficacy of the chemotherapy scheme administered to patients with PDAC</w:t>
      </w:r>
      <w:r w:rsidR="00FD3B9D" w:rsidRPr="00981DC5">
        <w:rPr>
          <w:rFonts w:ascii="Book Antiqua" w:hAnsi="Book Antiqua" w:cs="Calibri"/>
          <w:color w:val="000000" w:themeColor="text1"/>
          <w:sz w:val="24"/>
          <w:szCs w:val="24"/>
          <w:lang w:val="en-US"/>
        </w:rPr>
        <w:t>,</w:t>
      </w:r>
      <w:r w:rsidR="00763FB3" w:rsidRPr="00981DC5">
        <w:rPr>
          <w:rFonts w:ascii="Book Antiqua" w:hAnsi="Book Antiqua" w:cs="Calibri"/>
          <w:bCs/>
          <w:color w:val="000000" w:themeColor="text1"/>
          <w:sz w:val="24"/>
          <w:szCs w:val="24"/>
          <w:lang w:val="en-US"/>
        </w:rPr>
        <w:t xml:space="preserve"> it is </w:t>
      </w:r>
      <w:r w:rsidR="00AC700C" w:rsidRPr="00981DC5">
        <w:rPr>
          <w:rFonts w:ascii="Book Antiqua" w:hAnsi="Book Antiqua" w:cs="Calibri"/>
          <w:bCs/>
          <w:color w:val="000000" w:themeColor="text1"/>
          <w:sz w:val="24"/>
          <w:szCs w:val="24"/>
          <w:lang w:val="en-US"/>
        </w:rPr>
        <w:t>necessary</w:t>
      </w:r>
      <w:r w:rsidR="00763FB3" w:rsidRPr="00981DC5">
        <w:rPr>
          <w:rFonts w:ascii="Book Antiqua" w:hAnsi="Book Antiqua" w:cs="Calibri"/>
          <w:bCs/>
          <w:color w:val="000000" w:themeColor="text1"/>
          <w:sz w:val="24"/>
          <w:szCs w:val="24"/>
          <w:lang w:val="en-US"/>
        </w:rPr>
        <w:t xml:space="preserve"> to evaluate the</w:t>
      </w:r>
      <w:r w:rsidR="00763FB3" w:rsidRPr="00981DC5">
        <w:rPr>
          <w:rFonts w:ascii="Book Antiqua" w:hAnsi="Book Antiqua" w:cs="Calibri"/>
          <w:color w:val="000000" w:themeColor="text1"/>
          <w:sz w:val="24"/>
          <w:szCs w:val="24"/>
          <w:lang w:val="en-US"/>
        </w:rPr>
        <w:t xml:space="preserve"> correlation between these data and the real clinical response to adjuvant chemotherapy</w:t>
      </w:r>
      <w:r w:rsidR="00FD3B9D" w:rsidRPr="00981DC5">
        <w:rPr>
          <w:rFonts w:ascii="Book Antiqua" w:hAnsi="Book Antiqua" w:cs="Calibri"/>
          <w:color w:val="000000" w:themeColor="text1"/>
          <w:sz w:val="24"/>
          <w:szCs w:val="24"/>
          <w:lang w:val="en-US"/>
        </w:rPr>
        <w:t xml:space="preserve"> on </w:t>
      </w:r>
      <w:r w:rsidR="00505CAC" w:rsidRPr="00981DC5">
        <w:rPr>
          <w:rFonts w:ascii="Book Antiqua" w:hAnsi="Book Antiqua" w:cs="Calibri"/>
          <w:color w:val="000000" w:themeColor="text1"/>
          <w:sz w:val="24"/>
          <w:szCs w:val="24"/>
          <w:lang w:val="en-US"/>
        </w:rPr>
        <w:lastRenderedPageBreak/>
        <w:t>patients</w:t>
      </w:r>
      <w:r w:rsidR="00763FB3" w:rsidRPr="00981DC5">
        <w:rPr>
          <w:rFonts w:ascii="Book Antiqua" w:hAnsi="Book Antiqua" w:cs="Calibri"/>
          <w:color w:val="000000" w:themeColor="text1"/>
          <w:sz w:val="24"/>
          <w:szCs w:val="24"/>
          <w:lang w:val="en-US"/>
        </w:rPr>
        <w:t>. A co-clinical trial (NCT00070213) is underway in our institution and will be object of further publication.</w:t>
      </w:r>
    </w:p>
    <w:p w14:paraId="13E51FA0" w14:textId="114CF984" w:rsidR="00CB0773" w:rsidRPr="00981DC5" w:rsidRDefault="00CB0773" w:rsidP="00B11A05">
      <w:pPr>
        <w:adjustRightInd w:val="0"/>
        <w:snapToGrid w:val="0"/>
        <w:spacing w:after="0" w:line="360" w:lineRule="auto"/>
        <w:jc w:val="both"/>
        <w:rPr>
          <w:rFonts w:ascii="Book Antiqua" w:hAnsi="Book Antiqua" w:cs="Calibri"/>
          <w:b/>
          <w:i/>
          <w:iCs/>
          <w:color w:val="000000" w:themeColor="text1"/>
          <w:sz w:val="24"/>
          <w:szCs w:val="24"/>
          <w:lang w:val="en-GB"/>
        </w:rPr>
      </w:pPr>
    </w:p>
    <w:p w14:paraId="41F79F9F" w14:textId="45130924" w:rsidR="00CB0773" w:rsidRPr="00981DC5" w:rsidRDefault="00B11A05" w:rsidP="00B11A05">
      <w:pPr>
        <w:pStyle w:val="paragraph"/>
        <w:adjustRightInd w:val="0"/>
        <w:snapToGrid w:val="0"/>
        <w:spacing w:before="0" w:beforeAutospacing="0" w:after="0" w:afterAutospacing="0" w:line="360" w:lineRule="auto"/>
        <w:jc w:val="both"/>
        <w:textAlignment w:val="baseline"/>
        <w:rPr>
          <w:rFonts w:ascii="Book Antiqua" w:hAnsi="Book Antiqua" w:cstheme="minorHAnsi"/>
          <w:color w:val="000000" w:themeColor="text1"/>
          <w:u w:val="single"/>
        </w:rPr>
      </w:pPr>
      <w:r w:rsidRPr="00981DC5">
        <w:rPr>
          <w:rStyle w:val="normaltextrun"/>
          <w:rFonts w:ascii="Book Antiqua" w:hAnsi="Book Antiqua" w:cstheme="minorHAnsi"/>
          <w:b/>
          <w:bCs/>
          <w:color w:val="000000" w:themeColor="text1"/>
          <w:u w:val="single"/>
        </w:rPr>
        <w:t>ACKNOWLEDGEMENTS</w:t>
      </w:r>
    </w:p>
    <w:p w14:paraId="7A0446B5" w14:textId="77777777" w:rsidR="00B11A05" w:rsidRPr="00981DC5" w:rsidRDefault="00CB0773" w:rsidP="00B11A05">
      <w:pPr>
        <w:adjustRightInd w:val="0"/>
        <w:snapToGrid w:val="0"/>
        <w:spacing w:after="0" w:line="360" w:lineRule="auto"/>
        <w:jc w:val="both"/>
        <w:rPr>
          <w:rFonts w:ascii="Book Antiqua" w:eastAsia="MS Mincho" w:hAnsi="Book Antiqua"/>
          <w:color w:val="000000" w:themeColor="text1"/>
          <w:sz w:val="24"/>
          <w:szCs w:val="24"/>
          <w:lang w:val="en-US"/>
        </w:rPr>
      </w:pPr>
      <w:r w:rsidRPr="00981DC5">
        <w:rPr>
          <w:rFonts w:ascii="Book Antiqua" w:eastAsia="MS Mincho" w:hAnsi="Book Antiqua"/>
          <w:color w:val="000000" w:themeColor="text1"/>
          <w:sz w:val="24"/>
          <w:szCs w:val="24"/>
          <w:lang w:val="en-US"/>
        </w:rPr>
        <w:t xml:space="preserve">The authors thank </w:t>
      </w:r>
      <w:proofErr w:type="spellStart"/>
      <w:r w:rsidRPr="00981DC5">
        <w:rPr>
          <w:rFonts w:ascii="Book Antiqua" w:eastAsia="MS Mincho" w:hAnsi="Book Antiqua"/>
          <w:color w:val="000000" w:themeColor="text1"/>
          <w:sz w:val="24"/>
          <w:szCs w:val="24"/>
          <w:lang w:val="en-US"/>
        </w:rPr>
        <w:t>Tizzi</w:t>
      </w:r>
      <w:proofErr w:type="spellEnd"/>
      <w:r w:rsidRPr="00981DC5">
        <w:rPr>
          <w:rFonts w:ascii="Book Antiqua" w:eastAsia="MS Mincho" w:hAnsi="Book Antiqua"/>
          <w:color w:val="000000" w:themeColor="text1"/>
          <w:sz w:val="24"/>
          <w:szCs w:val="24"/>
          <w:lang w:val="en-US"/>
        </w:rPr>
        <w:t xml:space="preserve">, Rotary, and </w:t>
      </w:r>
      <w:proofErr w:type="spellStart"/>
      <w:r w:rsidRPr="00981DC5">
        <w:rPr>
          <w:rFonts w:ascii="Book Antiqua" w:eastAsia="MS Mincho" w:hAnsi="Book Antiqua"/>
          <w:color w:val="000000" w:themeColor="text1"/>
          <w:sz w:val="24"/>
          <w:szCs w:val="24"/>
          <w:lang w:val="en-US"/>
        </w:rPr>
        <w:t>Arpa</w:t>
      </w:r>
      <w:proofErr w:type="spellEnd"/>
      <w:r w:rsidRPr="00981DC5">
        <w:rPr>
          <w:rFonts w:ascii="Book Antiqua" w:eastAsia="MS Mincho" w:hAnsi="Book Antiqua"/>
          <w:color w:val="000000" w:themeColor="text1"/>
          <w:sz w:val="24"/>
          <w:szCs w:val="24"/>
          <w:lang w:val="en-US"/>
        </w:rPr>
        <w:t xml:space="preserve"> Foundations, and </w:t>
      </w:r>
      <w:proofErr w:type="spellStart"/>
      <w:r w:rsidRPr="00981DC5">
        <w:rPr>
          <w:rFonts w:ascii="Book Antiqua" w:eastAsia="MS Mincho" w:hAnsi="Book Antiqua"/>
          <w:color w:val="000000" w:themeColor="text1"/>
          <w:sz w:val="24"/>
          <w:szCs w:val="24"/>
          <w:lang w:val="en-US"/>
        </w:rPr>
        <w:t>Orvietani’s</w:t>
      </w:r>
      <w:proofErr w:type="spellEnd"/>
      <w:r w:rsidRPr="00981DC5">
        <w:rPr>
          <w:rFonts w:ascii="Book Antiqua" w:eastAsia="MS Mincho" w:hAnsi="Book Antiqua"/>
          <w:color w:val="000000" w:themeColor="text1"/>
          <w:sz w:val="24"/>
          <w:szCs w:val="24"/>
          <w:lang w:val="en-US"/>
        </w:rPr>
        <w:t xml:space="preserve"> Family for their support</w:t>
      </w:r>
      <w:r w:rsidR="00B11A05" w:rsidRPr="00981DC5">
        <w:rPr>
          <w:rFonts w:ascii="Book Antiqua" w:eastAsia="MS Mincho" w:hAnsi="Book Antiqua"/>
          <w:color w:val="000000" w:themeColor="text1"/>
          <w:sz w:val="24"/>
          <w:szCs w:val="24"/>
          <w:lang w:val="en-US"/>
        </w:rPr>
        <w:t>.</w:t>
      </w:r>
    </w:p>
    <w:p w14:paraId="1BE387B4" w14:textId="77777777" w:rsidR="00B11A05" w:rsidRPr="00981DC5" w:rsidRDefault="00B11A05" w:rsidP="00B11A05">
      <w:pPr>
        <w:adjustRightInd w:val="0"/>
        <w:snapToGrid w:val="0"/>
        <w:spacing w:after="0" w:line="360" w:lineRule="auto"/>
        <w:jc w:val="both"/>
        <w:rPr>
          <w:rFonts w:ascii="Book Antiqua" w:eastAsia="MS Mincho" w:hAnsi="Book Antiqua"/>
          <w:color w:val="000000" w:themeColor="text1"/>
          <w:sz w:val="24"/>
          <w:szCs w:val="24"/>
          <w:lang w:val="en-US"/>
        </w:rPr>
      </w:pPr>
    </w:p>
    <w:p w14:paraId="263FA42F" w14:textId="77777777" w:rsidR="00B11A05" w:rsidRPr="00981DC5" w:rsidRDefault="00B11A05" w:rsidP="00B11A05">
      <w:pPr>
        <w:widowControl w:val="0"/>
        <w:autoSpaceDE w:val="0"/>
        <w:autoSpaceDN w:val="0"/>
        <w:adjustRightInd w:val="0"/>
        <w:snapToGrid w:val="0"/>
        <w:spacing w:after="0" w:line="360" w:lineRule="auto"/>
        <w:ind w:left="640" w:hanging="640"/>
        <w:jc w:val="both"/>
        <w:rPr>
          <w:rFonts w:ascii="Book Antiqua" w:hAnsi="Book Antiqua"/>
          <w:color w:val="000000" w:themeColor="text1"/>
          <w:sz w:val="24"/>
          <w:szCs w:val="24"/>
        </w:rPr>
      </w:pPr>
      <w:r w:rsidRPr="00981DC5">
        <w:rPr>
          <w:rFonts w:ascii="Book Antiqua" w:hAnsi="Book Antiqua"/>
          <w:b/>
          <w:color w:val="000000" w:themeColor="text1"/>
          <w:sz w:val="24"/>
          <w:szCs w:val="24"/>
        </w:rPr>
        <w:t>REFERENCES</w:t>
      </w:r>
    </w:p>
    <w:p w14:paraId="60F999BA" w14:textId="77777777" w:rsidR="00B11A05" w:rsidRPr="00981DC5" w:rsidRDefault="00B11A05" w:rsidP="00B11A05">
      <w:pPr>
        <w:adjustRightInd w:val="0"/>
        <w:snapToGrid w:val="0"/>
        <w:spacing w:after="0" w:line="360" w:lineRule="auto"/>
        <w:jc w:val="both"/>
        <w:rPr>
          <w:rFonts w:ascii="Book Antiqua" w:hAnsi="Book Antiqua"/>
          <w:color w:val="000000" w:themeColor="text1"/>
          <w:sz w:val="24"/>
          <w:szCs w:val="24"/>
        </w:rPr>
      </w:pPr>
      <w:r w:rsidRPr="00981DC5">
        <w:rPr>
          <w:rFonts w:ascii="Book Antiqua" w:hAnsi="Book Antiqua"/>
          <w:color w:val="000000" w:themeColor="text1"/>
          <w:sz w:val="24"/>
          <w:szCs w:val="24"/>
        </w:rPr>
        <w:t xml:space="preserve">1 </w:t>
      </w:r>
      <w:r w:rsidRPr="00981DC5">
        <w:rPr>
          <w:rFonts w:ascii="Book Antiqua" w:hAnsi="Book Antiqua"/>
          <w:b/>
          <w:color w:val="000000" w:themeColor="text1"/>
          <w:sz w:val="24"/>
          <w:szCs w:val="24"/>
        </w:rPr>
        <w:t>Ferlay J</w:t>
      </w:r>
      <w:r w:rsidRPr="00981DC5">
        <w:rPr>
          <w:rFonts w:ascii="Book Antiqua" w:hAnsi="Book Antiqua"/>
          <w:color w:val="000000" w:themeColor="text1"/>
          <w:sz w:val="24"/>
          <w:szCs w:val="24"/>
        </w:rPr>
        <w:t xml:space="preserve">, Colombet M, Soerjomataram I, Dyba T, Randi G, Bettio M, Gavin A, Visser O, Bray F. Cancer incidence and mortality patterns in Europe: Estimates for 40 countries and 25 major cancers in 2018. </w:t>
      </w:r>
      <w:r w:rsidRPr="00981DC5">
        <w:rPr>
          <w:rFonts w:ascii="Book Antiqua" w:hAnsi="Book Antiqua"/>
          <w:i/>
          <w:color w:val="000000" w:themeColor="text1"/>
          <w:sz w:val="24"/>
          <w:szCs w:val="24"/>
        </w:rPr>
        <w:t>Eur J Cancer</w:t>
      </w:r>
      <w:r w:rsidRPr="00981DC5">
        <w:rPr>
          <w:rFonts w:ascii="Book Antiqua" w:hAnsi="Book Antiqua"/>
          <w:color w:val="000000" w:themeColor="text1"/>
          <w:sz w:val="24"/>
          <w:szCs w:val="24"/>
        </w:rPr>
        <w:t xml:space="preserve"> 2018; </w:t>
      </w:r>
      <w:r w:rsidRPr="00981DC5">
        <w:rPr>
          <w:rFonts w:ascii="Book Antiqua" w:hAnsi="Book Antiqua"/>
          <w:b/>
          <w:color w:val="000000" w:themeColor="text1"/>
          <w:sz w:val="24"/>
          <w:szCs w:val="24"/>
        </w:rPr>
        <w:t>103</w:t>
      </w:r>
      <w:r w:rsidRPr="00981DC5">
        <w:rPr>
          <w:rFonts w:ascii="Book Antiqua" w:hAnsi="Book Antiqua"/>
          <w:color w:val="000000" w:themeColor="text1"/>
          <w:sz w:val="24"/>
          <w:szCs w:val="24"/>
        </w:rPr>
        <w:t>: 356-387 [PMID: 30100160 DOI: 10.1016/j.ejca.2018.07.005]</w:t>
      </w:r>
    </w:p>
    <w:p w14:paraId="628B58F9" w14:textId="77777777" w:rsidR="00B11A05" w:rsidRPr="00981DC5" w:rsidRDefault="00B11A05" w:rsidP="00B11A05">
      <w:pPr>
        <w:adjustRightInd w:val="0"/>
        <w:snapToGrid w:val="0"/>
        <w:spacing w:after="0" w:line="360" w:lineRule="auto"/>
        <w:jc w:val="both"/>
        <w:rPr>
          <w:rFonts w:ascii="Book Antiqua" w:hAnsi="Book Antiqua"/>
          <w:color w:val="000000" w:themeColor="text1"/>
          <w:sz w:val="24"/>
          <w:szCs w:val="24"/>
        </w:rPr>
      </w:pPr>
      <w:r w:rsidRPr="00981DC5">
        <w:rPr>
          <w:rFonts w:ascii="Book Antiqua" w:hAnsi="Book Antiqua"/>
          <w:color w:val="000000" w:themeColor="text1"/>
          <w:sz w:val="24"/>
          <w:szCs w:val="24"/>
        </w:rPr>
        <w:t xml:space="preserve">2 </w:t>
      </w:r>
      <w:r w:rsidRPr="00981DC5">
        <w:rPr>
          <w:rFonts w:ascii="Book Antiqua" w:hAnsi="Book Antiqua"/>
          <w:b/>
          <w:color w:val="000000" w:themeColor="text1"/>
          <w:sz w:val="24"/>
          <w:szCs w:val="24"/>
        </w:rPr>
        <w:t>Rawla P</w:t>
      </w:r>
      <w:r w:rsidRPr="00981DC5">
        <w:rPr>
          <w:rFonts w:ascii="Book Antiqua" w:hAnsi="Book Antiqua"/>
          <w:color w:val="000000" w:themeColor="text1"/>
          <w:sz w:val="24"/>
          <w:szCs w:val="24"/>
        </w:rPr>
        <w:t xml:space="preserve">, Sunkara T, Gaduputi V. Epidemiology of Pancreatic Cancer: Global Trends, Etiology and Risk Factors. </w:t>
      </w:r>
      <w:r w:rsidRPr="00981DC5">
        <w:rPr>
          <w:rFonts w:ascii="Book Antiqua" w:hAnsi="Book Antiqua"/>
          <w:i/>
          <w:color w:val="000000" w:themeColor="text1"/>
          <w:sz w:val="24"/>
          <w:szCs w:val="24"/>
        </w:rPr>
        <w:t>World J Oncol</w:t>
      </w:r>
      <w:r w:rsidRPr="00981DC5">
        <w:rPr>
          <w:rFonts w:ascii="Book Antiqua" w:hAnsi="Book Antiqua"/>
          <w:color w:val="000000" w:themeColor="text1"/>
          <w:sz w:val="24"/>
          <w:szCs w:val="24"/>
        </w:rPr>
        <w:t xml:space="preserve"> 2019; </w:t>
      </w:r>
      <w:r w:rsidRPr="00981DC5">
        <w:rPr>
          <w:rFonts w:ascii="Book Antiqua" w:hAnsi="Book Antiqua"/>
          <w:b/>
          <w:color w:val="000000" w:themeColor="text1"/>
          <w:sz w:val="24"/>
          <w:szCs w:val="24"/>
        </w:rPr>
        <w:t>10</w:t>
      </w:r>
      <w:r w:rsidRPr="00981DC5">
        <w:rPr>
          <w:rFonts w:ascii="Book Antiqua" w:hAnsi="Book Antiqua"/>
          <w:color w:val="000000" w:themeColor="text1"/>
          <w:sz w:val="24"/>
          <w:szCs w:val="24"/>
        </w:rPr>
        <w:t>: 10-27 [PMID: 30834048 DOI: 10.14740/wjon1166]</w:t>
      </w:r>
    </w:p>
    <w:p w14:paraId="16E13196" w14:textId="77777777" w:rsidR="00B11A05" w:rsidRPr="00981DC5" w:rsidRDefault="00B11A05" w:rsidP="00B11A05">
      <w:pPr>
        <w:adjustRightInd w:val="0"/>
        <w:snapToGrid w:val="0"/>
        <w:spacing w:after="0" w:line="360" w:lineRule="auto"/>
        <w:jc w:val="both"/>
        <w:rPr>
          <w:rFonts w:ascii="Book Antiqua" w:hAnsi="Book Antiqua"/>
          <w:color w:val="000000" w:themeColor="text1"/>
          <w:sz w:val="24"/>
          <w:szCs w:val="24"/>
        </w:rPr>
      </w:pPr>
      <w:r w:rsidRPr="00981DC5">
        <w:rPr>
          <w:rFonts w:ascii="Book Antiqua" w:hAnsi="Book Antiqua"/>
          <w:color w:val="000000" w:themeColor="text1"/>
          <w:sz w:val="24"/>
          <w:szCs w:val="24"/>
        </w:rPr>
        <w:t xml:space="preserve">3 </w:t>
      </w:r>
      <w:r w:rsidRPr="00981DC5">
        <w:rPr>
          <w:rFonts w:ascii="Book Antiqua" w:hAnsi="Book Antiqua"/>
          <w:b/>
          <w:color w:val="000000" w:themeColor="text1"/>
          <w:sz w:val="24"/>
          <w:szCs w:val="24"/>
        </w:rPr>
        <w:t>Bray F</w:t>
      </w:r>
      <w:r w:rsidRPr="00981DC5">
        <w:rPr>
          <w:rFonts w:ascii="Book Antiqua" w:hAnsi="Book Antiqua"/>
          <w:color w:val="000000" w:themeColor="text1"/>
          <w:sz w:val="24"/>
          <w:szCs w:val="24"/>
        </w:rPr>
        <w:t xml:space="preserve">, Ferlay J, Soerjomataram I, Siegel RL, Torre LA, Jemal A. Global cancer statistics 2018: GLOBOCAN estimates of incidence and mortality worldwide for 36 cancers in 185 countries. </w:t>
      </w:r>
      <w:r w:rsidRPr="00981DC5">
        <w:rPr>
          <w:rFonts w:ascii="Book Antiqua" w:hAnsi="Book Antiqua"/>
          <w:i/>
          <w:color w:val="000000" w:themeColor="text1"/>
          <w:sz w:val="24"/>
          <w:szCs w:val="24"/>
        </w:rPr>
        <w:t>CA Cancer J Clin</w:t>
      </w:r>
      <w:r w:rsidRPr="00981DC5">
        <w:rPr>
          <w:rFonts w:ascii="Book Antiqua" w:hAnsi="Book Antiqua"/>
          <w:color w:val="000000" w:themeColor="text1"/>
          <w:sz w:val="24"/>
          <w:szCs w:val="24"/>
        </w:rPr>
        <w:t xml:space="preserve"> 2018; </w:t>
      </w:r>
      <w:r w:rsidRPr="00981DC5">
        <w:rPr>
          <w:rFonts w:ascii="Book Antiqua" w:hAnsi="Book Antiqua"/>
          <w:b/>
          <w:color w:val="000000" w:themeColor="text1"/>
          <w:sz w:val="24"/>
          <w:szCs w:val="24"/>
        </w:rPr>
        <w:t>68</w:t>
      </w:r>
      <w:r w:rsidRPr="00981DC5">
        <w:rPr>
          <w:rFonts w:ascii="Book Antiqua" w:hAnsi="Book Antiqua"/>
          <w:color w:val="000000" w:themeColor="text1"/>
          <w:sz w:val="24"/>
          <w:szCs w:val="24"/>
        </w:rPr>
        <w:t>: 394-424 [PMID: 30207593 DOI: 10.3322/caac.21492]</w:t>
      </w:r>
    </w:p>
    <w:p w14:paraId="5837F4E6" w14:textId="77777777" w:rsidR="00B11A05" w:rsidRPr="00981DC5" w:rsidRDefault="00B11A05" w:rsidP="00B11A05">
      <w:pPr>
        <w:adjustRightInd w:val="0"/>
        <w:snapToGrid w:val="0"/>
        <w:spacing w:after="0" w:line="360" w:lineRule="auto"/>
        <w:jc w:val="both"/>
        <w:rPr>
          <w:rFonts w:ascii="Book Antiqua" w:hAnsi="Book Antiqua"/>
          <w:color w:val="000000" w:themeColor="text1"/>
          <w:sz w:val="24"/>
          <w:szCs w:val="24"/>
        </w:rPr>
      </w:pPr>
      <w:r w:rsidRPr="00981DC5">
        <w:rPr>
          <w:rFonts w:ascii="Book Antiqua" w:hAnsi="Book Antiqua"/>
          <w:color w:val="000000" w:themeColor="text1"/>
          <w:sz w:val="24"/>
          <w:szCs w:val="24"/>
        </w:rPr>
        <w:t xml:space="preserve">4 </w:t>
      </w:r>
      <w:r w:rsidRPr="00981DC5">
        <w:rPr>
          <w:rFonts w:ascii="Book Antiqua" w:hAnsi="Book Antiqua"/>
          <w:b/>
          <w:color w:val="000000" w:themeColor="text1"/>
          <w:sz w:val="24"/>
          <w:szCs w:val="24"/>
        </w:rPr>
        <w:t>Terashima T</w:t>
      </w:r>
      <w:r w:rsidRPr="00981DC5">
        <w:rPr>
          <w:rFonts w:ascii="Book Antiqua" w:hAnsi="Book Antiqua"/>
          <w:color w:val="000000" w:themeColor="text1"/>
          <w:sz w:val="24"/>
          <w:szCs w:val="24"/>
        </w:rPr>
        <w:t xml:space="preserve">, Yamashita T, Sakai A, Ohta H, Hinoue Y, Toya D, Kawai H, Yonejima M, Urabe T, Noda Y, Mizukoshi E, Kaneko S. Treatment patterns and outcomes of unresectable pancreatic cancer patients in real-life practice: a region-wide analysis. </w:t>
      </w:r>
      <w:r w:rsidRPr="00981DC5">
        <w:rPr>
          <w:rFonts w:ascii="Book Antiqua" w:hAnsi="Book Antiqua"/>
          <w:i/>
          <w:color w:val="000000" w:themeColor="text1"/>
          <w:sz w:val="24"/>
          <w:szCs w:val="24"/>
        </w:rPr>
        <w:t>Jpn J Clin Oncol</w:t>
      </w:r>
      <w:r w:rsidRPr="00981DC5">
        <w:rPr>
          <w:rFonts w:ascii="Book Antiqua" w:hAnsi="Book Antiqua"/>
          <w:color w:val="000000" w:themeColor="text1"/>
          <w:sz w:val="24"/>
          <w:szCs w:val="24"/>
        </w:rPr>
        <w:t xml:space="preserve"> 2018; </w:t>
      </w:r>
      <w:r w:rsidRPr="00981DC5">
        <w:rPr>
          <w:rFonts w:ascii="Book Antiqua" w:hAnsi="Book Antiqua"/>
          <w:b/>
          <w:color w:val="000000" w:themeColor="text1"/>
          <w:sz w:val="24"/>
          <w:szCs w:val="24"/>
        </w:rPr>
        <w:t>48</w:t>
      </w:r>
      <w:r w:rsidRPr="00981DC5">
        <w:rPr>
          <w:rFonts w:ascii="Book Antiqua" w:hAnsi="Book Antiqua"/>
          <w:color w:val="000000" w:themeColor="text1"/>
          <w:sz w:val="24"/>
          <w:szCs w:val="24"/>
        </w:rPr>
        <w:t>: 966-973 [PMID: 30256958 DOI: 10.1093/jjco/hyy132]</w:t>
      </w:r>
    </w:p>
    <w:p w14:paraId="75BAF83D" w14:textId="77777777" w:rsidR="00B11A05" w:rsidRPr="00981DC5" w:rsidRDefault="00B11A05" w:rsidP="00B11A05">
      <w:pPr>
        <w:adjustRightInd w:val="0"/>
        <w:snapToGrid w:val="0"/>
        <w:spacing w:after="0" w:line="360" w:lineRule="auto"/>
        <w:jc w:val="both"/>
        <w:rPr>
          <w:rFonts w:ascii="Book Antiqua" w:hAnsi="Book Antiqua"/>
          <w:color w:val="000000" w:themeColor="text1"/>
          <w:sz w:val="24"/>
          <w:szCs w:val="24"/>
        </w:rPr>
      </w:pPr>
      <w:r w:rsidRPr="00981DC5">
        <w:rPr>
          <w:rFonts w:ascii="Book Antiqua" w:hAnsi="Book Antiqua"/>
          <w:color w:val="000000" w:themeColor="text1"/>
          <w:sz w:val="24"/>
          <w:szCs w:val="24"/>
        </w:rPr>
        <w:t xml:space="preserve">5 </w:t>
      </w:r>
      <w:r w:rsidRPr="00981DC5">
        <w:rPr>
          <w:rFonts w:ascii="Book Antiqua" w:hAnsi="Book Antiqua"/>
          <w:b/>
          <w:color w:val="000000" w:themeColor="text1"/>
          <w:sz w:val="24"/>
          <w:szCs w:val="24"/>
        </w:rPr>
        <w:t>Schlick K</w:t>
      </w:r>
      <w:r w:rsidRPr="00981DC5">
        <w:rPr>
          <w:rFonts w:ascii="Book Antiqua" w:hAnsi="Book Antiqua"/>
          <w:color w:val="000000" w:themeColor="text1"/>
          <w:sz w:val="24"/>
          <w:szCs w:val="24"/>
        </w:rPr>
        <w:t xml:space="preserve">, Magnes T, Ratzinger L, Jaud B, Weiss L, Melchardt T, Greil R, Egle A. Novel models for prediction of benefit and toxicity with FOLFIRINOX treatment of pancreatic cancer using clinically available parameters. </w:t>
      </w:r>
      <w:r w:rsidRPr="00981DC5">
        <w:rPr>
          <w:rFonts w:ascii="Book Antiqua" w:hAnsi="Book Antiqua"/>
          <w:i/>
          <w:color w:val="000000" w:themeColor="text1"/>
          <w:sz w:val="24"/>
          <w:szCs w:val="24"/>
        </w:rPr>
        <w:t>PLoS One</w:t>
      </w:r>
      <w:r w:rsidRPr="00981DC5">
        <w:rPr>
          <w:rFonts w:ascii="Book Antiqua" w:hAnsi="Book Antiqua"/>
          <w:color w:val="000000" w:themeColor="text1"/>
          <w:sz w:val="24"/>
          <w:szCs w:val="24"/>
        </w:rPr>
        <w:t xml:space="preserve"> 2018; </w:t>
      </w:r>
      <w:r w:rsidRPr="00981DC5">
        <w:rPr>
          <w:rFonts w:ascii="Book Antiqua" w:hAnsi="Book Antiqua"/>
          <w:b/>
          <w:color w:val="000000" w:themeColor="text1"/>
          <w:sz w:val="24"/>
          <w:szCs w:val="24"/>
        </w:rPr>
        <w:t>13</w:t>
      </w:r>
      <w:r w:rsidRPr="00981DC5">
        <w:rPr>
          <w:rFonts w:ascii="Book Antiqua" w:hAnsi="Book Antiqua"/>
          <w:color w:val="000000" w:themeColor="text1"/>
          <w:sz w:val="24"/>
          <w:szCs w:val="24"/>
        </w:rPr>
        <w:t>: e0206688 [PMID: 30412592 DOI: 10.1371/journal.pone.0206688]</w:t>
      </w:r>
    </w:p>
    <w:p w14:paraId="20D23073" w14:textId="429852AE" w:rsidR="00B11A05" w:rsidRPr="00981DC5" w:rsidRDefault="00B11A05" w:rsidP="00B11A05">
      <w:pPr>
        <w:adjustRightInd w:val="0"/>
        <w:snapToGrid w:val="0"/>
        <w:spacing w:after="0" w:line="360" w:lineRule="auto"/>
        <w:jc w:val="both"/>
        <w:rPr>
          <w:rFonts w:ascii="Book Antiqua" w:hAnsi="Book Antiqua"/>
          <w:color w:val="000000" w:themeColor="text1"/>
          <w:sz w:val="24"/>
          <w:szCs w:val="24"/>
        </w:rPr>
      </w:pPr>
      <w:r w:rsidRPr="00981DC5">
        <w:rPr>
          <w:rFonts w:ascii="Book Antiqua" w:hAnsi="Book Antiqua"/>
          <w:color w:val="000000" w:themeColor="text1"/>
          <w:sz w:val="24"/>
          <w:szCs w:val="24"/>
        </w:rPr>
        <w:t xml:space="preserve">6 </w:t>
      </w:r>
      <w:r w:rsidRPr="00981DC5">
        <w:rPr>
          <w:rFonts w:ascii="Book Antiqua" w:hAnsi="Book Antiqua"/>
          <w:b/>
          <w:color w:val="000000" w:themeColor="text1"/>
          <w:sz w:val="24"/>
          <w:szCs w:val="24"/>
        </w:rPr>
        <w:t>Goldstein D</w:t>
      </w:r>
      <w:r w:rsidRPr="00981DC5">
        <w:rPr>
          <w:rFonts w:ascii="Book Antiqua" w:hAnsi="Book Antiqua"/>
          <w:color w:val="000000" w:themeColor="text1"/>
          <w:sz w:val="24"/>
          <w:szCs w:val="24"/>
        </w:rPr>
        <w:t xml:space="preserve">, El-Maraghi RH, Hammel P, Heinemann V, Kunzmann V, Sastre J, Scheithauer W, Siena S, Tabernero J, Teixeira L, Tortora G, Van Laethem JL, Young R, Penenberg DN, Lu B, Romano A, Von Hoff DD. nab-Paclitaxel plus gemcitabine for metastatic pancreatic cancer: long-term survival from a phase III trial. </w:t>
      </w:r>
      <w:r w:rsidRPr="00981DC5">
        <w:rPr>
          <w:rFonts w:ascii="Book Antiqua" w:hAnsi="Book Antiqua"/>
          <w:i/>
          <w:color w:val="000000" w:themeColor="text1"/>
          <w:sz w:val="24"/>
          <w:szCs w:val="24"/>
        </w:rPr>
        <w:t>J Natl Cancer Inst</w:t>
      </w:r>
      <w:r w:rsidRPr="00981DC5">
        <w:rPr>
          <w:rFonts w:ascii="Book Antiqua" w:hAnsi="Book Antiqua"/>
          <w:color w:val="000000" w:themeColor="text1"/>
          <w:sz w:val="24"/>
          <w:szCs w:val="24"/>
        </w:rPr>
        <w:t xml:space="preserve"> 2015; </w:t>
      </w:r>
      <w:r w:rsidRPr="00981DC5">
        <w:rPr>
          <w:rFonts w:ascii="Book Antiqua" w:hAnsi="Book Antiqua"/>
          <w:b/>
          <w:color w:val="000000" w:themeColor="text1"/>
          <w:sz w:val="24"/>
          <w:szCs w:val="24"/>
        </w:rPr>
        <w:t>107</w:t>
      </w:r>
      <w:r w:rsidRPr="00981DC5">
        <w:rPr>
          <w:rFonts w:ascii="Book Antiqua" w:hAnsi="Book Antiqua"/>
          <w:color w:val="000000" w:themeColor="text1"/>
          <w:sz w:val="24"/>
          <w:szCs w:val="24"/>
        </w:rPr>
        <w:t xml:space="preserve"> [PMID: 25638248 DOI: 10.1093/jnci/dju413]</w:t>
      </w:r>
    </w:p>
    <w:p w14:paraId="3A998205" w14:textId="77777777" w:rsidR="00B11A05" w:rsidRPr="00981DC5" w:rsidRDefault="00B11A05" w:rsidP="00B11A05">
      <w:pPr>
        <w:adjustRightInd w:val="0"/>
        <w:snapToGrid w:val="0"/>
        <w:spacing w:after="0" w:line="360" w:lineRule="auto"/>
        <w:jc w:val="both"/>
        <w:rPr>
          <w:rFonts w:ascii="Book Antiqua" w:hAnsi="Book Antiqua"/>
          <w:color w:val="000000" w:themeColor="text1"/>
          <w:sz w:val="24"/>
          <w:szCs w:val="24"/>
        </w:rPr>
      </w:pPr>
      <w:r w:rsidRPr="00981DC5">
        <w:rPr>
          <w:rFonts w:ascii="Book Antiqua" w:hAnsi="Book Antiqua"/>
          <w:color w:val="000000" w:themeColor="text1"/>
          <w:sz w:val="24"/>
          <w:szCs w:val="24"/>
        </w:rPr>
        <w:lastRenderedPageBreak/>
        <w:t xml:space="preserve">7 </w:t>
      </w:r>
      <w:r w:rsidRPr="00981DC5">
        <w:rPr>
          <w:rFonts w:ascii="Book Antiqua" w:hAnsi="Book Antiqua"/>
          <w:b/>
          <w:color w:val="000000" w:themeColor="text1"/>
          <w:sz w:val="24"/>
          <w:szCs w:val="24"/>
        </w:rPr>
        <w:t>Conroy T</w:t>
      </w:r>
      <w:r w:rsidRPr="00981DC5">
        <w:rPr>
          <w:rFonts w:ascii="Book Antiqua" w:hAnsi="Book Antiqua"/>
          <w:color w:val="000000" w:themeColor="text1"/>
          <w:sz w:val="24"/>
          <w:szCs w:val="24"/>
        </w:rPr>
        <w:t xml:space="preserve">, Desseigne F, Ychou M, Bouché O, Guimbaud R, Bécouarn Y, Adenis A, Raoul JL, Gourgou-Bourgade S, de la Fouchardière C, Bennouna J, Bachet JB, Khemissa-Akouz F, Péré-Vergé D, Delbaldo C, Assenat E, Chauffert B, Michel P, Montoto-Grillot C, Ducreux M; Groupe Tumeurs Digestives of Unicancer; PRODIGE Intergroup. FOLFIRINOX versus gemcitabine for metastatic pancreatic cancer. </w:t>
      </w:r>
      <w:r w:rsidRPr="00981DC5">
        <w:rPr>
          <w:rFonts w:ascii="Book Antiqua" w:hAnsi="Book Antiqua"/>
          <w:i/>
          <w:color w:val="000000" w:themeColor="text1"/>
          <w:sz w:val="24"/>
          <w:szCs w:val="24"/>
        </w:rPr>
        <w:t>N Engl J Med</w:t>
      </w:r>
      <w:r w:rsidRPr="00981DC5">
        <w:rPr>
          <w:rFonts w:ascii="Book Antiqua" w:hAnsi="Book Antiqua"/>
          <w:color w:val="000000" w:themeColor="text1"/>
          <w:sz w:val="24"/>
          <w:szCs w:val="24"/>
        </w:rPr>
        <w:t xml:space="preserve"> 2011; </w:t>
      </w:r>
      <w:r w:rsidRPr="00981DC5">
        <w:rPr>
          <w:rFonts w:ascii="Book Antiqua" w:hAnsi="Book Antiqua"/>
          <w:b/>
          <w:color w:val="000000" w:themeColor="text1"/>
          <w:sz w:val="24"/>
          <w:szCs w:val="24"/>
        </w:rPr>
        <w:t>364</w:t>
      </w:r>
      <w:r w:rsidRPr="00981DC5">
        <w:rPr>
          <w:rFonts w:ascii="Book Antiqua" w:hAnsi="Book Antiqua"/>
          <w:color w:val="000000" w:themeColor="text1"/>
          <w:sz w:val="24"/>
          <w:szCs w:val="24"/>
        </w:rPr>
        <w:t>: 1817-1825 [PMID: 21561347 DOI: 10.1056/NEJMoa1011923]</w:t>
      </w:r>
    </w:p>
    <w:p w14:paraId="2E1DD648" w14:textId="77777777" w:rsidR="00B11A05" w:rsidRPr="00981DC5" w:rsidRDefault="00B11A05" w:rsidP="00B11A05">
      <w:pPr>
        <w:adjustRightInd w:val="0"/>
        <w:snapToGrid w:val="0"/>
        <w:spacing w:after="0" w:line="360" w:lineRule="auto"/>
        <w:jc w:val="both"/>
        <w:rPr>
          <w:rFonts w:ascii="Book Antiqua" w:hAnsi="Book Antiqua"/>
          <w:color w:val="000000" w:themeColor="text1"/>
          <w:sz w:val="24"/>
          <w:szCs w:val="24"/>
        </w:rPr>
      </w:pPr>
      <w:r w:rsidRPr="00981DC5">
        <w:rPr>
          <w:rFonts w:ascii="Book Antiqua" w:hAnsi="Book Antiqua"/>
          <w:color w:val="000000" w:themeColor="text1"/>
          <w:sz w:val="24"/>
          <w:szCs w:val="24"/>
        </w:rPr>
        <w:t xml:space="preserve">8 </w:t>
      </w:r>
      <w:r w:rsidRPr="00981DC5">
        <w:rPr>
          <w:rFonts w:ascii="Book Antiqua" w:hAnsi="Book Antiqua"/>
          <w:b/>
          <w:color w:val="000000" w:themeColor="text1"/>
          <w:sz w:val="24"/>
          <w:szCs w:val="24"/>
        </w:rPr>
        <w:t>Tentler JJ</w:t>
      </w:r>
      <w:r w:rsidRPr="00981DC5">
        <w:rPr>
          <w:rFonts w:ascii="Book Antiqua" w:hAnsi="Book Antiqua"/>
          <w:color w:val="000000" w:themeColor="text1"/>
          <w:sz w:val="24"/>
          <w:szCs w:val="24"/>
        </w:rPr>
        <w:t xml:space="preserve">, Tan AC, Weekes CD, Jimeno A, Leong S, Pitts TM, Arcaroli JJ, Messersmith WA, Eckhardt SG. Patient-derived tumour xenografts as models for oncology drug development. </w:t>
      </w:r>
      <w:r w:rsidRPr="00981DC5">
        <w:rPr>
          <w:rFonts w:ascii="Book Antiqua" w:hAnsi="Book Antiqua"/>
          <w:i/>
          <w:color w:val="000000" w:themeColor="text1"/>
          <w:sz w:val="24"/>
          <w:szCs w:val="24"/>
        </w:rPr>
        <w:t>Nat Rev Clin Oncol</w:t>
      </w:r>
      <w:r w:rsidRPr="00981DC5">
        <w:rPr>
          <w:rFonts w:ascii="Book Antiqua" w:hAnsi="Book Antiqua"/>
          <w:color w:val="000000" w:themeColor="text1"/>
          <w:sz w:val="24"/>
          <w:szCs w:val="24"/>
        </w:rPr>
        <w:t xml:space="preserve"> 2012; </w:t>
      </w:r>
      <w:r w:rsidRPr="00981DC5">
        <w:rPr>
          <w:rFonts w:ascii="Book Antiqua" w:hAnsi="Book Antiqua"/>
          <w:b/>
          <w:color w:val="000000" w:themeColor="text1"/>
          <w:sz w:val="24"/>
          <w:szCs w:val="24"/>
        </w:rPr>
        <w:t>9</w:t>
      </w:r>
      <w:r w:rsidRPr="00981DC5">
        <w:rPr>
          <w:rFonts w:ascii="Book Antiqua" w:hAnsi="Book Antiqua"/>
          <w:color w:val="000000" w:themeColor="text1"/>
          <w:sz w:val="24"/>
          <w:szCs w:val="24"/>
        </w:rPr>
        <w:t>: 338-350 [PMID: 22508028 DOI: 10.1038/nrclinonc.2012.61]</w:t>
      </w:r>
    </w:p>
    <w:p w14:paraId="49B2412D" w14:textId="77777777" w:rsidR="00B11A05" w:rsidRPr="00981DC5" w:rsidRDefault="00B11A05" w:rsidP="00B11A05">
      <w:pPr>
        <w:adjustRightInd w:val="0"/>
        <w:snapToGrid w:val="0"/>
        <w:spacing w:after="0" w:line="360" w:lineRule="auto"/>
        <w:jc w:val="both"/>
        <w:rPr>
          <w:rFonts w:ascii="Book Antiqua" w:hAnsi="Book Antiqua"/>
          <w:color w:val="000000" w:themeColor="text1"/>
          <w:sz w:val="24"/>
          <w:szCs w:val="24"/>
        </w:rPr>
      </w:pPr>
      <w:r w:rsidRPr="00981DC5">
        <w:rPr>
          <w:rFonts w:ascii="Book Antiqua" w:hAnsi="Book Antiqua"/>
          <w:color w:val="000000" w:themeColor="text1"/>
          <w:sz w:val="24"/>
          <w:szCs w:val="24"/>
        </w:rPr>
        <w:t xml:space="preserve">9 </w:t>
      </w:r>
      <w:r w:rsidRPr="00981DC5">
        <w:rPr>
          <w:rFonts w:ascii="Book Antiqua" w:hAnsi="Book Antiqua"/>
          <w:b/>
          <w:color w:val="000000" w:themeColor="text1"/>
          <w:sz w:val="24"/>
          <w:szCs w:val="24"/>
        </w:rPr>
        <w:t>Lee LM</w:t>
      </w:r>
      <w:r w:rsidRPr="00981DC5">
        <w:rPr>
          <w:rFonts w:ascii="Book Antiqua" w:hAnsi="Book Antiqua"/>
          <w:color w:val="000000" w:themeColor="text1"/>
          <w:sz w:val="24"/>
          <w:szCs w:val="24"/>
        </w:rPr>
        <w:t xml:space="preserve">, Seftor EA, Bonde G, Cornell RA, Hendrix MJ. The fate of human malignant melanoma cells transplanted into zebrafish embryos: assessment of migration and cell division in the absence of tumor formation. </w:t>
      </w:r>
      <w:r w:rsidRPr="00981DC5">
        <w:rPr>
          <w:rFonts w:ascii="Book Antiqua" w:hAnsi="Book Antiqua"/>
          <w:i/>
          <w:color w:val="000000" w:themeColor="text1"/>
          <w:sz w:val="24"/>
          <w:szCs w:val="24"/>
        </w:rPr>
        <w:t>Dev Dyn</w:t>
      </w:r>
      <w:r w:rsidRPr="00981DC5">
        <w:rPr>
          <w:rFonts w:ascii="Book Antiqua" w:hAnsi="Book Antiqua"/>
          <w:color w:val="000000" w:themeColor="text1"/>
          <w:sz w:val="24"/>
          <w:szCs w:val="24"/>
        </w:rPr>
        <w:t xml:space="preserve"> 2005; </w:t>
      </w:r>
      <w:r w:rsidRPr="00981DC5">
        <w:rPr>
          <w:rFonts w:ascii="Book Antiqua" w:hAnsi="Book Antiqua"/>
          <w:b/>
          <w:color w:val="000000" w:themeColor="text1"/>
          <w:sz w:val="24"/>
          <w:szCs w:val="24"/>
        </w:rPr>
        <w:t>233</w:t>
      </w:r>
      <w:r w:rsidRPr="00981DC5">
        <w:rPr>
          <w:rFonts w:ascii="Book Antiqua" w:hAnsi="Book Antiqua"/>
          <w:color w:val="000000" w:themeColor="text1"/>
          <w:sz w:val="24"/>
          <w:szCs w:val="24"/>
        </w:rPr>
        <w:t>: 1560-1570 [PMID: 15968639 DOI: 10.1002/dvdy.20471]</w:t>
      </w:r>
    </w:p>
    <w:p w14:paraId="567B3DF4" w14:textId="77777777" w:rsidR="00B11A05" w:rsidRPr="00981DC5" w:rsidRDefault="00B11A05" w:rsidP="00B11A05">
      <w:pPr>
        <w:adjustRightInd w:val="0"/>
        <w:snapToGrid w:val="0"/>
        <w:spacing w:after="0" w:line="360" w:lineRule="auto"/>
        <w:jc w:val="both"/>
        <w:rPr>
          <w:rFonts w:ascii="Book Antiqua" w:hAnsi="Book Antiqua"/>
          <w:color w:val="000000" w:themeColor="text1"/>
          <w:sz w:val="24"/>
          <w:szCs w:val="24"/>
        </w:rPr>
      </w:pPr>
      <w:r w:rsidRPr="00981DC5">
        <w:rPr>
          <w:rFonts w:ascii="Book Antiqua" w:hAnsi="Book Antiqua"/>
          <w:color w:val="000000" w:themeColor="text1"/>
          <w:sz w:val="24"/>
          <w:szCs w:val="24"/>
        </w:rPr>
        <w:t xml:space="preserve">10 </w:t>
      </w:r>
      <w:r w:rsidRPr="00981DC5">
        <w:rPr>
          <w:rFonts w:ascii="Book Antiqua" w:hAnsi="Book Antiqua"/>
          <w:b/>
          <w:color w:val="000000" w:themeColor="text1"/>
          <w:sz w:val="24"/>
          <w:szCs w:val="24"/>
        </w:rPr>
        <w:t>Aboulkheyr Es H</w:t>
      </w:r>
      <w:r w:rsidRPr="00981DC5">
        <w:rPr>
          <w:rFonts w:ascii="Book Antiqua" w:hAnsi="Book Antiqua"/>
          <w:color w:val="000000" w:themeColor="text1"/>
          <w:sz w:val="24"/>
          <w:szCs w:val="24"/>
        </w:rPr>
        <w:t xml:space="preserve">, Montazeri L, Aref AR, Vosough M, Baharvand H. Personalized Cancer Medicine: An Organoid Approach. </w:t>
      </w:r>
      <w:r w:rsidRPr="00981DC5">
        <w:rPr>
          <w:rFonts w:ascii="Book Antiqua" w:hAnsi="Book Antiqua"/>
          <w:i/>
          <w:color w:val="000000" w:themeColor="text1"/>
          <w:sz w:val="24"/>
          <w:szCs w:val="24"/>
        </w:rPr>
        <w:t>Trends Biotechnol</w:t>
      </w:r>
      <w:r w:rsidRPr="00981DC5">
        <w:rPr>
          <w:rFonts w:ascii="Book Antiqua" w:hAnsi="Book Antiqua"/>
          <w:color w:val="000000" w:themeColor="text1"/>
          <w:sz w:val="24"/>
          <w:szCs w:val="24"/>
        </w:rPr>
        <w:t xml:space="preserve"> 2018; </w:t>
      </w:r>
      <w:r w:rsidRPr="00981DC5">
        <w:rPr>
          <w:rFonts w:ascii="Book Antiqua" w:hAnsi="Book Antiqua"/>
          <w:b/>
          <w:color w:val="000000" w:themeColor="text1"/>
          <w:sz w:val="24"/>
          <w:szCs w:val="24"/>
        </w:rPr>
        <w:t>36</w:t>
      </w:r>
      <w:r w:rsidRPr="00981DC5">
        <w:rPr>
          <w:rFonts w:ascii="Book Antiqua" w:hAnsi="Book Antiqua"/>
          <w:color w:val="000000" w:themeColor="text1"/>
          <w:sz w:val="24"/>
          <w:szCs w:val="24"/>
        </w:rPr>
        <w:t>: 358-371 [PMID: 29366522 DOI: 10.1016/j.tibtech.2017.12.005]</w:t>
      </w:r>
    </w:p>
    <w:p w14:paraId="510494FA" w14:textId="77777777" w:rsidR="00B11A05" w:rsidRPr="00981DC5" w:rsidRDefault="00B11A05" w:rsidP="00B11A05">
      <w:pPr>
        <w:adjustRightInd w:val="0"/>
        <w:snapToGrid w:val="0"/>
        <w:spacing w:after="0" w:line="360" w:lineRule="auto"/>
        <w:jc w:val="both"/>
        <w:rPr>
          <w:rFonts w:ascii="Book Antiqua" w:hAnsi="Book Antiqua"/>
          <w:color w:val="000000" w:themeColor="text1"/>
          <w:sz w:val="24"/>
          <w:szCs w:val="24"/>
        </w:rPr>
      </w:pPr>
      <w:r w:rsidRPr="00981DC5">
        <w:rPr>
          <w:rFonts w:ascii="Book Antiqua" w:hAnsi="Book Antiqua"/>
          <w:color w:val="000000" w:themeColor="text1"/>
          <w:sz w:val="24"/>
          <w:szCs w:val="24"/>
        </w:rPr>
        <w:t xml:space="preserve">11 </w:t>
      </w:r>
      <w:r w:rsidRPr="00981DC5">
        <w:rPr>
          <w:rFonts w:ascii="Book Antiqua" w:hAnsi="Book Antiqua"/>
          <w:b/>
          <w:color w:val="000000" w:themeColor="text1"/>
          <w:sz w:val="24"/>
          <w:szCs w:val="24"/>
        </w:rPr>
        <w:t>Perkhofer L</w:t>
      </w:r>
      <w:r w:rsidRPr="00981DC5">
        <w:rPr>
          <w:rFonts w:ascii="Book Antiqua" w:hAnsi="Book Antiqua"/>
          <w:color w:val="000000" w:themeColor="text1"/>
          <w:sz w:val="24"/>
          <w:szCs w:val="24"/>
        </w:rPr>
        <w:t xml:space="preserve">, Frappart PO, Müller M, Kleger A. Importance of organoids for personalized medicine. </w:t>
      </w:r>
      <w:r w:rsidRPr="00981DC5">
        <w:rPr>
          <w:rFonts w:ascii="Book Antiqua" w:hAnsi="Book Antiqua"/>
          <w:i/>
          <w:color w:val="000000" w:themeColor="text1"/>
          <w:sz w:val="24"/>
          <w:szCs w:val="24"/>
        </w:rPr>
        <w:t>Per Med</w:t>
      </w:r>
      <w:r w:rsidRPr="00981DC5">
        <w:rPr>
          <w:rFonts w:ascii="Book Antiqua" w:hAnsi="Book Antiqua"/>
          <w:color w:val="000000" w:themeColor="text1"/>
          <w:sz w:val="24"/>
          <w:szCs w:val="24"/>
        </w:rPr>
        <w:t xml:space="preserve"> 2018; </w:t>
      </w:r>
      <w:r w:rsidRPr="00981DC5">
        <w:rPr>
          <w:rFonts w:ascii="Book Antiqua" w:hAnsi="Book Antiqua"/>
          <w:b/>
          <w:color w:val="000000" w:themeColor="text1"/>
          <w:sz w:val="24"/>
          <w:szCs w:val="24"/>
        </w:rPr>
        <w:t>15</w:t>
      </w:r>
      <w:r w:rsidRPr="00981DC5">
        <w:rPr>
          <w:rFonts w:ascii="Book Antiqua" w:hAnsi="Book Antiqua"/>
          <w:color w:val="000000" w:themeColor="text1"/>
          <w:sz w:val="24"/>
          <w:szCs w:val="24"/>
        </w:rPr>
        <w:t>: 461-465 [PMID: 30418092 DOI: 10.2217/pme-2018-0071]</w:t>
      </w:r>
    </w:p>
    <w:p w14:paraId="37D424C5" w14:textId="77777777" w:rsidR="00B11A05" w:rsidRPr="00981DC5" w:rsidRDefault="00B11A05" w:rsidP="00B11A05">
      <w:pPr>
        <w:adjustRightInd w:val="0"/>
        <w:snapToGrid w:val="0"/>
        <w:spacing w:after="0" w:line="360" w:lineRule="auto"/>
        <w:jc w:val="both"/>
        <w:rPr>
          <w:rFonts w:ascii="Book Antiqua" w:hAnsi="Book Antiqua"/>
          <w:color w:val="000000" w:themeColor="text1"/>
          <w:sz w:val="24"/>
          <w:szCs w:val="24"/>
        </w:rPr>
      </w:pPr>
      <w:r w:rsidRPr="00981DC5">
        <w:rPr>
          <w:rFonts w:ascii="Book Antiqua" w:hAnsi="Book Antiqua"/>
          <w:color w:val="000000" w:themeColor="text1"/>
          <w:sz w:val="24"/>
          <w:szCs w:val="24"/>
        </w:rPr>
        <w:t xml:space="preserve">12 </w:t>
      </w:r>
      <w:r w:rsidRPr="00981DC5">
        <w:rPr>
          <w:rFonts w:ascii="Book Antiqua" w:hAnsi="Book Antiqua"/>
          <w:b/>
          <w:color w:val="000000" w:themeColor="text1"/>
          <w:sz w:val="24"/>
          <w:szCs w:val="24"/>
        </w:rPr>
        <w:t>Nakagawa H</w:t>
      </w:r>
      <w:r w:rsidRPr="00981DC5">
        <w:rPr>
          <w:rFonts w:ascii="Book Antiqua" w:hAnsi="Book Antiqua"/>
          <w:color w:val="000000" w:themeColor="text1"/>
          <w:sz w:val="24"/>
          <w:szCs w:val="24"/>
        </w:rPr>
        <w:t xml:space="preserve">, Fujita M. Whole genome sequencing analysis for cancer genomics and precision medicine. </w:t>
      </w:r>
      <w:r w:rsidRPr="00981DC5">
        <w:rPr>
          <w:rFonts w:ascii="Book Antiqua" w:hAnsi="Book Antiqua"/>
          <w:i/>
          <w:color w:val="000000" w:themeColor="text1"/>
          <w:sz w:val="24"/>
          <w:szCs w:val="24"/>
        </w:rPr>
        <w:t>Cancer Sci</w:t>
      </w:r>
      <w:r w:rsidRPr="00981DC5">
        <w:rPr>
          <w:rFonts w:ascii="Book Antiqua" w:hAnsi="Book Antiqua"/>
          <w:color w:val="000000" w:themeColor="text1"/>
          <w:sz w:val="24"/>
          <w:szCs w:val="24"/>
        </w:rPr>
        <w:t xml:space="preserve"> 2018; </w:t>
      </w:r>
      <w:r w:rsidRPr="00981DC5">
        <w:rPr>
          <w:rFonts w:ascii="Book Antiqua" w:hAnsi="Book Antiqua"/>
          <w:b/>
          <w:color w:val="000000" w:themeColor="text1"/>
          <w:sz w:val="24"/>
          <w:szCs w:val="24"/>
        </w:rPr>
        <w:t>109</w:t>
      </w:r>
      <w:r w:rsidRPr="00981DC5">
        <w:rPr>
          <w:rFonts w:ascii="Book Antiqua" w:hAnsi="Book Antiqua"/>
          <w:color w:val="000000" w:themeColor="text1"/>
          <w:sz w:val="24"/>
          <w:szCs w:val="24"/>
        </w:rPr>
        <w:t>: 513-522 [PMID: 29345757 DOI: 10.1111/cas.13505]</w:t>
      </w:r>
    </w:p>
    <w:p w14:paraId="60936D42" w14:textId="77777777" w:rsidR="00B11A05" w:rsidRPr="00981DC5" w:rsidRDefault="00B11A05" w:rsidP="00B11A05">
      <w:pPr>
        <w:adjustRightInd w:val="0"/>
        <w:snapToGrid w:val="0"/>
        <w:spacing w:after="0" w:line="360" w:lineRule="auto"/>
        <w:jc w:val="both"/>
        <w:rPr>
          <w:rFonts w:ascii="Book Antiqua" w:hAnsi="Book Antiqua"/>
          <w:color w:val="000000" w:themeColor="text1"/>
          <w:sz w:val="24"/>
          <w:szCs w:val="24"/>
        </w:rPr>
      </w:pPr>
      <w:r w:rsidRPr="00981DC5">
        <w:rPr>
          <w:rFonts w:ascii="Book Antiqua" w:hAnsi="Book Antiqua"/>
          <w:color w:val="000000" w:themeColor="text1"/>
          <w:sz w:val="24"/>
          <w:szCs w:val="24"/>
        </w:rPr>
        <w:t xml:space="preserve">13 </w:t>
      </w:r>
      <w:r w:rsidRPr="00981DC5">
        <w:rPr>
          <w:rFonts w:ascii="Book Antiqua" w:hAnsi="Book Antiqua"/>
          <w:b/>
          <w:color w:val="000000" w:themeColor="text1"/>
          <w:sz w:val="24"/>
          <w:szCs w:val="24"/>
        </w:rPr>
        <w:t>Prokop JW</w:t>
      </w:r>
      <w:r w:rsidRPr="00981DC5">
        <w:rPr>
          <w:rFonts w:ascii="Book Antiqua" w:hAnsi="Book Antiqua"/>
          <w:color w:val="000000" w:themeColor="text1"/>
          <w:sz w:val="24"/>
          <w:szCs w:val="24"/>
        </w:rPr>
        <w:t xml:space="preserve">, May T, Strong K, Bilinovich SM, Bupp C, Rajasekaran S, Worthey EA, Lazar J. Genome sequencing in the clinic: the past, present, and future of genomic medicine. </w:t>
      </w:r>
      <w:r w:rsidRPr="00981DC5">
        <w:rPr>
          <w:rFonts w:ascii="Book Antiqua" w:hAnsi="Book Antiqua"/>
          <w:i/>
          <w:color w:val="000000" w:themeColor="text1"/>
          <w:sz w:val="24"/>
          <w:szCs w:val="24"/>
        </w:rPr>
        <w:t>Physiol Genomics</w:t>
      </w:r>
      <w:r w:rsidRPr="00981DC5">
        <w:rPr>
          <w:rFonts w:ascii="Book Antiqua" w:hAnsi="Book Antiqua"/>
          <w:color w:val="000000" w:themeColor="text1"/>
          <w:sz w:val="24"/>
          <w:szCs w:val="24"/>
        </w:rPr>
        <w:t xml:space="preserve"> 2018; </w:t>
      </w:r>
      <w:r w:rsidRPr="00981DC5">
        <w:rPr>
          <w:rFonts w:ascii="Book Antiqua" w:hAnsi="Book Antiqua"/>
          <w:b/>
          <w:color w:val="000000" w:themeColor="text1"/>
          <w:sz w:val="24"/>
          <w:szCs w:val="24"/>
        </w:rPr>
        <w:t>50</w:t>
      </w:r>
      <w:r w:rsidRPr="00981DC5">
        <w:rPr>
          <w:rFonts w:ascii="Book Antiqua" w:hAnsi="Book Antiqua"/>
          <w:color w:val="000000" w:themeColor="text1"/>
          <w:sz w:val="24"/>
          <w:szCs w:val="24"/>
        </w:rPr>
        <w:t>: 563-579 [PMID: 29727589 DOI: 10.1152/physiolgenomics.00046.2018]</w:t>
      </w:r>
    </w:p>
    <w:p w14:paraId="12D37910" w14:textId="77777777" w:rsidR="00B11A05" w:rsidRPr="00981DC5" w:rsidRDefault="00B11A05" w:rsidP="00B11A05">
      <w:pPr>
        <w:adjustRightInd w:val="0"/>
        <w:snapToGrid w:val="0"/>
        <w:spacing w:after="0" w:line="360" w:lineRule="auto"/>
        <w:jc w:val="both"/>
        <w:rPr>
          <w:rFonts w:ascii="Book Antiqua" w:hAnsi="Book Antiqua"/>
          <w:color w:val="000000" w:themeColor="text1"/>
          <w:sz w:val="24"/>
          <w:szCs w:val="24"/>
        </w:rPr>
      </w:pPr>
      <w:r w:rsidRPr="00981DC5">
        <w:rPr>
          <w:rFonts w:ascii="Book Antiqua" w:hAnsi="Book Antiqua"/>
          <w:color w:val="000000" w:themeColor="text1"/>
          <w:sz w:val="24"/>
          <w:szCs w:val="24"/>
        </w:rPr>
        <w:t xml:space="preserve">14 </w:t>
      </w:r>
      <w:r w:rsidRPr="00981DC5">
        <w:rPr>
          <w:rFonts w:ascii="Book Antiqua" w:hAnsi="Book Antiqua"/>
          <w:b/>
          <w:color w:val="000000" w:themeColor="text1"/>
          <w:sz w:val="24"/>
          <w:szCs w:val="24"/>
        </w:rPr>
        <w:t>Konantz M</w:t>
      </w:r>
      <w:r w:rsidRPr="00981DC5">
        <w:rPr>
          <w:rFonts w:ascii="Book Antiqua" w:hAnsi="Book Antiqua"/>
          <w:color w:val="000000" w:themeColor="text1"/>
          <w:sz w:val="24"/>
          <w:szCs w:val="24"/>
        </w:rPr>
        <w:t xml:space="preserve">, Balci TB, Hartwig UF, Dellaire G, André MC, Berman JN, Lengerke C. Zebrafish xenografts as a tool for in vivo studies on human cancer. </w:t>
      </w:r>
      <w:r w:rsidRPr="00981DC5">
        <w:rPr>
          <w:rFonts w:ascii="Book Antiqua" w:hAnsi="Book Antiqua"/>
          <w:i/>
          <w:color w:val="000000" w:themeColor="text1"/>
          <w:sz w:val="24"/>
          <w:szCs w:val="24"/>
        </w:rPr>
        <w:t>Ann N Y Acad Sci</w:t>
      </w:r>
      <w:r w:rsidRPr="00981DC5">
        <w:rPr>
          <w:rFonts w:ascii="Book Antiqua" w:hAnsi="Book Antiqua"/>
          <w:color w:val="000000" w:themeColor="text1"/>
          <w:sz w:val="24"/>
          <w:szCs w:val="24"/>
        </w:rPr>
        <w:t xml:space="preserve"> 2012; </w:t>
      </w:r>
      <w:r w:rsidRPr="00981DC5">
        <w:rPr>
          <w:rFonts w:ascii="Book Antiqua" w:hAnsi="Book Antiqua"/>
          <w:b/>
          <w:color w:val="000000" w:themeColor="text1"/>
          <w:sz w:val="24"/>
          <w:szCs w:val="24"/>
        </w:rPr>
        <w:t>1266</w:t>
      </w:r>
      <w:r w:rsidRPr="00981DC5">
        <w:rPr>
          <w:rFonts w:ascii="Book Antiqua" w:hAnsi="Book Antiqua"/>
          <w:color w:val="000000" w:themeColor="text1"/>
          <w:sz w:val="24"/>
          <w:szCs w:val="24"/>
        </w:rPr>
        <w:t>: 124-137 [PMID: 22901264 DOI: 10.1111/j.1749-6632.2012.06575.x]</w:t>
      </w:r>
    </w:p>
    <w:p w14:paraId="55D8067F" w14:textId="77777777" w:rsidR="00B11A05" w:rsidRPr="00981DC5" w:rsidRDefault="00B11A05" w:rsidP="00B11A05">
      <w:pPr>
        <w:adjustRightInd w:val="0"/>
        <w:snapToGrid w:val="0"/>
        <w:spacing w:after="0" w:line="360" w:lineRule="auto"/>
        <w:jc w:val="both"/>
        <w:rPr>
          <w:rFonts w:ascii="Book Antiqua" w:hAnsi="Book Antiqua"/>
          <w:color w:val="000000" w:themeColor="text1"/>
          <w:sz w:val="24"/>
          <w:szCs w:val="24"/>
        </w:rPr>
      </w:pPr>
      <w:r w:rsidRPr="00981DC5">
        <w:rPr>
          <w:rFonts w:ascii="Book Antiqua" w:hAnsi="Book Antiqua"/>
          <w:color w:val="000000" w:themeColor="text1"/>
          <w:sz w:val="24"/>
          <w:szCs w:val="24"/>
        </w:rPr>
        <w:t xml:space="preserve">15 </w:t>
      </w:r>
      <w:r w:rsidRPr="00981DC5">
        <w:rPr>
          <w:rFonts w:ascii="Book Antiqua" w:hAnsi="Book Antiqua"/>
          <w:b/>
          <w:color w:val="000000" w:themeColor="text1"/>
          <w:sz w:val="24"/>
          <w:szCs w:val="24"/>
        </w:rPr>
        <w:t>Marques IJ</w:t>
      </w:r>
      <w:r w:rsidRPr="00981DC5">
        <w:rPr>
          <w:rFonts w:ascii="Book Antiqua" w:hAnsi="Book Antiqua"/>
          <w:color w:val="000000" w:themeColor="text1"/>
          <w:sz w:val="24"/>
          <w:szCs w:val="24"/>
        </w:rPr>
        <w:t xml:space="preserve">, Weiss FU, Vlecken DH, Nitsche C, Bakkers J, Lagendijk AK, Partecke LI, Heidecke CD, Lerch MM, Bagowski CP. Metastatic behaviour of primary human tumours </w:t>
      </w:r>
      <w:r w:rsidRPr="00981DC5">
        <w:rPr>
          <w:rFonts w:ascii="Book Antiqua" w:hAnsi="Book Antiqua"/>
          <w:color w:val="000000" w:themeColor="text1"/>
          <w:sz w:val="24"/>
          <w:szCs w:val="24"/>
        </w:rPr>
        <w:lastRenderedPageBreak/>
        <w:t xml:space="preserve">in a zebrafish xenotransplantation model. </w:t>
      </w:r>
      <w:r w:rsidRPr="00981DC5">
        <w:rPr>
          <w:rFonts w:ascii="Book Antiqua" w:hAnsi="Book Antiqua"/>
          <w:i/>
          <w:color w:val="000000" w:themeColor="text1"/>
          <w:sz w:val="24"/>
          <w:szCs w:val="24"/>
        </w:rPr>
        <w:t>BMC Cancer</w:t>
      </w:r>
      <w:r w:rsidRPr="00981DC5">
        <w:rPr>
          <w:rFonts w:ascii="Book Antiqua" w:hAnsi="Book Antiqua"/>
          <w:color w:val="000000" w:themeColor="text1"/>
          <w:sz w:val="24"/>
          <w:szCs w:val="24"/>
        </w:rPr>
        <w:t xml:space="preserve"> 2009; </w:t>
      </w:r>
      <w:r w:rsidRPr="00981DC5">
        <w:rPr>
          <w:rFonts w:ascii="Book Antiqua" w:hAnsi="Book Antiqua"/>
          <w:b/>
          <w:color w:val="000000" w:themeColor="text1"/>
          <w:sz w:val="24"/>
          <w:szCs w:val="24"/>
        </w:rPr>
        <w:t>9</w:t>
      </w:r>
      <w:r w:rsidRPr="00981DC5">
        <w:rPr>
          <w:rFonts w:ascii="Book Antiqua" w:hAnsi="Book Antiqua"/>
          <w:color w:val="000000" w:themeColor="text1"/>
          <w:sz w:val="24"/>
          <w:szCs w:val="24"/>
        </w:rPr>
        <w:t>: 128 [PMID: 19400945 DOI: 10.1186/1471-2407-9-128]</w:t>
      </w:r>
    </w:p>
    <w:p w14:paraId="5B7E0C01" w14:textId="77777777" w:rsidR="00B11A05" w:rsidRPr="00981DC5" w:rsidRDefault="00B11A05" w:rsidP="00B11A05">
      <w:pPr>
        <w:adjustRightInd w:val="0"/>
        <w:snapToGrid w:val="0"/>
        <w:spacing w:after="0" w:line="360" w:lineRule="auto"/>
        <w:jc w:val="both"/>
        <w:rPr>
          <w:rFonts w:ascii="Book Antiqua" w:hAnsi="Book Antiqua"/>
          <w:color w:val="000000" w:themeColor="text1"/>
          <w:sz w:val="24"/>
          <w:szCs w:val="24"/>
        </w:rPr>
      </w:pPr>
      <w:r w:rsidRPr="00981DC5">
        <w:rPr>
          <w:rFonts w:ascii="Book Antiqua" w:hAnsi="Book Antiqua"/>
          <w:color w:val="000000" w:themeColor="text1"/>
          <w:sz w:val="24"/>
          <w:szCs w:val="24"/>
        </w:rPr>
        <w:t xml:space="preserve">16 </w:t>
      </w:r>
      <w:r w:rsidRPr="00981DC5">
        <w:rPr>
          <w:rFonts w:ascii="Book Antiqua" w:hAnsi="Book Antiqua"/>
          <w:b/>
          <w:color w:val="000000" w:themeColor="text1"/>
          <w:sz w:val="24"/>
          <w:szCs w:val="24"/>
        </w:rPr>
        <w:t>Weiss FU</w:t>
      </w:r>
      <w:r w:rsidRPr="00981DC5">
        <w:rPr>
          <w:rFonts w:ascii="Book Antiqua" w:hAnsi="Book Antiqua"/>
          <w:color w:val="000000" w:themeColor="text1"/>
          <w:sz w:val="24"/>
          <w:szCs w:val="24"/>
        </w:rPr>
        <w:t xml:space="preserve">, Marques IJ, Woltering JM, Vlecken DH, Aghdassi A, Partecke LI, Heidecke CD, Lerch MM, Bagowski CP. Retinoic acid receptor antagonists inhibit miR-10a expression and block metastatic behavior of pancreatic cancer. </w:t>
      </w:r>
      <w:r w:rsidRPr="00981DC5">
        <w:rPr>
          <w:rFonts w:ascii="Book Antiqua" w:hAnsi="Book Antiqua"/>
          <w:i/>
          <w:color w:val="000000" w:themeColor="text1"/>
          <w:sz w:val="24"/>
          <w:szCs w:val="24"/>
        </w:rPr>
        <w:t>Gastroenterology</w:t>
      </w:r>
      <w:r w:rsidRPr="00981DC5">
        <w:rPr>
          <w:rFonts w:ascii="Book Antiqua" w:hAnsi="Book Antiqua"/>
          <w:color w:val="000000" w:themeColor="text1"/>
          <w:sz w:val="24"/>
          <w:szCs w:val="24"/>
        </w:rPr>
        <w:t xml:space="preserve"> 2009; </w:t>
      </w:r>
      <w:r w:rsidRPr="00981DC5">
        <w:rPr>
          <w:rFonts w:ascii="Book Antiqua" w:hAnsi="Book Antiqua"/>
          <w:b/>
          <w:color w:val="000000" w:themeColor="text1"/>
          <w:sz w:val="24"/>
          <w:szCs w:val="24"/>
        </w:rPr>
        <w:t>137</w:t>
      </w:r>
      <w:r w:rsidRPr="00981DC5">
        <w:rPr>
          <w:rFonts w:ascii="Book Antiqua" w:hAnsi="Book Antiqua"/>
          <w:color w:val="000000" w:themeColor="text1"/>
          <w:sz w:val="24"/>
          <w:szCs w:val="24"/>
        </w:rPr>
        <w:t>: 2136-45.e1-7 [PMID: 19747919 DOI: 10.1053/j.gastro.2009.08.065]</w:t>
      </w:r>
    </w:p>
    <w:p w14:paraId="0D9F625A" w14:textId="77777777" w:rsidR="00B11A05" w:rsidRPr="00981DC5" w:rsidRDefault="00B11A05" w:rsidP="00B11A05">
      <w:pPr>
        <w:adjustRightInd w:val="0"/>
        <w:snapToGrid w:val="0"/>
        <w:spacing w:after="0" w:line="360" w:lineRule="auto"/>
        <w:jc w:val="both"/>
        <w:rPr>
          <w:rFonts w:ascii="Book Antiqua" w:hAnsi="Book Antiqua"/>
          <w:color w:val="000000" w:themeColor="text1"/>
          <w:sz w:val="24"/>
          <w:szCs w:val="24"/>
        </w:rPr>
      </w:pPr>
      <w:r w:rsidRPr="00981DC5">
        <w:rPr>
          <w:rFonts w:ascii="Book Antiqua" w:hAnsi="Book Antiqua"/>
          <w:color w:val="000000" w:themeColor="text1"/>
          <w:sz w:val="24"/>
          <w:szCs w:val="24"/>
        </w:rPr>
        <w:t xml:space="preserve">17 </w:t>
      </w:r>
      <w:r w:rsidRPr="00981DC5">
        <w:rPr>
          <w:rFonts w:ascii="Book Antiqua" w:hAnsi="Book Antiqua"/>
          <w:b/>
          <w:color w:val="000000" w:themeColor="text1"/>
          <w:sz w:val="24"/>
          <w:szCs w:val="24"/>
        </w:rPr>
        <w:t>Guo M</w:t>
      </w:r>
      <w:r w:rsidRPr="00981DC5">
        <w:rPr>
          <w:rFonts w:ascii="Book Antiqua" w:hAnsi="Book Antiqua"/>
          <w:color w:val="000000" w:themeColor="text1"/>
          <w:sz w:val="24"/>
          <w:szCs w:val="24"/>
        </w:rPr>
        <w:t xml:space="preserve">, Wei H, Hu J, Sun S, Long J, Wang X. U0126 inhibits pancreatic cancer progression via the KRAS signaling pathway in a zebrafish xenotransplantation model. </w:t>
      </w:r>
      <w:r w:rsidRPr="00981DC5">
        <w:rPr>
          <w:rFonts w:ascii="Book Antiqua" w:hAnsi="Book Antiqua"/>
          <w:i/>
          <w:color w:val="000000" w:themeColor="text1"/>
          <w:sz w:val="24"/>
          <w:szCs w:val="24"/>
        </w:rPr>
        <w:t>Oncol Rep</w:t>
      </w:r>
      <w:r w:rsidRPr="00981DC5">
        <w:rPr>
          <w:rFonts w:ascii="Book Antiqua" w:hAnsi="Book Antiqua"/>
          <w:color w:val="000000" w:themeColor="text1"/>
          <w:sz w:val="24"/>
          <w:szCs w:val="24"/>
        </w:rPr>
        <w:t xml:space="preserve"> 2015; </w:t>
      </w:r>
      <w:r w:rsidRPr="00981DC5">
        <w:rPr>
          <w:rFonts w:ascii="Book Antiqua" w:hAnsi="Book Antiqua"/>
          <w:b/>
          <w:color w:val="000000" w:themeColor="text1"/>
          <w:sz w:val="24"/>
          <w:szCs w:val="24"/>
        </w:rPr>
        <w:t>34</w:t>
      </w:r>
      <w:r w:rsidRPr="00981DC5">
        <w:rPr>
          <w:rFonts w:ascii="Book Antiqua" w:hAnsi="Book Antiqua"/>
          <w:color w:val="000000" w:themeColor="text1"/>
          <w:sz w:val="24"/>
          <w:szCs w:val="24"/>
        </w:rPr>
        <w:t>: 699-706 [PMID: 26035715 DOI: 10.3892/or.2015.4019]</w:t>
      </w:r>
    </w:p>
    <w:p w14:paraId="368CBDF5" w14:textId="286E720C" w:rsidR="00B11A05" w:rsidRPr="00981DC5" w:rsidRDefault="00B11A05" w:rsidP="00B11A05">
      <w:pPr>
        <w:adjustRightInd w:val="0"/>
        <w:snapToGrid w:val="0"/>
        <w:spacing w:after="0" w:line="360" w:lineRule="auto"/>
        <w:jc w:val="both"/>
        <w:rPr>
          <w:rFonts w:ascii="Book Antiqua" w:hAnsi="Book Antiqua"/>
          <w:color w:val="000000" w:themeColor="text1"/>
          <w:sz w:val="24"/>
          <w:szCs w:val="24"/>
        </w:rPr>
      </w:pPr>
      <w:r w:rsidRPr="00981DC5">
        <w:rPr>
          <w:rFonts w:ascii="Book Antiqua" w:hAnsi="Book Antiqua"/>
          <w:color w:val="000000" w:themeColor="text1"/>
          <w:sz w:val="24"/>
          <w:szCs w:val="24"/>
        </w:rPr>
        <w:t xml:space="preserve">18 </w:t>
      </w:r>
      <w:r w:rsidRPr="00981DC5">
        <w:rPr>
          <w:rFonts w:ascii="Book Antiqua" w:hAnsi="Book Antiqua"/>
          <w:b/>
          <w:color w:val="000000" w:themeColor="text1"/>
          <w:sz w:val="24"/>
          <w:szCs w:val="24"/>
        </w:rPr>
        <w:t>Amin MB,</w:t>
      </w:r>
      <w:r w:rsidRPr="00981DC5">
        <w:rPr>
          <w:rFonts w:ascii="Book Antiqua" w:hAnsi="Book Antiqua"/>
          <w:color w:val="000000" w:themeColor="text1"/>
          <w:sz w:val="24"/>
          <w:szCs w:val="24"/>
        </w:rPr>
        <w:t xml:space="preserve"> Edge SB, American Joint Committee on Cancer. AJCC cancer staging manual. 8th ed. New York: Springer</w:t>
      </w:r>
      <w:r w:rsidR="00EB33B3" w:rsidRPr="00981DC5">
        <w:rPr>
          <w:rFonts w:ascii="Book Antiqua" w:hAnsi="Book Antiqua"/>
          <w:color w:val="000000" w:themeColor="text1"/>
          <w:sz w:val="24"/>
          <w:szCs w:val="24"/>
        </w:rPr>
        <w:t>,</w:t>
      </w:r>
      <w:r w:rsidRPr="00981DC5">
        <w:rPr>
          <w:rFonts w:ascii="Book Antiqua" w:hAnsi="Book Antiqua"/>
          <w:color w:val="000000" w:themeColor="text1"/>
          <w:sz w:val="24"/>
          <w:szCs w:val="24"/>
        </w:rPr>
        <w:t xml:space="preserve"> 2017</w:t>
      </w:r>
    </w:p>
    <w:p w14:paraId="506040BC" w14:textId="77777777" w:rsidR="00B11A05" w:rsidRPr="00981DC5" w:rsidRDefault="00B11A05" w:rsidP="00B11A05">
      <w:pPr>
        <w:adjustRightInd w:val="0"/>
        <w:snapToGrid w:val="0"/>
        <w:spacing w:after="0" w:line="360" w:lineRule="auto"/>
        <w:jc w:val="both"/>
        <w:rPr>
          <w:rFonts w:ascii="Book Antiqua" w:hAnsi="Book Antiqua"/>
          <w:color w:val="000000" w:themeColor="text1"/>
          <w:sz w:val="24"/>
          <w:szCs w:val="24"/>
        </w:rPr>
      </w:pPr>
      <w:r w:rsidRPr="00981DC5">
        <w:rPr>
          <w:rFonts w:ascii="Book Antiqua" w:hAnsi="Book Antiqua"/>
          <w:color w:val="000000" w:themeColor="text1"/>
          <w:sz w:val="24"/>
          <w:szCs w:val="24"/>
        </w:rPr>
        <w:t xml:space="preserve">19 </w:t>
      </w:r>
      <w:r w:rsidRPr="00981DC5">
        <w:rPr>
          <w:rFonts w:ascii="Book Antiqua" w:hAnsi="Book Antiqua"/>
          <w:b/>
          <w:color w:val="000000" w:themeColor="text1"/>
          <w:sz w:val="24"/>
          <w:szCs w:val="24"/>
        </w:rPr>
        <w:t>Kimmel CB</w:t>
      </w:r>
      <w:r w:rsidRPr="00981DC5">
        <w:rPr>
          <w:rFonts w:ascii="Book Antiqua" w:hAnsi="Book Antiqua"/>
          <w:color w:val="000000" w:themeColor="text1"/>
          <w:sz w:val="24"/>
          <w:szCs w:val="24"/>
        </w:rPr>
        <w:t xml:space="preserve">, Ballard WW, Kimmel SR, Ullmann B, Schilling TF. Stages of embryonic development of the zebrafish. </w:t>
      </w:r>
      <w:r w:rsidRPr="00981DC5">
        <w:rPr>
          <w:rFonts w:ascii="Book Antiqua" w:hAnsi="Book Antiqua"/>
          <w:i/>
          <w:color w:val="000000" w:themeColor="text1"/>
          <w:sz w:val="24"/>
          <w:szCs w:val="24"/>
        </w:rPr>
        <w:t>Dev Dyn</w:t>
      </w:r>
      <w:r w:rsidRPr="00981DC5">
        <w:rPr>
          <w:rFonts w:ascii="Book Antiqua" w:hAnsi="Book Antiqua"/>
          <w:color w:val="000000" w:themeColor="text1"/>
          <w:sz w:val="24"/>
          <w:szCs w:val="24"/>
        </w:rPr>
        <w:t xml:space="preserve"> 1995; </w:t>
      </w:r>
      <w:r w:rsidRPr="00981DC5">
        <w:rPr>
          <w:rFonts w:ascii="Book Antiqua" w:hAnsi="Book Antiqua"/>
          <w:b/>
          <w:color w:val="000000" w:themeColor="text1"/>
          <w:sz w:val="24"/>
          <w:szCs w:val="24"/>
        </w:rPr>
        <w:t>203</w:t>
      </w:r>
      <w:r w:rsidRPr="00981DC5">
        <w:rPr>
          <w:rFonts w:ascii="Book Antiqua" w:hAnsi="Book Antiqua"/>
          <w:color w:val="000000" w:themeColor="text1"/>
          <w:sz w:val="24"/>
          <w:szCs w:val="24"/>
        </w:rPr>
        <w:t>: 253-310 [PMID: 8589427 DOI: 10.1002/aja.1002030302]</w:t>
      </w:r>
    </w:p>
    <w:p w14:paraId="17A0593F" w14:textId="72738BA1" w:rsidR="00B11A05" w:rsidRPr="00981DC5" w:rsidRDefault="00B11A05" w:rsidP="00B11A05">
      <w:pPr>
        <w:adjustRightInd w:val="0"/>
        <w:snapToGrid w:val="0"/>
        <w:spacing w:after="0" w:line="360" w:lineRule="auto"/>
        <w:jc w:val="both"/>
        <w:rPr>
          <w:rFonts w:ascii="Book Antiqua" w:hAnsi="Book Antiqua"/>
          <w:color w:val="000000" w:themeColor="text1"/>
          <w:sz w:val="24"/>
          <w:szCs w:val="24"/>
        </w:rPr>
      </w:pPr>
      <w:r w:rsidRPr="00981DC5">
        <w:rPr>
          <w:rFonts w:ascii="Book Antiqua" w:hAnsi="Book Antiqua"/>
          <w:color w:val="000000" w:themeColor="text1"/>
          <w:sz w:val="24"/>
          <w:szCs w:val="24"/>
        </w:rPr>
        <w:t xml:space="preserve">20 </w:t>
      </w:r>
      <w:r w:rsidRPr="00981DC5">
        <w:rPr>
          <w:rFonts w:ascii="Book Antiqua" w:hAnsi="Book Antiqua"/>
          <w:b/>
          <w:color w:val="000000" w:themeColor="text1"/>
          <w:sz w:val="24"/>
          <w:szCs w:val="24"/>
        </w:rPr>
        <w:t>Usai A</w:t>
      </w:r>
      <w:r w:rsidRPr="00981DC5">
        <w:rPr>
          <w:rFonts w:ascii="Book Antiqua" w:hAnsi="Book Antiqua"/>
          <w:color w:val="000000" w:themeColor="text1"/>
          <w:sz w:val="24"/>
          <w:szCs w:val="24"/>
        </w:rPr>
        <w:t xml:space="preserve">, Di Franco G, Colucci P, Pollina LE, Vasile E, Funel N, Palmeri M, Dente L, Falcone A, Morelli L, Raffa V. A Model of a Zebrafish Avatar for Co-Clinical Trials. </w:t>
      </w:r>
      <w:r w:rsidRPr="00981DC5">
        <w:rPr>
          <w:rFonts w:ascii="Book Antiqua" w:hAnsi="Book Antiqua"/>
          <w:i/>
          <w:color w:val="000000" w:themeColor="text1"/>
          <w:sz w:val="24"/>
          <w:szCs w:val="24"/>
        </w:rPr>
        <w:t>Cancers (Basel)</w:t>
      </w:r>
      <w:r w:rsidRPr="00981DC5">
        <w:rPr>
          <w:rFonts w:ascii="Book Antiqua" w:hAnsi="Book Antiqua"/>
          <w:color w:val="000000" w:themeColor="text1"/>
          <w:sz w:val="24"/>
          <w:szCs w:val="24"/>
        </w:rPr>
        <w:t xml:space="preserve"> 2020; </w:t>
      </w:r>
      <w:r w:rsidRPr="00981DC5">
        <w:rPr>
          <w:rFonts w:ascii="Book Antiqua" w:hAnsi="Book Antiqua"/>
          <w:b/>
          <w:color w:val="000000" w:themeColor="text1"/>
          <w:sz w:val="24"/>
          <w:szCs w:val="24"/>
        </w:rPr>
        <w:t>12</w:t>
      </w:r>
      <w:r w:rsidRPr="00981DC5">
        <w:rPr>
          <w:rFonts w:ascii="Book Antiqua" w:hAnsi="Book Antiqua"/>
          <w:color w:val="000000" w:themeColor="text1"/>
          <w:sz w:val="24"/>
          <w:szCs w:val="24"/>
        </w:rPr>
        <w:t xml:space="preserve"> [PMID: 32183229 DOI: 10.3390/cancers12030677]</w:t>
      </w:r>
    </w:p>
    <w:p w14:paraId="7D8C7D68" w14:textId="77777777" w:rsidR="00B11A05" w:rsidRPr="00981DC5" w:rsidRDefault="00B11A05" w:rsidP="00B11A05">
      <w:pPr>
        <w:adjustRightInd w:val="0"/>
        <w:snapToGrid w:val="0"/>
        <w:spacing w:after="0" w:line="360" w:lineRule="auto"/>
        <w:jc w:val="both"/>
        <w:rPr>
          <w:rFonts w:ascii="Book Antiqua" w:hAnsi="Book Antiqua"/>
          <w:color w:val="000000" w:themeColor="text1"/>
          <w:sz w:val="24"/>
          <w:szCs w:val="24"/>
        </w:rPr>
      </w:pPr>
      <w:r w:rsidRPr="00981DC5">
        <w:rPr>
          <w:rFonts w:ascii="Book Antiqua" w:hAnsi="Book Antiqua"/>
          <w:color w:val="000000" w:themeColor="text1"/>
          <w:sz w:val="24"/>
          <w:szCs w:val="24"/>
        </w:rPr>
        <w:t xml:space="preserve">21 </w:t>
      </w:r>
      <w:r w:rsidRPr="00981DC5">
        <w:rPr>
          <w:rFonts w:ascii="Book Antiqua" w:hAnsi="Book Antiqua"/>
          <w:b/>
          <w:color w:val="000000" w:themeColor="text1"/>
          <w:sz w:val="24"/>
          <w:szCs w:val="24"/>
        </w:rPr>
        <w:t>Watanabe H</w:t>
      </w:r>
      <w:r w:rsidRPr="00981DC5">
        <w:rPr>
          <w:rFonts w:ascii="Book Antiqua" w:hAnsi="Book Antiqua"/>
          <w:color w:val="000000" w:themeColor="text1"/>
          <w:sz w:val="24"/>
          <w:szCs w:val="24"/>
        </w:rPr>
        <w:t xml:space="preserve">, Okada M, Kaji Y, Satouchi M, Sato Y, Yamabe Y, Onaya H, Endo M, Sone M, Arai Y. [New response evaluation criteria in solid tumours-revised RECIST guideline (version 1.1)]. </w:t>
      </w:r>
      <w:r w:rsidRPr="00981DC5">
        <w:rPr>
          <w:rFonts w:ascii="Book Antiqua" w:hAnsi="Book Antiqua"/>
          <w:i/>
          <w:color w:val="000000" w:themeColor="text1"/>
          <w:sz w:val="24"/>
          <w:szCs w:val="24"/>
        </w:rPr>
        <w:t>Gan To Kagaku Ryoho</w:t>
      </w:r>
      <w:r w:rsidRPr="00981DC5">
        <w:rPr>
          <w:rFonts w:ascii="Book Antiqua" w:hAnsi="Book Antiqua"/>
          <w:color w:val="000000" w:themeColor="text1"/>
          <w:sz w:val="24"/>
          <w:szCs w:val="24"/>
        </w:rPr>
        <w:t xml:space="preserve"> 2009; </w:t>
      </w:r>
      <w:r w:rsidRPr="00981DC5">
        <w:rPr>
          <w:rFonts w:ascii="Book Antiqua" w:hAnsi="Book Antiqua"/>
          <w:b/>
          <w:color w:val="000000" w:themeColor="text1"/>
          <w:sz w:val="24"/>
          <w:szCs w:val="24"/>
        </w:rPr>
        <w:t>36</w:t>
      </w:r>
      <w:r w:rsidRPr="00981DC5">
        <w:rPr>
          <w:rFonts w:ascii="Book Antiqua" w:hAnsi="Book Antiqua"/>
          <w:color w:val="000000" w:themeColor="text1"/>
          <w:sz w:val="24"/>
          <w:szCs w:val="24"/>
        </w:rPr>
        <w:t>: 2495-2501 [PMID: 20009446 DOI: 10.1016/j.ejca.2008.10.026]</w:t>
      </w:r>
    </w:p>
    <w:p w14:paraId="11B3EF7A" w14:textId="77777777" w:rsidR="00B11A05" w:rsidRPr="00981DC5" w:rsidRDefault="00B11A05" w:rsidP="00B11A05">
      <w:pPr>
        <w:adjustRightInd w:val="0"/>
        <w:snapToGrid w:val="0"/>
        <w:spacing w:after="0" w:line="360" w:lineRule="auto"/>
        <w:jc w:val="both"/>
        <w:rPr>
          <w:rFonts w:ascii="Book Antiqua" w:hAnsi="Book Antiqua"/>
          <w:color w:val="000000" w:themeColor="text1"/>
          <w:sz w:val="24"/>
          <w:szCs w:val="24"/>
        </w:rPr>
      </w:pPr>
      <w:r w:rsidRPr="00981DC5">
        <w:rPr>
          <w:rFonts w:ascii="Book Antiqua" w:hAnsi="Book Antiqua"/>
          <w:color w:val="000000" w:themeColor="text1"/>
          <w:sz w:val="24"/>
          <w:szCs w:val="24"/>
        </w:rPr>
        <w:t xml:space="preserve">22 </w:t>
      </w:r>
      <w:r w:rsidRPr="00981DC5">
        <w:rPr>
          <w:rFonts w:ascii="Book Antiqua" w:hAnsi="Book Antiqua"/>
          <w:b/>
          <w:color w:val="000000" w:themeColor="text1"/>
          <w:sz w:val="24"/>
          <w:szCs w:val="24"/>
        </w:rPr>
        <w:t>Gaudenzi G</w:t>
      </w:r>
      <w:r w:rsidRPr="00981DC5">
        <w:rPr>
          <w:rFonts w:ascii="Book Antiqua" w:hAnsi="Book Antiqua"/>
          <w:color w:val="000000" w:themeColor="text1"/>
          <w:sz w:val="24"/>
          <w:szCs w:val="24"/>
        </w:rPr>
        <w:t xml:space="preserve">, Albertelli M, Dicitore A, Würth R, Gatto F, Barbieri F, Cotelli F, Florio T, Ferone D, Persani L, Vitale G. Patient-derived xenograft in zebrafish embryos: a new platform for translational research in neuroendocrine tumors. </w:t>
      </w:r>
      <w:r w:rsidRPr="00981DC5">
        <w:rPr>
          <w:rFonts w:ascii="Book Antiqua" w:hAnsi="Book Antiqua"/>
          <w:i/>
          <w:color w:val="000000" w:themeColor="text1"/>
          <w:sz w:val="24"/>
          <w:szCs w:val="24"/>
        </w:rPr>
        <w:t>Endocrine</w:t>
      </w:r>
      <w:r w:rsidRPr="00981DC5">
        <w:rPr>
          <w:rFonts w:ascii="Book Antiqua" w:hAnsi="Book Antiqua"/>
          <w:color w:val="000000" w:themeColor="text1"/>
          <w:sz w:val="24"/>
          <w:szCs w:val="24"/>
        </w:rPr>
        <w:t xml:space="preserve"> 2017; </w:t>
      </w:r>
      <w:r w:rsidRPr="00981DC5">
        <w:rPr>
          <w:rFonts w:ascii="Book Antiqua" w:hAnsi="Book Antiqua"/>
          <w:b/>
          <w:color w:val="000000" w:themeColor="text1"/>
          <w:sz w:val="24"/>
          <w:szCs w:val="24"/>
        </w:rPr>
        <w:t>57</w:t>
      </w:r>
      <w:r w:rsidRPr="00981DC5">
        <w:rPr>
          <w:rFonts w:ascii="Book Antiqua" w:hAnsi="Book Antiqua"/>
          <w:color w:val="000000" w:themeColor="text1"/>
          <w:sz w:val="24"/>
          <w:szCs w:val="24"/>
        </w:rPr>
        <w:t>: 214-219 [PMID: 27481363 DOI: 10.1007/s12020-016-1048-9]</w:t>
      </w:r>
    </w:p>
    <w:p w14:paraId="3EF6D5FD" w14:textId="56DB3C27" w:rsidR="00B11A05" w:rsidRPr="00981DC5" w:rsidRDefault="00B11A05" w:rsidP="00B11A05">
      <w:pPr>
        <w:adjustRightInd w:val="0"/>
        <w:snapToGrid w:val="0"/>
        <w:spacing w:after="0" w:line="360" w:lineRule="auto"/>
        <w:jc w:val="both"/>
        <w:rPr>
          <w:rFonts w:ascii="Book Antiqua" w:hAnsi="Book Antiqua"/>
          <w:color w:val="000000" w:themeColor="text1"/>
          <w:sz w:val="24"/>
          <w:szCs w:val="24"/>
        </w:rPr>
      </w:pPr>
      <w:r w:rsidRPr="00981DC5">
        <w:rPr>
          <w:rFonts w:ascii="Book Antiqua" w:hAnsi="Book Antiqua"/>
          <w:color w:val="000000" w:themeColor="text1"/>
          <w:sz w:val="24"/>
          <w:szCs w:val="24"/>
        </w:rPr>
        <w:t xml:space="preserve">23 </w:t>
      </w:r>
      <w:r w:rsidRPr="00981DC5">
        <w:rPr>
          <w:rFonts w:ascii="Book Antiqua" w:hAnsi="Book Antiqua"/>
          <w:b/>
          <w:color w:val="000000" w:themeColor="text1"/>
          <w:sz w:val="24"/>
          <w:szCs w:val="24"/>
        </w:rPr>
        <w:t>Costa B</w:t>
      </w:r>
      <w:r w:rsidRPr="00981DC5">
        <w:rPr>
          <w:rFonts w:ascii="Book Antiqua" w:hAnsi="Book Antiqua"/>
          <w:color w:val="000000" w:themeColor="text1"/>
          <w:sz w:val="24"/>
          <w:szCs w:val="24"/>
        </w:rPr>
        <w:t xml:space="preserve">, Estrada MF, Mendes RV, Fior R. Zebrafish Avatars towards Personalized Medicine-A Comparative Review between Avatar Models. </w:t>
      </w:r>
      <w:r w:rsidRPr="00981DC5">
        <w:rPr>
          <w:rFonts w:ascii="Book Antiqua" w:hAnsi="Book Antiqua"/>
          <w:i/>
          <w:color w:val="000000" w:themeColor="text1"/>
          <w:sz w:val="24"/>
          <w:szCs w:val="24"/>
        </w:rPr>
        <w:t>Cells</w:t>
      </w:r>
      <w:r w:rsidRPr="00981DC5">
        <w:rPr>
          <w:rFonts w:ascii="Book Antiqua" w:hAnsi="Book Antiqua"/>
          <w:color w:val="000000" w:themeColor="text1"/>
          <w:sz w:val="24"/>
          <w:szCs w:val="24"/>
        </w:rPr>
        <w:t xml:space="preserve"> 2020; </w:t>
      </w:r>
      <w:r w:rsidRPr="00981DC5">
        <w:rPr>
          <w:rFonts w:ascii="Book Antiqua" w:hAnsi="Book Antiqua"/>
          <w:b/>
          <w:color w:val="000000" w:themeColor="text1"/>
          <w:sz w:val="24"/>
          <w:szCs w:val="24"/>
        </w:rPr>
        <w:t>9</w:t>
      </w:r>
      <w:r w:rsidRPr="00981DC5">
        <w:rPr>
          <w:rFonts w:ascii="Book Antiqua" w:hAnsi="Book Antiqua"/>
          <w:color w:val="000000" w:themeColor="text1"/>
          <w:sz w:val="24"/>
          <w:szCs w:val="24"/>
        </w:rPr>
        <w:t xml:space="preserve"> [PMID: 31991800 DOI: 10.3390/cells9020293]</w:t>
      </w:r>
    </w:p>
    <w:p w14:paraId="1E7C2D5E" w14:textId="0C8BD80B" w:rsidR="00B11A05" w:rsidRPr="00981DC5" w:rsidRDefault="00B11A05" w:rsidP="00B11A05">
      <w:pPr>
        <w:adjustRightInd w:val="0"/>
        <w:snapToGrid w:val="0"/>
        <w:spacing w:after="0" w:line="360" w:lineRule="auto"/>
        <w:jc w:val="both"/>
        <w:rPr>
          <w:rFonts w:ascii="Book Antiqua" w:hAnsi="Book Antiqua"/>
          <w:color w:val="000000" w:themeColor="text1"/>
          <w:sz w:val="24"/>
          <w:szCs w:val="24"/>
        </w:rPr>
      </w:pPr>
      <w:r w:rsidRPr="00981DC5">
        <w:rPr>
          <w:rFonts w:ascii="Book Antiqua" w:hAnsi="Book Antiqua"/>
          <w:color w:val="000000" w:themeColor="text1"/>
          <w:sz w:val="24"/>
          <w:szCs w:val="24"/>
        </w:rPr>
        <w:t xml:space="preserve">24 </w:t>
      </w:r>
      <w:r w:rsidRPr="00981DC5">
        <w:rPr>
          <w:rFonts w:ascii="Book Antiqua" w:hAnsi="Book Antiqua"/>
          <w:b/>
          <w:color w:val="000000" w:themeColor="text1"/>
          <w:sz w:val="24"/>
          <w:szCs w:val="24"/>
        </w:rPr>
        <w:t>Ooft SN</w:t>
      </w:r>
      <w:r w:rsidRPr="00981DC5">
        <w:rPr>
          <w:rFonts w:ascii="Book Antiqua" w:hAnsi="Book Antiqua"/>
          <w:color w:val="000000" w:themeColor="text1"/>
          <w:sz w:val="24"/>
          <w:szCs w:val="24"/>
        </w:rPr>
        <w:t xml:space="preserve">, Weeber F, Dijkstra KK, McLean CM, Kaing S, van Werkhoven E, Schipper L, Hoes L, Vis DJ, van de Haar J, Prevoo W, Snaebjornsson P, van der Velden D, Klein M, Chalabi M, Boot H, van Leerdam M, Bloemendal HJ, Beerepoot LV, Wessels L, Cuppen E, </w:t>
      </w:r>
      <w:r w:rsidRPr="00981DC5">
        <w:rPr>
          <w:rFonts w:ascii="Book Antiqua" w:hAnsi="Book Antiqua"/>
          <w:color w:val="000000" w:themeColor="text1"/>
          <w:sz w:val="24"/>
          <w:szCs w:val="24"/>
        </w:rPr>
        <w:lastRenderedPageBreak/>
        <w:t xml:space="preserve">Clevers H, Voest EE. Patient-derived organoids can predict response to chemotherapy in metastatic colorectal cancer patients. </w:t>
      </w:r>
      <w:r w:rsidRPr="00981DC5">
        <w:rPr>
          <w:rFonts w:ascii="Book Antiqua" w:hAnsi="Book Antiqua"/>
          <w:i/>
          <w:color w:val="000000" w:themeColor="text1"/>
          <w:sz w:val="24"/>
          <w:szCs w:val="24"/>
        </w:rPr>
        <w:t>Sci Transl Med</w:t>
      </w:r>
      <w:r w:rsidRPr="00981DC5">
        <w:rPr>
          <w:rFonts w:ascii="Book Antiqua" w:hAnsi="Book Antiqua"/>
          <w:color w:val="000000" w:themeColor="text1"/>
          <w:sz w:val="24"/>
          <w:szCs w:val="24"/>
        </w:rPr>
        <w:t xml:space="preserve"> 2019; </w:t>
      </w:r>
      <w:r w:rsidRPr="00981DC5">
        <w:rPr>
          <w:rFonts w:ascii="Book Antiqua" w:hAnsi="Book Antiqua"/>
          <w:b/>
          <w:color w:val="000000" w:themeColor="text1"/>
          <w:sz w:val="24"/>
          <w:szCs w:val="24"/>
        </w:rPr>
        <w:t>11</w:t>
      </w:r>
      <w:r w:rsidRPr="00981DC5">
        <w:rPr>
          <w:rFonts w:ascii="Book Antiqua" w:hAnsi="Book Antiqua"/>
          <w:color w:val="000000" w:themeColor="text1"/>
          <w:sz w:val="24"/>
          <w:szCs w:val="24"/>
        </w:rPr>
        <w:t xml:space="preserve"> [PMID: 31597751 DOI: 10.1126/scitranslmed.aay2574]</w:t>
      </w:r>
    </w:p>
    <w:p w14:paraId="1CE53C8D" w14:textId="77777777" w:rsidR="00B11A05" w:rsidRPr="00981DC5" w:rsidRDefault="00B11A05" w:rsidP="00B11A05">
      <w:pPr>
        <w:adjustRightInd w:val="0"/>
        <w:snapToGrid w:val="0"/>
        <w:spacing w:after="0" w:line="360" w:lineRule="auto"/>
        <w:jc w:val="both"/>
        <w:rPr>
          <w:rFonts w:ascii="Book Antiqua" w:hAnsi="Book Antiqua"/>
          <w:color w:val="000000" w:themeColor="text1"/>
          <w:sz w:val="24"/>
          <w:szCs w:val="24"/>
        </w:rPr>
      </w:pPr>
      <w:r w:rsidRPr="00981DC5">
        <w:rPr>
          <w:rFonts w:ascii="Book Antiqua" w:hAnsi="Book Antiqua"/>
          <w:color w:val="000000" w:themeColor="text1"/>
          <w:sz w:val="24"/>
          <w:szCs w:val="24"/>
        </w:rPr>
        <w:t xml:space="preserve">25 </w:t>
      </w:r>
      <w:r w:rsidRPr="00981DC5">
        <w:rPr>
          <w:rFonts w:ascii="Book Antiqua" w:hAnsi="Book Antiqua"/>
          <w:b/>
          <w:color w:val="000000" w:themeColor="text1"/>
          <w:sz w:val="24"/>
          <w:szCs w:val="24"/>
        </w:rPr>
        <w:t>Vlachogiannis G</w:t>
      </w:r>
      <w:r w:rsidRPr="00981DC5">
        <w:rPr>
          <w:rFonts w:ascii="Book Antiqua" w:hAnsi="Book Antiqua"/>
          <w:color w:val="000000" w:themeColor="text1"/>
          <w:sz w:val="24"/>
          <w:szCs w:val="24"/>
        </w:rPr>
        <w:t xml:space="preserve">, Hedayat S, Vatsiou A, Jamin Y, Fernández-Mateos J, Khan K, Lampis A, Eason K, Huntingford I, Burke R, Rata M, Koh DM, Tunariu N, Collins D, Hulkki-Wilson S, Ragulan C, Spiteri I, Moorcraft SY, Chau I, Rao S, Watkins D, Fotiadis N, Bali M, Darvish-Damavandi M, Lote H, Eltahir Z, Smyth EC, Begum R, Clarke PA, Hahne JC, Dowsett M, de Bono J, Workman P, Sadanandam A, Fassan M, Sansom OJ, Eccles S, Starling N, Braconi C, Sottoriva A, Robinson SP, Cunningham D, Valeri N. Patient-derived organoids model treatment response of metastatic gastrointestinal cancers. </w:t>
      </w:r>
      <w:r w:rsidRPr="00981DC5">
        <w:rPr>
          <w:rFonts w:ascii="Book Antiqua" w:hAnsi="Book Antiqua"/>
          <w:i/>
          <w:color w:val="000000" w:themeColor="text1"/>
          <w:sz w:val="24"/>
          <w:szCs w:val="24"/>
        </w:rPr>
        <w:t>Science</w:t>
      </w:r>
      <w:r w:rsidRPr="00981DC5">
        <w:rPr>
          <w:rFonts w:ascii="Book Antiqua" w:hAnsi="Book Antiqua"/>
          <w:color w:val="000000" w:themeColor="text1"/>
          <w:sz w:val="24"/>
          <w:szCs w:val="24"/>
        </w:rPr>
        <w:t xml:space="preserve"> 2018; </w:t>
      </w:r>
      <w:r w:rsidRPr="00981DC5">
        <w:rPr>
          <w:rFonts w:ascii="Book Antiqua" w:hAnsi="Book Antiqua"/>
          <w:b/>
          <w:color w:val="000000" w:themeColor="text1"/>
          <w:sz w:val="24"/>
          <w:szCs w:val="24"/>
        </w:rPr>
        <w:t>359</w:t>
      </w:r>
      <w:r w:rsidRPr="00981DC5">
        <w:rPr>
          <w:rFonts w:ascii="Book Antiqua" w:hAnsi="Book Antiqua"/>
          <w:color w:val="000000" w:themeColor="text1"/>
          <w:sz w:val="24"/>
          <w:szCs w:val="24"/>
        </w:rPr>
        <w:t>: 920-926 [PMID: 29472484 DOI: 10.1126/science.aao2774]</w:t>
      </w:r>
    </w:p>
    <w:p w14:paraId="2150B90D" w14:textId="77777777" w:rsidR="00B11A05" w:rsidRPr="00981DC5" w:rsidRDefault="00B11A05" w:rsidP="00B11A05">
      <w:pPr>
        <w:adjustRightInd w:val="0"/>
        <w:snapToGrid w:val="0"/>
        <w:spacing w:after="0" w:line="360" w:lineRule="auto"/>
        <w:jc w:val="both"/>
        <w:rPr>
          <w:rFonts w:ascii="Book Antiqua" w:hAnsi="Book Antiqua"/>
          <w:color w:val="000000" w:themeColor="text1"/>
          <w:sz w:val="24"/>
          <w:szCs w:val="24"/>
        </w:rPr>
      </w:pPr>
      <w:r w:rsidRPr="00981DC5">
        <w:rPr>
          <w:rFonts w:ascii="Book Antiqua" w:hAnsi="Book Antiqua"/>
          <w:color w:val="000000" w:themeColor="text1"/>
          <w:sz w:val="24"/>
          <w:szCs w:val="24"/>
        </w:rPr>
        <w:t xml:space="preserve">26 </w:t>
      </w:r>
      <w:r w:rsidRPr="00981DC5">
        <w:rPr>
          <w:rFonts w:ascii="Book Antiqua" w:hAnsi="Book Antiqua"/>
          <w:b/>
          <w:color w:val="000000" w:themeColor="text1"/>
          <w:sz w:val="24"/>
          <w:szCs w:val="24"/>
        </w:rPr>
        <w:t>Sachs N</w:t>
      </w:r>
      <w:r w:rsidRPr="00981DC5">
        <w:rPr>
          <w:rFonts w:ascii="Book Antiqua" w:hAnsi="Book Antiqua"/>
          <w:color w:val="000000" w:themeColor="text1"/>
          <w:sz w:val="24"/>
          <w:szCs w:val="24"/>
        </w:rPr>
        <w:t xml:space="preserve">, de Ligt J, Kopper O, Gogola E, Bounova G, Weeber F, Balgobind AV, Wind K, Gracanin A, Begthel H, Korving J, van Boxtel R, Duarte AA, Lelieveld D, van Hoeck A, Ernst RF, Blokzijl F, Nijman IJ, Hoogstraat M, van de Ven M, Egan DA, Zinzalla V, Moll J, Boj SF, Voest EE, Wessels L, van Diest PJ, Rottenberg S, Vries RGJ, Cuppen E, Clevers H. A Living Biobank of Breast Cancer Organoids Captures Disease Heterogeneity. </w:t>
      </w:r>
      <w:r w:rsidRPr="00981DC5">
        <w:rPr>
          <w:rFonts w:ascii="Book Antiqua" w:hAnsi="Book Antiqua"/>
          <w:i/>
          <w:color w:val="000000" w:themeColor="text1"/>
          <w:sz w:val="24"/>
          <w:szCs w:val="24"/>
        </w:rPr>
        <w:t>Cell</w:t>
      </w:r>
      <w:r w:rsidRPr="00981DC5">
        <w:rPr>
          <w:rFonts w:ascii="Book Antiqua" w:hAnsi="Book Antiqua"/>
          <w:color w:val="000000" w:themeColor="text1"/>
          <w:sz w:val="24"/>
          <w:szCs w:val="24"/>
        </w:rPr>
        <w:t xml:space="preserve"> 2018; </w:t>
      </w:r>
      <w:r w:rsidRPr="00981DC5">
        <w:rPr>
          <w:rFonts w:ascii="Book Antiqua" w:hAnsi="Book Antiqua"/>
          <w:b/>
          <w:color w:val="000000" w:themeColor="text1"/>
          <w:sz w:val="24"/>
          <w:szCs w:val="24"/>
        </w:rPr>
        <w:t>172</w:t>
      </w:r>
      <w:r w:rsidRPr="00981DC5">
        <w:rPr>
          <w:rFonts w:ascii="Book Antiqua" w:hAnsi="Book Antiqua"/>
          <w:color w:val="000000" w:themeColor="text1"/>
          <w:sz w:val="24"/>
          <w:szCs w:val="24"/>
        </w:rPr>
        <w:t>: 373-386.e10 [PMID: 29224780 DOI: 10.1016/j.cell.2017.11.010]</w:t>
      </w:r>
    </w:p>
    <w:p w14:paraId="30D7FAAB" w14:textId="77777777" w:rsidR="00B11A05" w:rsidRPr="00981DC5" w:rsidRDefault="00B11A05" w:rsidP="00B11A05">
      <w:pPr>
        <w:adjustRightInd w:val="0"/>
        <w:snapToGrid w:val="0"/>
        <w:spacing w:after="0" w:line="360" w:lineRule="auto"/>
        <w:jc w:val="both"/>
        <w:rPr>
          <w:rFonts w:ascii="Book Antiqua" w:hAnsi="Book Antiqua"/>
          <w:color w:val="000000" w:themeColor="text1"/>
          <w:sz w:val="24"/>
          <w:szCs w:val="24"/>
        </w:rPr>
      </w:pPr>
      <w:r w:rsidRPr="00981DC5">
        <w:rPr>
          <w:rFonts w:ascii="Book Antiqua" w:hAnsi="Book Antiqua"/>
          <w:color w:val="000000" w:themeColor="text1"/>
          <w:sz w:val="24"/>
          <w:szCs w:val="24"/>
        </w:rPr>
        <w:t xml:space="preserve">27 </w:t>
      </w:r>
      <w:r w:rsidRPr="00981DC5">
        <w:rPr>
          <w:rFonts w:ascii="Book Antiqua" w:hAnsi="Book Antiqua"/>
          <w:b/>
          <w:color w:val="000000" w:themeColor="text1"/>
          <w:sz w:val="24"/>
          <w:szCs w:val="24"/>
        </w:rPr>
        <w:t>Kim M</w:t>
      </w:r>
      <w:r w:rsidRPr="00981DC5">
        <w:rPr>
          <w:rFonts w:ascii="Book Antiqua" w:hAnsi="Book Antiqua"/>
          <w:color w:val="000000" w:themeColor="text1"/>
          <w:sz w:val="24"/>
          <w:szCs w:val="24"/>
        </w:rPr>
        <w:t xml:space="preserve">, Mun H, Sung CO, Cho EJ, Jeon HJ, Chun SM, Jung DJ, Shin TH, Jeong GS, Kim DK, Choi EK, Jeong SY, Taylor AM, Jain S, Meyerson M, Jang SJ. Patient-derived lung cancer organoids as in vitro cancer models for therapeutic screening. </w:t>
      </w:r>
      <w:r w:rsidRPr="00981DC5">
        <w:rPr>
          <w:rFonts w:ascii="Book Antiqua" w:hAnsi="Book Antiqua"/>
          <w:i/>
          <w:color w:val="000000" w:themeColor="text1"/>
          <w:sz w:val="24"/>
          <w:szCs w:val="24"/>
        </w:rPr>
        <w:t>Nat Commun</w:t>
      </w:r>
      <w:r w:rsidRPr="00981DC5">
        <w:rPr>
          <w:rFonts w:ascii="Book Antiqua" w:hAnsi="Book Antiqua"/>
          <w:color w:val="000000" w:themeColor="text1"/>
          <w:sz w:val="24"/>
          <w:szCs w:val="24"/>
        </w:rPr>
        <w:t xml:space="preserve"> 2019; </w:t>
      </w:r>
      <w:r w:rsidRPr="00981DC5">
        <w:rPr>
          <w:rFonts w:ascii="Book Antiqua" w:hAnsi="Book Antiqua"/>
          <w:b/>
          <w:color w:val="000000" w:themeColor="text1"/>
          <w:sz w:val="24"/>
          <w:szCs w:val="24"/>
        </w:rPr>
        <w:t>10</w:t>
      </w:r>
      <w:r w:rsidRPr="00981DC5">
        <w:rPr>
          <w:rFonts w:ascii="Book Antiqua" w:hAnsi="Book Antiqua"/>
          <w:color w:val="000000" w:themeColor="text1"/>
          <w:sz w:val="24"/>
          <w:szCs w:val="24"/>
        </w:rPr>
        <w:t>: 3991 [PMID: 31488816 DOI: 10.1038/s41467-019-11867-6]</w:t>
      </w:r>
    </w:p>
    <w:p w14:paraId="68B84EE1" w14:textId="77777777" w:rsidR="00B11A05" w:rsidRPr="00981DC5" w:rsidRDefault="00B11A05" w:rsidP="00B11A05">
      <w:pPr>
        <w:adjustRightInd w:val="0"/>
        <w:snapToGrid w:val="0"/>
        <w:spacing w:after="0" w:line="360" w:lineRule="auto"/>
        <w:jc w:val="both"/>
        <w:rPr>
          <w:rFonts w:ascii="Book Antiqua" w:hAnsi="Book Antiqua"/>
          <w:color w:val="000000" w:themeColor="text1"/>
          <w:sz w:val="24"/>
          <w:szCs w:val="24"/>
        </w:rPr>
      </w:pPr>
      <w:r w:rsidRPr="00981DC5">
        <w:rPr>
          <w:rFonts w:ascii="Book Antiqua" w:hAnsi="Book Antiqua"/>
          <w:color w:val="000000" w:themeColor="text1"/>
          <w:sz w:val="24"/>
          <w:szCs w:val="24"/>
        </w:rPr>
        <w:t xml:space="preserve">28 </w:t>
      </w:r>
      <w:r w:rsidRPr="00981DC5">
        <w:rPr>
          <w:rFonts w:ascii="Book Antiqua" w:hAnsi="Book Antiqua"/>
          <w:b/>
          <w:color w:val="000000" w:themeColor="text1"/>
          <w:sz w:val="24"/>
          <w:szCs w:val="24"/>
        </w:rPr>
        <w:t>Rubio-Viqueira B</w:t>
      </w:r>
      <w:r w:rsidRPr="00981DC5">
        <w:rPr>
          <w:rFonts w:ascii="Book Antiqua" w:hAnsi="Book Antiqua"/>
          <w:color w:val="000000" w:themeColor="text1"/>
          <w:sz w:val="24"/>
          <w:szCs w:val="24"/>
        </w:rPr>
        <w:t xml:space="preserve">, Jimeno A, Cusatis G, Zhang X, Iacobuzio-Donahue C, Karikari C, Shi C, Danenberg K, Danenberg PV, Kuramochi H, Tanaka K, Singh S, Salimi-Moosavi H, Bouraoud N, Amador ML, Altiok S, Kulesza P, Yeo C, Messersmith W, Eshleman J, Hruban RH, Maitra A, Hidalgo M. An in vivo platform for translational drug development in pancreatic cancer. </w:t>
      </w:r>
      <w:r w:rsidRPr="00981DC5">
        <w:rPr>
          <w:rFonts w:ascii="Book Antiqua" w:hAnsi="Book Antiqua"/>
          <w:i/>
          <w:color w:val="000000" w:themeColor="text1"/>
          <w:sz w:val="24"/>
          <w:szCs w:val="24"/>
        </w:rPr>
        <w:t>Clin Cancer Res</w:t>
      </w:r>
      <w:r w:rsidRPr="00981DC5">
        <w:rPr>
          <w:rFonts w:ascii="Book Antiqua" w:hAnsi="Book Antiqua"/>
          <w:color w:val="000000" w:themeColor="text1"/>
          <w:sz w:val="24"/>
          <w:szCs w:val="24"/>
        </w:rPr>
        <w:t xml:space="preserve"> 2006; </w:t>
      </w:r>
      <w:r w:rsidRPr="00981DC5">
        <w:rPr>
          <w:rFonts w:ascii="Book Antiqua" w:hAnsi="Book Antiqua"/>
          <w:b/>
          <w:color w:val="000000" w:themeColor="text1"/>
          <w:sz w:val="24"/>
          <w:szCs w:val="24"/>
        </w:rPr>
        <w:t>12</w:t>
      </w:r>
      <w:r w:rsidRPr="00981DC5">
        <w:rPr>
          <w:rFonts w:ascii="Book Antiqua" w:hAnsi="Book Antiqua"/>
          <w:color w:val="000000" w:themeColor="text1"/>
          <w:sz w:val="24"/>
          <w:szCs w:val="24"/>
        </w:rPr>
        <w:t>: 4652-4661 [PMID: 16899615 DOI: 10.1158/1078-0432.CCR-06-0113]</w:t>
      </w:r>
    </w:p>
    <w:p w14:paraId="01B70900" w14:textId="77777777" w:rsidR="00B11A05" w:rsidRPr="00981DC5" w:rsidRDefault="00B11A05" w:rsidP="00B11A05">
      <w:pPr>
        <w:adjustRightInd w:val="0"/>
        <w:snapToGrid w:val="0"/>
        <w:spacing w:after="0" w:line="360" w:lineRule="auto"/>
        <w:jc w:val="both"/>
        <w:rPr>
          <w:rFonts w:ascii="Book Antiqua" w:hAnsi="Book Antiqua"/>
          <w:color w:val="000000" w:themeColor="text1"/>
          <w:sz w:val="24"/>
          <w:szCs w:val="24"/>
        </w:rPr>
      </w:pPr>
      <w:r w:rsidRPr="00981DC5">
        <w:rPr>
          <w:rFonts w:ascii="Book Antiqua" w:hAnsi="Book Antiqua"/>
          <w:color w:val="000000" w:themeColor="text1"/>
          <w:sz w:val="24"/>
          <w:szCs w:val="24"/>
        </w:rPr>
        <w:t xml:space="preserve">29 </w:t>
      </w:r>
      <w:r w:rsidRPr="00981DC5">
        <w:rPr>
          <w:rFonts w:ascii="Book Antiqua" w:hAnsi="Book Antiqua"/>
          <w:b/>
          <w:color w:val="000000" w:themeColor="text1"/>
          <w:sz w:val="24"/>
          <w:szCs w:val="24"/>
        </w:rPr>
        <w:t>Malaney P</w:t>
      </w:r>
      <w:r w:rsidRPr="00981DC5">
        <w:rPr>
          <w:rFonts w:ascii="Book Antiqua" w:hAnsi="Book Antiqua"/>
          <w:color w:val="000000" w:themeColor="text1"/>
          <w:sz w:val="24"/>
          <w:szCs w:val="24"/>
        </w:rPr>
        <w:t xml:space="preserve">, Nicosia SV, Davé V. One mouse, one patient paradigm: New avatars of personalized cancer therapy. </w:t>
      </w:r>
      <w:r w:rsidRPr="00981DC5">
        <w:rPr>
          <w:rFonts w:ascii="Book Antiqua" w:hAnsi="Book Antiqua"/>
          <w:i/>
          <w:color w:val="000000" w:themeColor="text1"/>
          <w:sz w:val="24"/>
          <w:szCs w:val="24"/>
        </w:rPr>
        <w:t>Cancer Lett</w:t>
      </w:r>
      <w:r w:rsidRPr="00981DC5">
        <w:rPr>
          <w:rFonts w:ascii="Book Antiqua" w:hAnsi="Book Antiqua"/>
          <w:color w:val="000000" w:themeColor="text1"/>
          <w:sz w:val="24"/>
          <w:szCs w:val="24"/>
        </w:rPr>
        <w:t xml:space="preserve"> 2014; </w:t>
      </w:r>
      <w:r w:rsidRPr="00981DC5">
        <w:rPr>
          <w:rFonts w:ascii="Book Antiqua" w:hAnsi="Book Antiqua"/>
          <w:b/>
          <w:color w:val="000000" w:themeColor="text1"/>
          <w:sz w:val="24"/>
          <w:szCs w:val="24"/>
        </w:rPr>
        <w:t>344</w:t>
      </w:r>
      <w:r w:rsidRPr="00981DC5">
        <w:rPr>
          <w:rFonts w:ascii="Book Antiqua" w:hAnsi="Book Antiqua"/>
          <w:color w:val="000000" w:themeColor="text1"/>
          <w:sz w:val="24"/>
          <w:szCs w:val="24"/>
        </w:rPr>
        <w:t>: 1-12 [PMID: 24157811 DOI: 10.1016/j.canlet.2013.10.010]</w:t>
      </w:r>
    </w:p>
    <w:p w14:paraId="65E0F0C2" w14:textId="77777777" w:rsidR="00B11A05" w:rsidRPr="00981DC5" w:rsidRDefault="00B11A05" w:rsidP="00B11A05">
      <w:pPr>
        <w:adjustRightInd w:val="0"/>
        <w:snapToGrid w:val="0"/>
        <w:spacing w:after="0" w:line="360" w:lineRule="auto"/>
        <w:jc w:val="both"/>
        <w:rPr>
          <w:rFonts w:ascii="Book Antiqua" w:hAnsi="Book Antiqua"/>
          <w:color w:val="000000" w:themeColor="text1"/>
          <w:sz w:val="24"/>
          <w:szCs w:val="24"/>
        </w:rPr>
      </w:pPr>
      <w:r w:rsidRPr="00981DC5">
        <w:rPr>
          <w:rFonts w:ascii="Book Antiqua" w:hAnsi="Book Antiqua"/>
          <w:color w:val="000000" w:themeColor="text1"/>
          <w:sz w:val="24"/>
          <w:szCs w:val="24"/>
        </w:rPr>
        <w:lastRenderedPageBreak/>
        <w:t xml:space="preserve">30 </w:t>
      </w:r>
      <w:r w:rsidRPr="00981DC5">
        <w:rPr>
          <w:rFonts w:ascii="Book Antiqua" w:hAnsi="Book Antiqua"/>
          <w:b/>
          <w:color w:val="000000" w:themeColor="text1"/>
          <w:sz w:val="24"/>
          <w:szCs w:val="24"/>
        </w:rPr>
        <w:t>Inoue T</w:t>
      </w:r>
      <w:r w:rsidRPr="00981DC5">
        <w:rPr>
          <w:rFonts w:ascii="Book Antiqua" w:hAnsi="Book Antiqua"/>
          <w:color w:val="000000" w:themeColor="text1"/>
          <w:sz w:val="24"/>
          <w:szCs w:val="24"/>
        </w:rPr>
        <w:t xml:space="preserve">, Terada N, Kobayashi T, Ogawa O. Patient-derived xenografts as in vivo models for research in urological malignancies. </w:t>
      </w:r>
      <w:r w:rsidRPr="00981DC5">
        <w:rPr>
          <w:rFonts w:ascii="Book Antiqua" w:hAnsi="Book Antiqua"/>
          <w:i/>
          <w:color w:val="000000" w:themeColor="text1"/>
          <w:sz w:val="24"/>
          <w:szCs w:val="24"/>
        </w:rPr>
        <w:t>Nat Rev Urol</w:t>
      </w:r>
      <w:r w:rsidRPr="00981DC5">
        <w:rPr>
          <w:rFonts w:ascii="Book Antiqua" w:hAnsi="Book Antiqua"/>
          <w:color w:val="000000" w:themeColor="text1"/>
          <w:sz w:val="24"/>
          <w:szCs w:val="24"/>
        </w:rPr>
        <w:t xml:space="preserve"> 2017; </w:t>
      </w:r>
      <w:r w:rsidRPr="00981DC5">
        <w:rPr>
          <w:rFonts w:ascii="Book Antiqua" w:hAnsi="Book Antiqua"/>
          <w:b/>
          <w:color w:val="000000" w:themeColor="text1"/>
          <w:sz w:val="24"/>
          <w:szCs w:val="24"/>
        </w:rPr>
        <w:t>14</w:t>
      </w:r>
      <w:r w:rsidRPr="00981DC5">
        <w:rPr>
          <w:rFonts w:ascii="Book Antiqua" w:hAnsi="Book Antiqua"/>
          <w:color w:val="000000" w:themeColor="text1"/>
          <w:sz w:val="24"/>
          <w:szCs w:val="24"/>
        </w:rPr>
        <w:t>: 267-283 [PMID: 28248952 DOI: 10.1038/nrurol.2017.19]</w:t>
      </w:r>
    </w:p>
    <w:p w14:paraId="01811F52" w14:textId="77777777" w:rsidR="00B11A05" w:rsidRPr="00981DC5" w:rsidRDefault="00B11A05" w:rsidP="00B11A05">
      <w:pPr>
        <w:adjustRightInd w:val="0"/>
        <w:snapToGrid w:val="0"/>
        <w:spacing w:after="0" w:line="360" w:lineRule="auto"/>
        <w:jc w:val="both"/>
        <w:rPr>
          <w:rFonts w:ascii="Book Antiqua" w:hAnsi="Book Antiqua"/>
          <w:color w:val="000000" w:themeColor="text1"/>
          <w:sz w:val="24"/>
          <w:szCs w:val="24"/>
        </w:rPr>
      </w:pPr>
      <w:r w:rsidRPr="00981DC5">
        <w:rPr>
          <w:rFonts w:ascii="Book Antiqua" w:hAnsi="Book Antiqua"/>
          <w:color w:val="000000" w:themeColor="text1"/>
          <w:sz w:val="24"/>
          <w:szCs w:val="24"/>
        </w:rPr>
        <w:t xml:space="preserve">31 </w:t>
      </w:r>
      <w:r w:rsidRPr="00981DC5">
        <w:rPr>
          <w:rFonts w:ascii="Book Antiqua" w:hAnsi="Book Antiqua"/>
          <w:b/>
          <w:color w:val="000000" w:themeColor="text1"/>
          <w:sz w:val="24"/>
          <w:szCs w:val="24"/>
        </w:rPr>
        <w:t>Schartl M</w:t>
      </w:r>
      <w:r w:rsidRPr="00981DC5">
        <w:rPr>
          <w:rFonts w:ascii="Book Antiqua" w:hAnsi="Book Antiqua"/>
          <w:color w:val="000000" w:themeColor="text1"/>
          <w:sz w:val="24"/>
          <w:szCs w:val="24"/>
        </w:rPr>
        <w:t xml:space="preserve">. Beyond the zebrafish: diverse fish species for modeling human disease. </w:t>
      </w:r>
      <w:r w:rsidRPr="00981DC5">
        <w:rPr>
          <w:rFonts w:ascii="Book Antiqua" w:hAnsi="Book Antiqua"/>
          <w:i/>
          <w:color w:val="000000" w:themeColor="text1"/>
          <w:sz w:val="24"/>
          <w:szCs w:val="24"/>
        </w:rPr>
        <w:t>Dis Model Mech</w:t>
      </w:r>
      <w:r w:rsidRPr="00981DC5">
        <w:rPr>
          <w:rFonts w:ascii="Book Antiqua" w:hAnsi="Book Antiqua"/>
          <w:color w:val="000000" w:themeColor="text1"/>
          <w:sz w:val="24"/>
          <w:szCs w:val="24"/>
        </w:rPr>
        <w:t xml:space="preserve"> 2014; </w:t>
      </w:r>
      <w:r w:rsidRPr="00981DC5">
        <w:rPr>
          <w:rFonts w:ascii="Book Antiqua" w:hAnsi="Book Antiqua"/>
          <w:b/>
          <w:color w:val="000000" w:themeColor="text1"/>
          <w:sz w:val="24"/>
          <w:szCs w:val="24"/>
        </w:rPr>
        <w:t>7</w:t>
      </w:r>
      <w:r w:rsidRPr="00981DC5">
        <w:rPr>
          <w:rFonts w:ascii="Book Antiqua" w:hAnsi="Book Antiqua"/>
          <w:color w:val="000000" w:themeColor="text1"/>
          <w:sz w:val="24"/>
          <w:szCs w:val="24"/>
        </w:rPr>
        <w:t>: 181-192 [PMID: 24271780 DOI: 10.1242/dmm.012245]</w:t>
      </w:r>
    </w:p>
    <w:p w14:paraId="519B32ED" w14:textId="77777777" w:rsidR="00B11A05" w:rsidRPr="00981DC5" w:rsidRDefault="00B11A05" w:rsidP="00B11A05">
      <w:pPr>
        <w:adjustRightInd w:val="0"/>
        <w:snapToGrid w:val="0"/>
        <w:spacing w:after="0" w:line="360" w:lineRule="auto"/>
        <w:jc w:val="both"/>
        <w:rPr>
          <w:rFonts w:ascii="Book Antiqua" w:hAnsi="Book Antiqua"/>
          <w:color w:val="000000" w:themeColor="text1"/>
          <w:sz w:val="24"/>
          <w:szCs w:val="24"/>
        </w:rPr>
      </w:pPr>
      <w:r w:rsidRPr="00981DC5">
        <w:rPr>
          <w:rFonts w:ascii="Book Antiqua" w:hAnsi="Book Antiqua"/>
          <w:color w:val="000000" w:themeColor="text1"/>
          <w:sz w:val="24"/>
          <w:szCs w:val="24"/>
        </w:rPr>
        <w:t xml:space="preserve">32 </w:t>
      </w:r>
      <w:r w:rsidRPr="00981DC5">
        <w:rPr>
          <w:rFonts w:ascii="Book Antiqua" w:hAnsi="Book Antiqua"/>
          <w:b/>
          <w:color w:val="000000" w:themeColor="text1"/>
          <w:sz w:val="24"/>
          <w:szCs w:val="24"/>
        </w:rPr>
        <w:t>Wertman J</w:t>
      </w:r>
      <w:r w:rsidRPr="00981DC5">
        <w:rPr>
          <w:rFonts w:ascii="Book Antiqua" w:hAnsi="Book Antiqua"/>
          <w:color w:val="000000" w:themeColor="text1"/>
          <w:sz w:val="24"/>
          <w:szCs w:val="24"/>
        </w:rPr>
        <w:t xml:space="preserve">, Veinotte CJ, Dellaire G, Berman JN. The Zebrafish Xenograft Platform: Evolution of a Novel Cancer Model and Preclinical Screening Tool. </w:t>
      </w:r>
      <w:r w:rsidRPr="00981DC5">
        <w:rPr>
          <w:rFonts w:ascii="Book Antiqua" w:hAnsi="Book Antiqua"/>
          <w:i/>
          <w:color w:val="000000" w:themeColor="text1"/>
          <w:sz w:val="24"/>
          <w:szCs w:val="24"/>
        </w:rPr>
        <w:t>Adv Exp Med Biol</w:t>
      </w:r>
      <w:r w:rsidRPr="00981DC5">
        <w:rPr>
          <w:rFonts w:ascii="Book Antiqua" w:hAnsi="Book Antiqua"/>
          <w:color w:val="000000" w:themeColor="text1"/>
          <w:sz w:val="24"/>
          <w:szCs w:val="24"/>
        </w:rPr>
        <w:t xml:space="preserve"> 2016; </w:t>
      </w:r>
      <w:r w:rsidRPr="00981DC5">
        <w:rPr>
          <w:rFonts w:ascii="Book Antiqua" w:hAnsi="Book Antiqua"/>
          <w:b/>
          <w:color w:val="000000" w:themeColor="text1"/>
          <w:sz w:val="24"/>
          <w:szCs w:val="24"/>
        </w:rPr>
        <w:t>916</w:t>
      </w:r>
      <w:r w:rsidRPr="00981DC5">
        <w:rPr>
          <w:rFonts w:ascii="Book Antiqua" w:hAnsi="Book Antiqua"/>
          <w:color w:val="000000" w:themeColor="text1"/>
          <w:sz w:val="24"/>
          <w:szCs w:val="24"/>
        </w:rPr>
        <w:t>: 289-314 [PMID: 27165359 DOI: 10.1007/978-3-319-30654-4_13]</w:t>
      </w:r>
    </w:p>
    <w:p w14:paraId="49FD9965" w14:textId="77777777" w:rsidR="00B11A05" w:rsidRPr="00981DC5" w:rsidRDefault="00B11A05" w:rsidP="00B11A05">
      <w:pPr>
        <w:adjustRightInd w:val="0"/>
        <w:snapToGrid w:val="0"/>
        <w:spacing w:after="0" w:line="360" w:lineRule="auto"/>
        <w:jc w:val="both"/>
        <w:rPr>
          <w:rFonts w:ascii="Book Antiqua" w:hAnsi="Book Antiqua"/>
          <w:color w:val="000000" w:themeColor="text1"/>
          <w:sz w:val="24"/>
          <w:szCs w:val="24"/>
        </w:rPr>
      </w:pPr>
      <w:r w:rsidRPr="00981DC5">
        <w:rPr>
          <w:rFonts w:ascii="Book Antiqua" w:hAnsi="Book Antiqua"/>
          <w:color w:val="000000" w:themeColor="text1"/>
          <w:sz w:val="24"/>
          <w:szCs w:val="24"/>
        </w:rPr>
        <w:t xml:space="preserve">33 </w:t>
      </w:r>
      <w:r w:rsidRPr="00981DC5">
        <w:rPr>
          <w:rFonts w:ascii="Book Antiqua" w:hAnsi="Book Antiqua"/>
          <w:b/>
          <w:color w:val="000000" w:themeColor="text1"/>
          <w:sz w:val="24"/>
          <w:szCs w:val="24"/>
        </w:rPr>
        <w:t>Wu JQ</w:t>
      </w:r>
      <w:r w:rsidRPr="00981DC5">
        <w:rPr>
          <w:rFonts w:ascii="Book Antiqua" w:hAnsi="Book Antiqua"/>
          <w:color w:val="000000" w:themeColor="text1"/>
          <w:sz w:val="24"/>
          <w:szCs w:val="24"/>
        </w:rPr>
        <w:t xml:space="preserve">, Zhai J, Li CY, Tan AM, Wei P, Shen LZ, He MF. Patient-derived xenograft in zebrafish embryos: a new platform for translational research in gastric cancer. </w:t>
      </w:r>
      <w:r w:rsidRPr="00981DC5">
        <w:rPr>
          <w:rFonts w:ascii="Book Antiqua" w:hAnsi="Book Antiqua"/>
          <w:i/>
          <w:color w:val="000000" w:themeColor="text1"/>
          <w:sz w:val="24"/>
          <w:szCs w:val="24"/>
        </w:rPr>
        <w:t>J Exp Clin Cancer Res</w:t>
      </w:r>
      <w:r w:rsidRPr="00981DC5">
        <w:rPr>
          <w:rFonts w:ascii="Book Antiqua" w:hAnsi="Book Antiqua"/>
          <w:color w:val="000000" w:themeColor="text1"/>
          <w:sz w:val="24"/>
          <w:szCs w:val="24"/>
        </w:rPr>
        <w:t xml:space="preserve"> 2017; </w:t>
      </w:r>
      <w:r w:rsidRPr="00981DC5">
        <w:rPr>
          <w:rFonts w:ascii="Book Antiqua" w:hAnsi="Book Antiqua"/>
          <w:b/>
          <w:color w:val="000000" w:themeColor="text1"/>
          <w:sz w:val="24"/>
          <w:szCs w:val="24"/>
        </w:rPr>
        <w:t>36</w:t>
      </w:r>
      <w:r w:rsidRPr="00981DC5">
        <w:rPr>
          <w:rFonts w:ascii="Book Antiqua" w:hAnsi="Book Antiqua"/>
          <w:color w:val="000000" w:themeColor="text1"/>
          <w:sz w:val="24"/>
          <w:szCs w:val="24"/>
        </w:rPr>
        <w:t>: 160 [PMID: 29141689 DOI: 10.1186/s13046-017-0631-0]</w:t>
      </w:r>
    </w:p>
    <w:p w14:paraId="20F2A131" w14:textId="7820BA31" w:rsidR="00B11A05" w:rsidRPr="00981DC5" w:rsidRDefault="00B11A05" w:rsidP="00B11A05">
      <w:pPr>
        <w:adjustRightInd w:val="0"/>
        <w:snapToGrid w:val="0"/>
        <w:spacing w:after="0" w:line="360" w:lineRule="auto"/>
        <w:jc w:val="both"/>
        <w:rPr>
          <w:rFonts w:ascii="Book Antiqua" w:hAnsi="Book Antiqua"/>
          <w:color w:val="000000" w:themeColor="text1"/>
          <w:sz w:val="24"/>
          <w:szCs w:val="24"/>
        </w:rPr>
      </w:pPr>
      <w:r w:rsidRPr="00981DC5">
        <w:rPr>
          <w:rFonts w:ascii="Book Antiqua" w:hAnsi="Book Antiqua"/>
          <w:color w:val="000000" w:themeColor="text1"/>
          <w:sz w:val="24"/>
          <w:szCs w:val="24"/>
        </w:rPr>
        <w:t xml:space="preserve">34 </w:t>
      </w:r>
      <w:r w:rsidRPr="00981DC5">
        <w:rPr>
          <w:rFonts w:ascii="Book Antiqua" w:hAnsi="Book Antiqua"/>
          <w:b/>
          <w:color w:val="000000" w:themeColor="text1"/>
          <w:sz w:val="24"/>
          <w:szCs w:val="24"/>
        </w:rPr>
        <w:t>Fior R</w:t>
      </w:r>
      <w:r w:rsidRPr="00981DC5">
        <w:rPr>
          <w:rFonts w:ascii="Book Antiqua" w:hAnsi="Book Antiqua"/>
          <w:color w:val="000000" w:themeColor="text1"/>
          <w:sz w:val="24"/>
          <w:szCs w:val="24"/>
        </w:rPr>
        <w:t xml:space="preserve">, Póvoa V, Mendes RV, Carvalho T, Gomes A, Figueiredo N, Ferreira MG. Single-cell functional and chemosensitive profiling of combinatorial colorectal therapy in zebrafish xenografts. </w:t>
      </w:r>
      <w:r w:rsidRPr="00981DC5">
        <w:rPr>
          <w:rFonts w:ascii="Book Antiqua" w:hAnsi="Book Antiqua"/>
          <w:i/>
          <w:color w:val="000000" w:themeColor="text1"/>
          <w:sz w:val="24"/>
          <w:szCs w:val="24"/>
        </w:rPr>
        <w:t>Proc Natl Acad Sci USA</w:t>
      </w:r>
      <w:r w:rsidRPr="00981DC5">
        <w:rPr>
          <w:rFonts w:ascii="Book Antiqua" w:hAnsi="Book Antiqua"/>
          <w:color w:val="000000" w:themeColor="text1"/>
          <w:sz w:val="24"/>
          <w:szCs w:val="24"/>
        </w:rPr>
        <w:t xml:space="preserve"> 2017; </w:t>
      </w:r>
      <w:r w:rsidRPr="00981DC5">
        <w:rPr>
          <w:rFonts w:ascii="Book Antiqua" w:hAnsi="Book Antiqua"/>
          <w:b/>
          <w:color w:val="000000" w:themeColor="text1"/>
          <w:sz w:val="24"/>
          <w:szCs w:val="24"/>
        </w:rPr>
        <w:t>114</w:t>
      </w:r>
      <w:r w:rsidRPr="00981DC5">
        <w:rPr>
          <w:rFonts w:ascii="Book Antiqua" w:hAnsi="Book Antiqua"/>
          <w:color w:val="000000" w:themeColor="text1"/>
          <w:sz w:val="24"/>
          <w:szCs w:val="24"/>
        </w:rPr>
        <w:t>: E8234-E8243 [PMID: 28835536 DOI: 10.1073/pnas.1618389114]</w:t>
      </w:r>
    </w:p>
    <w:p w14:paraId="171EA50D" w14:textId="77777777" w:rsidR="00B11A05" w:rsidRPr="00981DC5" w:rsidRDefault="00B11A05" w:rsidP="00B11A05">
      <w:pPr>
        <w:adjustRightInd w:val="0"/>
        <w:snapToGrid w:val="0"/>
        <w:spacing w:after="0" w:line="360" w:lineRule="auto"/>
        <w:jc w:val="both"/>
        <w:rPr>
          <w:rFonts w:ascii="Book Antiqua" w:hAnsi="Book Antiqua"/>
          <w:color w:val="000000" w:themeColor="text1"/>
          <w:sz w:val="24"/>
          <w:szCs w:val="24"/>
        </w:rPr>
      </w:pPr>
      <w:r w:rsidRPr="00981DC5">
        <w:rPr>
          <w:rFonts w:ascii="Book Antiqua" w:hAnsi="Book Antiqua"/>
          <w:color w:val="000000" w:themeColor="text1"/>
          <w:sz w:val="24"/>
          <w:szCs w:val="24"/>
        </w:rPr>
        <w:t xml:space="preserve">35 </w:t>
      </w:r>
      <w:r w:rsidRPr="00981DC5">
        <w:rPr>
          <w:rFonts w:ascii="Book Antiqua" w:hAnsi="Book Antiqua"/>
          <w:b/>
          <w:color w:val="000000" w:themeColor="text1"/>
          <w:sz w:val="24"/>
          <w:szCs w:val="24"/>
        </w:rPr>
        <w:t>Veinotte CJ</w:t>
      </w:r>
      <w:r w:rsidRPr="00981DC5">
        <w:rPr>
          <w:rFonts w:ascii="Book Antiqua" w:hAnsi="Book Antiqua"/>
          <w:color w:val="000000" w:themeColor="text1"/>
          <w:sz w:val="24"/>
          <w:szCs w:val="24"/>
        </w:rPr>
        <w:t xml:space="preserve">, Dellaire G, Berman JN. Hooking the big one: the potential of zebrafish xenotransplantation to reform cancer drug screening in the genomic era. </w:t>
      </w:r>
      <w:r w:rsidRPr="00981DC5">
        <w:rPr>
          <w:rFonts w:ascii="Book Antiqua" w:hAnsi="Book Antiqua"/>
          <w:i/>
          <w:color w:val="000000" w:themeColor="text1"/>
          <w:sz w:val="24"/>
          <w:szCs w:val="24"/>
        </w:rPr>
        <w:t>Dis Model Mech</w:t>
      </w:r>
      <w:r w:rsidRPr="00981DC5">
        <w:rPr>
          <w:rFonts w:ascii="Book Antiqua" w:hAnsi="Book Antiqua"/>
          <w:color w:val="000000" w:themeColor="text1"/>
          <w:sz w:val="24"/>
          <w:szCs w:val="24"/>
        </w:rPr>
        <w:t xml:space="preserve"> 2014; </w:t>
      </w:r>
      <w:r w:rsidRPr="00981DC5">
        <w:rPr>
          <w:rFonts w:ascii="Book Antiqua" w:hAnsi="Book Antiqua"/>
          <w:b/>
          <w:color w:val="000000" w:themeColor="text1"/>
          <w:sz w:val="24"/>
          <w:szCs w:val="24"/>
        </w:rPr>
        <w:t>7</w:t>
      </w:r>
      <w:r w:rsidRPr="00981DC5">
        <w:rPr>
          <w:rFonts w:ascii="Book Antiqua" w:hAnsi="Book Antiqua"/>
          <w:color w:val="000000" w:themeColor="text1"/>
          <w:sz w:val="24"/>
          <w:szCs w:val="24"/>
        </w:rPr>
        <w:t>: 745-754 [PMID: 24973744 DOI: 10.1242/dmm.015784]</w:t>
      </w:r>
    </w:p>
    <w:p w14:paraId="0DAEABCF" w14:textId="51A1B730" w:rsidR="00B11A05" w:rsidRPr="00981DC5" w:rsidRDefault="00B11A05" w:rsidP="00B11A05">
      <w:pPr>
        <w:adjustRightInd w:val="0"/>
        <w:snapToGrid w:val="0"/>
        <w:spacing w:after="0" w:line="360" w:lineRule="auto"/>
        <w:jc w:val="both"/>
        <w:rPr>
          <w:rFonts w:ascii="Book Antiqua" w:hAnsi="Book Antiqua"/>
          <w:color w:val="000000" w:themeColor="text1"/>
          <w:sz w:val="24"/>
          <w:szCs w:val="24"/>
        </w:rPr>
      </w:pPr>
      <w:r w:rsidRPr="00981DC5">
        <w:rPr>
          <w:rFonts w:ascii="Book Antiqua" w:hAnsi="Book Antiqua"/>
          <w:color w:val="000000" w:themeColor="text1"/>
          <w:sz w:val="24"/>
          <w:szCs w:val="24"/>
        </w:rPr>
        <w:t xml:space="preserve">36 </w:t>
      </w:r>
      <w:r w:rsidRPr="00981DC5">
        <w:rPr>
          <w:rFonts w:ascii="Book Antiqua" w:hAnsi="Book Antiqua"/>
          <w:b/>
          <w:color w:val="000000" w:themeColor="text1"/>
          <w:sz w:val="24"/>
          <w:szCs w:val="24"/>
        </w:rPr>
        <w:t>Astone M</w:t>
      </w:r>
      <w:r w:rsidRPr="00981DC5">
        <w:rPr>
          <w:rFonts w:ascii="Book Antiqua" w:hAnsi="Book Antiqua"/>
          <w:color w:val="000000" w:themeColor="text1"/>
          <w:sz w:val="24"/>
          <w:szCs w:val="24"/>
        </w:rPr>
        <w:t xml:space="preserve">, Dankert EN, Alam SK, Hoeppner LH. Fishing for cures: The alLURE of using zebrafish to develop precision oncology therapies. </w:t>
      </w:r>
      <w:r w:rsidRPr="00981DC5">
        <w:rPr>
          <w:rFonts w:ascii="Book Antiqua" w:hAnsi="Book Antiqua"/>
          <w:i/>
          <w:color w:val="000000" w:themeColor="text1"/>
          <w:sz w:val="24"/>
          <w:szCs w:val="24"/>
        </w:rPr>
        <w:t>NPJ Precis Oncol</w:t>
      </w:r>
      <w:r w:rsidRPr="00981DC5">
        <w:rPr>
          <w:rFonts w:ascii="Book Antiqua" w:hAnsi="Book Antiqua"/>
          <w:color w:val="000000" w:themeColor="text1"/>
          <w:sz w:val="24"/>
          <w:szCs w:val="24"/>
        </w:rPr>
        <w:t xml:space="preserve"> 2017; </w:t>
      </w:r>
      <w:r w:rsidRPr="00981DC5">
        <w:rPr>
          <w:rFonts w:ascii="Book Antiqua" w:hAnsi="Book Antiqua"/>
          <w:b/>
          <w:color w:val="000000" w:themeColor="text1"/>
          <w:sz w:val="24"/>
          <w:szCs w:val="24"/>
        </w:rPr>
        <w:t>1</w:t>
      </w:r>
      <w:r w:rsidRPr="00981DC5">
        <w:rPr>
          <w:rFonts w:ascii="Book Antiqua" w:hAnsi="Book Antiqua"/>
          <w:color w:val="000000" w:themeColor="text1"/>
          <w:sz w:val="24"/>
          <w:szCs w:val="24"/>
        </w:rPr>
        <w:t xml:space="preserve"> [PMID: 29376139 DOI: 10.1038/s41698-017-0043-9]</w:t>
      </w:r>
    </w:p>
    <w:p w14:paraId="0101CDA4" w14:textId="77777777" w:rsidR="00B11A05" w:rsidRPr="00981DC5" w:rsidRDefault="00B11A05" w:rsidP="00B11A05">
      <w:pPr>
        <w:adjustRightInd w:val="0"/>
        <w:snapToGrid w:val="0"/>
        <w:spacing w:after="0" w:line="360" w:lineRule="auto"/>
        <w:jc w:val="both"/>
        <w:rPr>
          <w:rFonts w:ascii="Book Antiqua" w:hAnsi="Book Antiqua"/>
          <w:color w:val="000000" w:themeColor="text1"/>
          <w:sz w:val="24"/>
          <w:szCs w:val="24"/>
        </w:rPr>
      </w:pPr>
      <w:r w:rsidRPr="00981DC5">
        <w:rPr>
          <w:rFonts w:ascii="Book Antiqua" w:hAnsi="Book Antiqua"/>
          <w:color w:val="000000" w:themeColor="text1"/>
          <w:sz w:val="24"/>
          <w:szCs w:val="24"/>
        </w:rPr>
        <w:t xml:space="preserve">37 </w:t>
      </w:r>
      <w:r w:rsidRPr="00981DC5">
        <w:rPr>
          <w:rFonts w:ascii="Book Antiqua" w:hAnsi="Book Antiqua"/>
          <w:b/>
          <w:color w:val="000000" w:themeColor="text1"/>
          <w:sz w:val="24"/>
          <w:szCs w:val="24"/>
        </w:rPr>
        <w:t>Bentley VL</w:t>
      </w:r>
      <w:r w:rsidRPr="00981DC5">
        <w:rPr>
          <w:rFonts w:ascii="Book Antiqua" w:hAnsi="Book Antiqua"/>
          <w:color w:val="000000" w:themeColor="text1"/>
          <w:sz w:val="24"/>
          <w:szCs w:val="24"/>
        </w:rPr>
        <w:t xml:space="preserve">, Veinotte CJ, Corkery DP, Pinder JB, LeBlanc MA, Bedard K, Weng AP, Berman JN, Dellaire G. Focused chemical genomics using zebrafish xenotransplantation as a pre-clinical therapeutic platform for T-cell acute lymphoblastic leukemia. </w:t>
      </w:r>
      <w:r w:rsidRPr="00981DC5">
        <w:rPr>
          <w:rFonts w:ascii="Book Antiqua" w:hAnsi="Book Antiqua"/>
          <w:i/>
          <w:color w:val="000000" w:themeColor="text1"/>
          <w:sz w:val="24"/>
          <w:szCs w:val="24"/>
        </w:rPr>
        <w:t>Haematologica</w:t>
      </w:r>
      <w:r w:rsidRPr="00981DC5">
        <w:rPr>
          <w:rFonts w:ascii="Book Antiqua" w:hAnsi="Book Antiqua"/>
          <w:color w:val="000000" w:themeColor="text1"/>
          <w:sz w:val="24"/>
          <w:szCs w:val="24"/>
        </w:rPr>
        <w:t xml:space="preserve"> 2015; </w:t>
      </w:r>
      <w:r w:rsidRPr="00981DC5">
        <w:rPr>
          <w:rFonts w:ascii="Book Antiqua" w:hAnsi="Book Antiqua"/>
          <w:b/>
          <w:color w:val="000000" w:themeColor="text1"/>
          <w:sz w:val="24"/>
          <w:szCs w:val="24"/>
        </w:rPr>
        <w:t>100</w:t>
      </w:r>
      <w:r w:rsidRPr="00981DC5">
        <w:rPr>
          <w:rFonts w:ascii="Book Antiqua" w:hAnsi="Book Antiqua"/>
          <w:color w:val="000000" w:themeColor="text1"/>
          <w:sz w:val="24"/>
          <w:szCs w:val="24"/>
        </w:rPr>
        <w:t>: 70-76 [PMID: 25281505 DOI: 10.3324/haematol.2014.110742]</w:t>
      </w:r>
    </w:p>
    <w:p w14:paraId="3D3AAADA" w14:textId="77777777" w:rsidR="00B11A05" w:rsidRPr="00981DC5" w:rsidRDefault="00B11A05" w:rsidP="00B11A05">
      <w:pPr>
        <w:adjustRightInd w:val="0"/>
        <w:snapToGrid w:val="0"/>
        <w:spacing w:after="0" w:line="360" w:lineRule="auto"/>
        <w:jc w:val="both"/>
        <w:rPr>
          <w:rFonts w:ascii="Book Antiqua" w:hAnsi="Book Antiqua"/>
          <w:color w:val="000000" w:themeColor="text1"/>
          <w:sz w:val="24"/>
          <w:szCs w:val="24"/>
        </w:rPr>
      </w:pPr>
      <w:r w:rsidRPr="00981DC5">
        <w:rPr>
          <w:rFonts w:ascii="Book Antiqua" w:hAnsi="Book Antiqua"/>
          <w:color w:val="000000" w:themeColor="text1"/>
          <w:sz w:val="24"/>
          <w:szCs w:val="24"/>
        </w:rPr>
        <w:t xml:space="preserve">38 </w:t>
      </w:r>
      <w:r w:rsidRPr="00981DC5">
        <w:rPr>
          <w:rFonts w:ascii="Book Antiqua" w:hAnsi="Book Antiqua"/>
          <w:b/>
          <w:color w:val="000000" w:themeColor="text1"/>
          <w:sz w:val="24"/>
          <w:szCs w:val="24"/>
        </w:rPr>
        <w:t>Barriuso J</w:t>
      </w:r>
      <w:r w:rsidRPr="00981DC5">
        <w:rPr>
          <w:rFonts w:ascii="Book Antiqua" w:hAnsi="Book Antiqua"/>
          <w:color w:val="000000" w:themeColor="text1"/>
          <w:sz w:val="24"/>
          <w:szCs w:val="24"/>
        </w:rPr>
        <w:t xml:space="preserve">, Nagaraju R, Hurlstone A. Zebrafish: a new companion for translational research in oncology. </w:t>
      </w:r>
      <w:r w:rsidRPr="00981DC5">
        <w:rPr>
          <w:rFonts w:ascii="Book Antiqua" w:hAnsi="Book Antiqua"/>
          <w:i/>
          <w:color w:val="000000" w:themeColor="text1"/>
          <w:sz w:val="24"/>
          <w:szCs w:val="24"/>
        </w:rPr>
        <w:t>Clin Cancer Res</w:t>
      </w:r>
      <w:r w:rsidRPr="00981DC5">
        <w:rPr>
          <w:rFonts w:ascii="Book Antiqua" w:hAnsi="Book Antiqua"/>
          <w:color w:val="000000" w:themeColor="text1"/>
          <w:sz w:val="24"/>
          <w:szCs w:val="24"/>
        </w:rPr>
        <w:t xml:space="preserve"> 2015; </w:t>
      </w:r>
      <w:r w:rsidRPr="00981DC5">
        <w:rPr>
          <w:rFonts w:ascii="Book Antiqua" w:hAnsi="Book Antiqua"/>
          <w:b/>
          <w:color w:val="000000" w:themeColor="text1"/>
          <w:sz w:val="24"/>
          <w:szCs w:val="24"/>
        </w:rPr>
        <w:t>21</w:t>
      </w:r>
      <w:r w:rsidRPr="00981DC5">
        <w:rPr>
          <w:rFonts w:ascii="Book Antiqua" w:hAnsi="Book Antiqua"/>
          <w:color w:val="000000" w:themeColor="text1"/>
          <w:sz w:val="24"/>
          <w:szCs w:val="24"/>
        </w:rPr>
        <w:t>: 969-975 [PMID: 25573382 DOI: 10.1158/1078-0432.CCR-14-2921]</w:t>
      </w:r>
    </w:p>
    <w:p w14:paraId="0EB92F5D" w14:textId="77777777" w:rsidR="00B11A05" w:rsidRPr="00981DC5" w:rsidRDefault="00B11A05" w:rsidP="00B11A05">
      <w:pPr>
        <w:adjustRightInd w:val="0"/>
        <w:snapToGrid w:val="0"/>
        <w:spacing w:after="0" w:line="360" w:lineRule="auto"/>
        <w:jc w:val="both"/>
        <w:rPr>
          <w:rFonts w:ascii="Book Antiqua" w:hAnsi="Book Antiqua"/>
          <w:color w:val="000000" w:themeColor="text1"/>
          <w:sz w:val="24"/>
          <w:szCs w:val="24"/>
        </w:rPr>
      </w:pPr>
      <w:r w:rsidRPr="00981DC5">
        <w:rPr>
          <w:rFonts w:ascii="Book Antiqua" w:hAnsi="Book Antiqua"/>
          <w:color w:val="000000" w:themeColor="text1"/>
          <w:sz w:val="24"/>
          <w:szCs w:val="24"/>
        </w:rPr>
        <w:t xml:space="preserve">39 </w:t>
      </w:r>
      <w:r w:rsidRPr="00981DC5">
        <w:rPr>
          <w:rFonts w:ascii="Book Antiqua" w:hAnsi="Book Antiqua"/>
          <w:b/>
          <w:color w:val="000000" w:themeColor="text1"/>
          <w:sz w:val="24"/>
          <w:szCs w:val="24"/>
        </w:rPr>
        <w:t>Lin J</w:t>
      </w:r>
      <w:r w:rsidRPr="00981DC5">
        <w:rPr>
          <w:rFonts w:ascii="Book Antiqua" w:hAnsi="Book Antiqua"/>
          <w:color w:val="000000" w:themeColor="text1"/>
          <w:sz w:val="24"/>
          <w:szCs w:val="24"/>
        </w:rPr>
        <w:t xml:space="preserve">, Zhang W, Zhao JJ, Kwart AH, Yang C, Ma D, Ren X, Tai YT, Anderson KC, Handin RI, Munshi NC. A clinically relevant in vivo zebrafish model of human multiple myeloma </w:t>
      </w:r>
      <w:r w:rsidRPr="00981DC5">
        <w:rPr>
          <w:rFonts w:ascii="Book Antiqua" w:hAnsi="Book Antiqua"/>
          <w:color w:val="000000" w:themeColor="text1"/>
          <w:sz w:val="24"/>
          <w:szCs w:val="24"/>
        </w:rPr>
        <w:lastRenderedPageBreak/>
        <w:t xml:space="preserve">to study preclinical therapeutic efficacy. </w:t>
      </w:r>
      <w:r w:rsidRPr="00981DC5">
        <w:rPr>
          <w:rFonts w:ascii="Book Antiqua" w:hAnsi="Book Antiqua"/>
          <w:i/>
          <w:color w:val="000000" w:themeColor="text1"/>
          <w:sz w:val="24"/>
          <w:szCs w:val="24"/>
        </w:rPr>
        <w:t>Blood</w:t>
      </w:r>
      <w:r w:rsidRPr="00981DC5">
        <w:rPr>
          <w:rFonts w:ascii="Book Antiqua" w:hAnsi="Book Antiqua"/>
          <w:color w:val="000000" w:themeColor="text1"/>
          <w:sz w:val="24"/>
          <w:szCs w:val="24"/>
        </w:rPr>
        <w:t xml:space="preserve"> 2016; </w:t>
      </w:r>
      <w:r w:rsidRPr="00981DC5">
        <w:rPr>
          <w:rFonts w:ascii="Book Antiqua" w:hAnsi="Book Antiqua"/>
          <w:b/>
          <w:color w:val="000000" w:themeColor="text1"/>
          <w:sz w:val="24"/>
          <w:szCs w:val="24"/>
        </w:rPr>
        <w:t>128</w:t>
      </w:r>
      <w:r w:rsidRPr="00981DC5">
        <w:rPr>
          <w:rFonts w:ascii="Book Antiqua" w:hAnsi="Book Antiqua"/>
          <w:color w:val="000000" w:themeColor="text1"/>
          <w:sz w:val="24"/>
          <w:szCs w:val="24"/>
        </w:rPr>
        <w:t>: 249-252 [PMID: 27207793 DOI: 10.1182/blood-2016-03-704460]</w:t>
      </w:r>
    </w:p>
    <w:p w14:paraId="715AAA45" w14:textId="77777777" w:rsidR="00B11A05" w:rsidRPr="00981DC5" w:rsidRDefault="00B11A05" w:rsidP="00B11A05">
      <w:pPr>
        <w:adjustRightInd w:val="0"/>
        <w:snapToGrid w:val="0"/>
        <w:spacing w:after="0" w:line="360" w:lineRule="auto"/>
        <w:jc w:val="both"/>
        <w:rPr>
          <w:rFonts w:ascii="Book Antiqua" w:hAnsi="Book Antiqua"/>
          <w:color w:val="000000" w:themeColor="text1"/>
          <w:sz w:val="24"/>
          <w:szCs w:val="24"/>
        </w:rPr>
      </w:pPr>
      <w:r w:rsidRPr="00981DC5">
        <w:rPr>
          <w:rFonts w:ascii="Book Antiqua" w:hAnsi="Book Antiqua"/>
          <w:color w:val="000000" w:themeColor="text1"/>
          <w:sz w:val="24"/>
          <w:szCs w:val="24"/>
        </w:rPr>
        <w:t xml:space="preserve">40 </w:t>
      </w:r>
      <w:r w:rsidRPr="00981DC5">
        <w:rPr>
          <w:rFonts w:ascii="Book Antiqua" w:hAnsi="Book Antiqua"/>
          <w:b/>
          <w:color w:val="000000" w:themeColor="text1"/>
          <w:sz w:val="24"/>
          <w:szCs w:val="24"/>
        </w:rPr>
        <w:t>Tong H</w:t>
      </w:r>
      <w:r w:rsidRPr="00981DC5">
        <w:rPr>
          <w:rFonts w:ascii="Book Antiqua" w:hAnsi="Book Antiqua"/>
          <w:color w:val="000000" w:themeColor="text1"/>
          <w:sz w:val="24"/>
          <w:szCs w:val="24"/>
        </w:rPr>
        <w:t xml:space="preserve">, Fan Z, Liu B, Lu T. The benefits of modified FOLFIRINOX for advanced pancreatic cancer and its induced adverse events: a systematic review and meta-analysis. </w:t>
      </w:r>
      <w:r w:rsidRPr="00981DC5">
        <w:rPr>
          <w:rFonts w:ascii="Book Antiqua" w:hAnsi="Book Antiqua"/>
          <w:i/>
          <w:color w:val="000000" w:themeColor="text1"/>
          <w:sz w:val="24"/>
          <w:szCs w:val="24"/>
        </w:rPr>
        <w:t>Sci Rep</w:t>
      </w:r>
      <w:r w:rsidRPr="00981DC5">
        <w:rPr>
          <w:rFonts w:ascii="Book Antiqua" w:hAnsi="Book Antiqua"/>
          <w:color w:val="000000" w:themeColor="text1"/>
          <w:sz w:val="24"/>
          <w:szCs w:val="24"/>
        </w:rPr>
        <w:t xml:space="preserve"> 2018; </w:t>
      </w:r>
      <w:r w:rsidRPr="00981DC5">
        <w:rPr>
          <w:rFonts w:ascii="Book Antiqua" w:hAnsi="Book Antiqua"/>
          <w:b/>
          <w:color w:val="000000" w:themeColor="text1"/>
          <w:sz w:val="24"/>
          <w:szCs w:val="24"/>
        </w:rPr>
        <w:t>8</w:t>
      </w:r>
      <w:r w:rsidRPr="00981DC5">
        <w:rPr>
          <w:rFonts w:ascii="Book Antiqua" w:hAnsi="Book Antiqua"/>
          <w:color w:val="000000" w:themeColor="text1"/>
          <w:sz w:val="24"/>
          <w:szCs w:val="24"/>
        </w:rPr>
        <w:t>: 8666 [PMID: 29875415 DOI: 10.1038/s41598-018-26811-9]</w:t>
      </w:r>
    </w:p>
    <w:p w14:paraId="3E430EB4" w14:textId="77777777" w:rsidR="00B11A05" w:rsidRPr="00981DC5" w:rsidRDefault="00B11A05" w:rsidP="00B11A05">
      <w:pPr>
        <w:adjustRightInd w:val="0"/>
        <w:snapToGrid w:val="0"/>
        <w:spacing w:after="0" w:line="360" w:lineRule="auto"/>
        <w:jc w:val="both"/>
        <w:rPr>
          <w:rFonts w:ascii="Book Antiqua" w:hAnsi="Book Antiqua"/>
          <w:color w:val="000000" w:themeColor="text1"/>
          <w:sz w:val="24"/>
          <w:szCs w:val="24"/>
        </w:rPr>
      </w:pPr>
      <w:r w:rsidRPr="00981DC5">
        <w:rPr>
          <w:rFonts w:ascii="Book Antiqua" w:hAnsi="Book Antiqua"/>
          <w:color w:val="000000" w:themeColor="text1"/>
          <w:sz w:val="24"/>
          <w:szCs w:val="24"/>
        </w:rPr>
        <w:t xml:space="preserve">41 </w:t>
      </w:r>
      <w:r w:rsidRPr="00981DC5">
        <w:rPr>
          <w:rFonts w:ascii="Book Antiqua" w:hAnsi="Book Antiqua"/>
          <w:b/>
          <w:color w:val="000000" w:themeColor="text1"/>
          <w:sz w:val="24"/>
          <w:szCs w:val="24"/>
        </w:rPr>
        <w:t>Lakatos G</w:t>
      </w:r>
      <w:r w:rsidRPr="00981DC5">
        <w:rPr>
          <w:rFonts w:ascii="Book Antiqua" w:hAnsi="Book Antiqua"/>
          <w:color w:val="000000" w:themeColor="text1"/>
          <w:sz w:val="24"/>
          <w:szCs w:val="24"/>
        </w:rPr>
        <w:t xml:space="preserve">, Petranyi A, Szűcs A, Nehéz L, Harsanyi L, Hegyi P, Bodoky G. Efficacy and Safety of FOLFIRINOX in Locally Advanced Pancreatic Cancer. A Single Center Experience. </w:t>
      </w:r>
      <w:r w:rsidRPr="00981DC5">
        <w:rPr>
          <w:rFonts w:ascii="Book Antiqua" w:hAnsi="Book Antiqua"/>
          <w:i/>
          <w:color w:val="000000" w:themeColor="text1"/>
          <w:sz w:val="24"/>
          <w:szCs w:val="24"/>
        </w:rPr>
        <w:t>Pathol Oncol Res</w:t>
      </w:r>
      <w:r w:rsidRPr="00981DC5">
        <w:rPr>
          <w:rFonts w:ascii="Book Antiqua" w:hAnsi="Book Antiqua"/>
          <w:color w:val="000000" w:themeColor="text1"/>
          <w:sz w:val="24"/>
          <w:szCs w:val="24"/>
        </w:rPr>
        <w:t xml:space="preserve"> 2017; </w:t>
      </w:r>
      <w:r w:rsidRPr="00981DC5">
        <w:rPr>
          <w:rFonts w:ascii="Book Antiqua" w:hAnsi="Book Antiqua"/>
          <w:b/>
          <w:color w:val="000000" w:themeColor="text1"/>
          <w:sz w:val="24"/>
          <w:szCs w:val="24"/>
        </w:rPr>
        <w:t>23</w:t>
      </w:r>
      <w:r w:rsidRPr="00981DC5">
        <w:rPr>
          <w:rFonts w:ascii="Book Antiqua" w:hAnsi="Book Antiqua"/>
          <w:color w:val="000000" w:themeColor="text1"/>
          <w:sz w:val="24"/>
          <w:szCs w:val="24"/>
        </w:rPr>
        <w:t>: 753-759 [PMID: 28062950 DOI: 10.1007/s12253-016-0176-0]</w:t>
      </w:r>
    </w:p>
    <w:p w14:paraId="2D97F020" w14:textId="77777777" w:rsidR="00B11A05" w:rsidRPr="00981DC5" w:rsidRDefault="00B11A05" w:rsidP="00B11A05">
      <w:pPr>
        <w:adjustRightInd w:val="0"/>
        <w:snapToGrid w:val="0"/>
        <w:spacing w:after="0" w:line="360" w:lineRule="auto"/>
        <w:jc w:val="both"/>
        <w:rPr>
          <w:rFonts w:ascii="Book Antiqua" w:hAnsi="Book Antiqua"/>
          <w:color w:val="000000" w:themeColor="text1"/>
          <w:sz w:val="24"/>
          <w:szCs w:val="24"/>
        </w:rPr>
      </w:pPr>
      <w:r w:rsidRPr="00981DC5">
        <w:rPr>
          <w:rFonts w:ascii="Book Antiqua" w:hAnsi="Book Antiqua"/>
          <w:color w:val="000000" w:themeColor="text1"/>
          <w:sz w:val="24"/>
          <w:szCs w:val="24"/>
        </w:rPr>
        <w:t xml:space="preserve">42 </w:t>
      </w:r>
      <w:r w:rsidRPr="00981DC5">
        <w:rPr>
          <w:rFonts w:ascii="Book Antiqua" w:hAnsi="Book Antiqua"/>
          <w:b/>
          <w:color w:val="000000" w:themeColor="text1"/>
          <w:sz w:val="24"/>
          <w:szCs w:val="24"/>
        </w:rPr>
        <w:t>Nitsche U</w:t>
      </w:r>
      <w:r w:rsidRPr="00981DC5">
        <w:rPr>
          <w:rFonts w:ascii="Book Antiqua" w:hAnsi="Book Antiqua"/>
          <w:color w:val="000000" w:themeColor="text1"/>
          <w:sz w:val="24"/>
          <w:szCs w:val="24"/>
        </w:rPr>
        <w:t xml:space="preserve">, Wenzel P, Siveke JT, Braren R, Holzapfel K, Schlitter AM, Stöß C, Kong B, Esposito I, Erkan M, Michalski CW, Friess H, Kleeff J. Resectability After First-Line FOLFIRINOX in Initially Unresectable Locally Advanced Pancreatic Cancer: A Single-Center Experience. </w:t>
      </w:r>
      <w:r w:rsidRPr="00981DC5">
        <w:rPr>
          <w:rFonts w:ascii="Book Antiqua" w:hAnsi="Book Antiqua"/>
          <w:i/>
          <w:color w:val="000000" w:themeColor="text1"/>
          <w:sz w:val="24"/>
          <w:szCs w:val="24"/>
        </w:rPr>
        <w:t>Ann Surg Oncol</w:t>
      </w:r>
      <w:r w:rsidRPr="00981DC5">
        <w:rPr>
          <w:rFonts w:ascii="Book Antiqua" w:hAnsi="Book Antiqua"/>
          <w:color w:val="000000" w:themeColor="text1"/>
          <w:sz w:val="24"/>
          <w:szCs w:val="24"/>
        </w:rPr>
        <w:t xml:space="preserve"> 2015; </w:t>
      </w:r>
      <w:r w:rsidRPr="00981DC5">
        <w:rPr>
          <w:rFonts w:ascii="Book Antiqua" w:hAnsi="Book Antiqua"/>
          <w:b/>
          <w:color w:val="000000" w:themeColor="text1"/>
          <w:sz w:val="24"/>
          <w:szCs w:val="24"/>
        </w:rPr>
        <w:t>22 Suppl 3</w:t>
      </w:r>
      <w:r w:rsidRPr="00981DC5">
        <w:rPr>
          <w:rFonts w:ascii="Book Antiqua" w:hAnsi="Book Antiqua"/>
          <w:color w:val="000000" w:themeColor="text1"/>
          <w:sz w:val="24"/>
          <w:szCs w:val="24"/>
        </w:rPr>
        <w:t>: S1212-S1220 [PMID: 26350368 DOI: 10.1245/s10434-015-4851-2]</w:t>
      </w:r>
    </w:p>
    <w:p w14:paraId="38E3C235" w14:textId="77777777" w:rsidR="00B11A05" w:rsidRPr="00981DC5" w:rsidRDefault="00B11A05" w:rsidP="00B11A05">
      <w:pPr>
        <w:adjustRightInd w:val="0"/>
        <w:snapToGrid w:val="0"/>
        <w:spacing w:after="0" w:line="360" w:lineRule="auto"/>
        <w:jc w:val="both"/>
        <w:rPr>
          <w:rFonts w:ascii="Book Antiqua" w:hAnsi="Book Antiqua"/>
          <w:color w:val="000000" w:themeColor="text1"/>
          <w:sz w:val="24"/>
          <w:szCs w:val="24"/>
        </w:rPr>
      </w:pPr>
      <w:r w:rsidRPr="00981DC5">
        <w:rPr>
          <w:rFonts w:ascii="Book Antiqua" w:hAnsi="Book Antiqua"/>
          <w:color w:val="000000" w:themeColor="text1"/>
          <w:sz w:val="24"/>
          <w:szCs w:val="24"/>
        </w:rPr>
        <w:t xml:space="preserve">43 </w:t>
      </w:r>
      <w:r w:rsidRPr="00981DC5">
        <w:rPr>
          <w:rFonts w:ascii="Book Antiqua" w:hAnsi="Book Antiqua"/>
          <w:b/>
          <w:color w:val="000000" w:themeColor="text1"/>
          <w:sz w:val="24"/>
          <w:szCs w:val="24"/>
        </w:rPr>
        <w:t>Sadot E</w:t>
      </w:r>
      <w:r w:rsidRPr="00981DC5">
        <w:rPr>
          <w:rFonts w:ascii="Book Antiqua" w:hAnsi="Book Antiqua"/>
          <w:color w:val="000000" w:themeColor="text1"/>
          <w:sz w:val="24"/>
          <w:szCs w:val="24"/>
        </w:rPr>
        <w:t xml:space="preserve">, Doussot A, O'Reilly EM, Lowery MA, Goodman KA, Do RK, Tang LH, Gönen M, D'Angelica MI, DeMatteo RP, Kingham TP, Jarnagin WR, Allen PJ. FOLFIRINOX Induction Therapy for Stage 3 Pancreatic Adenocarcinoma. </w:t>
      </w:r>
      <w:r w:rsidRPr="00981DC5">
        <w:rPr>
          <w:rFonts w:ascii="Book Antiqua" w:hAnsi="Book Antiqua"/>
          <w:i/>
          <w:color w:val="000000" w:themeColor="text1"/>
          <w:sz w:val="24"/>
          <w:szCs w:val="24"/>
        </w:rPr>
        <w:t>Ann Surg Oncol</w:t>
      </w:r>
      <w:r w:rsidRPr="00981DC5">
        <w:rPr>
          <w:rFonts w:ascii="Book Antiqua" w:hAnsi="Book Antiqua"/>
          <w:color w:val="000000" w:themeColor="text1"/>
          <w:sz w:val="24"/>
          <w:szCs w:val="24"/>
        </w:rPr>
        <w:t xml:space="preserve"> 2015; </w:t>
      </w:r>
      <w:r w:rsidRPr="00981DC5">
        <w:rPr>
          <w:rFonts w:ascii="Book Antiqua" w:hAnsi="Book Antiqua"/>
          <w:b/>
          <w:color w:val="000000" w:themeColor="text1"/>
          <w:sz w:val="24"/>
          <w:szCs w:val="24"/>
        </w:rPr>
        <w:t>22</w:t>
      </w:r>
      <w:r w:rsidRPr="00981DC5">
        <w:rPr>
          <w:rFonts w:ascii="Book Antiqua" w:hAnsi="Book Antiqua"/>
          <w:color w:val="000000" w:themeColor="text1"/>
          <w:sz w:val="24"/>
          <w:szCs w:val="24"/>
        </w:rPr>
        <w:t>: 3512-3521 [PMID: 26065868 DOI: 10.1245/s10434-015-4647-4]</w:t>
      </w:r>
    </w:p>
    <w:p w14:paraId="149E4924" w14:textId="77777777" w:rsidR="00B11A05" w:rsidRPr="00981DC5" w:rsidRDefault="00B11A05" w:rsidP="00B11A05">
      <w:pPr>
        <w:adjustRightInd w:val="0"/>
        <w:snapToGrid w:val="0"/>
        <w:spacing w:after="0" w:line="360" w:lineRule="auto"/>
        <w:jc w:val="both"/>
        <w:rPr>
          <w:rFonts w:ascii="Book Antiqua" w:hAnsi="Book Antiqua"/>
          <w:color w:val="000000" w:themeColor="text1"/>
          <w:sz w:val="24"/>
          <w:szCs w:val="24"/>
        </w:rPr>
      </w:pPr>
      <w:r w:rsidRPr="00981DC5">
        <w:rPr>
          <w:rFonts w:ascii="Book Antiqua" w:hAnsi="Book Antiqua"/>
          <w:color w:val="000000" w:themeColor="text1"/>
          <w:sz w:val="24"/>
          <w:szCs w:val="24"/>
        </w:rPr>
        <w:t xml:space="preserve">44 </w:t>
      </w:r>
      <w:r w:rsidRPr="00981DC5">
        <w:rPr>
          <w:rFonts w:ascii="Book Antiqua" w:hAnsi="Book Antiqua"/>
          <w:b/>
          <w:color w:val="000000" w:themeColor="text1"/>
          <w:sz w:val="24"/>
          <w:szCs w:val="24"/>
        </w:rPr>
        <w:t>Wang ZQ</w:t>
      </w:r>
      <w:r w:rsidRPr="00981DC5">
        <w:rPr>
          <w:rFonts w:ascii="Book Antiqua" w:hAnsi="Book Antiqua"/>
          <w:color w:val="000000" w:themeColor="text1"/>
          <w:sz w:val="24"/>
          <w:szCs w:val="24"/>
        </w:rPr>
        <w:t xml:space="preserve">, Zhang F, Deng T, Zhang L, Feng F, Wang FH, Wang W, Wang DS, Luo HY, Xu RH, Ba Y, Li YH. The efficacy and safety of modified FOLFIRINOX as first-line chemotherapy for Chinese patients with metastatic pancreatic cancer. </w:t>
      </w:r>
      <w:r w:rsidRPr="00981DC5">
        <w:rPr>
          <w:rFonts w:ascii="Book Antiqua" w:hAnsi="Book Antiqua"/>
          <w:i/>
          <w:color w:val="000000" w:themeColor="text1"/>
          <w:sz w:val="24"/>
          <w:szCs w:val="24"/>
        </w:rPr>
        <w:t>Cancer Commun (Lond)</w:t>
      </w:r>
      <w:r w:rsidRPr="00981DC5">
        <w:rPr>
          <w:rFonts w:ascii="Book Antiqua" w:hAnsi="Book Antiqua"/>
          <w:color w:val="000000" w:themeColor="text1"/>
          <w:sz w:val="24"/>
          <w:szCs w:val="24"/>
        </w:rPr>
        <w:t xml:space="preserve"> 2019; </w:t>
      </w:r>
      <w:r w:rsidRPr="00981DC5">
        <w:rPr>
          <w:rFonts w:ascii="Book Antiqua" w:hAnsi="Book Antiqua"/>
          <w:b/>
          <w:color w:val="000000" w:themeColor="text1"/>
          <w:sz w:val="24"/>
          <w:szCs w:val="24"/>
        </w:rPr>
        <w:t>39</w:t>
      </w:r>
      <w:r w:rsidRPr="00981DC5">
        <w:rPr>
          <w:rFonts w:ascii="Book Antiqua" w:hAnsi="Book Antiqua"/>
          <w:color w:val="000000" w:themeColor="text1"/>
          <w:sz w:val="24"/>
          <w:szCs w:val="24"/>
        </w:rPr>
        <w:t>: 26 [PMID: 31068222 DOI: 10.1186/s40880-019-0367-7]</w:t>
      </w:r>
    </w:p>
    <w:p w14:paraId="1768B469" w14:textId="77777777" w:rsidR="00B11A05" w:rsidRPr="00981DC5" w:rsidRDefault="00B11A05" w:rsidP="00B11A05">
      <w:pPr>
        <w:adjustRightInd w:val="0"/>
        <w:snapToGrid w:val="0"/>
        <w:spacing w:after="0" w:line="360" w:lineRule="auto"/>
        <w:jc w:val="both"/>
        <w:rPr>
          <w:rFonts w:ascii="Book Antiqua" w:hAnsi="Book Antiqua"/>
          <w:color w:val="000000" w:themeColor="text1"/>
          <w:sz w:val="24"/>
          <w:szCs w:val="24"/>
        </w:rPr>
      </w:pPr>
      <w:r w:rsidRPr="00981DC5">
        <w:rPr>
          <w:rFonts w:ascii="Book Antiqua" w:hAnsi="Book Antiqua"/>
          <w:color w:val="000000" w:themeColor="text1"/>
          <w:sz w:val="24"/>
          <w:szCs w:val="24"/>
        </w:rPr>
        <w:t xml:space="preserve">45 </w:t>
      </w:r>
      <w:r w:rsidRPr="00981DC5">
        <w:rPr>
          <w:rFonts w:ascii="Book Antiqua" w:hAnsi="Book Antiqua"/>
          <w:b/>
          <w:color w:val="000000" w:themeColor="text1"/>
          <w:sz w:val="24"/>
          <w:szCs w:val="24"/>
        </w:rPr>
        <w:t>Kræmer PC</w:t>
      </w:r>
      <w:r w:rsidRPr="00981DC5">
        <w:rPr>
          <w:rFonts w:ascii="Book Antiqua" w:hAnsi="Book Antiqua"/>
          <w:color w:val="000000" w:themeColor="text1"/>
          <w:sz w:val="24"/>
          <w:szCs w:val="24"/>
        </w:rPr>
        <w:t xml:space="preserve">, Schmidt HH, Ladekarl M. Danish experiences with FOLFIRINOX as first-line therapy in patients with inoperable pancreatic cancer. </w:t>
      </w:r>
      <w:r w:rsidRPr="00981DC5">
        <w:rPr>
          <w:rFonts w:ascii="Book Antiqua" w:hAnsi="Book Antiqua"/>
          <w:i/>
          <w:color w:val="000000" w:themeColor="text1"/>
          <w:sz w:val="24"/>
          <w:szCs w:val="24"/>
        </w:rPr>
        <w:t>Dan Med J</w:t>
      </w:r>
      <w:r w:rsidRPr="00981DC5">
        <w:rPr>
          <w:rFonts w:ascii="Book Antiqua" w:hAnsi="Book Antiqua"/>
          <w:color w:val="000000" w:themeColor="text1"/>
          <w:sz w:val="24"/>
          <w:szCs w:val="24"/>
        </w:rPr>
        <w:t xml:space="preserve"> 2014; </w:t>
      </w:r>
      <w:r w:rsidRPr="00981DC5">
        <w:rPr>
          <w:rFonts w:ascii="Book Antiqua" w:hAnsi="Book Antiqua"/>
          <w:b/>
          <w:color w:val="000000" w:themeColor="text1"/>
          <w:sz w:val="24"/>
          <w:szCs w:val="24"/>
        </w:rPr>
        <w:t>61</w:t>
      </w:r>
      <w:r w:rsidRPr="00981DC5">
        <w:rPr>
          <w:rFonts w:ascii="Book Antiqua" w:hAnsi="Book Antiqua"/>
          <w:color w:val="000000" w:themeColor="text1"/>
          <w:sz w:val="24"/>
          <w:szCs w:val="24"/>
        </w:rPr>
        <w:t>: A4819 [PMID: 24814594]</w:t>
      </w:r>
    </w:p>
    <w:p w14:paraId="26DDDAD1" w14:textId="77777777" w:rsidR="00B11A05" w:rsidRPr="00981DC5" w:rsidRDefault="00B11A05" w:rsidP="00B11A05">
      <w:pPr>
        <w:adjustRightInd w:val="0"/>
        <w:snapToGrid w:val="0"/>
        <w:spacing w:after="0" w:line="360" w:lineRule="auto"/>
        <w:jc w:val="both"/>
        <w:rPr>
          <w:rFonts w:ascii="Book Antiqua" w:hAnsi="Book Antiqua"/>
          <w:color w:val="000000" w:themeColor="text1"/>
          <w:sz w:val="24"/>
          <w:szCs w:val="24"/>
        </w:rPr>
      </w:pPr>
      <w:r w:rsidRPr="00981DC5">
        <w:rPr>
          <w:rFonts w:ascii="Book Antiqua" w:hAnsi="Book Antiqua"/>
          <w:color w:val="000000" w:themeColor="text1"/>
          <w:sz w:val="24"/>
          <w:szCs w:val="24"/>
        </w:rPr>
        <w:t xml:space="preserve">46 </w:t>
      </w:r>
      <w:r w:rsidRPr="00981DC5">
        <w:rPr>
          <w:rFonts w:ascii="Book Antiqua" w:hAnsi="Book Antiqua"/>
          <w:b/>
          <w:color w:val="000000" w:themeColor="text1"/>
          <w:sz w:val="24"/>
          <w:szCs w:val="24"/>
        </w:rPr>
        <w:t>Shi YX</w:t>
      </w:r>
      <w:r w:rsidRPr="00981DC5">
        <w:rPr>
          <w:rFonts w:ascii="Book Antiqua" w:hAnsi="Book Antiqua"/>
          <w:color w:val="000000" w:themeColor="text1"/>
          <w:sz w:val="24"/>
          <w:szCs w:val="24"/>
        </w:rPr>
        <w:t xml:space="preserve">, Xu RH, Jiang WQ, Zhang L, Lin TY, Li YH, Xia ZJ, Luo HY, Han B, Wang F, He YJ, Guan ZZ. [Efficacy of gemcitabine combined oxaliplatin on advanced pancreatic cancer]. </w:t>
      </w:r>
      <w:r w:rsidRPr="00981DC5">
        <w:rPr>
          <w:rFonts w:ascii="Book Antiqua" w:hAnsi="Book Antiqua"/>
          <w:i/>
          <w:color w:val="000000" w:themeColor="text1"/>
          <w:sz w:val="24"/>
          <w:szCs w:val="24"/>
        </w:rPr>
        <w:t>Ai Zheng</w:t>
      </w:r>
      <w:r w:rsidRPr="00981DC5">
        <w:rPr>
          <w:rFonts w:ascii="Book Antiqua" w:hAnsi="Book Antiqua"/>
          <w:color w:val="000000" w:themeColor="text1"/>
          <w:sz w:val="24"/>
          <w:szCs w:val="24"/>
        </w:rPr>
        <w:t xml:space="preserve"> 2007; </w:t>
      </w:r>
      <w:r w:rsidRPr="00981DC5">
        <w:rPr>
          <w:rFonts w:ascii="Book Antiqua" w:hAnsi="Book Antiqua"/>
          <w:b/>
          <w:color w:val="000000" w:themeColor="text1"/>
          <w:sz w:val="24"/>
          <w:szCs w:val="24"/>
        </w:rPr>
        <w:t>26</w:t>
      </w:r>
      <w:r w:rsidRPr="00981DC5">
        <w:rPr>
          <w:rFonts w:ascii="Book Antiqua" w:hAnsi="Book Antiqua"/>
          <w:color w:val="000000" w:themeColor="text1"/>
          <w:sz w:val="24"/>
          <w:szCs w:val="24"/>
        </w:rPr>
        <w:t>: 1381-1384 [PMID: 18076807]</w:t>
      </w:r>
    </w:p>
    <w:p w14:paraId="28204005" w14:textId="77777777" w:rsidR="00B11A05" w:rsidRPr="00981DC5" w:rsidRDefault="00B11A05" w:rsidP="00B11A05">
      <w:pPr>
        <w:adjustRightInd w:val="0"/>
        <w:snapToGrid w:val="0"/>
        <w:spacing w:after="0" w:line="360" w:lineRule="auto"/>
        <w:jc w:val="both"/>
        <w:rPr>
          <w:rFonts w:ascii="Book Antiqua" w:hAnsi="Book Antiqua"/>
          <w:color w:val="000000" w:themeColor="text1"/>
          <w:sz w:val="24"/>
          <w:szCs w:val="24"/>
        </w:rPr>
      </w:pPr>
      <w:r w:rsidRPr="00981DC5">
        <w:rPr>
          <w:rFonts w:ascii="Book Antiqua" w:hAnsi="Book Antiqua"/>
          <w:color w:val="000000" w:themeColor="text1"/>
          <w:sz w:val="24"/>
          <w:szCs w:val="24"/>
        </w:rPr>
        <w:t xml:space="preserve">47 </w:t>
      </w:r>
      <w:r w:rsidRPr="00981DC5">
        <w:rPr>
          <w:rFonts w:ascii="Book Antiqua" w:hAnsi="Book Antiqua"/>
          <w:b/>
          <w:color w:val="000000" w:themeColor="text1"/>
          <w:sz w:val="24"/>
          <w:szCs w:val="24"/>
        </w:rPr>
        <w:t>Li J</w:t>
      </w:r>
      <w:r w:rsidRPr="00981DC5">
        <w:rPr>
          <w:rFonts w:ascii="Book Antiqua" w:hAnsi="Book Antiqua"/>
          <w:color w:val="000000" w:themeColor="text1"/>
          <w:sz w:val="24"/>
          <w:szCs w:val="24"/>
        </w:rPr>
        <w:t xml:space="preserve">, Merl M, Lee MX, Kaley K, Saif MW. Safety and efficacy of single-day GemOx regimen in patients with pancreatobiliary cancer: a single institution experience. </w:t>
      </w:r>
      <w:r w:rsidRPr="00981DC5">
        <w:rPr>
          <w:rFonts w:ascii="Book Antiqua" w:hAnsi="Book Antiqua"/>
          <w:i/>
          <w:color w:val="000000" w:themeColor="text1"/>
          <w:sz w:val="24"/>
          <w:szCs w:val="24"/>
        </w:rPr>
        <w:t>Expert Opin Drug Saf</w:t>
      </w:r>
      <w:r w:rsidRPr="00981DC5">
        <w:rPr>
          <w:rFonts w:ascii="Book Antiqua" w:hAnsi="Book Antiqua"/>
          <w:color w:val="000000" w:themeColor="text1"/>
          <w:sz w:val="24"/>
          <w:szCs w:val="24"/>
        </w:rPr>
        <w:t xml:space="preserve"> 2010; </w:t>
      </w:r>
      <w:r w:rsidRPr="00981DC5">
        <w:rPr>
          <w:rFonts w:ascii="Book Antiqua" w:hAnsi="Book Antiqua"/>
          <w:b/>
          <w:color w:val="000000" w:themeColor="text1"/>
          <w:sz w:val="24"/>
          <w:szCs w:val="24"/>
        </w:rPr>
        <w:t>9</w:t>
      </w:r>
      <w:r w:rsidRPr="00981DC5">
        <w:rPr>
          <w:rFonts w:ascii="Book Antiqua" w:hAnsi="Book Antiqua"/>
          <w:color w:val="000000" w:themeColor="text1"/>
          <w:sz w:val="24"/>
          <w:szCs w:val="24"/>
        </w:rPr>
        <w:t>: 207-213 [PMID: 20095915 DOI: 10.1517/14740330903555181]</w:t>
      </w:r>
    </w:p>
    <w:p w14:paraId="7844CD37" w14:textId="77777777" w:rsidR="00B11A05" w:rsidRPr="00981DC5" w:rsidRDefault="00B11A05" w:rsidP="00B11A05">
      <w:pPr>
        <w:adjustRightInd w:val="0"/>
        <w:snapToGrid w:val="0"/>
        <w:spacing w:after="0" w:line="360" w:lineRule="auto"/>
        <w:jc w:val="both"/>
        <w:rPr>
          <w:rFonts w:ascii="Book Antiqua" w:hAnsi="Book Antiqua"/>
          <w:color w:val="000000" w:themeColor="text1"/>
          <w:sz w:val="24"/>
          <w:szCs w:val="24"/>
        </w:rPr>
      </w:pPr>
      <w:r w:rsidRPr="00981DC5">
        <w:rPr>
          <w:rFonts w:ascii="Book Antiqua" w:hAnsi="Book Antiqua"/>
          <w:color w:val="000000" w:themeColor="text1"/>
          <w:sz w:val="24"/>
          <w:szCs w:val="24"/>
        </w:rPr>
        <w:lastRenderedPageBreak/>
        <w:t xml:space="preserve">48 </w:t>
      </w:r>
      <w:r w:rsidRPr="00981DC5">
        <w:rPr>
          <w:rFonts w:ascii="Book Antiqua" w:hAnsi="Book Antiqua"/>
          <w:b/>
          <w:color w:val="000000" w:themeColor="text1"/>
          <w:sz w:val="24"/>
          <w:szCs w:val="24"/>
        </w:rPr>
        <w:t>Von Hoff DD</w:t>
      </w:r>
      <w:r w:rsidRPr="00981DC5">
        <w:rPr>
          <w:rFonts w:ascii="Book Antiqua" w:hAnsi="Book Antiqua"/>
          <w:color w:val="000000" w:themeColor="text1"/>
          <w:sz w:val="24"/>
          <w:szCs w:val="24"/>
        </w:rPr>
        <w:t xml:space="preserve">, Ervin T, Arena FP, Chiorean EG, Infante J, Moore M, Seay T, Tjulandin SA, Ma WW, Saleh MN, Harris M, Reni M, Dowden S, Laheru D, Bahary N, Ramanathan RK, Tabernero J, Hidalgo M, Goldstein D, Van Cutsem E, Wei X, Iglesias J, Renschler MF. Increased survival in pancreatic cancer with nab-paclitaxel plus gemcitabine. </w:t>
      </w:r>
      <w:r w:rsidRPr="00981DC5">
        <w:rPr>
          <w:rFonts w:ascii="Book Antiqua" w:hAnsi="Book Antiqua"/>
          <w:i/>
          <w:color w:val="000000" w:themeColor="text1"/>
          <w:sz w:val="24"/>
          <w:szCs w:val="24"/>
        </w:rPr>
        <w:t>N Engl J Med</w:t>
      </w:r>
      <w:r w:rsidRPr="00981DC5">
        <w:rPr>
          <w:rFonts w:ascii="Book Antiqua" w:hAnsi="Book Antiqua"/>
          <w:color w:val="000000" w:themeColor="text1"/>
          <w:sz w:val="24"/>
          <w:szCs w:val="24"/>
        </w:rPr>
        <w:t xml:space="preserve"> 2013; </w:t>
      </w:r>
      <w:r w:rsidRPr="00981DC5">
        <w:rPr>
          <w:rFonts w:ascii="Book Antiqua" w:hAnsi="Book Antiqua"/>
          <w:b/>
          <w:color w:val="000000" w:themeColor="text1"/>
          <w:sz w:val="24"/>
          <w:szCs w:val="24"/>
        </w:rPr>
        <w:t>369</w:t>
      </w:r>
      <w:r w:rsidRPr="00981DC5">
        <w:rPr>
          <w:rFonts w:ascii="Book Antiqua" w:hAnsi="Book Antiqua"/>
          <w:color w:val="000000" w:themeColor="text1"/>
          <w:sz w:val="24"/>
          <w:szCs w:val="24"/>
        </w:rPr>
        <w:t>: 1691-1703 [PMID: 24131140 DOI: 10.1056/NEJMoa1304369]</w:t>
      </w:r>
    </w:p>
    <w:p w14:paraId="0281A92D" w14:textId="77777777" w:rsidR="00B11A05" w:rsidRPr="00981DC5" w:rsidRDefault="00B11A05" w:rsidP="00B11A05">
      <w:pPr>
        <w:adjustRightInd w:val="0"/>
        <w:snapToGrid w:val="0"/>
        <w:spacing w:after="0" w:line="360" w:lineRule="auto"/>
        <w:jc w:val="both"/>
        <w:rPr>
          <w:rFonts w:ascii="Book Antiqua" w:hAnsi="Book Antiqua"/>
          <w:color w:val="000000" w:themeColor="text1"/>
          <w:sz w:val="24"/>
          <w:szCs w:val="24"/>
        </w:rPr>
      </w:pPr>
      <w:r w:rsidRPr="00981DC5">
        <w:rPr>
          <w:rFonts w:ascii="Book Antiqua" w:hAnsi="Book Antiqua"/>
          <w:color w:val="000000" w:themeColor="text1"/>
          <w:sz w:val="24"/>
          <w:szCs w:val="24"/>
        </w:rPr>
        <w:t xml:space="preserve">49 </w:t>
      </w:r>
      <w:r w:rsidRPr="00981DC5">
        <w:rPr>
          <w:rFonts w:ascii="Book Antiqua" w:hAnsi="Book Antiqua"/>
          <w:b/>
          <w:color w:val="000000" w:themeColor="text1"/>
          <w:sz w:val="24"/>
          <w:szCs w:val="24"/>
        </w:rPr>
        <w:t>Casanova-Martinez C</w:t>
      </w:r>
      <w:r w:rsidRPr="00981DC5">
        <w:rPr>
          <w:rFonts w:ascii="Book Antiqua" w:hAnsi="Book Antiqua"/>
          <w:color w:val="000000" w:themeColor="text1"/>
          <w:sz w:val="24"/>
          <w:szCs w:val="24"/>
        </w:rPr>
        <w:t xml:space="preserve">, Romero-Ventosa EY, González-Costas S, Arroyo-Conde C, Piñeiro-Corrales G. Evaluation of the use of nab-paclitaxel and gemcitabine in clinical practice. </w:t>
      </w:r>
      <w:r w:rsidRPr="00981DC5">
        <w:rPr>
          <w:rFonts w:ascii="Book Antiqua" w:hAnsi="Book Antiqua"/>
          <w:i/>
          <w:color w:val="000000" w:themeColor="text1"/>
          <w:sz w:val="24"/>
          <w:szCs w:val="24"/>
        </w:rPr>
        <w:t>J Cancer Res Ther</w:t>
      </w:r>
      <w:r w:rsidRPr="00981DC5">
        <w:rPr>
          <w:rFonts w:ascii="Book Antiqua" w:hAnsi="Book Antiqua"/>
          <w:color w:val="000000" w:themeColor="text1"/>
          <w:sz w:val="24"/>
          <w:szCs w:val="24"/>
        </w:rPr>
        <w:t xml:space="preserve"> 2018; </w:t>
      </w:r>
      <w:r w:rsidRPr="00981DC5">
        <w:rPr>
          <w:rFonts w:ascii="Book Antiqua" w:hAnsi="Book Antiqua"/>
          <w:b/>
          <w:color w:val="000000" w:themeColor="text1"/>
          <w:sz w:val="24"/>
          <w:szCs w:val="24"/>
        </w:rPr>
        <w:t>14</w:t>
      </w:r>
      <w:r w:rsidRPr="00981DC5">
        <w:rPr>
          <w:rFonts w:ascii="Book Antiqua" w:hAnsi="Book Antiqua"/>
          <w:color w:val="000000" w:themeColor="text1"/>
          <w:sz w:val="24"/>
          <w:szCs w:val="24"/>
        </w:rPr>
        <w:t>: S730-S735 [PMID: 30249895 DOI: 10.4103/0973-1482.188292]</w:t>
      </w:r>
    </w:p>
    <w:p w14:paraId="4343CFEE" w14:textId="77777777" w:rsidR="00B11A05" w:rsidRPr="00981DC5" w:rsidRDefault="00B11A05" w:rsidP="00B11A05">
      <w:pPr>
        <w:adjustRightInd w:val="0"/>
        <w:snapToGrid w:val="0"/>
        <w:spacing w:after="0" w:line="360" w:lineRule="auto"/>
        <w:jc w:val="both"/>
        <w:rPr>
          <w:rFonts w:ascii="Book Antiqua" w:hAnsi="Book Antiqua"/>
          <w:color w:val="000000" w:themeColor="text1"/>
          <w:sz w:val="24"/>
          <w:szCs w:val="24"/>
        </w:rPr>
      </w:pPr>
      <w:r w:rsidRPr="00981DC5">
        <w:rPr>
          <w:rFonts w:ascii="Book Antiqua" w:hAnsi="Book Antiqua"/>
          <w:color w:val="000000" w:themeColor="text1"/>
          <w:sz w:val="24"/>
          <w:szCs w:val="24"/>
        </w:rPr>
        <w:t xml:space="preserve">50 </w:t>
      </w:r>
      <w:r w:rsidRPr="00981DC5">
        <w:rPr>
          <w:rFonts w:ascii="Book Antiqua" w:hAnsi="Book Antiqua"/>
          <w:b/>
          <w:color w:val="000000" w:themeColor="text1"/>
          <w:sz w:val="24"/>
          <w:szCs w:val="24"/>
        </w:rPr>
        <w:t>Karasic TB</w:t>
      </w:r>
      <w:r w:rsidRPr="00981DC5">
        <w:rPr>
          <w:rFonts w:ascii="Book Antiqua" w:hAnsi="Book Antiqua"/>
          <w:color w:val="000000" w:themeColor="text1"/>
          <w:sz w:val="24"/>
          <w:szCs w:val="24"/>
        </w:rPr>
        <w:t xml:space="preserve">, O'Hara MH, Loaiza-Bonilla A, Reiss KA, Teitelbaum UR, Borazanci E, De Jesus-Acosta A, Redlinger C, Burrell JA, Laheru DA, Von Hoff DD, Amaravadi RK, Drebin JA, O'Dwyer PJ. Effect of Gemcitabine and nab-Paclitaxel With or Without Hydroxychloroquine on Patients With Advanced Pancreatic Cancer: A Phase 2 Randomized Clinical Trial. </w:t>
      </w:r>
      <w:r w:rsidRPr="00981DC5">
        <w:rPr>
          <w:rFonts w:ascii="Book Antiqua" w:hAnsi="Book Antiqua"/>
          <w:i/>
          <w:color w:val="000000" w:themeColor="text1"/>
          <w:sz w:val="24"/>
          <w:szCs w:val="24"/>
        </w:rPr>
        <w:t>JAMA Oncol</w:t>
      </w:r>
      <w:r w:rsidRPr="00981DC5">
        <w:rPr>
          <w:rFonts w:ascii="Book Antiqua" w:hAnsi="Book Antiqua"/>
          <w:color w:val="000000" w:themeColor="text1"/>
          <w:sz w:val="24"/>
          <w:szCs w:val="24"/>
        </w:rPr>
        <w:t xml:space="preserve"> 2019; </w:t>
      </w:r>
      <w:r w:rsidRPr="00981DC5">
        <w:rPr>
          <w:rFonts w:ascii="Book Antiqua" w:hAnsi="Book Antiqua"/>
          <w:b/>
          <w:color w:val="000000" w:themeColor="text1"/>
          <w:sz w:val="24"/>
          <w:szCs w:val="24"/>
        </w:rPr>
        <w:t>5</w:t>
      </w:r>
      <w:r w:rsidRPr="00981DC5">
        <w:rPr>
          <w:rFonts w:ascii="Book Antiqua" w:hAnsi="Book Antiqua"/>
          <w:color w:val="000000" w:themeColor="text1"/>
          <w:sz w:val="24"/>
          <w:szCs w:val="24"/>
        </w:rPr>
        <w:t>: 993-998 [PMID: 31120501 DOI: 10.1001/jamaoncol.2019.0684]</w:t>
      </w:r>
    </w:p>
    <w:p w14:paraId="1B8CBA3A" w14:textId="77777777" w:rsidR="00B11A05" w:rsidRPr="00981DC5" w:rsidRDefault="00B11A05" w:rsidP="00B11A05">
      <w:pPr>
        <w:adjustRightInd w:val="0"/>
        <w:snapToGrid w:val="0"/>
        <w:spacing w:after="0" w:line="360" w:lineRule="auto"/>
        <w:jc w:val="both"/>
        <w:rPr>
          <w:rFonts w:ascii="Book Antiqua" w:hAnsi="Book Antiqua"/>
          <w:color w:val="000000" w:themeColor="text1"/>
          <w:sz w:val="24"/>
          <w:szCs w:val="24"/>
        </w:rPr>
      </w:pPr>
      <w:r w:rsidRPr="00981DC5">
        <w:rPr>
          <w:rFonts w:ascii="Book Antiqua" w:hAnsi="Book Antiqua"/>
          <w:color w:val="000000" w:themeColor="text1"/>
          <w:sz w:val="24"/>
          <w:szCs w:val="24"/>
        </w:rPr>
        <w:t xml:space="preserve">51 </w:t>
      </w:r>
      <w:r w:rsidRPr="00981DC5">
        <w:rPr>
          <w:rFonts w:ascii="Book Antiqua" w:hAnsi="Book Antiqua"/>
          <w:b/>
          <w:color w:val="000000" w:themeColor="text1"/>
          <w:sz w:val="24"/>
          <w:szCs w:val="24"/>
        </w:rPr>
        <w:t>Montes AF</w:t>
      </w:r>
      <w:r w:rsidRPr="00981DC5">
        <w:rPr>
          <w:rFonts w:ascii="Book Antiqua" w:hAnsi="Book Antiqua"/>
          <w:color w:val="000000" w:themeColor="text1"/>
          <w:sz w:val="24"/>
          <w:szCs w:val="24"/>
        </w:rPr>
        <w:t xml:space="preserve">, Villarroel PG, Ayerbes MV, Gómez JC, Aldana GQ, Tuñas LV, Fernández MS, Fernández MJ. Prognostic and predictive markers of response to treatment in patients with locally advanced unresectable and metastatic pancreatic adenocarcinoma treated with gemcitabine/nab-paclitaxel: Results of a retrospective analysis. </w:t>
      </w:r>
      <w:r w:rsidRPr="00981DC5">
        <w:rPr>
          <w:rFonts w:ascii="Book Antiqua" w:hAnsi="Book Antiqua"/>
          <w:i/>
          <w:color w:val="000000" w:themeColor="text1"/>
          <w:sz w:val="24"/>
          <w:szCs w:val="24"/>
        </w:rPr>
        <w:t>J Cancer Res Ther</w:t>
      </w:r>
      <w:r w:rsidRPr="00981DC5">
        <w:rPr>
          <w:rFonts w:ascii="Book Antiqua" w:hAnsi="Book Antiqua"/>
          <w:color w:val="000000" w:themeColor="text1"/>
          <w:sz w:val="24"/>
          <w:szCs w:val="24"/>
        </w:rPr>
        <w:t xml:space="preserve"> 2017; </w:t>
      </w:r>
      <w:r w:rsidRPr="00981DC5">
        <w:rPr>
          <w:rFonts w:ascii="Book Antiqua" w:hAnsi="Book Antiqua"/>
          <w:b/>
          <w:color w:val="000000" w:themeColor="text1"/>
          <w:sz w:val="24"/>
          <w:szCs w:val="24"/>
        </w:rPr>
        <w:t>13</w:t>
      </w:r>
      <w:r w:rsidRPr="00981DC5">
        <w:rPr>
          <w:rFonts w:ascii="Book Antiqua" w:hAnsi="Book Antiqua"/>
          <w:color w:val="000000" w:themeColor="text1"/>
          <w:sz w:val="24"/>
          <w:szCs w:val="24"/>
        </w:rPr>
        <w:t>: 240-245 [PMID: 28643741 DOI: 10.4103/0973-1482.181181]</w:t>
      </w:r>
    </w:p>
    <w:p w14:paraId="00D1089C" w14:textId="77777777" w:rsidR="00B11A05" w:rsidRPr="00981DC5" w:rsidRDefault="00B11A05" w:rsidP="00B11A05">
      <w:pPr>
        <w:adjustRightInd w:val="0"/>
        <w:snapToGrid w:val="0"/>
        <w:spacing w:after="0" w:line="360" w:lineRule="auto"/>
        <w:jc w:val="both"/>
        <w:rPr>
          <w:rFonts w:ascii="Book Antiqua" w:hAnsi="Book Antiqua"/>
          <w:color w:val="000000" w:themeColor="text1"/>
          <w:sz w:val="24"/>
          <w:szCs w:val="24"/>
        </w:rPr>
      </w:pPr>
      <w:r w:rsidRPr="00981DC5">
        <w:rPr>
          <w:rFonts w:ascii="Book Antiqua" w:hAnsi="Book Antiqua"/>
          <w:color w:val="000000" w:themeColor="text1"/>
          <w:sz w:val="24"/>
          <w:szCs w:val="24"/>
        </w:rPr>
        <w:t xml:space="preserve">52 </w:t>
      </w:r>
      <w:r w:rsidRPr="00981DC5">
        <w:rPr>
          <w:rFonts w:ascii="Book Antiqua" w:hAnsi="Book Antiqua"/>
          <w:b/>
          <w:color w:val="000000" w:themeColor="text1"/>
          <w:sz w:val="24"/>
          <w:szCs w:val="24"/>
        </w:rPr>
        <w:t>Louvet C</w:t>
      </w:r>
      <w:r w:rsidRPr="00981DC5">
        <w:rPr>
          <w:rFonts w:ascii="Book Antiqua" w:hAnsi="Book Antiqua"/>
          <w:color w:val="000000" w:themeColor="text1"/>
          <w:sz w:val="24"/>
          <w:szCs w:val="24"/>
        </w:rPr>
        <w:t xml:space="preserve">, Labianca R, Hammel P, Lledo G, Zampino MG, André T, Zaniboni A, Ducreux M, Aitini E, Taïeb J, Faroux R, Lepere C, de Gramont A; GERCOR; GISCAD. Gemcitabine in combination with oxaliplatin compared with gemcitabine alone in locally advanced or metastatic pancreatic cancer: results of a GERCOR and GISCAD phase III trial. </w:t>
      </w:r>
      <w:r w:rsidRPr="00981DC5">
        <w:rPr>
          <w:rFonts w:ascii="Book Antiqua" w:hAnsi="Book Antiqua"/>
          <w:i/>
          <w:color w:val="000000" w:themeColor="text1"/>
          <w:sz w:val="24"/>
          <w:szCs w:val="24"/>
        </w:rPr>
        <w:t>J Clin Oncol</w:t>
      </w:r>
      <w:r w:rsidRPr="00981DC5">
        <w:rPr>
          <w:rFonts w:ascii="Book Antiqua" w:hAnsi="Book Antiqua"/>
          <w:color w:val="000000" w:themeColor="text1"/>
          <w:sz w:val="24"/>
          <w:szCs w:val="24"/>
        </w:rPr>
        <w:t xml:space="preserve"> 2005; </w:t>
      </w:r>
      <w:r w:rsidRPr="00981DC5">
        <w:rPr>
          <w:rFonts w:ascii="Book Antiqua" w:hAnsi="Book Antiqua"/>
          <w:b/>
          <w:color w:val="000000" w:themeColor="text1"/>
          <w:sz w:val="24"/>
          <w:szCs w:val="24"/>
        </w:rPr>
        <w:t>23</w:t>
      </w:r>
      <w:r w:rsidRPr="00981DC5">
        <w:rPr>
          <w:rFonts w:ascii="Book Antiqua" w:hAnsi="Book Antiqua"/>
          <w:color w:val="000000" w:themeColor="text1"/>
          <w:sz w:val="24"/>
          <w:szCs w:val="24"/>
        </w:rPr>
        <w:t>: 3509-3516 [PMID: 15908661 DOI: 10.1200/JCO.2005.06.023]</w:t>
      </w:r>
    </w:p>
    <w:p w14:paraId="04A05299" w14:textId="54C55701" w:rsidR="00D54D7A" w:rsidRPr="00981DC5" w:rsidRDefault="00B11A05" w:rsidP="00B11A05">
      <w:pPr>
        <w:adjustRightInd w:val="0"/>
        <w:snapToGrid w:val="0"/>
        <w:spacing w:after="0" w:line="360" w:lineRule="auto"/>
        <w:jc w:val="both"/>
        <w:rPr>
          <w:rFonts w:ascii="Book Antiqua" w:hAnsi="Book Antiqua"/>
          <w:color w:val="000000" w:themeColor="text1"/>
          <w:sz w:val="24"/>
          <w:szCs w:val="24"/>
        </w:rPr>
      </w:pPr>
      <w:r w:rsidRPr="00981DC5">
        <w:rPr>
          <w:rFonts w:ascii="Book Antiqua" w:hAnsi="Book Antiqua"/>
          <w:color w:val="000000" w:themeColor="text1"/>
          <w:sz w:val="24"/>
          <w:szCs w:val="24"/>
        </w:rPr>
        <w:t xml:space="preserve">53 </w:t>
      </w:r>
      <w:r w:rsidRPr="00981DC5">
        <w:rPr>
          <w:rFonts w:ascii="Book Antiqua" w:hAnsi="Book Antiqua"/>
          <w:b/>
          <w:color w:val="000000" w:themeColor="text1"/>
          <w:sz w:val="24"/>
          <w:szCs w:val="24"/>
        </w:rPr>
        <w:t>Ergun Y</w:t>
      </w:r>
      <w:r w:rsidRPr="00981DC5">
        <w:rPr>
          <w:rFonts w:ascii="Book Antiqua" w:hAnsi="Book Antiqua"/>
          <w:color w:val="000000" w:themeColor="text1"/>
          <w:sz w:val="24"/>
          <w:szCs w:val="24"/>
        </w:rPr>
        <w:t xml:space="preserve">, Ozdemir NY, Guner EK, Esin E, Sendur MA, Koksoy EB, Demirci NS, Eren T, Dede I, Sezer A, Engin H, Oksuzoglu B, Yalcin B, Utkan G, Zengin N, Urun Y. Comparison of Gemcitabine monotherapy with Gemcitabine and Cisplatin combination in metastatic pancreatic cancer: a retrospective analysis. </w:t>
      </w:r>
      <w:r w:rsidRPr="00981DC5">
        <w:rPr>
          <w:rFonts w:ascii="Book Antiqua" w:hAnsi="Book Antiqua"/>
          <w:i/>
          <w:color w:val="000000" w:themeColor="text1"/>
          <w:sz w:val="24"/>
          <w:szCs w:val="24"/>
        </w:rPr>
        <w:t>J BUON</w:t>
      </w:r>
      <w:r w:rsidRPr="00981DC5">
        <w:rPr>
          <w:rFonts w:ascii="Book Antiqua" w:hAnsi="Book Antiqua"/>
          <w:color w:val="000000" w:themeColor="text1"/>
          <w:sz w:val="24"/>
          <w:szCs w:val="24"/>
        </w:rPr>
        <w:t xml:space="preserve"> 2018; </w:t>
      </w:r>
      <w:r w:rsidRPr="00981DC5">
        <w:rPr>
          <w:rFonts w:ascii="Book Antiqua" w:hAnsi="Book Antiqua"/>
          <w:b/>
          <w:color w:val="000000" w:themeColor="text1"/>
          <w:sz w:val="24"/>
          <w:szCs w:val="24"/>
        </w:rPr>
        <w:t>23</w:t>
      </w:r>
      <w:r w:rsidRPr="00981DC5">
        <w:rPr>
          <w:rFonts w:ascii="Book Antiqua" w:hAnsi="Book Antiqua"/>
          <w:color w:val="000000" w:themeColor="text1"/>
          <w:sz w:val="24"/>
          <w:szCs w:val="24"/>
        </w:rPr>
        <w:t>: 116-121 [PMID: 30722120]</w:t>
      </w:r>
    </w:p>
    <w:p w14:paraId="67260DA9" w14:textId="77777777" w:rsidR="00B11A05" w:rsidRPr="00981DC5" w:rsidRDefault="00B11A05">
      <w:pPr>
        <w:rPr>
          <w:rFonts w:ascii="Book Antiqua" w:hAnsi="Book Antiqua" w:cs="Calibri"/>
          <w:color w:val="000000" w:themeColor="text1"/>
          <w:sz w:val="24"/>
          <w:szCs w:val="24"/>
          <w:lang w:val="en-US"/>
        </w:rPr>
      </w:pPr>
      <w:r w:rsidRPr="00981DC5">
        <w:rPr>
          <w:rFonts w:ascii="Book Antiqua" w:hAnsi="Book Antiqua" w:cs="Calibri"/>
          <w:color w:val="000000" w:themeColor="text1"/>
          <w:sz w:val="24"/>
          <w:szCs w:val="24"/>
          <w:lang w:val="en-US"/>
        </w:rPr>
        <w:br w:type="page"/>
      </w:r>
    </w:p>
    <w:p w14:paraId="0BF4E726" w14:textId="77777777" w:rsidR="00B11A05" w:rsidRPr="00981DC5" w:rsidRDefault="00B11A05" w:rsidP="00B11A05">
      <w:pPr>
        <w:adjustRightInd w:val="0"/>
        <w:snapToGrid w:val="0"/>
        <w:spacing w:after="0" w:line="360" w:lineRule="auto"/>
        <w:jc w:val="both"/>
        <w:rPr>
          <w:rFonts w:ascii="Book Antiqua" w:hAnsi="Book Antiqua"/>
          <w:b/>
          <w:color w:val="000000" w:themeColor="text1"/>
          <w:sz w:val="24"/>
          <w:szCs w:val="24"/>
        </w:rPr>
      </w:pPr>
      <w:r w:rsidRPr="00981DC5">
        <w:rPr>
          <w:rFonts w:ascii="Book Antiqua" w:hAnsi="Book Antiqua"/>
          <w:b/>
          <w:color w:val="000000" w:themeColor="text1"/>
          <w:sz w:val="24"/>
          <w:szCs w:val="24"/>
        </w:rPr>
        <w:lastRenderedPageBreak/>
        <w:t>Footnotes</w:t>
      </w:r>
    </w:p>
    <w:p w14:paraId="39E6F838" w14:textId="72C35A8F" w:rsidR="00B11A05" w:rsidRPr="00981DC5" w:rsidRDefault="00B11A05" w:rsidP="00B11A05">
      <w:pPr>
        <w:adjustRightInd w:val="0"/>
        <w:snapToGrid w:val="0"/>
        <w:spacing w:after="0" w:line="360" w:lineRule="auto"/>
        <w:jc w:val="both"/>
        <w:rPr>
          <w:rFonts w:ascii="Book Antiqua" w:hAnsi="Book Antiqua"/>
          <w:color w:val="000000" w:themeColor="text1"/>
          <w:sz w:val="24"/>
          <w:szCs w:val="24"/>
          <w:lang w:val="en-US"/>
        </w:rPr>
      </w:pPr>
      <w:r w:rsidRPr="00981DC5">
        <w:rPr>
          <w:rFonts w:ascii="Book Antiqua" w:hAnsi="Book Antiqua"/>
          <w:b/>
          <w:color w:val="000000" w:themeColor="text1"/>
          <w:sz w:val="24"/>
          <w:szCs w:val="24"/>
          <w:lang w:val="hu-HU"/>
        </w:rPr>
        <w:t>Institutional review board statement:</w:t>
      </w:r>
      <w:r w:rsidRPr="00981DC5">
        <w:rPr>
          <w:rFonts w:ascii="Book Antiqua" w:hAnsi="Book Antiqua"/>
          <w:color w:val="000000" w:themeColor="text1"/>
          <w:sz w:val="24"/>
          <w:szCs w:val="24"/>
          <w:lang w:val="hu-HU"/>
        </w:rPr>
        <w:t xml:space="preserve"> </w:t>
      </w:r>
      <w:r w:rsidRPr="00981DC5">
        <w:rPr>
          <w:rFonts w:ascii="Book Antiqua" w:hAnsi="Book Antiqua"/>
          <w:color w:val="000000" w:themeColor="text1"/>
          <w:sz w:val="24"/>
          <w:szCs w:val="24"/>
          <w:lang w:val="en-US"/>
        </w:rPr>
        <w:t xml:space="preserve">The study was approved by Ethics committee of “Area </w:t>
      </w:r>
      <w:proofErr w:type="spellStart"/>
      <w:r w:rsidRPr="00981DC5">
        <w:rPr>
          <w:rFonts w:ascii="Book Antiqua" w:hAnsi="Book Antiqua"/>
          <w:color w:val="000000" w:themeColor="text1"/>
          <w:sz w:val="24"/>
          <w:szCs w:val="24"/>
          <w:lang w:val="en-US"/>
        </w:rPr>
        <w:t>Vasta</w:t>
      </w:r>
      <w:proofErr w:type="spellEnd"/>
      <w:r w:rsidRPr="00981DC5">
        <w:rPr>
          <w:rFonts w:ascii="Book Antiqua" w:hAnsi="Book Antiqua"/>
          <w:color w:val="000000" w:themeColor="text1"/>
          <w:sz w:val="24"/>
          <w:szCs w:val="24"/>
          <w:lang w:val="en-US"/>
        </w:rPr>
        <w:t xml:space="preserve"> Nord </w:t>
      </w:r>
      <w:proofErr w:type="spellStart"/>
      <w:r w:rsidRPr="00981DC5">
        <w:rPr>
          <w:rFonts w:ascii="Book Antiqua" w:hAnsi="Book Antiqua"/>
          <w:color w:val="000000" w:themeColor="text1"/>
          <w:sz w:val="24"/>
          <w:szCs w:val="24"/>
          <w:lang w:val="en-US"/>
        </w:rPr>
        <w:t>Ovest</w:t>
      </w:r>
      <w:proofErr w:type="spellEnd"/>
      <w:r w:rsidRPr="00981DC5">
        <w:rPr>
          <w:rFonts w:ascii="Book Antiqua" w:hAnsi="Book Antiqua"/>
          <w:color w:val="000000" w:themeColor="text1"/>
          <w:sz w:val="24"/>
          <w:szCs w:val="24"/>
          <w:lang w:val="en-US"/>
        </w:rPr>
        <w:t xml:space="preserve"> (CEAVNO)” (protocol number 70213)</w:t>
      </w:r>
      <w:r w:rsidR="00B37270">
        <w:rPr>
          <w:rFonts w:ascii="Book Antiqua" w:hAnsi="Book Antiqua"/>
          <w:color w:val="000000" w:themeColor="text1"/>
          <w:sz w:val="24"/>
          <w:szCs w:val="24"/>
          <w:lang w:val="en-US"/>
        </w:rPr>
        <w:t>.</w:t>
      </w:r>
    </w:p>
    <w:p w14:paraId="6CCD3E6E" w14:textId="77777777" w:rsidR="00B11A05" w:rsidRPr="00981DC5" w:rsidRDefault="00B11A05" w:rsidP="00B11A05">
      <w:pPr>
        <w:adjustRightInd w:val="0"/>
        <w:snapToGrid w:val="0"/>
        <w:spacing w:after="0" w:line="360" w:lineRule="auto"/>
        <w:jc w:val="both"/>
        <w:rPr>
          <w:rFonts w:ascii="Book Antiqua" w:hAnsi="Book Antiqua"/>
          <w:color w:val="000000" w:themeColor="text1"/>
          <w:sz w:val="24"/>
          <w:szCs w:val="24"/>
          <w:lang w:val="en-US"/>
        </w:rPr>
      </w:pPr>
    </w:p>
    <w:p w14:paraId="18E0E3BF" w14:textId="008F51B0" w:rsidR="00B11A05" w:rsidRPr="00981DC5" w:rsidRDefault="00B11A05" w:rsidP="00B11A05">
      <w:pPr>
        <w:adjustRightInd w:val="0"/>
        <w:snapToGrid w:val="0"/>
        <w:spacing w:after="0" w:line="360" w:lineRule="auto"/>
        <w:jc w:val="both"/>
        <w:rPr>
          <w:rFonts w:ascii="Book Antiqua" w:hAnsi="Book Antiqua"/>
          <w:b/>
          <w:color w:val="000000" w:themeColor="text1"/>
          <w:sz w:val="24"/>
          <w:szCs w:val="24"/>
          <w:lang w:val="en-US"/>
        </w:rPr>
      </w:pPr>
      <w:r w:rsidRPr="00981DC5">
        <w:rPr>
          <w:rFonts w:ascii="Book Antiqua" w:hAnsi="Book Antiqua"/>
          <w:b/>
          <w:color w:val="000000" w:themeColor="text1"/>
          <w:sz w:val="24"/>
          <w:szCs w:val="24"/>
          <w:lang w:val="hu-HU"/>
        </w:rPr>
        <w:t>Institutional animal care and use committee statement:</w:t>
      </w:r>
      <w:r w:rsidRPr="00981DC5">
        <w:rPr>
          <w:rFonts w:ascii="Book Antiqua" w:hAnsi="Book Antiqua"/>
          <w:b/>
          <w:color w:val="000000" w:themeColor="text1"/>
          <w:sz w:val="24"/>
          <w:szCs w:val="24"/>
          <w:lang w:val="hu-HU" w:eastAsia="zh-CN"/>
        </w:rPr>
        <w:t xml:space="preserve"> </w:t>
      </w:r>
      <w:r w:rsidRPr="00981DC5">
        <w:rPr>
          <w:rFonts w:ascii="Book Antiqua" w:hAnsi="Book Antiqua" w:cs="Calibri"/>
          <w:color w:val="000000" w:themeColor="text1"/>
          <w:sz w:val="24"/>
          <w:szCs w:val="24"/>
          <w:lang w:val="en-US"/>
        </w:rPr>
        <w:t>Zebrafish (Danio Rerio) were handled in compliance with local animal welfare regulations (authorization n. 99/2012-A, 19.04.2012) and standard protocols approved by Italian Ministry of Public Health, in conformity with the Directive 2010/63/EU.</w:t>
      </w:r>
    </w:p>
    <w:p w14:paraId="10204DFE" w14:textId="77777777" w:rsidR="00B11A05" w:rsidRPr="00981DC5" w:rsidRDefault="00B11A05" w:rsidP="00B11A05">
      <w:pPr>
        <w:adjustRightInd w:val="0"/>
        <w:snapToGrid w:val="0"/>
        <w:spacing w:after="0" w:line="360" w:lineRule="auto"/>
        <w:jc w:val="both"/>
        <w:rPr>
          <w:rFonts w:ascii="Book Antiqua" w:hAnsi="Book Antiqua"/>
          <w:b/>
          <w:color w:val="000000" w:themeColor="text1"/>
          <w:sz w:val="24"/>
          <w:szCs w:val="24"/>
          <w:lang w:val="en-US"/>
        </w:rPr>
      </w:pPr>
    </w:p>
    <w:p w14:paraId="425CB961" w14:textId="09A5F8FE" w:rsidR="00B11A05" w:rsidRPr="00981DC5" w:rsidRDefault="00B11A05" w:rsidP="00B11A05">
      <w:pPr>
        <w:adjustRightInd w:val="0"/>
        <w:snapToGrid w:val="0"/>
        <w:spacing w:after="0" w:line="360" w:lineRule="auto"/>
        <w:jc w:val="both"/>
        <w:rPr>
          <w:rFonts w:ascii="Book Antiqua" w:hAnsi="Book Antiqua"/>
          <w:color w:val="000000" w:themeColor="text1"/>
          <w:sz w:val="24"/>
          <w:szCs w:val="24"/>
          <w:lang w:val="en-US"/>
        </w:rPr>
      </w:pPr>
      <w:bookmarkStart w:id="7" w:name="OLE_LINK472"/>
      <w:bookmarkStart w:id="8" w:name="OLE_LINK474"/>
      <w:bookmarkStart w:id="9" w:name="OLE_LINK328"/>
      <w:bookmarkStart w:id="10" w:name="OLE_LINK235"/>
      <w:bookmarkStart w:id="11" w:name="OLE_LINK236"/>
      <w:bookmarkStart w:id="12" w:name="OLE_LINK684"/>
      <w:bookmarkStart w:id="13" w:name="OLE_LINK795"/>
      <w:bookmarkStart w:id="14" w:name="OLE_LINK796"/>
      <w:bookmarkStart w:id="15" w:name="OLE_LINK724"/>
      <w:bookmarkStart w:id="16" w:name="OLE_LINK725"/>
      <w:r w:rsidRPr="00981DC5">
        <w:rPr>
          <w:rFonts w:ascii="Book Antiqua" w:hAnsi="Book Antiqua"/>
          <w:b/>
          <w:color w:val="000000" w:themeColor="text1"/>
          <w:sz w:val="24"/>
          <w:szCs w:val="24"/>
          <w:lang w:val="hu-HU"/>
        </w:rPr>
        <w:t>Conflict-of-interest statement:</w:t>
      </w:r>
      <w:r w:rsidRPr="00981DC5">
        <w:rPr>
          <w:rFonts w:ascii="Book Antiqua" w:hAnsi="Book Antiqua"/>
          <w:color w:val="000000" w:themeColor="text1"/>
          <w:sz w:val="24"/>
          <w:szCs w:val="24"/>
          <w:lang w:eastAsia="zh-CN"/>
        </w:rPr>
        <w:t xml:space="preserve"> </w:t>
      </w:r>
      <w:r w:rsidR="00B37270" w:rsidRPr="00981DC5">
        <w:rPr>
          <w:rFonts w:ascii="Book Antiqua" w:hAnsi="Book Antiqua"/>
          <w:color w:val="000000" w:themeColor="text1"/>
          <w:sz w:val="24"/>
          <w:szCs w:val="24"/>
          <w:lang w:val="en-US"/>
        </w:rPr>
        <w:t xml:space="preserve">The </w:t>
      </w:r>
      <w:r w:rsidRPr="00981DC5">
        <w:rPr>
          <w:rFonts w:ascii="Book Antiqua" w:hAnsi="Book Antiqua"/>
          <w:color w:val="000000" w:themeColor="text1"/>
          <w:sz w:val="24"/>
          <w:szCs w:val="24"/>
          <w:lang w:val="en-US"/>
        </w:rPr>
        <w:t>authors declare that there is no conflict of interest.</w:t>
      </w:r>
    </w:p>
    <w:p w14:paraId="7A40893D" w14:textId="77777777" w:rsidR="00B11A05" w:rsidRPr="00981DC5" w:rsidRDefault="00B11A05" w:rsidP="00B11A05">
      <w:pPr>
        <w:adjustRightInd w:val="0"/>
        <w:snapToGrid w:val="0"/>
        <w:spacing w:after="0" w:line="360" w:lineRule="auto"/>
        <w:jc w:val="both"/>
        <w:rPr>
          <w:rFonts w:ascii="Book Antiqua" w:hAnsi="Book Antiqua"/>
          <w:color w:val="000000" w:themeColor="text1"/>
          <w:sz w:val="24"/>
          <w:szCs w:val="24"/>
          <w:lang w:val="en-US"/>
        </w:rPr>
      </w:pPr>
    </w:p>
    <w:p w14:paraId="18DDE28C" w14:textId="60055602" w:rsidR="00B11A05" w:rsidRPr="00981DC5" w:rsidRDefault="00B11A05" w:rsidP="00B11A05">
      <w:pPr>
        <w:pStyle w:val="11"/>
        <w:adjustRightInd w:val="0"/>
        <w:snapToGrid w:val="0"/>
        <w:spacing w:line="360" w:lineRule="auto"/>
        <w:jc w:val="both"/>
        <w:rPr>
          <w:rFonts w:ascii="Book Antiqua" w:hAnsi="Book Antiqua" w:cs="Times New Roman"/>
          <w:b/>
          <w:bCs/>
          <w:iCs/>
          <w:color w:val="000000" w:themeColor="text1"/>
          <w:sz w:val="24"/>
          <w:szCs w:val="24"/>
          <w:highlight w:val="white"/>
          <w:lang w:val="en-US" w:eastAsia="zh-CN"/>
        </w:rPr>
      </w:pPr>
      <w:bookmarkStart w:id="17" w:name="OLE_LINK587"/>
      <w:bookmarkStart w:id="18" w:name="OLE_LINK765"/>
      <w:bookmarkStart w:id="19" w:name="OLE_LINK186"/>
      <w:r w:rsidRPr="00981DC5">
        <w:rPr>
          <w:rFonts w:ascii="Book Antiqua" w:hAnsi="Book Antiqua" w:cstheme="minorHAnsi"/>
          <w:b/>
          <w:color w:val="000000" w:themeColor="text1"/>
          <w:sz w:val="24"/>
          <w:szCs w:val="24"/>
        </w:rPr>
        <w:t>Data sharing statement</w:t>
      </w:r>
      <w:r w:rsidRPr="00981DC5">
        <w:rPr>
          <w:rFonts w:ascii="Book Antiqua" w:hAnsi="Book Antiqua" w:cstheme="minorHAnsi"/>
          <w:color w:val="000000" w:themeColor="text1"/>
          <w:sz w:val="24"/>
          <w:szCs w:val="24"/>
        </w:rPr>
        <w:t xml:space="preserve">: </w:t>
      </w:r>
      <w:r w:rsidRPr="00981DC5">
        <w:rPr>
          <w:rFonts w:ascii="Book Antiqua" w:hAnsi="Book Antiqua" w:cs="Times New Roman"/>
          <w:bCs/>
          <w:iCs/>
          <w:color w:val="000000" w:themeColor="text1"/>
          <w:sz w:val="24"/>
          <w:szCs w:val="24"/>
          <w:lang w:val="en-US" w:eastAsia="zh-CN"/>
        </w:rPr>
        <w:t>No additional data are available.</w:t>
      </w:r>
    </w:p>
    <w:bookmarkEnd w:id="17"/>
    <w:bookmarkEnd w:id="18"/>
    <w:bookmarkEnd w:id="19"/>
    <w:p w14:paraId="1348D23B" w14:textId="77777777" w:rsidR="00B11A05" w:rsidRPr="00981DC5" w:rsidRDefault="00B11A05" w:rsidP="00B11A05">
      <w:pPr>
        <w:adjustRightInd w:val="0"/>
        <w:snapToGrid w:val="0"/>
        <w:spacing w:after="0" w:line="360" w:lineRule="auto"/>
        <w:jc w:val="both"/>
        <w:rPr>
          <w:rFonts w:ascii="Book Antiqua" w:hAnsi="Book Antiqua"/>
          <w:color w:val="000000" w:themeColor="text1"/>
          <w:sz w:val="24"/>
          <w:szCs w:val="24"/>
          <w:lang w:val="en-US"/>
        </w:rPr>
      </w:pPr>
    </w:p>
    <w:p w14:paraId="6BB5CBD7" w14:textId="0F998357" w:rsidR="00B11A05" w:rsidRPr="00981DC5" w:rsidRDefault="00B11A05" w:rsidP="00B11A05">
      <w:pPr>
        <w:adjustRightInd w:val="0"/>
        <w:snapToGrid w:val="0"/>
        <w:spacing w:after="0" w:line="360" w:lineRule="auto"/>
        <w:jc w:val="both"/>
        <w:rPr>
          <w:rFonts w:ascii="Book Antiqua" w:hAnsi="Book Antiqua"/>
          <w:color w:val="000000" w:themeColor="text1"/>
          <w:sz w:val="24"/>
          <w:szCs w:val="24"/>
          <w:lang w:val="en-US"/>
        </w:rPr>
      </w:pPr>
      <w:r w:rsidRPr="00981DC5">
        <w:rPr>
          <w:rFonts w:ascii="Book Antiqua" w:hAnsi="Book Antiqua" w:cstheme="minorHAnsi"/>
          <w:b/>
          <w:color w:val="000000" w:themeColor="text1"/>
          <w:sz w:val="24"/>
          <w:szCs w:val="24"/>
          <w:lang w:val="hu-HU"/>
        </w:rPr>
        <w:t>ARRIVE guidelines statement:</w:t>
      </w:r>
      <w:r w:rsidRPr="00981DC5">
        <w:rPr>
          <w:rFonts w:ascii="Book Antiqua" w:hAnsi="Book Antiqua" w:cstheme="minorHAnsi"/>
          <w:b/>
          <w:color w:val="000000" w:themeColor="text1"/>
          <w:sz w:val="24"/>
          <w:szCs w:val="24"/>
          <w:lang w:val="hu-HU" w:eastAsia="zh-CN"/>
        </w:rPr>
        <w:t xml:space="preserve"> </w:t>
      </w:r>
      <w:r w:rsidRPr="00981DC5">
        <w:rPr>
          <w:rFonts w:ascii="Book Antiqua" w:hAnsi="Book Antiqua"/>
          <w:color w:val="000000" w:themeColor="text1"/>
          <w:sz w:val="24"/>
          <w:szCs w:val="24"/>
          <w:lang w:val="en-US"/>
        </w:rPr>
        <w:t xml:space="preserve">The authors have read the ARRIVE guidelines, and the manuscript was prepared and revised according to the ARRIVE guidelines. </w:t>
      </w:r>
    </w:p>
    <w:p w14:paraId="3859EFF7" w14:textId="77777777" w:rsidR="00B11A05" w:rsidRPr="00981DC5" w:rsidRDefault="00B11A05" w:rsidP="00B11A05">
      <w:pPr>
        <w:adjustRightInd w:val="0"/>
        <w:snapToGrid w:val="0"/>
        <w:spacing w:after="0" w:line="360" w:lineRule="auto"/>
        <w:jc w:val="both"/>
        <w:rPr>
          <w:rFonts w:ascii="Book Antiqua" w:hAnsi="Book Antiqua"/>
          <w:color w:val="000000" w:themeColor="text1"/>
          <w:sz w:val="24"/>
          <w:szCs w:val="24"/>
          <w:lang w:val="en-US"/>
        </w:rPr>
      </w:pPr>
    </w:p>
    <w:p w14:paraId="19AC6AD9" w14:textId="77777777" w:rsidR="00B11A05" w:rsidRPr="00981DC5" w:rsidRDefault="00B11A05" w:rsidP="00B11A05">
      <w:pPr>
        <w:adjustRightInd w:val="0"/>
        <w:snapToGrid w:val="0"/>
        <w:spacing w:after="0" w:line="360" w:lineRule="auto"/>
        <w:jc w:val="both"/>
        <w:rPr>
          <w:rFonts w:ascii="Book Antiqua" w:hAnsi="Book Antiqua"/>
          <w:color w:val="000000" w:themeColor="text1"/>
          <w:sz w:val="24"/>
          <w:szCs w:val="24"/>
          <w:lang w:val="hu-HU"/>
        </w:rPr>
      </w:pPr>
      <w:bookmarkStart w:id="20" w:name="OLE_LINK856"/>
      <w:bookmarkEnd w:id="7"/>
      <w:bookmarkEnd w:id="8"/>
      <w:bookmarkEnd w:id="9"/>
      <w:bookmarkEnd w:id="10"/>
      <w:bookmarkEnd w:id="11"/>
      <w:bookmarkEnd w:id="12"/>
      <w:bookmarkEnd w:id="13"/>
      <w:bookmarkEnd w:id="14"/>
      <w:bookmarkEnd w:id="15"/>
      <w:bookmarkEnd w:id="16"/>
      <w:r w:rsidRPr="00981DC5">
        <w:rPr>
          <w:rFonts w:ascii="Book Antiqua" w:hAnsi="Book Antiqua"/>
          <w:b/>
          <w:color w:val="000000" w:themeColor="text1"/>
          <w:sz w:val="24"/>
          <w:szCs w:val="24"/>
        </w:rPr>
        <w:t>Open-Access:</w:t>
      </w:r>
      <w:r w:rsidRPr="00981DC5">
        <w:rPr>
          <w:rFonts w:ascii="Book Antiqua" w:hAnsi="Book Antiqua"/>
          <w:color w:val="000000" w:themeColor="text1"/>
          <w:sz w:val="24"/>
          <w:szCs w:val="24"/>
        </w:rPr>
        <w:t xml:space="preserve"> 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68BCC72" w14:textId="77777777" w:rsidR="00B11A05" w:rsidRPr="00981DC5" w:rsidRDefault="00B11A05" w:rsidP="00B11A05">
      <w:pPr>
        <w:adjustRightInd w:val="0"/>
        <w:snapToGrid w:val="0"/>
        <w:spacing w:after="0" w:line="360" w:lineRule="auto"/>
        <w:jc w:val="both"/>
        <w:rPr>
          <w:rFonts w:ascii="Book Antiqua" w:hAnsi="Book Antiqua"/>
          <w:color w:val="000000" w:themeColor="text1"/>
          <w:sz w:val="24"/>
          <w:szCs w:val="24"/>
          <w:lang w:val="hu-HU"/>
        </w:rPr>
      </w:pPr>
    </w:p>
    <w:p w14:paraId="3C2EDB13" w14:textId="4F9CBE12" w:rsidR="00B11A05" w:rsidRPr="00981DC5" w:rsidRDefault="00B11A05" w:rsidP="00B11A05">
      <w:pPr>
        <w:adjustRightInd w:val="0"/>
        <w:snapToGrid w:val="0"/>
        <w:spacing w:after="0" w:line="360" w:lineRule="auto"/>
        <w:jc w:val="both"/>
        <w:rPr>
          <w:rFonts w:ascii="Book Antiqua" w:hAnsi="Book Antiqua"/>
          <w:b/>
          <w:bCs/>
          <w:color w:val="000000" w:themeColor="text1"/>
          <w:sz w:val="24"/>
          <w:szCs w:val="24"/>
          <w:lang w:eastAsia="zh-CN"/>
        </w:rPr>
      </w:pPr>
      <w:r w:rsidRPr="00981DC5">
        <w:rPr>
          <w:rFonts w:ascii="Book Antiqua" w:hAnsi="Book Antiqua"/>
          <w:b/>
          <w:bCs/>
          <w:color w:val="000000" w:themeColor="text1"/>
          <w:sz w:val="24"/>
          <w:szCs w:val="24"/>
          <w:lang w:eastAsia="pl-PL"/>
        </w:rPr>
        <w:t>Manuscript source:</w:t>
      </w:r>
      <w:r w:rsidRPr="00981DC5">
        <w:rPr>
          <w:rFonts w:ascii="Book Antiqua" w:hAnsi="Book Antiqua"/>
          <w:b/>
          <w:bCs/>
          <w:color w:val="000000" w:themeColor="text1"/>
          <w:sz w:val="24"/>
          <w:szCs w:val="24"/>
          <w:lang w:eastAsia="zh-CN"/>
        </w:rPr>
        <w:t xml:space="preserve"> </w:t>
      </w:r>
      <w:r w:rsidR="00B37270" w:rsidRPr="00B37270">
        <w:rPr>
          <w:rFonts w:ascii="Book Antiqua" w:hAnsi="Book Antiqua"/>
          <w:bCs/>
          <w:color w:val="000000" w:themeColor="text1"/>
          <w:sz w:val="24"/>
          <w:szCs w:val="24"/>
          <w:lang w:eastAsia="pl-PL"/>
        </w:rPr>
        <w:t>Invited</w:t>
      </w:r>
      <w:r w:rsidR="00B37270">
        <w:rPr>
          <w:rFonts w:ascii="Book Antiqua" w:hAnsi="Book Antiqua"/>
          <w:bCs/>
          <w:color w:val="000000" w:themeColor="text1"/>
          <w:sz w:val="24"/>
          <w:szCs w:val="24"/>
          <w:lang w:eastAsia="pl-PL"/>
        </w:rPr>
        <w:t xml:space="preserve"> </w:t>
      </w:r>
      <w:r w:rsidRPr="00981DC5">
        <w:rPr>
          <w:rFonts w:ascii="Book Antiqua" w:hAnsi="Book Antiqua"/>
          <w:bCs/>
          <w:color w:val="000000" w:themeColor="text1"/>
          <w:sz w:val="24"/>
          <w:szCs w:val="24"/>
          <w:lang w:eastAsia="pl-PL"/>
        </w:rPr>
        <w:t>manuscript</w:t>
      </w:r>
    </w:p>
    <w:bookmarkEnd w:id="20"/>
    <w:p w14:paraId="6C974170" w14:textId="77777777" w:rsidR="00B11A05" w:rsidRPr="00981DC5" w:rsidRDefault="00B11A05" w:rsidP="00B11A05">
      <w:pPr>
        <w:widowControl w:val="0"/>
        <w:adjustRightInd w:val="0"/>
        <w:snapToGrid w:val="0"/>
        <w:spacing w:after="0" w:line="360" w:lineRule="auto"/>
        <w:jc w:val="both"/>
        <w:rPr>
          <w:rFonts w:ascii="Book Antiqua" w:hAnsi="Book Antiqua"/>
          <w:b/>
          <w:color w:val="000000" w:themeColor="text1"/>
          <w:kern w:val="2"/>
          <w:sz w:val="24"/>
          <w:szCs w:val="24"/>
          <w:lang w:eastAsia="zh-CN"/>
        </w:rPr>
      </w:pPr>
    </w:p>
    <w:p w14:paraId="2AEC733F" w14:textId="42E856A0" w:rsidR="00B11A05" w:rsidRPr="00981DC5" w:rsidRDefault="00B11A05" w:rsidP="00B11A05">
      <w:pPr>
        <w:widowControl w:val="0"/>
        <w:adjustRightInd w:val="0"/>
        <w:snapToGrid w:val="0"/>
        <w:spacing w:after="0" w:line="360" w:lineRule="auto"/>
        <w:jc w:val="both"/>
        <w:rPr>
          <w:rFonts w:ascii="Book Antiqua" w:hAnsi="Book Antiqua"/>
          <w:b/>
          <w:color w:val="000000" w:themeColor="text1"/>
          <w:kern w:val="2"/>
          <w:sz w:val="24"/>
          <w:szCs w:val="24"/>
          <w:lang w:eastAsia="zh-CN"/>
        </w:rPr>
      </w:pPr>
      <w:r w:rsidRPr="00981DC5">
        <w:rPr>
          <w:rFonts w:ascii="Book Antiqua" w:hAnsi="Book Antiqua"/>
          <w:b/>
          <w:color w:val="000000" w:themeColor="text1"/>
          <w:kern w:val="2"/>
          <w:sz w:val="24"/>
          <w:szCs w:val="24"/>
          <w:lang w:eastAsia="zh-CN"/>
        </w:rPr>
        <w:t xml:space="preserve">Peer-review started: </w:t>
      </w:r>
      <w:r w:rsidR="00B37270">
        <w:rPr>
          <w:rFonts w:ascii="Book Antiqua" w:hAnsi="Book Antiqua"/>
          <w:color w:val="000000" w:themeColor="text1"/>
          <w:kern w:val="2"/>
          <w:sz w:val="24"/>
          <w:szCs w:val="24"/>
          <w:lang w:eastAsia="zh-CN"/>
        </w:rPr>
        <w:t>December</w:t>
      </w:r>
      <w:r w:rsidRPr="00981DC5">
        <w:rPr>
          <w:rFonts w:ascii="Book Antiqua" w:hAnsi="Book Antiqua"/>
          <w:color w:val="000000" w:themeColor="text1"/>
          <w:kern w:val="2"/>
          <w:sz w:val="24"/>
          <w:szCs w:val="24"/>
          <w:lang w:eastAsia="zh-CN"/>
        </w:rPr>
        <w:t xml:space="preserve"> </w:t>
      </w:r>
      <w:r w:rsidR="00B37270">
        <w:rPr>
          <w:rFonts w:ascii="Book Antiqua" w:hAnsi="Book Antiqua"/>
          <w:color w:val="000000" w:themeColor="text1"/>
          <w:kern w:val="2"/>
          <w:sz w:val="24"/>
          <w:szCs w:val="24"/>
          <w:lang w:eastAsia="zh-CN"/>
        </w:rPr>
        <w:t>31</w:t>
      </w:r>
      <w:r w:rsidRPr="00981DC5">
        <w:rPr>
          <w:rFonts w:ascii="Book Antiqua" w:hAnsi="Book Antiqua"/>
          <w:color w:val="000000" w:themeColor="text1"/>
          <w:kern w:val="2"/>
          <w:sz w:val="24"/>
          <w:szCs w:val="24"/>
          <w:lang w:eastAsia="zh-CN"/>
        </w:rPr>
        <w:t>, 2019</w:t>
      </w:r>
    </w:p>
    <w:p w14:paraId="4C0DFA1F" w14:textId="261AE6B6" w:rsidR="00B11A05" w:rsidRPr="00981DC5" w:rsidRDefault="00B11A05" w:rsidP="00B11A05">
      <w:pPr>
        <w:widowControl w:val="0"/>
        <w:adjustRightInd w:val="0"/>
        <w:snapToGrid w:val="0"/>
        <w:spacing w:after="0" w:line="360" w:lineRule="auto"/>
        <w:jc w:val="both"/>
        <w:rPr>
          <w:rFonts w:ascii="Book Antiqua" w:hAnsi="Book Antiqua"/>
          <w:b/>
          <w:color w:val="000000" w:themeColor="text1"/>
          <w:kern w:val="2"/>
          <w:sz w:val="24"/>
          <w:szCs w:val="24"/>
          <w:lang w:eastAsia="zh-CN"/>
        </w:rPr>
      </w:pPr>
      <w:r w:rsidRPr="00981DC5">
        <w:rPr>
          <w:rFonts w:ascii="Book Antiqua" w:hAnsi="Book Antiqua"/>
          <w:b/>
          <w:color w:val="000000" w:themeColor="text1"/>
          <w:kern w:val="2"/>
          <w:sz w:val="24"/>
          <w:szCs w:val="24"/>
          <w:lang w:eastAsia="zh-CN"/>
        </w:rPr>
        <w:t xml:space="preserve">First decision: </w:t>
      </w:r>
      <w:r w:rsidR="00B37270">
        <w:rPr>
          <w:rFonts w:ascii="Book Antiqua" w:hAnsi="Book Antiqua"/>
          <w:color w:val="000000" w:themeColor="text1"/>
          <w:kern w:val="2"/>
          <w:sz w:val="24"/>
          <w:szCs w:val="24"/>
          <w:lang w:eastAsia="zh-CN"/>
        </w:rPr>
        <w:t>February</w:t>
      </w:r>
      <w:r w:rsidRPr="00981DC5">
        <w:rPr>
          <w:rFonts w:ascii="Book Antiqua" w:hAnsi="Book Antiqua"/>
          <w:color w:val="000000" w:themeColor="text1"/>
          <w:kern w:val="2"/>
          <w:sz w:val="24"/>
          <w:szCs w:val="24"/>
          <w:lang w:eastAsia="zh-CN"/>
        </w:rPr>
        <w:t xml:space="preserve"> 2</w:t>
      </w:r>
      <w:r w:rsidR="00B37270">
        <w:rPr>
          <w:rFonts w:ascii="Book Antiqua" w:hAnsi="Book Antiqua"/>
          <w:color w:val="000000" w:themeColor="text1"/>
          <w:kern w:val="2"/>
          <w:sz w:val="24"/>
          <w:szCs w:val="24"/>
          <w:lang w:eastAsia="zh-CN"/>
        </w:rPr>
        <w:t>4</w:t>
      </w:r>
      <w:r w:rsidRPr="00981DC5">
        <w:rPr>
          <w:rFonts w:ascii="Book Antiqua" w:hAnsi="Book Antiqua"/>
          <w:color w:val="000000" w:themeColor="text1"/>
          <w:kern w:val="2"/>
          <w:sz w:val="24"/>
          <w:szCs w:val="24"/>
          <w:lang w:eastAsia="zh-CN"/>
        </w:rPr>
        <w:t>, 20</w:t>
      </w:r>
      <w:r w:rsidR="00B37270">
        <w:rPr>
          <w:rFonts w:ascii="Book Antiqua" w:hAnsi="Book Antiqua"/>
          <w:color w:val="000000" w:themeColor="text1"/>
          <w:kern w:val="2"/>
          <w:sz w:val="24"/>
          <w:szCs w:val="24"/>
          <w:lang w:eastAsia="zh-CN"/>
        </w:rPr>
        <w:t>20</w:t>
      </w:r>
    </w:p>
    <w:p w14:paraId="4F4166FB" w14:textId="77777777" w:rsidR="00B11A05" w:rsidRPr="00981DC5" w:rsidRDefault="00B11A05" w:rsidP="00B11A05">
      <w:pPr>
        <w:widowControl w:val="0"/>
        <w:adjustRightInd w:val="0"/>
        <w:snapToGrid w:val="0"/>
        <w:spacing w:after="0" w:line="360" w:lineRule="auto"/>
        <w:jc w:val="both"/>
        <w:rPr>
          <w:rFonts w:ascii="Book Antiqua" w:hAnsi="Book Antiqua"/>
          <w:b/>
          <w:color w:val="000000" w:themeColor="text1"/>
          <w:kern w:val="2"/>
          <w:sz w:val="24"/>
          <w:szCs w:val="24"/>
          <w:lang w:eastAsia="zh-CN"/>
        </w:rPr>
      </w:pPr>
      <w:r w:rsidRPr="00981DC5">
        <w:rPr>
          <w:rFonts w:ascii="Book Antiqua" w:hAnsi="Book Antiqua"/>
          <w:b/>
          <w:color w:val="000000" w:themeColor="text1"/>
          <w:kern w:val="2"/>
          <w:sz w:val="24"/>
          <w:szCs w:val="24"/>
          <w:lang w:eastAsia="zh-CN"/>
        </w:rPr>
        <w:t>Article in press:</w:t>
      </w:r>
    </w:p>
    <w:p w14:paraId="1B187E5B" w14:textId="77777777" w:rsidR="00B11A05" w:rsidRPr="00981DC5" w:rsidRDefault="00B11A05" w:rsidP="00B11A05">
      <w:pPr>
        <w:adjustRightInd w:val="0"/>
        <w:snapToGrid w:val="0"/>
        <w:spacing w:after="0" w:line="360" w:lineRule="auto"/>
        <w:jc w:val="both"/>
        <w:rPr>
          <w:rFonts w:ascii="Book Antiqua" w:hAnsi="Book Antiqua" w:cstheme="minorHAnsi"/>
          <w:b/>
          <w:color w:val="000000" w:themeColor="text1"/>
          <w:sz w:val="24"/>
          <w:szCs w:val="24"/>
          <w:lang w:val="hu-HU"/>
        </w:rPr>
      </w:pPr>
    </w:p>
    <w:p w14:paraId="15B4345D" w14:textId="77777777" w:rsidR="00B11A05" w:rsidRPr="00981DC5" w:rsidRDefault="00B11A05" w:rsidP="00B11A05">
      <w:pPr>
        <w:widowControl w:val="0"/>
        <w:adjustRightInd w:val="0"/>
        <w:snapToGrid w:val="0"/>
        <w:spacing w:after="0" w:line="360" w:lineRule="auto"/>
        <w:jc w:val="both"/>
        <w:rPr>
          <w:rFonts w:ascii="Book Antiqua" w:eastAsia="微软雅黑" w:hAnsi="Book Antiqua" w:cs="宋体"/>
          <w:color w:val="000000" w:themeColor="text1"/>
          <w:sz w:val="24"/>
          <w:szCs w:val="24"/>
          <w:lang w:eastAsia="zh-CN"/>
        </w:rPr>
      </w:pPr>
      <w:r w:rsidRPr="00981DC5">
        <w:rPr>
          <w:rFonts w:ascii="Book Antiqua" w:hAnsi="Book Antiqua" w:cs="宋体"/>
          <w:b/>
          <w:color w:val="000000" w:themeColor="text1"/>
          <w:sz w:val="24"/>
          <w:szCs w:val="24"/>
          <w:lang w:eastAsia="zh-CN"/>
        </w:rPr>
        <w:t xml:space="preserve">Specialty type: </w:t>
      </w:r>
      <w:r w:rsidRPr="00981DC5">
        <w:rPr>
          <w:rFonts w:ascii="Book Antiqua" w:eastAsia="微软雅黑" w:hAnsi="Book Antiqua" w:cs="宋体"/>
          <w:color w:val="000000" w:themeColor="text1"/>
          <w:sz w:val="24"/>
          <w:szCs w:val="24"/>
          <w:lang w:eastAsia="zh-CN"/>
        </w:rPr>
        <w:t>Gastroenterology and hepatology</w:t>
      </w:r>
    </w:p>
    <w:p w14:paraId="3D499C51" w14:textId="72D56E49" w:rsidR="00B11A05" w:rsidRPr="00981DC5" w:rsidRDefault="00B11A05" w:rsidP="00B11A05">
      <w:pPr>
        <w:widowControl w:val="0"/>
        <w:adjustRightInd w:val="0"/>
        <w:snapToGrid w:val="0"/>
        <w:spacing w:after="0" w:line="360" w:lineRule="auto"/>
        <w:jc w:val="both"/>
        <w:rPr>
          <w:rFonts w:ascii="Book Antiqua" w:hAnsi="Book Antiqua" w:cs="宋体"/>
          <w:color w:val="000000" w:themeColor="text1"/>
          <w:sz w:val="24"/>
          <w:szCs w:val="24"/>
          <w:lang w:eastAsia="zh-CN"/>
        </w:rPr>
      </w:pPr>
      <w:r w:rsidRPr="00981DC5">
        <w:rPr>
          <w:rFonts w:ascii="Book Antiqua" w:hAnsi="Book Antiqua" w:cs="宋体"/>
          <w:b/>
          <w:color w:val="000000" w:themeColor="text1"/>
          <w:sz w:val="24"/>
          <w:szCs w:val="24"/>
          <w:lang w:eastAsia="zh-CN"/>
        </w:rPr>
        <w:t xml:space="preserve">Country/Territory of origin: </w:t>
      </w:r>
      <w:r w:rsidR="00B37270" w:rsidRPr="00B37270">
        <w:rPr>
          <w:rFonts w:ascii="Book Antiqua" w:hAnsi="Book Antiqua" w:cs="宋体"/>
          <w:color w:val="000000" w:themeColor="text1"/>
          <w:sz w:val="24"/>
          <w:szCs w:val="24"/>
          <w:lang w:eastAsia="zh-CN"/>
        </w:rPr>
        <w:t>Italy</w:t>
      </w:r>
    </w:p>
    <w:p w14:paraId="4BFEA2AC" w14:textId="77777777" w:rsidR="00B11A05" w:rsidRPr="00981DC5" w:rsidRDefault="00B11A05" w:rsidP="00B11A05">
      <w:pPr>
        <w:widowControl w:val="0"/>
        <w:adjustRightInd w:val="0"/>
        <w:snapToGrid w:val="0"/>
        <w:spacing w:after="0" w:line="360" w:lineRule="auto"/>
        <w:jc w:val="both"/>
        <w:rPr>
          <w:rFonts w:ascii="Book Antiqua" w:hAnsi="Book Antiqua" w:cs="宋体"/>
          <w:b/>
          <w:color w:val="000000" w:themeColor="text1"/>
          <w:sz w:val="24"/>
          <w:szCs w:val="24"/>
          <w:lang w:eastAsia="zh-CN"/>
        </w:rPr>
      </w:pPr>
      <w:r w:rsidRPr="00981DC5">
        <w:rPr>
          <w:rFonts w:ascii="Book Antiqua" w:hAnsi="Book Antiqua" w:cs="宋体"/>
          <w:b/>
          <w:color w:val="000000" w:themeColor="text1"/>
          <w:sz w:val="24"/>
          <w:szCs w:val="24"/>
          <w:lang w:eastAsia="zh-CN"/>
        </w:rPr>
        <w:t>Peer-review report’s scientific quality classification</w:t>
      </w:r>
    </w:p>
    <w:p w14:paraId="02B372C2" w14:textId="72B85ACD" w:rsidR="00B11A05" w:rsidRPr="00981DC5" w:rsidRDefault="00B11A05" w:rsidP="00B11A05">
      <w:pPr>
        <w:widowControl w:val="0"/>
        <w:adjustRightInd w:val="0"/>
        <w:snapToGrid w:val="0"/>
        <w:spacing w:after="0" w:line="360" w:lineRule="auto"/>
        <w:jc w:val="both"/>
        <w:rPr>
          <w:rFonts w:ascii="Book Antiqua" w:hAnsi="Book Antiqua" w:cs="宋体"/>
          <w:color w:val="000000" w:themeColor="text1"/>
          <w:sz w:val="24"/>
          <w:szCs w:val="24"/>
          <w:lang w:eastAsia="zh-CN"/>
        </w:rPr>
      </w:pPr>
      <w:r w:rsidRPr="00981DC5">
        <w:rPr>
          <w:rFonts w:ascii="Book Antiqua" w:hAnsi="Book Antiqua" w:cs="宋体"/>
          <w:color w:val="000000" w:themeColor="text1"/>
          <w:sz w:val="24"/>
          <w:szCs w:val="24"/>
          <w:lang w:eastAsia="zh-CN"/>
        </w:rPr>
        <w:lastRenderedPageBreak/>
        <w:t>Grade A (Excellent): A</w:t>
      </w:r>
      <w:r w:rsidR="00B37270">
        <w:rPr>
          <w:rFonts w:ascii="Book Antiqua" w:hAnsi="Book Antiqua" w:cs="宋体"/>
          <w:color w:val="000000" w:themeColor="text1"/>
          <w:sz w:val="24"/>
          <w:szCs w:val="24"/>
          <w:lang w:eastAsia="zh-CN"/>
        </w:rPr>
        <w:t>, A</w:t>
      </w:r>
    </w:p>
    <w:p w14:paraId="394640E3" w14:textId="77777777" w:rsidR="00B11A05" w:rsidRPr="00981DC5" w:rsidRDefault="00B11A05" w:rsidP="00B11A05">
      <w:pPr>
        <w:widowControl w:val="0"/>
        <w:adjustRightInd w:val="0"/>
        <w:snapToGrid w:val="0"/>
        <w:spacing w:after="0" w:line="360" w:lineRule="auto"/>
        <w:jc w:val="both"/>
        <w:rPr>
          <w:rFonts w:ascii="Book Antiqua" w:hAnsi="Book Antiqua" w:cs="宋体"/>
          <w:color w:val="000000" w:themeColor="text1"/>
          <w:sz w:val="24"/>
          <w:szCs w:val="24"/>
          <w:lang w:eastAsia="zh-CN"/>
        </w:rPr>
      </w:pPr>
      <w:r w:rsidRPr="00981DC5">
        <w:rPr>
          <w:rFonts w:ascii="Book Antiqua" w:hAnsi="Book Antiqua" w:cs="宋体"/>
          <w:color w:val="000000" w:themeColor="text1"/>
          <w:sz w:val="24"/>
          <w:szCs w:val="24"/>
          <w:lang w:eastAsia="zh-CN"/>
        </w:rPr>
        <w:t>Grade B (Very good): 0</w:t>
      </w:r>
    </w:p>
    <w:p w14:paraId="57341816" w14:textId="77777777" w:rsidR="00B11A05" w:rsidRPr="00981DC5" w:rsidRDefault="00B11A05" w:rsidP="00B11A05">
      <w:pPr>
        <w:widowControl w:val="0"/>
        <w:adjustRightInd w:val="0"/>
        <w:snapToGrid w:val="0"/>
        <w:spacing w:after="0" w:line="360" w:lineRule="auto"/>
        <w:jc w:val="both"/>
        <w:rPr>
          <w:rFonts w:ascii="Book Antiqua" w:hAnsi="Book Antiqua" w:cs="宋体"/>
          <w:color w:val="000000" w:themeColor="text1"/>
          <w:sz w:val="24"/>
          <w:szCs w:val="24"/>
          <w:lang w:eastAsia="zh-CN"/>
        </w:rPr>
      </w:pPr>
      <w:r w:rsidRPr="00981DC5">
        <w:rPr>
          <w:rFonts w:ascii="Book Antiqua" w:hAnsi="Book Antiqua" w:cs="宋体"/>
          <w:color w:val="000000" w:themeColor="text1"/>
          <w:sz w:val="24"/>
          <w:szCs w:val="24"/>
          <w:lang w:eastAsia="zh-CN"/>
        </w:rPr>
        <w:t>Grade C (Good): C</w:t>
      </w:r>
    </w:p>
    <w:p w14:paraId="048CE9C0" w14:textId="495E4E0B" w:rsidR="00B11A05" w:rsidRPr="00981DC5" w:rsidRDefault="00B11A05" w:rsidP="00B11A05">
      <w:pPr>
        <w:widowControl w:val="0"/>
        <w:adjustRightInd w:val="0"/>
        <w:snapToGrid w:val="0"/>
        <w:spacing w:after="0" w:line="360" w:lineRule="auto"/>
        <w:jc w:val="both"/>
        <w:rPr>
          <w:rFonts w:ascii="Book Antiqua" w:hAnsi="Book Antiqua" w:cs="宋体"/>
          <w:color w:val="000000" w:themeColor="text1"/>
          <w:sz w:val="24"/>
          <w:szCs w:val="24"/>
          <w:lang w:eastAsia="zh-CN"/>
        </w:rPr>
      </w:pPr>
      <w:r w:rsidRPr="00981DC5">
        <w:rPr>
          <w:rFonts w:ascii="Book Antiqua" w:hAnsi="Book Antiqua" w:cs="宋体"/>
          <w:color w:val="000000" w:themeColor="text1"/>
          <w:sz w:val="24"/>
          <w:szCs w:val="24"/>
          <w:lang w:eastAsia="zh-CN"/>
        </w:rPr>
        <w:t xml:space="preserve">Grade D (Fair): </w:t>
      </w:r>
      <w:r w:rsidR="00B37270">
        <w:rPr>
          <w:rFonts w:ascii="Book Antiqua" w:hAnsi="Book Antiqua" w:cs="宋体"/>
          <w:color w:val="000000" w:themeColor="text1"/>
          <w:sz w:val="24"/>
          <w:szCs w:val="24"/>
          <w:lang w:eastAsia="zh-CN"/>
        </w:rPr>
        <w:t>D</w:t>
      </w:r>
    </w:p>
    <w:p w14:paraId="2CF0117D" w14:textId="77777777" w:rsidR="00B11A05" w:rsidRPr="00981DC5" w:rsidRDefault="00B11A05" w:rsidP="00B11A05">
      <w:pPr>
        <w:widowControl w:val="0"/>
        <w:adjustRightInd w:val="0"/>
        <w:snapToGrid w:val="0"/>
        <w:spacing w:after="0" w:line="360" w:lineRule="auto"/>
        <w:jc w:val="both"/>
        <w:rPr>
          <w:rFonts w:ascii="Book Antiqua" w:eastAsia="等线" w:hAnsi="Book Antiqua"/>
          <w:color w:val="000000" w:themeColor="text1"/>
          <w:kern w:val="2"/>
          <w:sz w:val="24"/>
          <w:szCs w:val="24"/>
          <w:lang w:val="hu-HU" w:eastAsia="zh-CN"/>
        </w:rPr>
      </w:pPr>
      <w:r w:rsidRPr="00981DC5">
        <w:rPr>
          <w:rFonts w:ascii="Book Antiqua" w:hAnsi="Book Antiqua" w:cs="宋体"/>
          <w:color w:val="000000" w:themeColor="text1"/>
          <w:sz w:val="24"/>
          <w:szCs w:val="24"/>
          <w:lang w:eastAsia="zh-CN"/>
        </w:rPr>
        <w:t>Grade E (Poor): 0</w:t>
      </w:r>
    </w:p>
    <w:p w14:paraId="10DBBEBB" w14:textId="77777777" w:rsidR="00B11A05" w:rsidRPr="00981DC5" w:rsidRDefault="00B11A05" w:rsidP="00B11A05">
      <w:pPr>
        <w:widowControl w:val="0"/>
        <w:adjustRightInd w:val="0"/>
        <w:snapToGrid w:val="0"/>
        <w:spacing w:after="0" w:line="360" w:lineRule="auto"/>
        <w:jc w:val="both"/>
        <w:rPr>
          <w:rFonts w:ascii="Book Antiqua" w:eastAsia="等线" w:hAnsi="Book Antiqua"/>
          <w:color w:val="000000" w:themeColor="text1"/>
          <w:kern w:val="2"/>
          <w:sz w:val="24"/>
          <w:szCs w:val="24"/>
          <w:lang w:eastAsia="zh-CN"/>
        </w:rPr>
      </w:pPr>
    </w:p>
    <w:p w14:paraId="5930C900" w14:textId="3460088F" w:rsidR="00B11A05" w:rsidRPr="00981DC5" w:rsidRDefault="00B11A05" w:rsidP="00B11A05">
      <w:pPr>
        <w:widowControl w:val="0"/>
        <w:adjustRightInd w:val="0"/>
        <w:snapToGrid w:val="0"/>
        <w:spacing w:after="0" w:line="360" w:lineRule="auto"/>
        <w:ind w:right="240"/>
        <w:jc w:val="both"/>
        <w:rPr>
          <w:rFonts w:ascii="Book Antiqua" w:hAnsi="Book Antiqua"/>
          <w:b/>
          <w:bCs/>
          <w:color w:val="000000" w:themeColor="text1"/>
          <w:kern w:val="2"/>
          <w:sz w:val="24"/>
          <w:szCs w:val="24"/>
          <w:lang w:eastAsia="zh-CN"/>
        </w:rPr>
      </w:pPr>
      <w:bookmarkStart w:id="21" w:name="OLE_LINK139"/>
      <w:bookmarkStart w:id="22" w:name="OLE_LINK140"/>
      <w:r w:rsidRPr="00981DC5">
        <w:rPr>
          <w:rFonts w:ascii="Book Antiqua" w:hAnsi="Book Antiqua"/>
          <w:b/>
          <w:bCs/>
          <w:color w:val="000000" w:themeColor="text1"/>
          <w:kern w:val="2"/>
          <w:sz w:val="24"/>
          <w:szCs w:val="24"/>
          <w:lang w:eastAsia="zh-CN"/>
        </w:rPr>
        <w:t>P-Reviewer:</w:t>
      </w:r>
      <w:r w:rsidR="00B37270">
        <w:rPr>
          <w:rFonts w:ascii="Book Antiqua" w:hAnsi="Book Antiqua"/>
          <w:bCs/>
          <w:color w:val="000000" w:themeColor="text1"/>
          <w:kern w:val="2"/>
          <w:sz w:val="24"/>
          <w:szCs w:val="24"/>
          <w:lang w:eastAsia="zh-CN"/>
        </w:rPr>
        <w:t xml:space="preserve"> </w:t>
      </w:r>
      <w:r w:rsidR="00B37270" w:rsidRPr="00B37270">
        <w:rPr>
          <w:rFonts w:ascii="Book Antiqua" w:hAnsi="Book Antiqua"/>
          <w:bCs/>
          <w:color w:val="000000" w:themeColor="text1"/>
          <w:kern w:val="2"/>
          <w:sz w:val="24"/>
          <w:szCs w:val="24"/>
          <w:lang w:eastAsia="zh-CN"/>
        </w:rPr>
        <w:t>Boscá</w:t>
      </w:r>
      <w:r w:rsidR="00B37270">
        <w:rPr>
          <w:rFonts w:ascii="Book Antiqua" w:hAnsi="Book Antiqua"/>
          <w:bCs/>
          <w:color w:val="000000" w:themeColor="text1"/>
          <w:kern w:val="2"/>
          <w:sz w:val="24"/>
          <w:szCs w:val="24"/>
          <w:lang w:eastAsia="zh-CN"/>
        </w:rPr>
        <w:t xml:space="preserve"> L, Chen RF, </w:t>
      </w:r>
      <w:r w:rsidR="00B37270" w:rsidRPr="00B37270">
        <w:rPr>
          <w:rFonts w:ascii="Book Antiqua" w:hAnsi="Book Antiqua"/>
          <w:bCs/>
          <w:color w:val="000000" w:themeColor="text1"/>
          <w:kern w:val="2"/>
          <w:sz w:val="24"/>
          <w:szCs w:val="24"/>
          <w:lang w:eastAsia="zh-CN"/>
        </w:rPr>
        <w:t>Katuchova</w:t>
      </w:r>
      <w:r w:rsidR="00B37270">
        <w:rPr>
          <w:rFonts w:ascii="Book Antiqua" w:hAnsi="Book Antiqua"/>
          <w:bCs/>
          <w:color w:val="000000" w:themeColor="text1"/>
          <w:kern w:val="2"/>
          <w:sz w:val="24"/>
          <w:szCs w:val="24"/>
          <w:lang w:eastAsia="zh-CN"/>
        </w:rPr>
        <w:t xml:space="preserve"> J, </w:t>
      </w:r>
      <w:r w:rsidR="00B37270" w:rsidRPr="00B37270">
        <w:rPr>
          <w:rFonts w:ascii="Book Antiqua" w:hAnsi="Book Antiqua"/>
          <w:bCs/>
          <w:color w:val="000000" w:themeColor="text1"/>
          <w:kern w:val="2"/>
          <w:sz w:val="24"/>
          <w:szCs w:val="24"/>
          <w:lang w:eastAsia="zh-CN"/>
        </w:rPr>
        <w:t>Kleeff</w:t>
      </w:r>
      <w:r w:rsidR="00B37270">
        <w:rPr>
          <w:rFonts w:ascii="Book Antiqua" w:hAnsi="Book Antiqua"/>
          <w:bCs/>
          <w:color w:val="000000" w:themeColor="text1"/>
          <w:kern w:val="2"/>
          <w:sz w:val="24"/>
          <w:szCs w:val="24"/>
          <w:lang w:eastAsia="zh-CN"/>
        </w:rPr>
        <w:t xml:space="preserve"> J</w:t>
      </w:r>
      <w:r w:rsidRPr="00981DC5">
        <w:rPr>
          <w:rFonts w:ascii="Book Antiqua" w:hAnsi="Book Antiqua"/>
          <w:bCs/>
          <w:color w:val="000000" w:themeColor="text1"/>
          <w:kern w:val="2"/>
          <w:sz w:val="24"/>
          <w:szCs w:val="24"/>
          <w:lang w:eastAsia="zh-CN"/>
        </w:rPr>
        <w:t xml:space="preserve"> </w:t>
      </w:r>
      <w:r w:rsidRPr="00981DC5">
        <w:rPr>
          <w:rFonts w:ascii="Book Antiqua" w:hAnsi="Book Antiqua"/>
          <w:b/>
          <w:bCs/>
          <w:color w:val="000000" w:themeColor="text1"/>
          <w:kern w:val="2"/>
          <w:sz w:val="24"/>
          <w:szCs w:val="24"/>
          <w:lang w:eastAsia="zh-CN"/>
        </w:rPr>
        <w:t>S-Editor:</w:t>
      </w:r>
      <w:r w:rsidRPr="00981DC5">
        <w:rPr>
          <w:rFonts w:ascii="Book Antiqua" w:hAnsi="Book Antiqua"/>
          <w:color w:val="000000" w:themeColor="text1"/>
          <w:kern w:val="2"/>
          <w:sz w:val="24"/>
          <w:szCs w:val="24"/>
          <w:lang w:eastAsia="zh-CN"/>
        </w:rPr>
        <w:t xml:space="preserve"> </w:t>
      </w:r>
      <w:r w:rsidRPr="00981DC5">
        <w:rPr>
          <w:rFonts w:ascii="Book Antiqua" w:hAnsi="Book Antiqua"/>
          <w:color w:val="000000" w:themeColor="text1"/>
          <w:sz w:val="24"/>
        </w:rPr>
        <w:t>Dou Y</w:t>
      </w:r>
      <w:r w:rsidRPr="00981DC5">
        <w:rPr>
          <w:rFonts w:ascii="Book Antiqua" w:hAnsi="Book Antiqua"/>
          <w:color w:val="000000" w:themeColor="text1"/>
          <w:kern w:val="2"/>
          <w:sz w:val="24"/>
          <w:szCs w:val="24"/>
          <w:lang w:eastAsia="zh-CN"/>
        </w:rPr>
        <w:t xml:space="preserve"> </w:t>
      </w:r>
      <w:r w:rsidRPr="00981DC5">
        <w:rPr>
          <w:rFonts w:ascii="Book Antiqua" w:hAnsi="Book Antiqua"/>
          <w:b/>
          <w:bCs/>
          <w:color w:val="000000" w:themeColor="text1"/>
          <w:kern w:val="2"/>
          <w:sz w:val="24"/>
          <w:szCs w:val="24"/>
          <w:lang w:eastAsia="zh-CN"/>
        </w:rPr>
        <w:t>L-Editor:</w:t>
      </w:r>
      <w:r w:rsidRPr="00981DC5">
        <w:rPr>
          <w:rFonts w:ascii="Book Antiqua" w:hAnsi="Book Antiqua"/>
          <w:color w:val="000000" w:themeColor="text1"/>
          <w:kern w:val="2"/>
          <w:sz w:val="24"/>
          <w:szCs w:val="24"/>
          <w:lang w:eastAsia="zh-CN"/>
        </w:rPr>
        <w:t xml:space="preserve"> </w:t>
      </w:r>
      <w:r w:rsidRPr="00981DC5">
        <w:rPr>
          <w:rFonts w:ascii="Book Antiqua" w:hAnsi="Book Antiqua"/>
          <w:b/>
          <w:bCs/>
          <w:color w:val="000000" w:themeColor="text1"/>
          <w:kern w:val="2"/>
          <w:sz w:val="24"/>
          <w:szCs w:val="24"/>
          <w:lang w:eastAsia="zh-CN"/>
        </w:rPr>
        <w:t>E-Editor:</w:t>
      </w:r>
    </w:p>
    <w:bookmarkEnd w:id="21"/>
    <w:bookmarkEnd w:id="22"/>
    <w:p w14:paraId="5251A561" w14:textId="279A57C6" w:rsidR="00D54D7A" w:rsidRPr="00981DC5" w:rsidRDefault="00D54D7A" w:rsidP="00B11A05">
      <w:pPr>
        <w:adjustRightInd w:val="0"/>
        <w:snapToGrid w:val="0"/>
        <w:spacing w:after="0" w:line="360" w:lineRule="auto"/>
        <w:jc w:val="both"/>
        <w:rPr>
          <w:rFonts w:ascii="Book Antiqua" w:hAnsi="Book Antiqua" w:cs="Calibri"/>
          <w:color w:val="000000" w:themeColor="text1"/>
          <w:sz w:val="24"/>
          <w:szCs w:val="24"/>
          <w:lang w:val="en-US"/>
        </w:rPr>
      </w:pPr>
      <w:r w:rsidRPr="00981DC5">
        <w:rPr>
          <w:rFonts w:ascii="Book Antiqua" w:hAnsi="Book Antiqua" w:cs="Calibri"/>
          <w:color w:val="000000" w:themeColor="text1"/>
          <w:sz w:val="24"/>
          <w:szCs w:val="24"/>
          <w:lang w:val="en-US"/>
        </w:rPr>
        <w:br w:type="page"/>
      </w:r>
    </w:p>
    <w:p w14:paraId="582F81A7" w14:textId="77777777" w:rsidR="00B11A05" w:rsidRPr="00981DC5" w:rsidRDefault="00B11A05" w:rsidP="00B11A05">
      <w:pPr>
        <w:adjustRightInd w:val="0"/>
        <w:snapToGrid w:val="0"/>
        <w:spacing w:after="0" w:line="360" w:lineRule="auto"/>
        <w:jc w:val="both"/>
        <w:rPr>
          <w:rFonts w:ascii="Book Antiqua" w:hAnsi="Book Antiqua"/>
          <w:b/>
          <w:color w:val="000000" w:themeColor="text1"/>
          <w:sz w:val="24"/>
          <w:szCs w:val="24"/>
          <w:lang w:eastAsia="zh-CN"/>
        </w:rPr>
      </w:pPr>
      <w:r w:rsidRPr="00981DC5">
        <w:rPr>
          <w:rFonts w:ascii="Book Antiqua" w:hAnsi="Book Antiqua"/>
          <w:b/>
          <w:color w:val="000000" w:themeColor="text1"/>
          <w:sz w:val="24"/>
          <w:szCs w:val="24"/>
        </w:rPr>
        <w:lastRenderedPageBreak/>
        <w:t>Figure Legends</w:t>
      </w:r>
    </w:p>
    <w:p w14:paraId="41CBA2FA" w14:textId="7E5D838E" w:rsidR="00D54D7A" w:rsidRPr="00981DC5" w:rsidRDefault="000F48FA" w:rsidP="00B11A05">
      <w:pPr>
        <w:widowControl w:val="0"/>
        <w:autoSpaceDE w:val="0"/>
        <w:autoSpaceDN w:val="0"/>
        <w:adjustRightInd w:val="0"/>
        <w:snapToGrid w:val="0"/>
        <w:spacing w:after="0" w:line="360" w:lineRule="auto"/>
        <w:jc w:val="both"/>
        <w:rPr>
          <w:rFonts w:ascii="Book Antiqua" w:hAnsi="Book Antiqua" w:cs="Calibri"/>
          <w:color w:val="000000" w:themeColor="text1"/>
          <w:sz w:val="24"/>
          <w:szCs w:val="24"/>
          <w:lang w:val="en-US"/>
        </w:rPr>
      </w:pPr>
      <w:r w:rsidRPr="00981DC5">
        <w:rPr>
          <w:rFonts w:ascii="Book Antiqua" w:hAnsi="Book Antiqua" w:cs="Calibri"/>
          <w:b/>
          <w:noProof/>
          <w:color w:val="000000" w:themeColor="text1"/>
          <w:sz w:val="24"/>
          <w:szCs w:val="24"/>
          <w:lang w:val="en-US" w:eastAsia="zh-CN"/>
        </w:rPr>
        <w:drawing>
          <wp:inline distT="0" distB="0" distL="0" distR="0" wp14:anchorId="55A6434D" wp14:editId="06956F79">
            <wp:extent cx="6116320" cy="4126230"/>
            <wp:effectExtent l="0" t="0" r="5080" b="1270"/>
            <wp:docPr id="1" name="图片 1" descr="截图里有图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16320" cy="4126230"/>
                    </a:xfrm>
                    <a:prstGeom prst="rect">
                      <a:avLst/>
                    </a:prstGeom>
                  </pic:spPr>
                </pic:pic>
              </a:graphicData>
            </a:graphic>
          </wp:inline>
        </w:drawing>
      </w:r>
      <w:r w:rsidR="00D54D7A" w:rsidRPr="00981DC5">
        <w:rPr>
          <w:rFonts w:ascii="Book Antiqua" w:hAnsi="Book Antiqua" w:cs="Calibri"/>
          <w:b/>
          <w:color w:val="000000" w:themeColor="text1"/>
          <w:sz w:val="24"/>
          <w:szCs w:val="24"/>
          <w:lang w:val="en-US"/>
        </w:rPr>
        <w:t>Figure 1</w:t>
      </w:r>
      <w:r w:rsidR="00D54D7A" w:rsidRPr="00B37270">
        <w:rPr>
          <w:rFonts w:ascii="Book Antiqua" w:hAnsi="Book Antiqua" w:cs="Calibri"/>
          <w:b/>
          <w:bCs/>
          <w:color w:val="000000" w:themeColor="text1"/>
          <w:sz w:val="24"/>
          <w:szCs w:val="24"/>
          <w:lang w:val="en-US"/>
        </w:rPr>
        <w:t xml:space="preserve"> Protocol used for the evaluation of the chemotherapy drugs efficacy</w:t>
      </w:r>
      <w:r w:rsidR="00836AFE" w:rsidRPr="00B37270">
        <w:rPr>
          <w:rFonts w:ascii="Book Antiqua" w:hAnsi="Book Antiqua" w:cs="Calibri"/>
          <w:b/>
          <w:bCs/>
          <w:color w:val="000000" w:themeColor="text1"/>
          <w:sz w:val="24"/>
          <w:szCs w:val="24"/>
          <w:lang w:val="en-US"/>
        </w:rPr>
        <w:t xml:space="preserve">. </w:t>
      </w:r>
      <w:r w:rsidR="00C31C8D" w:rsidRPr="00981DC5">
        <w:rPr>
          <w:rFonts w:ascii="Book Antiqua" w:hAnsi="Book Antiqua" w:cs="Calibri"/>
          <w:color w:val="000000" w:themeColor="text1"/>
          <w:sz w:val="24"/>
          <w:szCs w:val="24"/>
          <w:lang w:val="en-US"/>
        </w:rPr>
        <w:t xml:space="preserve">A piece of </w:t>
      </w:r>
      <w:r w:rsidR="00E70CCE" w:rsidRPr="00981DC5">
        <w:rPr>
          <w:rFonts w:ascii="Book Antiqua" w:hAnsi="Book Antiqua" w:cs="Calibri"/>
          <w:color w:val="000000" w:themeColor="text1"/>
          <w:sz w:val="24"/>
          <w:szCs w:val="24"/>
          <w:lang w:val="en-US"/>
        </w:rPr>
        <w:t xml:space="preserve">pancreatic ductal adenocarcinoma </w:t>
      </w:r>
      <w:r w:rsidR="00C31C8D" w:rsidRPr="00981DC5">
        <w:rPr>
          <w:rFonts w:ascii="Book Antiqua" w:hAnsi="Book Antiqua" w:cs="Calibri"/>
          <w:color w:val="000000" w:themeColor="text1"/>
          <w:sz w:val="24"/>
          <w:szCs w:val="24"/>
          <w:lang w:val="en-US"/>
        </w:rPr>
        <w:t xml:space="preserve">tumor tissue is </w:t>
      </w:r>
      <w:r w:rsidR="00836AFE" w:rsidRPr="00981DC5">
        <w:rPr>
          <w:rFonts w:ascii="Book Antiqua" w:hAnsi="Book Antiqua" w:cs="Calibri"/>
          <w:color w:val="000000" w:themeColor="text1"/>
          <w:sz w:val="24"/>
          <w:szCs w:val="24"/>
          <w:lang w:val="en-US"/>
        </w:rPr>
        <w:t>injected into the yolk</w:t>
      </w:r>
      <w:r w:rsidR="00C31C8D" w:rsidRPr="00981DC5">
        <w:rPr>
          <w:rFonts w:ascii="Book Antiqua" w:hAnsi="Book Antiqua" w:cs="Calibri"/>
          <w:color w:val="000000" w:themeColor="text1"/>
          <w:sz w:val="24"/>
          <w:szCs w:val="24"/>
          <w:lang w:val="en-US"/>
        </w:rPr>
        <w:t xml:space="preserve"> </w:t>
      </w:r>
      <w:r w:rsidR="00836AFE" w:rsidRPr="00981DC5">
        <w:rPr>
          <w:rFonts w:ascii="Book Antiqua" w:hAnsi="Book Antiqua" w:cs="Calibri"/>
          <w:color w:val="000000" w:themeColor="text1"/>
          <w:sz w:val="24"/>
          <w:szCs w:val="24"/>
          <w:lang w:val="en-US"/>
        </w:rPr>
        <w:t>sac</w:t>
      </w:r>
      <w:r w:rsidR="00C31C8D" w:rsidRPr="00981DC5">
        <w:rPr>
          <w:rFonts w:ascii="Book Antiqua" w:hAnsi="Book Antiqua" w:cs="Calibri"/>
          <w:color w:val="000000" w:themeColor="text1"/>
          <w:sz w:val="24"/>
          <w:szCs w:val="24"/>
          <w:lang w:val="en-US"/>
        </w:rPr>
        <w:t xml:space="preserve"> of zebrafish embryos 2</w:t>
      </w:r>
      <w:r w:rsidR="00B37270">
        <w:rPr>
          <w:rFonts w:ascii="Book Antiqua" w:hAnsi="Book Antiqua" w:cs="Calibri"/>
          <w:color w:val="000000" w:themeColor="text1"/>
          <w:sz w:val="24"/>
          <w:szCs w:val="24"/>
          <w:lang w:val="en-US"/>
        </w:rPr>
        <w:t xml:space="preserve"> </w:t>
      </w:r>
      <w:proofErr w:type="spellStart"/>
      <w:r w:rsidR="00C31C8D" w:rsidRPr="00981DC5">
        <w:rPr>
          <w:rFonts w:ascii="Book Antiqua" w:hAnsi="Book Antiqua" w:cs="Calibri"/>
          <w:color w:val="000000" w:themeColor="text1"/>
          <w:sz w:val="24"/>
          <w:szCs w:val="24"/>
          <w:lang w:val="en-US"/>
        </w:rPr>
        <w:t>dpf</w:t>
      </w:r>
      <w:proofErr w:type="spellEnd"/>
      <w:r w:rsidR="00C31C8D" w:rsidRPr="00981DC5">
        <w:rPr>
          <w:rFonts w:ascii="Book Antiqua" w:hAnsi="Book Antiqua" w:cs="Calibri"/>
          <w:color w:val="000000" w:themeColor="text1"/>
          <w:sz w:val="24"/>
          <w:szCs w:val="24"/>
          <w:lang w:val="en-US"/>
        </w:rPr>
        <w:t>. At 2</w:t>
      </w:r>
      <w:r w:rsidR="00836AFE" w:rsidRPr="00981DC5">
        <w:rPr>
          <w:rFonts w:ascii="Book Antiqua" w:hAnsi="Book Antiqua" w:cs="Calibri"/>
          <w:color w:val="000000" w:themeColor="text1"/>
          <w:sz w:val="24"/>
          <w:szCs w:val="24"/>
          <w:lang w:val="en-US"/>
        </w:rPr>
        <w:t xml:space="preserve"> h post </w:t>
      </w:r>
      <w:r w:rsidR="00C31C8D" w:rsidRPr="00981DC5">
        <w:rPr>
          <w:rFonts w:ascii="Book Antiqua" w:hAnsi="Book Antiqua" w:cs="Calibri"/>
          <w:color w:val="000000" w:themeColor="text1"/>
          <w:sz w:val="24"/>
          <w:szCs w:val="24"/>
          <w:lang w:val="en-US"/>
        </w:rPr>
        <w:t>injecti</w:t>
      </w:r>
      <w:r w:rsidR="00836AFE" w:rsidRPr="00981DC5">
        <w:rPr>
          <w:rFonts w:ascii="Book Antiqua" w:hAnsi="Book Antiqua" w:cs="Calibri"/>
          <w:color w:val="000000" w:themeColor="text1"/>
          <w:sz w:val="24"/>
          <w:szCs w:val="24"/>
          <w:lang w:val="en-US"/>
        </w:rPr>
        <w:t>on</w:t>
      </w:r>
      <w:r w:rsidR="00C31C8D" w:rsidRPr="00981DC5">
        <w:rPr>
          <w:rFonts w:ascii="Book Antiqua" w:hAnsi="Book Antiqua" w:cs="Calibri"/>
          <w:color w:val="000000" w:themeColor="text1"/>
          <w:sz w:val="24"/>
          <w:szCs w:val="24"/>
          <w:lang w:val="en-US"/>
        </w:rPr>
        <w:t xml:space="preserve"> </w:t>
      </w:r>
      <w:r w:rsidR="00F1636C" w:rsidRPr="00981DC5">
        <w:rPr>
          <w:rFonts w:ascii="Book Antiqua" w:hAnsi="Book Antiqua" w:cs="Calibri"/>
          <w:color w:val="000000" w:themeColor="text1"/>
          <w:sz w:val="24"/>
          <w:szCs w:val="24"/>
          <w:lang w:val="en-US"/>
        </w:rPr>
        <w:t>(</w:t>
      </w:r>
      <w:proofErr w:type="spellStart"/>
      <w:r w:rsidR="00F1636C" w:rsidRPr="00981DC5">
        <w:rPr>
          <w:rFonts w:ascii="Book Antiqua" w:hAnsi="Book Antiqua" w:cs="Calibri"/>
          <w:color w:val="000000" w:themeColor="text1"/>
          <w:sz w:val="24"/>
          <w:szCs w:val="24"/>
          <w:lang w:val="en-US"/>
        </w:rPr>
        <w:t>hpi</w:t>
      </w:r>
      <w:proofErr w:type="spellEnd"/>
      <w:r w:rsidR="00F1636C" w:rsidRPr="00981DC5">
        <w:rPr>
          <w:rFonts w:ascii="Book Antiqua" w:hAnsi="Book Antiqua" w:cs="Calibri"/>
          <w:color w:val="000000" w:themeColor="text1"/>
          <w:sz w:val="24"/>
          <w:szCs w:val="24"/>
          <w:lang w:val="en-US"/>
        </w:rPr>
        <w:t>) the embryos a</w:t>
      </w:r>
      <w:r w:rsidR="00836AFE" w:rsidRPr="00981DC5">
        <w:rPr>
          <w:rFonts w:ascii="Book Antiqua" w:hAnsi="Book Antiqua" w:cs="Calibri"/>
          <w:color w:val="000000" w:themeColor="text1"/>
          <w:sz w:val="24"/>
          <w:szCs w:val="24"/>
          <w:lang w:val="en-US"/>
        </w:rPr>
        <w:t>re</w:t>
      </w:r>
      <w:r w:rsidR="00820004" w:rsidRPr="00981DC5">
        <w:rPr>
          <w:rFonts w:ascii="Book Antiqua" w:hAnsi="Book Antiqua" w:cs="Calibri"/>
          <w:color w:val="000000" w:themeColor="text1"/>
          <w:sz w:val="24"/>
          <w:szCs w:val="24"/>
          <w:lang w:val="en-US"/>
        </w:rPr>
        <w:t xml:space="preserve"> imaged and exposed t</w:t>
      </w:r>
      <w:r w:rsidR="00836AFE" w:rsidRPr="00981DC5">
        <w:rPr>
          <w:rFonts w:ascii="Book Antiqua" w:hAnsi="Book Antiqua" w:cs="Calibri"/>
          <w:color w:val="000000" w:themeColor="text1"/>
          <w:sz w:val="24"/>
          <w:szCs w:val="24"/>
          <w:lang w:val="en-US"/>
        </w:rPr>
        <w:t>o</w:t>
      </w:r>
      <w:r w:rsidR="00820004" w:rsidRPr="00981DC5">
        <w:rPr>
          <w:rFonts w:ascii="Book Antiqua" w:hAnsi="Book Antiqua" w:cs="Calibri"/>
          <w:color w:val="000000" w:themeColor="text1"/>
          <w:sz w:val="24"/>
          <w:szCs w:val="24"/>
          <w:lang w:val="en-US"/>
        </w:rPr>
        <w:t xml:space="preserve"> </w:t>
      </w:r>
      <w:r w:rsidR="00F1636C" w:rsidRPr="00981DC5">
        <w:rPr>
          <w:rFonts w:ascii="Book Antiqua" w:hAnsi="Book Antiqua" w:cs="Calibri"/>
          <w:color w:val="000000" w:themeColor="text1"/>
          <w:sz w:val="24"/>
          <w:szCs w:val="24"/>
          <w:lang w:val="en-US"/>
        </w:rPr>
        <w:t>chemotherapy</w:t>
      </w:r>
      <w:r w:rsidR="00820004" w:rsidRPr="00981DC5">
        <w:rPr>
          <w:rFonts w:ascii="Book Antiqua" w:hAnsi="Book Antiqua" w:cs="Calibri"/>
          <w:color w:val="000000" w:themeColor="text1"/>
          <w:sz w:val="24"/>
          <w:szCs w:val="24"/>
          <w:lang w:val="en-US"/>
        </w:rPr>
        <w:t xml:space="preserve"> for 2 d</w:t>
      </w:r>
      <w:r w:rsidR="00836AFE" w:rsidRPr="00981DC5">
        <w:rPr>
          <w:rFonts w:ascii="Book Antiqua" w:hAnsi="Book Antiqua" w:cs="Calibri"/>
          <w:color w:val="000000" w:themeColor="text1"/>
          <w:sz w:val="24"/>
          <w:szCs w:val="24"/>
          <w:lang w:val="en-US"/>
        </w:rPr>
        <w:t xml:space="preserve">. </w:t>
      </w:r>
      <w:r w:rsidR="00B37270">
        <w:rPr>
          <w:rFonts w:ascii="Book Antiqua" w:hAnsi="Book Antiqua" w:cs="Calibri"/>
          <w:color w:val="000000" w:themeColor="text1"/>
          <w:sz w:val="24"/>
          <w:szCs w:val="24"/>
          <w:lang w:val="en-US"/>
        </w:rPr>
        <w:t>A and B:</w:t>
      </w:r>
      <w:r w:rsidR="00B37270" w:rsidRPr="00B37270">
        <w:rPr>
          <w:rFonts w:ascii="Book Antiqua" w:hAnsi="Book Antiqua" w:cs="Calibri"/>
          <w:color w:val="000000" w:themeColor="text1"/>
          <w:sz w:val="24"/>
          <w:szCs w:val="24"/>
          <w:lang w:val="en-US"/>
        </w:rPr>
        <w:t xml:space="preserve"> </w:t>
      </w:r>
      <w:r w:rsidR="00B37270" w:rsidRPr="00981DC5">
        <w:rPr>
          <w:rFonts w:ascii="Book Antiqua" w:hAnsi="Book Antiqua" w:cs="Calibri"/>
          <w:color w:val="000000" w:themeColor="text1"/>
          <w:sz w:val="24"/>
          <w:szCs w:val="24"/>
          <w:lang w:val="en-US"/>
        </w:rPr>
        <w:t xml:space="preserve">On the right panel a representative image of control embryos after 2 </w:t>
      </w:r>
      <w:proofErr w:type="spellStart"/>
      <w:r w:rsidR="00B37270" w:rsidRPr="00981DC5">
        <w:rPr>
          <w:rFonts w:ascii="Book Antiqua" w:hAnsi="Book Antiqua" w:cs="Calibri"/>
          <w:color w:val="000000" w:themeColor="text1"/>
          <w:sz w:val="24"/>
          <w:szCs w:val="24"/>
          <w:lang w:val="en-US"/>
        </w:rPr>
        <w:t>hpi</w:t>
      </w:r>
      <w:proofErr w:type="spellEnd"/>
      <w:r w:rsidR="00B37270" w:rsidRPr="00981DC5">
        <w:rPr>
          <w:rFonts w:ascii="Book Antiqua" w:hAnsi="Book Antiqua" w:cs="Calibri"/>
          <w:color w:val="000000" w:themeColor="text1"/>
          <w:sz w:val="24"/>
          <w:szCs w:val="24"/>
          <w:lang w:val="en-US"/>
        </w:rPr>
        <w:t xml:space="preserve"> and 2 dpi</w:t>
      </w:r>
      <w:r w:rsidR="00B37270">
        <w:rPr>
          <w:rFonts w:ascii="Book Antiqua" w:hAnsi="Book Antiqua" w:cs="Calibri"/>
          <w:color w:val="000000" w:themeColor="text1"/>
          <w:sz w:val="24"/>
          <w:szCs w:val="24"/>
          <w:lang w:val="en-US"/>
        </w:rPr>
        <w:t xml:space="preserve">; C and D: </w:t>
      </w:r>
      <w:r w:rsidR="00F1636C" w:rsidRPr="00981DC5">
        <w:rPr>
          <w:rFonts w:ascii="Book Antiqua" w:hAnsi="Book Antiqua" w:cs="Calibri"/>
          <w:color w:val="000000" w:themeColor="text1"/>
          <w:sz w:val="24"/>
          <w:szCs w:val="24"/>
          <w:lang w:val="en-US"/>
        </w:rPr>
        <w:t>On the right panel a</w:t>
      </w:r>
      <w:r w:rsidR="00820004" w:rsidRPr="00981DC5">
        <w:rPr>
          <w:rFonts w:ascii="Book Antiqua" w:hAnsi="Book Antiqua" w:cs="Calibri"/>
          <w:color w:val="000000" w:themeColor="text1"/>
          <w:sz w:val="24"/>
          <w:szCs w:val="24"/>
          <w:lang w:val="en-US"/>
        </w:rPr>
        <w:t xml:space="preserve"> </w:t>
      </w:r>
      <w:r w:rsidR="00F1636C" w:rsidRPr="00981DC5">
        <w:rPr>
          <w:rFonts w:ascii="Book Antiqua" w:hAnsi="Book Antiqua" w:cs="Calibri"/>
          <w:color w:val="000000" w:themeColor="text1"/>
          <w:sz w:val="24"/>
          <w:szCs w:val="24"/>
          <w:lang w:val="en-US"/>
        </w:rPr>
        <w:t>representati</w:t>
      </w:r>
      <w:r w:rsidR="00836AFE" w:rsidRPr="00981DC5">
        <w:rPr>
          <w:rFonts w:ascii="Book Antiqua" w:hAnsi="Book Antiqua" w:cs="Calibri"/>
          <w:color w:val="000000" w:themeColor="text1"/>
          <w:sz w:val="24"/>
          <w:szCs w:val="24"/>
          <w:lang w:val="en-US"/>
        </w:rPr>
        <w:t>ve image of</w:t>
      </w:r>
      <w:r w:rsidR="00F1636C" w:rsidRPr="00981DC5">
        <w:rPr>
          <w:rFonts w:ascii="Book Antiqua" w:hAnsi="Book Antiqua" w:cs="Calibri"/>
          <w:color w:val="000000" w:themeColor="text1"/>
          <w:sz w:val="24"/>
          <w:szCs w:val="24"/>
          <w:lang w:val="en-US"/>
        </w:rPr>
        <w:t xml:space="preserve"> </w:t>
      </w:r>
      <w:r w:rsidR="00836AFE" w:rsidRPr="00981DC5">
        <w:rPr>
          <w:rFonts w:ascii="Book Antiqua" w:hAnsi="Book Antiqua" w:cs="Calibri"/>
          <w:color w:val="000000" w:themeColor="text1"/>
          <w:sz w:val="24"/>
          <w:szCs w:val="24"/>
          <w:lang w:val="en-US"/>
        </w:rPr>
        <w:t>treated</w:t>
      </w:r>
      <w:r w:rsidR="00F1636C" w:rsidRPr="00981DC5">
        <w:rPr>
          <w:rFonts w:ascii="Book Antiqua" w:hAnsi="Book Antiqua" w:cs="Calibri"/>
          <w:color w:val="000000" w:themeColor="text1"/>
          <w:sz w:val="24"/>
          <w:szCs w:val="24"/>
          <w:lang w:val="en-US"/>
        </w:rPr>
        <w:t xml:space="preserve"> embryos after 2</w:t>
      </w:r>
      <w:r w:rsidR="00836AFE" w:rsidRPr="00981DC5">
        <w:rPr>
          <w:rFonts w:ascii="Book Antiqua" w:hAnsi="Book Antiqua" w:cs="Calibri"/>
          <w:color w:val="000000" w:themeColor="text1"/>
          <w:sz w:val="24"/>
          <w:szCs w:val="24"/>
          <w:lang w:val="en-US"/>
        </w:rPr>
        <w:t xml:space="preserve"> </w:t>
      </w:r>
      <w:proofErr w:type="spellStart"/>
      <w:r w:rsidR="00836AFE" w:rsidRPr="00981DC5">
        <w:rPr>
          <w:rFonts w:ascii="Book Antiqua" w:hAnsi="Book Antiqua" w:cs="Calibri"/>
          <w:color w:val="000000" w:themeColor="text1"/>
          <w:sz w:val="24"/>
          <w:szCs w:val="24"/>
          <w:lang w:val="en-US"/>
        </w:rPr>
        <w:t>hpi</w:t>
      </w:r>
      <w:proofErr w:type="spellEnd"/>
      <w:r w:rsidR="00F1636C" w:rsidRPr="00981DC5">
        <w:rPr>
          <w:rFonts w:ascii="Book Antiqua" w:hAnsi="Book Antiqua" w:cs="Calibri"/>
          <w:color w:val="000000" w:themeColor="text1"/>
          <w:sz w:val="24"/>
          <w:szCs w:val="24"/>
          <w:lang w:val="en-US"/>
        </w:rPr>
        <w:t xml:space="preserve"> and 2 dpi. Qualitati</w:t>
      </w:r>
      <w:r w:rsidR="00836AFE" w:rsidRPr="00981DC5">
        <w:rPr>
          <w:rFonts w:ascii="Book Antiqua" w:hAnsi="Book Antiqua" w:cs="Calibri"/>
          <w:color w:val="000000" w:themeColor="text1"/>
          <w:sz w:val="24"/>
          <w:szCs w:val="24"/>
          <w:lang w:val="en-US"/>
        </w:rPr>
        <w:t>vely</w:t>
      </w:r>
      <w:r w:rsidR="00F1636C" w:rsidRPr="00981DC5">
        <w:rPr>
          <w:rFonts w:ascii="Book Antiqua" w:hAnsi="Book Antiqua" w:cs="Calibri"/>
          <w:color w:val="000000" w:themeColor="text1"/>
          <w:sz w:val="24"/>
          <w:szCs w:val="24"/>
          <w:lang w:val="en-US"/>
        </w:rPr>
        <w:t xml:space="preserve"> </w:t>
      </w:r>
      <w:r w:rsidR="00836AFE" w:rsidRPr="00981DC5">
        <w:rPr>
          <w:rFonts w:ascii="Book Antiqua" w:hAnsi="Book Antiqua" w:cs="Calibri"/>
          <w:color w:val="000000" w:themeColor="text1"/>
          <w:sz w:val="24"/>
          <w:szCs w:val="24"/>
          <w:lang w:val="en-US"/>
        </w:rPr>
        <w:t xml:space="preserve">images show </w:t>
      </w:r>
      <w:r w:rsidR="00F1636C" w:rsidRPr="00981DC5">
        <w:rPr>
          <w:rFonts w:ascii="Book Antiqua" w:hAnsi="Book Antiqua" w:cs="Calibri"/>
          <w:color w:val="000000" w:themeColor="text1"/>
          <w:sz w:val="24"/>
          <w:szCs w:val="24"/>
          <w:lang w:val="en-US"/>
        </w:rPr>
        <w:t>the increased of fluorescent area</w:t>
      </w:r>
      <w:r w:rsidR="00836AFE" w:rsidRPr="00981DC5">
        <w:rPr>
          <w:rFonts w:ascii="Book Antiqua" w:hAnsi="Book Antiqua" w:cs="Calibri"/>
          <w:color w:val="000000" w:themeColor="text1"/>
          <w:sz w:val="24"/>
          <w:szCs w:val="24"/>
          <w:lang w:val="en-US"/>
        </w:rPr>
        <w:t xml:space="preserve"> in control</w:t>
      </w:r>
      <w:r w:rsidR="00F1636C" w:rsidRPr="00981DC5">
        <w:rPr>
          <w:rFonts w:ascii="Book Antiqua" w:hAnsi="Book Antiqua" w:cs="Calibri"/>
          <w:color w:val="000000" w:themeColor="text1"/>
          <w:sz w:val="24"/>
          <w:szCs w:val="24"/>
          <w:lang w:val="en-US"/>
        </w:rPr>
        <w:t xml:space="preserve"> group versus the regression i</w:t>
      </w:r>
      <w:r w:rsidR="00836AFE" w:rsidRPr="00981DC5">
        <w:rPr>
          <w:rFonts w:ascii="Book Antiqua" w:hAnsi="Book Antiqua" w:cs="Calibri"/>
          <w:color w:val="000000" w:themeColor="text1"/>
          <w:sz w:val="24"/>
          <w:szCs w:val="24"/>
          <w:lang w:val="en-US"/>
        </w:rPr>
        <w:t>n</w:t>
      </w:r>
      <w:r w:rsidR="00F1636C" w:rsidRPr="00981DC5">
        <w:rPr>
          <w:rFonts w:ascii="Book Antiqua" w:hAnsi="Book Antiqua" w:cs="Calibri"/>
          <w:color w:val="000000" w:themeColor="text1"/>
          <w:sz w:val="24"/>
          <w:szCs w:val="24"/>
          <w:lang w:val="en-US"/>
        </w:rPr>
        <w:t xml:space="preserve"> </w:t>
      </w:r>
      <w:proofErr w:type="spellStart"/>
      <w:r w:rsidR="00836AFE" w:rsidRPr="00981DC5">
        <w:rPr>
          <w:rFonts w:ascii="Book Antiqua" w:hAnsi="Book Antiqua" w:cs="Calibri"/>
          <w:color w:val="000000" w:themeColor="text1"/>
          <w:sz w:val="24"/>
          <w:szCs w:val="24"/>
          <w:lang w:val="en-US"/>
        </w:rPr>
        <w:t>xenotransplanted</w:t>
      </w:r>
      <w:proofErr w:type="spellEnd"/>
      <w:r w:rsidR="00836AFE" w:rsidRPr="00981DC5">
        <w:rPr>
          <w:rFonts w:ascii="Book Antiqua" w:hAnsi="Book Antiqua" w:cs="Calibri"/>
          <w:color w:val="000000" w:themeColor="text1"/>
          <w:sz w:val="24"/>
          <w:szCs w:val="24"/>
          <w:lang w:val="en-US"/>
        </w:rPr>
        <w:t xml:space="preserve"> embryos</w:t>
      </w:r>
      <w:r w:rsidR="00F1636C" w:rsidRPr="00981DC5">
        <w:rPr>
          <w:rFonts w:ascii="Book Antiqua" w:hAnsi="Book Antiqua" w:cs="Calibri"/>
          <w:color w:val="000000" w:themeColor="text1"/>
          <w:sz w:val="24"/>
          <w:szCs w:val="24"/>
          <w:lang w:val="en-US"/>
        </w:rPr>
        <w:t xml:space="preserve"> </w:t>
      </w:r>
      <w:r w:rsidR="00836AFE" w:rsidRPr="00981DC5">
        <w:rPr>
          <w:rFonts w:ascii="Book Antiqua" w:hAnsi="Book Antiqua" w:cs="Calibri"/>
          <w:color w:val="000000" w:themeColor="text1"/>
          <w:sz w:val="24"/>
          <w:szCs w:val="24"/>
          <w:lang w:val="en-US"/>
        </w:rPr>
        <w:t>treated with chemot</w:t>
      </w:r>
      <w:r w:rsidR="00F1636C" w:rsidRPr="00981DC5">
        <w:rPr>
          <w:rFonts w:ascii="Book Antiqua" w:hAnsi="Book Antiqua" w:cs="Calibri"/>
          <w:color w:val="000000" w:themeColor="text1"/>
          <w:sz w:val="24"/>
          <w:szCs w:val="24"/>
          <w:lang w:val="en-US"/>
        </w:rPr>
        <w:t>h</w:t>
      </w:r>
      <w:r w:rsidR="00836AFE" w:rsidRPr="00981DC5">
        <w:rPr>
          <w:rFonts w:ascii="Book Antiqua" w:hAnsi="Book Antiqua" w:cs="Calibri"/>
          <w:color w:val="000000" w:themeColor="text1"/>
          <w:sz w:val="24"/>
          <w:szCs w:val="24"/>
          <w:lang w:val="en-US"/>
        </w:rPr>
        <w:t>erapy.</w:t>
      </w:r>
    </w:p>
    <w:p w14:paraId="2BA29D5E" w14:textId="651F64AC" w:rsidR="008877D5" w:rsidRPr="00981DC5" w:rsidRDefault="000F48FA" w:rsidP="00B11A05">
      <w:pPr>
        <w:widowControl w:val="0"/>
        <w:autoSpaceDE w:val="0"/>
        <w:autoSpaceDN w:val="0"/>
        <w:adjustRightInd w:val="0"/>
        <w:snapToGrid w:val="0"/>
        <w:spacing w:after="0" w:line="360" w:lineRule="auto"/>
        <w:jc w:val="both"/>
        <w:rPr>
          <w:rFonts w:ascii="Book Antiqua" w:hAnsi="Book Antiqua" w:cs="Calibri"/>
          <w:color w:val="000000" w:themeColor="text1"/>
          <w:sz w:val="24"/>
          <w:szCs w:val="24"/>
          <w:lang w:val="en-US"/>
        </w:rPr>
      </w:pPr>
      <w:r w:rsidRPr="00981DC5">
        <w:rPr>
          <w:rFonts w:ascii="Book Antiqua" w:hAnsi="Book Antiqua" w:cs="Calibri"/>
          <w:noProof/>
          <w:color w:val="000000" w:themeColor="text1"/>
          <w:sz w:val="24"/>
          <w:szCs w:val="24"/>
          <w:lang w:val="en-US" w:eastAsia="zh-CN"/>
        </w:rPr>
        <w:lastRenderedPageBreak/>
        <w:drawing>
          <wp:inline distT="0" distB="0" distL="0" distR="0" wp14:anchorId="0066118D" wp14:editId="0FEE2C8A">
            <wp:extent cx="6116320" cy="3673475"/>
            <wp:effectExtent l="0" t="0" r="5080" b="0"/>
            <wp:docPr id="6" name="图片 6" descr="墙上贴着许多海报&#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16320" cy="3673475"/>
                    </a:xfrm>
                    <a:prstGeom prst="rect">
                      <a:avLst/>
                    </a:prstGeom>
                  </pic:spPr>
                </pic:pic>
              </a:graphicData>
            </a:graphic>
          </wp:inline>
        </w:drawing>
      </w:r>
    </w:p>
    <w:p w14:paraId="3C38256A" w14:textId="62869B1E" w:rsidR="00D54D7A" w:rsidRPr="00981DC5" w:rsidRDefault="00D54D7A" w:rsidP="00B11A05">
      <w:pPr>
        <w:adjustRightInd w:val="0"/>
        <w:snapToGrid w:val="0"/>
        <w:spacing w:after="0" w:line="360" w:lineRule="auto"/>
        <w:jc w:val="both"/>
        <w:rPr>
          <w:rFonts w:ascii="Book Antiqua" w:hAnsi="Book Antiqua" w:cs="Calibri"/>
          <w:color w:val="000000" w:themeColor="text1"/>
          <w:sz w:val="24"/>
          <w:szCs w:val="24"/>
          <w:lang w:val="en-US"/>
        </w:rPr>
      </w:pPr>
      <w:r w:rsidRPr="00981DC5">
        <w:rPr>
          <w:rFonts w:ascii="Book Antiqua" w:hAnsi="Book Antiqua" w:cs="Calibri"/>
          <w:b/>
          <w:color w:val="000000" w:themeColor="text1"/>
          <w:sz w:val="24"/>
          <w:szCs w:val="24"/>
          <w:lang w:val="en-US"/>
        </w:rPr>
        <w:t>Figure 2</w:t>
      </w:r>
      <w:r w:rsidRPr="00981DC5">
        <w:rPr>
          <w:rFonts w:ascii="Book Antiqua" w:hAnsi="Book Antiqua" w:cs="Calibri"/>
          <w:color w:val="000000" w:themeColor="text1"/>
          <w:sz w:val="24"/>
          <w:szCs w:val="24"/>
          <w:lang w:val="en-US"/>
        </w:rPr>
        <w:t xml:space="preserve"> </w:t>
      </w:r>
      <w:r w:rsidR="00B37270" w:rsidRPr="00B37270">
        <w:rPr>
          <w:rFonts w:ascii="Book Antiqua" w:hAnsi="Book Antiqua" w:cs="Calibri"/>
          <w:b/>
          <w:bCs/>
          <w:color w:val="000000" w:themeColor="text1"/>
          <w:sz w:val="24"/>
          <w:szCs w:val="24"/>
          <w:lang w:val="en-US"/>
        </w:rPr>
        <w:t xml:space="preserve">Tumor tissue was successfully engrafted in healthy zebrafish embryos in all cases. </w:t>
      </w:r>
      <w:r w:rsidR="00B37270">
        <w:rPr>
          <w:rFonts w:ascii="Book Antiqua" w:hAnsi="Book Antiqua" w:cs="Calibri"/>
          <w:color w:val="000000" w:themeColor="text1"/>
          <w:sz w:val="24"/>
          <w:szCs w:val="24"/>
          <w:lang w:val="en-US"/>
        </w:rPr>
        <w:t xml:space="preserve">A: </w:t>
      </w:r>
      <w:r w:rsidR="00CD6B9C" w:rsidRPr="00981DC5">
        <w:rPr>
          <w:rFonts w:ascii="Book Antiqua" w:eastAsia="Book Antiqua" w:hAnsi="Book Antiqua" w:cs="Book Antiqua"/>
          <w:color w:val="000000" w:themeColor="text1"/>
          <w:sz w:val="24"/>
          <w:szCs w:val="24"/>
          <w:lang w:val="en-US"/>
        </w:rPr>
        <w:t xml:space="preserve">Surgical specimen was obtained from patient with diagnosed </w:t>
      </w:r>
      <w:r w:rsidR="00E70CCE" w:rsidRPr="00981DC5">
        <w:rPr>
          <w:rFonts w:ascii="Book Antiqua" w:hAnsi="Book Antiqua" w:cs="Calibri"/>
          <w:color w:val="000000" w:themeColor="text1"/>
          <w:sz w:val="24"/>
          <w:szCs w:val="24"/>
          <w:lang w:val="en-US"/>
        </w:rPr>
        <w:t>pancreatic ductal adenocarcinoma</w:t>
      </w:r>
      <w:r w:rsidR="00E70CCE" w:rsidRPr="00981DC5">
        <w:rPr>
          <w:rFonts w:ascii="Book Antiqua" w:eastAsia="Book Antiqua" w:hAnsi="Book Antiqua" w:cs="Book Antiqua"/>
          <w:color w:val="000000" w:themeColor="text1"/>
          <w:sz w:val="24"/>
          <w:szCs w:val="24"/>
          <w:lang w:val="en-US"/>
        </w:rPr>
        <w:t xml:space="preserve"> </w:t>
      </w:r>
      <w:r w:rsidR="00E70CCE">
        <w:rPr>
          <w:rFonts w:ascii="Book Antiqua" w:eastAsia="Book Antiqua" w:hAnsi="Book Antiqua" w:cs="Book Antiqua"/>
          <w:color w:val="000000" w:themeColor="text1"/>
          <w:sz w:val="24"/>
          <w:szCs w:val="24"/>
          <w:lang w:val="en-US"/>
        </w:rPr>
        <w:t>(</w:t>
      </w:r>
      <w:r w:rsidR="00CD6B9C" w:rsidRPr="00981DC5">
        <w:rPr>
          <w:rFonts w:ascii="Book Antiqua" w:eastAsia="Book Antiqua" w:hAnsi="Book Antiqua" w:cs="Book Antiqua"/>
          <w:color w:val="000000" w:themeColor="text1"/>
          <w:sz w:val="24"/>
          <w:szCs w:val="24"/>
          <w:lang w:val="en-US"/>
        </w:rPr>
        <w:t>PDAC</w:t>
      </w:r>
      <w:r w:rsidR="00E70CCE">
        <w:rPr>
          <w:rFonts w:ascii="Book Antiqua" w:eastAsia="Book Antiqua" w:hAnsi="Book Antiqua" w:cs="Book Antiqua"/>
          <w:color w:val="000000" w:themeColor="text1"/>
          <w:sz w:val="24"/>
          <w:szCs w:val="24"/>
          <w:lang w:val="en-US"/>
        </w:rPr>
        <w:t>)</w:t>
      </w:r>
      <w:r w:rsidR="00B37270">
        <w:rPr>
          <w:rFonts w:ascii="Book Antiqua" w:eastAsia="Book Antiqua" w:hAnsi="Book Antiqua" w:cs="Book Antiqua"/>
          <w:color w:val="000000" w:themeColor="text1"/>
          <w:sz w:val="24"/>
          <w:szCs w:val="24"/>
          <w:lang w:val="en-US"/>
        </w:rPr>
        <w:t>;</w:t>
      </w:r>
      <w:r w:rsidR="00CD6B9C" w:rsidRPr="00981DC5">
        <w:rPr>
          <w:rFonts w:ascii="Book Antiqua" w:eastAsia="Book Antiqua" w:hAnsi="Book Antiqua" w:cs="Book Antiqua"/>
          <w:color w:val="000000" w:themeColor="text1"/>
          <w:sz w:val="24"/>
          <w:szCs w:val="24"/>
          <w:lang w:val="en-US"/>
        </w:rPr>
        <w:t xml:space="preserve"> </w:t>
      </w:r>
      <w:r w:rsidR="00B37270">
        <w:rPr>
          <w:rFonts w:ascii="Book Antiqua" w:eastAsia="Book Antiqua" w:hAnsi="Book Antiqua" w:cs="Book Antiqua"/>
          <w:color w:val="000000" w:themeColor="text1"/>
          <w:sz w:val="24"/>
          <w:szCs w:val="24"/>
          <w:lang w:val="en-US"/>
        </w:rPr>
        <w:t xml:space="preserve">B: </w:t>
      </w:r>
      <w:r w:rsidR="00CD6B9C" w:rsidRPr="00981DC5">
        <w:rPr>
          <w:rFonts w:ascii="Book Antiqua" w:eastAsia="Book Antiqua" w:hAnsi="Book Antiqua" w:cs="Book Antiqua"/>
          <w:color w:val="000000" w:themeColor="text1"/>
          <w:sz w:val="24"/>
          <w:szCs w:val="24"/>
          <w:lang w:val="en-US"/>
        </w:rPr>
        <w:t>Two fragments of the tumor</w:t>
      </w:r>
      <w:r w:rsidR="00B37270">
        <w:rPr>
          <w:rFonts w:ascii="Book Antiqua" w:eastAsia="Book Antiqua" w:hAnsi="Book Antiqua" w:cs="Book Antiqua"/>
          <w:color w:val="000000" w:themeColor="text1"/>
          <w:sz w:val="24"/>
          <w:szCs w:val="24"/>
          <w:lang w:val="en-US"/>
        </w:rPr>
        <w:t xml:space="preserve"> </w:t>
      </w:r>
      <w:r w:rsidR="00CD6B9C" w:rsidRPr="00981DC5">
        <w:rPr>
          <w:rFonts w:ascii="Book Antiqua" w:eastAsia="Book Antiqua" w:hAnsi="Book Antiqua" w:cs="Book Antiqua"/>
          <w:color w:val="000000" w:themeColor="text1"/>
          <w:sz w:val="24"/>
          <w:szCs w:val="24"/>
          <w:lang w:val="en-US"/>
        </w:rPr>
        <w:t>were taken</w:t>
      </w:r>
      <w:r w:rsidR="00E70CCE">
        <w:rPr>
          <w:rFonts w:ascii="Book Antiqua" w:eastAsia="Book Antiqua" w:hAnsi="Book Antiqua" w:cs="Book Antiqua"/>
          <w:color w:val="000000" w:themeColor="text1"/>
          <w:sz w:val="24"/>
          <w:szCs w:val="24"/>
          <w:lang w:val="en-US"/>
        </w:rPr>
        <w:t>;</w:t>
      </w:r>
      <w:r w:rsidR="00CD6B9C" w:rsidRPr="00981DC5">
        <w:rPr>
          <w:rFonts w:ascii="Book Antiqua" w:eastAsia="Book Antiqua" w:hAnsi="Book Antiqua" w:cs="Book Antiqua"/>
          <w:color w:val="000000" w:themeColor="text1"/>
          <w:sz w:val="24"/>
          <w:szCs w:val="24"/>
          <w:lang w:val="en-US"/>
        </w:rPr>
        <w:t xml:space="preserve"> </w:t>
      </w:r>
      <w:r w:rsidR="00B37270">
        <w:rPr>
          <w:rFonts w:ascii="Book Antiqua" w:eastAsia="Book Antiqua" w:hAnsi="Book Antiqua" w:cs="Book Antiqua"/>
          <w:color w:val="000000" w:themeColor="text1"/>
          <w:sz w:val="24"/>
          <w:szCs w:val="24"/>
          <w:lang w:val="en-US"/>
        </w:rPr>
        <w:t xml:space="preserve">C and D: </w:t>
      </w:r>
      <w:r w:rsidR="00CD6B9C" w:rsidRPr="00981DC5">
        <w:rPr>
          <w:rFonts w:ascii="Book Antiqua" w:eastAsia="Book Antiqua" w:hAnsi="Book Antiqua" w:cs="Book Antiqua"/>
          <w:color w:val="000000" w:themeColor="text1"/>
          <w:sz w:val="24"/>
          <w:szCs w:val="24"/>
          <w:lang w:val="en-US"/>
        </w:rPr>
        <w:t>One of them was used for histological evaluation (C) revealing that the percentage of epithelial cells (mean PDAC counterpart) out of the total surface area is 31.8</w:t>
      </w:r>
      <w:r w:rsidR="00B37270">
        <w:rPr>
          <w:rFonts w:ascii="Book Antiqua" w:eastAsia="Book Antiqua" w:hAnsi="Book Antiqua" w:cs="Book Antiqua"/>
          <w:color w:val="000000" w:themeColor="text1"/>
          <w:sz w:val="24"/>
          <w:szCs w:val="24"/>
          <w:lang w:val="en-US"/>
        </w:rPr>
        <w:t>%</w:t>
      </w:r>
      <w:r w:rsidR="00CD6B9C" w:rsidRPr="00981DC5">
        <w:rPr>
          <w:rFonts w:ascii="Book Antiqua" w:eastAsia="Book Antiqua" w:hAnsi="Book Antiqua" w:cs="Book Antiqua"/>
          <w:color w:val="000000" w:themeColor="text1"/>
          <w:sz w:val="24"/>
          <w:szCs w:val="24"/>
          <w:lang w:val="en-US"/>
        </w:rPr>
        <w:t xml:space="preserve"> ± 4.9% (</w:t>
      </w:r>
      <w:r w:rsidR="00CD6B9C" w:rsidRPr="00B37270">
        <w:rPr>
          <w:rFonts w:ascii="Book Antiqua" w:eastAsia="Book Antiqua" w:hAnsi="Book Antiqua" w:cs="Book Antiqua"/>
          <w:i/>
          <w:iCs/>
          <w:color w:val="000000" w:themeColor="text1"/>
          <w:sz w:val="24"/>
          <w:szCs w:val="24"/>
          <w:lang w:val="en-US"/>
        </w:rPr>
        <w:t>n</w:t>
      </w:r>
      <w:r w:rsidR="00B37270">
        <w:rPr>
          <w:rFonts w:ascii="Book Antiqua" w:eastAsia="Book Antiqua" w:hAnsi="Book Antiqua" w:cs="Book Antiqua"/>
          <w:color w:val="000000" w:themeColor="text1"/>
          <w:sz w:val="24"/>
          <w:szCs w:val="24"/>
          <w:lang w:val="en-US"/>
        </w:rPr>
        <w:t xml:space="preserve"> </w:t>
      </w:r>
      <w:r w:rsidR="00CD6B9C" w:rsidRPr="00981DC5">
        <w:rPr>
          <w:rFonts w:ascii="Book Antiqua" w:eastAsia="Book Antiqua" w:hAnsi="Book Antiqua" w:cs="Book Antiqua"/>
          <w:color w:val="000000" w:themeColor="text1"/>
          <w:sz w:val="24"/>
          <w:szCs w:val="24"/>
          <w:lang w:val="en-US"/>
        </w:rPr>
        <w:t>=</w:t>
      </w:r>
      <w:r w:rsidR="00B37270">
        <w:rPr>
          <w:rFonts w:ascii="Book Antiqua" w:eastAsia="Book Antiqua" w:hAnsi="Book Antiqua" w:cs="Book Antiqua"/>
          <w:color w:val="000000" w:themeColor="text1"/>
          <w:sz w:val="24"/>
          <w:szCs w:val="24"/>
          <w:lang w:val="en-US"/>
        </w:rPr>
        <w:t xml:space="preserve"> </w:t>
      </w:r>
      <w:r w:rsidR="00CD6B9C" w:rsidRPr="00981DC5">
        <w:rPr>
          <w:rFonts w:ascii="Book Antiqua" w:eastAsia="Book Antiqua" w:hAnsi="Book Antiqua" w:cs="Book Antiqua"/>
          <w:color w:val="000000" w:themeColor="text1"/>
          <w:sz w:val="24"/>
          <w:szCs w:val="24"/>
          <w:lang w:val="en-US"/>
        </w:rPr>
        <w:t>3) (D)</w:t>
      </w:r>
      <w:r w:rsidR="00B37270">
        <w:rPr>
          <w:rFonts w:ascii="Book Antiqua" w:eastAsia="Book Antiqua" w:hAnsi="Book Antiqua" w:cs="Book Antiqua"/>
          <w:color w:val="000000" w:themeColor="text1"/>
          <w:sz w:val="24"/>
          <w:szCs w:val="24"/>
          <w:lang w:val="en-US"/>
        </w:rPr>
        <w:t>;</w:t>
      </w:r>
      <w:r w:rsidR="00CD6B9C" w:rsidRPr="00981DC5">
        <w:rPr>
          <w:rFonts w:ascii="Book Antiqua" w:eastAsia="Book Antiqua" w:hAnsi="Book Antiqua" w:cs="Book Antiqua"/>
          <w:color w:val="000000" w:themeColor="text1"/>
          <w:sz w:val="24"/>
          <w:szCs w:val="24"/>
          <w:lang w:val="en-US"/>
        </w:rPr>
        <w:t xml:space="preserve"> </w:t>
      </w:r>
      <w:r w:rsidR="00B37270">
        <w:rPr>
          <w:rFonts w:ascii="Book Antiqua" w:eastAsia="Book Antiqua" w:hAnsi="Book Antiqua" w:cs="Book Antiqua"/>
          <w:color w:val="000000" w:themeColor="text1"/>
          <w:sz w:val="24"/>
          <w:szCs w:val="24"/>
          <w:lang w:val="en-US"/>
        </w:rPr>
        <w:t xml:space="preserve">E: </w:t>
      </w:r>
      <w:r w:rsidR="00CD6B9C" w:rsidRPr="00981DC5">
        <w:rPr>
          <w:rFonts w:ascii="Book Antiqua" w:eastAsia="Book Antiqua" w:hAnsi="Book Antiqua" w:cs="Book Antiqua"/>
          <w:color w:val="000000" w:themeColor="text1"/>
          <w:sz w:val="24"/>
          <w:szCs w:val="24"/>
          <w:lang w:val="en-US"/>
        </w:rPr>
        <w:t xml:space="preserve">The second fragment of the tumor was used for xenotransplantation into the yolk of zebrafish embryos 2 </w:t>
      </w:r>
      <w:proofErr w:type="spellStart"/>
      <w:r w:rsidR="00CD6B9C" w:rsidRPr="00981DC5">
        <w:rPr>
          <w:rFonts w:ascii="Book Antiqua" w:eastAsia="Book Antiqua" w:hAnsi="Book Antiqua" w:cs="Book Antiqua"/>
          <w:color w:val="000000" w:themeColor="text1"/>
          <w:sz w:val="24"/>
          <w:szCs w:val="24"/>
          <w:lang w:val="en-US"/>
        </w:rPr>
        <w:t>dpf</w:t>
      </w:r>
      <w:proofErr w:type="spellEnd"/>
      <w:r w:rsidR="00CD6B9C" w:rsidRPr="00981DC5">
        <w:rPr>
          <w:rFonts w:ascii="Book Antiqua" w:eastAsia="Book Antiqua" w:hAnsi="Book Antiqua" w:cs="Book Antiqua"/>
          <w:color w:val="000000" w:themeColor="text1"/>
          <w:sz w:val="24"/>
          <w:szCs w:val="24"/>
          <w:lang w:val="en-US"/>
        </w:rPr>
        <w:t xml:space="preserve">. After 2 d post xenotransplantation, the </w:t>
      </w:r>
      <w:r w:rsidR="00AD402B" w:rsidRPr="000E45C7">
        <w:rPr>
          <w:rFonts w:ascii="Book Antiqua" w:hAnsi="Book Antiqua" w:cs="Calibri"/>
          <w:color w:val="000000" w:themeColor="text1"/>
          <w:sz w:val="24"/>
          <w:szCs w:val="24"/>
          <w:lang w:val="en-US"/>
        </w:rPr>
        <w:t xml:space="preserve">zebrafish patient-derived xenografts </w:t>
      </w:r>
      <w:r w:rsidR="00AD402B">
        <w:rPr>
          <w:rFonts w:ascii="Book Antiqua" w:hAnsi="Book Antiqua" w:cs="Calibri"/>
          <w:color w:val="000000" w:themeColor="text1"/>
          <w:sz w:val="24"/>
          <w:szCs w:val="24"/>
          <w:lang w:val="en-US"/>
        </w:rPr>
        <w:t>(</w:t>
      </w:r>
      <w:proofErr w:type="spellStart"/>
      <w:r w:rsidR="00CD6B9C" w:rsidRPr="00981DC5">
        <w:rPr>
          <w:rFonts w:ascii="Book Antiqua" w:eastAsia="Book Antiqua" w:hAnsi="Book Antiqua" w:cs="Book Antiqua"/>
          <w:color w:val="000000" w:themeColor="text1"/>
          <w:sz w:val="24"/>
          <w:szCs w:val="24"/>
          <w:lang w:val="en-US"/>
        </w:rPr>
        <w:t>zPDX</w:t>
      </w:r>
      <w:proofErr w:type="spellEnd"/>
      <w:r w:rsidR="00AD402B">
        <w:rPr>
          <w:rFonts w:ascii="Book Antiqua" w:eastAsia="Book Antiqua" w:hAnsi="Book Antiqua" w:cs="Book Antiqua"/>
          <w:color w:val="000000" w:themeColor="text1"/>
          <w:sz w:val="24"/>
          <w:szCs w:val="24"/>
          <w:lang w:val="en-US"/>
        </w:rPr>
        <w:t>)</w:t>
      </w:r>
      <w:r w:rsidR="00CD6B9C" w:rsidRPr="00981DC5">
        <w:rPr>
          <w:rFonts w:ascii="Book Antiqua" w:eastAsia="Book Antiqua" w:hAnsi="Book Antiqua" w:cs="Book Antiqua"/>
          <w:color w:val="000000" w:themeColor="text1"/>
          <w:sz w:val="24"/>
          <w:szCs w:val="24"/>
          <w:lang w:val="en-US"/>
        </w:rPr>
        <w:t xml:space="preserve"> are Formalin-Fixed Paraffin Embedded. We performed the </w:t>
      </w:r>
      <w:r w:rsidR="00AD402B" w:rsidRPr="00981DC5">
        <w:rPr>
          <w:rFonts w:ascii="Book Antiqua" w:hAnsi="Book Antiqua" w:cs="Calibri"/>
          <w:color w:val="000000" w:themeColor="text1"/>
          <w:sz w:val="24"/>
          <w:szCs w:val="24"/>
          <w:lang w:val="en-US"/>
        </w:rPr>
        <w:t>hematoxylin and eosin</w:t>
      </w:r>
      <w:r w:rsidR="00CD6B9C" w:rsidRPr="00981DC5">
        <w:rPr>
          <w:rFonts w:ascii="Book Antiqua" w:eastAsia="Book Antiqua" w:hAnsi="Book Antiqua" w:cs="Book Antiqua"/>
          <w:color w:val="000000" w:themeColor="text1"/>
          <w:sz w:val="24"/>
          <w:szCs w:val="24"/>
          <w:lang w:val="en-US"/>
        </w:rPr>
        <w:t xml:space="preserve"> staining and </w:t>
      </w:r>
      <w:r w:rsidR="00870220" w:rsidRPr="00981DC5">
        <w:rPr>
          <w:rFonts w:ascii="Book Antiqua" w:hAnsi="Book Antiqua" w:cs="Calibri"/>
          <w:color w:val="000000" w:themeColor="text1"/>
          <w:sz w:val="24"/>
          <w:szCs w:val="24"/>
          <w:lang w:val="en-US"/>
        </w:rPr>
        <w:t xml:space="preserve">immunohistochemistry </w:t>
      </w:r>
      <w:r w:rsidR="00CD6B9C" w:rsidRPr="00981DC5">
        <w:rPr>
          <w:rFonts w:ascii="Book Antiqua" w:eastAsia="Book Antiqua" w:hAnsi="Book Antiqua" w:cs="Book Antiqua"/>
          <w:color w:val="000000" w:themeColor="text1"/>
          <w:sz w:val="24"/>
          <w:szCs w:val="24"/>
          <w:lang w:val="en-US"/>
        </w:rPr>
        <w:t>using anti-Human Pan</w:t>
      </w:r>
      <w:r w:rsidR="00E70CCE">
        <w:rPr>
          <w:rFonts w:ascii="Book Antiqua" w:eastAsia="Book Antiqua" w:hAnsi="Book Antiqua" w:cs="Book Antiqua"/>
          <w:color w:val="000000" w:themeColor="text1"/>
          <w:sz w:val="24"/>
          <w:szCs w:val="24"/>
          <w:lang w:val="en-US"/>
        </w:rPr>
        <w:t>-</w:t>
      </w:r>
      <w:r w:rsidR="00CD6B9C" w:rsidRPr="00981DC5">
        <w:rPr>
          <w:rFonts w:ascii="Book Antiqua" w:eastAsia="Book Antiqua" w:hAnsi="Book Antiqua" w:cs="Book Antiqua"/>
          <w:color w:val="000000" w:themeColor="text1"/>
          <w:sz w:val="24"/>
          <w:szCs w:val="24"/>
          <w:lang w:val="en-US"/>
        </w:rPr>
        <w:t xml:space="preserve">Cytokeratin </w:t>
      </w:r>
      <w:r w:rsidR="00E70CCE" w:rsidRPr="00981DC5">
        <w:rPr>
          <w:rFonts w:ascii="Book Antiqua" w:eastAsia="Book Antiqua" w:hAnsi="Book Antiqua" w:cs="Book Antiqua"/>
          <w:color w:val="000000" w:themeColor="text1"/>
          <w:sz w:val="24"/>
          <w:szCs w:val="24"/>
          <w:lang w:val="en-US"/>
        </w:rPr>
        <w:t xml:space="preserve">antibody </w:t>
      </w:r>
      <w:r w:rsidR="00CD6B9C" w:rsidRPr="00981DC5">
        <w:rPr>
          <w:rFonts w:ascii="Book Antiqua" w:eastAsia="Book Antiqua" w:hAnsi="Book Antiqua" w:cs="Book Antiqua"/>
          <w:color w:val="000000" w:themeColor="text1"/>
          <w:sz w:val="24"/>
          <w:szCs w:val="24"/>
          <w:lang w:val="en-US"/>
        </w:rPr>
        <w:t xml:space="preserve">on </w:t>
      </w:r>
      <w:proofErr w:type="spellStart"/>
      <w:r w:rsidR="00CD6B9C" w:rsidRPr="00981DC5">
        <w:rPr>
          <w:rFonts w:ascii="Book Antiqua" w:eastAsia="Book Antiqua" w:hAnsi="Book Antiqua" w:cs="Book Antiqua"/>
          <w:color w:val="000000" w:themeColor="text1"/>
          <w:sz w:val="24"/>
          <w:szCs w:val="24"/>
          <w:lang w:val="en-US"/>
        </w:rPr>
        <w:t>zPDX</w:t>
      </w:r>
      <w:proofErr w:type="spellEnd"/>
      <w:r w:rsidR="00CD6B9C" w:rsidRPr="00981DC5">
        <w:rPr>
          <w:rFonts w:ascii="Book Antiqua" w:eastAsia="Book Antiqua" w:hAnsi="Book Antiqua" w:cs="Book Antiqua"/>
          <w:color w:val="000000" w:themeColor="text1"/>
          <w:sz w:val="24"/>
          <w:szCs w:val="24"/>
          <w:lang w:val="en-US"/>
        </w:rPr>
        <w:t xml:space="preserve"> sections,</w:t>
      </w:r>
      <w:r w:rsidR="00CD6B9C" w:rsidRPr="00981DC5" w:rsidDel="0043280A">
        <w:rPr>
          <w:rFonts w:ascii="Book Antiqua" w:eastAsia="Book Antiqua" w:hAnsi="Book Antiqua" w:cs="Book Antiqua"/>
          <w:color w:val="000000" w:themeColor="text1"/>
          <w:sz w:val="24"/>
          <w:szCs w:val="24"/>
          <w:lang w:val="en-US"/>
        </w:rPr>
        <w:t xml:space="preserve"> </w:t>
      </w:r>
      <w:r w:rsidR="00CD6B9C" w:rsidRPr="00981DC5">
        <w:rPr>
          <w:rFonts w:ascii="Book Antiqua" w:eastAsia="Book Antiqua" w:hAnsi="Book Antiqua" w:cs="Book Antiqua"/>
          <w:color w:val="000000" w:themeColor="text1"/>
          <w:sz w:val="24"/>
          <w:szCs w:val="24"/>
          <w:lang w:val="en-US"/>
        </w:rPr>
        <w:t>highlighting the presence of epithelial PDAC cells (red arrows) and the immune-negative counterpart (black arrows) that might be associated with the microenvironment side of PDAC human tissue.</w:t>
      </w:r>
      <w:r w:rsidR="00E70CCE">
        <w:rPr>
          <w:rFonts w:ascii="Book Antiqua" w:eastAsia="Book Antiqua" w:hAnsi="Book Antiqua" w:cs="Book Antiqua"/>
          <w:color w:val="000000" w:themeColor="text1"/>
          <w:sz w:val="24"/>
          <w:szCs w:val="24"/>
          <w:lang w:val="en-US"/>
        </w:rPr>
        <w:t xml:space="preserve"> </w:t>
      </w:r>
      <w:r w:rsidR="00CE2C42">
        <w:rPr>
          <w:rFonts w:ascii="Book Antiqua" w:eastAsia="Book Antiqua" w:hAnsi="Book Antiqua" w:cs="Book Antiqua"/>
          <w:color w:val="000000" w:themeColor="text1"/>
          <w:sz w:val="24"/>
          <w:szCs w:val="24"/>
          <w:lang w:val="en-US"/>
        </w:rPr>
        <w:t xml:space="preserve">PDAC: </w:t>
      </w:r>
      <w:r w:rsidR="00CE2C42" w:rsidRPr="00981DC5">
        <w:rPr>
          <w:rFonts w:ascii="Book Antiqua" w:hAnsi="Book Antiqua" w:cs="Calibri"/>
          <w:color w:val="000000" w:themeColor="text1"/>
          <w:sz w:val="24"/>
          <w:szCs w:val="24"/>
          <w:lang w:val="en-US"/>
        </w:rPr>
        <w:t>Pancreatic ductal adenocarcinoma</w:t>
      </w:r>
      <w:r w:rsidR="00CE2C42">
        <w:rPr>
          <w:rFonts w:ascii="Book Antiqua" w:hAnsi="Book Antiqua" w:cs="Calibri"/>
          <w:color w:val="000000" w:themeColor="text1"/>
          <w:sz w:val="24"/>
          <w:szCs w:val="24"/>
          <w:lang w:val="en-US"/>
        </w:rPr>
        <w:t xml:space="preserve">; PDX: </w:t>
      </w:r>
      <w:r w:rsidR="00CE2C42" w:rsidRPr="00981DC5">
        <w:rPr>
          <w:rFonts w:ascii="Book Antiqua" w:hAnsi="Book Antiqua" w:cs="Calibri"/>
          <w:color w:val="000000" w:themeColor="text1"/>
          <w:sz w:val="24"/>
          <w:szCs w:val="24"/>
          <w:lang w:val="en-US"/>
        </w:rPr>
        <w:t>Patient-derived xenografts</w:t>
      </w:r>
      <w:r w:rsidR="00CE2C42">
        <w:rPr>
          <w:rFonts w:ascii="Book Antiqua" w:hAnsi="Book Antiqua" w:cs="Calibri"/>
          <w:color w:val="000000" w:themeColor="text1"/>
          <w:sz w:val="24"/>
          <w:szCs w:val="24"/>
          <w:lang w:val="en-US"/>
        </w:rPr>
        <w:t xml:space="preserve">; </w:t>
      </w:r>
      <w:proofErr w:type="spellStart"/>
      <w:r w:rsidR="00CE2C42">
        <w:rPr>
          <w:rFonts w:ascii="Book Antiqua" w:hAnsi="Book Antiqua" w:cs="Calibri"/>
          <w:color w:val="000000" w:themeColor="text1"/>
          <w:sz w:val="24"/>
          <w:szCs w:val="24"/>
          <w:lang w:val="en-US"/>
        </w:rPr>
        <w:t>PanCK</w:t>
      </w:r>
      <w:proofErr w:type="spellEnd"/>
      <w:r w:rsidR="00CE2C42">
        <w:rPr>
          <w:rFonts w:ascii="Book Antiqua" w:hAnsi="Book Antiqua" w:cs="Calibri"/>
          <w:color w:val="000000" w:themeColor="text1"/>
          <w:sz w:val="24"/>
          <w:szCs w:val="24"/>
          <w:lang w:val="en-US"/>
        </w:rPr>
        <w:t xml:space="preserve">: </w:t>
      </w:r>
      <w:r w:rsidR="00CE2C42" w:rsidRPr="00981DC5">
        <w:rPr>
          <w:rFonts w:ascii="Book Antiqua" w:eastAsia="Book Antiqua" w:hAnsi="Book Antiqua" w:cs="Book Antiqua"/>
          <w:color w:val="000000" w:themeColor="text1"/>
          <w:sz w:val="24"/>
          <w:szCs w:val="24"/>
          <w:lang w:val="en-US"/>
        </w:rPr>
        <w:t>Pan</w:t>
      </w:r>
      <w:r w:rsidR="00CE2C42">
        <w:rPr>
          <w:rFonts w:ascii="Book Antiqua" w:eastAsia="Book Antiqua" w:hAnsi="Book Antiqua" w:cs="Book Antiqua"/>
          <w:color w:val="000000" w:themeColor="text1"/>
          <w:sz w:val="24"/>
          <w:szCs w:val="24"/>
          <w:lang w:val="en-US"/>
        </w:rPr>
        <w:t>-</w:t>
      </w:r>
      <w:r w:rsidR="00CE2C42" w:rsidRPr="00981DC5">
        <w:rPr>
          <w:rFonts w:ascii="Book Antiqua" w:eastAsia="Book Antiqua" w:hAnsi="Book Antiqua" w:cs="Book Antiqua"/>
          <w:color w:val="000000" w:themeColor="text1"/>
          <w:sz w:val="24"/>
          <w:szCs w:val="24"/>
          <w:lang w:val="en-US"/>
        </w:rPr>
        <w:t>Cytokeratin antibody</w:t>
      </w:r>
      <w:r w:rsidR="00CE2C42">
        <w:rPr>
          <w:rFonts w:ascii="Book Antiqua" w:eastAsia="Book Antiqua" w:hAnsi="Book Antiqua" w:cs="Book Antiqua"/>
          <w:color w:val="000000" w:themeColor="text1"/>
          <w:sz w:val="24"/>
          <w:szCs w:val="24"/>
          <w:lang w:val="en-US"/>
        </w:rPr>
        <w:t>.</w:t>
      </w:r>
    </w:p>
    <w:p w14:paraId="2D94B961" w14:textId="03A66695" w:rsidR="008877D5" w:rsidRPr="00981DC5" w:rsidRDefault="000F48FA" w:rsidP="00B11A05">
      <w:pPr>
        <w:adjustRightInd w:val="0"/>
        <w:snapToGrid w:val="0"/>
        <w:spacing w:after="0" w:line="360" w:lineRule="auto"/>
        <w:jc w:val="both"/>
        <w:rPr>
          <w:rFonts w:ascii="Book Antiqua" w:hAnsi="Book Antiqua" w:cs="Calibri"/>
          <w:color w:val="000000" w:themeColor="text1"/>
          <w:sz w:val="24"/>
          <w:szCs w:val="24"/>
          <w:lang w:val="en-US"/>
        </w:rPr>
      </w:pPr>
      <w:r w:rsidRPr="00981DC5">
        <w:rPr>
          <w:rFonts w:ascii="Book Antiqua" w:hAnsi="Book Antiqua" w:cs="Calibri"/>
          <w:noProof/>
          <w:color w:val="000000" w:themeColor="text1"/>
          <w:sz w:val="24"/>
          <w:szCs w:val="24"/>
          <w:lang w:val="en-US" w:eastAsia="zh-CN"/>
        </w:rPr>
        <w:lastRenderedPageBreak/>
        <w:drawing>
          <wp:inline distT="0" distB="0" distL="0" distR="0" wp14:anchorId="21BA0426" wp14:editId="783DEB1C">
            <wp:extent cx="4711700" cy="3492500"/>
            <wp:effectExtent l="0" t="0" r="0" b="0"/>
            <wp:docPr id="4" name="图片 4"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11700" cy="3492500"/>
                    </a:xfrm>
                    <a:prstGeom prst="rect">
                      <a:avLst/>
                    </a:prstGeom>
                  </pic:spPr>
                </pic:pic>
              </a:graphicData>
            </a:graphic>
          </wp:inline>
        </w:drawing>
      </w:r>
    </w:p>
    <w:p w14:paraId="30F4168F" w14:textId="688A4274" w:rsidR="009E7D15" w:rsidRPr="00981DC5" w:rsidRDefault="009E7D15" w:rsidP="00B11A05">
      <w:pPr>
        <w:adjustRightInd w:val="0"/>
        <w:snapToGrid w:val="0"/>
        <w:spacing w:after="0" w:line="360" w:lineRule="auto"/>
        <w:jc w:val="both"/>
        <w:rPr>
          <w:rFonts w:ascii="Book Antiqua" w:eastAsia="Book Antiqua" w:hAnsi="Book Antiqua" w:cs="Book Antiqua"/>
          <w:color w:val="000000" w:themeColor="text1"/>
          <w:sz w:val="24"/>
          <w:szCs w:val="24"/>
          <w:lang w:val="en-US"/>
        </w:rPr>
      </w:pPr>
      <w:r w:rsidRPr="00B37270">
        <w:rPr>
          <w:rFonts w:ascii="Book Antiqua" w:eastAsia="Book Antiqua" w:hAnsi="Book Antiqua" w:cs="Book Antiqua"/>
          <w:b/>
          <w:bCs/>
          <w:color w:val="000000" w:themeColor="text1"/>
          <w:sz w:val="24"/>
          <w:szCs w:val="24"/>
          <w:lang w:val="en-US"/>
        </w:rPr>
        <w:t xml:space="preserve">Figure 3 </w:t>
      </w:r>
      <w:r w:rsidR="00CD6B9C" w:rsidRPr="00B37270">
        <w:rPr>
          <w:rFonts w:ascii="Book Antiqua" w:eastAsia="Book Antiqua" w:hAnsi="Book Antiqua" w:cs="Book Antiqua"/>
          <w:b/>
          <w:bCs/>
          <w:color w:val="000000" w:themeColor="text1"/>
          <w:sz w:val="24"/>
          <w:szCs w:val="24"/>
          <w:lang w:val="en-US"/>
        </w:rPr>
        <w:t xml:space="preserve">Representative </w:t>
      </w:r>
      <w:r w:rsidR="00AD402B" w:rsidRPr="00AD402B">
        <w:rPr>
          <w:rFonts w:ascii="Book Antiqua" w:hAnsi="Book Antiqua" w:cs="Calibri"/>
          <w:b/>
          <w:bCs/>
          <w:color w:val="000000" w:themeColor="text1"/>
          <w:sz w:val="24"/>
          <w:szCs w:val="24"/>
          <w:lang w:val="en-US"/>
        </w:rPr>
        <w:t>hematoxylin and eosin</w:t>
      </w:r>
      <w:r w:rsidR="00CD6B9C" w:rsidRPr="00B37270">
        <w:rPr>
          <w:rFonts w:ascii="Book Antiqua" w:eastAsia="Book Antiqua" w:hAnsi="Book Antiqua" w:cs="Book Antiqua"/>
          <w:b/>
          <w:bCs/>
          <w:color w:val="000000" w:themeColor="text1"/>
          <w:sz w:val="24"/>
          <w:szCs w:val="24"/>
          <w:lang w:val="en-US"/>
        </w:rPr>
        <w:t xml:space="preserve"> stained sections of </w:t>
      </w:r>
      <w:r w:rsidR="00AD402B" w:rsidRPr="00AD402B">
        <w:rPr>
          <w:rFonts w:ascii="Book Antiqua" w:hAnsi="Book Antiqua" w:cs="Calibri"/>
          <w:b/>
          <w:bCs/>
          <w:color w:val="000000" w:themeColor="text1"/>
          <w:sz w:val="24"/>
          <w:szCs w:val="24"/>
          <w:lang w:val="en-US"/>
        </w:rPr>
        <w:t>zebrafish patient-derived xenografts</w:t>
      </w:r>
      <w:r w:rsidR="00CD6B9C" w:rsidRPr="00AD402B">
        <w:rPr>
          <w:rFonts w:ascii="Book Antiqua" w:eastAsia="Book Antiqua" w:hAnsi="Book Antiqua" w:cs="Book Antiqua"/>
          <w:b/>
          <w:bCs/>
          <w:color w:val="000000" w:themeColor="text1"/>
          <w:sz w:val="24"/>
          <w:szCs w:val="24"/>
          <w:lang w:val="en-US"/>
        </w:rPr>
        <w:t xml:space="preserve">. </w:t>
      </w:r>
      <w:r w:rsidR="00CD6B9C" w:rsidRPr="00981DC5">
        <w:rPr>
          <w:rFonts w:ascii="Book Antiqua" w:eastAsia="Book Antiqua" w:hAnsi="Book Antiqua" w:cs="Book Antiqua"/>
          <w:color w:val="000000" w:themeColor="text1"/>
          <w:sz w:val="24"/>
          <w:szCs w:val="24"/>
          <w:lang w:val="en-US"/>
        </w:rPr>
        <w:t xml:space="preserve">Visible morphologic alteration of the human </w:t>
      </w:r>
      <w:r w:rsidR="00CE2C42" w:rsidRPr="00981DC5">
        <w:rPr>
          <w:rFonts w:ascii="Book Antiqua" w:hAnsi="Book Antiqua" w:cs="Calibri"/>
          <w:color w:val="000000" w:themeColor="text1"/>
          <w:sz w:val="24"/>
          <w:szCs w:val="24"/>
          <w:lang w:val="en-US"/>
        </w:rPr>
        <w:t>pancreatic ductal adenocarcinoma</w:t>
      </w:r>
      <w:r w:rsidR="00CE2C42" w:rsidRPr="00981DC5">
        <w:rPr>
          <w:rFonts w:ascii="Book Antiqua" w:eastAsia="Book Antiqua" w:hAnsi="Book Antiqua" w:cs="Book Antiqua"/>
          <w:color w:val="000000" w:themeColor="text1"/>
          <w:sz w:val="24"/>
          <w:szCs w:val="24"/>
          <w:lang w:val="en-US"/>
        </w:rPr>
        <w:t xml:space="preserve"> </w:t>
      </w:r>
      <w:r w:rsidR="00CD6B9C" w:rsidRPr="00981DC5">
        <w:rPr>
          <w:rFonts w:ascii="Book Antiqua" w:eastAsia="Book Antiqua" w:hAnsi="Book Antiqua" w:cs="Book Antiqua"/>
          <w:color w:val="000000" w:themeColor="text1"/>
          <w:sz w:val="24"/>
          <w:szCs w:val="24"/>
          <w:lang w:val="en-US"/>
        </w:rPr>
        <w:t xml:space="preserve">nuclei (red arrows) in </w:t>
      </w:r>
      <w:r w:rsidR="00AD402B" w:rsidRPr="000E45C7">
        <w:rPr>
          <w:rFonts w:ascii="Book Antiqua" w:hAnsi="Book Antiqua" w:cs="Calibri"/>
          <w:color w:val="000000" w:themeColor="text1"/>
          <w:sz w:val="24"/>
          <w:szCs w:val="24"/>
          <w:lang w:val="en-US"/>
        </w:rPr>
        <w:t xml:space="preserve">zebrafish patient-derived xenografts </w:t>
      </w:r>
      <w:r w:rsidR="00CD6B9C" w:rsidRPr="00981DC5">
        <w:rPr>
          <w:rFonts w:ascii="Book Antiqua" w:eastAsia="Book Antiqua" w:hAnsi="Book Antiqua" w:cs="Book Antiqua"/>
          <w:color w:val="000000" w:themeColor="text1"/>
          <w:sz w:val="24"/>
          <w:szCs w:val="24"/>
          <w:lang w:val="en-US"/>
        </w:rPr>
        <w:t xml:space="preserve">exposed to </w:t>
      </w:r>
      <w:r w:rsidR="00CE2C42" w:rsidRPr="00981DC5">
        <w:rPr>
          <w:rFonts w:ascii="Book Antiqua" w:hAnsi="Book Antiqua" w:cs="Calibri"/>
          <w:color w:val="000000" w:themeColor="text1"/>
          <w:sz w:val="24"/>
          <w:szCs w:val="24"/>
          <w:lang w:val="en-US"/>
        </w:rPr>
        <w:t>Gemcitabine + nab-Paclitaxel</w:t>
      </w:r>
      <w:r w:rsidR="00CD6B9C" w:rsidRPr="00981DC5">
        <w:rPr>
          <w:rFonts w:ascii="Book Antiqua" w:eastAsia="Book Antiqua" w:hAnsi="Book Antiqua" w:cs="Book Antiqua"/>
          <w:color w:val="000000" w:themeColor="text1"/>
          <w:sz w:val="24"/>
          <w:szCs w:val="24"/>
          <w:lang w:val="en-US"/>
        </w:rPr>
        <w:t xml:space="preserve"> and </w:t>
      </w:r>
      <w:r w:rsidR="00CE2C42" w:rsidRPr="00981DC5">
        <w:rPr>
          <w:rFonts w:ascii="Book Antiqua" w:hAnsi="Book Antiqua" w:cs="Calibri"/>
          <w:color w:val="000000" w:themeColor="text1"/>
          <w:sz w:val="24"/>
          <w:szCs w:val="24"/>
          <w:lang w:val="en-US"/>
        </w:rPr>
        <w:t xml:space="preserve">5-Fluorouracil + </w:t>
      </w:r>
      <w:proofErr w:type="spellStart"/>
      <w:r w:rsidR="00CE2C42" w:rsidRPr="00981DC5">
        <w:rPr>
          <w:rFonts w:ascii="Book Antiqua" w:hAnsi="Book Antiqua" w:cs="Calibri"/>
          <w:color w:val="000000" w:themeColor="text1"/>
          <w:sz w:val="24"/>
          <w:szCs w:val="24"/>
          <w:lang w:val="en-US"/>
        </w:rPr>
        <w:t>Folinic</w:t>
      </w:r>
      <w:proofErr w:type="spellEnd"/>
      <w:r w:rsidR="00CE2C42" w:rsidRPr="00981DC5">
        <w:rPr>
          <w:rFonts w:ascii="Book Antiqua" w:hAnsi="Book Antiqua" w:cs="Calibri"/>
          <w:color w:val="000000" w:themeColor="text1"/>
          <w:sz w:val="24"/>
          <w:szCs w:val="24"/>
          <w:lang w:val="en-US"/>
        </w:rPr>
        <w:t xml:space="preserve"> acid + Oxaliplatin + Irinotecan</w:t>
      </w:r>
      <w:r w:rsidR="00CE2C42" w:rsidRPr="00981DC5">
        <w:rPr>
          <w:rFonts w:ascii="Book Antiqua" w:eastAsia="Book Antiqua" w:hAnsi="Book Antiqua" w:cs="Book Antiqua"/>
          <w:color w:val="000000" w:themeColor="text1"/>
          <w:sz w:val="24"/>
          <w:szCs w:val="24"/>
          <w:lang w:val="en-US"/>
        </w:rPr>
        <w:t xml:space="preserve"> </w:t>
      </w:r>
      <w:r w:rsidR="00CD6B9C" w:rsidRPr="00981DC5">
        <w:rPr>
          <w:rFonts w:ascii="Book Antiqua" w:eastAsia="Book Antiqua" w:hAnsi="Book Antiqua" w:cs="Book Antiqua"/>
          <w:color w:val="000000" w:themeColor="text1"/>
          <w:sz w:val="24"/>
          <w:szCs w:val="24"/>
          <w:lang w:val="en-US"/>
        </w:rPr>
        <w:t>could be associated with a chemotherapy damage. Control group shows normal nuclei (black arrows).</w:t>
      </w:r>
      <w:r w:rsidR="00870220" w:rsidRPr="00870220">
        <w:rPr>
          <w:rFonts w:ascii="Book Antiqua" w:hAnsi="Book Antiqua" w:cs="Calibri"/>
          <w:color w:val="000000" w:themeColor="text1"/>
          <w:sz w:val="24"/>
          <w:szCs w:val="24"/>
          <w:lang w:val="en-US"/>
        </w:rPr>
        <w:t xml:space="preserve"> </w:t>
      </w:r>
      <w:r w:rsidR="00CE2C42" w:rsidRPr="00981DC5">
        <w:rPr>
          <w:rFonts w:ascii="Book Antiqua" w:hAnsi="Book Antiqua" w:cs="Calibri"/>
          <w:color w:val="000000" w:themeColor="text1"/>
          <w:sz w:val="24"/>
          <w:szCs w:val="24"/>
          <w:lang w:val="en-US"/>
        </w:rPr>
        <w:t>GEM/nab-P</w:t>
      </w:r>
      <w:r w:rsidR="00CE2C42">
        <w:rPr>
          <w:rFonts w:ascii="Book Antiqua" w:hAnsi="Book Antiqua" w:cs="Calibri"/>
          <w:color w:val="000000" w:themeColor="text1"/>
          <w:sz w:val="24"/>
          <w:szCs w:val="24"/>
          <w:lang w:val="en-US"/>
        </w:rPr>
        <w:t>:</w:t>
      </w:r>
      <w:r w:rsidR="00870220" w:rsidRPr="00981DC5">
        <w:rPr>
          <w:rFonts w:ascii="Book Antiqua" w:hAnsi="Book Antiqua" w:cs="Calibri"/>
          <w:color w:val="000000" w:themeColor="text1"/>
          <w:sz w:val="24"/>
          <w:szCs w:val="24"/>
          <w:lang w:val="en-US"/>
        </w:rPr>
        <w:t xml:space="preserve"> Gemcitabine + nab-Paclitaxel</w:t>
      </w:r>
      <w:r w:rsidR="00CE2C42">
        <w:rPr>
          <w:rFonts w:ascii="Book Antiqua" w:hAnsi="Book Antiqua" w:cs="Calibri"/>
          <w:color w:val="000000" w:themeColor="text1"/>
          <w:sz w:val="24"/>
          <w:szCs w:val="24"/>
          <w:lang w:val="en-US"/>
        </w:rPr>
        <w:t>;</w:t>
      </w:r>
      <w:r w:rsidR="00870220" w:rsidRPr="00981DC5">
        <w:rPr>
          <w:rFonts w:ascii="Book Antiqua" w:hAnsi="Book Antiqua" w:cs="Calibri"/>
          <w:color w:val="000000" w:themeColor="text1"/>
          <w:sz w:val="24"/>
          <w:szCs w:val="24"/>
          <w:lang w:val="en-US"/>
        </w:rPr>
        <w:t xml:space="preserve"> </w:t>
      </w:r>
      <w:r w:rsidR="00CE2C42" w:rsidRPr="00981DC5">
        <w:rPr>
          <w:rFonts w:ascii="Book Antiqua" w:hAnsi="Book Antiqua" w:cs="Calibri"/>
          <w:color w:val="000000" w:themeColor="text1"/>
          <w:sz w:val="24"/>
          <w:szCs w:val="24"/>
          <w:lang w:val="en-US"/>
        </w:rPr>
        <w:t>FOLFOXIRI</w:t>
      </w:r>
      <w:r w:rsidR="00CE2C42">
        <w:rPr>
          <w:rFonts w:ascii="Book Antiqua" w:hAnsi="Book Antiqua" w:cs="Calibri"/>
          <w:color w:val="000000" w:themeColor="text1"/>
          <w:sz w:val="24"/>
          <w:szCs w:val="24"/>
          <w:lang w:val="en-US"/>
        </w:rPr>
        <w:t>:</w:t>
      </w:r>
      <w:r w:rsidR="00CE2C42" w:rsidRPr="00981DC5">
        <w:rPr>
          <w:rFonts w:ascii="Book Antiqua" w:hAnsi="Book Antiqua" w:cs="Calibri"/>
          <w:color w:val="000000" w:themeColor="text1"/>
          <w:sz w:val="24"/>
          <w:szCs w:val="24"/>
          <w:lang w:val="en-US"/>
        </w:rPr>
        <w:t xml:space="preserve"> </w:t>
      </w:r>
      <w:r w:rsidR="00870220" w:rsidRPr="00981DC5">
        <w:rPr>
          <w:rFonts w:ascii="Book Antiqua" w:hAnsi="Book Antiqua" w:cs="Calibri"/>
          <w:color w:val="000000" w:themeColor="text1"/>
          <w:sz w:val="24"/>
          <w:szCs w:val="24"/>
          <w:lang w:val="en-US"/>
        </w:rPr>
        <w:t xml:space="preserve">5-Fluorouracil + </w:t>
      </w:r>
      <w:proofErr w:type="spellStart"/>
      <w:r w:rsidR="00870220" w:rsidRPr="00981DC5">
        <w:rPr>
          <w:rFonts w:ascii="Book Antiqua" w:hAnsi="Book Antiqua" w:cs="Calibri"/>
          <w:color w:val="000000" w:themeColor="text1"/>
          <w:sz w:val="24"/>
          <w:szCs w:val="24"/>
          <w:lang w:val="en-US"/>
        </w:rPr>
        <w:t>Folinic</w:t>
      </w:r>
      <w:proofErr w:type="spellEnd"/>
      <w:r w:rsidR="00870220" w:rsidRPr="00981DC5">
        <w:rPr>
          <w:rFonts w:ascii="Book Antiqua" w:hAnsi="Book Antiqua" w:cs="Calibri"/>
          <w:color w:val="000000" w:themeColor="text1"/>
          <w:sz w:val="24"/>
          <w:szCs w:val="24"/>
          <w:lang w:val="en-US"/>
        </w:rPr>
        <w:t xml:space="preserve"> acid + Oxaliplatin + Irinotecan.</w:t>
      </w:r>
    </w:p>
    <w:p w14:paraId="3E3220F1" w14:textId="73B04416" w:rsidR="00D866C7" w:rsidRPr="00981DC5" w:rsidRDefault="000F48FA" w:rsidP="00B11A05">
      <w:pPr>
        <w:adjustRightInd w:val="0"/>
        <w:snapToGrid w:val="0"/>
        <w:spacing w:after="0" w:line="360" w:lineRule="auto"/>
        <w:jc w:val="both"/>
        <w:rPr>
          <w:rFonts w:ascii="Book Antiqua" w:eastAsia="Book Antiqua" w:hAnsi="Book Antiqua" w:cs="Book Antiqua"/>
          <w:color w:val="000000" w:themeColor="text1"/>
          <w:sz w:val="24"/>
          <w:szCs w:val="24"/>
          <w:lang w:val="en-US"/>
        </w:rPr>
      </w:pPr>
      <w:r w:rsidRPr="00981DC5">
        <w:rPr>
          <w:rFonts w:ascii="Book Antiqua" w:eastAsia="Book Antiqua" w:hAnsi="Book Antiqua" w:cs="Book Antiqua"/>
          <w:noProof/>
          <w:color w:val="000000" w:themeColor="text1"/>
          <w:sz w:val="24"/>
          <w:szCs w:val="24"/>
          <w:lang w:val="en-US" w:eastAsia="zh-CN"/>
        </w:rPr>
        <w:lastRenderedPageBreak/>
        <w:drawing>
          <wp:inline distT="0" distB="0" distL="0" distR="0" wp14:anchorId="4C30EE10" wp14:editId="0C29AF36">
            <wp:extent cx="4229100" cy="5880100"/>
            <wp:effectExtent l="0" t="0" r="0" b="0"/>
            <wp:docPr id="3" name="图片 3"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29100" cy="5880100"/>
                    </a:xfrm>
                    <a:prstGeom prst="rect">
                      <a:avLst/>
                    </a:prstGeom>
                  </pic:spPr>
                </pic:pic>
              </a:graphicData>
            </a:graphic>
          </wp:inline>
        </w:drawing>
      </w:r>
    </w:p>
    <w:p w14:paraId="65170067" w14:textId="77777777" w:rsidR="00CE2C42" w:rsidRPr="00981DC5" w:rsidRDefault="00D54D7A" w:rsidP="00CE2C42">
      <w:pPr>
        <w:adjustRightInd w:val="0"/>
        <w:snapToGrid w:val="0"/>
        <w:spacing w:after="0" w:line="360" w:lineRule="auto"/>
        <w:jc w:val="both"/>
        <w:rPr>
          <w:rFonts w:ascii="Book Antiqua" w:eastAsia="Book Antiqua" w:hAnsi="Book Antiqua" w:cs="Book Antiqua"/>
          <w:color w:val="000000" w:themeColor="text1"/>
          <w:sz w:val="24"/>
          <w:szCs w:val="24"/>
          <w:lang w:val="en-US"/>
        </w:rPr>
      </w:pPr>
      <w:r w:rsidRPr="00981DC5">
        <w:rPr>
          <w:rFonts w:ascii="Book Antiqua" w:hAnsi="Book Antiqua" w:cs="Calibri"/>
          <w:b/>
          <w:color w:val="000000" w:themeColor="text1"/>
          <w:sz w:val="24"/>
          <w:szCs w:val="24"/>
          <w:lang w:val="en-US"/>
        </w:rPr>
        <w:t xml:space="preserve">Figure </w:t>
      </w:r>
      <w:r w:rsidR="009E7D15" w:rsidRPr="00981DC5">
        <w:rPr>
          <w:rFonts w:ascii="Book Antiqua" w:hAnsi="Book Antiqua" w:cs="Calibri"/>
          <w:b/>
          <w:color w:val="000000" w:themeColor="text1"/>
          <w:sz w:val="24"/>
          <w:szCs w:val="24"/>
          <w:lang w:val="en-US"/>
        </w:rPr>
        <w:t>4</w:t>
      </w:r>
      <w:r w:rsidRPr="00981DC5">
        <w:rPr>
          <w:rFonts w:ascii="Book Antiqua" w:hAnsi="Book Antiqua" w:cs="Calibri"/>
          <w:b/>
          <w:color w:val="000000" w:themeColor="text1"/>
          <w:sz w:val="24"/>
          <w:szCs w:val="24"/>
          <w:lang w:val="en-US"/>
        </w:rPr>
        <w:t xml:space="preserve"> </w:t>
      </w:r>
      <w:r w:rsidRPr="00B37270">
        <w:rPr>
          <w:rFonts w:ascii="Book Antiqua" w:hAnsi="Book Antiqua" w:cs="Calibri"/>
          <w:b/>
          <w:bCs/>
          <w:color w:val="000000" w:themeColor="text1"/>
          <w:sz w:val="24"/>
          <w:szCs w:val="24"/>
          <w:lang w:val="en-US"/>
        </w:rPr>
        <w:t xml:space="preserve">Cases with a statistically significant reduction of the mean </w:t>
      </w:r>
      <w:r w:rsidR="00CA3E0A" w:rsidRPr="00B37270">
        <w:rPr>
          <w:rFonts w:ascii="Book Antiqua" w:hAnsi="Book Antiqua" w:cs="Calibri"/>
          <w:b/>
          <w:bCs/>
          <w:color w:val="000000" w:themeColor="text1"/>
          <w:sz w:val="24"/>
          <w:szCs w:val="24"/>
          <w:lang w:val="en-US"/>
        </w:rPr>
        <w:t xml:space="preserve">relative tumor area </w:t>
      </w:r>
      <w:r w:rsidRPr="00B37270">
        <w:rPr>
          <w:rFonts w:ascii="Book Antiqua" w:hAnsi="Book Antiqua" w:cs="Calibri"/>
          <w:b/>
          <w:bCs/>
          <w:color w:val="000000" w:themeColor="text1"/>
          <w:sz w:val="24"/>
          <w:szCs w:val="24"/>
          <w:lang w:val="en-US"/>
        </w:rPr>
        <w:t>for at least one chemotherapy scheme</w:t>
      </w:r>
      <w:r w:rsidR="003B1A37" w:rsidRPr="00B37270">
        <w:rPr>
          <w:rFonts w:ascii="Book Antiqua" w:hAnsi="Book Antiqua" w:cs="Calibri"/>
          <w:b/>
          <w:bCs/>
          <w:color w:val="000000" w:themeColor="text1"/>
          <w:sz w:val="24"/>
          <w:szCs w:val="24"/>
          <w:lang w:val="en-US"/>
        </w:rPr>
        <w:t xml:space="preserve"> (the code below each diagram corresponds to the case number)</w:t>
      </w:r>
      <w:r w:rsidR="00741F68" w:rsidRPr="00B37270">
        <w:rPr>
          <w:rFonts w:ascii="Book Antiqua" w:hAnsi="Book Antiqua" w:cs="Calibri"/>
          <w:b/>
          <w:bCs/>
          <w:color w:val="000000" w:themeColor="text1"/>
          <w:sz w:val="24"/>
          <w:szCs w:val="24"/>
          <w:lang w:val="en-US"/>
        </w:rPr>
        <w:t>.</w:t>
      </w:r>
      <w:r w:rsidR="00741F68" w:rsidRPr="00981DC5">
        <w:rPr>
          <w:rFonts w:ascii="Book Antiqua" w:hAnsi="Book Antiqua" w:cs="Calibri"/>
          <w:color w:val="000000" w:themeColor="text1"/>
          <w:sz w:val="24"/>
          <w:szCs w:val="24"/>
          <w:lang w:val="en-US"/>
        </w:rPr>
        <w:t xml:space="preserve"> Results are expressed as average </w:t>
      </w:r>
      <w:r w:rsidR="00EB33B3" w:rsidRPr="00981DC5">
        <w:rPr>
          <w:rFonts w:ascii="Book Antiqua" w:hAnsi="Book Antiqua" w:cs="Calibri"/>
          <w:color w:val="000000" w:themeColor="text1"/>
          <w:sz w:val="24"/>
          <w:szCs w:val="24"/>
          <w:lang w:val="en-US"/>
        </w:rPr>
        <w:t>±</w:t>
      </w:r>
      <w:r w:rsidR="00741F68" w:rsidRPr="00981DC5">
        <w:rPr>
          <w:rFonts w:ascii="Book Antiqua" w:hAnsi="Book Antiqua" w:cs="Calibri"/>
          <w:color w:val="000000" w:themeColor="text1"/>
          <w:sz w:val="24"/>
          <w:szCs w:val="24"/>
          <w:lang w:val="en-US"/>
        </w:rPr>
        <w:t xml:space="preserve"> </w:t>
      </w:r>
      <w:r w:rsidR="00BA6E0A" w:rsidRPr="00981DC5">
        <w:rPr>
          <w:rFonts w:ascii="Book Antiqua" w:hAnsi="Book Antiqua" w:cs="Calibri"/>
          <w:color w:val="000000" w:themeColor="text1"/>
          <w:sz w:val="24"/>
          <w:szCs w:val="24"/>
          <w:lang w:val="en-US"/>
        </w:rPr>
        <w:t>SEM,</w:t>
      </w:r>
      <w:r w:rsidR="00741F68" w:rsidRPr="00981DC5">
        <w:rPr>
          <w:rFonts w:ascii="Book Antiqua" w:hAnsi="Book Antiqua" w:cs="Calibri"/>
          <w:color w:val="000000" w:themeColor="text1"/>
          <w:sz w:val="24"/>
          <w:szCs w:val="24"/>
          <w:lang w:val="en-US"/>
        </w:rPr>
        <w:t xml:space="preserve"> </w:t>
      </w:r>
      <w:proofErr w:type="spellStart"/>
      <w:r w:rsidR="00EB33B3" w:rsidRPr="00981DC5">
        <w:rPr>
          <w:rFonts w:ascii="Book Antiqua" w:hAnsi="Book Antiqua" w:cs="Calibri"/>
          <w:color w:val="000000" w:themeColor="text1"/>
          <w:sz w:val="24"/>
          <w:szCs w:val="24"/>
          <w:vertAlign w:val="superscript"/>
          <w:lang w:val="en-US"/>
        </w:rPr>
        <w:t>a</w:t>
      </w:r>
      <w:r w:rsidR="00EB33B3" w:rsidRPr="00981DC5">
        <w:rPr>
          <w:rFonts w:ascii="Book Antiqua" w:hAnsi="Book Antiqua" w:cs="Calibri"/>
          <w:i/>
          <w:iCs/>
          <w:color w:val="000000" w:themeColor="text1"/>
          <w:sz w:val="24"/>
          <w:szCs w:val="24"/>
          <w:lang w:val="en-US"/>
        </w:rPr>
        <w:t>P</w:t>
      </w:r>
      <w:proofErr w:type="spellEnd"/>
      <w:r w:rsidR="00EB33B3" w:rsidRPr="00981DC5">
        <w:rPr>
          <w:rFonts w:ascii="Book Antiqua" w:hAnsi="Book Antiqua" w:cs="Calibri"/>
          <w:i/>
          <w:iCs/>
          <w:color w:val="000000" w:themeColor="text1"/>
          <w:sz w:val="24"/>
          <w:szCs w:val="24"/>
          <w:lang w:val="en-US"/>
        </w:rPr>
        <w:t xml:space="preserve"> </w:t>
      </w:r>
      <w:r w:rsidR="00741F68" w:rsidRPr="00981DC5">
        <w:rPr>
          <w:rFonts w:ascii="Book Antiqua" w:hAnsi="Book Antiqua" w:cs="Calibri"/>
          <w:color w:val="000000" w:themeColor="text1"/>
          <w:sz w:val="24"/>
          <w:szCs w:val="24"/>
          <w:lang w:val="en-US"/>
        </w:rPr>
        <w:t>&lt;</w:t>
      </w:r>
      <w:r w:rsidR="00EB33B3" w:rsidRPr="00981DC5">
        <w:rPr>
          <w:rFonts w:ascii="Book Antiqua" w:hAnsi="Book Antiqua" w:cs="Calibri"/>
          <w:color w:val="000000" w:themeColor="text1"/>
          <w:sz w:val="24"/>
          <w:szCs w:val="24"/>
          <w:lang w:val="en-US"/>
        </w:rPr>
        <w:t xml:space="preserve"> </w:t>
      </w:r>
      <w:r w:rsidR="00741F68" w:rsidRPr="00981DC5">
        <w:rPr>
          <w:rFonts w:ascii="Book Antiqua" w:hAnsi="Book Antiqua" w:cs="Calibri"/>
          <w:color w:val="000000" w:themeColor="text1"/>
          <w:sz w:val="24"/>
          <w:szCs w:val="24"/>
          <w:lang w:val="en-US"/>
        </w:rPr>
        <w:t>0.05, 1-way ANOVA followed by Dunnett’s multiple comparisons test</w:t>
      </w:r>
      <w:r w:rsidR="00BA6E0A" w:rsidRPr="00981DC5">
        <w:rPr>
          <w:rFonts w:ascii="Book Antiqua" w:hAnsi="Book Antiqua" w:cs="Calibri"/>
          <w:color w:val="000000" w:themeColor="text1"/>
          <w:sz w:val="24"/>
          <w:szCs w:val="24"/>
          <w:lang w:val="en-US"/>
        </w:rPr>
        <w:t>.</w:t>
      </w:r>
      <w:r w:rsidR="00870220" w:rsidRPr="00870220">
        <w:rPr>
          <w:rFonts w:ascii="Book Antiqua" w:hAnsi="Book Antiqua" w:cs="Calibri"/>
          <w:color w:val="000000" w:themeColor="text1"/>
          <w:sz w:val="24"/>
          <w:szCs w:val="24"/>
          <w:lang w:val="en-US"/>
        </w:rPr>
        <w:t xml:space="preserve"> </w:t>
      </w:r>
      <w:r w:rsidR="00CE2C42" w:rsidRPr="00981DC5">
        <w:rPr>
          <w:rFonts w:ascii="Book Antiqua" w:eastAsia="Book Antiqua" w:hAnsi="Book Antiqua" w:cs="Book Antiqua"/>
          <w:color w:val="000000" w:themeColor="text1"/>
          <w:sz w:val="24"/>
          <w:szCs w:val="24"/>
          <w:lang w:val="en-US"/>
        </w:rPr>
        <w:t>Control group shows normal nuclei (black arrows).</w:t>
      </w:r>
      <w:r w:rsidR="00CE2C42" w:rsidRPr="00870220">
        <w:rPr>
          <w:rFonts w:ascii="Book Antiqua" w:hAnsi="Book Antiqua" w:cs="Calibri"/>
          <w:color w:val="000000" w:themeColor="text1"/>
          <w:sz w:val="24"/>
          <w:szCs w:val="24"/>
          <w:lang w:val="en-US"/>
        </w:rPr>
        <w:t xml:space="preserve"> </w:t>
      </w:r>
      <w:r w:rsidR="00CE2C42">
        <w:rPr>
          <w:rFonts w:ascii="Book Antiqua" w:hAnsi="Book Antiqua" w:cs="Calibri"/>
          <w:color w:val="000000" w:themeColor="text1"/>
          <w:sz w:val="24"/>
          <w:szCs w:val="24"/>
          <w:lang w:val="en-US"/>
        </w:rPr>
        <w:t xml:space="preserve">GEM: </w:t>
      </w:r>
      <w:r w:rsidR="00CE2C42" w:rsidRPr="00981DC5">
        <w:rPr>
          <w:rFonts w:ascii="Book Antiqua" w:hAnsi="Book Antiqua" w:cs="Calibri"/>
          <w:color w:val="000000" w:themeColor="text1"/>
          <w:sz w:val="24"/>
          <w:szCs w:val="24"/>
          <w:lang w:val="en-US"/>
        </w:rPr>
        <w:t>Gemcitabine</w:t>
      </w:r>
      <w:r w:rsidR="00CE2C42">
        <w:rPr>
          <w:rFonts w:ascii="Book Antiqua" w:hAnsi="Book Antiqua" w:cs="Calibri"/>
          <w:color w:val="000000" w:themeColor="text1"/>
          <w:sz w:val="24"/>
          <w:szCs w:val="24"/>
          <w:lang w:val="en-US"/>
        </w:rPr>
        <w:t>;</w:t>
      </w:r>
      <w:r w:rsidR="00CE2C42" w:rsidRPr="00981DC5">
        <w:rPr>
          <w:rFonts w:ascii="Book Antiqua" w:hAnsi="Book Antiqua" w:cs="Calibri"/>
          <w:color w:val="000000" w:themeColor="text1"/>
          <w:sz w:val="24"/>
          <w:szCs w:val="24"/>
          <w:lang w:val="en-US"/>
        </w:rPr>
        <w:t xml:space="preserve"> GEMOX</w:t>
      </w:r>
      <w:r w:rsidR="00CE2C42">
        <w:rPr>
          <w:rFonts w:ascii="Book Antiqua" w:hAnsi="Book Antiqua" w:cs="Calibri"/>
          <w:color w:val="000000" w:themeColor="text1"/>
          <w:sz w:val="24"/>
          <w:szCs w:val="24"/>
          <w:lang w:val="en-US"/>
        </w:rPr>
        <w:t>:</w:t>
      </w:r>
      <w:r w:rsidR="00CE2C42" w:rsidRPr="00981DC5">
        <w:rPr>
          <w:rFonts w:ascii="Book Antiqua" w:hAnsi="Book Antiqua" w:cs="Calibri"/>
          <w:color w:val="000000" w:themeColor="text1"/>
          <w:sz w:val="24"/>
          <w:szCs w:val="24"/>
          <w:lang w:val="en-US"/>
        </w:rPr>
        <w:t xml:space="preserve"> Gemcitabine + Oxaliplatin</w:t>
      </w:r>
      <w:r w:rsidR="00CE2C42">
        <w:rPr>
          <w:rFonts w:ascii="Book Antiqua" w:hAnsi="Book Antiqua" w:cs="Calibri"/>
          <w:color w:val="000000" w:themeColor="text1"/>
          <w:sz w:val="24"/>
          <w:szCs w:val="24"/>
          <w:lang w:val="en-US"/>
        </w:rPr>
        <w:t xml:space="preserve">; </w:t>
      </w:r>
      <w:r w:rsidR="00CE2C42" w:rsidRPr="00981DC5">
        <w:rPr>
          <w:rFonts w:ascii="Book Antiqua" w:hAnsi="Book Antiqua" w:cs="Calibri"/>
          <w:color w:val="000000" w:themeColor="text1"/>
          <w:sz w:val="24"/>
          <w:szCs w:val="24"/>
          <w:lang w:val="en-US"/>
        </w:rPr>
        <w:t>GEM/nab-P</w:t>
      </w:r>
      <w:r w:rsidR="00CE2C42">
        <w:rPr>
          <w:rFonts w:ascii="Book Antiqua" w:hAnsi="Book Antiqua" w:cs="Calibri"/>
          <w:color w:val="000000" w:themeColor="text1"/>
          <w:sz w:val="24"/>
          <w:szCs w:val="24"/>
          <w:lang w:val="en-US"/>
        </w:rPr>
        <w:t>:</w:t>
      </w:r>
      <w:r w:rsidR="00CE2C42" w:rsidRPr="00981DC5">
        <w:rPr>
          <w:rFonts w:ascii="Book Antiqua" w:hAnsi="Book Antiqua" w:cs="Calibri"/>
          <w:color w:val="000000" w:themeColor="text1"/>
          <w:sz w:val="24"/>
          <w:szCs w:val="24"/>
          <w:lang w:val="en-US"/>
        </w:rPr>
        <w:t xml:space="preserve"> Gemcitabine + nab-Paclitaxel</w:t>
      </w:r>
      <w:r w:rsidR="00CE2C42">
        <w:rPr>
          <w:rFonts w:ascii="Book Antiqua" w:hAnsi="Book Antiqua" w:cs="Calibri"/>
          <w:color w:val="000000" w:themeColor="text1"/>
          <w:sz w:val="24"/>
          <w:szCs w:val="24"/>
          <w:lang w:val="en-US"/>
        </w:rPr>
        <w:t>;</w:t>
      </w:r>
      <w:r w:rsidR="00CE2C42" w:rsidRPr="00981DC5">
        <w:rPr>
          <w:rFonts w:ascii="Book Antiqua" w:hAnsi="Book Antiqua" w:cs="Calibri"/>
          <w:color w:val="000000" w:themeColor="text1"/>
          <w:sz w:val="24"/>
          <w:szCs w:val="24"/>
          <w:lang w:val="en-US"/>
        </w:rPr>
        <w:t xml:space="preserve"> FOLFOXIRI</w:t>
      </w:r>
      <w:r w:rsidR="00CE2C42">
        <w:rPr>
          <w:rFonts w:ascii="Book Antiqua" w:hAnsi="Book Antiqua" w:cs="Calibri"/>
          <w:color w:val="000000" w:themeColor="text1"/>
          <w:sz w:val="24"/>
          <w:szCs w:val="24"/>
          <w:lang w:val="en-US"/>
        </w:rPr>
        <w:t>:</w:t>
      </w:r>
      <w:r w:rsidR="00CE2C42" w:rsidRPr="00981DC5">
        <w:rPr>
          <w:rFonts w:ascii="Book Antiqua" w:hAnsi="Book Antiqua" w:cs="Calibri"/>
          <w:color w:val="000000" w:themeColor="text1"/>
          <w:sz w:val="24"/>
          <w:szCs w:val="24"/>
          <w:lang w:val="en-US"/>
        </w:rPr>
        <w:t xml:space="preserve"> 5-Fluorouracil + </w:t>
      </w:r>
      <w:proofErr w:type="spellStart"/>
      <w:r w:rsidR="00CE2C42" w:rsidRPr="00981DC5">
        <w:rPr>
          <w:rFonts w:ascii="Book Antiqua" w:hAnsi="Book Antiqua" w:cs="Calibri"/>
          <w:color w:val="000000" w:themeColor="text1"/>
          <w:sz w:val="24"/>
          <w:szCs w:val="24"/>
          <w:lang w:val="en-US"/>
        </w:rPr>
        <w:t>Folinic</w:t>
      </w:r>
      <w:proofErr w:type="spellEnd"/>
      <w:r w:rsidR="00CE2C42" w:rsidRPr="00981DC5">
        <w:rPr>
          <w:rFonts w:ascii="Book Antiqua" w:hAnsi="Book Antiqua" w:cs="Calibri"/>
          <w:color w:val="000000" w:themeColor="text1"/>
          <w:sz w:val="24"/>
          <w:szCs w:val="24"/>
          <w:lang w:val="en-US"/>
        </w:rPr>
        <w:t xml:space="preserve"> acid + Oxaliplatin + Irinotecan.</w:t>
      </w:r>
    </w:p>
    <w:p w14:paraId="0DCCEA2D" w14:textId="3E775F49" w:rsidR="008877D5" w:rsidRPr="00981DC5" w:rsidRDefault="000F48FA" w:rsidP="00B11A05">
      <w:pPr>
        <w:widowControl w:val="0"/>
        <w:autoSpaceDE w:val="0"/>
        <w:autoSpaceDN w:val="0"/>
        <w:adjustRightInd w:val="0"/>
        <w:snapToGrid w:val="0"/>
        <w:spacing w:after="0" w:line="360" w:lineRule="auto"/>
        <w:jc w:val="both"/>
        <w:rPr>
          <w:rFonts w:ascii="Book Antiqua" w:hAnsi="Book Antiqua" w:cs="Calibri"/>
          <w:color w:val="000000" w:themeColor="text1"/>
          <w:sz w:val="24"/>
          <w:szCs w:val="24"/>
          <w:lang w:val="en-US"/>
        </w:rPr>
      </w:pPr>
      <w:r w:rsidRPr="00981DC5">
        <w:rPr>
          <w:rFonts w:ascii="Book Antiqua" w:hAnsi="Book Antiqua" w:cs="Calibri"/>
          <w:noProof/>
          <w:color w:val="000000" w:themeColor="text1"/>
          <w:sz w:val="24"/>
          <w:szCs w:val="24"/>
          <w:lang w:val="en-US" w:eastAsia="zh-CN"/>
        </w:rPr>
        <w:lastRenderedPageBreak/>
        <w:drawing>
          <wp:inline distT="0" distB="0" distL="0" distR="0" wp14:anchorId="6B5EC968" wp14:editId="3984B9D6">
            <wp:extent cx="6116320" cy="4185285"/>
            <wp:effectExtent l="0" t="0" r="5080" b="5715"/>
            <wp:docPr id="7" name="图片 7" descr="地图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16320" cy="4185285"/>
                    </a:xfrm>
                    <a:prstGeom prst="rect">
                      <a:avLst/>
                    </a:prstGeom>
                  </pic:spPr>
                </pic:pic>
              </a:graphicData>
            </a:graphic>
          </wp:inline>
        </w:drawing>
      </w:r>
    </w:p>
    <w:p w14:paraId="05F7EF82" w14:textId="52572597" w:rsidR="00D54D7A" w:rsidRPr="00AA0F16" w:rsidRDefault="00D54D7A" w:rsidP="00B11A05">
      <w:pPr>
        <w:adjustRightInd w:val="0"/>
        <w:snapToGrid w:val="0"/>
        <w:spacing w:after="0" w:line="360" w:lineRule="auto"/>
        <w:jc w:val="both"/>
        <w:rPr>
          <w:rFonts w:ascii="Book Antiqua" w:hAnsi="Book Antiqua" w:cs="Calibri"/>
          <w:iCs/>
          <w:color w:val="000000" w:themeColor="text1"/>
          <w:sz w:val="24"/>
          <w:szCs w:val="24"/>
          <w:lang w:val="en-US"/>
        </w:rPr>
      </w:pPr>
      <w:r w:rsidRPr="00981DC5">
        <w:rPr>
          <w:rFonts w:ascii="Book Antiqua" w:hAnsi="Book Antiqua" w:cs="Calibri"/>
          <w:b/>
          <w:color w:val="000000" w:themeColor="text1"/>
          <w:sz w:val="24"/>
          <w:szCs w:val="24"/>
          <w:lang w:val="en-US"/>
        </w:rPr>
        <w:t xml:space="preserve">Figure </w:t>
      </w:r>
      <w:r w:rsidR="009E7D15" w:rsidRPr="00981DC5">
        <w:rPr>
          <w:rFonts w:ascii="Book Antiqua" w:hAnsi="Book Antiqua" w:cs="Calibri"/>
          <w:b/>
          <w:color w:val="000000" w:themeColor="text1"/>
          <w:sz w:val="24"/>
          <w:szCs w:val="24"/>
          <w:lang w:val="en-US"/>
        </w:rPr>
        <w:t>5</w:t>
      </w:r>
      <w:r w:rsidR="00EB33B3" w:rsidRPr="00981DC5">
        <w:rPr>
          <w:rFonts w:ascii="Book Antiqua" w:hAnsi="Book Antiqua" w:cs="Calibri"/>
          <w:b/>
          <w:color w:val="000000" w:themeColor="text1"/>
          <w:sz w:val="24"/>
          <w:szCs w:val="24"/>
          <w:lang w:val="en-US"/>
        </w:rPr>
        <w:t xml:space="preserve"> </w:t>
      </w:r>
      <w:r w:rsidRPr="00981DC5">
        <w:rPr>
          <w:rFonts w:ascii="Book Antiqua" w:hAnsi="Book Antiqua" w:cs="Calibri"/>
          <w:b/>
          <w:color w:val="000000" w:themeColor="text1"/>
          <w:sz w:val="24"/>
          <w:szCs w:val="24"/>
          <w:lang w:val="en-US"/>
        </w:rPr>
        <w:t xml:space="preserve">Percentage of cases with a percentage reduction of mean </w:t>
      </w:r>
      <w:r w:rsidR="00CA3E0A" w:rsidRPr="00981DC5">
        <w:rPr>
          <w:rFonts w:ascii="Book Antiqua" w:hAnsi="Book Antiqua" w:cs="Calibri"/>
          <w:color w:val="000000" w:themeColor="text1"/>
          <w:sz w:val="24"/>
          <w:szCs w:val="24"/>
          <w:lang w:val="en-US"/>
        </w:rPr>
        <w:t>relative tumor area</w:t>
      </w:r>
      <w:r w:rsidR="00CA3E0A" w:rsidRPr="00981DC5">
        <w:rPr>
          <w:rFonts w:ascii="Book Antiqua" w:hAnsi="Book Antiqua" w:cs="Calibri"/>
          <w:b/>
          <w:color w:val="000000" w:themeColor="text1"/>
          <w:sz w:val="24"/>
          <w:szCs w:val="24"/>
          <w:lang w:val="en-US"/>
        </w:rPr>
        <w:t xml:space="preserve"> </w:t>
      </w:r>
      <w:r w:rsidRPr="00981DC5">
        <w:rPr>
          <w:rFonts w:ascii="Book Antiqua" w:hAnsi="Book Antiqua" w:cs="Calibri"/>
          <w:b/>
          <w:color w:val="000000" w:themeColor="text1"/>
          <w:sz w:val="24"/>
          <w:szCs w:val="24"/>
          <w:lang w:val="en-US"/>
        </w:rPr>
        <w:t>equal or greater to each threshold value</w:t>
      </w:r>
      <w:r w:rsidR="00C17AE8" w:rsidRPr="00981DC5">
        <w:rPr>
          <w:rFonts w:ascii="Book Antiqua" w:hAnsi="Book Antiqua" w:cs="Calibri"/>
          <w:b/>
          <w:color w:val="000000" w:themeColor="text1"/>
          <w:sz w:val="24"/>
          <w:szCs w:val="24"/>
          <w:lang w:val="en-US"/>
        </w:rPr>
        <w:t>.</w:t>
      </w:r>
      <w:r w:rsidR="00CA3E0A">
        <w:rPr>
          <w:rFonts w:ascii="Book Antiqua" w:hAnsi="Book Antiqua" w:cs="Calibri"/>
          <w:b/>
          <w:color w:val="000000" w:themeColor="text1"/>
          <w:sz w:val="24"/>
          <w:szCs w:val="24"/>
          <w:lang w:val="en-US"/>
        </w:rPr>
        <w:t xml:space="preserve"> </w:t>
      </w:r>
      <w:r w:rsidR="00CA3E0A" w:rsidRPr="00B37270">
        <w:rPr>
          <w:rFonts w:ascii="Book Antiqua" w:hAnsi="Book Antiqua" w:cs="Calibri"/>
          <w:bCs/>
          <w:color w:val="000000" w:themeColor="text1"/>
          <w:sz w:val="24"/>
          <w:szCs w:val="24"/>
          <w:lang w:val="en-US"/>
        </w:rPr>
        <w:t>RTA:</w:t>
      </w:r>
      <w:r w:rsidR="00CA3E0A">
        <w:rPr>
          <w:rFonts w:ascii="Book Antiqua" w:hAnsi="Book Antiqua" w:cs="Calibri"/>
          <w:b/>
          <w:color w:val="000000" w:themeColor="text1"/>
          <w:sz w:val="24"/>
          <w:szCs w:val="24"/>
          <w:lang w:val="en-US"/>
        </w:rPr>
        <w:t xml:space="preserve"> </w:t>
      </w:r>
      <w:r w:rsidR="00CA3E0A" w:rsidRPr="00981DC5">
        <w:rPr>
          <w:rFonts w:ascii="Book Antiqua" w:hAnsi="Book Antiqua" w:cs="Calibri"/>
          <w:color w:val="000000" w:themeColor="text1"/>
          <w:sz w:val="24"/>
          <w:szCs w:val="24"/>
          <w:lang w:val="en-US"/>
        </w:rPr>
        <w:t>relative tumor area</w:t>
      </w:r>
      <w:r w:rsidR="00CE2C42">
        <w:rPr>
          <w:rFonts w:ascii="Book Antiqua" w:hAnsi="Book Antiqua" w:cs="Calibri"/>
          <w:color w:val="000000" w:themeColor="text1"/>
          <w:sz w:val="24"/>
          <w:szCs w:val="24"/>
          <w:lang w:val="en-US"/>
        </w:rPr>
        <w:t xml:space="preserve">; </w:t>
      </w:r>
      <w:r w:rsidR="00CE2C42" w:rsidRPr="00981DC5">
        <w:rPr>
          <w:rFonts w:ascii="Book Antiqua" w:eastAsia="Book Antiqua" w:hAnsi="Book Antiqua" w:cs="Book Antiqua"/>
          <w:color w:val="000000" w:themeColor="text1"/>
          <w:sz w:val="24"/>
          <w:szCs w:val="24"/>
          <w:lang w:val="en-US"/>
        </w:rPr>
        <w:t>Control group shows normal nuclei (black arrows).</w:t>
      </w:r>
      <w:r w:rsidR="00CE2C42" w:rsidRPr="00870220">
        <w:rPr>
          <w:rFonts w:ascii="Book Antiqua" w:hAnsi="Book Antiqua" w:cs="Calibri"/>
          <w:color w:val="000000" w:themeColor="text1"/>
          <w:sz w:val="24"/>
          <w:szCs w:val="24"/>
          <w:lang w:val="en-US"/>
        </w:rPr>
        <w:t xml:space="preserve"> </w:t>
      </w:r>
      <w:r w:rsidR="00AA0F16" w:rsidRPr="00981DC5">
        <w:rPr>
          <w:rFonts w:ascii="Book Antiqua" w:hAnsi="Book Antiqua" w:cs="Calibri"/>
          <w:iCs/>
          <w:color w:val="000000" w:themeColor="text1"/>
          <w:lang w:val="en-US"/>
        </w:rPr>
        <w:t xml:space="preserve">k: </w:t>
      </w:r>
      <w:r w:rsidR="00AA0F16" w:rsidRPr="00981DC5">
        <w:rPr>
          <w:rFonts w:ascii="Book Antiqua" w:hAnsi="Book Antiqua" w:cs="Calibri"/>
          <w:iCs/>
          <w:color w:val="000000" w:themeColor="text1"/>
          <w:sz w:val="24"/>
          <w:szCs w:val="24"/>
          <w:lang w:val="en-US"/>
        </w:rPr>
        <w:t>Control group</w:t>
      </w:r>
      <w:r w:rsidR="00AA0F16">
        <w:rPr>
          <w:rFonts w:ascii="Book Antiqua" w:hAnsi="Book Antiqua" w:cs="Calibri"/>
          <w:iCs/>
          <w:color w:val="000000" w:themeColor="text1"/>
          <w:sz w:val="24"/>
          <w:szCs w:val="24"/>
          <w:lang w:val="en-US"/>
        </w:rPr>
        <w:t xml:space="preserve">; </w:t>
      </w:r>
      <w:r w:rsidR="00CE2C42">
        <w:rPr>
          <w:rFonts w:ascii="Book Antiqua" w:hAnsi="Book Antiqua" w:cs="Calibri"/>
          <w:color w:val="000000" w:themeColor="text1"/>
          <w:sz w:val="24"/>
          <w:szCs w:val="24"/>
          <w:lang w:val="en-US"/>
        </w:rPr>
        <w:t xml:space="preserve">GEM: </w:t>
      </w:r>
      <w:r w:rsidR="00CE2C42" w:rsidRPr="00981DC5">
        <w:rPr>
          <w:rFonts w:ascii="Book Antiqua" w:hAnsi="Book Antiqua" w:cs="Calibri"/>
          <w:color w:val="000000" w:themeColor="text1"/>
          <w:sz w:val="24"/>
          <w:szCs w:val="24"/>
          <w:lang w:val="en-US"/>
        </w:rPr>
        <w:t>Gemcitabine</w:t>
      </w:r>
      <w:r w:rsidR="00CE2C42">
        <w:rPr>
          <w:rFonts w:ascii="Book Antiqua" w:hAnsi="Book Antiqua" w:cs="Calibri"/>
          <w:color w:val="000000" w:themeColor="text1"/>
          <w:sz w:val="24"/>
          <w:szCs w:val="24"/>
          <w:lang w:val="en-US"/>
        </w:rPr>
        <w:t>;</w:t>
      </w:r>
      <w:r w:rsidR="00CE2C42" w:rsidRPr="00981DC5">
        <w:rPr>
          <w:rFonts w:ascii="Book Antiqua" w:hAnsi="Book Antiqua" w:cs="Calibri"/>
          <w:color w:val="000000" w:themeColor="text1"/>
          <w:sz w:val="24"/>
          <w:szCs w:val="24"/>
          <w:lang w:val="en-US"/>
        </w:rPr>
        <w:t xml:space="preserve"> GEMOX</w:t>
      </w:r>
      <w:r w:rsidR="00CE2C42">
        <w:rPr>
          <w:rFonts w:ascii="Book Antiqua" w:hAnsi="Book Antiqua" w:cs="Calibri"/>
          <w:color w:val="000000" w:themeColor="text1"/>
          <w:sz w:val="24"/>
          <w:szCs w:val="24"/>
          <w:lang w:val="en-US"/>
        </w:rPr>
        <w:t>:</w:t>
      </w:r>
      <w:r w:rsidR="00CE2C42" w:rsidRPr="00981DC5">
        <w:rPr>
          <w:rFonts w:ascii="Book Antiqua" w:hAnsi="Book Antiqua" w:cs="Calibri"/>
          <w:color w:val="000000" w:themeColor="text1"/>
          <w:sz w:val="24"/>
          <w:szCs w:val="24"/>
          <w:lang w:val="en-US"/>
        </w:rPr>
        <w:t xml:space="preserve"> Gemcitabine + Oxaliplatin</w:t>
      </w:r>
      <w:r w:rsidR="00CE2C42">
        <w:rPr>
          <w:rFonts w:ascii="Book Antiqua" w:hAnsi="Book Antiqua" w:cs="Calibri"/>
          <w:color w:val="000000" w:themeColor="text1"/>
          <w:sz w:val="24"/>
          <w:szCs w:val="24"/>
          <w:lang w:val="en-US"/>
        </w:rPr>
        <w:t xml:space="preserve">; </w:t>
      </w:r>
      <w:r w:rsidR="00CE2C42" w:rsidRPr="00981DC5">
        <w:rPr>
          <w:rFonts w:ascii="Book Antiqua" w:hAnsi="Book Antiqua" w:cs="Calibri"/>
          <w:color w:val="000000" w:themeColor="text1"/>
          <w:sz w:val="24"/>
          <w:szCs w:val="24"/>
          <w:lang w:val="en-US"/>
        </w:rPr>
        <w:t>GEM/nab-P</w:t>
      </w:r>
      <w:r w:rsidR="00CE2C42">
        <w:rPr>
          <w:rFonts w:ascii="Book Antiqua" w:hAnsi="Book Antiqua" w:cs="Calibri"/>
          <w:color w:val="000000" w:themeColor="text1"/>
          <w:sz w:val="24"/>
          <w:szCs w:val="24"/>
          <w:lang w:val="en-US"/>
        </w:rPr>
        <w:t>:</w:t>
      </w:r>
      <w:r w:rsidR="00CE2C42" w:rsidRPr="00981DC5">
        <w:rPr>
          <w:rFonts w:ascii="Book Antiqua" w:hAnsi="Book Antiqua" w:cs="Calibri"/>
          <w:color w:val="000000" w:themeColor="text1"/>
          <w:sz w:val="24"/>
          <w:szCs w:val="24"/>
          <w:lang w:val="en-US"/>
        </w:rPr>
        <w:t xml:space="preserve"> Gemcitabine + nab-Paclitaxel</w:t>
      </w:r>
      <w:r w:rsidR="00CE2C42">
        <w:rPr>
          <w:rFonts w:ascii="Book Antiqua" w:hAnsi="Book Antiqua" w:cs="Calibri"/>
          <w:color w:val="000000" w:themeColor="text1"/>
          <w:sz w:val="24"/>
          <w:szCs w:val="24"/>
          <w:lang w:val="en-US"/>
        </w:rPr>
        <w:t>;</w:t>
      </w:r>
      <w:r w:rsidR="00CE2C42" w:rsidRPr="00981DC5">
        <w:rPr>
          <w:rFonts w:ascii="Book Antiqua" w:hAnsi="Book Antiqua" w:cs="Calibri"/>
          <w:color w:val="000000" w:themeColor="text1"/>
          <w:sz w:val="24"/>
          <w:szCs w:val="24"/>
          <w:lang w:val="en-US"/>
        </w:rPr>
        <w:t xml:space="preserve"> FOLFOXIRI</w:t>
      </w:r>
      <w:r w:rsidR="00CE2C42">
        <w:rPr>
          <w:rFonts w:ascii="Book Antiqua" w:hAnsi="Book Antiqua" w:cs="Calibri"/>
          <w:color w:val="000000" w:themeColor="text1"/>
          <w:sz w:val="24"/>
          <w:szCs w:val="24"/>
          <w:lang w:val="en-US"/>
        </w:rPr>
        <w:t>:</w:t>
      </w:r>
      <w:r w:rsidR="00CE2C42" w:rsidRPr="00981DC5">
        <w:rPr>
          <w:rFonts w:ascii="Book Antiqua" w:hAnsi="Book Antiqua" w:cs="Calibri"/>
          <w:color w:val="000000" w:themeColor="text1"/>
          <w:sz w:val="24"/>
          <w:szCs w:val="24"/>
          <w:lang w:val="en-US"/>
        </w:rPr>
        <w:t xml:space="preserve"> 5-Fluorouracil + </w:t>
      </w:r>
      <w:proofErr w:type="spellStart"/>
      <w:r w:rsidR="00CE2C42" w:rsidRPr="00981DC5">
        <w:rPr>
          <w:rFonts w:ascii="Book Antiqua" w:hAnsi="Book Antiqua" w:cs="Calibri"/>
          <w:color w:val="000000" w:themeColor="text1"/>
          <w:sz w:val="24"/>
          <w:szCs w:val="24"/>
          <w:lang w:val="en-US"/>
        </w:rPr>
        <w:t>Folinic</w:t>
      </w:r>
      <w:proofErr w:type="spellEnd"/>
      <w:r w:rsidR="00CE2C42" w:rsidRPr="00981DC5">
        <w:rPr>
          <w:rFonts w:ascii="Book Antiqua" w:hAnsi="Book Antiqua" w:cs="Calibri"/>
          <w:color w:val="000000" w:themeColor="text1"/>
          <w:sz w:val="24"/>
          <w:szCs w:val="24"/>
          <w:lang w:val="en-US"/>
        </w:rPr>
        <w:t xml:space="preserve"> acid + Oxaliplatin + Irinotecan.</w:t>
      </w:r>
    </w:p>
    <w:p w14:paraId="6A430BF5" w14:textId="4EBD3B98" w:rsidR="00D54D7A" w:rsidRPr="00981DC5" w:rsidRDefault="00D54D7A" w:rsidP="00B11A05">
      <w:pPr>
        <w:adjustRightInd w:val="0"/>
        <w:snapToGrid w:val="0"/>
        <w:spacing w:after="0" w:line="360" w:lineRule="auto"/>
        <w:jc w:val="both"/>
        <w:rPr>
          <w:rFonts w:ascii="Book Antiqua" w:hAnsi="Book Antiqua" w:cs="Calibri"/>
          <w:color w:val="000000" w:themeColor="text1"/>
          <w:sz w:val="24"/>
          <w:szCs w:val="24"/>
          <w:lang w:val="en-US"/>
        </w:rPr>
      </w:pPr>
      <w:r w:rsidRPr="00981DC5">
        <w:rPr>
          <w:rFonts w:ascii="Book Antiqua" w:hAnsi="Book Antiqua" w:cs="Calibri"/>
          <w:color w:val="000000" w:themeColor="text1"/>
          <w:sz w:val="24"/>
          <w:szCs w:val="24"/>
          <w:lang w:val="en-US"/>
        </w:rPr>
        <w:br w:type="page"/>
      </w:r>
    </w:p>
    <w:p w14:paraId="4CA4214A" w14:textId="1221B31E" w:rsidR="00B11A05" w:rsidRPr="00981DC5" w:rsidRDefault="00B11A05" w:rsidP="00B11A05">
      <w:pPr>
        <w:adjustRightInd w:val="0"/>
        <w:snapToGrid w:val="0"/>
        <w:spacing w:after="0" w:line="360" w:lineRule="auto"/>
        <w:jc w:val="both"/>
        <w:rPr>
          <w:rFonts w:ascii="Book Antiqua" w:hAnsi="Book Antiqua" w:cs="Calibri"/>
          <w:b/>
          <w:bCs/>
          <w:color w:val="000000" w:themeColor="text1"/>
          <w:sz w:val="24"/>
          <w:szCs w:val="24"/>
          <w:lang w:val="en-US"/>
        </w:rPr>
      </w:pPr>
      <w:r w:rsidRPr="00981DC5">
        <w:rPr>
          <w:rFonts w:ascii="Book Antiqua" w:hAnsi="Book Antiqua" w:cs="Calibri"/>
          <w:b/>
          <w:bCs/>
          <w:color w:val="000000" w:themeColor="text1"/>
          <w:sz w:val="24"/>
          <w:szCs w:val="24"/>
          <w:lang w:val="en-GB"/>
        </w:rPr>
        <w:lastRenderedPageBreak/>
        <w:t>Table 1 Patients characteristics (</w:t>
      </w:r>
      <w:r w:rsidRPr="00981DC5">
        <w:rPr>
          <w:rFonts w:ascii="Book Antiqua" w:hAnsi="Book Antiqua" w:cs="Calibri"/>
          <w:b/>
          <w:bCs/>
          <w:i/>
          <w:iCs/>
          <w:color w:val="000000" w:themeColor="text1"/>
          <w:sz w:val="24"/>
          <w:szCs w:val="24"/>
          <w:lang w:val="en-GB"/>
        </w:rPr>
        <w:t>n</w:t>
      </w:r>
      <w:r w:rsidRPr="00981DC5">
        <w:rPr>
          <w:rFonts w:ascii="Book Antiqua" w:hAnsi="Book Antiqua" w:cs="Calibri"/>
          <w:b/>
          <w:bCs/>
          <w:color w:val="000000" w:themeColor="text1"/>
          <w:sz w:val="24"/>
          <w:szCs w:val="24"/>
          <w:lang w:val="en-GB"/>
        </w:rPr>
        <w:t xml:space="preserve"> = 15)</w:t>
      </w:r>
    </w:p>
    <w:tbl>
      <w:tblPr>
        <w:tblW w:w="0" w:type="auto"/>
        <w:tblBorders>
          <w:top w:val="single" w:sz="4" w:space="0" w:color="auto"/>
          <w:bottom w:val="single" w:sz="4" w:space="0" w:color="auto"/>
        </w:tblBorders>
        <w:tblLook w:val="04A0" w:firstRow="1" w:lastRow="0" w:firstColumn="1" w:lastColumn="0" w:noHBand="0" w:noVBand="1"/>
      </w:tblPr>
      <w:tblGrid>
        <w:gridCol w:w="4811"/>
        <w:gridCol w:w="4811"/>
      </w:tblGrid>
      <w:tr w:rsidR="00981DC5" w:rsidRPr="00981DC5" w14:paraId="775F95B5" w14:textId="77777777" w:rsidTr="00EB33B3">
        <w:tc>
          <w:tcPr>
            <w:tcW w:w="4811" w:type="dxa"/>
            <w:tcBorders>
              <w:top w:val="single" w:sz="4" w:space="0" w:color="auto"/>
              <w:bottom w:val="single" w:sz="4" w:space="0" w:color="auto"/>
            </w:tcBorders>
            <w:shd w:val="clear" w:color="auto" w:fill="auto"/>
          </w:tcPr>
          <w:p w14:paraId="65B4AA18" w14:textId="6BDBD10A" w:rsidR="00B11A05" w:rsidRPr="00981DC5" w:rsidRDefault="00B11A05"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GB"/>
              </w:rPr>
            </w:pPr>
            <w:r w:rsidRPr="00981DC5">
              <w:rPr>
                <w:rFonts w:ascii="Book Antiqua" w:hAnsi="Book Antiqua" w:cs="Calibri"/>
                <w:b/>
                <w:bCs/>
                <w:color w:val="000000" w:themeColor="text1"/>
                <w:lang w:val="en-GB"/>
              </w:rPr>
              <w:t>Characteristics</w:t>
            </w:r>
          </w:p>
        </w:tc>
        <w:tc>
          <w:tcPr>
            <w:tcW w:w="4811" w:type="dxa"/>
            <w:tcBorders>
              <w:top w:val="single" w:sz="4" w:space="0" w:color="auto"/>
              <w:bottom w:val="single" w:sz="4" w:space="0" w:color="auto"/>
            </w:tcBorders>
            <w:shd w:val="clear" w:color="auto" w:fill="auto"/>
          </w:tcPr>
          <w:p w14:paraId="5EEE4F28" w14:textId="62A19DBF" w:rsidR="00B11A05" w:rsidRPr="00981DC5" w:rsidRDefault="00B11A05" w:rsidP="00B11A05">
            <w:pPr>
              <w:pStyle w:val="aa"/>
              <w:adjustRightInd w:val="0"/>
              <w:snapToGrid w:val="0"/>
              <w:spacing w:before="0" w:beforeAutospacing="0" w:after="0" w:afterAutospacing="0" w:line="360" w:lineRule="auto"/>
              <w:jc w:val="both"/>
              <w:rPr>
                <w:rFonts w:ascii="Book Antiqua" w:hAnsi="Book Antiqua" w:cs="Calibri"/>
                <w:i/>
                <w:iCs/>
                <w:color w:val="000000" w:themeColor="text1"/>
                <w:lang w:val="en-GB"/>
              </w:rPr>
            </w:pPr>
          </w:p>
        </w:tc>
      </w:tr>
      <w:tr w:rsidR="00981DC5" w:rsidRPr="00981DC5" w14:paraId="33028FDE" w14:textId="77777777" w:rsidTr="00EB33B3">
        <w:tc>
          <w:tcPr>
            <w:tcW w:w="4811" w:type="dxa"/>
            <w:tcBorders>
              <w:top w:val="single" w:sz="4" w:space="0" w:color="auto"/>
            </w:tcBorders>
            <w:shd w:val="clear" w:color="auto" w:fill="auto"/>
          </w:tcPr>
          <w:p w14:paraId="51EAB684" w14:textId="62E756B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GB"/>
              </w:rPr>
            </w:pPr>
            <w:r w:rsidRPr="00981DC5">
              <w:rPr>
                <w:rFonts w:ascii="Book Antiqua" w:hAnsi="Book Antiqua" w:cs="Calibri"/>
                <w:color w:val="000000" w:themeColor="text1"/>
                <w:lang w:val="en-GB"/>
              </w:rPr>
              <w:t xml:space="preserve">Mean age, years </w:t>
            </w:r>
            <w:r w:rsidR="00EB33B3" w:rsidRPr="00981DC5">
              <w:rPr>
                <w:rFonts w:ascii="Book Antiqua" w:hAnsi="Book Antiqua" w:cs="Calibri"/>
                <w:color w:val="000000" w:themeColor="text1"/>
                <w:lang w:val="en-GB"/>
              </w:rPr>
              <w:t>±</w:t>
            </w:r>
            <w:r w:rsidRPr="00981DC5">
              <w:rPr>
                <w:rFonts w:ascii="Book Antiqua" w:hAnsi="Book Antiqua" w:cs="Calibri"/>
                <w:color w:val="000000" w:themeColor="text1"/>
                <w:lang w:val="en-GB"/>
              </w:rPr>
              <w:t xml:space="preserve"> SD</w:t>
            </w:r>
          </w:p>
        </w:tc>
        <w:tc>
          <w:tcPr>
            <w:tcW w:w="4811" w:type="dxa"/>
            <w:tcBorders>
              <w:top w:val="single" w:sz="4" w:space="0" w:color="auto"/>
            </w:tcBorders>
            <w:shd w:val="clear" w:color="auto" w:fill="auto"/>
          </w:tcPr>
          <w:p w14:paraId="3468C962" w14:textId="1447EB63"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GB"/>
              </w:rPr>
            </w:pPr>
            <w:r w:rsidRPr="00981DC5">
              <w:rPr>
                <w:rFonts w:ascii="Book Antiqua" w:hAnsi="Book Antiqua" w:cs="Calibri"/>
                <w:color w:val="000000" w:themeColor="text1"/>
                <w:lang w:val="en-GB"/>
              </w:rPr>
              <w:t xml:space="preserve">71.2 </w:t>
            </w:r>
            <w:r w:rsidR="00EB33B3" w:rsidRPr="00981DC5">
              <w:rPr>
                <w:rFonts w:ascii="Book Antiqua" w:hAnsi="Book Antiqua" w:cs="Calibri"/>
                <w:color w:val="000000" w:themeColor="text1"/>
                <w:lang w:val="en-US"/>
              </w:rPr>
              <w:t>±</w:t>
            </w:r>
            <w:r w:rsidRPr="00981DC5">
              <w:rPr>
                <w:rFonts w:ascii="Book Antiqua" w:hAnsi="Book Antiqua" w:cs="Calibri"/>
                <w:color w:val="000000" w:themeColor="text1"/>
                <w:lang w:val="en-GB"/>
              </w:rPr>
              <w:t xml:space="preserve"> 9.9 (44.1-83.2)</w:t>
            </w:r>
          </w:p>
        </w:tc>
      </w:tr>
      <w:tr w:rsidR="00981DC5" w:rsidRPr="00981DC5" w14:paraId="464F3FA9" w14:textId="77777777" w:rsidTr="00EB33B3">
        <w:tc>
          <w:tcPr>
            <w:tcW w:w="4811" w:type="dxa"/>
            <w:shd w:val="clear" w:color="auto" w:fill="auto"/>
          </w:tcPr>
          <w:p w14:paraId="0455F445"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GB"/>
              </w:rPr>
            </w:pPr>
            <w:proofErr w:type="gramStart"/>
            <w:r w:rsidRPr="00981DC5">
              <w:rPr>
                <w:rFonts w:ascii="Book Antiqua" w:hAnsi="Book Antiqua" w:cs="Calibri"/>
                <w:color w:val="000000" w:themeColor="text1"/>
                <w:lang w:val="en-GB"/>
              </w:rPr>
              <w:t>M:F</w:t>
            </w:r>
            <w:proofErr w:type="gramEnd"/>
            <w:r w:rsidRPr="00981DC5">
              <w:rPr>
                <w:rFonts w:ascii="Book Antiqua" w:hAnsi="Book Antiqua" w:cs="Calibri"/>
                <w:color w:val="000000" w:themeColor="text1"/>
                <w:lang w:val="en-GB"/>
              </w:rPr>
              <w:t xml:space="preserve">, </w:t>
            </w:r>
            <w:r w:rsidRPr="00981DC5">
              <w:rPr>
                <w:rFonts w:ascii="Book Antiqua" w:hAnsi="Book Antiqua" w:cs="Calibri"/>
                <w:i/>
                <w:iCs/>
                <w:color w:val="000000" w:themeColor="text1"/>
                <w:lang w:val="en-GB"/>
              </w:rPr>
              <w:t>n</w:t>
            </w:r>
            <w:r w:rsidRPr="00981DC5">
              <w:rPr>
                <w:rFonts w:ascii="Book Antiqua" w:hAnsi="Book Antiqua" w:cs="Calibri"/>
                <w:color w:val="000000" w:themeColor="text1"/>
                <w:lang w:val="en-GB"/>
              </w:rPr>
              <w:t xml:space="preserve"> (%)</w:t>
            </w:r>
          </w:p>
        </w:tc>
        <w:tc>
          <w:tcPr>
            <w:tcW w:w="4811" w:type="dxa"/>
            <w:shd w:val="clear" w:color="auto" w:fill="auto"/>
          </w:tcPr>
          <w:p w14:paraId="7088AC84" w14:textId="7DBC24A9"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GB"/>
              </w:rPr>
            </w:pPr>
            <w:r w:rsidRPr="00981DC5">
              <w:rPr>
                <w:rFonts w:ascii="Book Antiqua" w:hAnsi="Book Antiqua" w:cs="Calibri"/>
                <w:color w:val="000000" w:themeColor="text1"/>
                <w:lang w:val="en-GB"/>
              </w:rPr>
              <w:t>8:7 (53.3:46.7)</w:t>
            </w:r>
          </w:p>
        </w:tc>
      </w:tr>
      <w:tr w:rsidR="00981DC5" w:rsidRPr="00981DC5" w14:paraId="58546E1B" w14:textId="77777777" w:rsidTr="00EB33B3">
        <w:tc>
          <w:tcPr>
            <w:tcW w:w="4811" w:type="dxa"/>
            <w:shd w:val="clear" w:color="auto" w:fill="auto"/>
          </w:tcPr>
          <w:p w14:paraId="694A0C09" w14:textId="6805BF35"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GB"/>
              </w:rPr>
            </w:pPr>
            <w:r w:rsidRPr="00981DC5">
              <w:rPr>
                <w:rFonts w:ascii="Book Antiqua" w:hAnsi="Book Antiqua" w:cs="Calibri"/>
                <w:color w:val="000000" w:themeColor="text1"/>
                <w:lang w:val="en-GB"/>
              </w:rPr>
              <w:t xml:space="preserve">Mean BMI, </w:t>
            </w:r>
            <w:r w:rsidRPr="00981DC5">
              <w:rPr>
                <w:rFonts w:ascii="Book Antiqua" w:eastAsia="Calibri" w:hAnsi="Book Antiqua" w:cs="Calibri"/>
                <w:color w:val="000000" w:themeColor="text1"/>
                <w:lang w:val="en-GB" w:eastAsia="en-US"/>
              </w:rPr>
              <w:t xml:space="preserve">kg/m2 </w:t>
            </w:r>
            <w:r w:rsidR="00EB33B3" w:rsidRPr="00981DC5">
              <w:rPr>
                <w:rFonts w:ascii="Book Antiqua" w:hAnsi="Book Antiqua" w:cs="Calibri"/>
                <w:color w:val="000000" w:themeColor="text1"/>
                <w:lang w:val="en-GB"/>
              </w:rPr>
              <w:t>±</w:t>
            </w:r>
            <w:r w:rsidRPr="00981DC5">
              <w:rPr>
                <w:rFonts w:ascii="Book Antiqua" w:hAnsi="Book Antiqua" w:cs="Calibri"/>
                <w:color w:val="000000" w:themeColor="text1"/>
                <w:lang w:val="en-GB"/>
              </w:rPr>
              <w:t xml:space="preserve"> SD</w:t>
            </w:r>
          </w:p>
        </w:tc>
        <w:tc>
          <w:tcPr>
            <w:tcW w:w="4811" w:type="dxa"/>
            <w:shd w:val="clear" w:color="auto" w:fill="auto"/>
          </w:tcPr>
          <w:p w14:paraId="58BCA6B6" w14:textId="762E9EE4"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GB"/>
              </w:rPr>
            </w:pPr>
            <w:r w:rsidRPr="00981DC5">
              <w:rPr>
                <w:rFonts w:ascii="Book Antiqua" w:hAnsi="Book Antiqua" w:cs="Calibri"/>
                <w:color w:val="000000" w:themeColor="text1"/>
                <w:lang w:val="en-GB"/>
              </w:rPr>
              <w:t xml:space="preserve">26.4 </w:t>
            </w:r>
            <w:r w:rsidR="00EB33B3" w:rsidRPr="00981DC5">
              <w:rPr>
                <w:rFonts w:ascii="Book Antiqua" w:hAnsi="Book Antiqua" w:cs="Calibri"/>
                <w:color w:val="000000" w:themeColor="text1"/>
                <w:lang w:val="en-GB"/>
              </w:rPr>
              <w:t>±</w:t>
            </w:r>
            <w:r w:rsidRPr="00981DC5">
              <w:rPr>
                <w:rFonts w:ascii="Book Antiqua" w:hAnsi="Book Antiqua" w:cs="Calibri"/>
                <w:color w:val="000000" w:themeColor="text1"/>
                <w:lang w:val="en-GB"/>
              </w:rPr>
              <w:t xml:space="preserve"> 5.1</w:t>
            </w:r>
            <w:r w:rsidRPr="00981DC5">
              <w:rPr>
                <w:rFonts w:ascii="Book Antiqua" w:eastAsia="Calibri" w:hAnsi="Book Antiqua" w:cs="Calibri"/>
                <w:color w:val="000000" w:themeColor="text1"/>
                <w:lang w:val="en-GB" w:eastAsia="en-US"/>
              </w:rPr>
              <w:t xml:space="preserve"> (</w:t>
            </w:r>
            <w:r w:rsidRPr="00981DC5">
              <w:rPr>
                <w:rFonts w:ascii="Book Antiqua" w:hAnsi="Book Antiqua" w:cs="Calibri"/>
                <w:color w:val="000000" w:themeColor="text1"/>
                <w:lang w:val="en-GB"/>
              </w:rPr>
              <w:t>17.6-40.4</w:t>
            </w:r>
            <w:r w:rsidRPr="00981DC5">
              <w:rPr>
                <w:rFonts w:ascii="Book Antiqua" w:eastAsia="Calibri" w:hAnsi="Book Antiqua" w:cs="Calibri"/>
                <w:color w:val="000000" w:themeColor="text1"/>
                <w:lang w:val="en-GB" w:eastAsia="en-US"/>
              </w:rPr>
              <w:t>)</w:t>
            </w:r>
          </w:p>
        </w:tc>
      </w:tr>
      <w:tr w:rsidR="00981DC5" w:rsidRPr="00981DC5" w14:paraId="294269CB" w14:textId="77777777" w:rsidTr="00EB33B3">
        <w:tc>
          <w:tcPr>
            <w:tcW w:w="4811" w:type="dxa"/>
            <w:shd w:val="clear" w:color="auto" w:fill="auto"/>
          </w:tcPr>
          <w:p w14:paraId="3A10E16B" w14:textId="13C7069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GB"/>
              </w:rPr>
            </w:pPr>
            <w:r w:rsidRPr="00981DC5">
              <w:rPr>
                <w:rFonts w:ascii="Book Antiqua" w:hAnsi="Book Antiqua" w:cs="Calibri"/>
                <w:color w:val="000000" w:themeColor="text1"/>
                <w:lang w:val="en-GB"/>
              </w:rPr>
              <w:t>Ca 19.9, U/m</w:t>
            </w:r>
            <w:r w:rsidR="00B11A05" w:rsidRPr="00981DC5">
              <w:rPr>
                <w:rFonts w:ascii="Book Antiqua" w:hAnsi="Book Antiqua" w:cs="Calibri"/>
                <w:color w:val="000000" w:themeColor="text1"/>
                <w:lang w:val="en-GB"/>
              </w:rPr>
              <w:t>L</w:t>
            </w:r>
            <w:r w:rsidRPr="00981DC5">
              <w:rPr>
                <w:rFonts w:ascii="Book Antiqua" w:hAnsi="Book Antiqua" w:cs="Calibri"/>
                <w:color w:val="000000" w:themeColor="text1"/>
                <w:lang w:val="en-GB"/>
              </w:rPr>
              <w:t xml:space="preserve"> </w:t>
            </w:r>
            <w:r w:rsidR="00EB33B3" w:rsidRPr="00981DC5">
              <w:rPr>
                <w:rFonts w:ascii="Book Antiqua" w:hAnsi="Book Antiqua" w:cs="Calibri"/>
                <w:color w:val="000000" w:themeColor="text1"/>
                <w:lang w:val="en-GB"/>
              </w:rPr>
              <w:t>±</w:t>
            </w:r>
            <w:r w:rsidRPr="00981DC5">
              <w:rPr>
                <w:rFonts w:ascii="Book Antiqua" w:hAnsi="Book Antiqua" w:cs="Calibri"/>
                <w:color w:val="000000" w:themeColor="text1"/>
                <w:lang w:val="en-GB"/>
              </w:rPr>
              <w:t xml:space="preserve"> SD</w:t>
            </w:r>
          </w:p>
        </w:tc>
        <w:tc>
          <w:tcPr>
            <w:tcW w:w="4811" w:type="dxa"/>
            <w:shd w:val="clear" w:color="auto" w:fill="auto"/>
          </w:tcPr>
          <w:p w14:paraId="34A49705" w14:textId="2549D1DD"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GB"/>
              </w:rPr>
            </w:pPr>
            <w:r w:rsidRPr="00981DC5">
              <w:rPr>
                <w:rFonts w:ascii="Book Antiqua" w:hAnsi="Book Antiqua" w:cs="Calibri"/>
                <w:color w:val="000000" w:themeColor="text1"/>
                <w:lang w:val="en-GB"/>
              </w:rPr>
              <w:t xml:space="preserve">347.1 </w:t>
            </w:r>
            <w:r w:rsidR="00EB33B3" w:rsidRPr="00981DC5">
              <w:rPr>
                <w:rFonts w:ascii="Book Antiqua" w:hAnsi="Book Antiqua" w:cs="Calibri"/>
                <w:color w:val="000000" w:themeColor="text1"/>
                <w:lang w:val="en-GB"/>
              </w:rPr>
              <w:t>±</w:t>
            </w:r>
            <w:r w:rsidRPr="00981DC5">
              <w:rPr>
                <w:rFonts w:ascii="Book Antiqua" w:hAnsi="Book Antiqua" w:cs="Calibri"/>
                <w:color w:val="000000" w:themeColor="text1"/>
                <w:lang w:val="en-GB"/>
              </w:rPr>
              <w:t xml:space="preserve"> 543.0 </w:t>
            </w:r>
            <w:r w:rsidRPr="00981DC5">
              <w:rPr>
                <w:rFonts w:ascii="Book Antiqua" w:eastAsia="Calibri" w:hAnsi="Book Antiqua" w:cs="Calibri"/>
                <w:color w:val="000000" w:themeColor="text1"/>
                <w:lang w:val="en-GB" w:eastAsia="en-US"/>
              </w:rPr>
              <w:t>(</w:t>
            </w:r>
            <w:r w:rsidRPr="00981DC5">
              <w:rPr>
                <w:rFonts w:ascii="Book Antiqua" w:hAnsi="Book Antiqua" w:cs="Calibri"/>
                <w:color w:val="000000" w:themeColor="text1"/>
                <w:lang w:val="en-GB"/>
              </w:rPr>
              <w:t>1.7-2094</w:t>
            </w:r>
            <w:r w:rsidRPr="00981DC5">
              <w:rPr>
                <w:rFonts w:ascii="Book Antiqua" w:eastAsia="Calibri" w:hAnsi="Book Antiqua" w:cs="Calibri"/>
                <w:color w:val="000000" w:themeColor="text1"/>
                <w:lang w:val="en-GB" w:eastAsia="en-US"/>
              </w:rPr>
              <w:t>)</w:t>
            </w:r>
          </w:p>
        </w:tc>
      </w:tr>
      <w:tr w:rsidR="00981DC5" w:rsidRPr="00981DC5" w14:paraId="37DB557B" w14:textId="77777777" w:rsidTr="00EB33B3">
        <w:tc>
          <w:tcPr>
            <w:tcW w:w="4811" w:type="dxa"/>
            <w:shd w:val="clear" w:color="auto" w:fill="auto"/>
          </w:tcPr>
          <w:p w14:paraId="73E15574"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GB"/>
              </w:rPr>
            </w:pPr>
            <w:r w:rsidRPr="00981DC5">
              <w:rPr>
                <w:rFonts w:ascii="Book Antiqua" w:hAnsi="Book Antiqua" w:cs="Calibri"/>
                <w:color w:val="000000" w:themeColor="text1"/>
                <w:lang w:val="en-GB"/>
              </w:rPr>
              <w:t xml:space="preserve">Type of surgical procedure, </w:t>
            </w:r>
            <w:r w:rsidRPr="00981DC5">
              <w:rPr>
                <w:rFonts w:ascii="Book Antiqua" w:hAnsi="Book Antiqua" w:cs="Calibri"/>
                <w:i/>
                <w:iCs/>
                <w:color w:val="000000" w:themeColor="text1"/>
                <w:lang w:val="en-GB"/>
              </w:rPr>
              <w:t>n</w:t>
            </w:r>
            <w:r w:rsidRPr="00981DC5">
              <w:rPr>
                <w:rFonts w:ascii="Book Antiqua" w:hAnsi="Book Antiqua" w:cs="Calibri"/>
                <w:color w:val="000000" w:themeColor="text1"/>
                <w:lang w:val="en-GB"/>
              </w:rPr>
              <w:t xml:space="preserve"> (%)</w:t>
            </w:r>
          </w:p>
        </w:tc>
        <w:tc>
          <w:tcPr>
            <w:tcW w:w="4811" w:type="dxa"/>
            <w:shd w:val="clear" w:color="auto" w:fill="auto"/>
          </w:tcPr>
          <w:p w14:paraId="269832A3"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GB"/>
              </w:rPr>
            </w:pPr>
          </w:p>
        </w:tc>
      </w:tr>
      <w:tr w:rsidR="00981DC5" w:rsidRPr="00981DC5" w14:paraId="76A01654" w14:textId="77777777" w:rsidTr="00EB33B3">
        <w:tc>
          <w:tcPr>
            <w:tcW w:w="4811" w:type="dxa"/>
            <w:shd w:val="clear" w:color="auto" w:fill="auto"/>
          </w:tcPr>
          <w:p w14:paraId="746B2759" w14:textId="77777777" w:rsidR="00D54D7A" w:rsidRPr="00981DC5" w:rsidRDefault="00D54D7A" w:rsidP="00B11A05">
            <w:pPr>
              <w:pStyle w:val="aa"/>
              <w:adjustRightInd w:val="0"/>
              <w:snapToGrid w:val="0"/>
              <w:spacing w:before="0" w:beforeAutospacing="0" w:after="0" w:afterAutospacing="0" w:line="360" w:lineRule="auto"/>
              <w:ind w:left="708"/>
              <w:jc w:val="both"/>
              <w:rPr>
                <w:rFonts w:ascii="Book Antiqua" w:hAnsi="Book Antiqua" w:cs="Calibri"/>
                <w:color w:val="000000" w:themeColor="text1"/>
                <w:lang w:val="en-GB"/>
              </w:rPr>
            </w:pPr>
            <w:r w:rsidRPr="00981DC5">
              <w:rPr>
                <w:rFonts w:ascii="Book Antiqua" w:hAnsi="Book Antiqua" w:cs="Calibri"/>
                <w:color w:val="000000" w:themeColor="text1"/>
                <w:lang w:val="en-GB"/>
              </w:rPr>
              <w:t>Pancreatoduodenectomy</w:t>
            </w:r>
          </w:p>
        </w:tc>
        <w:tc>
          <w:tcPr>
            <w:tcW w:w="4811" w:type="dxa"/>
            <w:shd w:val="clear" w:color="auto" w:fill="auto"/>
          </w:tcPr>
          <w:p w14:paraId="4DD16F1A" w14:textId="40CA369D"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GB"/>
              </w:rPr>
            </w:pPr>
            <w:r w:rsidRPr="00981DC5">
              <w:rPr>
                <w:rFonts w:ascii="Book Antiqua" w:hAnsi="Book Antiqua" w:cs="Calibri"/>
                <w:color w:val="000000" w:themeColor="text1"/>
                <w:lang w:val="en-GB"/>
              </w:rPr>
              <w:t>11 (73.3)</w:t>
            </w:r>
          </w:p>
        </w:tc>
      </w:tr>
      <w:tr w:rsidR="00981DC5" w:rsidRPr="00981DC5" w14:paraId="65DA8A0C" w14:textId="77777777" w:rsidTr="00EB33B3">
        <w:tc>
          <w:tcPr>
            <w:tcW w:w="4811" w:type="dxa"/>
            <w:shd w:val="clear" w:color="auto" w:fill="auto"/>
          </w:tcPr>
          <w:p w14:paraId="76858534" w14:textId="77777777" w:rsidR="00D54D7A" w:rsidRPr="00981DC5" w:rsidRDefault="00D54D7A" w:rsidP="00B11A05">
            <w:pPr>
              <w:pStyle w:val="aa"/>
              <w:adjustRightInd w:val="0"/>
              <w:snapToGrid w:val="0"/>
              <w:spacing w:before="0" w:beforeAutospacing="0" w:after="0" w:afterAutospacing="0" w:line="360" w:lineRule="auto"/>
              <w:ind w:left="708"/>
              <w:jc w:val="both"/>
              <w:rPr>
                <w:rFonts w:ascii="Book Antiqua" w:hAnsi="Book Antiqua" w:cs="Calibri"/>
                <w:color w:val="000000" w:themeColor="text1"/>
                <w:lang w:val="en-GB"/>
              </w:rPr>
            </w:pPr>
            <w:r w:rsidRPr="00981DC5">
              <w:rPr>
                <w:rFonts w:ascii="Book Antiqua" w:hAnsi="Book Antiqua" w:cs="Calibri"/>
                <w:color w:val="000000" w:themeColor="text1"/>
                <w:lang w:val="en-GB"/>
              </w:rPr>
              <w:t xml:space="preserve">Distal </w:t>
            </w:r>
            <w:proofErr w:type="spellStart"/>
            <w:r w:rsidRPr="00981DC5">
              <w:rPr>
                <w:rFonts w:ascii="Book Antiqua" w:hAnsi="Book Antiqua" w:cs="Calibri"/>
                <w:color w:val="000000" w:themeColor="text1"/>
                <w:lang w:val="en-GB"/>
              </w:rPr>
              <w:t>splenopancreatectomy</w:t>
            </w:r>
            <w:proofErr w:type="spellEnd"/>
          </w:p>
        </w:tc>
        <w:tc>
          <w:tcPr>
            <w:tcW w:w="4811" w:type="dxa"/>
            <w:shd w:val="clear" w:color="auto" w:fill="auto"/>
          </w:tcPr>
          <w:p w14:paraId="7B542348" w14:textId="289DFC54"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GB"/>
              </w:rPr>
            </w:pPr>
            <w:r w:rsidRPr="00981DC5">
              <w:rPr>
                <w:rFonts w:ascii="Book Antiqua" w:hAnsi="Book Antiqua" w:cs="Calibri"/>
                <w:color w:val="000000" w:themeColor="text1"/>
                <w:lang w:val="en-GB"/>
              </w:rPr>
              <w:t>3 (20)</w:t>
            </w:r>
          </w:p>
        </w:tc>
      </w:tr>
      <w:tr w:rsidR="00981DC5" w:rsidRPr="00981DC5" w14:paraId="643063CF" w14:textId="77777777" w:rsidTr="00EB33B3">
        <w:tc>
          <w:tcPr>
            <w:tcW w:w="4811" w:type="dxa"/>
            <w:shd w:val="clear" w:color="auto" w:fill="auto"/>
          </w:tcPr>
          <w:p w14:paraId="0BEEE92C" w14:textId="77777777" w:rsidR="00D54D7A" w:rsidRPr="00981DC5" w:rsidRDefault="00D54D7A" w:rsidP="00B11A05">
            <w:pPr>
              <w:pStyle w:val="aa"/>
              <w:adjustRightInd w:val="0"/>
              <w:snapToGrid w:val="0"/>
              <w:spacing w:before="0" w:beforeAutospacing="0" w:after="0" w:afterAutospacing="0" w:line="360" w:lineRule="auto"/>
              <w:ind w:left="708"/>
              <w:jc w:val="both"/>
              <w:rPr>
                <w:rFonts w:ascii="Book Antiqua" w:hAnsi="Book Antiqua" w:cs="Calibri"/>
                <w:color w:val="000000" w:themeColor="text1"/>
                <w:lang w:val="en-GB"/>
              </w:rPr>
            </w:pPr>
            <w:r w:rsidRPr="00981DC5">
              <w:rPr>
                <w:rFonts w:ascii="Book Antiqua" w:hAnsi="Book Antiqua" w:cs="Calibri"/>
                <w:color w:val="000000" w:themeColor="text1"/>
                <w:lang w:val="en-GB"/>
              </w:rPr>
              <w:t xml:space="preserve">Total </w:t>
            </w:r>
            <w:proofErr w:type="spellStart"/>
            <w:r w:rsidRPr="00981DC5">
              <w:rPr>
                <w:rFonts w:ascii="Book Antiqua" w:hAnsi="Book Antiqua" w:cs="Calibri"/>
                <w:color w:val="000000" w:themeColor="text1"/>
                <w:lang w:val="en-GB"/>
              </w:rPr>
              <w:t>splenopancreatectomy</w:t>
            </w:r>
            <w:proofErr w:type="spellEnd"/>
          </w:p>
        </w:tc>
        <w:tc>
          <w:tcPr>
            <w:tcW w:w="4811" w:type="dxa"/>
            <w:shd w:val="clear" w:color="auto" w:fill="auto"/>
          </w:tcPr>
          <w:p w14:paraId="6773E54B" w14:textId="4FE5ED71"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GB"/>
              </w:rPr>
            </w:pPr>
            <w:r w:rsidRPr="00981DC5">
              <w:rPr>
                <w:rFonts w:ascii="Book Antiqua" w:hAnsi="Book Antiqua" w:cs="Calibri"/>
                <w:color w:val="000000" w:themeColor="text1"/>
                <w:lang w:val="en-GB"/>
              </w:rPr>
              <w:t>1 (6.7)</w:t>
            </w:r>
          </w:p>
        </w:tc>
      </w:tr>
      <w:tr w:rsidR="00981DC5" w:rsidRPr="00981DC5" w14:paraId="39DDBF0E" w14:textId="77777777" w:rsidTr="00EB33B3">
        <w:tc>
          <w:tcPr>
            <w:tcW w:w="4811" w:type="dxa"/>
            <w:shd w:val="clear" w:color="auto" w:fill="auto"/>
          </w:tcPr>
          <w:p w14:paraId="2F71D5D1"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GB"/>
              </w:rPr>
            </w:pPr>
            <w:r w:rsidRPr="00981DC5">
              <w:rPr>
                <w:rFonts w:ascii="Book Antiqua" w:hAnsi="Book Antiqua" w:cs="Calibri"/>
                <w:color w:val="000000" w:themeColor="text1"/>
                <w:lang w:val="en-GB"/>
              </w:rPr>
              <w:t xml:space="preserve">Vascular resection, </w:t>
            </w:r>
            <w:r w:rsidRPr="00981DC5">
              <w:rPr>
                <w:rFonts w:ascii="Book Antiqua" w:hAnsi="Book Antiqua" w:cs="Calibri"/>
                <w:i/>
                <w:iCs/>
                <w:color w:val="000000" w:themeColor="text1"/>
                <w:lang w:val="en-GB"/>
              </w:rPr>
              <w:t>n</w:t>
            </w:r>
            <w:r w:rsidRPr="00981DC5">
              <w:rPr>
                <w:rFonts w:ascii="Book Antiqua" w:hAnsi="Book Antiqua" w:cs="Calibri"/>
                <w:color w:val="000000" w:themeColor="text1"/>
                <w:lang w:val="en-GB"/>
              </w:rPr>
              <w:t xml:space="preserve"> (%)</w:t>
            </w:r>
          </w:p>
        </w:tc>
        <w:tc>
          <w:tcPr>
            <w:tcW w:w="4811" w:type="dxa"/>
            <w:shd w:val="clear" w:color="auto" w:fill="auto"/>
          </w:tcPr>
          <w:p w14:paraId="3D246FB1" w14:textId="42D2FA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GB"/>
              </w:rPr>
            </w:pPr>
            <w:r w:rsidRPr="00981DC5">
              <w:rPr>
                <w:rFonts w:ascii="Book Antiqua" w:hAnsi="Book Antiqua" w:cs="Calibri"/>
                <w:color w:val="000000" w:themeColor="text1"/>
                <w:lang w:val="en-GB"/>
              </w:rPr>
              <w:t>4 (26.7)</w:t>
            </w:r>
          </w:p>
        </w:tc>
      </w:tr>
      <w:tr w:rsidR="00981DC5" w:rsidRPr="00981DC5" w14:paraId="0E87AB8C" w14:textId="77777777" w:rsidTr="00EB33B3">
        <w:tc>
          <w:tcPr>
            <w:tcW w:w="4811" w:type="dxa"/>
            <w:shd w:val="clear" w:color="auto" w:fill="auto"/>
          </w:tcPr>
          <w:p w14:paraId="0AF74931"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GB"/>
              </w:rPr>
            </w:pPr>
            <w:r w:rsidRPr="00981DC5">
              <w:rPr>
                <w:rFonts w:ascii="Book Antiqua" w:hAnsi="Book Antiqua" w:cs="Calibri"/>
                <w:color w:val="000000" w:themeColor="text1"/>
                <w:lang w:val="en-GB"/>
              </w:rPr>
              <w:t xml:space="preserve">Grade of differentiation, </w:t>
            </w:r>
            <w:r w:rsidRPr="00981DC5">
              <w:rPr>
                <w:rFonts w:ascii="Book Antiqua" w:hAnsi="Book Antiqua" w:cs="Calibri"/>
                <w:i/>
                <w:iCs/>
                <w:color w:val="000000" w:themeColor="text1"/>
                <w:lang w:val="en-GB"/>
              </w:rPr>
              <w:t>n</w:t>
            </w:r>
            <w:r w:rsidRPr="00981DC5">
              <w:rPr>
                <w:rFonts w:ascii="Book Antiqua" w:hAnsi="Book Antiqua" w:cs="Calibri"/>
                <w:color w:val="000000" w:themeColor="text1"/>
                <w:lang w:val="en-GB"/>
              </w:rPr>
              <w:t xml:space="preserve"> (%)</w:t>
            </w:r>
          </w:p>
        </w:tc>
        <w:tc>
          <w:tcPr>
            <w:tcW w:w="4811" w:type="dxa"/>
            <w:shd w:val="clear" w:color="auto" w:fill="auto"/>
          </w:tcPr>
          <w:p w14:paraId="4BBF8CC1"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GB"/>
              </w:rPr>
            </w:pPr>
          </w:p>
        </w:tc>
      </w:tr>
      <w:tr w:rsidR="00981DC5" w:rsidRPr="00981DC5" w14:paraId="279E1F52" w14:textId="77777777" w:rsidTr="00EB33B3">
        <w:tc>
          <w:tcPr>
            <w:tcW w:w="4811" w:type="dxa"/>
            <w:shd w:val="clear" w:color="auto" w:fill="auto"/>
          </w:tcPr>
          <w:p w14:paraId="05CCCEC3" w14:textId="77777777" w:rsidR="00D54D7A" w:rsidRPr="00981DC5" w:rsidRDefault="00D54D7A" w:rsidP="00B11A05">
            <w:pPr>
              <w:pStyle w:val="aa"/>
              <w:adjustRightInd w:val="0"/>
              <w:snapToGrid w:val="0"/>
              <w:spacing w:before="0" w:beforeAutospacing="0" w:after="0" w:afterAutospacing="0" w:line="360" w:lineRule="auto"/>
              <w:ind w:left="708"/>
              <w:jc w:val="both"/>
              <w:rPr>
                <w:rFonts w:ascii="Book Antiqua" w:hAnsi="Book Antiqua" w:cs="Calibri"/>
                <w:color w:val="000000" w:themeColor="text1"/>
                <w:lang w:val="en-GB"/>
              </w:rPr>
            </w:pPr>
            <w:r w:rsidRPr="00981DC5">
              <w:rPr>
                <w:rFonts w:ascii="Book Antiqua" w:hAnsi="Book Antiqua" w:cs="Calibri"/>
                <w:color w:val="000000" w:themeColor="text1"/>
                <w:lang w:val="en-GB"/>
              </w:rPr>
              <w:t>G2/3</w:t>
            </w:r>
          </w:p>
        </w:tc>
        <w:tc>
          <w:tcPr>
            <w:tcW w:w="4811" w:type="dxa"/>
            <w:shd w:val="clear" w:color="auto" w:fill="auto"/>
          </w:tcPr>
          <w:p w14:paraId="1D24CB76" w14:textId="32DF8F15"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GB"/>
              </w:rPr>
            </w:pPr>
            <w:r w:rsidRPr="00981DC5">
              <w:rPr>
                <w:rFonts w:ascii="Book Antiqua" w:hAnsi="Book Antiqua" w:cs="Calibri"/>
                <w:color w:val="000000" w:themeColor="text1"/>
                <w:lang w:val="en-GB"/>
              </w:rPr>
              <w:t>11 (73.3)</w:t>
            </w:r>
          </w:p>
        </w:tc>
      </w:tr>
      <w:tr w:rsidR="00981DC5" w:rsidRPr="00981DC5" w14:paraId="68CC2CFE" w14:textId="77777777" w:rsidTr="00EB33B3">
        <w:tc>
          <w:tcPr>
            <w:tcW w:w="4811" w:type="dxa"/>
            <w:shd w:val="clear" w:color="auto" w:fill="auto"/>
          </w:tcPr>
          <w:p w14:paraId="78246221" w14:textId="77777777" w:rsidR="00D54D7A" w:rsidRPr="00981DC5" w:rsidRDefault="00D54D7A" w:rsidP="00B11A05">
            <w:pPr>
              <w:pStyle w:val="aa"/>
              <w:adjustRightInd w:val="0"/>
              <w:snapToGrid w:val="0"/>
              <w:spacing w:before="0" w:beforeAutospacing="0" w:after="0" w:afterAutospacing="0" w:line="360" w:lineRule="auto"/>
              <w:ind w:left="708"/>
              <w:jc w:val="both"/>
              <w:rPr>
                <w:rFonts w:ascii="Book Antiqua" w:hAnsi="Book Antiqua" w:cs="Calibri"/>
                <w:color w:val="000000" w:themeColor="text1"/>
                <w:lang w:val="en-GB"/>
              </w:rPr>
            </w:pPr>
            <w:r w:rsidRPr="00981DC5">
              <w:rPr>
                <w:rFonts w:ascii="Book Antiqua" w:hAnsi="Book Antiqua" w:cs="Calibri"/>
                <w:color w:val="000000" w:themeColor="text1"/>
                <w:lang w:val="en-GB"/>
              </w:rPr>
              <w:t>G3/3</w:t>
            </w:r>
          </w:p>
        </w:tc>
        <w:tc>
          <w:tcPr>
            <w:tcW w:w="4811" w:type="dxa"/>
            <w:shd w:val="clear" w:color="auto" w:fill="auto"/>
          </w:tcPr>
          <w:p w14:paraId="26D587EC" w14:textId="4580E90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GB"/>
              </w:rPr>
            </w:pPr>
            <w:r w:rsidRPr="00981DC5">
              <w:rPr>
                <w:rFonts w:ascii="Book Antiqua" w:hAnsi="Book Antiqua" w:cs="Calibri"/>
                <w:color w:val="000000" w:themeColor="text1"/>
                <w:lang w:val="en-GB"/>
              </w:rPr>
              <w:t>4 (26.7)</w:t>
            </w:r>
          </w:p>
        </w:tc>
      </w:tr>
      <w:tr w:rsidR="00981DC5" w:rsidRPr="00981DC5" w14:paraId="037C2627" w14:textId="77777777" w:rsidTr="00EB33B3">
        <w:tc>
          <w:tcPr>
            <w:tcW w:w="4811" w:type="dxa"/>
            <w:shd w:val="clear" w:color="auto" w:fill="auto"/>
          </w:tcPr>
          <w:p w14:paraId="7BE6F851"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GB"/>
              </w:rPr>
            </w:pPr>
            <w:r w:rsidRPr="00981DC5">
              <w:rPr>
                <w:rFonts w:ascii="Book Antiqua" w:hAnsi="Book Antiqua" w:cs="Calibri"/>
                <w:color w:val="000000" w:themeColor="text1"/>
                <w:lang w:val="en-GB"/>
              </w:rPr>
              <w:t>Mean tumour dimension, cm</w:t>
            </w:r>
          </w:p>
        </w:tc>
        <w:tc>
          <w:tcPr>
            <w:tcW w:w="4811" w:type="dxa"/>
            <w:shd w:val="clear" w:color="auto" w:fill="auto"/>
          </w:tcPr>
          <w:p w14:paraId="66D138C7" w14:textId="013EA0AA"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GB"/>
              </w:rPr>
            </w:pPr>
            <w:r w:rsidRPr="00981DC5">
              <w:rPr>
                <w:rFonts w:ascii="Book Antiqua" w:hAnsi="Book Antiqua" w:cs="Calibri"/>
                <w:color w:val="000000" w:themeColor="text1"/>
                <w:lang w:val="en-GB"/>
              </w:rPr>
              <w:t xml:space="preserve">3.3 </w:t>
            </w:r>
            <w:r w:rsidR="00EB33B3" w:rsidRPr="00981DC5">
              <w:rPr>
                <w:rFonts w:ascii="Book Antiqua" w:hAnsi="Book Antiqua" w:cs="Calibri"/>
                <w:color w:val="000000" w:themeColor="text1"/>
                <w:lang w:val="en-GB"/>
              </w:rPr>
              <w:t>±</w:t>
            </w:r>
            <w:r w:rsidRPr="00981DC5">
              <w:rPr>
                <w:rFonts w:ascii="Book Antiqua" w:hAnsi="Book Antiqua" w:cs="Calibri"/>
                <w:color w:val="000000" w:themeColor="text1"/>
                <w:lang w:val="en-GB"/>
              </w:rPr>
              <w:t xml:space="preserve"> 1.2 </w:t>
            </w:r>
            <w:r w:rsidRPr="00981DC5">
              <w:rPr>
                <w:rFonts w:ascii="Book Antiqua" w:eastAsia="Calibri" w:hAnsi="Book Antiqua" w:cs="Calibri"/>
                <w:color w:val="000000" w:themeColor="text1"/>
                <w:lang w:val="en-GB" w:eastAsia="en-US"/>
              </w:rPr>
              <w:t>(</w:t>
            </w:r>
            <w:r w:rsidRPr="00981DC5">
              <w:rPr>
                <w:rFonts w:ascii="Book Antiqua" w:hAnsi="Book Antiqua" w:cs="Calibri"/>
                <w:color w:val="000000" w:themeColor="text1"/>
                <w:lang w:val="en-GB"/>
              </w:rPr>
              <w:t>1.5-5.0</w:t>
            </w:r>
            <w:r w:rsidRPr="00981DC5">
              <w:rPr>
                <w:rFonts w:ascii="Book Antiqua" w:eastAsia="Calibri" w:hAnsi="Book Antiqua" w:cs="Calibri"/>
                <w:color w:val="000000" w:themeColor="text1"/>
                <w:lang w:val="en-GB" w:eastAsia="en-US"/>
              </w:rPr>
              <w:t>)</w:t>
            </w:r>
          </w:p>
        </w:tc>
      </w:tr>
      <w:tr w:rsidR="00981DC5" w:rsidRPr="00981DC5" w14:paraId="24301C52" w14:textId="77777777" w:rsidTr="00EB33B3">
        <w:tc>
          <w:tcPr>
            <w:tcW w:w="4811" w:type="dxa"/>
            <w:shd w:val="clear" w:color="auto" w:fill="auto"/>
          </w:tcPr>
          <w:p w14:paraId="4CD0634F"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GB"/>
              </w:rPr>
            </w:pPr>
            <w:r w:rsidRPr="00981DC5">
              <w:rPr>
                <w:rFonts w:ascii="Book Antiqua" w:hAnsi="Book Antiqua" w:cs="Calibri"/>
                <w:color w:val="000000" w:themeColor="text1"/>
                <w:lang w:val="en-GB"/>
              </w:rPr>
              <w:t xml:space="preserve">Mean harvest lymph nodes, </w:t>
            </w:r>
            <w:r w:rsidRPr="00981DC5">
              <w:rPr>
                <w:rFonts w:ascii="Book Antiqua" w:hAnsi="Book Antiqua" w:cs="Calibri"/>
                <w:i/>
                <w:iCs/>
                <w:color w:val="000000" w:themeColor="text1"/>
                <w:lang w:val="en-GB"/>
              </w:rPr>
              <w:t>n</w:t>
            </w:r>
          </w:p>
        </w:tc>
        <w:tc>
          <w:tcPr>
            <w:tcW w:w="4811" w:type="dxa"/>
            <w:shd w:val="clear" w:color="auto" w:fill="auto"/>
          </w:tcPr>
          <w:p w14:paraId="717EAFED" w14:textId="3A52386F"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GB"/>
              </w:rPr>
            </w:pPr>
            <w:r w:rsidRPr="00981DC5">
              <w:rPr>
                <w:rFonts w:ascii="Book Antiqua" w:hAnsi="Book Antiqua" w:cs="Calibri"/>
                <w:color w:val="000000" w:themeColor="text1"/>
                <w:lang w:val="en-GB"/>
              </w:rPr>
              <w:t xml:space="preserve">40.6 </w:t>
            </w:r>
            <w:r w:rsidR="00EB33B3" w:rsidRPr="00981DC5">
              <w:rPr>
                <w:rFonts w:ascii="Book Antiqua" w:hAnsi="Book Antiqua" w:cs="Calibri"/>
                <w:color w:val="000000" w:themeColor="text1"/>
                <w:lang w:val="en-GB"/>
              </w:rPr>
              <w:t>±</w:t>
            </w:r>
            <w:r w:rsidRPr="00981DC5">
              <w:rPr>
                <w:rFonts w:ascii="Book Antiqua" w:hAnsi="Book Antiqua" w:cs="Calibri"/>
                <w:color w:val="000000" w:themeColor="text1"/>
                <w:lang w:val="en-GB"/>
              </w:rPr>
              <w:t xml:space="preserve"> 18.0 </w:t>
            </w:r>
            <w:r w:rsidRPr="00981DC5">
              <w:rPr>
                <w:rFonts w:ascii="Book Antiqua" w:eastAsia="Calibri" w:hAnsi="Book Antiqua" w:cs="Calibri"/>
                <w:color w:val="000000" w:themeColor="text1"/>
                <w:lang w:val="en-GB" w:eastAsia="en-US"/>
              </w:rPr>
              <w:t>(1</w:t>
            </w:r>
            <w:r w:rsidRPr="00981DC5">
              <w:rPr>
                <w:rFonts w:ascii="Book Antiqua" w:hAnsi="Book Antiqua" w:cs="Calibri"/>
                <w:color w:val="000000" w:themeColor="text1"/>
                <w:lang w:val="en-GB"/>
              </w:rPr>
              <w:t>9-74</w:t>
            </w:r>
            <w:r w:rsidRPr="00981DC5">
              <w:rPr>
                <w:rFonts w:ascii="Book Antiqua" w:eastAsia="Calibri" w:hAnsi="Book Antiqua" w:cs="Calibri"/>
                <w:color w:val="000000" w:themeColor="text1"/>
                <w:lang w:val="en-GB" w:eastAsia="en-US"/>
              </w:rPr>
              <w:t>)</w:t>
            </w:r>
          </w:p>
        </w:tc>
      </w:tr>
      <w:tr w:rsidR="00981DC5" w:rsidRPr="00981DC5" w14:paraId="274EA979" w14:textId="77777777" w:rsidTr="00EB33B3">
        <w:tc>
          <w:tcPr>
            <w:tcW w:w="4811" w:type="dxa"/>
            <w:shd w:val="clear" w:color="auto" w:fill="auto"/>
          </w:tcPr>
          <w:p w14:paraId="64BB4E21"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i/>
                <w:iCs/>
                <w:color w:val="000000" w:themeColor="text1"/>
                <w:lang w:val="en-GB"/>
              </w:rPr>
            </w:pPr>
            <w:r w:rsidRPr="00981DC5">
              <w:rPr>
                <w:rFonts w:ascii="Book Antiqua" w:hAnsi="Book Antiqua" w:cs="Calibri"/>
                <w:color w:val="000000" w:themeColor="text1"/>
                <w:lang w:val="en-GB"/>
              </w:rPr>
              <w:t xml:space="preserve">Mean positive lymph nodes, </w:t>
            </w:r>
            <w:r w:rsidRPr="00981DC5">
              <w:rPr>
                <w:rFonts w:ascii="Book Antiqua" w:hAnsi="Book Antiqua" w:cs="Calibri"/>
                <w:i/>
                <w:iCs/>
                <w:color w:val="000000" w:themeColor="text1"/>
                <w:lang w:val="en-GB"/>
              </w:rPr>
              <w:t>n</w:t>
            </w:r>
          </w:p>
        </w:tc>
        <w:tc>
          <w:tcPr>
            <w:tcW w:w="4811" w:type="dxa"/>
            <w:shd w:val="clear" w:color="auto" w:fill="auto"/>
          </w:tcPr>
          <w:p w14:paraId="00B127C0" w14:textId="1AE64321"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GB"/>
              </w:rPr>
            </w:pPr>
            <w:r w:rsidRPr="00981DC5">
              <w:rPr>
                <w:rFonts w:ascii="Book Antiqua" w:hAnsi="Book Antiqua" w:cs="Calibri"/>
                <w:color w:val="000000" w:themeColor="text1"/>
                <w:lang w:val="en-GB"/>
              </w:rPr>
              <w:t xml:space="preserve">5.7 </w:t>
            </w:r>
            <w:r w:rsidR="00EB33B3" w:rsidRPr="00981DC5">
              <w:rPr>
                <w:rFonts w:ascii="Book Antiqua" w:hAnsi="Book Antiqua" w:cs="Calibri"/>
                <w:color w:val="000000" w:themeColor="text1"/>
                <w:lang w:val="en-GB"/>
              </w:rPr>
              <w:t>±</w:t>
            </w:r>
            <w:r w:rsidRPr="00981DC5">
              <w:rPr>
                <w:rFonts w:ascii="Book Antiqua" w:hAnsi="Book Antiqua" w:cs="Calibri"/>
                <w:color w:val="000000" w:themeColor="text1"/>
                <w:lang w:val="en-GB"/>
              </w:rPr>
              <w:t xml:space="preserve"> 6.0 </w:t>
            </w:r>
            <w:r w:rsidRPr="00981DC5">
              <w:rPr>
                <w:rFonts w:ascii="Book Antiqua" w:eastAsia="Calibri" w:hAnsi="Book Antiqua" w:cs="Calibri"/>
                <w:color w:val="000000" w:themeColor="text1"/>
                <w:lang w:val="en-GB" w:eastAsia="en-US"/>
              </w:rPr>
              <w:t>(</w:t>
            </w:r>
            <w:r w:rsidRPr="00981DC5">
              <w:rPr>
                <w:rFonts w:ascii="Book Antiqua" w:hAnsi="Book Antiqua" w:cs="Calibri"/>
                <w:color w:val="000000" w:themeColor="text1"/>
                <w:lang w:val="en-GB"/>
              </w:rPr>
              <w:t>0-22</w:t>
            </w:r>
            <w:r w:rsidRPr="00981DC5">
              <w:rPr>
                <w:rFonts w:ascii="Book Antiqua" w:eastAsia="Calibri" w:hAnsi="Book Antiqua" w:cs="Calibri"/>
                <w:color w:val="000000" w:themeColor="text1"/>
                <w:lang w:val="en-GB" w:eastAsia="en-US"/>
              </w:rPr>
              <w:t>)</w:t>
            </w:r>
          </w:p>
        </w:tc>
      </w:tr>
      <w:tr w:rsidR="00981DC5" w:rsidRPr="00981DC5" w14:paraId="0768EB14" w14:textId="77777777" w:rsidTr="00EB33B3">
        <w:tc>
          <w:tcPr>
            <w:tcW w:w="4811" w:type="dxa"/>
            <w:shd w:val="clear" w:color="auto" w:fill="auto"/>
          </w:tcPr>
          <w:p w14:paraId="0FC84DB2"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GB"/>
              </w:rPr>
            </w:pPr>
            <w:r w:rsidRPr="00981DC5">
              <w:rPr>
                <w:rFonts w:ascii="Book Antiqua" w:hAnsi="Book Antiqua" w:cs="Calibri"/>
                <w:color w:val="000000" w:themeColor="text1"/>
                <w:lang w:val="en-GB"/>
              </w:rPr>
              <w:t xml:space="preserve">T status, </w:t>
            </w:r>
            <w:r w:rsidRPr="00981DC5">
              <w:rPr>
                <w:rFonts w:ascii="Book Antiqua" w:hAnsi="Book Antiqua" w:cs="Calibri"/>
                <w:i/>
                <w:iCs/>
                <w:color w:val="000000" w:themeColor="text1"/>
                <w:lang w:val="en-GB"/>
              </w:rPr>
              <w:t>n</w:t>
            </w:r>
            <w:r w:rsidRPr="00981DC5">
              <w:rPr>
                <w:rFonts w:ascii="Book Antiqua" w:hAnsi="Book Antiqua" w:cs="Calibri"/>
                <w:color w:val="000000" w:themeColor="text1"/>
                <w:lang w:val="en-GB"/>
              </w:rPr>
              <w:t xml:space="preserve"> (%)</w:t>
            </w:r>
          </w:p>
        </w:tc>
        <w:tc>
          <w:tcPr>
            <w:tcW w:w="4811" w:type="dxa"/>
            <w:shd w:val="clear" w:color="auto" w:fill="auto"/>
          </w:tcPr>
          <w:p w14:paraId="12595044"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GB"/>
              </w:rPr>
            </w:pPr>
          </w:p>
        </w:tc>
      </w:tr>
      <w:tr w:rsidR="00981DC5" w:rsidRPr="00981DC5" w14:paraId="132FDFD4" w14:textId="77777777" w:rsidTr="00EB33B3">
        <w:tc>
          <w:tcPr>
            <w:tcW w:w="4811" w:type="dxa"/>
            <w:shd w:val="clear" w:color="auto" w:fill="auto"/>
          </w:tcPr>
          <w:p w14:paraId="5F0F1A18" w14:textId="77777777" w:rsidR="00D54D7A" w:rsidRPr="00981DC5" w:rsidRDefault="00D54D7A" w:rsidP="00B11A05">
            <w:pPr>
              <w:pStyle w:val="aa"/>
              <w:adjustRightInd w:val="0"/>
              <w:snapToGrid w:val="0"/>
              <w:spacing w:before="0" w:beforeAutospacing="0" w:after="0" w:afterAutospacing="0" w:line="360" w:lineRule="auto"/>
              <w:ind w:left="708"/>
              <w:jc w:val="both"/>
              <w:rPr>
                <w:rFonts w:ascii="Book Antiqua" w:hAnsi="Book Antiqua" w:cs="Calibri"/>
                <w:color w:val="000000" w:themeColor="text1"/>
                <w:lang w:val="en-GB"/>
              </w:rPr>
            </w:pPr>
            <w:r w:rsidRPr="00981DC5">
              <w:rPr>
                <w:rFonts w:ascii="Book Antiqua" w:hAnsi="Book Antiqua" w:cs="Calibri"/>
                <w:color w:val="000000" w:themeColor="text1"/>
                <w:lang w:val="en-GB"/>
              </w:rPr>
              <w:t>T1</w:t>
            </w:r>
          </w:p>
        </w:tc>
        <w:tc>
          <w:tcPr>
            <w:tcW w:w="4811" w:type="dxa"/>
            <w:shd w:val="clear" w:color="auto" w:fill="auto"/>
          </w:tcPr>
          <w:p w14:paraId="6168F946" w14:textId="7D78878F"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GB"/>
              </w:rPr>
            </w:pPr>
            <w:r w:rsidRPr="00981DC5">
              <w:rPr>
                <w:rFonts w:ascii="Book Antiqua" w:hAnsi="Book Antiqua" w:cs="Calibri"/>
                <w:color w:val="000000" w:themeColor="text1"/>
                <w:lang w:val="en-GB"/>
              </w:rPr>
              <w:t>2 (13.3)</w:t>
            </w:r>
          </w:p>
        </w:tc>
      </w:tr>
      <w:tr w:rsidR="00981DC5" w:rsidRPr="00981DC5" w14:paraId="035EE5E0" w14:textId="77777777" w:rsidTr="00EB33B3">
        <w:tc>
          <w:tcPr>
            <w:tcW w:w="4811" w:type="dxa"/>
            <w:shd w:val="clear" w:color="auto" w:fill="auto"/>
          </w:tcPr>
          <w:p w14:paraId="2EAA82FC" w14:textId="77777777" w:rsidR="00D54D7A" w:rsidRPr="00981DC5" w:rsidRDefault="00D54D7A" w:rsidP="00B11A05">
            <w:pPr>
              <w:pStyle w:val="aa"/>
              <w:adjustRightInd w:val="0"/>
              <w:snapToGrid w:val="0"/>
              <w:spacing w:before="0" w:beforeAutospacing="0" w:after="0" w:afterAutospacing="0" w:line="360" w:lineRule="auto"/>
              <w:ind w:left="708"/>
              <w:jc w:val="both"/>
              <w:rPr>
                <w:rFonts w:ascii="Book Antiqua" w:hAnsi="Book Antiqua" w:cs="Calibri"/>
                <w:color w:val="000000" w:themeColor="text1"/>
                <w:lang w:val="en-GB"/>
              </w:rPr>
            </w:pPr>
            <w:r w:rsidRPr="00981DC5">
              <w:rPr>
                <w:rFonts w:ascii="Book Antiqua" w:hAnsi="Book Antiqua" w:cs="Calibri"/>
                <w:color w:val="000000" w:themeColor="text1"/>
                <w:lang w:val="en-GB"/>
              </w:rPr>
              <w:t>T2</w:t>
            </w:r>
          </w:p>
        </w:tc>
        <w:tc>
          <w:tcPr>
            <w:tcW w:w="4811" w:type="dxa"/>
            <w:shd w:val="clear" w:color="auto" w:fill="auto"/>
          </w:tcPr>
          <w:p w14:paraId="5E6FD583" w14:textId="13F566DF"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GB"/>
              </w:rPr>
            </w:pPr>
            <w:r w:rsidRPr="00981DC5">
              <w:rPr>
                <w:rFonts w:ascii="Book Antiqua" w:hAnsi="Book Antiqua" w:cs="Calibri"/>
                <w:color w:val="000000" w:themeColor="text1"/>
                <w:lang w:val="en-GB"/>
              </w:rPr>
              <w:t>7 (46.7)</w:t>
            </w:r>
          </w:p>
        </w:tc>
      </w:tr>
      <w:tr w:rsidR="00981DC5" w:rsidRPr="00981DC5" w14:paraId="7976F34B" w14:textId="77777777" w:rsidTr="00EB33B3">
        <w:tc>
          <w:tcPr>
            <w:tcW w:w="4811" w:type="dxa"/>
            <w:shd w:val="clear" w:color="auto" w:fill="auto"/>
          </w:tcPr>
          <w:p w14:paraId="6AA56956" w14:textId="77777777" w:rsidR="00D54D7A" w:rsidRPr="00981DC5" w:rsidRDefault="00D54D7A" w:rsidP="00B11A05">
            <w:pPr>
              <w:pStyle w:val="aa"/>
              <w:adjustRightInd w:val="0"/>
              <w:snapToGrid w:val="0"/>
              <w:spacing w:before="0" w:beforeAutospacing="0" w:after="0" w:afterAutospacing="0" w:line="360" w:lineRule="auto"/>
              <w:ind w:left="708"/>
              <w:jc w:val="both"/>
              <w:rPr>
                <w:rFonts w:ascii="Book Antiqua" w:hAnsi="Book Antiqua" w:cs="Calibri"/>
                <w:color w:val="000000" w:themeColor="text1"/>
                <w:lang w:val="en-GB"/>
              </w:rPr>
            </w:pPr>
            <w:r w:rsidRPr="00981DC5">
              <w:rPr>
                <w:rFonts w:ascii="Book Antiqua" w:hAnsi="Book Antiqua" w:cs="Calibri"/>
                <w:color w:val="000000" w:themeColor="text1"/>
                <w:lang w:val="en-GB"/>
              </w:rPr>
              <w:t>T3</w:t>
            </w:r>
          </w:p>
        </w:tc>
        <w:tc>
          <w:tcPr>
            <w:tcW w:w="4811" w:type="dxa"/>
            <w:shd w:val="clear" w:color="auto" w:fill="auto"/>
          </w:tcPr>
          <w:p w14:paraId="66C6F376" w14:textId="48783E78"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GB"/>
              </w:rPr>
            </w:pPr>
            <w:r w:rsidRPr="00981DC5">
              <w:rPr>
                <w:rFonts w:ascii="Book Antiqua" w:hAnsi="Book Antiqua" w:cs="Calibri"/>
                <w:color w:val="000000" w:themeColor="text1"/>
                <w:lang w:val="en-GB"/>
              </w:rPr>
              <w:t>6 (40)</w:t>
            </w:r>
          </w:p>
        </w:tc>
      </w:tr>
      <w:tr w:rsidR="00981DC5" w:rsidRPr="00981DC5" w14:paraId="548F6252" w14:textId="77777777" w:rsidTr="00EB33B3">
        <w:tc>
          <w:tcPr>
            <w:tcW w:w="4811" w:type="dxa"/>
            <w:shd w:val="clear" w:color="auto" w:fill="auto"/>
          </w:tcPr>
          <w:p w14:paraId="636086FE"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GB"/>
              </w:rPr>
            </w:pPr>
            <w:r w:rsidRPr="00981DC5">
              <w:rPr>
                <w:rFonts w:ascii="Book Antiqua" w:hAnsi="Book Antiqua" w:cs="Calibri"/>
                <w:color w:val="000000" w:themeColor="text1"/>
                <w:lang w:val="en-GB"/>
              </w:rPr>
              <w:t xml:space="preserve">N status, </w:t>
            </w:r>
            <w:r w:rsidRPr="00981DC5">
              <w:rPr>
                <w:rFonts w:ascii="Book Antiqua" w:hAnsi="Book Antiqua" w:cs="Calibri"/>
                <w:i/>
                <w:iCs/>
                <w:color w:val="000000" w:themeColor="text1"/>
                <w:lang w:val="en-GB"/>
              </w:rPr>
              <w:t>n</w:t>
            </w:r>
            <w:r w:rsidRPr="00981DC5">
              <w:rPr>
                <w:rFonts w:ascii="Book Antiqua" w:hAnsi="Book Antiqua" w:cs="Calibri"/>
                <w:color w:val="000000" w:themeColor="text1"/>
                <w:lang w:val="en-GB"/>
              </w:rPr>
              <w:t xml:space="preserve"> (%)</w:t>
            </w:r>
          </w:p>
        </w:tc>
        <w:tc>
          <w:tcPr>
            <w:tcW w:w="4811" w:type="dxa"/>
            <w:shd w:val="clear" w:color="auto" w:fill="auto"/>
          </w:tcPr>
          <w:p w14:paraId="0927BD21"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GB"/>
              </w:rPr>
            </w:pPr>
          </w:p>
        </w:tc>
      </w:tr>
      <w:tr w:rsidR="00981DC5" w:rsidRPr="00981DC5" w14:paraId="1C5AC1A9" w14:textId="77777777" w:rsidTr="00EB33B3">
        <w:tc>
          <w:tcPr>
            <w:tcW w:w="4811" w:type="dxa"/>
            <w:shd w:val="clear" w:color="auto" w:fill="auto"/>
          </w:tcPr>
          <w:p w14:paraId="1BBBBAA2" w14:textId="77777777" w:rsidR="00D54D7A" w:rsidRPr="00981DC5" w:rsidRDefault="00D54D7A" w:rsidP="00B11A05">
            <w:pPr>
              <w:pStyle w:val="aa"/>
              <w:adjustRightInd w:val="0"/>
              <w:snapToGrid w:val="0"/>
              <w:spacing w:before="0" w:beforeAutospacing="0" w:after="0" w:afterAutospacing="0" w:line="360" w:lineRule="auto"/>
              <w:ind w:left="708"/>
              <w:jc w:val="both"/>
              <w:rPr>
                <w:rFonts w:ascii="Book Antiqua" w:hAnsi="Book Antiqua" w:cs="Calibri"/>
                <w:color w:val="000000" w:themeColor="text1"/>
                <w:lang w:val="en-GB"/>
              </w:rPr>
            </w:pPr>
            <w:r w:rsidRPr="00981DC5">
              <w:rPr>
                <w:rFonts w:ascii="Book Antiqua" w:hAnsi="Book Antiqua" w:cs="Calibri"/>
                <w:color w:val="000000" w:themeColor="text1"/>
                <w:lang w:val="en-GB"/>
              </w:rPr>
              <w:t>N0</w:t>
            </w:r>
          </w:p>
        </w:tc>
        <w:tc>
          <w:tcPr>
            <w:tcW w:w="4811" w:type="dxa"/>
            <w:shd w:val="clear" w:color="auto" w:fill="auto"/>
          </w:tcPr>
          <w:p w14:paraId="0BF3A056" w14:textId="48016A0B"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GB"/>
              </w:rPr>
            </w:pPr>
            <w:r w:rsidRPr="00981DC5">
              <w:rPr>
                <w:rFonts w:ascii="Book Antiqua" w:hAnsi="Book Antiqua" w:cs="Calibri"/>
                <w:color w:val="000000" w:themeColor="text1"/>
                <w:lang w:val="en-GB"/>
              </w:rPr>
              <w:t>1 (6.6)</w:t>
            </w:r>
          </w:p>
        </w:tc>
      </w:tr>
      <w:tr w:rsidR="00981DC5" w:rsidRPr="00981DC5" w14:paraId="5DE04ACC" w14:textId="77777777" w:rsidTr="00EB33B3">
        <w:tc>
          <w:tcPr>
            <w:tcW w:w="4811" w:type="dxa"/>
            <w:shd w:val="clear" w:color="auto" w:fill="auto"/>
          </w:tcPr>
          <w:p w14:paraId="60C42FA2" w14:textId="77777777" w:rsidR="00D54D7A" w:rsidRPr="00981DC5" w:rsidRDefault="00D54D7A" w:rsidP="00B11A05">
            <w:pPr>
              <w:pStyle w:val="aa"/>
              <w:adjustRightInd w:val="0"/>
              <w:snapToGrid w:val="0"/>
              <w:spacing w:before="0" w:beforeAutospacing="0" w:after="0" w:afterAutospacing="0" w:line="360" w:lineRule="auto"/>
              <w:ind w:left="708"/>
              <w:jc w:val="both"/>
              <w:rPr>
                <w:rFonts w:ascii="Book Antiqua" w:hAnsi="Book Antiqua" w:cs="Calibri"/>
                <w:color w:val="000000" w:themeColor="text1"/>
                <w:lang w:val="en-GB"/>
              </w:rPr>
            </w:pPr>
            <w:r w:rsidRPr="00981DC5">
              <w:rPr>
                <w:rFonts w:ascii="Book Antiqua" w:hAnsi="Book Antiqua" w:cs="Calibri"/>
                <w:color w:val="000000" w:themeColor="text1"/>
                <w:lang w:val="en-GB"/>
              </w:rPr>
              <w:t>N1</w:t>
            </w:r>
          </w:p>
        </w:tc>
        <w:tc>
          <w:tcPr>
            <w:tcW w:w="4811" w:type="dxa"/>
            <w:shd w:val="clear" w:color="auto" w:fill="auto"/>
          </w:tcPr>
          <w:p w14:paraId="61643F61" w14:textId="794E09C6"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GB"/>
              </w:rPr>
            </w:pPr>
            <w:r w:rsidRPr="00981DC5">
              <w:rPr>
                <w:rFonts w:ascii="Book Antiqua" w:hAnsi="Book Antiqua" w:cs="Calibri"/>
                <w:color w:val="000000" w:themeColor="text1"/>
                <w:lang w:val="en-GB"/>
              </w:rPr>
              <w:t>7 (46.7)</w:t>
            </w:r>
          </w:p>
        </w:tc>
      </w:tr>
      <w:tr w:rsidR="00981DC5" w:rsidRPr="00981DC5" w14:paraId="6491F6C4" w14:textId="77777777" w:rsidTr="00EB33B3">
        <w:tc>
          <w:tcPr>
            <w:tcW w:w="4811" w:type="dxa"/>
            <w:shd w:val="clear" w:color="auto" w:fill="auto"/>
          </w:tcPr>
          <w:p w14:paraId="00A256CB" w14:textId="77777777" w:rsidR="00D54D7A" w:rsidRPr="00981DC5" w:rsidRDefault="00D54D7A" w:rsidP="00B11A05">
            <w:pPr>
              <w:pStyle w:val="aa"/>
              <w:adjustRightInd w:val="0"/>
              <w:snapToGrid w:val="0"/>
              <w:spacing w:before="0" w:beforeAutospacing="0" w:after="0" w:afterAutospacing="0" w:line="360" w:lineRule="auto"/>
              <w:ind w:left="708"/>
              <w:jc w:val="both"/>
              <w:rPr>
                <w:rFonts w:ascii="Book Antiqua" w:hAnsi="Book Antiqua" w:cs="Calibri"/>
                <w:color w:val="000000" w:themeColor="text1"/>
                <w:lang w:val="en-GB"/>
              </w:rPr>
            </w:pPr>
            <w:r w:rsidRPr="00981DC5">
              <w:rPr>
                <w:rFonts w:ascii="Book Antiqua" w:hAnsi="Book Antiqua" w:cs="Calibri"/>
                <w:color w:val="000000" w:themeColor="text1"/>
                <w:lang w:val="en-GB"/>
              </w:rPr>
              <w:t>N2</w:t>
            </w:r>
          </w:p>
        </w:tc>
        <w:tc>
          <w:tcPr>
            <w:tcW w:w="4811" w:type="dxa"/>
            <w:shd w:val="clear" w:color="auto" w:fill="auto"/>
          </w:tcPr>
          <w:p w14:paraId="6EE865B0" w14:textId="41D9F2B5"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GB"/>
              </w:rPr>
            </w:pPr>
            <w:r w:rsidRPr="00981DC5">
              <w:rPr>
                <w:rFonts w:ascii="Book Antiqua" w:hAnsi="Book Antiqua" w:cs="Calibri"/>
                <w:color w:val="000000" w:themeColor="text1"/>
                <w:lang w:val="en-GB"/>
              </w:rPr>
              <w:t>7 (46.7)</w:t>
            </w:r>
          </w:p>
        </w:tc>
      </w:tr>
      <w:tr w:rsidR="00981DC5" w:rsidRPr="00981DC5" w14:paraId="76CB86FB" w14:textId="77777777" w:rsidTr="00EB33B3">
        <w:tc>
          <w:tcPr>
            <w:tcW w:w="4811" w:type="dxa"/>
            <w:shd w:val="clear" w:color="auto" w:fill="auto"/>
          </w:tcPr>
          <w:p w14:paraId="4EB49CE3"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GB"/>
              </w:rPr>
            </w:pPr>
            <w:r w:rsidRPr="00981DC5">
              <w:rPr>
                <w:rFonts w:ascii="Book Antiqua" w:hAnsi="Book Antiqua" w:cs="Calibri"/>
                <w:color w:val="000000" w:themeColor="text1"/>
                <w:lang w:val="en-GB"/>
              </w:rPr>
              <w:t xml:space="preserve">Stage, </w:t>
            </w:r>
            <w:r w:rsidRPr="00981DC5">
              <w:rPr>
                <w:rFonts w:ascii="Book Antiqua" w:hAnsi="Book Antiqua" w:cs="Calibri"/>
                <w:i/>
                <w:iCs/>
                <w:color w:val="000000" w:themeColor="text1"/>
                <w:lang w:val="en-GB"/>
              </w:rPr>
              <w:t>n</w:t>
            </w:r>
            <w:r w:rsidRPr="00981DC5">
              <w:rPr>
                <w:rFonts w:ascii="Book Antiqua" w:hAnsi="Book Antiqua" w:cs="Calibri"/>
                <w:color w:val="000000" w:themeColor="text1"/>
                <w:lang w:val="en-GB"/>
              </w:rPr>
              <w:t xml:space="preserve"> (%)</w:t>
            </w:r>
          </w:p>
        </w:tc>
        <w:tc>
          <w:tcPr>
            <w:tcW w:w="4811" w:type="dxa"/>
            <w:shd w:val="clear" w:color="auto" w:fill="auto"/>
          </w:tcPr>
          <w:p w14:paraId="01F38896"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GB"/>
              </w:rPr>
            </w:pPr>
          </w:p>
        </w:tc>
      </w:tr>
      <w:tr w:rsidR="00981DC5" w:rsidRPr="00981DC5" w14:paraId="608F9922" w14:textId="77777777" w:rsidTr="00EB33B3">
        <w:tc>
          <w:tcPr>
            <w:tcW w:w="4811" w:type="dxa"/>
            <w:shd w:val="clear" w:color="auto" w:fill="auto"/>
          </w:tcPr>
          <w:p w14:paraId="790636A1" w14:textId="77777777" w:rsidR="00D54D7A" w:rsidRPr="00981DC5" w:rsidRDefault="00D54D7A" w:rsidP="00B11A05">
            <w:pPr>
              <w:pStyle w:val="aa"/>
              <w:adjustRightInd w:val="0"/>
              <w:snapToGrid w:val="0"/>
              <w:spacing w:before="0" w:beforeAutospacing="0" w:after="0" w:afterAutospacing="0" w:line="360" w:lineRule="auto"/>
              <w:ind w:left="708"/>
              <w:jc w:val="both"/>
              <w:rPr>
                <w:rFonts w:ascii="Book Antiqua" w:hAnsi="Book Antiqua" w:cs="Calibri"/>
                <w:color w:val="000000" w:themeColor="text1"/>
                <w:lang w:val="en-GB"/>
              </w:rPr>
            </w:pPr>
            <w:r w:rsidRPr="00981DC5">
              <w:rPr>
                <w:rFonts w:ascii="Book Antiqua" w:hAnsi="Book Antiqua" w:cs="Calibri"/>
                <w:color w:val="000000" w:themeColor="text1"/>
                <w:lang w:val="en-GB"/>
              </w:rPr>
              <w:t>IB</w:t>
            </w:r>
          </w:p>
        </w:tc>
        <w:tc>
          <w:tcPr>
            <w:tcW w:w="4811" w:type="dxa"/>
            <w:shd w:val="clear" w:color="auto" w:fill="auto"/>
          </w:tcPr>
          <w:p w14:paraId="7E6AC189" w14:textId="6140D44E"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GB"/>
              </w:rPr>
            </w:pPr>
            <w:r w:rsidRPr="00981DC5">
              <w:rPr>
                <w:rFonts w:ascii="Book Antiqua" w:hAnsi="Book Antiqua" w:cs="Calibri"/>
                <w:color w:val="000000" w:themeColor="text1"/>
                <w:lang w:val="en-GB"/>
              </w:rPr>
              <w:t>1 (6.7)</w:t>
            </w:r>
          </w:p>
        </w:tc>
      </w:tr>
      <w:tr w:rsidR="00981DC5" w:rsidRPr="00981DC5" w14:paraId="7C45E650" w14:textId="77777777" w:rsidTr="00EB33B3">
        <w:tc>
          <w:tcPr>
            <w:tcW w:w="4811" w:type="dxa"/>
            <w:shd w:val="clear" w:color="auto" w:fill="auto"/>
          </w:tcPr>
          <w:p w14:paraId="7FF28AA2" w14:textId="77777777" w:rsidR="00D54D7A" w:rsidRPr="00981DC5" w:rsidRDefault="00D54D7A" w:rsidP="00B11A05">
            <w:pPr>
              <w:pStyle w:val="aa"/>
              <w:adjustRightInd w:val="0"/>
              <w:snapToGrid w:val="0"/>
              <w:spacing w:before="0" w:beforeAutospacing="0" w:after="0" w:afterAutospacing="0" w:line="360" w:lineRule="auto"/>
              <w:ind w:left="708"/>
              <w:jc w:val="both"/>
              <w:rPr>
                <w:rFonts w:ascii="Book Antiqua" w:hAnsi="Book Antiqua" w:cs="Calibri"/>
                <w:color w:val="000000" w:themeColor="text1"/>
                <w:lang w:val="en-GB"/>
              </w:rPr>
            </w:pPr>
            <w:r w:rsidRPr="00981DC5">
              <w:rPr>
                <w:rFonts w:ascii="Book Antiqua" w:hAnsi="Book Antiqua" w:cs="Calibri"/>
                <w:color w:val="000000" w:themeColor="text1"/>
                <w:lang w:val="en-GB"/>
              </w:rPr>
              <w:t>IIB</w:t>
            </w:r>
          </w:p>
        </w:tc>
        <w:tc>
          <w:tcPr>
            <w:tcW w:w="4811" w:type="dxa"/>
            <w:shd w:val="clear" w:color="auto" w:fill="auto"/>
          </w:tcPr>
          <w:p w14:paraId="16BD6E87" w14:textId="0F1DAA4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GB"/>
              </w:rPr>
            </w:pPr>
            <w:r w:rsidRPr="00981DC5">
              <w:rPr>
                <w:rFonts w:ascii="Book Antiqua" w:hAnsi="Book Antiqua" w:cs="Calibri"/>
                <w:color w:val="000000" w:themeColor="text1"/>
                <w:lang w:val="en-GB"/>
              </w:rPr>
              <w:t>6 (40)</w:t>
            </w:r>
          </w:p>
        </w:tc>
      </w:tr>
      <w:tr w:rsidR="00981DC5" w:rsidRPr="00981DC5" w14:paraId="42DEDECE" w14:textId="77777777" w:rsidTr="00EB33B3">
        <w:tc>
          <w:tcPr>
            <w:tcW w:w="4811" w:type="dxa"/>
            <w:shd w:val="clear" w:color="auto" w:fill="auto"/>
          </w:tcPr>
          <w:p w14:paraId="20A190E3" w14:textId="77777777" w:rsidR="00D54D7A" w:rsidRPr="00981DC5" w:rsidRDefault="00D54D7A" w:rsidP="00B11A05">
            <w:pPr>
              <w:pStyle w:val="aa"/>
              <w:adjustRightInd w:val="0"/>
              <w:snapToGrid w:val="0"/>
              <w:spacing w:before="0" w:beforeAutospacing="0" w:after="0" w:afterAutospacing="0" w:line="360" w:lineRule="auto"/>
              <w:ind w:left="708"/>
              <w:jc w:val="both"/>
              <w:rPr>
                <w:rFonts w:ascii="Book Antiqua" w:hAnsi="Book Antiqua" w:cs="Calibri"/>
                <w:color w:val="000000" w:themeColor="text1"/>
                <w:lang w:val="en-GB"/>
              </w:rPr>
            </w:pPr>
            <w:r w:rsidRPr="00981DC5">
              <w:rPr>
                <w:rFonts w:ascii="Book Antiqua" w:hAnsi="Book Antiqua" w:cs="Calibri"/>
                <w:color w:val="000000" w:themeColor="text1"/>
                <w:lang w:val="en-GB"/>
              </w:rPr>
              <w:t>III</w:t>
            </w:r>
          </w:p>
        </w:tc>
        <w:tc>
          <w:tcPr>
            <w:tcW w:w="4811" w:type="dxa"/>
            <w:shd w:val="clear" w:color="auto" w:fill="auto"/>
          </w:tcPr>
          <w:p w14:paraId="714017D3" w14:textId="001A158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GB"/>
              </w:rPr>
            </w:pPr>
            <w:r w:rsidRPr="00981DC5">
              <w:rPr>
                <w:rFonts w:ascii="Book Antiqua" w:hAnsi="Book Antiqua" w:cs="Calibri"/>
                <w:color w:val="000000" w:themeColor="text1"/>
                <w:lang w:val="en-GB"/>
              </w:rPr>
              <w:t>8 (53.3)</w:t>
            </w:r>
          </w:p>
        </w:tc>
      </w:tr>
      <w:tr w:rsidR="00981DC5" w:rsidRPr="00981DC5" w14:paraId="412BEF9C" w14:textId="77777777" w:rsidTr="00EB33B3">
        <w:tc>
          <w:tcPr>
            <w:tcW w:w="4811" w:type="dxa"/>
            <w:shd w:val="clear" w:color="auto" w:fill="auto"/>
          </w:tcPr>
          <w:p w14:paraId="7B166710"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GB"/>
              </w:rPr>
            </w:pPr>
            <w:r w:rsidRPr="00981DC5">
              <w:rPr>
                <w:rFonts w:ascii="Book Antiqua" w:hAnsi="Book Antiqua" w:cs="Calibri"/>
                <w:color w:val="000000" w:themeColor="text1"/>
                <w:lang w:val="en-GB"/>
              </w:rPr>
              <w:t xml:space="preserve">Angioinvasion, </w:t>
            </w:r>
            <w:r w:rsidRPr="00981DC5">
              <w:rPr>
                <w:rFonts w:ascii="Book Antiqua" w:hAnsi="Book Antiqua" w:cs="Calibri"/>
                <w:i/>
                <w:iCs/>
                <w:color w:val="000000" w:themeColor="text1"/>
                <w:lang w:val="en-GB"/>
              </w:rPr>
              <w:t>n</w:t>
            </w:r>
            <w:r w:rsidRPr="00981DC5">
              <w:rPr>
                <w:rFonts w:ascii="Book Antiqua" w:hAnsi="Book Antiqua" w:cs="Calibri"/>
                <w:color w:val="000000" w:themeColor="text1"/>
                <w:lang w:val="en-GB"/>
              </w:rPr>
              <w:t xml:space="preserve"> (%)</w:t>
            </w:r>
          </w:p>
        </w:tc>
        <w:tc>
          <w:tcPr>
            <w:tcW w:w="4811" w:type="dxa"/>
            <w:shd w:val="clear" w:color="auto" w:fill="auto"/>
          </w:tcPr>
          <w:p w14:paraId="257CD609" w14:textId="03B88435"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GB"/>
              </w:rPr>
            </w:pPr>
            <w:r w:rsidRPr="00981DC5">
              <w:rPr>
                <w:rFonts w:ascii="Book Antiqua" w:hAnsi="Book Antiqua" w:cs="Calibri"/>
                <w:color w:val="000000" w:themeColor="text1"/>
                <w:lang w:val="en-GB"/>
              </w:rPr>
              <w:t>2 (13.3)</w:t>
            </w:r>
          </w:p>
        </w:tc>
      </w:tr>
      <w:tr w:rsidR="00981DC5" w:rsidRPr="00981DC5" w14:paraId="38848D18" w14:textId="77777777" w:rsidTr="00EB33B3">
        <w:tc>
          <w:tcPr>
            <w:tcW w:w="4811" w:type="dxa"/>
            <w:shd w:val="clear" w:color="auto" w:fill="auto"/>
          </w:tcPr>
          <w:p w14:paraId="4D94136E"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GB"/>
              </w:rPr>
            </w:pPr>
            <w:r w:rsidRPr="00981DC5">
              <w:rPr>
                <w:rFonts w:ascii="Book Antiqua" w:hAnsi="Book Antiqua" w:cs="Calibri"/>
                <w:color w:val="000000" w:themeColor="text1"/>
                <w:lang w:val="en-GB"/>
              </w:rPr>
              <w:t xml:space="preserve">Perineural infiltration, </w:t>
            </w:r>
            <w:r w:rsidRPr="00981DC5">
              <w:rPr>
                <w:rFonts w:ascii="Book Antiqua" w:hAnsi="Book Antiqua" w:cs="Calibri"/>
                <w:i/>
                <w:iCs/>
                <w:color w:val="000000" w:themeColor="text1"/>
                <w:lang w:val="en-GB"/>
              </w:rPr>
              <w:t>n</w:t>
            </w:r>
            <w:r w:rsidRPr="00981DC5">
              <w:rPr>
                <w:rFonts w:ascii="Book Antiqua" w:hAnsi="Book Antiqua" w:cs="Calibri"/>
                <w:color w:val="000000" w:themeColor="text1"/>
                <w:lang w:val="en-GB"/>
              </w:rPr>
              <w:t xml:space="preserve"> (%)</w:t>
            </w:r>
          </w:p>
        </w:tc>
        <w:tc>
          <w:tcPr>
            <w:tcW w:w="4811" w:type="dxa"/>
            <w:shd w:val="clear" w:color="auto" w:fill="auto"/>
          </w:tcPr>
          <w:p w14:paraId="44BA420C" w14:textId="58B4A684"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GB"/>
              </w:rPr>
            </w:pPr>
            <w:r w:rsidRPr="00981DC5">
              <w:rPr>
                <w:rFonts w:ascii="Book Antiqua" w:hAnsi="Book Antiqua" w:cs="Calibri"/>
                <w:color w:val="000000" w:themeColor="text1"/>
                <w:lang w:val="en-GB"/>
              </w:rPr>
              <w:t>11 (73.4)</w:t>
            </w:r>
          </w:p>
        </w:tc>
      </w:tr>
      <w:tr w:rsidR="00981DC5" w:rsidRPr="00981DC5" w14:paraId="32F150E4" w14:textId="77777777" w:rsidTr="00EB33B3">
        <w:tc>
          <w:tcPr>
            <w:tcW w:w="4811" w:type="dxa"/>
            <w:shd w:val="clear" w:color="auto" w:fill="auto"/>
          </w:tcPr>
          <w:p w14:paraId="5025972D"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GB"/>
              </w:rPr>
            </w:pPr>
            <w:r w:rsidRPr="00981DC5">
              <w:rPr>
                <w:rFonts w:ascii="Book Antiqua" w:hAnsi="Book Antiqua" w:cs="Calibri"/>
                <w:color w:val="000000" w:themeColor="text1"/>
                <w:lang w:val="en-GB"/>
              </w:rPr>
              <w:lastRenderedPageBreak/>
              <w:t xml:space="preserve">Vascular infiltration, </w:t>
            </w:r>
            <w:r w:rsidRPr="00981DC5">
              <w:rPr>
                <w:rFonts w:ascii="Book Antiqua" w:hAnsi="Book Antiqua" w:cs="Calibri"/>
                <w:i/>
                <w:iCs/>
                <w:color w:val="000000" w:themeColor="text1"/>
                <w:lang w:val="en-GB"/>
              </w:rPr>
              <w:t>n</w:t>
            </w:r>
            <w:r w:rsidRPr="00981DC5">
              <w:rPr>
                <w:rFonts w:ascii="Book Antiqua" w:hAnsi="Book Antiqua" w:cs="Calibri"/>
                <w:color w:val="000000" w:themeColor="text1"/>
                <w:lang w:val="en-GB"/>
              </w:rPr>
              <w:t xml:space="preserve"> (%)</w:t>
            </w:r>
          </w:p>
        </w:tc>
        <w:tc>
          <w:tcPr>
            <w:tcW w:w="4811" w:type="dxa"/>
            <w:shd w:val="clear" w:color="auto" w:fill="auto"/>
          </w:tcPr>
          <w:p w14:paraId="4D2581CC" w14:textId="2565062F"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GB"/>
              </w:rPr>
            </w:pPr>
            <w:r w:rsidRPr="00981DC5">
              <w:rPr>
                <w:rFonts w:ascii="Book Antiqua" w:hAnsi="Book Antiqua" w:cs="Calibri"/>
                <w:color w:val="000000" w:themeColor="text1"/>
                <w:lang w:val="en-GB"/>
              </w:rPr>
              <w:t>2 (13.3)</w:t>
            </w:r>
          </w:p>
        </w:tc>
      </w:tr>
    </w:tbl>
    <w:p w14:paraId="49E55508" w14:textId="77777777" w:rsidR="00AD5BBD" w:rsidRPr="00981DC5" w:rsidRDefault="00B11A05" w:rsidP="00B11A05">
      <w:pPr>
        <w:adjustRightInd w:val="0"/>
        <w:snapToGrid w:val="0"/>
        <w:spacing w:after="0" w:line="360" w:lineRule="auto"/>
        <w:jc w:val="both"/>
        <w:rPr>
          <w:rFonts w:ascii="Book Antiqua" w:hAnsi="Book Antiqua" w:cs="Calibri"/>
          <w:color w:val="000000" w:themeColor="text1"/>
          <w:sz w:val="24"/>
          <w:szCs w:val="24"/>
          <w:lang w:val="en-US"/>
        </w:rPr>
      </w:pPr>
      <w:r w:rsidRPr="00981DC5">
        <w:rPr>
          <w:rFonts w:ascii="Book Antiqua" w:hAnsi="Book Antiqua" w:cs="Calibri" w:hint="eastAsia"/>
          <w:color w:val="000000" w:themeColor="text1"/>
          <w:sz w:val="24"/>
          <w:szCs w:val="24"/>
          <w:lang w:val="en-US"/>
        </w:rPr>
        <w:t>B</w:t>
      </w:r>
      <w:r w:rsidRPr="00981DC5">
        <w:rPr>
          <w:rFonts w:ascii="Book Antiqua" w:hAnsi="Book Antiqua" w:cs="Calibri"/>
          <w:color w:val="000000" w:themeColor="text1"/>
          <w:sz w:val="24"/>
          <w:szCs w:val="24"/>
          <w:lang w:val="en-US"/>
        </w:rPr>
        <w:t>MI: Body mass index; M: Male; F: Female</w:t>
      </w:r>
      <w:r w:rsidR="00AD5BBD" w:rsidRPr="00981DC5">
        <w:rPr>
          <w:rFonts w:ascii="Book Antiqua" w:hAnsi="Book Antiqua" w:cs="Calibri"/>
          <w:color w:val="000000" w:themeColor="text1"/>
          <w:sz w:val="24"/>
          <w:szCs w:val="24"/>
          <w:lang w:val="en-US"/>
        </w:rPr>
        <w:t>.</w:t>
      </w:r>
    </w:p>
    <w:p w14:paraId="2A61CECE" w14:textId="6D2DA2E4" w:rsidR="00F40166" w:rsidRPr="00981DC5" w:rsidRDefault="00F40166" w:rsidP="00B11A05">
      <w:pPr>
        <w:adjustRightInd w:val="0"/>
        <w:snapToGrid w:val="0"/>
        <w:spacing w:after="0" w:line="360" w:lineRule="auto"/>
        <w:jc w:val="both"/>
        <w:rPr>
          <w:rFonts w:ascii="Book Antiqua" w:hAnsi="Book Antiqua" w:cs="Calibri"/>
          <w:color w:val="000000" w:themeColor="text1"/>
          <w:sz w:val="24"/>
          <w:szCs w:val="24"/>
          <w:lang w:val="en-US"/>
        </w:rPr>
      </w:pPr>
      <w:r w:rsidRPr="00981DC5">
        <w:rPr>
          <w:rFonts w:ascii="Book Antiqua" w:hAnsi="Book Antiqua" w:cs="Calibri"/>
          <w:color w:val="000000" w:themeColor="text1"/>
          <w:sz w:val="24"/>
          <w:szCs w:val="24"/>
          <w:lang w:val="en-US"/>
        </w:rPr>
        <w:br w:type="page"/>
      </w:r>
    </w:p>
    <w:p w14:paraId="0ACF045C" w14:textId="44366781" w:rsidR="00AD5BBD" w:rsidRPr="00981DC5" w:rsidRDefault="00AD5BBD" w:rsidP="00B11A05">
      <w:pPr>
        <w:adjustRightInd w:val="0"/>
        <w:snapToGrid w:val="0"/>
        <w:spacing w:after="0" w:line="360" w:lineRule="auto"/>
        <w:jc w:val="both"/>
        <w:rPr>
          <w:rFonts w:ascii="Book Antiqua" w:hAnsi="Book Antiqua" w:cs="Calibri"/>
          <w:b/>
          <w:bCs/>
          <w:color w:val="000000" w:themeColor="text1"/>
          <w:sz w:val="24"/>
          <w:szCs w:val="24"/>
          <w:lang w:val="en-US"/>
        </w:rPr>
      </w:pPr>
      <w:r w:rsidRPr="00981DC5">
        <w:rPr>
          <w:rFonts w:ascii="Book Antiqua" w:hAnsi="Book Antiqua" w:cs="Calibri"/>
          <w:b/>
          <w:bCs/>
          <w:color w:val="000000" w:themeColor="text1"/>
          <w:sz w:val="24"/>
          <w:szCs w:val="24"/>
          <w:lang w:val="en-US"/>
        </w:rPr>
        <w:lastRenderedPageBreak/>
        <w:t xml:space="preserve">Table 2 Survival rate of the </w:t>
      </w:r>
      <w:proofErr w:type="spellStart"/>
      <w:r w:rsidRPr="00981DC5">
        <w:rPr>
          <w:rFonts w:ascii="Book Antiqua" w:hAnsi="Book Antiqua" w:cs="Calibri"/>
          <w:b/>
          <w:bCs/>
          <w:color w:val="000000" w:themeColor="text1"/>
          <w:sz w:val="24"/>
          <w:szCs w:val="24"/>
          <w:lang w:val="en-US"/>
        </w:rPr>
        <w:t>xenotransplanted</w:t>
      </w:r>
      <w:proofErr w:type="spellEnd"/>
      <w:r w:rsidRPr="00981DC5">
        <w:rPr>
          <w:rFonts w:ascii="Book Antiqua" w:hAnsi="Book Antiqua" w:cs="Calibri"/>
          <w:b/>
          <w:bCs/>
          <w:color w:val="000000" w:themeColor="text1"/>
          <w:sz w:val="24"/>
          <w:szCs w:val="24"/>
          <w:lang w:val="en-US"/>
        </w:rPr>
        <w:t xml:space="preserve"> zebrafish embryos</w:t>
      </w:r>
    </w:p>
    <w:tbl>
      <w:tblPr>
        <w:tblStyle w:val="af1"/>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1"/>
        <w:gridCol w:w="863"/>
        <w:gridCol w:w="828"/>
        <w:gridCol w:w="908"/>
        <w:gridCol w:w="1137"/>
        <w:gridCol w:w="970"/>
        <w:gridCol w:w="851"/>
        <w:gridCol w:w="919"/>
        <w:gridCol w:w="908"/>
        <w:gridCol w:w="1137"/>
      </w:tblGrid>
      <w:tr w:rsidR="00981DC5" w:rsidRPr="00981DC5" w14:paraId="1A574433" w14:textId="77777777" w:rsidTr="00EB33B3">
        <w:tc>
          <w:tcPr>
            <w:tcW w:w="1101" w:type="dxa"/>
            <w:vMerge w:val="restart"/>
            <w:tcBorders>
              <w:top w:val="single" w:sz="4" w:space="0" w:color="auto"/>
              <w:bottom w:val="single" w:sz="4" w:space="0" w:color="auto"/>
            </w:tcBorders>
          </w:tcPr>
          <w:p w14:paraId="013F6F20" w14:textId="02536CFC" w:rsidR="00AD5BBD" w:rsidRPr="00981DC5" w:rsidRDefault="00AD5BBD" w:rsidP="00B11A05">
            <w:pPr>
              <w:adjustRightInd w:val="0"/>
              <w:snapToGrid w:val="0"/>
              <w:spacing w:line="360" w:lineRule="auto"/>
              <w:jc w:val="both"/>
              <w:rPr>
                <w:rFonts w:ascii="Book Antiqua" w:hAnsi="Book Antiqua" w:cs="Calibri"/>
                <w:b/>
                <w:bCs/>
                <w:color w:val="000000" w:themeColor="text1"/>
                <w:sz w:val="24"/>
                <w:szCs w:val="24"/>
                <w:lang w:val="en-US"/>
              </w:rPr>
            </w:pPr>
            <w:r w:rsidRPr="00981DC5">
              <w:rPr>
                <w:rFonts w:ascii="Book Antiqua" w:hAnsi="Book Antiqua" w:cs="Calibri"/>
                <w:b/>
                <w:bCs/>
                <w:color w:val="000000" w:themeColor="text1"/>
                <w:sz w:val="24"/>
                <w:szCs w:val="24"/>
                <w:lang w:val="en-US"/>
              </w:rPr>
              <w:t>No. of case</w:t>
            </w:r>
          </w:p>
        </w:tc>
        <w:tc>
          <w:tcPr>
            <w:tcW w:w="4706" w:type="dxa"/>
            <w:gridSpan w:val="5"/>
            <w:tcBorders>
              <w:top w:val="single" w:sz="4" w:space="0" w:color="auto"/>
              <w:bottom w:val="single" w:sz="4" w:space="0" w:color="auto"/>
            </w:tcBorders>
          </w:tcPr>
          <w:p w14:paraId="27D6D1A2" w14:textId="4D54ACBC" w:rsidR="00AD5BBD" w:rsidRPr="00981DC5" w:rsidRDefault="00AD5BBD" w:rsidP="00B11A05">
            <w:pPr>
              <w:adjustRightInd w:val="0"/>
              <w:snapToGrid w:val="0"/>
              <w:spacing w:line="360" w:lineRule="auto"/>
              <w:jc w:val="both"/>
              <w:rPr>
                <w:rFonts w:ascii="Book Antiqua" w:hAnsi="Book Antiqua" w:cs="Calibri"/>
                <w:b/>
                <w:bCs/>
                <w:color w:val="000000" w:themeColor="text1"/>
                <w:sz w:val="24"/>
                <w:szCs w:val="24"/>
                <w:lang w:val="en-US"/>
              </w:rPr>
            </w:pPr>
            <w:r w:rsidRPr="00981DC5">
              <w:rPr>
                <w:rFonts w:ascii="Book Antiqua" w:hAnsi="Book Antiqua" w:cs="Calibri"/>
                <w:b/>
                <w:bCs/>
                <w:color w:val="000000" w:themeColor="text1"/>
                <w:sz w:val="24"/>
                <w:szCs w:val="24"/>
                <w:lang w:val="en-US"/>
              </w:rPr>
              <w:t>1 d post injection</w:t>
            </w:r>
          </w:p>
        </w:tc>
        <w:tc>
          <w:tcPr>
            <w:tcW w:w="3815" w:type="dxa"/>
            <w:gridSpan w:val="4"/>
            <w:tcBorders>
              <w:top w:val="single" w:sz="4" w:space="0" w:color="auto"/>
              <w:bottom w:val="single" w:sz="4" w:space="0" w:color="auto"/>
            </w:tcBorders>
          </w:tcPr>
          <w:p w14:paraId="5F13EC26" w14:textId="5B53C47D" w:rsidR="00AD5BBD" w:rsidRPr="00981DC5" w:rsidRDefault="00AD5BBD" w:rsidP="00B11A05">
            <w:pPr>
              <w:adjustRightInd w:val="0"/>
              <w:snapToGrid w:val="0"/>
              <w:spacing w:line="360" w:lineRule="auto"/>
              <w:jc w:val="both"/>
              <w:rPr>
                <w:rFonts w:ascii="Book Antiqua" w:hAnsi="Book Antiqua" w:cs="Calibri"/>
                <w:b/>
                <w:bCs/>
                <w:color w:val="000000" w:themeColor="text1"/>
                <w:sz w:val="24"/>
                <w:szCs w:val="24"/>
                <w:lang w:val="en-US"/>
              </w:rPr>
            </w:pPr>
            <w:r w:rsidRPr="00981DC5">
              <w:rPr>
                <w:rFonts w:ascii="Book Antiqua" w:hAnsi="Book Antiqua" w:cs="Calibri"/>
                <w:b/>
                <w:bCs/>
                <w:color w:val="000000" w:themeColor="text1"/>
                <w:sz w:val="24"/>
                <w:szCs w:val="24"/>
                <w:lang w:val="en-US"/>
              </w:rPr>
              <w:t>2 d post injection</w:t>
            </w:r>
          </w:p>
        </w:tc>
      </w:tr>
      <w:tr w:rsidR="00981DC5" w:rsidRPr="00981DC5" w14:paraId="3979D7F9" w14:textId="77777777" w:rsidTr="00EB33B3">
        <w:tc>
          <w:tcPr>
            <w:tcW w:w="1101" w:type="dxa"/>
            <w:vMerge/>
            <w:tcBorders>
              <w:top w:val="single" w:sz="4" w:space="0" w:color="auto"/>
              <w:bottom w:val="single" w:sz="4" w:space="0" w:color="auto"/>
            </w:tcBorders>
            <w:vAlign w:val="center"/>
          </w:tcPr>
          <w:p w14:paraId="20E01C91" w14:textId="6801F2D8" w:rsidR="00AD5BBD" w:rsidRPr="00981DC5" w:rsidRDefault="00AD5BBD" w:rsidP="00B11A05">
            <w:pPr>
              <w:adjustRightInd w:val="0"/>
              <w:snapToGrid w:val="0"/>
              <w:spacing w:line="360" w:lineRule="auto"/>
              <w:jc w:val="both"/>
              <w:rPr>
                <w:rFonts w:ascii="Book Antiqua" w:hAnsi="Book Antiqua" w:cs="Calibri"/>
                <w:b/>
                <w:bCs/>
                <w:color w:val="000000" w:themeColor="text1"/>
                <w:sz w:val="24"/>
                <w:szCs w:val="24"/>
                <w:lang w:val="en-US"/>
              </w:rPr>
            </w:pPr>
          </w:p>
        </w:tc>
        <w:tc>
          <w:tcPr>
            <w:tcW w:w="863" w:type="dxa"/>
            <w:tcBorders>
              <w:top w:val="single" w:sz="4" w:space="0" w:color="auto"/>
              <w:bottom w:val="single" w:sz="4" w:space="0" w:color="auto"/>
            </w:tcBorders>
            <w:vAlign w:val="center"/>
          </w:tcPr>
          <w:p w14:paraId="50B49774" w14:textId="4D7E0DBC" w:rsidR="00AD5BBD" w:rsidRPr="00981DC5" w:rsidRDefault="00AD5BBD" w:rsidP="00B11A05">
            <w:pPr>
              <w:adjustRightInd w:val="0"/>
              <w:snapToGrid w:val="0"/>
              <w:spacing w:line="360" w:lineRule="auto"/>
              <w:jc w:val="both"/>
              <w:rPr>
                <w:rFonts w:ascii="Book Antiqua" w:hAnsi="Book Antiqua"/>
                <w:b/>
                <w:bCs/>
                <w:color w:val="000000" w:themeColor="text1"/>
                <w:sz w:val="24"/>
                <w:szCs w:val="24"/>
              </w:rPr>
            </w:pPr>
            <w:r w:rsidRPr="00981DC5">
              <w:rPr>
                <w:rFonts w:ascii="Book Antiqua" w:hAnsi="Book Antiqua"/>
                <w:b/>
                <w:bCs/>
                <w:color w:val="000000" w:themeColor="text1"/>
                <w:sz w:val="24"/>
                <w:szCs w:val="24"/>
              </w:rPr>
              <w:t>Control group</w:t>
            </w:r>
          </w:p>
        </w:tc>
        <w:tc>
          <w:tcPr>
            <w:tcW w:w="828" w:type="dxa"/>
            <w:tcBorders>
              <w:top w:val="single" w:sz="4" w:space="0" w:color="auto"/>
              <w:bottom w:val="single" w:sz="4" w:space="0" w:color="auto"/>
            </w:tcBorders>
            <w:vAlign w:val="center"/>
          </w:tcPr>
          <w:p w14:paraId="3B23207F" w14:textId="756F4BA2" w:rsidR="00AD5BBD" w:rsidRPr="00981DC5" w:rsidRDefault="00AD5BBD" w:rsidP="00B11A05">
            <w:pPr>
              <w:adjustRightInd w:val="0"/>
              <w:snapToGrid w:val="0"/>
              <w:spacing w:line="360" w:lineRule="auto"/>
              <w:jc w:val="both"/>
              <w:rPr>
                <w:rFonts w:ascii="Book Antiqua" w:hAnsi="Book Antiqua" w:cs="Calibri"/>
                <w:b/>
                <w:bCs/>
                <w:color w:val="000000" w:themeColor="text1"/>
                <w:sz w:val="24"/>
                <w:szCs w:val="24"/>
                <w:lang w:val="en-US"/>
              </w:rPr>
            </w:pPr>
            <w:r w:rsidRPr="00981DC5">
              <w:rPr>
                <w:rFonts w:ascii="Book Antiqua" w:hAnsi="Book Antiqua"/>
                <w:b/>
                <w:bCs/>
                <w:color w:val="000000" w:themeColor="text1"/>
                <w:sz w:val="24"/>
                <w:szCs w:val="24"/>
              </w:rPr>
              <w:t>GEM</w:t>
            </w:r>
          </w:p>
        </w:tc>
        <w:tc>
          <w:tcPr>
            <w:tcW w:w="908" w:type="dxa"/>
            <w:tcBorders>
              <w:top w:val="single" w:sz="4" w:space="0" w:color="auto"/>
              <w:bottom w:val="single" w:sz="4" w:space="0" w:color="auto"/>
            </w:tcBorders>
            <w:vAlign w:val="center"/>
          </w:tcPr>
          <w:p w14:paraId="4DA27C6E" w14:textId="0CC00D29" w:rsidR="00AD5BBD" w:rsidRPr="00981DC5" w:rsidRDefault="00AD5BBD" w:rsidP="00B11A05">
            <w:pPr>
              <w:adjustRightInd w:val="0"/>
              <w:snapToGrid w:val="0"/>
              <w:spacing w:line="360" w:lineRule="auto"/>
              <w:jc w:val="both"/>
              <w:rPr>
                <w:rFonts w:ascii="Book Antiqua" w:hAnsi="Book Antiqua" w:cs="Calibri"/>
                <w:b/>
                <w:bCs/>
                <w:color w:val="000000" w:themeColor="text1"/>
                <w:sz w:val="24"/>
                <w:szCs w:val="24"/>
                <w:lang w:val="en-US"/>
              </w:rPr>
            </w:pPr>
            <w:r w:rsidRPr="00981DC5">
              <w:rPr>
                <w:rFonts w:ascii="Book Antiqua" w:hAnsi="Book Antiqua"/>
                <w:b/>
                <w:bCs/>
                <w:color w:val="000000" w:themeColor="text1"/>
                <w:sz w:val="24"/>
                <w:szCs w:val="24"/>
              </w:rPr>
              <w:t>GEMOX</w:t>
            </w:r>
          </w:p>
        </w:tc>
        <w:tc>
          <w:tcPr>
            <w:tcW w:w="1137" w:type="dxa"/>
            <w:tcBorders>
              <w:top w:val="single" w:sz="4" w:space="0" w:color="auto"/>
              <w:bottom w:val="single" w:sz="4" w:space="0" w:color="auto"/>
            </w:tcBorders>
            <w:vAlign w:val="center"/>
          </w:tcPr>
          <w:p w14:paraId="6D8C6F0F" w14:textId="3FDD5E9E" w:rsidR="00AD5BBD" w:rsidRPr="00981DC5" w:rsidRDefault="00AD5BBD" w:rsidP="00B11A05">
            <w:pPr>
              <w:adjustRightInd w:val="0"/>
              <w:snapToGrid w:val="0"/>
              <w:spacing w:line="360" w:lineRule="auto"/>
              <w:jc w:val="both"/>
              <w:rPr>
                <w:rFonts w:ascii="Book Antiqua" w:hAnsi="Book Antiqua" w:cs="Calibri"/>
                <w:b/>
                <w:bCs/>
                <w:color w:val="000000" w:themeColor="text1"/>
                <w:sz w:val="24"/>
                <w:szCs w:val="24"/>
                <w:lang w:val="en-US"/>
              </w:rPr>
            </w:pPr>
            <w:r w:rsidRPr="00981DC5">
              <w:rPr>
                <w:rFonts w:ascii="Book Antiqua" w:hAnsi="Book Antiqua"/>
                <w:b/>
                <w:bCs/>
                <w:color w:val="000000" w:themeColor="text1"/>
                <w:sz w:val="24"/>
                <w:szCs w:val="24"/>
              </w:rPr>
              <w:t>GEM/nab-P</w:t>
            </w:r>
          </w:p>
        </w:tc>
        <w:tc>
          <w:tcPr>
            <w:tcW w:w="970" w:type="dxa"/>
            <w:tcBorders>
              <w:top w:val="single" w:sz="4" w:space="0" w:color="auto"/>
              <w:bottom w:val="single" w:sz="4" w:space="0" w:color="auto"/>
            </w:tcBorders>
            <w:vAlign w:val="center"/>
          </w:tcPr>
          <w:p w14:paraId="3F8D9041" w14:textId="437E3E3A" w:rsidR="00AD5BBD" w:rsidRPr="00981DC5" w:rsidRDefault="00AD5BBD" w:rsidP="00B11A05">
            <w:pPr>
              <w:adjustRightInd w:val="0"/>
              <w:snapToGrid w:val="0"/>
              <w:spacing w:line="360" w:lineRule="auto"/>
              <w:jc w:val="both"/>
              <w:rPr>
                <w:rFonts w:ascii="Book Antiqua" w:hAnsi="Book Antiqua" w:cs="Calibri"/>
                <w:b/>
                <w:bCs/>
                <w:color w:val="000000" w:themeColor="text1"/>
                <w:sz w:val="24"/>
                <w:szCs w:val="24"/>
                <w:lang w:val="en-US"/>
              </w:rPr>
            </w:pPr>
            <w:r w:rsidRPr="00981DC5">
              <w:rPr>
                <w:rFonts w:ascii="Book Antiqua" w:hAnsi="Book Antiqua"/>
                <w:b/>
                <w:bCs/>
                <w:color w:val="000000" w:themeColor="text1"/>
                <w:sz w:val="24"/>
                <w:szCs w:val="24"/>
              </w:rPr>
              <w:t>FOLFOXIRI</w:t>
            </w:r>
          </w:p>
        </w:tc>
        <w:tc>
          <w:tcPr>
            <w:tcW w:w="851" w:type="dxa"/>
            <w:tcBorders>
              <w:top w:val="single" w:sz="4" w:space="0" w:color="auto"/>
              <w:bottom w:val="single" w:sz="4" w:space="0" w:color="auto"/>
            </w:tcBorders>
            <w:vAlign w:val="center"/>
          </w:tcPr>
          <w:p w14:paraId="34E3E68E" w14:textId="2167DF2D" w:rsidR="00AD5BBD" w:rsidRPr="00981DC5" w:rsidRDefault="00AD5BBD" w:rsidP="00B11A05">
            <w:pPr>
              <w:adjustRightInd w:val="0"/>
              <w:snapToGrid w:val="0"/>
              <w:spacing w:line="360" w:lineRule="auto"/>
              <w:jc w:val="both"/>
              <w:rPr>
                <w:rFonts w:ascii="Book Antiqua" w:hAnsi="Book Antiqua" w:cs="Calibri"/>
                <w:b/>
                <w:bCs/>
                <w:color w:val="000000" w:themeColor="text1"/>
                <w:sz w:val="24"/>
                <w:szCs w:val="24"/>
                <w:lang w:val="en-US"/>
              </w:rPr>
            </w:pPr>
            <w:r w:rsidRPr="00981DC5">
              <w:rPr>
                <w:rFonts w:ascii="Book Antiqua" w:hAnsi="Book Antiqua"/>
                <w:b/>
                <w:bCs/>
                <w:color w:val="000000" w:themeColor="text1"/>
                <w:sz w:val="24"/>
                <w:szCs w:val="24"/>
              </w:rPr>
              <w:t>Control group</w:t>
            </w:r>
          </w:p>
        </w:tc>
        <w:tc>
          <w:tcPr>
            <w:tcW w:w="919" w:type="dxa"/>
            <w:tcBorders>
              <w:top w:val="single" w:sz="4" w:space="0" w:color="auto"/>
              <w:bottom w:val="single" w:sz="4" w:space="0" w:color="auto"/>
            </w:tcBorders>
            <w:vAlign w:val="center"/>
          </w:tcPr>
          <w:p w14:paraId="2610A05E" w14:textId="00CC95C5" w:rsidR="00AD5BBD" w:rsidRPr="00981DC5" w:rsidRDefault="00AD5BBD" w:rsidP="00B11A05">
            <w:pPr>
              <w:adjustRightInd w:val="0"/>
              <w:snapToGrid w:val="0"/>
              <w:spacing w:line="360" w:lineRule="auto"/>
              <w:jc w:val="both"/>
              <w:rPr>
                <w:rFonts w:ascii="Book Antiqua" w:hAnsi="Book Antiqua" w:cs="Calibri"/>
                <w:b/>
                <w:bCs/>
                <w:color w:val="000000" w:themeColor="text1"/>
                <w:sz w:val="24"/>
                <w:szCs w:val="24"/>
                <w:lang w:val="en-US"/>
              </w:rPr>
            </w:pPr>
            <w:r w:rsidRPr="00981DC5">
              <w:rPr>
                <w:rFonts w:ascii="Book Antiqua" w:hAnsi="Book Antiqua"/>
                <w:b/>
                <w:bCs/>
                <w:color w:val="000000" w:themeColor="text1"/>
                <w:sz w:val="24"/>
                <w:szCs w:val="24"/>
              </w:rPr>
              <w:t>GEM</w:t>
            </w:r>
          </w:p>
        </w:tc>
        <w:tc>
          <w:tcPr>
            <w:tcW w:w="908" w:type="dxa"/>
            <w:tcBorders>
              <w:top w:val="single" w:sz="4" w:space="0" w:color="auto"/>
              <w:bottom w:val="single" w:sz="4" w:space="0" w:color="auto"/>
            </w:tcBorders>
            <w:vAlign w:val="center"/>
          </w:tcPr>
          <w:p w14:paraId="66E4F443" w14:textId="13D085EC" w:rsidR="00AD5BBD" w:rsidRPr="00981DC5" w:rsidRDefault="00AD5BBD" w:rsidP="00B11A05">
            <w:pPr>
              <w:adjustRightInd w:val="0"/>
              <w:snapToGrid w:val="0"/>
              <w:spacing w:line="360" w:lineRule="auto"/>
              <w:jc w:val="both"/>
              <w:rPr>
                <w:rFonts w:ascii="Book Antiqua" w:hAnsi="Book Antiqua" w:cs="Calibri"/>
                <w:b/>
                <w:bCs/>
                <w:color w:val="000000" w:themeColor="text1"/>
                <w:sz w:val="24"/>
                <w:szCs w:val="24"/>
                <w:lang w:val="en-US"/>
              </w:rPr>
            </w:pPr>
            <w:r w:rsidRPr="00981DC5">
              <w:rPr>
                <w:rFonts w:ascii="Book Antiqua" w:hAnsi="Book Antiqua"/>
                <w:b/>
                <w:bCs/>
                <w:color w:val="000000" w:themeColor="text1"/>
                <w:sz w:val="24"/>
                <w:szCs w:val="24"/>
              </w:rPr>
              <w:t>GEMOX</w:t>
            </w:r>
          </w:p>
        </w:tc>
        <w:tc>
          <w:tcPr>
            <w:tcW w:w="1137" w:type="dxa"/>
            <w:tcBorders>
              <w:top w:val="single" w:sz="4" w:space="0" w:color="auto"/>
              <w:bottom w:val="single" w:sz="4" w:space="0" w:color="auto"/>
            </w:tcBorders>
            <w:vAlign w:val="center"/>
          </w:tcPr>
          <w:p w14:paraId="787B9E6E" w14:textId="5AF777E8" w:rsidR="00AD5BBD" w:rsidRPr="00981DC5" w:rsidRDefault="00AD5BBD" w:rsidP="00B11A05">
            <w:pPr>
              <w:adjustRightInd w:val="0"/>
              <w:snapToGrid w:val="0"/>
              <w:spacing w:line="360" w:lineRule="auto"/>
              <w:jc w:val="both"/>
              <w:rPr>
                <w:rFonts w:ascii="Book Antiqua" w:hAnsi="Book Antiqua" w:cs="Calibri"/>
                <w:b/>
                <w:bCs/>
                <w:color w:val="000000" w:themeColor="text1"/>
                <w:sz w:val="24"/>
                <w:szCs w:val="24"/>
                <w:lang w:val="en-US"/>
              </w:rPr>
            </w:pPr>
            <w:r w:rsidRPr="00981DC5">
              <w:rPr>
                <w:rFonts w:ascii="Book Antiqua" w:hAnsi="Book Antiqua"/>
                <w:b/>
                <w:bCs/>
                <w:color w:val="000000" w:themeColor="text1"/>
                <w:sz w:val="24"/>
                <w:szCs w:val="24"/>
              </w:rPr>
              <w:t>GEM/nab-P</w:t>
            </w:r>
          </w:p>
        </w:tc>
      </w:tr>
      <w:tr w:rsidR="00981DC5" w:rsidRPr="00981DC5" w14:paraId="5580DFB4" w14:textId="77777777" w:rsidTr="00EB33B3">
        <w:tc>
          <w:tcPr>
            <w:tcW w:w="1101" w:type="dxa"/>
            <w:tcBorders>
              <w:top w:val="single" w:sz="4" w:space="0" w:color="auto"/>
            </w:tcBorders>
            <w:vAlign w:val="center"/>
          </w:tcPr>
          <w:p w14:paraId="125F4899" w14:textId="71529654"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s="Calibri"/>
                <w:color w:val="000000" w:themeColor="text1"/>
                <w:sz w:val="24"/>
                <w:szCs w:val="24"/>
                <w:lang w:val="en-US"/>
              </w:rPr>
              <w:t>1</w:t>
            </w:r>
          </w:p>
        </w:tc>
        <w:tc>
          <w:tcPr>
            <w:tcW w:w="863" w:type="dxa"/>
            <w:tcBorders>
              <w:top w:val="single" w:sz="4" w:space="0" w:color="auto"/>
            </w:tcBorders>
            <w:vAlign w:val="center"/>
          </w:tcPr>
          <w:p w14:paraId="6C70C097" w14:textId="249DF66C"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0.909</w:t>
            </w:r>
          </w:p>
        </w:tc>
        <w:tc>
          <w:tcPr>
            <w:tcW w:w="828" w:type="dxa"/>
            <w:tcBorders>
              <w:top w:val="single" w:sz="4" w:space="0" w:color="auto"/>
            </w:tcBorders>
            <w:vAlign w:val="center"/>
          </w:tcPr>
          <w:p w14:paraId="3C9944BC" w14:textId="5FDBB6E0"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0.833</w:t>
            </w:r>
          </w:p>
        </w:tc>
        <w:tc>
          <w:tcPr>
            <w:tcW w:w="908" w:type="dxa"/>
            <w:tcBorders>
              <w:top w:val="single" w:sz="4" w:space="0" w:color="auto"/>
            </w:tcBorders>
            <w:vAlign w:val="center"/>
          </w:tcPr>
          <w:p w14:paraId="5EEEBF14" w14:textId="791930D7"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0.917</w:t>
            </w:r>
          </w:p>
        </w:tc>
        <w:tc>
          <w:tcPr>
            <w:tcW w:w="1137" w:type="dxa"/>
            <w:tcBorders>
              <w:top w:val="single" w:sz="4" w:space="0" w:color="auto"/>
            </w:tcBorders>
            <w:vAlign w:val="center"/>
          </w:tcPr>
          <w:p w14:paraId="082559DB" w14:textId="2A43FC1B"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0.917</w:t>
            </w:r>
          </w:p>
        </w:tc>
        <w:tc>
          <w:tcPr>
            <w:tcW w:w="970" w:type="dxa"/>
            <w:tcBorders>
              <w:top w:val="single" w:sz="4" w:space="0" w:color="auto"/>
            </w:tcBorders>
            <w:vAlign w:val="center"/>
          </w:tcPr>
          <w:p w14:paraId="1BF4D624" w14:textId="3F6F9344"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0.900</w:t>
            </w:r>
          </w:p>
        </w:tc>
        <w:tc>
          <w:tcPr>
            <w:tcW w:w="851" w:type="dxa"/>
            <w:tcBorders>
              <w:top w:val="single" w:sz="4" w:space="0" w:color="auto"/>
            </w:tcBorders>
            <w:vAlign w:val="center"/>
          </w:tcPr>
          <w:p w14:paraId="1AC7E3AB" w14:textId="47C889F0"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0.818</w:t>
            </w:r>
          </w:p>
        </w:tc>
        <w:tc>
          <w:tcPr>
            <w:tcW w:w="919" w:type="dxa"/>
            <w:tcBorders>
              <w:top w:val="single" w:sz="4" w:space="0" w:color="auto"/>
            </w:tcBorders>
            <w:vAlign w:val="center"/>
          </w:tcPr>
          <w:p w14:paraId="0175E0A1" w14:textId="3BE2E14B"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0.667</w:t>
            </w:r>
          </w:p>
        </w:tc>
        <w:tc>
          <w:tcPr>
            <w:tcW w:w="908" w:type="dxa"/>
            <w:tcBorders>
              <w:top w:val="single" w:sz="4" w:space="0" w:color="auto"/>
            </w:tcBorders>
            <w:vAlign w:val="center"/>
          </w:tcPr>
          <w:p w14:paraId="22373B3C" w14:textId="09E9D01E"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0.833</w:t>
            </w:r>
          </w:p>
        </w:tc>
        <w:tc>
          <w:tcPr>
            <w:tcW w:w="1137" w:type="dxa"/>
            <w:tcBorders>
              <w:top w:val="single" w:sz="4" w:space="0" w:color="auto"/>
            </w:tcBorders>
            <w:vAlign w:val="center"/>
          </w:tcPr>
          <w:p w14:paraId="3BE82FDC" w14:textId="5CC4F548"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0.583</w:t>
            </w:r>
          </w:p>
        </w:tc>
      </w:tr>
      <w:tr w:rsidR="00981DC5" w:rsidRPr="00981DC5" w14:paraId="3DA11902" w14:textId="77777777" w:rsidTr="00EB33B3">
        <w:tc>
          <w:tcPr>
            <w:tcW w:w="1101" w:type="dxa"/>
            <w:vAlign w:val="center"/>
          </w:tcPr>
          <w:p w14:paraId="4C12D734" w14:textId="085DF840"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s="Calibri"/>
                <w:color w:val="000000" w:themeColor="text1"/>
                <w:sz w:val="24"/>
                <w:szCs w:val="24"/>
                <w:lang w:val="en-US"/>
              </w:rPr>
              <w:t>2</w:t>
            </w:r>
          </w:p>
        </w:tc>
        <w:tc>
          <w:tcPr>
            <w:tcW w:w="863" w:type="dxa"/>
            <w:vAlign w:val="center"/>
          </w:tcPr>
          <w:p w14:paraId="09D6C56E" w14:textId="0E482AD6"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0.417</w:t>
            </w:r>
          </w:p>
        </w:tc>
        <w:tc>
          <w:tcPr>
            <w:tcW w:w="828" w:type="dxa"/>
            <w:vAlign w:val="center"/>
          </w:tcPr>
          <w:p w14:paraId="0F60B0C8" w14:textId="54217C97"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0.800</w:t>
            </w:r>
          </w:p>
        </w:tc>
        <w:tc>
          <w:tcPr>
            <w:tcW w:w="908" w:type="dxa"/>
            <w:vAlign w:val="center"/>
          </w:tcPr>
          <w:p w14:paraId="0B6A9564" w14:textId="095E656A"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0.917</w:t>
            </w:r>
          </w:p>
        </w:tc>
        <w:tc>
          <w:tcPr>
            <w:tcW w:w="1137" w:type="dxa"/>
            <w:vAlign w:val="center"/>
          </w:tcPr>
          <w:p w14:paraId="12F1E1AA" w14:textId="17643A1D"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0.667</w:t>
            </w:r>
          </w:p>
        </w:tc>
        <w:tc>
          <w:tcPr>
            <w:tcW w:w="970" w:type="dxa"/>
            <w:vAlign w:val="center"/>
          </w:tcPr>
          <w:p w14:paraId="646B0368" w14:textId="36717AE9"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0.833</w:t>
            </w:r>
          </w:p>
        </w:tc>
        <w:tc>
          <w:tcPr>
            <w:tcW w:w="851" w:type="dxa"/>
            <w:vAlign w:val="center"/>
          </w:tcPr>
          <w:p w14:paraId="786EA603" w14:textId="74D8A2FC"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0.333</w:t>
            </w:r>
          </w:p>
        </w:tc>
        <w:tc>
          <w:tcPr>
            <w:tcW w:w="919" w:type="dxa"/>
            <w:vAlign w:val="center"/>
          </w:tcPr>
          <w:p w14:paraId="47E3BD3F" w14:textId="5C1CD635"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0.583</w:t>
            </w:r>
          </w:p>
        </w:tc>
        <w:tc>
          <w:tcPr>
            <w:tcW w:w="908" w:type="dxa"/>
            <w:vAlign w:val="center"/>
          </w:tcPr>
          <w:p w14:paraId="06DFF2FB" w14:textId="5952904A"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0.667</w:t>
            </w:r>
          </w:p>
        </w:tc>
        <w:tc>
          <w:tcPr>
            <w:tcW w:w="1137" w:type="dxa"/>
            <w:vAlign w:val="center"/>
          </w:tcPr>
          <w:p w14:paraId="58793989" w14:textId="025D9B56"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0.500</w:t>
            </w:r>
          </w:p>
        </w:tc>
      </w:tr>
      <w:tr w:rsidR="00981DC5" w:rsidRPr="00981DC5" w14:paraId="1704334A" w14:textId="77777777" w:rsidTr="00EB33B3">
        <w:tc>
          <w:tcPr>
            <w:tcW w:w="1101" w:type="dxa"/>
            <w:vAlign w:val="center"/>
          </w:tcPr>
          <w:p w14:paraId="3C36D315" w14:textId="3CDAC009"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s="Calibri"/>
                <w:color w:val="000000" w:themeColor="text1"/>
                <w:sz w:val="24"/>
                <w:szCs w:val="24"/>
                <w:lang w:val="en-US"/>
              </w:rPr>
              <w:t>3</w:t>
            </w:r>
          </w:p>
        </w:tc>
        <w:tc>
          <w:tcPr>
            <w:tcW w:w="863" w:type="dxa"/>
            <w:vAlign w:val="center"/>
          </w:tcPr>
          <w:p w14:paraId="1E4C929D" w14:textId="30E04319"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0.833</w:t>
            </w:r>
          </w:p>
        </w:tc>
        <w:tc>
          <w:tcPr>
            <w:tcW w:w="828" w:type="dxa"/>
            <w:vAlign w:val="center"/>
          </w:tcPr>
          <w:p w14:paraId="7AA15D89" w14:textId="039C84E5"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1.000</w:t>
            </w:r>
          </w:p>
        </w:tc>
        <w:tc>
          <w:tcPr>
            <w:tcW w:w="908" w:type="dxa"/>
            <w:vAlign w:val="center"/>
          </w:tcPr>
          <w:p w14:paraId="1B8E3C12" w14:textId="26A2FE11"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0.636</w:t>
            </w:r>
          </w:p>
        </w:tc>
        <w:tc>
          <w:tcPr>
            <w:tcW w:w="1137" w:type="dxa"/>
            <w:vAlign w:val="center"/>
          </w:tcPr>
          <w:p w14:paraId="3AA33636" w14:textId="6334EE95"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0.917</w:t>
            </w:r>
          </w:p>
        </w:tc>
        <w:tc>
          <w:tcPr>
            <w:tcW w:w="970" w:type="dxa"/>
            <w:vAlign w:val="center"/>
          </w:tcPr>
          <w:p w14:paraId="22638DE3" w14:textId="3A850E78"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0.833</w:t>
            </w:r>
          </w:p>
        </w:tc>
        <w:tc>
          <w:tcPr>
            <w:tcW w:w="851" w:type="dxa"/>
            <w:vAlign w:val="center"/>
          </w:tcPr>
          <w:p w14:paraId="6046EFE4" w14:textId="1F9215EB"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0.417</w:t>
            </w:r>
          </w:p>
        </w:tc>
        <w:tc>
          <w:tcPr>
            <w:tcW w:w="919" w:type="dxa"/>
            <w:vAlign w:val="center"/>
          </w:tcPr>
          <w:p w14:paraId="1C6DE109" w14:textId="4F7639FA"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0.818</w:t>
            </w:r>
          </w:p>
        </w:tc>
        <w:tc>
          <w:tcPr>
            <w:tcW w:w="908" w:type="dxa"/>
            <w:vAlign w:val="center"/>
          </w:tcPr>
          <w:p w14:paraId="3E5EDCA1" w14:textId="21B3D4F7"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0.182</w:t>
            </w:r>
          </w:p>
        </w:tc>
        <w:tc>
          <w:tcPr>
            <w:tcW w:w="1137" w:type="dxa"/>
            <w:vAlign w:val="center"/>
          </w:tcPr>
          <w:p w14:paraId="5842D578" w14:textId="03408825"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0.75</w:t>
            </w:r>
          </w:p>
        </w:tc>
      </w:tr>
      <w:tr w:rsidR="00981DC5" w:rsidRPr="00981DC5" w14:paraId="4731160D" w14:textId="77777777" w:rsidTr="00EB33B3">
        <w:tc>
          <w:tcPr>
            <w:tcW w:w="1101" w:type="dxa"/>
            <w:vAlign w:val="center"/>
          </w:tcPr>
          <w:p w14:paraId="68492C34" w14:textId="2F05E0E7"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s="Calibri"/>
                <w:color w:val="000000" w:themeColor="text1"/>
                <w:sz w:val="24"/>
                <w:szCs w:val="24"/>
                <w:lang w:val="en-US"/>
              </w:rPr>
              <w:t>4</w:t>
            </w:r>
          </w:p>
        </w:tc>
        <w:tc>
          <w:tcPr>
            <w:tcW w:w="863" w:type="dxa"/>
            <w:vAlign w:val="center"/>
          </w:tcPr>
          <w:p w14:paraId="5A31B5DC" w14:textId="50F1CD37"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0.682</w:t>
            </w:r>
          </w:p>
        </w:tc>
        <w:tc>
          <w:tcPr>
            <w:tcW w:w="828" w:type="dxa"/>
            <w:vAlign w:val="center"/>
          </w:tcPr>
          <w:p w14:paraId="401A9323" w14:textId="1D8A522C"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0.43</w:t>
            </w:r>
            <w:r w:rsidR="008F1AC1" w:rsidRPr="00981DC5">
              <w:rPr>
                <w:rFonts w:ascii="Book Antiqua" w:hAnsi="Book Antiqua"/>
                <w:color w:val="000000" w:themeColor="text1"/>
                <w:sz w:val="24"/>
                <w:szCs w:val="24"/>
              </w:rPr>
              <w:t>8</w:t>
            </w:r>
          </w:p>
        </w:tc>
        <w:tc>
          <w:tcPr>
            <w:tcW w:w="908" w:type="dxa"/>
            <w:vAlign w:val="center"/>
          </w:tcPr>
          <w:p w14:paraId="568B73DD" w14:textId="1CDC1BB4"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0.7692</w:t>
            </w:r>
          </w:p>
        </w:tc>
        <w:tc>
          <w:tcPr>
            <w:tcW w:w="1137" w:type="dxa"/>
            <w:vAlign w:val="center"/>
          </w:tcPr>
          <w:p w14:paraId="3EE8D06F" w14:textId="4D5896AD"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0.75</w:t>
            </w:r>
            <w:r w:rsidR="008F1AC1" w:rsidRPr="00981DC5">
              <w:rPr>
                <w:rFonts w:ascii="Book Antiqua" w:hAnsi="Book Antiqua"/>
                <w:color w:val="000000" w:themeColor="text1"/>
                <w:sz w:val="24"/>
                <w:szCs w:val="24"/>
              </w:rPr>
              <w:t>0</w:t>
            </w:r>
          </w:p>
        </w:tc>
        <w:tc>
          <w:tcPr>
            <w:tcW w:w="970" w:type="dxa"/>
            <w:vAlign w:val="center"/>
          </w:tcPr>
          <w:p w14:paraId="0491026D" w14:textId="25027DEF"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0.647</w:t>
            </w:r>
          </w:p>
        </w:tc>
        <w:tc>
          <w:tcPr>
            <w:tcW w:w="851" w:type="dxa"/>
            <w:vAlign w:val="center"/>
          </w:tcPr>
          <w:p w14:paraId="4A16C9BE" w14:textId="3190515D"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0.545</w:t>
            </w:r>
          </w:p>
        </w:tc>
        <w:tc>
          <w:tcPr>
            <w:tcW w:w="919" w:type="dxa"/>
            <w:vAlign w:val="center"/>
          </w:tcPr>
          <w:p w14:paraId="67465610" w14:textId="4E6E7C5D"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0.375</w:t>
            </w:r>
          </w:p>
        </w:tc>
        <w:tc>
          <w:tcPr>
            <w:tcW w:w="908" w:type="dxa"/>
            <w:vAlign w:val="center"/>
          </w:tcPr>
          <w:p w14:paraId="10608E10" w14:textId="0AFDDD87"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0.692</w:t>
            </w:r>
          </w:p>
        </w:tc>
        <w:tc>
          <w:tcPr>
            <w:tcW w:w="1137" w:type="dxa"/>
            <w:vAlign w:val="center"/>
          </w:tcPr>
          <w:p w14:paraId="6336C504" w14:textId="0D45EF88"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0.688</w:t>
            </w:r>
          </w:p>
        </w:tc>
      </w:tr>
      <w:tr w:rsidR="00981DC5" w:rsidRPr="00981DC5" w14:paraId="33E2DB62" w14:textId="77777777" w:rsidTr="00EB33B3">
        <w:tc>
          <w:tcPr>
            <w:tcW w:w="1101" w:type="dxa"/>
            <w:vAlign w:val="center"/>
          </w:tcPr>
          <w:p w14:paraId="4127C445" w14:textId="0F91CA46"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s="Calibri"/>
                <w:color w:val="000000" w:themeColor="text1"/>
                <w:sz w:val="24"/>
                <w:szCs w:val="24"/>
                <w:lang w:val="en-US"/>
              </w:rPr>
              <w:t>5</w:t>
            </w:r>
          </w:p>
        </w:tc>
        <w:tc>
          <w:tcPr>
            <w:tcW w:w="863" w:type="dxa"/>
            <w:vAlign w:val="center"/>
          </w:tcPr>
          <w:p w14:paraId="2DA152D9" w14:textId="3ED13BCD"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0.533</w:t>
            </w:r>
          </w:p>
        </w:tc>
        <w:tc>
          <w:tcPr>
            <w:tcW w:w="828" w:type="dxa"/>
            <w:vAlign w:val="center"/>
          </w:tcPr>
          <w:p w14:paraId="20F4291F" w14:textId="5E7F1BC1"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0.75</w:t>
            </w:r>
            <w:r w:rsidR="008F1AC1" w:rsidRPr="00981DC5">
              <w:rPr>
                <w:rFonts w:ascii="Book Antiqua" w:hAnsi="Book Antiqua"/>
                <w:color w:val="000000" w:themeColor="text1"/>
                <w:sz w:val="24"/>
                <w:szCs w:val="24"/>
              </w:rPr>
              <w:t>0</w:t>
            </w:r>
          </w:p>
        </w:tc>
        <w:tc>
          <w:tcPr>
            <w:tcW w:w="908" w:type="dxa"/>
            <w:vAlign w:val="center"/>
          </w:tcPr>
          <w:p w14:paraId="51DA5F61" w14:textId="733E02CE"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0.667</w:t>
            </w:r>
          </w:p>
        </w:tc>
        <w:tc>
          <w:tcPr>
            <w:tcW w:w="1137" w:type="dxa"/>
            <w:vAlign w:val="center"/>
          </w:tcPr>
          <w:p w14:paraId="4189F344" w14:textId="38C90DBF"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1.00</w:t>
            </w:r>
            <w:r w:rsidR="008F1AC1" w:rsidRPr="00981DC5">
              <w:rPr>
                <w:rFonts w:ascii="Book Antiqua" w:hAnsi="Book Antiqua"/>
                <w:color w:val="000000" w:themeColor="text1"/>
                <w:sz w:val="24"/>
                <w:szCs w:val="24"/>
              </w:rPr>
              <w:t>0</w:t>
            </w:r>
          </w:p>
        </w:tc>
        <w:tc>
          <w:tcPr>
            <w:tcW w:w="970" w:type="dxa"/>
            <w:vAlign w:val="center"/>
          </w:tcPr>
          <w:p w14:paraId="6446482D" w14:textId="11D6A9D5"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0.555</w:t>
            </w:r>
          </w:p>
        </w:tc>
        <w:tc>
          <w:tcPr>
            <w:tcW w:w="851" w:type="dxa"/>
            <w:vAlign w:val="center"/>
          </w:tcPr>
          <w:p w14:paraId="774BC355" w14:textId="2E4148F8"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0.533</w:t>
            </w:r>
          </w:p>
        </w:tc>
        <w:tc>
          <w:tcPr>
            <w:tcW w:w="919" w:type="dxa"/>
            <w:vAlign w:val="center"/>
          </w:tcPr>
          <w:p w14:paraId="30917DAE" w14:textId="2245F7DF"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0.625</w:t>
            </w:r>
          </w:p>
        </w:tc>
        <w:tc>
          <w:tcPr>
            <w:tcW w:w="908" w:type="dxa"/>
            <w:vAlign w:val="center"/>
          </w:tcPr>
          <w:p w14:paraId="588F41F8" w14:textId="3EAC9A3A"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0.267</w:t>
            </w:r>
          </w:p>
        </w:tc>
        <w:tc>
          <w:tcPr>
            <w:tcW w:w="1137" w:type="dxa"/>
            <w:vAlign w:val="center"/>
          </w:tcPr>
          <w:p w14:paraId="0AE2A50F" w14:textId="76F1365E"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0.824</w:t>
            </w:r>
          </w:p>
        </w:tc>
      </w:tr>
      <w:tr w:rsidR="00981DC5" w:rsidRPr="00981DC5" w14:paraId="3610D570" w14:textId="77777777" w:rsidTr="00EB33B3">
        <w:tc>
          <w:tcPr>
            <w:tcW w:w="1101" w:type="dxa"/>
            <w:vAlign w:val="center"/>
          </w:tcPr>
          <w:p w14:paraId="21071B84" w14:textId="6709966D"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s="Calibri"/>
                <w:color w:val="000000" w:themeColor="text1"/>
                <w:sz w:val="24"/>
                <w:szCs w:val="24"/>
                <w:lang w:val="en-US"/>
              </w:rPr>
              <w:t>6</w:t>
            </w:r>
          </w:p>
        </w:tc>
        <w:tc>
          <w:tcPr>
            <w:tcW w:w="863" w:type="dxa"/>
            <w:vAlign w:val="center"/>
          </w:tcPr>
          <w:p w14:paraId="28B7536C" w14:textId="4043FD84"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0.476</w:t>
            </w:r>
          </w:p>
        </w:tc>
        <w:tc>
          <w:tcPr>
            <w:tcW w:w="828" w:type="dxa"/>
            <w:vAlign w:val="center"/>
          </w:tcPr>
          <w:p w14:paraId="1C08201E" w14:textId="19A7D679"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0.429</w:t>
            </w:r>
          </w:p>
        </w:tc>
        <w:tc>
          <w:tcPr>
            <w:tcW w:w="908" w:type="dxa"/>
            <w:vAlign w:val="center"/>
          </w:tcPr>
          <w:p w14:paraId="7EC4D61E" w14:textId="21540FF5"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0.462</w:t>
            </w:r>
          </w:p>
        </w:tc>
        <w:tc>
          <w:tcPr>
            <w:tcW w:w="1137" w:type="dxa"/>
            <w:vAlign w:val="center"/>
          </w:tcPr>
          <w:p w14:paraId="60573814" w14:textId="7E136202"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0.563</w:t>
            </w:r>
          </w:p>
        </w:tc>
        <w:tc>
          <w:tcPr>
            <w:tcW w:w="970" w:type="dxa"/>
            <w:vAlign w:val="center"/>
          </w:tcPr>
          <w:p w14:paraId="0D0F48C9" w14:textId="02771985"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0.688</w:t>
            </w:r>
          </w:p>
        </w:tc>
        <w:tc>
          <w:tcPr>
            <w:tcW w:w="851" w:type="dxa"/>
            <w:vAlign w:val="center"/>
          </w:tcPr>
          <w:p w14:paraId="1E68019E" w14:textId="4F093C45"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0.477</w:t>
            </w:r>
          </w:p>
        </w:tc>
        <w:tc>
          <w:tcPr>
            <w:tcW w:w="919" w:type="dxa"/>
            <w:vAlign w:val="center"/>
          </w:tcPr>
          <w:p w14:paraId="1712BF87" w14:textId="3A9F1C11"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0.429</w:t>
            </w:r>
          </w:p>
        </w:tc>
        <w:tc>
          <w:tcPr>
            <w:tcW w:w="908" w:type="dxa"/>
            <w:vAlign w:val="center"/>
          </w:tcPr>
          <w:p w14:paraId="454A4934" w14:textId="1387A981"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0.462</w:t>
            </w:r>
          </w:p>
        </w:tc>
        <w:tc>
          <w:tcPr>
            <w:tcW w:w="1137" w:type="dxa"/>
            <w:vAlign w:val="center"/>
          </w:tcPr>
          <w:p w14:paraId="4DE71B58" w14:textId="21BA158F"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0.563</w:t>
            </w:r>
          </w:p>
        </w:tc>
      </w:tr>
      <w:tr w:rsidR="00981DC5" w:rsidRPr="00981DC5" w14:paraId="69700AFD" w14:textId="77777777" w:rsidTr="00EB33B3">
        <w:tc>
          <w:tcPr>
            <w:tcW w:w="1101" w:type="dxa"/>
            <w:vAlign w:val="center"/>
          </w:tcPr>
          <w:p w14:paraId="3ED8F4B1" w14:textId="75DCB9DF"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s="Calibri"/>
                <w:color w:val="000000" w:themeColor="text1"/>
                <w:sz w:val="24"/>
                <w:szCs w:val="24"/>
                <w:lang w:val="en-US"/>
              </w:rPr>
              <w:t>7</w:t>
            </w:r>
          </w:p>
        </w:tc>
        <w:tc>
          <w:tcPr>
            <w:tcW w:w="863" w:type="dxa"/>
            <w:vAlign w:val="center"/>
          </w:tcPr>
          <w:p w14:paraId="242FFD53" w14:textId="202AD149"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0.857</w:t>
            </w:r>
          </w:p>
        </w:tc>
        <w:tc>
          <w:tcPr>
            <w:tcW w:w="828" w:type="dxa"/>
            <w:vAlign w:val="center"/>
          </w:tcPr>
          <w:p w14:paraId="60161684" w14:textId="068D4A5D"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0.692</w:t>
            </w:r>
          </w:p>
        </w:tc>
        <w:tc>
          <w:tcPr>
            <w:tcW w:w="908" w:type="dxa"/>
            <w:vAlign w:val="center"/>
          </w:tcPr>
          <w:p w14:paraId="4A6ABD17" w14:textId="756A8422"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0.846</w:t>
            </w:r>
          </w:p>
        </w:tc>
        <w:tc>
          <w:tcPr>
            <w:tcW w:w="1137" w:type="dxa"/>
            <w:vAlign w:val="center"/>
          </w:tcPr>
          <w:p w14:paraId="7BE4EDD9" w14:textId="22215ABD"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0.733</w:t>
            </w:r>
          </w:p>
        </w:tc>
        <w:tc>
          <w:tcPr>
            <w:tcW w:w="970" w:type="dxa"/>
            <w:vAlign w:val="center"/>
          </w:tcPr>
          <w:p w14:paraId="18859D83" w14:textId="7C45E4C5"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0.688</w:t>
            </w:r>
          </w:p>
        </w:tc>
        <w:tc>
          <w:tcPr>
            <w:tcW w:w="851" w:type="dxa"/>
            <w:vAlign w:val="center"/>
          </w:tcPr>
          <w:p w14:paraId="58F871D8" w14:textId="4DD8A6B9"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0.667</w:t>
            </w:r>
          </w:p>
        </w:tc>
        <w:tc>
          <w:tcPr>
            <w:tcW w:w="919" w:type="dxa"/>
            <w:vAlign w:val="center"/>
          </w:tcPr>
          <w:p w14:paraId="4E3461B4" w14:textId="7AD9CE2F"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0.538</w:t>
            </w:r>
          </w:p>
        </w:tc>
        <w:tc>
          <w:tcPr>
            <w:tcW w:w="908" w:type="dxa"/>
            <w:vAlign w:val="center"/>
          </w:tcPr>
          <w:p w14:paraId="4A95285B" w14:textId="10C7ECF8"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0.615</w:t>
            </w:r>
          </w:p>
        </w:tc>
        <w:tc>
          <w:tcPr>
            <w:tcW w:w="1137" w:type="dxa"/>
            <w:vAlign w:val="center"/>
          </w:tcPr>
          <w:p w14:paraId="573A0F76" w14:textId="60DA9E5D"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0.267</w:t>
            </w:r>
          </w:p>
        </w:tc>
      </w:tr>
      <w:tr w:rsidR="00981DC5" w:rsidRPr="00981DC5" w14:paraId="754BADC0" w14:textId="77777777" w:rsidTr="00EB33B3">
        <w:tc>
          <w:tcPr>
            <w:tcW w:w="1101" w:type="dxa"/>
            <w:vAlign w:val="center"/>
          </w:tcPr>
          <w:p w14:paraId="11244BF5" w14:textId="2FD39DE4"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s="Calibri"/>
                <w:color w:val="000000" w:themeColor="text1"/>
                <w:sz w:val="24"/>
                <w:szCs w:val="24"/>
                <w:lang w:val="en-US"/>
              </w:rPr>
              <w:t>8</w:t>
            </w:r>
          </w:p>
        </w:tc>
        <w:tc>
          <w:tcPr>
            <w:tcW w:w="863" w:type="dxa"/>
            <w:vAlign w:val="center"/>
          </w:tcPr>
          <w:p w14:paraId="3882C355" w14:textId="40DA4625"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0.864</w:t>
            </w:r>
          </w:p>
        </w:tc>
        <w:tc>
          <w:tcPr>
            <w:tcW w:w="828" w:type="dxa"/>
            <w:vAlign w:val="center"/>
          </w:tcPr>
          <w:p w14:paraId="0B8C58BE" w14:textId="20664A1C"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0.533</w:t>
            </w:r>
          </w:p>
        </w:tc>
        <w:tc>
          <w:tcPr>
            <w:tcW w:w="908" w:type="dxa"/>
            <w:vAlign w:val="center"/>
          </w:tcPr>
          <w:p w14:paraId="223521BB" w14:textId="52ED3DDA"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0.765</w:t>
            </w:r>
          </w:p>
        </w:tc>
        <w:tc>
          <w:tcPr>
            <w:tcW w:w="1137" w:type="dxa"/>
            <w:vAlign w:val="center"/>
          </w:tcPr>
          <w:p w14:paraId="6B5BB8F4" w14:textId="32F68217"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0.933</w:t>
            </w:r>
          </w:p>
        </w:tc>
        <w:tc>
          <w:tcPr>
            <w:tcW w:w="970" w:type="dxa"/>
            <w:vAlign w:val="center"/>
          </w:tcPr>
          <w:p w14:paraId="38D3676C" w14:textId="35E988D2"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0.588</w:t>
            </w:r>
          </w:p>
        </w:tc>
        <w:tc>
          <w:tcPr>
            <w:tcW w:w="851" w:type="dxa"/>
            <w:vAlign w:val="center"/>
          </w:tcPr>
          <w:p w14:paraId="21335A9A" w14:textId="73986356"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0.727</w:t>
            </w:r>
          </w:p>
        </w:tc>
        <w:tc>
          <w:tcPr>
            <w:tcW w:w="919" w:type="dxa"/>
            <w:vAlign w:val="center"/>
          </w:tcPr>
          <w:p w14:paraId="4A277A8B" w14:textId="3DFA3F6F"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0.533</w:t>
            </w:r>
          </w:p>
        </w:tc>
        <w:tc>
          <w:tcPr>
            <w:tcW w:w="908" w:type="dxa"/>
            <w:vAlign w:val="center"/>
          </w:tcPr>
          <w:p w14:paraId="679513F7" w14:textId="7A0B4481"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0.539</w:t>
            </w:r>
          </w:p>
        </w:tc>
        <w:tc>
          <w:tcPr>
            <w:tcW w:w="1137" w:type="dxa"/>
            <w:vAlign w:val="center"/>
          </w:tcPr>
          <w:p w14:paraId="5D2BD307" w14:textId="23FCB18A"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0.800</w:t>
            </w:r>
          </w:p>
        </w:tc>
      </w:tr>
      <w:tr w:rsidR="00981DC5" w:rsidRPr="00981DC5" w14:paraId="2378D21D" w14:textId="77777777" w:rsidTr="00EB33B3">
        <w:tc>
          <w:tcPr>
            <w:tcW w:w="1101" w:type="dxa"/>
            <w:vAlign w:val="center"/>
          </w:tcPr>
          <w:p w14:paraId="22B8F41B" w14:textId="645D13A9"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s="Calibri"/>
                <w:color w:val="000000" w:themeColor="text1"/>
                <w:sz w:val="24"/>
                <w:szCs w:val="24"/>
                <w:lang w:val="en-US"/>
              </w:rPr>
              <w:t>9</w:t>
            </w:r>
          </w:p>
        </w:tc>
        <w:tc>
          <w:tcPr>
            <w:tcW w:w="863" w:type="dxa"/>
            <w:vAlign w:val="center"/>
          </w:tcPr>
          <w:p w14:paraId="2C7981A2" w14:textId="3DFC4F88"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0.652</w:t>
            </w:r>
          </w:p>
        </w:tc>
        <w:tc>
          <w:tcPr>
            <w:tcW w:w="828" w:type="dxa"/>
            <w:vAlign w:val="center"/>
          </w:tcPr>
          <w:p w14:paraId="4C6EE4D0" w14:textId="4E285A43"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0.471</w:t>
            </w:r>
          </w:p>
        </w:tc>
        <w:tc>
          <w:tcPr>
            <w:tcW w:w="908" w:type="dxa"/>
            <w:vAlign w:val="center"/>
          </w:tcPr>
          <w:p w14:paraId="554CEBE8" w14:textId="7D1B925B"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0.058</w:t>
            </w:r>
          </w:p>
        </w:tc>
        <w:tc>
          <w:tcPr>
            <w:tcW w:w="1137" w:type="dxa"/>
            <w:vAlign w:val="center"/>
          </w:tcPr>
          <w:p w14:paraId="03031626" w14:textId="33ECF670"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0.471</w:t>
            </w:r>
          </w:p>
        </w:tc>
        <w:tc>
          <w:tcPr>
            <w:tcW w:w="970" w:type="dxa"/>
            <w:vAlign w:val="center"/>
          </w:tcPr>
          <w:p w14:paraId="287574BE" w14:textId="24B70207"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0.556</w:t>
            </w:r>
          </w:p>
        </w:tc>
        <w:tc>
          <w:tcPr>
            <w:tcW w:w="851" w:type="dxa"/>
            <w:vAlign w:val="center"/>
          </w:tcPr>
          <w:p w14:paraId="3D0C54B3" w14:textId="1F831CB0"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0.609</w:t>
            </w:r>
          </w:p>
        </w:tc>
        <w:tc>
          <w:tcPr>
            <w:tcW w:w="919" w:type="dxa"/>
            <w:vAlign w:val="center"/>
          </w:tcPr>
          <w:p w14:paraId="1D1A1FEF" w14:textId="4EA0D016"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0.353</w:t>
            </w:r>
          </w:p>
        </w:tc>
        <w:tc>
          <w:tcPr>
            <w:tcW w:w="908" w:type="dxa"/>
            <w:vAlign w:val="center"/>
          </w:tcPr>
          <w:p w14:paraId="0E47E38D" w14:textId="4A949592"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0.059</w:t>
            </w:r>
          </w:p>
        </w:tc>
        <w:tc>
          <w:tcPr>
            <w:tcW w:w="1137" w:type="dxa"/>
            <w:vAlign w:val="center"/>
          </w:tcPr>
          <w:p w14:paraId="76F155E3" w14:textId="733F4D88"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0.471</w:t>
            </w:r>
          </w:p>
        </w:tc>
      </w:tr>
      <w:tr w:rsidR="00981DC5" w:rsidRPr="00981DC5" w14:paraId="3F22C56F" w14:textId="77777777" w:rsidTr="00EB33B3">
        <w:tc>
          <w:tcPr>
            <w:tcW w:w="1101" w:type="dxa"/>
            <w:vAlign w:val="center"/>
          </w:tcPr>
          <w:p w14:paraId="2EC65BDE" w14:textId="55919E63"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s="Calibri"/>
                <w:color w:val="000000" w:themeColor="text1"/>
                <w:sz w:val="24"/>
                <w:szCs w:val="24"/>
                <w:lang w:val="en-US"/>
              </w:rPr>
              <w:t>10</w:t>
            </w:r>
          </w:p>
        </w:tc>
        <w:tc>
          <w:tcPr>
            <w:tcW w:w="863" w:type="dxa"/>
            <w:vAlign w:val="center"/>
          </w:tcPr>
          <w:p w14:paraId="0ABF25EC" w14:textId="2CF598E7"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0.800</w:t>
            </w:r>
          </w:p>
        </w:tc>
        <w:tc>
          <w:tcPr>
            <w:tcW w:w="828" w:type="dxa"/>
            <w:vAlign w:val="center"/>
          </w:tcPr>
          <w:p w14:paraId="621E9324" w14:textId="64F793F5"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0.611</w:t>
            </w:r>
          </w:p>
        </w:tc>
        <w:tc>
          <w:tcPr>
            <w:tcW w:w="908" w:type="dxa"/>
            <w:vAlign w:val="center"/>
          </w:tcPr>
          <w:p w14:paraId="49FFC610" w14:textId="08F40722"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0.733</w:t>
            </w:r>
          </w:p>
        </w:tc>
        <w:tc>
          <w:tcPr>
            <w:tcW w:w="1137" w:type="dxa"/>
            <w:vAlign w:val="center"/>
          </w:tcPr>
          <w:p w14:paraId="745E228F" w14:textId="7DA0FF29"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0.800</w:t>
            </w:r>
          </w:p>
        </w:tc>
        <w:tc>
          <w:tcPr>
            <w:tcW w:w="970" w:type="dxa"/>
            <w:vAlign w:val="center"/>
          </w:tcPr>
          <w:p w14:paraId="5A60C47B" w14:textId="6A20E7AE"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0.800</w:t>
            </w:r>
          </w:p>
        </w:tc>
        <w:tc>
          <w:tcPr>
            <w:tcW w:w="851" w:type="dxa"/>
            <w:vAlign w:val="center"/>
          </w:tcPr>
          <w:p w14:paraId="4D5E7853" w14:textId="0B64FA4C"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0.150</w:t>
            </w:r>
          </w:p>
        </w:tc>
        <w:tc>
          <w:tcPr>
            <w:tcW w:w="919" w:type="dxa"/>
            <w:vAlign w:val="center"/>
          </w:tcPr>
          <w:p w14:paraId="3C3AF998" w14:textId="19259F2D"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0.5</w:t>
            </w:r>
          </w:p>
        </w:tc>
        <w:tc>
          <w:tcPr>
            <w:tcW w:w="908" w:type="dxa"/>
            <w:vAlign w:val="center"/>
          </w:tcPr>
          <w:p w14:paraId="3D861635" w14:textId="5E8E4EFE"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0.667</w:t>
            </w:r>
          </w:p>
        </w:tc>
        <w:tc>
          <w:tcPr>
            <w:tcW w:w="1137" w:type="dxa"/>
            <w:vAlign w:val="center"/>
          </w:tcPr>
          <w:p w14:paraId="5C0ECEDC" w14:textId="0E40C04F"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0.600</w:t>
            </w:r>
          </w:p>
        </w:tc>
      </w:tr>
      <w:tr w:rsidR="00981DC5" w:rsidRPr="00981DC5" w14:paraId="2D2B307C" w14:textId="77777777" w:rsidTr="00EB33B3">
        <w:tc>
          <w:tcPr>
            <w:tcW w:w="1101" w:type="dxa"/>
            <w:vAlign w:val="center"/>
          </w:tcPr>
          <w:p w14:paraId="0B72B549" w14:textId="25EF91D3"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s="Calibri"/>
                <w:color w:val="000000" w:themeColor="text1"/>
                <w:sz w:val="24"/>
                <w:szCs w:val="24"/>
                <w:lang w:val="en-US"/>
              </w:rPr>
              <w:t>11</w:t>
            </w:r>
          </w:p>
        </w:tc>
        <w:tc>
          <w:tcPr>
            <w:tcW w:w="863" w:type="dxa"/>
            <w:vAlign w:val="center"/>
          </w:tcPr>
          <w:p w14:paraId="4AA168AB" w14:textId="1A61F1BA"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0.917</w:t>
            </w:r>
          </w:p>
        </w:tc>
        <w:tc>
          <w:tcPr>
            <w:tcW w:w="828" w:type="dxa"/>
            <w:vAlign w:val="center"/>
          </w:tcPr>
          <w:p w14:paraId="2D3935F9" w14:textId="53341D00"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0.923</w:t>
            </w:r>
          </w:p>
        </w:tc>
        <w:tc>
          <w:tcPr>
            <w:tcW w:w="908" w:type="dxa"/>
            <w:vAlign w:val="center"/>
          </w:tcPr>
          <w:p w14:paraId="06D860BC" w14:textId="38579EF4"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1</w:t>
            </w:r>
            <w:r w:rsidR="008F1AC1" w:rsidRPr="00981DC5">
              <w:rPr>
                <w:rFonts w:ascii="Book Antiqua" w:hAnsi="Book Antiqua"/>
                <w:color w:val="000000" w:themeColor="text1"/>
                <w:sz w:val="24"/>
                <w:szCs w:val="24"/>
              </w:rPr>
              <w:t>.000</w:t>
            </w:r>
          </w:p>
        </w:tc>
        <w:tc>
          <w:tcPr>
            <w:tcW w:w="1137" w:type="dxa"/>
            <w:vAlign w:val="center"/>
          </w:tcPr>
          <w:p w14:paraId="3603C684" w14:textId="20FD87D2"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0.8</w:t>
            </w:r>
            <w:r w:rsidR="008F1AC1" w:rsidRPr="00981DC5">
              <w:rPr>
                <w:rFonts w:ascii="Book Antiqua" w:hAnsi="Book Antiqua"/>
                <w:color w:val="000000" w:themeColor="text1"/>
                <w:sz w:val="24"/>
                <w:szCs w:val="24"/>
              </w:rPr>
              <w:t>00</w:t>
            </w:r>
          </w:p>
        </w:tc>
        <w:tc>
          <w:tcPr>
            <w:tcW w:w="970" w:type="dxa"/>
            <w:vAlign w:val="center"/>
          </w:tcPr>
          <w:p w14:paraId="49E394F6" w14:textId="60338AB3"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1</w:t>
            </w:r>
            <w:r w:rsidR="008F1AC1" w:rsidRPr="00981DC5">
              <w:rPr>
                <w:rFonts w:ascii="Book Antiqua" w:hAnsi="Book Antiqua"/>
                <w:color w:val="000000" w:themeColor="text1"/>
                <w:sz w:val="24"/>
                <w:szCs w:val="24"/>
              </w:rPr>
              <w:t>.000</w:t>
            </w:r>
          </w:p>
        </w:tc>
        <w:tc>
          <w:tcPr>
            <w:tcW w:w="851" w:type="dxa"/>
            <w:vAlign w:val="center"/>
          </w:tcPr>
          <w:p w14:paraId="3AD6877F" w14:textId="69CED16B"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0.5</w:t>
            </w:r>
            <w:r w:rsidR="008F1AC1" w:rsidRPr="00981DC5">
              <w:rPr>
                <w:rFonts w:ascii="Book Antiqua" w:hAnsi="Book Antiqua"/>
                <w:color w:val="000000" w:themeColor="text1"/>
                <w:sz w:val="24"/>
                <w:szCs w:val="24"/>
              </w:rPr>
              <w:t>00</w:t>
            </w:r>
          </w:p>
        </w:tc>
        <w:tc>
          <w:tcPr>
            <w:tcW w:w="919" w:type="dxa"/>
            <w:vAlign w:val="center"/>
          </w:tcPr>
          <w:p w14:paraId="5318DCB7" w14:textId="4DCDE4ED"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0.462</w:t>
            </w:r>
          </w:p>
        </w:tc>
        <w:tc>
          <w:tcPr>
            <w:tcW w:w="908" w:type="dxa"/>
            <w:vAlign w:val="center"/>
          </w:tcPr>
          <w:p w14:paraId="7BD8408D" w14:textId="6ED44989"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0.571</w:t>
            </w:r>
          </w:p>
        </w:tc>
        <w:tc>
          <w:tcPr>
            <w:tcW w:w="1137" w:type="dxa"/>
            <w:vAlign w:val="center"/>
          </w:tcPr>
          <w:p w14:paraId="32316CE4" w14:textId="26023DF2"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0.500</w:t>
            </w:r>
          </w:p>
        </w:tc>
      </w:tr>
      <w:tr w:rsidR="00981DC5" w:rsidRPr="00981DC5" w14:paraId="41880B23" w14:textId="77777777" w:rsidTr="00EB33B3">
        <w:tc>
          <w:tcPr>
            <w:tcW w:w="1101" w:type="dxa"/>
            <w:vAlign w:val="center"/>
          </w:tcPr>
          <w:p w14:paraId="65E80A02" w14:textId="68575A4D"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s="Calibri"/>
                <w:color w:val="000000" w:themeColor="text1"/>
                <w:sz w:val="24"/>
                <w:szCs w:val="24"/>
                <w:lang w:val="en-US"/>
              </w:rPr>
              <w:t>12</w:t>
            </w:r>
          </w:p>
        </w:tc>
        <w:tc>
          <w:tcPr>
            <w:tcW w:w="863" w:type="dxa"/>
            <w:vAlign w:val="center"/>
          </w:tcPr>
          <w:p w14:paraId="11D4E7BD" w14:textId="06E52BCD"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0.789</w:t>
            </w:r>
          </w:p>
        </w:tc>
        <w:tc>
          <w:tcPr>
            <w:tcW w:w="828" w:type="dxa"/>
            <w:vAlign w:val="center"/>
          </w:tcPr>
          <w:p w14:paraId="2FCAFE8D" w14:textId="1DB764BC"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0.75</w:t>
            </w:r>
          </w:p>
        </w:tc>
        <w:tc>
          <w:tcPr>
            <w:tcW w:w="908" w:type="dxa"/>
            <w:vAlign w:val="center"/>
          </w:tcPr>
          <w:p w14:paraId="1994263D" w14:textId="305FE058"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0.687</w:t>
            </w:r>
          </w:p>
        </w:tc>
        <w:tc>
          <w:tcPr>
            <w:tcW w:w="1137" w:type="dxa"/>
            <w:vAlign w:val="center"/>
          </w:tcPr>
          <w:p w14:paraId="638BC2C8" w14:textId="692E6A2E"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0.556</w:t>
            </w:r>
          </w:p>
        </w:tc>
        <w:tc>
          <w:tcPr>
            <w:tcW w:w="970" w:type="dxa"/>
            <w:vAlign w:val="center"/>
          </w:tcPr>
          <w:p w14:paraId="03BC5D95" w14:textId="4820E0E1"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0.529</w:t>
            </w:r>
          </w:p>
        </w:tc>
        <w:tc>
          <w:tcPr>
            <w:tcW w:w="851" w:type="dxa"/>
            <w:vAlign w:val="center"/>
          </w:tcPr>
          <w:p w14:paraId="6C5ED852" w14:textId="26A4063D"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0.632</w:t>
            </w:r>
          </w:p>
        </w:tc>
        <w:tc>
          <w:tcPr>
            <w:tcW w:w="919" w:type="dxa"/>
            <w:vAlign w:val="center"/>
          </w:tcPr>
          <w:p w14:paraId="0D9DAEAA" w14:textId="1B853540"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0.625</w:t>
            </w:r>
          </w:p>
        </w:tc>
        <w:tc>
          <w:tcPr>
            <w:tcW w:w="908" w:type="dxa"/>
            <w:vAlign w:val="center"/>
          </w:tcPr>
          <w:p w14:paraId="75426062" w14:textId="3F0F4508"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0.312</w:t>
            </w:r>
          </w:p>
        </w:tc>
        <w:tc>
          <w:tcPr>
            <w:tcW w:w="1137" w:type="dxa"/>
            <w:vAlign w:val="center"/>
          </w:tcPr>
          <w:p w14:paraId="0E788B63" w14:textId="46BB13EC"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0.167</w:t>
            </w:r>
          </w:p>
        </w:tc>
      </w:tr>
      <w:tr w:rsidR="00981DC5" w:rsidRPr="00981DC5" w14:paraId="3D377B25" w14:textId="77777777" w:rsidTr="00EB33B3">
        <w:tc>
          <w:tcPr>
            <w:tcW w:w="1101" w:type="dxa"/>
            <w:vAlign w:val="center"/>
          </w:tcPr>
          <w:p w14:paraId="662CBD4B" w14:textId="229654AB"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s="Calibri"/>
                <w:color w:val="000000" w:themeColor="text1"/>
                <w:sz w:val="24"/>
                <w:szCs w:val="24"/>
                <w:lang w:val="en-US"/>
              </w:rPr>
              <w:t>13</w:t>
            </w:r>
          </w:p>
        </w:tc>
        <w:tc>
          <w:tcPr>
            <w:tcW w:w="863" w:type="dxa"/>
            <w:vAlign w:val="center"/>
          </w:tcPr>
          <w:p w14:paraId="5D66E493" w14:textId="6B9B16EF"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0.957</w:t>
            </w:r>
          </w:p>
        </w:tc>
        <w:tc>
          <w:tcPr>
            <w:tcW w:w="828" w:type="dxa"/>
            <w:vAlign w:val="center"/>
          </w:tcPr>
          <w:p w14:paraId="4F5BBEAF" w14:textId="7B464E3B"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0.824</w:t>
            </w:r>
          </w:p>
        </w:tc>
        <w:tc>
          <w:tcPr>
            <w:tcW w:w="908" w:type="dxa"/>
            <w:vAlign w:val="center"/>
          </w:tcPr>
          <w:p w14:paraId="0DAF0CE7" w14:textId="5B43E628"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0.75</w:t>
            </w:r>
          </w:p>
        </w:tc>
        <w:tc>
          <w:tcPr>
            <w:tcW w:w="1137" w:type="dxa"/>
            <w:vAlign w:val="center"/>
          </w:tcPr>
          <w:p w14:paraId="0F8EBEC8" w14:textId="533484DB"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0.765</w:t>
            </w:r>
          </w:p>
        </w:tc>
        <w:tc>
          <w:tcPr>
            <w:tcW w:w="970" w:type="dxa"/>
            <w:vAlign w:val="center"/>
          </w:tcPr>
          <w:p w14:paraId="7239AF5B" w14:textId="3D357D9E"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0.833</w:t>
            </w:r>
          </w:p>
        </w:tc>
        <w:tc>
          <w:tcPr>
            <w:tcW w:w="851" w:type="dxa"/>
            <w:vAlign w:val="center"/>
          </w:tcPr>
          <w:p w14:paraId="2A0938CF" w14:textId="39E8F2FB"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0.739</w:t>
            </w:r>
          </w:p>
        </w:tc>
        <w:tc>
          <w:tcPr>
            <w:tcW w:w="919" w:type="dxa"/>
            <w:vAlign w:val="center"/>
          </w:tcPr>
          <w:p w14:paraId="3ED535B1" w14:textId="11F830B6"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0.647</w:t>
            </w:r>
          </w:p>
        </w:tc>
        <w:tc>
          <w:tcPr>
            <w:tcW w:w="908" w:type="dxa"/>
            <w:vAlign w:val="center"/>
          </w:tcPr>
          <w:p w14:paraId="14798EA3" w14:textId="0D742ED6"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0.500</w:t>
            </w:r>
          </w:p>
        </w:tc>
        <w:tc>
          <w:tcPr>
            <w:tcW w:w="1137" w:type="dxa"/>
            <w:vAlign w:val="center"/>
          </w:tcPr>
          <w:p w14:paraId="1661B3B2" w14:textId="25515538"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0.471</w:t>
            </w:r>
          </w:p>
        </w:tc>
      </w:tr>
      <w:tr w:rsidR="00981DC5" w:rsidRPr="00981DC5" w14:paraId="66EDF1E1" w14:textId="77777777" w:rsidTr="00EB33B3">
        <w:tc>
          <w:tcPr>
            <w:tcW w:w="1101" w:type="dxa"/>
            <w:vAlign w:val="center"/>
          </w:tcPr>
          <w:p w14:paraId="5ECD767B" w14:textId="78A757AA"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s="Calibri"/>
                <w:color w:val="000000" w:themeColor="text1"/>
                <w:sz w:val="24"/>
                <w:szCs w:val="24"/>
                <w:lang w:val="en-US"/>
              </w:rPr>
              <w:t>14</w:t>
            </w:r>
          </w:p>
        </w:tc>
        <w:tc>
          <w:tcPr>
            <w:tcW w:w="863" w:type="dxa"/>
            <w:vAlign w:val="center"/>
          </w:tcPr>
          <w:p w14:paraId="0B4741BA" w14:textId="4B2CDD24"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0.7</w:t>
            </w:r>
            <w:r w:rsidR="008F1AC1" w:rsidRPr="00981DC5">
              <w:rPr>
                <w:rFonts w:ascii="Book Antiqua" w:hAnsi="Book Antiqua"/>
                <w:color w:val="000000" w:themeColor="text1"/>
                <w:sz w:val="24"/>
                <w:szCs w:val="24"/>
              </w:rPr>
              <w:t>00</w:t>
            </w:r>
          </w:p>
        </w:tc>
        <w:tc>
          <w:tcPr>
            <w:tcW w:w="828" w:type="dxa"/>
            <w:vAlign w:val="center"/>
          </w:tcPr>
          <w:p w14:paraId="47B12568" w14:textId="114974AD"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0.467</w:t>
            </w:r>
          </w:p>
        </w:tc>
        <w:tc>
          <w:tcPr>
            <w:tcW w:w="908" w:type="dxa"/>
            <w:vAlign w:val="center"/>
          </w:tcPr>
          <w:p w14:paraId="71F4E065" w14:textId="597FE391"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0.556</w:t>
            </w:r>
          </w:p>
        </w:tc>
        <w:tc>
          <w:tcPr>
            <w:tcW w:w="1137" w:type="dxa"/>
            <w:vAlign w:val="center"/>
          </w:tcPr>
          <w:p w14:paraId="5A5165D2" w14:textId="29EFC75A"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0.500</w:t>
            </w:r>
          </w:p>
        </w:tc>
        <w:tc>
          <w:tcPr>
            <w:tcW w:w="970" w:type="dxa"/>
            <w:vAlign w:val="center"/>
          </w:tcPr>
          <w:p w14:paraId="7FBC0F1D" w14:textId="44B3F986"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0.333</w:t>
            </w:r>
          </w:p>
        </w:tc>
        <w:tc>
          <w:tcPr>
            <w:tcW w:w="851" w:type="dxa"/>
            <w:vAlign w:val="center"/>
          </w:tcPr>
          <w:p w14:paraId="6C9CC5F7" w14:textId="477858CE"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0.550</w:t>
            </w:r>
          </w:p>
        </w:tc>
        <w:tc>
          <w:tcPr>
            <w:tcW w:w="919" w:type="dxa"/>
            <w:vAlign w:val="center"/>
          </w:tcPr>
          <w:p w14:paraId="55638D70" w14:textId="6EF3A97B"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0.267</w:t>
            </w:r>
          </w:p>
        </w:tc>
        <w:tc>
          <w:tcPr>
            <w:tcW w:w="908" w:type="dxa"/>
            <w:vAlign w:val="center"/>
          </w:tcPr>
          <w:p w14:paraId="6735F380" w14:textId="3C3F0A6E"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0.278</w:t>
            </w:r>
          </w:p>
        </w:tc>
        <w:tc>
          <w:tcPr>
            <w:tcW w:w="1137" w:type="dxa"/>
            <w:vAlign w:val="center"/>
          </w:tcPr>
          <w:p w14:paraId="1BCB7255" w14:textId="3C2A673F"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0.167</w:t>
            </w:r>
          </w:p>
        </w:tc>
      </w:tr>
      <w:tr w:rsidR="00981DC5" w:rsidRPr="00981DC5" w14:paraId="43BE26B9" w14:textId="77777777" w:rsidTr="00EB33B3">
        <w:tc>
          <w:tcPr>
            <w:tcW w:w="1101" w:type="dxa"/>
            <w:vAlign w:val="center"/>
          </w:tcPr>
          <w:p w14:paraId="5957B663" w14:textId="5CD9FD75"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s="Calibri"/>
                <w:color w:val="000000" w:themeColor="text1"/>
                <w:sz w:val="24"/>
                <w:szCs w:val="24"/>
                <w:lang w:val="en-US"/>
              </w:rPr>
              <w:t>15</w:t>
            </w:r>
          </w:p>
        </w:tc>
        <w:tc>
          <w:tcPr>
            <w:tcW w:w="863" w:type="dxa"/>
            <w:vAlign w:val="center"/>
          </w:tcPr>
          <w:p w14:paraId="14FCD899" w14:textId="0232CEFC"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0.846</w:t>
            </w:r>
          </w:p>
        </w:tc>
        <w:tc>
          <w:tcPr>
            <w:tcW w:w="828" w:type="dxa"/>
            <w:vAlign w:val="center"/>
          </w:tcPr>
          <w:p w14:paraId="430E16E3" w14:textId="1DFBB20F"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0.786</w:t>
            </w:r>
          </w:p>
        </w:tc>
        <w:tc>
          <w:tcPr>
            <w:tcW w:w="908" w:type="dxa"/>
            <w:vAlign w:val="center"/>
          </w:tcPr>
          <w:p w14:paraId="0E90C9E0" w14:textId="174A0401"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0.786</w:t>
            </w:r>
          </w:p>
        </w:tc>
        <w:tc>
          <w:tcPr>
            <w:tcW w:w="1137" w:type="dxa"/>
            <w:vAlign w:val="center"/>
          </w:tcPr>
          <w:p w14:paraId="639D4DD2" w14:textId="20D995A9"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0.538</w:t>
            </w:r>
          </w:p>
        </w:tc>
        <w:tc>
          <w:tcPr>
            <w:tcW w:w="970" w:type="dxa"/>
            <w:vAlign w:val="center"/>
          </w:tcPr>
          <w:p w14:paraId="24BF5B04" w14:textId="0D8865BF"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0.833</w:t>
            </w:r>
          </w:p>
        </w:tc>
        <w:tc>
          <w:tcPr>
            <w:tcW w:w="851" w:type="dxa"/>
            <w:vAlign w:val="center"/>
          </w:tcPr>
          <w:p w14:paraId="5C13673E" w14:textId="00A56144"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0.615</w:t>
            </w:r>
          </w:p>
        </w:tc>
        <w:tc>
          <w:tcPr>
            <w:tcW w:w="919" w:type="dxa"/>
            <w:vAlign w:val="center"/>
          </w:tcPr>
          <w:p w14:paraId="6F6C979A" w14:textId="14B9BAF0"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0.357</w:t>
            </w:r>
          </w:p>
        </w:tc>
        <w:tc>
          <w:tcPr>
            <w:tcW w:w="908" w:type="dxa"/>
            <w:vAlign w:val="center"/>
          </w:tcPr>
          <w:p w14:paraId="3400E63B" w14:textId="45B9374B"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0.429</w:t>
            </w:r>
          </w:p>
        </w:tc>
        <w:tc>
          <w:tcPr>
            <w:tcW w:w="1137" w:type="dxa"/>
            <w:vAlign w:val="center"/>
          </w:tcPr>
          <w:p w14:paraId="218D45DE" w14:textId="0C86790E" w:rsidR="00F40166" w:rsidRPr="00981DC5"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olor w:val="000000" w:themeColor="text1"/>
                <w:sz w:val="24"/>
                <w:szCs w:val="24"/>
              </w:rPr>
              <w:t>0.462</w:t>
            </w:r>
          </w:p>
        </w:tc>
      </w:tr>
      <w:tr w:rsidR="00F40166" w:rsidRPr="00981DC5" w14:paraId="155215F2" w14:textId="77777777" w:rsidTr="00EB33B3">
        <w:tc>
          <w:tcPr>
            <w:tcW w:w="1101" w:type="dxa"/>
            <w:vAlign w:val="center"/>
          </w:tcPr>
          <w:p w14:paraId="58361E13" w14:textId="37B14150" w:rsidR="00F40166" w:rsidRPr="00981DC5" w:rsidRDefault="00F40166" w:rsidP="00B11A05">
            <w:pPr>
              <w:adjustRightInd w:val="0"/>
              <w:snapToGrid w:val="0"/>
              <w:spacing w:line="360" w:lineRule="auto"/>
              <w:jc w:val="both"/>
              <w:rPr>
                <w:rFonts w:ascii="Book Antiqua" w:hAnsi="Book Antiqua" w:cs="Calibri"/>
                <w:bCs/>
                <w:color w:val="000000" w:themeColor="text1"/>
                <w:sz w:val="24"/>
                <w:szCs w:val="24"/>
                <w:lang w:val="en-US"/>
              </w:rPr>
            </w:pPr>
            <w:r w:rsidRPr="00981DC5">
              <w:rPr>
                <w:rFonts w:ascii="Book Antiqua" w:hAnsi="Book Antiqua" w:cs="Calibri"/>
                <w:bCs/>
                <w:color w:val="000000" w:themeColor="text1"/>
                <w:sz w:val="24"/>
                <w:szCs w:val="24"/>
                <w:lang w:val="en-US"/>
              </w:rPr>
              <w:t>Mean survival</w:t>
            </w:r>
            <w:r w:rsidR="008F1AC1" w:rsidRPr="00981DC5">
              <w:rPr>
                <w:rFonts w:ascii="Book Antiqua" w:hAnsi="Book Antiqua" w:cs="Calibri"/>
                <w:bCs/>
                <w:color w:val="000000" w:themeColor="text1"/>
                <w:sz w:val="24"/>
                <w:szCs w:val="24"/>
                <w:lang w:val="en-US"/>
              </w:rPr>
              <w:t xml:space="preserve"> </w:t>
            </w:r>
            <w:r w:rsidRPr="00981DC5">
              <w:rPr>
                <w:rFonts w:ascii="Book Antiqua" w:hAnsi="Book Antiqua" w:cs="Calibri"/>
                <w:bCs/>
                <w:color w:val="000000" w:themeColor="text1"/>
                <w:sz w:val="24"/>
                <w:szCs w:val="24"/>
                <w:lang w:val="en-US"/>
              </w:rPr>
              <w:t>rate</w:t>
            </w:r>
          </w:p>
        </w:tc>
        <w:tc>
          <w:tcPr>
            <w:tcW w:w="863" w:type="dxa"/>
            <w:vAlign w:val="center"/>
          </w:tcPr>
          <w:p w14:paraId="2F2CB2AB" w14:textId="6BCA728C" w:rsidR="00F40166" w:rsidRPr="00981DC5" w:rsidRDefault="00F40166" w:rsidP="00B11A05">
            <w:pPr>
              <w:adjustRightInd w:val="0"/>
              <w:snapToGrid w:val="0"/>
              <w:spacing w:line="360" w:lineRule="auto"/>
              <w:jc w:val="both"/>
              <w:rPr>
                <w:rFonts w:ascii="Book Antiqua" w:hAnsi="Book Antiqua" w:cs="Calibri"/>
                <w:bCs/>
                <w:color w:val="000000" w:themeColor="text1"/>
                <w:sz w:val="24"/>
                <w:szCs w:val="24"/>
                <w:lang w:val="en-US"/>
              </w:rPr>
            </w:pPr>
            <w:r w:rsidRPr="00981DC5">
              <w:rPr>
                <w:rFonts w:ascii="Book Antiqua" w:hAnsi="Book Antiqua"/>
                <w:bCs/>
                <w:color w:val="000000" w:themeColor="text1"/>
                <w:sz w:val="24"/>
                <w:szCs w:val="24"/>
              </w:rPr>
              <w:t>0.749</w:t>
            </w:r>
          </w:p>
        </w:tc>
        <w:tc>
          <w:tcPr>
            <w:tcW w:w="828" w:type="dxa"/>
            <w:vAlign w:val="center"/>
          </w:tcPr>
          <w:p w14:paraId="60CF15F2" w14:textId="6EBFA3DB" w:rsidR="00F40166" w:rsidRPr="00981DC5" w:rsidRDefault="00F40166" w:rsidP="00B11A05">
            <w:pPr>
              <w:adjustRightInd w:val="0"/>
              <w:snapToGrid w:val="0"/>
              <w:spacing w:line="360" w:lineRule="auto"/>
              <w:jc w:val="both"/>
              <w:rPr>
                <w:rFonts w:ascii="Book Antiqua" w:hAnsi="Book Antiqua" w:cs="Calibri"/>
                <w:bCs/>
                <w:color w:val="000000" w:themeColor="text1"/>
                <w:sz w:val="24"/>
                <w:szCs w:val="24"/>
                <w:lang w:val="en-US"/>
              </w:rPr>
            </w:pPr>
            <w:r w:rsidRPr="00981DC5">
              <w:rPr>
                <w:rFonts w:ascii="Book Antiqua" w:hAnsi="Book Antiqua"/>
                <w:bCs/>
                <w:color w:val="000000" w:themeColor="text1"/>
                <w:sz w:val="24"/>
                <w:szCs w:val="24"/>
              </w:rPr>
              <w:t>0.687</w:t>
            </w:r>
          </w:p>
        </w:tc>
        <w:tc>
          <w:tcPr>
            <w:tcW w:w="908" w:type="dxa"/>
            <w:vAlign w:val="center"/>
          </w:tcPr>
          <w:p w14:paraId="0389DE3A" w14:textId="48FDF26F" w:rsidR="00F40166" w:rsidRPr="00981DC5" w:rsidRDefault="00F40166" w:rsidP="00B11A05">
            <w:pPr>
              <w:adjustRightInd w:val="0"/>
              <w:snapToGrid w:val="0"/>
              <w:spacing w:line="360" w:lineRule="auto"/>
              <w:jc w:val="both"/>
              <w:rPr>
                <w:rFonts w:ascii="Book Antiqua" w:hAnsi="Book Antiqua" w:cs="Calibri"/>
                <w:bCs/>
                <w:color w:val="000000" w:themeColor="text1"/>
                <w:sz w:val="24"/>
                <w:szCs w:val="24"/>
                <w:lang w:val="en-US"/>
              </w:rPr>
            </w:pPr>
            <w:r w:rsidRPr="00981DC5">
              <w:rPr>
                <w:rFonts w:ascii="Book Antiqua" w:hAnsi="Book Antiqua"/>
                <w:bCs/>
                <w:color w:val="000000" w:themeColor="text1"/>
                <w:sz w:val="24"/>
                <w:szCs w:val="24"/>
              </w:rPr>
              <w:t>0.703</w:t>
            </w:r>
          </w:p>
        </w:tc>
        <w:tc>
          <w:tcPr>
            <w:tcW w:w="1137" w:type="dxa"/>
            <w:vAlign w:val="center"/>
          </w:tcPr>
          <w:p w14:paraId="5B1F0D78" w14:textId="2E25CCE0" w:rsidR="00F40166" w:rsidRPr="00981DC5" w:rsidRDefault="00F40166" w:rsidP="00B11A05">
            <w:pPr>
              <w:adjustRightInd w:val="0"/>
              <w:snapToGrid w:val="0"/>
              <w:spacing w:line="360" w:lineRule="auto"/>
              <w:jc w:val="both"/>
              <w:rPr>
                <w:rFonts w:ascii="Book Antiqua" w:hAnsi="Book Antiqua" w:cs="Calibri"/>
                <w:bCs/>
                <w:color w:val="000000" w:themeColor="text1"/>
                <w:sz w:val="24"/>
                <w:szCs w:val="24"/>
                <w:lang w:val="en-US"/>
              </w:rPr>
            </w:pPr>
            <w:r w:rsidRPr="00981DC5">
              <w:rPr>
                <w:rFonts w:ascii="Book Antiqua" w:hAnsi="Book Antiqua"/>
                <w:bCs/>
                <w:color w:val="000000" w:themeColor="text1"/>
                <w:sz w:val="24"/>
                <w:szCs w:val="24"/>
              </w:rPr>
              <w:t>0.727</w:t>
            </w:r>
          </w:p>
        </w:tc>
        <w:tc>
          <w:tcPr>
            <w:tcW w:w="970" w:type="dxa"/>
            <w:vAlign w:val="center"/>
          </w:tcPr>
          <w:p w14:paraId="5154897D" w14:textId="361A3AC8" w:rsidR="00F40166" w:rsidRPr="00981DC5" w:rsidRDefault="00F40166" w:rsidP="00B11A05">
            <w:pPr>
              <w:adjustRightInd w:val="0"/>
              <w:snapToGrid w:val="0"/>
              <w:spacing w:line="360" w:lineRule="auto"/>
              <w:jc w:val="both"/>
              <w:rPr>
                <w:rFonts w:ascii="Book Antiqua" w:hAnsi="Book Antiqua" w:cs="Calibri"/>
                <w:bCs/>
                <w:color w:val="000000" w:themeColor="text1"/>
                <w:sz w:val="24"/>
                <w:szCs w:val="24"/>
                <w:lang w:val="en-US"/>
              </w:rPr>
            </w:pPr>
            <w:r w:rsidRPr="00981DC5">
              <w:rPr>
                <w:rFonts w:ascii="Book Antiqua" w:hAnsi="Book Antiqua"/>
                <w:bCs/>
                <w:color w:val="000000" w:themeColor="text1"/>
                <w:sz w:val="24"/>
                <w:szCs w:val="24"/>
              </w:rPr>
              <w:t>0.708</w:t>
            </w:r>
          </w:p>
        </w:tc>
        <w:tc>
          <w:tcPr>
            <w:tcW w:w="851" w:type="dxa"/>
            <w:vAlign w:val="center"/>
          </w:tcPr>
          <w:p w14:paraId="332B5288" w14:textId="0AA7A1CF" w:rsidR="00F40166" w:rsidRPr="00981DC5" w:rsidRDefault="00F40166" w:rsidP="00B11A05">
            <w:pPr>
              <w:adjustRightInd w:val="0"/>
              <w:snapToGrid w:val="0"/>
              <w:spacing w:line="360" w:lineRule="auto"/>
              <w:jc w:val="both"/>
              <w:rPr>
                <w:rFonts w:ascii="Book Antiqua" w:hAnsi="Book Antiqua" w:cs="Calibri"/>
                <w:bCs/>
                <w:color w:val="000000" w:themeColor="text1"/>
                <w:sz w:val="24"/>
                <w:szCs w:val="24"/>
                <w:lang w:val="en-US"/>
              </w:rPr>
            </w:pPr>
            <w:r w:rsidRPr="00981DC5">
              <w:rPr>
                <w:rFonts w:ascii="Book Antiqua" w:hAnsi="Book Antiqua"/>
                <w:bCs/>
                <w:color w:val="000000" w:themeColor="text1"/>
                <w:sz w:val="24"/>
                <w:szCs w:val="24"/>
              </w:rPr>
              <w:t>0.554</w:t>
            </w:r>
          </w:p>
        </w:tc>
        <w:tc>
          <w:tcPr>
            <w:tcW w:w="919" w:type="dxa"/>
            <w:vAlign w:val="center"/>
          </w:tcPr>
          <w:p w14:paraId="200A083F" w14:textId="3330661F" w:rsidR="00F40166" w:rsidRPr="00981DC5" w:rsidRDefault="00F40166" w:rsidP="00B11A05">
            <w:pPr>
              <w:adjustRightInd w:val="0"/>
              <w:snapToGrid w:val="0"/>
              <w:spacing w:line="360" w:lineRule="auto"/>
              <w:jc w:val="both"/>
              <w:rPr>
                <w:rFonts w:ascii="Book Antiqua" w:hAnsi="Book Antiqua" w:cs="Calibri"/>
                <w:bCs/>
                <w:color w:val="000000" w:themeColor="text1"/>
                <w:sz w:val="24"/>
                <w:szCs w:val="24"/>
                <w:lang w:val="en-US"/>
              </w:rPr>
            </w:pPr>
            <w:r w:rsidRPr="00981DC5">
              <w:rPr>
                <w:rFonts w:ascii="Book Antiqua" w:hAnsi="Book Antiqua"/>
                <w:bCs/>
                <w:color w:val="000000" w:themeColor="text1"/>
                <w:sz w:val="24"/>
                <w:szCs w:val="24"/>
              </w:rPr>
              <w:t>0.519</w:t>
            </w:r>
          </w:p>
        </w:tc>
        <w:tc>
          <w:tcPr>
            <w:tcW w:w="908" w:type="dxa"/>
            <w:vAlign w:val="center"/>
          </w:tcPr>
          <w:p w14:paraId="3BEB0E63" w14:textId="62CA944B" w:rsidR="00F40166" w:rsidRPr="00981DC5" w:rsidRDefault="00F40166" w:rsidP="00B11A05">
            <w:pPr>
              <w:adjustRightInd w:val="0"/>
              <w:snapToGrid w:val="0"/>
              <w:spacing w:line="360" w:lineRule="auto"/>
              <w:jc w:val="both"/>
              <w:rPr>
                <w:rFonts w:ascii="Book Antiqua" w:hAnsi="Book Antiqua" w:cs="Calibri"/>
                <w:bCs/>
                <w:color w:val="000000" w:themeColor="text1"/>
                <w:sz w:val="24"/>
                <w:szCs w:val="24"/>
                <w:lang w:val="en-US"/>
              </w:rPr>
            </w:pPr>
            <w:r w:rsidRPr="00981DC5">
              <w:rPr>
                <w:rFonts w:ascii="Book Antiqua" w:hAnsi="Book Antiqua"/>
                <w:bCs/>
                <w:color w:val="000000" w:themeColor="text1"/>
                <w:sz w:val="24"/>
                <w:szCs w:val="24"/>
              </w:rPr>
              <w:t>0.471</w:t>
            </w:r>
          </w:p>
        </w:tc>
        <w:tc>
          <w:tcPr>
            <w:tcW w:w="1137" w:type="dxa"/>
            <w:vAlign w:val="center"/>
          </w:tcPr>
          <w:p w14:paraId="4393B9F7" w14:textId="13D73DCB" w:rsidR="00F40166" w:rsidRPr="00981DC5" w:rsidRDefault="00F40166" w:rsidP="00B11A05">
            <w:pPr>
              <w:adjustRightInd w:val="0"/>
              <w:snapToGrid w:val="0"/>
              <w:spacing w:line="360" w:lineRule="auto"/>
              <w:jc w:val="both"/>
              <w:rPr>
                <w:rFonts w:ascii="Book Antiqua" w:hAnsi="Book Antiqua" w:cs="Calibri"/>
                <w:bCs/>
                <w:color w:val="000000" w:themeColor="text1"/>
                <w:sz w:val="24"/>
                <w:szCs w:val="24"/>
                <w:lang w:val="en-US"/>
              </w:rPr>
            </w:pPr>
            <w:r w:rsidRPr="00981DC5">
              <w:rPr>
                <w:rFonts w:ascii="Book Antiqua" w:hAnsi="Book Antiqua"/>
                <w:bCs/>
                <w:color w:val="000000" w:themeColor="text1"/>
                <w:sz w:val="24"/>
                <w:szCs w:val="24"/>
              </w:rPr>
              <w:t>0.521</w:t>
            </w:r>
          </w:p>
        </w:tc>
      </w:tr>
    </w:tbl>
    <w:p w14:paraId="0AA46F42" w14:textId="614CFFBB" w:rsidR="00AA0F16" w:rsidRPr="00AA0F16" w:rsidRDefault="00AA0F16" w:rsidP="00AA0F16">
      <w:pPr>
        <w:adjustRightInd w:val="0"/>
        <w:snapToGrid w:val="0"/>
        <w:spacing w:after="0" w:line="360" w:lineRule="auto"/>
        <w:jc w:val="both"/>
        <w:rPr>
          <w:rFonts w:ascii="Book Antiqua" w:hAnsi="Book Antiqua" w:cs="Calibri"/>
          <w:iCs/>
          <w:color w:val="000000" w:themeColor="text1"/>
          <w:sz w:val="24"/>
          <w:szCs w:val="24"/>
          <w:lang w:val="en-US"/>
        </w:rPr>
      </w:pPr>
      <w:r>
        <w:rPr>
          <w:rFonts w:ascii="Book Antiqua" w:hAnsi="Book Antiqua" w:cs="Calibri"/>
          <w:color w:val="000000" w:themeColor="text1"/>
          <w:sz w:val="24"/>
          <w:szCs w:val="24"/>
          <w:lang w:val="en-US"/>
        </w:rPr>
        <w:t xml:space="preserve">GEM: </w:t>
      </w:r>
      <w:r w:rsidRPr="00981DC5">
        <w:rPr>
          <w:rFonts w:ascii="Book Antiqua" w:hAnsi="Book Antiqua" w:cs="Calibri"/>
          <w:color w:val="000000" w:themeColor="text1"/>
          <w:sz w:val="24"/>
          <w:szCs w:val="24"/>
          <w:lang w:val="en-US"/>
        </w:rPr>
        <w:t>Gemcitabine</w:t>
      </w:r>
      <w:r>
        <w:rPr>
          <w:rFonts w:ascii="Book Antiqua" w:hAnsi="Book Antiqua" w:cs="Calibri"/>
          <w:color w:val="000000" w:themeColor="text1"/>
          <w:sz w:val="24"/>
          <w:szCs w:val="24"/>
          <w:lang w:val="en-US"/>
        </w:rPr>
        <w:t>;</w:t>
      </w:r>
      <w:r w:rsidRPr="00981DC5">
        <w:rPr>
          <w:rFonts w:ascii="Book Antiqua" w:hAnsi="Book Antiqua" w:cs="Calibri"/>
          <w:color w:val="000000" w:themeColor="text1"/>
          <w:sz w:val="24"/>
          <w:szCs w:val="24"/>
          <w:lang w:val="en-US"/>
        </w:rPr>
        <w:t xml:space="preserve"> GEMOX</w:t>
      </w:r>
      <w:r>
        <w:rPr>
          <w:rFonts w:ascii="Book Antiqua" w:hAnsi="Book Antiqua" w:cs="Calibri"/>
          <w:color w:val="000000" w:themeColor="text1"/>
          <w:sz w:val="24"/>
          <w:szCs w:val="24"/>
          <w:lang w:val="en-US"/>
        </w:rPr>
        <w:t>:</w:t>
      </w:r>
      <w:r w:rsidRPr="00981DC5">
        <w:rPr>
          <w:rFonts w:ascii="Book Antiqua" w:hAnsi="Book Antiqua" w:cs="Calibri"/>
          <w:color w:val="000000" w:themeColor="text1"/>
          <w:sz w:val="24"/>
          <w:szCs w:val="24"/>
          <w:lang w:val="en-US"/>
        </w:rPr>
        <w:t xml:space="preserve"> Gemcitabine + Oxaliplatin</w:t>
      </w:r>
      <w:r>
        <w:rPr>
          <w:rFonts w:ascii="Book Antiqua" w:hAnsi="Book Antiqua" w:cs="Calibri"/>
          <w:color w:val="000000" w:themeColor="text1"/>
          <w:sz w:val="24"/>
          <w:szCs w:val="24"/>
          <w:lang w:val="en-US"/>
        </w:rPr>
        <w:t xml:space="preserve">; </w:t>
      </w:r>
      <w:r w:rsidRPr="00981DC5">
        <w:rPr>
          <w:rFonts w:ascii="Book Antiqua" w:hAnsi="Book Antiqua" w:cs="Calibri"/>
          <w:color w:val="000000" w:themeColor="text1"/>
          <w:sz w:val="24"/>
          <w:szCs w:val="24"/>
          <w:lang w:val="en-US"/>
        </w:rPr>
        <w:t>GEM/nab-P</w:t>
      </w:r>
      <w:r>
        <w:rPr>
          <w:rFonts w:ascii="Book Antiqua" w:hAnsi="Book Antiqua" w:cs="Calibri"/>
          <w:color w:val="000000" w:themeColor="text1"/>
          <w:sz w:val="24"/>
          <w:szCs w:val="24"/>
          <w:lang w:val="en-US"/>
        </w:rPr>
        <w:t>:</w:t>
      </w:r>
      <w:r w:rsidRPr="00981DC5">
        <w:rPr>
          <w:rFonts w:ascii="Book Antiqua" w:hAnsi="Book Antiqua" w:cs="Calibri"/>
          <w:color w:val="000000" w:themeColor="text1"/>
          <w:sz w:val="24"/>
          <w:szCs w:val="24"/>
          <w:lang w:val="en-US"/>
        </w:rPr>
        <w:t xml:space="preserve"> Gemcitabine + nab-Paclitaxel</w:t>
      </w:r>
      <w:r>
        <w:rPr>
          <w:rFonts w:ascii="Book Antiqua" w:hAnsi="Book Antiqua" w:cs="Calibri"/>
          <w:color w:val="000000" w:themeColor="text1"/>
          <w:sz w:val="24"/>
          <w:szCs w:val="24"/>
          <w:lang w:val="en-US"/>
        </w:rPr>
        <w:t>;</w:t>
      </w:r>
      <w:r w:rsidRPr="00981DC5">
        <w:rPr>
          <w:rFonts w:ascii="Book Antiqua" w:hAnsi="Book Antiqua" w:cs="Calibri"/>
          <w:color w:val="000000" w:themeColor="text1"/>
          <w:sz w:val="24"/>
          <w:szCs w:val="24"/>
          <w:lang w:val="en-US"/>
        </w:rPr>
        <w:t xml:space="preserve"> FOLFOXIRI</w:t>
      </w:r>
      <w:r>
        <w:rPr>
          <w:rFonts w:ascii="Book Antiqua" w:hAnsi="Book Antiqua" w:cs="Calibri"/>
          <w:color w:val="000000" w:themeColor="text1"/>
          <w:sz w:val="24"/>
          <w:szCs w:val="24"/>
          <w:lang w:val="en-US"/>
        </w:rPr>
        <w:t>:</w:t>
      </w:r>
      <w:r w:rsidRPr="00981DC5">
        <w:rPr>
          <w:rFonts w:ascii="Book Antiqua" w:hAnsi="Book Antiqua" w:cs="Calibri"/>
          <w:color w:val="000000" w:themeColor="text1"/>
          <w:sz w:val="24"/>
          <w:szCs w:val="24"/>
          <w:lang w:val="en-US"/>
        </w:rPr>
        <w:t xml:space="preserve"> 5-Fluorouracil + </w:t>
      </w:r>
      <w:proofErr w:type="spellStart"/>
      <w:r w:rsidRPr="00981DC5">
        <w:rPr>
          <w:rFonts w:ascii="Book Antiqua" w:hAnsi="Book Antiqua" w:cs="Calibri"/>
          <w:color w:val="000000" w:themeColor="text1"/>
          <w:sz w:val="24"/>
          <w:szCs w:val="24"/>
          <w:lang w:val="en-US"/>
        </w:rPr>
        <w:t>Folinic</w:t>
      </w:r>
      <w:proofErr w:type="spellEnd"/>
      <w:r w:rsidRPr="00981DC5">
        <w:rPr>
          <w:rFonts w:ascii="Book Antiqua" w:hAnsi="Book Antiqua" w:cs="Calibri"/>
          <w:color w:val="000000" w:themeColor="text1"/>
          <w:sz w:val="24"/>
          <w:szCs w:val="24"/>
          <w:lang w:val="en-US"/>
        </w:rPr>
        <w:t xml:space="preserve"> acid + Oxaliplatin + Irinotecan.</w:t>
      </w:r>
    </w:p>
    <w:p w14:paraId="5AFF1389" w14:textId="5B426D70" w:rsidR="00F40166" w:rsidRPr="00981DC5" w:rsidRDefault="00F40166" w:rsidP="00B11A05">
      <w:pPr>
        <w:adjustRightInd w:val="0"/>
        <w:snapToGrid w:val="0"/>
        <w:spacing w:after="0" w:line="360" w:lineRule="auto"/>
        <w:jc w:val="both"/>
        <w:rPr>
          <w:rFonts w:ascii="Book Antiqua" w:hAnsi="Book Antiqua" w:cs="Calibri"/>
          <w:color w:val="000000" w:themeColor="text1"/>
          <w:sz w:val="24"/>
          <w:szCs w:val="24"/>
          <w:lang w:val="en-US"/>
        </w:rPr>
      </w:pPr>
    </w:p>
    <w:p w14:paraId="1E6D4917" w14:textId="5588B844" w:rsidR="00F40166" w:rsidRPr="00981DC5" w:rsidRDefault="00F40166" w:rsidP="00B11A05">
      <w:pPr>
        <w:adjustRightInd w:val="0"/>
        <w:snapToGrid w:val="0"/>
        <w:spacing w:after="0" w:line="360" w:lineRule="auto"/>
        <w:jc w:val="both"/>
        <w:rPr>
          <w:rFonts w:ascii="Book Antiqua" w:hAnsi="Book Antiqua" w:cs="Calibri"/>
          <w:color w:val="000000" w:themeColor="text1"/>
          <w:sz w:val="24"/>
          <w:szCs w:val="24"/>
          <w:lang w:val="en-US"/>
        </w:rPr>
      </w:pPr>
      <w:r w:rsidRPr="00981DC5">
        <w:rPr>
          <w:rFonts w:ascii="Book Antiqua" w:hAnsi="Book Antiqua" w:cs="Calibri"/>
          <w:color w:val="000000" w:themeColor="text1"/>
          <w:sz w:val="24"/>
          <w:szCs w:val="24"/>
          <w:lang w:val="en-US"/>
        </w:rPr>
        <w:br w:type="page"/>
      </w:r>
    </w:p>
    <w:p w14:paraId="5DAD4524" w14:textId="4982A02B" w:rsidR="00D54D7A" w:rsidRPr="00981DC5" w:rsidRDefault="00AD5BBD" w:rsidP="00B11A05">
      <w:pPr>
        <w:adjustRightInd w:val="0"/>
        <w:snapToGrid w:val="0"/>
        <w:spacing w:after="0" w:line="360" w:lineRule="auto"/>
        <w:jc w:val="both"/>
        <w:rPr>
          <w:rFonts w:ascii="Book Antiqua" w:hAnsi="Book Antiqua" w:cs="Calibri"/>
          <w:b/>
          <w:bCs/>
          <w:color w:val="000000" w:themeColor="text1"/>
          <w:sz w:val="24"/>
          <w:szCs w:val="24"/>
          <w:lang w:val="en-US"/>
        </w:rPr>
      </w:pPr>
      <w:r w:rsidRPr="00981DC5">
        <w:rPr>
          <w:rFonts w:ascii="Book Antiqua" w:hAnsi="Book Antiqua" w:cs="Calibri"/>
          <w:b/>
          <w:bCs/>
          <w:color w:val="000000" w:themeColor="text1"/>
          <w:sz w:val="24"/>
          <w:szCs w:val="24"/>
          <w:lang w:val="en-US"/>
        </w:rPr>
        <w:lastRenderedPageBreak/>
        <w:t xml:space="preserve">Table 3 Results of exposure to chemotherapy in </w:t>
      </w:r>
      <w:proofErr w:type="spellStart"/>
      <w:r w:rsidRPr="00981DC5">
        <w:rPr>
          <w:rFonts w:ascii="Book Antiqua" w:hAnsi="Book Antiqua" w:cs="Calibri"/>
          <w:b/>
          <w:bCs/>
          <w:color w:val="000000" w:themeColor="text1"/>
          <w:sz w:val="24"/>
          <w:szCs w:val="24"/>
          <w:lang w:val="en-US"/>
        </w:rPr>
        <w:t>xenotransplanted</w:t>
      </w:r>
      <w:proofErr w:type="spellEnd"/>
      <w:r w:rsidRPr="00981DC5">
        <w:rPr>
          <w:rFonts w:ascii="Book Antiqua" w:hAnsi="Book Antiqua" w:cs="Calibri"/>
          <w:b/>
          <w:bCs/>
          <w:color w:val="000000" w:themeColor="text1"/>
          <w:sz w:val="24"/>
          <w:szCs w:val="24"/>
          <w:lang w:val="en-US"/>
        </w:rPr>
        <w:t xml:space="preserve"> zebrafish embryos</w:t>
      </w:r>
    </w:p>
    <w:tbl>
      <w:tblPr>
        <w:tblW w:w="0" w:type="auto"/>
        <w:tblInd w:w="-856" w:type="dxa"/>
        <w:tblBorders>
          <w:top w:val="single" w:sz="4" w:space="0" w:color="auto"/>
          <w:bottom w:val="single" w:sz="4" w:space="0" w:color="auto"/>
        </w:tblBorders>
        <w:tblLook w:val="04A0" w:firstRow="1" w:lastRow="0" w:firstColumn="1" w:lastColumn="0" w:noHBand="0" w:noVBand="1"/>
      </w:tblPr>
      <w:tblGrid>
        <w:gridCol w:w="511"/>
        <w:gridCol w:w="685"/>
        <w:gridCol w:w="549"/>
        <w:gridCol w:w="620"/>
        <w:gridCol w:w="422"/>
        <w:gridCol w:w="685"/>
        <w:gridCol w:w="549"/>
        <w:gridCol w:w="620"/>
        <w:gridCol w:w="713"/>
        <w:gridCol w:w="685"/>
        <w:gridCol w:w="549"/>
        <w:gridCol w:w="620"/>
        <w:gridCol w:w="713"/>
        <w:gridCol w:w="685"/>
        <w:gridCol w:w="549"/>
        <w:gridCol w:w="620"/>
        <w:gridCol w:w="713"/>
      </w:tblGrid>
      <w:tr w:rsidR="00981DC5" w:rsidRPr="00981DC5" w14:paraId="204E9FA3" w14:textId="77777777" w:rsidTr="00AA0F16">
        <w:tc>
          <w:tcPr>
            <w:tcW w:w="2787" w:type="dxa"/>
            <w:gridSpan w:val="5"/>
            <w:tcBorders>
              <w:bottom w:val="nil"/>
            </w:tcBorders>
            <w:shd w:val="clear" w:color="auto" w:fill="auto"/>
          </w:tcPr>
          <w:p w14:paraId="4C982540" w14:textId="0FB15939"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b/>
                <w:bCs/>
                <w:color w:val="000000" w:themeColor="text1"/>
                <w:lang w:val="en-US"/>
              </w:rPr>
            </w:pPr>
            <w:r w:rsidRPr="00981DC5">
              <w:rPr>
                <w:rFonts w:ascii="Book Antiqua" w:hAnsi="Book Antiqua" w:cs="Calibri"/>
                <w:b/>
                <w:bCs/>
                <w:color w:val="000000" w:themeColor="text1"/>
                <w:lang w:val="en-US"/>
              </w:rPr>
              <w:t xml:space="preserve">Mean </w:t>
            </w:r>
            <w:r w:rsidR="00AD5BBD" w:rsidRPr="00981DC5">
              <w:rPr>
                <w:rFonts w:ascii="Book Antiqua" w:hAnsi="Book Antiqua" w:cs="Calibri"/>
                <w:b/>
                <w:bCs/>
                <w:color w:val="000000" w:themeColor="text1"/>
                <w:lang w:val="en-US"/>
              </w:rPr>
              <w:t>relative tumor area</w:t>
            </w:r>
          </w:p>
        </w:tc>
        <w:tc>
          <w:tcPr>
            <w:tcW w:w="2567" w:type="dxa"/>
            <w:gridSpan w:val="4"/>
            <w:tcBorders>
              <w:bottom w:val="nil"/>
            </w:tcBorders>
            <w:shd w:val="clear" w:color="auto" w:fill="auto"/>
          </w:tcPr>
          <w:p w14:paraId="03D9D6DB" w14:textId="665A4EA6"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b/>
                <w:bCs/>
                <w:color w:val="000000" w:themeColor="text1"/>
                <w:lang w:val="en-US"/>
              </w:rPr>
            </w:pPr>
            <w:r w:rsidRPr="00981DC5">
              <w:rPr>
                <w:rFonts w:ascii="Book Antiqua" w:hAnsi="Book Antiqua" w:cs="Calibri"/>
                <w:b/>
                <w:bCs/>
                <w:color w:val="000000" w:themeColor="text1"/>
                <w:lang w:val="en-US"/>
              </w:rPr>
              <w:t xml:space="preserve">Mean </w:t>
            </w:r>
            <w:r w:rsidR="00AD5BBD" w:rsidRPr="00981DC5">
              <w:rPr>
                <w:rFonts w:ascii="Book Antiqua" w:hAnsi="Book Antiqua" w:cs="Calibri"/>
                <w:b/>
                <w:bCs/>
                <w:color w:val="000000" w:themeColor="text1"/>
                <w:lang w:val="en-US"/>
              </w:rPr>
              <w:t>difference</w:t>
            </w:r>
          </w:p>
        </w:tc>
        <w:tc>
          <w:tcPr>
            <w:tcW w:w="2567" w:type="dxa"/>
            <w:gridSpan w:val="4"/>
            <w:tcBorders>
              <w:bottom w:val="nil"/>
            </w:tcBorders>
            <w:shd w:val="clear" w:color="auto" w:fill="auto"/>
          </w:tcPr>
          <w:p w14:paraId="5714316D" w14:textId="7D1BFE3D"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b/>
                <w:bCs/>
                <w:color w:val="000000" w:themeColor="text1"/>
                <w:lang w:val="en-US"/>
              </w:rPr>
            </w:pPr>
            <w:r w:rsidRPr="00981DC5">
              <w:rPr>
                <w:rFonts w:ascii="Book Antiqua" w:hAnsi="Book Antiqua" w:cs="Calibri"/>
                <w:b/>
                <w:bCs/>
                <w:color w:val="000000" w:themeColor="text1"/>
                <w:lang w:val="en-US"/>
              </w:rPr>
              <w:t>95%CI</w:t>
            </w:r>
          </w:p>
        </w:tc>
        <w:tc>
          <w:tcPr>
            <w:tcW w:w="2567" w:type="dxa"/>
            <w:gridSpan w:val="4"/>
            <w:tcBorders>
              <w:bottom w:val="nil"/>
            </w:tcBorders>
            <w:shd w:val="clear" w:color="auto" w:fill="auto"/>
          </w:tcPr>
          <w:p w14:paraId="3CB90055" w14:textId="0D4BEF38" w:rsidR="00D54D7A" w:rsidRPr="00981DC5" w:rsidRDefault="00AD5BBD" w:rsidP="00B11A05">
            <w:pPr>
              <w:pStyle w:val="aa"/>
              <w:adjustRightInd w:val="0"/>
              <w:snapToGrid w:val="0"/>
              <w:spacing w:before="0" w:beforeAutospacing="0" w:after="0" w:afterAutospacing="0" w:line="360" w:lineRule="auto"/>
              <w:jc w:val="both"/>
              <w:rPr>
                <w:rFonts w:ascii="Book Antiqua" w:hAnsi="Book Antiqua" w:cs="Calibri"/>
                <w:b/>
                <w:bCs/>
                <w:color w:val="000000" w:themeColor="text1"/>
                <w:lang w:val="en-US"/>
              </w:rPr>
            </w:pPr>
            <w:r w:rsidRPr="00981DC5">
              <w:rPr>
                <w:rFonts w:ascii="Book Antiqua" w:hAnsi="Book Antiqua" w:cs="Calibri"/>
                <w:b/>
                <w:bCs/>
                <w:i/>
                <w:iCs/>
                <w:color w:val="000000" w:themeColor="text1"/>
                <w:lang w:val="en-US"/>
              </w:rPr>
              <w:t>P</w:t>
            </w:r>
            <w:r w:rsidR="00D54D7A" w:rsidRPr="00981DC5">
              <w:rPr>
                <w:rFonts w:ascii="Book Antiqua" w:hAnsi="Book Antiqua" w:cs="Calibri"/>
                <w:b/>
                <w:bCs/>
                <w:color w:val="000000" w:themeColor="text1"/>
                <w:lang w:val="en-US"/>
              </w:rPr>
              <w:t xml:space="preserve"> value</w:t>
            </w:r>
          </w:p>
        </w:tc>
      </w:tr>
      <w:tr w:rsidR="00981DC5" w:rsidRPr="00981DC5" w14:paraId="05964CC0" w14:textId="77777777" w:rsidTr="00AA0F16">
        <w:tc>
          <w:tcPr>
            <w:tcW w:w="511" w:type="dxa"/>
            <w:tcBorders>
              <w:top w:val="nil"/>
              <w:bottom w:val="single" w:sz="4" w:space="0" w:color="auto"/>
            </w:tcBorders>
            <w:shd w:val="clear" w:color="auto" w:fill="auto"/>
          </w:tcPr>
          <w:p w14:paraId="034EF321"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b/>
                <w:bCs/>
                <w:color w:val="000000" w:themeColor="text1"/>
                <w:lang w:val="en-US"/>
              </w:rPr>
            </w:pPr>
            <w:r w:rsidRPr="00981DC5">
              <w:rPr>
                <w:rFonts w:ascii="Book Antiqua" w:hAnsi="Book Antiqua" w:cs="Calibri"/>
                <w:b/>
                <w:bCs/>
                <w:color w:val="000000" w:themeColor="text1"/>
                <w:lang w:val="en-US"/>
              </w:rPr>
              <w:t>Control group</w:t>
            </w:r>
          </w:p>
        </w:tc>
        <w:tc>
          <w:tcPr>
            <w:tcW w:w="685" w:type="dxa"/>
            <w:tcBorders>
              <w:top w:val="nil"/>
              <w:bottom w:val="single" w:sz="4" w:space="0" w:color="auto"/>
            </w:tcBorders>
            <w:shd w:val="clear" w:color="auto" w:fill="auto"/>
          </w:tcPr>
          <w:p w14:paraId="06D1F456"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b/>
                <w:bCs/>
                <w:color w:val="000000" w:themeColor="text1"/>
                <w:lang w:val="en-US"/>
              </w:rPr>
            </w:pPr>
            <w:r w:rsidRPr="00981DC5">
              <w:rPr>
                <w:rFonts w:ascii="Book Antiqua" w:hAnsi="Book Antiqua" w:cs="Calibri"/>
                <w:b/>
                <w:bCs/>
                <w:color w:val="000000" w:themeColor="text1"/>
                <w:lang w:val="en-US"/>
              </w:rPr>
              <w:t>FOLFOXIRI</w:t>
            </w:r>
          </w:p>
        </w:tc>
        <w:tc>
          <w:tcPr>
            <w:tcW w:w="549" w:type="dxa"/>
            <w:tcBorders>
              <w:top w:val="nil"/>
              <w:bottom w:val="single" w:sz="4" w:space="0" w:color="auto"/>
            </w:tcBorders>
            <w:shd w:val="clear" w:color="auto" w:fill="auto"/>
          </w:tcPr>
          <w:p w14:paraId="3F973553"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b/>
                <w:bCs/>
                <w:color w:val="000000" w:themeColor="text1"/>
                <w:lang w:val="en-US"/>
              </w:rPr>
            </w:pPr>
            <w:r w:rsidRPr="00981DC5">
              <w:rPr>
                <w:rFonts w:ascii="Book Antiqua" w:hAnsi="Book Antiqua" w:cs="Calibri"/>
                <w:b/>
                <w:bCs/>
                <w:color w:val="000000" w:themeColor="text1"/>
                <w:lang w:val="en-US"/>
              </w:rPr>
              <w:t>GEMOX</w:t>
            </w:r>
          </w:p>
        </w:tc>
        <w:tc>
          <w:tcPr>
            <w:tcW w:w="620" w:type="dxa"/>
            <w:tcBorders>
              <w:top w:val="nil"/>
              <w:bottom w:val="single" w:sz="4" w:space="0" w:color="auto"/>
            </w:tcBorders>
            <w:shd w:val="clear" w:color="auto" w:fill="auto"/>
          </w:tcPr>
          <w:p w14:paraId="26E596D3"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b/>
                <w:bCs/>
                <w:color w:val="000000" w:themeColor="text1"/>
                <w:lang w:val="en-US"/>
              </w:rPr>
            </w:pPr>
            <w:r w:rsidRPr="00981DC5">
              <w:rPr>
                <w:rFonts w:ascii="Book Antiqua" w:hAnsi="Book Antiqua" w:cs="Calibri"/>
                <w:b/>
                <w:bCs/>
                <w:color w:val="000000" w:themeColor="text1"/>
                <w:lang w:val="en-US"/>
              </w:rPr>
              <w:t>GEM/nab-P</w:t>
            </w:r>
          </w:p>
        </w:tc>
        <w:tc>
          <w:tcPr>
            <w:tcW w:w="422" w:type="dxa"/>
            <w:tcBorders>
              <w:top w:val="nil"/>
              <w:bottom w:val="single" w:sz="4" w:space="0" w:color="auto"/>
            </w:tcBorders>
            <w:shd w:val="clear" w:color="auto" w:fill="auto"/>
          </w:tcPr>
          <w:p w14:paraId="50D7D380"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b/>
                <w:bCs/>
                <w:color w:val="000000" w:themeColor="text1"/>
                <w:lang w:val="en-US"/>
              </w:rPr>
            </w:pPr>
            <w:r w:rsidRPr="00981DC5">
              <w:rPr>
                <w:rFonts w:ascii="Book Antiqua" w:hAnsi="Book Antiqua" w:cs="Calibri"/>
                <w:b/>
                <w:bCs/>
                <w:color w:val="000000" w:themeColor="text1"/>
                <w:lang w:val="en-US"/>
              </w:rPr>
              <w:t>GEM</w:t>
            </w:r>
          </w:p>
        </w:tc>
        <w:tc>
          <w:tcPr>
            <w:tcW w:w="685" w:type="dxa"/>
            <w:tcBorders>
              <w:top w:val="nil"/>
              <w:bottom w:val="single" w:sz="4" w:space="0" w:color="auto"/>
            </w:tcBorders>
            <w:shd w:val="clear" w:color="auto" w:fill="auto"/>
          </w:tcPr>
          <w:p w14:paraId="02D9ADD8" w14:textId="70EF99A2" w:rsidR="00D54D7A" w:rsidRPr="00981DC5" w:rsidRDefault="00D54D7A" w:rsidP="00B11A05">
            <w:pPr>
              <w:adjustRightInd w:val="0"/>
              <w:snapToGrid w:val="0"/>
              <w:spacing w:after="0" w:line="360" w:lineRule="auto"/>
              <w:jc w:val="both"/>
              <w:rPr>
                <w:rFonts w:ascii="Book Antiqua" w:hAnsi="Book Antiqua" w:cs="Calibri"/>
                <w:b/>
                <w:bCs/>
                <w:color w:val="000000" w:themeColor="text1"/>
                <w:sz w:val="24"/>
                <w:szCs w:val="24"/>
                <w:lang w:val="en-US"/>
              </w:rPr>
            </w:pPr>
            <w:r w:rsidRPr="00981DC5">
              <w:rPr>
                <w:rFonts w:ascii="Book Antiqua" w:hAnsi="Book Antiqua" w:cs="Calibri"/>
                <w:b/>
                <w:bCs/>
                <w:color w:val="000000" w:themeColor="text1"/>
                <w:sz w:val="24"/>
                <w:szCs w:val="24"/>
                <w:lang w:val="en-US"/>
              </w:rPr>
              <w:t>k</w:t>
            </w:r>
            <w:r w:rsidR="00EB33B3" w:rsidRPr="00981DC5">
              <w:rPr>
                <w:rFonts w:ascii="Book Antiqua" w:hAnsi="Book Antiqua" w:cs="Calibri"/>
                <w:b/>
                <w:bCs/>
                <w:color w:val="000000" w:themeColor="text1"/>
                <w:sz w:val="24"/>
                <w:szCs w:val="24"/>
                <w:lang w:val="en-US"/>
              </w:rPr>
              <w:t xml:space="preserve"> </w:t>
            </w:r>
            <w:r w:rsidR="00EB33B3" w:rsidRPr="00981DC5">
              <w:rPr>
                <w:rFonts w:ascii="Book Antiqua" w:hAnsi="Book Antiqua" w:cs="Calibri"/>
                <w:b/>
                <w:bCs/>
                <w:i/>
                <w:color w:val="000000" w:themeColor="text1"/>
                <w:sz w:val="24"/>
                <w:szCs w:val="24"/>
                <w:lang w:val="en-US"/>
              </w:rPr>
              <w:t>vs</w:t>
            </w:r>
            <w:r w:rsidRPr="00981DC5">
              <w:rPr>
                <w:rFonts w:ascii="Book Antiqua" w:hAnsi="Book Antiqua" w:cs="Calibri"/>
                <w:b/>
                <w:bCs/>
                <w:color w:val="000000" w:themeColor="text1"/>
                <w:sz w:val="24"/>
                <w:szCs w:val="24"/>
                <w:lang w:val="en-US"/>
              </w:rPr>
              <w:t xml:space="preserve"> FOLFOXIRI</w:t>
            </w:r>
          </w:p>
        </w:tc>
        <w:tc>
          <w:tcPr>
            <w:tcW w:w="549" w:type="dxa"/>
            <w:tcBorders>
              <w:top w:val="nil"/>
              <w:bottom w:val="single" w:sz="4" w:space="0" w:color="auto"/>
            </w:tcBorders>
            <w:shd w:val="clear" w:color="auto" w:fill="auto"/>
          </w:tcPr>
          <w:p w14:paraId="73EEF0DC" w14:textId="36352279"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b/>
                <w:bCs/>
                <w:color w:val="000000" w:themeColor="text1"/>
                <w:lang w:val="en-US"/>
              </w:rPr>
            </w:pPr>
            <w:r w:rsidRPr="00981DC5">
              <w:rPr>
                <w:rFonts w:ascii="Book Antiqua" w:hAnsi="Book Antiqua" w:cs="Calibri"/>
                <w:b/>
                <w:bCs/>
                <w:color w:val="000000" w:themeColor="text1"/>
                <w:lang w:val="en-US"/>
              </w:rPr>
              <w:t>k</w:t>
            </w:r>
            <w:r w:rsidR="00EB33B3" w:rsidRPr="00981DC5">
              <w:rPr>
                <w:rFonts w:ascii="Book Antiqua" w:hAnsi="Book Antiqua" w:cs="Calibri"/>
                <w:b/>
                <w:bCs/>
                <w:color w:val="000000" w:themeColor="text1"/>
                <w:lang w:val="en-US"/>
              </w:rPr>
              <w:t xml:space="preserve"> </w:t>
            </w:r>
            <w:r w:rsidR="00EB33B3" w:rsidRPr="00981DC5">
              <w:rPr>
                <w:rFonts w:ascii="Book Antiqua" w:hAnsi="Book Antiqua" w:cs="Calibri"/>
                <w:b/>
                <w:bCs/>
                <w:i/>
                <w:color w:val="000000" w:themeColor="text1"/>
                <w:lang w:val="en-US"/>
              </w:rPr>
              <w:t>vs</w:t>
            </w:r>
            <w:r w:rsidRPr="00981DC5">
              <w:rPr>
                <w:rFonts w:ascii="Book Antiqua" w:hAnsi="Book Antiqua" w:cs="Calibri"/>
                <w:b/>
                <w:bCs/>
                <w:color w:val="000000" w:themeColor="text1"/>
                <w:lang w:val="en-US"/>
              </w:rPr>
              <w:t xml:space="preserve"> GEMOX</w:t>
            </w:r>
          </w:p>
        </w:tc>
        <w:tc>
          <w:tcPr>
            <w:tcW w:w="620" w:type="dxa"/>
            <w:tcBorders>
              <w:top w:val="nil"/>
              <w:bottom w:val="single" w:sz="4" w:space="0" w:color="auto"/>
            </w:tcBorders>
            <w:shd w:val="clear" w:color="auto" w:fill="auto"/>
          </w:tcPr>
          <w:p w14:paraId="309B2D5F" w14:textId="3591AF84"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b/>
                <w:bCs/>
                <w:color w:val="000000" w:themeColor="text1"/>
                <w:lang w:val="en-US"/>
              </w:rPr>
            </w:pPr>
            <w:r w:rsidRPr="00981DC5">
              <w:rPr>
                <w:rFonts w:ascii="Book Antiqua" w:hAnsi="Book Antiqua" w:cs="Calibri"/>
                <w:b/>
                <w:bCs/>
                <w:color w:val="000000" w:themeColor="text1"/>
                <w:lang w:val="en-US"/>
              </w:rPr>
              <w:t>k</w:t>
            </w:r>
            <w:r w:rsidR="00EB33B3" w:rsidRPr="00981DC5">
              <w:rPr>
                <w:rFonts w:ascii="Book Antiqua" w:hAnsi="Book Antiqua" w:cs="Calibri"/>
                <w:b/>
                <w:bCs/>
                <w:color w:val="000000" w:themeColor="text1"/>
                <w:lang w:val="en-US"/>
              </w:rPr>
              <w:t xml:space="preserve"> </w:t>
            </w:r>
            <w:r w:rsidR="00EB33B3" w:rsidRPr="00981DC5">
              <w:rPr>
                <w:rFonts w:ascii="Book Antiqua" w:hAnsi="Book Antiqua" w:cs="Calibri"/>
                <w:b/>
                <w:bCs/>
                <w:i/>
                <w:color w:val="000000" w:themeColor="text1"/>
                <w:lang w:val="en-US"/>
              </w:rPr>
              <w:t>vs</w:t>
            </w:r>
            <w:r w:rsidRPr="00981DC5">
              <w:rPr>
                <w:rFonts w:ascii="Book Antiqua" w:hAnsi="Book Antiqua" w:cs="Calibri"/>
                <w:b/>
                <w:bCs/>
                <w:color w:val="000000" w:themeColor="text1"/>
                <w:lang w:val="en-US"/>
              </w:rPr>
              <w:t xml:space="preserve"> GEM/nab-P</w:t>
            </w:r>
          </w:p>
        </w:tc>
        <w:tc>
          <w:tcPr>
            <w:tcW w:w="713" w:type="dxa"/>
            <w:tcBorders>
              <w:top w:val="nil"/>
              <w:bottom w:val="single" w:sz="4" w:space="0" w:color="auto"/>
            </w:tcBorders>
            <w:shd w:val="clear" w:color="auto" w:fill="auto"/>
          </w:tcPr>
          <w:p w14:paraId="4C28733F" w14:textId="7BF447C0"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b/>
                <w:bCs/>
                <w:color w:val="000000" w:themeColor="text1"/>
                <w:lang w:val="en-US"/>
              </w:rPr>
            </w:pPr>
            <w:r w:rsidRPr="00981DC5">
              <w:rPr>
                <w:rFonts w:ascii="Book Antiqua" w:hAnsi="Book Antiqua" w:cs="Calibri"/>
                <w:b/>
                <w:bCs/>
                <w:color w:val="000000" w:themeColor="text1"/>
                <w:lang w:val="en-US"/>
              </w:rPr>
              <w:t>k</w:t>
            </w:r>
            <w:r w:rsidR="00EB33B3" w:rsidRPr="00981DC5">
              <w:rPr>
                <w:rFonts w:ascii="Book Antiqua" w:hAnsi="Book Antiqua" w:cs="Calibri"/>
                <w:b/>
                <w:bCs/>
                <w:color w:val="000000" w:themeColor="text1"/>
                <w:lang w:val="en-US"/>
              </w:rPr>
              <w:t xml:space="preserve"> </w:t>
            </w:r>
            <w:r w:rsidR="00EB33B3" w:rsidRPr="00981DC5">
              <w:rPr>
                <w:rFonts w:ascii="Book Antiqua" w:hAnsi="Book Antiqua" w:cs="Calibri"/>
                <w:b/>
                <w:bCs/>
                <w:i/>
                <w:color w:val="000000" w:themeColor="text1"/>
                <w:lang w:val="en-US"/>
              </w:rPr>
              <w:t>vs</w:t>
            </w:r>
            <w:r w:rsidRPr="00981DC5">
              <w:rPr>
                <w:rFonts w:ascii="Book Antiqua" w:hAnsi="Book Antiqua" w:cs="Calibri"/>
                <w:b/>
                <w:bCs/>
                <w:color w:val="000000" w:themeColor="text1"/>
                <w:lang w:val="en-US"/>
              </w:rPr>
              <w:t xml:space="preserve"> Gemcitabine</w:t>
            </w:r>
          </w:p>
        </w:tc>
        <w:tc>
          <w:tcPr>
            <w:tcW w:w="685" w:type="dxa"/>
            <w:tcBorders>
              <w:top w:val="nil"/>
              <w:bottom w:val="single" w:sz="4" w:space="0" w:color="auto"/>
            </w:tcBorders>
            <w:shd w:val="clear" w:color="auto" w:fill="auto"/>
          </w:tcPr>
          <w:p w14:paraId="46DA1AA4" w14:textId="30D55A1C"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b/>
                <w:bCs/>
                <w:color w:val="000000" w:themeColor="text1"/>
                <w:lang w:val="en-US"/>
              </w:rPr>
            </w:pPr>
            <w:r w:rsidRPr="00981DC5">
              <w:rPr>
                <w:rFonts w:ascii="Book Antiqua" w:hAnsi="Book Antiqua" w:cs="Calibri"/>
                <w:b/>
                <w:bCs/>
                <w:color w:val="000000" w:themeColor="text1"/>
                <w:lang w:val="en-US"/>
              </w:rPr>
              <w:t xml:space="preserve">k </w:t>
            </w:r>
            <w:r w:rsidR="00EB33B3" w:rsidRPr="00981DC5">
              <w:rPr>
                <w:rFonts w:ascii="Book Antiqua" w:hAnsi="Book Antiqua" w:cs="Calibri"/>
                <w:b/>
                <w:bCs/>
                <w:i/>
                <w:color w:val="000000" w:themeColor="text1"/>
                <w:lang w:val="en-US"/>
              </w:rPr>
              <w:t>vs</w:t>
            </w:r>
            <w:r w:rsidRPr="00981DC5">
              <w:rPr>
                <w:rFonts w:ascii="Book Antiqua" w:hAnsi="Book Antiqua" w:cs="Calibri"/>
                <w:b/>
                <w:bCs/>
                <w:color w:val="000000" w:themeColor="text1"/>
                <w:lang w:val="en-US"/>
              </w:rPr>
              <w:t xml:space="preserve"> FOLFOXIRI</w:t>
            </w:r>
          </w:p>
        </w:tc>
        <w:tc>
          <w:tcPr>
            <w:tcW w:w="549" w:type="dxa"/>
            <w:tcBorders>
              <w:top w:val="nil"/>
              <w:bottom w:val="single" w:sz="4" w:space="0" w:color="auto"/>
            </w:tcBorders>
            <w:shd w:val="clear" w:color="auto" w:fill="auto"/>
          </w:tcPr>
          <w:p w14:paraId="383CEEDA" w14:textId="77897B71"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b/>
                <w:bCs/>
                <w:color w:val="000000" w:themeColor="text1"/>
                <w:lang w:val="en-US"/>
              </w:rPr>
            </w:pPr>
            <w:r w:rsidRPr="00981DC5">
              <w:rPr>
                <w:rFonts w:ascii="Book Antiqua" w:hAnsi="Book Antiqua" w:cs="Calibri"/>
                <w:b/>
                <w:bCs/>
                <w:color w:val="000000" w:themeColor="text1"/>
                <w:lang w:val="en-US"/>
              </w:rPr>
              <w:t xml:space="preserve">k </w:t>
            </w:r>
            <w:r w:rsidR="00EB33B3" w:rsidRPr="00981DC5">
              <w:rPr>
                <w:rFonts w:ascii="Book Antiqua" w:hAnsi="Book Antiqua" w:cs="Calibri"/>
                <w:b/>
                <w:bCs/>
                <w:i/>
                <w:color w:val="000000" w:themeColor="text1"/>
                <w:lang w:val="en-US"/>
              </w:rPr>
              <w:t>vs</w:t>
            </w:r>
            <w:r w:rsidRPr="00981DC5">
              <w:rPr>
                <w:rFonts w:ascii="Book Antiqua" w:hAnsi="Book Antiqua" w:cs="Calibri"/>
                <w:b/>
                <w:bCs/>
                <w:color w:val="000000" w:themeColor="text1"/>
                <w:lang w:val="en-US"/>
              </w:rPr>
              <w:t xml:space="preserve"> GEMOX</w:t>
            </w:r>
          </w:p>
        </w:tc>
        <w:tc>
          <w:tcPr>
            <w:tcW w:w="620" w:type="dxa"/>
            <w:tcBorders>
              <w:top w:val="nil"/>
              <w:bottom w:val="single" w:sz="4" w:space="0" w:color="auto"/>
            </w:tcBorders>
            <w:shd w:val="clear" w:color="auto" w:fill="auto"/>
          </w:tcPr>
          <w:p w14:paraId="14A402E8" w14:textId="054DDF81"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b/>
                <w:bCs/>
                <w:color w:val="000000" w:themeColor="text1"/>
                <w:lang w:val="en-US"/>
              </w:rPr>
            </w:pPr>
            <w:r w:rsidRPr="00981DC5">
              <w:rPr>
                <w:rFonts w:ascii="Book Antiqua" w:hAnsi="Book Antiqua" w:cs="Calibri"/>
                <w:b/>
                <w:bCs/>
                <w:color w:val="000000" w:themeColor="text1"/>
                <w:lang w:val="en-US"/>
              </w:rPr>
              <w:t xml:space="preserve">k </w:t>
            </w:r>
            <w:r w:rsidR="00EB33B3" w:rsidRPr="00981DC5">
              <w:rPr>
                <w:rFonts w:ascii="Book Antiqua" w:hAnsi="Book Antiqua" w:cs="Calibri"/>
                <w:b/>
                <w:bCs/>
                <w:i/>
                <w:color w:val="000000" w:themeColor="text1"/>
                <w:lang w:val="en-US"/>
              </w:rPr>
              <w:t>vs</w:t>
            </w:r>
            <w:r w:rsidRPr="00981DC5">
              <w:rPr>
                <w:rFonts w:ascii="Book Antiqua" w:hAnsi="Book Antiqua" w:cs="Calibri"/>
                <w:b/>
                <w:bCs/>
                <w:color w:val="000000" w:themeColor="text1"/>
                <w:lang w:val="en-US"/>
              </w:rPr>
              <w:t xml:space="preserve"> GEM/nab-P</w:t>
            </w:r>
          </w:p>
        </w:tc>
        <w:tc>
          <w:tcPr>
            <w:tcW w:w="713" w:type="dxa"/>
            <w:tcBorders>
              <w:top w:val="nil"/>
              <w:bottom w:val="single" w:sz="4" w:space="0" w:color="auto"/>
            </w:tcBorders>
            <w:shd w:val="clear" w:color="auto" w:fill="auto"/>
          </w:tcPr>
          <w:p w14:paraId="73102C5C" w14:textId="42713AB9"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b/>
                <w:bCs/>
                <w:color w:val="000000" w:themeColor="text1"/>
                <w:lang w:val="en-US"/>
              </w:rPr>
            </w:pPr>
            <w:r w:rsidRPr="00981DC5">
              <w:rPr>
                <w:rFonts w:ascii="Book Antiqua" w:hAnsi="Book Antiqua" w:cs="Calibri"/>
                <w:b/>
                <w:bCs/>
                <w:color w:val="000000" w:themeColor="text1"/>
                <w:lang w:val="en-US"/>
              </w:rPr>
              <w:t xml:space="preserve">k </w:t>
            </w:r>
            <w:r w:rsidR="00EB33B3" w:rsidRPr="00981DC5">
              <w:rPr>
                <w:rFonts w:ascii="Book Antiqua" w:hAnsi="Book Antiqua" w:cs="Calibri"/>
                <w:b/>
                <w:bCs/>
                <w:i/>
                <w:color w:val="000000" w:themeColor="text1"/>
                <w:lang w:val="en-US"/>
              </w:rPr>
              <w:t>vs</w:t>
            </w:r>
            <w:r w:rsidRPr="00981DC5">
              <w:rPr>
                <w:rFonts w:ascii="Book Antiqua" w:hAnsi="Book Antiqua" w:cs="Calibri"/>
                <w:b/>
                <w:bCs/>
                <w:color w:val="000000" w:themeColor="text1"/>
                <w:lang w:val="en-US"/>
              </w:rPr>
              <w:t xml:space="preserve"> Gemcitabine</w:t>
            </w:r>
          </w:p>
        </w:tc>
        <w:tc>
          <w:tcPr>
            <w:tcW w:w="685" w:type="dxa"/>
            <w:tcBorders>
              <w:top w:val="nil"/>
              <w:bottom w:val="single" w:sz="4" w:space="0" w:color="auto"/>
            </w:tcBorders>
            <w:shd w:val="clear" w:color="auto" w:fill="auto"/>
          </w:tcPr>
          <w:p w14:paraId="4E82BA76" w14:textId="060EDDC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b/>
                <w:bCs/>
                <w:color w:val="000000" w:themeColor="text1"/>
                <w:lang w:val="en-US"/>
              </w:rPr>
            </w:pPr>
            <w:r w:rsidRPr="00981DC5">
              <w:rPr>
                <w:rFonts w:ascii="Book Antiqua" w:hAnsi="Book Antiqua" w:cs="Calibri"/>
                <w:b/>
                <w:bCs/>
                <w:color w:val="000000" w:themeColor="text1"/>
                <w:lang w:val="en-US"/>
              </w:rPr>
              <w:t xml:space="preserve">k </w:t>
            </w:r>
            <w:r w:rsidR="00EB33B3" w:rsidRPr="00981DC5">
              <w:rPr>
                <w:rFonts w:ascii="Book Antiqua" w:hAnsi="Book Antiqua" w:cs="Calibri"/>
                <w:b/>
                <w:bCs/>
                <w:i/>
                <w:color w:val="000000" w:themeColor="text1"/>
                <w:lang w:val="en-US"/>
              </w:rPr>
              <w:t>vs</w:t>
            </w:r>
            <w:r w:rsidRPr="00981DC5">
              <w:rPr>
                <w:rFonts w:ascii="Book Antiqua" w:hAnsi="Book Antiqua" w:cs="Calibri"/>
                <w:b/>
                <w:bCs/>
                <w:color w:val="000000" w:themeColor="text1"/>
                <w:lang w:val="en-US"/>
              </w:rPr>
              <w:t xml:space="preserve"> FOLFOXIRI</w:t>
            </w:r>
          </w:p>
        </w:tc>
        <w:tc>
          <w:tcPr>
            <w:tcW w:w="549" w:type="dxa"/>
            <w:tcBorders>
              <w:top w:val="nil"/>
              <w:bottom w:val="single" w:sz="4" w:space="0" w:color="auto"/>
            </w:tcBorders>
            <w:shd w:val="clear" w:color="auto" w:fill="auto"/>
          </w:tcPr>
          <w:p w14:paraId="08381038" w14:textId="68881DB8"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b/>
                <w:bCs/>
                <w:color w:val="000000" w:themeColor="text1"/>
                <w:lang w:val="en-US"/>
              </w:rPr>
            </w:pPr>
            <w:r w:rsidRPr="00981DC5">
              <w:rPr>
                <w:rFonts w:ascii="Book Antiqua" w:hAnsi="Book Antiqua" w:cs="Calibri"/>
                <w:b/>
                <w:bCs/>
                <w:color w:val="000000" w:themeColor="text1"/>
                <w:lang w:val="en-US"/>
              </w:rPr>
              <w:t xml:space="preserve">k </w:t>
            </w:r>
            <w:r w:rsidR="00EB33B3" w:rsidRPr="00981DC5">
              <w:rPr>
                <w:rFonts w:ascii="Book Antiqua" w:hAnsi="Book Antiqua" w:cs="Calibri"/>
                <w:b/>
                <w:bCs/>
                <w:i/>
                <w:color w:val="000000" w:themeColor="text1"/>
                <w:lang w:val="en-US"/>
              </w:rPr>
              <w:t>vs</w:t>
            </w:r>
            <w:r w:rsidRPr="00981DC5">
              <w:rPr>
                <w:rFonts w:ascii="Book Antiqua" w:hAnsi="Book Antiqua" w:cs="Calibri"/>
                <w:b/>
                <w:bCs/>
                <w:color w:val="000000" w:themeColor="text1"/>
                <w:lang w:val="en-US"/>
              </w:rPr>
              <w:t xml:space="preserve"> GEMOX</w:t>
            </w:r>
          </w:p>
        </w:tc>
        <w:tc>
          <w:tcPr>
            <w:tcW w:w="620" w:type="dxa"/>
            <w:tcBorders>
              <w:top w:val="nil"/>
              <w:bottom w:val="single" w:sz="4" w:space="0" w:color="auto"/>
            </w:tcBorders>
            <w:shd w:val="clear" w:color="auto" w:fill="auto"/>
          </w:tcPr>
          <w:p w14:paraId="69D2F587" w14:textId="2CB5C5C8"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b/>
                <w:bCs/>
                <w:color w:val="000000" w:themeColor="text1"/>
                <w:lang w:val="en-US"/>
              </w:rPr>
            </w:pPr>
            <w:r w:rsidRPr="00981DC5">
              <w:rPr>
                <w:rFonts w:ascii="Book Antiqua" w:hAnsi="Book Antiqua" w:cs="Calibri"/>
                <w:b/>
                <w:bCs/>
                <w:color w:val="000000" w:themeColor="text1"/>
                <w:lang w:val="en-US"/>
              </w:rPr>
              <w:t xml:space="preserve">k </w:t>
            </w:r>
            <w:r w:rsidR="00EB33B3" w:rsidRPr="00981DC5">
              <w:rPr>
                <w:rFonts w:ascii="Book Antiqua" w:hAnsi="Book Antiqua" w:cs="Calibri"/>
                <w:b/>
                <w:bCs/>
                <w:i/>
                <w:color w:val="000000" w:themeColor="text1"/>
                <w:lang w:val="en-US"/>
              </w:rPr>
              <w:t>vs</w:t>
            </w:r>
            <w:r w:rsidRPr="00981DC5">
              <w:rPr>
                <w:rFonts w:ascii="Book Antiqua" w:hAnsi="Book Antiqua" w:cs="Calibri"/>
                <w:b/>
                <w:bCs/>
                <w:color w:val="000000" w:themeColor="text1"/>
                <w:lang w:val="en-US"/>
              </w:rPr>
              <w:t xml:space="preserve"> GEM/nab-P</w:t>
            </w:r>
          </w:p>
        </w:tc>
        <w:tc>
          <w:tcPr>
            <w:tcW w:w="713" w:type="dxa"/>
            <w:tcBorders>
              <w:top w:val="nil"/>
              <w:bottom w:val="single" w:sz="4" w:space="0" w:color="auto"/>
            </w:tcBorders>
            <w:shd w:val="clear" w:color="auto" w:fill="auto"/>
          </w:tcPr>
          <w:p w14:paraId="5D223D4B" w14:textId="1ACF6A29"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b/>
                <w:bCs/>
                <w:color w:val="000000" w:themeColor="text1"/>
                <w:lang w:val="en-US"/>
              </w:rPr>
            </w:pPr>
            <w:r w:rsidRPr="00981DC5">
              <w:rPr>
                <w:rFonts w:ascii="Book Antiqua" w:hAnsi="Book Antiqua" w:cs="Calibri"/>
                <w:b/>
                <w:bCs/>
                <w:color w:val="000000" w:themeColor="text1"/>
                <w:lang w:val="en-US"/>
              </w:rPr>
              <w:t xml:space="preserve">k </w:t>
            </w:r>
            <w:r w:rsidR="00EB33B3" w:rsidRPr="00981DC5">
              <w:rPr>
                <w:rFonts w:ascii="Book Antiqua" w:hAnsi="Book Antiqua" w:cs="Calibri"/>
                <w:b/>
                <w:bCs/>
                <w:i/>
                <w:color w:val="000000" w:themeColor="text1"/>
                <w:lang w:val="en-US"/>
              </w:rPr>
              <w:t>vs</w:t>
            </w:r>
            <w:r w:rsidRPr="00981DC5">
              <w:rPr>
                <w:rFonts w:ascii="Book Antiqua" w:hAnsi="Book Antiqua" w:cs="Calibri"/>
                <w:b/>
                <w:bCs/>
                <w:color w:val="000000" w:themeColor="text1"/>
                <w:lang w:val="en-US"/>
              </w:rPr>
              <w:t xml:space="preserve"> Gemcitabine</w:t>
            </w:r>
          </w:p>
        </w:tc>
      </w:tr>
      <w:tr w:rsidR="00981DC5" w:rsidRPr="00981DC5" w14:paraId="761B000B" w14:textId="77777777" w:rsidTr="00AA0F16">
        <w:tc>
          <w:tcPr>
            <w:tcW w:w="511" w:type="dxa"/>
            <w:tcBorders>
              <w:top w:val="single" w:sz="4" w:space="0" w:color="auto"/>
            </w:tcBorders>
            <w:shd w:val="clear" w:color="auto" w:fill="auto"/>
          </w:tcPr>
          <w:p w14:paraId="720B27CE"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3.026</w:t>
            </w:r>
          </w:p>
        </w:tc>
        <w:tc>
          <w:tcPr>
            <w:tcW w:w="685" w:type="dxa"/>
            <w:tcBorders>
              <w:top w:val="single" w:sz="4" w:space="0" w:color="auto"/>
            </w:tcBorders>
            <w:shd w:val="clear" w:color="auto" w:fill="auto"/>
          </w:tcPr>
          <w:p w14:paraId="310303AC" w14:textId="096C0BF8"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0.7</w:t>
            </w:r>
            <w:r w:rsidR="008F1AC1" w:rsidRPr="00981DC5">
              <w:rPr>
                <w:rFonts w:ascii="Book Antiqua" w:hAnsi="Book Antiqua" w:cs="Calibri"/>
                <w:color w:val="000000" w:themeColor="text1"/>
                <w:lang w:val="en-US"/>
              </w:rPr>
              <w:t>90</w:t>
            </w:r>
          </w:p>
        </w:tc>
        <w:tc>
          <w:tcPr>
            <w:tcW w:w="549" w:type="dxa"/>
            <w:tcBorders>
              <w:top w:val="single" w:sz="4" w:space="0" w:color="auto"/>
            </w:tcBorders>
            <w:shd w:val="clear" w:color="auto" w:fill="auto"/>
          </w:tcPr>
          <w:p w14:paraId="5BB09E72"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1.243</w:t>
            </w:r>
          </w:p>
        </w:tc>
        <w:tc>
          <w:tcPr>
            <w:tcW w:w="620" w:type="dxa"/>
            <w:tcBorders>
              <w:top w:val="single" w:sz="4" w:space="0" w:color="auto"/>
            </w:tcBorders>
            <w:shd w:val="clear" w:color="auto" w:fill="auto"/>
          </w:tcPr>
          <w:p w14:paraId="21BB67C3" w14:textId="1113DF92"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0.988</w:t>
            </w:r>
          </w:p>
        </w:tc>
        <w:tc>
          <w:tcPr>
            <w:tcW w:w="422" w:type="dxa"/>
            <w:tcBorders>
              <w:top w:val="single" w:sz="4" w:space="0" w:color="auto"/>
            </w:tcBorders>
            <w:shd w:val="clear" w:color="auto" w:fill="auto"/>
          </w:tcPr>
          <w:p w14:paraId="2D887058"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1.213</w:t>
            </w:r>
          </w:p>
        </w:tc>
        <w:tc>
          <w:tcPr>
            <w:tcW w:w="685" w:type="dxa"/>
            <w:tcBorders>
              <w:top w:val="single" w:sz="4" w:space="0" w:color="auto"/>
            </w:tcBorders>
            <w:shd w:val="clear" w:color="auto" w:fill="auto"/>
          </w:tcPr>
          <w:p w14:paraId="664AA4E7"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2.236</w:t>
            </w:r>
          </w:p>
        </w:tc>
        <w:tc>
          <w:tcPr>
            <w:tcW w:w="549" w:type="dxa"/>
            <w:tcBorders>
              <w:top w:val="single" w:sz="4" w:space="0" w:color="auto"/>
            </w:tcBorders>
            <w:shd w:val="clear" w:color="auto" w:fill="auto"/>
          </w:tcPr>
          <w:p w14:paraId="58A50FF4"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1.784</w:t>
            </w:r>
          </w:p>
        </w:tc>
        <w:tc>
          <w:tcPr>
            <w:tcW w:w="620" w:type="dxa"/>
            <w:tcBorders>
              <w:top w:val="single" w:sz="4" w:space="0" w:color="auto"/>
            </w:tcBorders>
            <w:shd w:val="clear" w:color="auto" w:fill="auto"/>
          </w:tcPr>
          <w:p w14:paraId="4F61DBE8"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2.038</w:t>
            </w:r>
          </w:p>
        </w:tc>
        <w:tc>
          <w:tcPr>
            <w:tcW w:w="713" w:type="dxa"/>
            <w:tcBorders>
              <w:top w:val="single" w:sz="4" w:space="0" w:color="auto"/>
            </w:tcBorders>
            <w:shd w:val="clear" w:color="auto" w:fill="auto"/>
          </w:tcPr>
          <w:p w14:paraId="783E2C11"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1.813</w:t>
            </w:r>
          </w:p>
        </w:tc>
        <w:tc>
          <w:tcPr>
            <w:tcW w:w="685" w:type="dxa"/>
            <w:tcBorders>
              <w:top w:val="single" w:sz="4" w:space="0" w:color="auto"/>
            </w:tcBorders>
            <w:shd w:val="clear" w:color="auto" w:fill="auto"/>
          </w:tcPr>
          <w:p w14:paraId="042D91C0" w14:textId="4AEEB675"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0.28</w:t>
            </w:r>
            <w:r w:rsidR="008F1AC1" w:rsidRPr="00981DC5">
              <w:rPr>
                <w:rFonts w:ascii="Book Antiqua" w:hAnsi="Book Antiqua" w:cs="Calibri"/>
                <w:color w:val="000000" w:themeColor="text1"/>
                <w:lang w:val="en-US"/>
              </w:rPr>
              <w:t>6</w:t>
            </w:r>
            <w:r w:rsidRPr="00981DC5">
              <w:rPr>
                <w:rFonts w:ascii="Book Antiqua" w:hAnsi="Book Antiqua" w:cs="Calibri"/>
                <w:color w:val="000000" w:themeColor="text1"/>
                <w:lang w:val="en-US"/>
              </w:rPr>
              <w:t xml:space="preserve"> to 4.187</w:t>
            </w:r>
          </w:p>
        </w:tc>
        <w:tc>
          <w:tcPr>
            <w:tcW w:w="549" w:type="dxa"/>
            <w:tcBorders>
              <w:top w:val="single" w:sz="4" w:space="0" w:color="auto"/>
            </w:tcBorders>
            <w:shd w:val="clear" w:color="auto" w:fill="auto"/>
          </w:tcPr>
          <w:p w14:paraId="633D12BE" w14:textId="4589B2BE"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-0.16</w:t>
            </w:r>
            <w:r w:rsidR="008F1AC1" w:rsidRPr="00981DC5">
              <w:rPr>
                <w:rFonts w:ascii="Book Antiqua" w:hAnsi="Book Antiqua" w:cs="Calibri"/>
                <w:color w:val="000000" w:themeColor="text1"/>
                <w:lang w:val="en-US"/>
              </w:rPr>
              <w:t>7</w:t>
            </w:r>
            <w:r w:rsidRPr="00981DC5">
              <w:rPr>
                <w:rFonts w:ascii="Book Antiqua" w:hAnsi="Book Antiqua" w:cs="Calibri"/>
                <w:color w:val="000000" w:themeColor="text1"/>
                <w:lang w:val="en-US"/>
              </w:rPr>
              <w:t xml:space="preserve"> to 3.734</w:t>
            </w:r>
          </w:p>
        </w:tc>
        <w:tc>
          <w:tcPr>
            <w:tcW w:w="620" w:type="dxa"/>
            <w:tcBorders>
              <w:top w:val="single" w:sz="4" w:space="0" w:color="auto"/>
            </w:tcBorders>
            <w:shd w:val="clear" w:color="auto" w:fill="auto"/>
          </w:tcPr>
          <w:p w14:paraId="3904F25E" w14:textId="29FAA66F"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-0.047 to 4.123</w:t>
            </w:r>
          </w:p>
        </w:tc>
        <w:tc>
          <w:tcPr>
            <w:tcW w:w="713" w:type="dxa"/>
            <w:tcBorders>
              <w:top w:val="single" w:sz="4" w:space="0" w:color="auto"/>
            </w:tcBorders>
            <w:shd w:val="clear" w:color="auto" w:fill="auto"/>
          </w:tcPr>
          <w:p w14:paraId="0DD2D6D8" w14:textId="51D5853C"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-0.19</w:t>
            </w:r>
            <w:r w:rsidR="008F1AC1" w:rsidRPr="00981DC5">
              <w:rPr>
                <w:rFonts w:ascii="Book Antiqua" w:hAnsi="Book Antiqua" w:cs="Calibri"/>
                <w:color w:val="000000" w:themeColor="text1"/>
                <w:lang w:val="en-US"/>
              </w:rPr>
              <w:t>8</w:t>
            </w:r>
            <w:r w:rsidRPr="00981DC5">
              <w:rPr>
                <w:rFonts w:ascii="Book Antiqua" w:hAnsi="Book Antiqua" w:cs="Calibri"/>
                <w:color w:val="000000" w:themeColor="text1"/>
                <w:lang w:val="en-US"/>
              </w:rPr>
              <w:t xml:space="preserve"> to 3.823</w:t>
            </w:r>
          </w:p>
        </w:tc>
        <w:tc>
          <w:tcPr>
            <w:tcW w:w="685" w:type="dxa"/>
            <w:tcBorders>
              <w:top w:val="single" w:sz="4" w:space="0" w:color="auto"/>
            </w:tcBorders>
            <w:shd w:val="clear" w:color="auto" w:fill="auto"/>
          </w:tcPr>
          <w:p w14:paraId="6C88D603" w14:textId="4E4EF8AC"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b/>
                <w:color w:val="000000" w:themeColor="text1"/>
                <w:lang w:val="en-US"/>
              </w:rPr>
            </w:pPr>
            <w:r w:rsidRPr="00981DC5">
              <w:rPr>
                <w:rFonts w:ascii="Book Antiqua" w:hAnsi="Book Antiqua" w:cs="Calibri"/>
                <w:b/>
                <w:color w:val="000000" w:themeColor="text1"/>
                <w:lang w:val="en-US"/>
              </w:rPr>
              <w:t>0.020</w:t>
            </w:r>
          </w:p>
        </w:tc>
        <w:tc>
          <w:tcPr>
            <w:tcW w:w="549" w:type="dxa"/>
            <w:tcBorders>
              <w:top w:val="single" w:sz="4" w:space="0" w:color="auto"/>
            </w:tcBorders>
            <w:shd w:val="clear" w:color="auto" w:fill="auto"/>
          </w:tcPr>
          <w:p w14:paraId="58871E1C" w14:textId="46A6AC1C"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0.081</w:t>
            </w:r>
          </w:p>
        </w:tc>
        <w:tc>
          <w:tcPr>
            <w:tcW w:w="620" w:type="dxa"/>
            <w:tcBorders>
              <w:top w:val="single" w:sz="4" w:space="0" w:color="auto"/>
            </w:tcBorders>
            <w:shd w:val="clear" w:color="auto" w:fill="auto"/>
          </w:tcPr>
          <w:p w14:paraId="529AFD19"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0.057</w:t>
            </w:r>
          </w:p>
        </w:tc>
        <w:tc>
          <w:tcPr>
            <w:tcW w:w="713" w:type="dxa"/>
            <w:tcBorders>
              <w:top w:val="single" w:sz="4" w:space="0" w:color="auto"/>
            </w:tcBorders>
            <w:shd w:val="clear" w:color="auto" w:fill="auto"/>
          </w:tcPr>
          <w:p w14:paraId="1EEC9BA0" w14:textId="03258EE9"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0.087</w:t>
            </w:r>
          </w:p>
        </w:tc>
      </w:tr>
      <w:tr w:rsidR="00981DC5" w:rsidRPr="00981DC5" w14:paraId="1D60A883" w14:textId="77777777" w:rsidTr="00AA0F16">
        <w:tc>
          <w:tcPr>
            <w:tcW w:w="511" w:type="dxa"/>
            <w:shd w:val="clear" w:color="auto" w:fill="auto"/>
          </w:tcPr>
          <w:p w14:paraId="04DDABAC"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1.964</w:t>
            </w:r>
          </w:p>
        </w:tc>
        <w:tc>
          <w:tcPr>
            <w:tcW w:w="685" w:type="dxa"/>
            <w:shd w:val="clear" w:color="auto" w:fill="auto"/>
          </w:tcPr>
          <w:p w14:paraId="470F9AC2" w14:textId="58252290"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0.75</w:t>
            </w:r>
            <w:r w:rsidR="008F1AC1" w:rsidRPr="00981DC5">
              <w:rPr>
                <w:rFonts w:ascii="Book Antiqua" w:hAnsi="Book Antiqua" w:cs="Calibri"/>
                <w:color w:val="000000" w:themeColor="text1"/>
                <w:lang w:val="en-US"/>
              </w:rPr>
              <w:t>5</w:t>
            </w:r>
          </w:p>
        </w:tc>
        <w:tc>
          <w:tcPr>
            <w:tcW w:w="549" w:type="dxa"/>
            <w:shd w:val="clear" w:color="auto" w:fill="auto"/>
          </w:tcPr>
          <w:p w14:paraId="3CB0E3F0"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1.188</w:t>
            </w:r>
          </w:p>
        </w:tc>
        <w:tc>
          <w:tcPr>
            <w:tcW w:w="620" w:type="dxa"/>
            <w:shd w:val="clear" w:color="auto" w:fill="auto"/>
          </w:tcPr>
          <w:p w14:paraId="69253165" w14:textId="251238AF"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0.52</w:t>
            </w:r>
            <w:r w:rsidR="008F1AC1" w:rsidRPr="00981DC5">
              <w:rPr>
                <w:rFonts w:ascii="Book Antiqua" w:hAnsi="Book Antiqua" w:cs="Calibri"/>
                <w:color w:val="000000" w:themeColor="text1"/>
                <w:lang w:val="en-US"/>
              </w:rPr>
              <w:t>9</w:t>
            </w:r>
          </w:p>
        </w:tc>
        <w:tc>
          <w:tcPr>
            <w:tcW w:w="422" w:type="dxa"/>
            <w:shd w:val="clear" w:color="auto" w:fill="auto"/>
          </w:tcPr>
          <w:p w14:paraId="52E4ED45"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1.674</w:t>
            </w:r>
          </w:p>
        </w:tc>
        <w:tc>
          <w:tcPr>
            <w:tcW w:w="685" w:type="dxa"/>
            <w:shd w:val="clear" w:color="auto" w:fill="auto"/>
          </w:tcPr>
          <w:p w14:paraId="336F5A64"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1.209</w:t>
            </w:r>
          </w:p>
        </w:tc>
        <w:tc>
          <w:tcPr>
            <w:tcW w:w="549" w:type="dxa"/>
            <w:shd w:val="clear" w:color="auto" w:fill="auto"/>
          </w:tcPr>
          <w:p w14:paraId="51EB7E80"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0.776</w:t>
            </w:r>
          </w:p>
        </w:tc>
        <w:tc>
          <w:tcPr>
            <w:tcW w:w="620" w:type="dxa"/>
            <w:shd w:val="clear" w:color="auto" w:fill="auto"/>
          </w:tcPr>
          <w:p w14:paraId="5260DBFA"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1.435</w:t>
            </w:r>
          </w:p>
        </w:tc>
        <w:tc>
          <w:tcPr>
            <w:tcW w:w="713" w:type="dxa"/>
            <w:shd w:val="clear" w:color="auto" w:fill="auto"/>
          </w:tcPr>
          <w:p w14:paraId="68E3D9BD" w14:textId="423A0245"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0.29</w:t>
            </w:r>
            <w:r w:rsidR="008F1AC1" w:rsidRPr="00981DC5">
              <w:rPr>
                <w:rFonts w:ascii="Book Antiqua" w:hAnsi="Book Antiqua" w:cs="Calibri"/>
                <w:color w:val="000000" w:themeColor="text1"/>
                <w:lang w:val="en-US"/>
              </w:rPr>
              <w:t>0</w:t>
            </w:r>
          </w:p>
        </w:tc>
        <w:tc>
          <w:tcPr>
            <w:tcW w:w="685" w:type="dxa"/>
            <w:shd w:val="clear" w:color="auto" w:fill="auto"/>
          </w:tcPr>
          <w:p w14:paraId="08251249" w14:textId="194E8DCB"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-0.01</w:t>
            </w:r>
            <w:r w:rsidR="008F1AC1" w:rsidRPr="00981DC5">
              <w:rPr>
                <w:rFonts w:ascii="Book Antiqua" w:hAnsi="Book Antiqua" w:cs="Calibri"/>
                <w:color w:val="000000" w:themeColor="text1"/>
                <w:lang w:val="en-US"/>
              </w:rPr>
              <w:t>6</w:t>
            </w:r>
            <w:r w:rsidRPr="00981DC5">
              <w:rPr>
                <w:rFonts w:ascii="Book Antiqua" w:hAnsi="Book Antiqua" w:cs="Calibri"/>
                <w:color w:val="000000" w:themeColor="text1"/>
                <w:lang w:val="en-US"/>
              </w:rPr>
              <w:t xml:space="preserve"> to 2.434</w:t>
            </w:r>
          </w:p>
        </w:tc>
        <w:tc>
          <w:tcPr>
            <w:tcW w:w="549" w:type="dxa"/>
            <w:shd w:val="clear" w:color="auto" w:fill="auto"/>
          </w:tcPr>
          <w:p w14:paraId="113B4035" w14:textId="2A66FB98"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-0.52</w:t>
            </w:r>
            <w:r w:rsidR="008F1AC1" w:rsidRPr="00981DC5">
              <w:rPr>
                <w:rFonts w:ascii="Book Antiqua" w:hAnsi="Book Antiqua" w:cs="Calibri"/>
                <w:color w:val="000000" w:themeColor="text1"/>
                <w:lang w:val="en-US"/>
              </w:rPr>
              <w:t>2</w:t>
            </w:r>
            <w:r w:rsidRPr="00981DC5">
              <w:rPr>
                <w:rFonts w:ascii="Book Antiqua" w:hAnsi="Book Antiqua" w:cs="Calibri"/>
                <w:color w:val="000000" w:themeColor="text1"/>
                <w:lang w:val="en-US"/>
              </w:rPr>
              <w:t xml:space="preserve"> to 2.073</w:t>
            </w:r>
          </w:p>
        </w:tc>
        <w:tc>
          <w:tcPr>
            <w:tcW w:w="620" w:type="dxa"/>
            <w:shd w:val="clear" w:color="auto" w:fill="auto"/>
          </w:tcPr>
          <w:p w14:paraId="291AE1E2" w14:textId="136CBFB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0.09</w:t>
            </w:r>
            <w:r w:rsidR="008F1AC1" w:rsidRPr="00981DC5">
              <w:rPr>
                <w:rFonts w:ascii="Book Antiqua" w:hAnsi="Book Antiqua" w:cs="Calibri"/>
                <w:color w:val="000000" w:themeColor="text1"/>
                <w:lang w:val="en-US"/>
              </w:rPr>
              <w:t xml:space="preserve">9 </w:t>
            </w:r>
            <w:r w:rsidRPr="00981DC5">
              <w:rPr>
                <w:rFonts w:ascii="Book Antiqua" w:hAnsi="Book Antiqua" w:cs="Calibri"/>
                <w:color w:val="000000" w:themeColor="text1"/>
                <w:lang w:val="en-US"/>
              </w:rPr>
              <w:t>to 2.771</w:t>
            </w:r>
          </w:p>
        </w:tc>
        <w:tc>
          <w:tcPr>
            <w:tcW w:w="713" w:type="dxa"/>
            <w:shd w:val="clear" w:color="auto" w:fill="auto"/>
          </w:tcPr>
          <w:p w14:paraId="07587086" w14:textId="12BB19E0"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-0.97</w:t>
            </w:r>
            <w:r w:rsidR="008F1AC1" w:rsidRPr="00981DC5">
              <w:rPr>
                <w:rFonts w:ascii="Book Antiqua" w:hAnsi="Book Antiqua" w:cs="Calibri"/>
                <w:color w:val="000000" w:themeColor="text1"/>
                <w:lang w:val="en-US"/>
              </w:rPr>
              <w:t>8</w:t>
            </w:r>
            <w:r w:rsidRPr="00981DC5">
              <w:rPr>
                <w:rFonts w:ascii="Book Antiqua" w:hAnsi="Book Antiqua" w:cs="Calibri"/>
                <w:color w:val="000000" w:themeColor="text1"/>
                <w:lang w:val="en-US"/>
              </w:rPr>
              <w:t xml:space="preserve"> to 1.558</w:t>
            </w:r>
          </w:p>
        </w:tc>
        <w:tc>
          <w:tcPr>
            <w:tcW w:w="685" w:type="dxa"/>
            <w:shd w:val="clear" w:color="auto" w:fill="auto"/>
          </w:tcPr>
          <w:p w14:paraId="66E17ADA" w14:textId="26112551"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0.05</w:t>
            </w:r>
            <w:r w:rsidR="008F1AC1" w:rsidRPr="00981DC5">
              <w:rPr>
                <w:rFonts w:ascii="Book Antiqua" w:hAnsi="Book Antiqua" w:cs="Calibri"/>
                <w:color w:val="000000" w:themeColor="text1"/>
                <w:lang w:val="en-US"/>
              </w:rPr>
              <w:t>4</w:t>
            </w:r>
          </w:p>
        </w:tc>
        <w:tc>
          <w:tcPr>
            <w:tcW w:w="549" w:type="dxa"/>
            <w:shd w:val="clear" w:color="auto" w:fill="auto"/>
          </w:tcPr>
          <w:p w14:paraId="7332E38B" w14:textId="7AD16C63"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0.361</w:t>
            </w:r>
          </w:p>
        </w:tc>
        <w:tc>
          <w:tcPr>
            <w:tcW w:w="620" w:type="dxa"/>
            <w:shd w:val="clear" w:color="auto" w:fill="auto"/>
          </w:tcPr>
          <w:p w14:paraId="02505059" w14:textId="4F381B9C"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b/>
                <w:color w:val="000000" w:themeColor="text1"/>
                <w:lang w:val="en-US"/>
              </w:rPr>
            </w:pPr>
            <w:r w:rsidRPr="00981DC5">
              <w:rPr>
                <w:rFonts w:ascii="Book Antiqua" w:hAnsi="Book Antiqua" w:cs="Calibri"/>
                <w:b/>
                <w:color w:val="000000" w:themeColor="text1"/>
                <w:lang w:val="en-US"/>
              </w:rPr>
              <w:t>0.032</w:t>
            </w:r>
          </w:p>
        </w:tc>
        <w:tc>
          <w:tcPr>
            <w:tcW w:w="713" w:type="dxa"/>
            <w:shd w:val="clear" w:color="auto" w:fill="auto"/>
          </w:tcPr>
          <w:p w14:paraId="5E271BC1" w14:textId="3687FD13"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0.936</w:t>
            </w:r>
          </w:p>
        </w:tc>
      </w:tr>
      <w:tr w:rsidR="00981DC5" w:rsidRPr="00981DC5" w14:paraId="6BD2D301" w14:textId="77777777" w:rsidTr="00AA0F16">
        <w:tc>
          <w:tcPr>
            <w:tcW w:w="511" w:type="dxa"/>
            <w:shd w:val="clear" w:color="auto" w:fill="auto"/>
          </w:tcPr>
          <w:p w14:paraId="202D7B90"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1.699</w:t>
            </w:r>
          </w:p>
        </w:tc>
        <w:tc>
          <w:tcPr>
            <w:tcW w:w="685" w:type="dxa"/>
            <w:shd w:val="clear" w:color="auto" w:fill="auto"/>
          </w:tcPr>
          <w:p w14:paraId="0BEA1237" w14:textId="4715584E"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0.524</w:t>
            </w:r>
          </w:p>
        </w:tc>
        <w:tc>
          <w:tcPr>
            <w:tcW w:w="549" w:type="dxa"/>
            <w:shd w:val="clear" w:color="auto" w:fill="auto"/>
          </w:tcPr>
          <w:p w14:paraId="2DC985B9"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1.599</w:t>
            </w:r>
          </w:p>
        </w:tc>
        <w:tc>
          <w:tcPr>
            <w:tcW w:w="620" w:type="dxa"/>
            <w:shd w:val="clear" w:color="auto" w:fill="auto"/>
          </w:tcPr>
          <w:p w14:paraId="271BD776"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1.238</w:t>
            </w:r>
          </w:p>
        </w:tc>
        <w:tc>
          <w:tcPr>
            <w:tcW w:w="422" w:type="dxa"/>
            <w:shd w:val="clear" w:color="auto" w:fill="auto"/>
          </w:tcPr>
          <w:p w14:paraId="722587C1" w14:textId="2CDD40F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0.70</w:t>
            </w:r>
            <w:r w:rsidR="008F1AC1" w:rsidRPr="00981DC5">
              <w:rPr>
                <w:rFonts w:ascii="Book Antiqua" w:hAnsi="Book Antiqua" w:cs="Calibri"/>
                <w:color w:val="000000" w:themeColor="text1"/>
                <w:lang w:val="en-US"/>
              </w:rPr>
              <w:t>6</w:t>
            </w:r>
          </w:p>
        </w:tc>
        <w:tc>
          <w:tcPr>
            <w:tcW w:w="685" w:type="dxa"/>
            <w:shd w:val="clear" w:color="auto" w:fill="auto"/>
          </w:tcPr>
          <w:p w14:paraId="24D5F8AB"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1.175</w:t>
            </w:r>
          </w:p>
        </w:tc>
        <w:tc>
          <w:tcPr>
            <w:tcW w:w="549" w:type="dxa"/>
            <w:shd w:val="clear" w:color="auto" w:fill="auto"/>
          </w:tcPr>
          <w:p w14:paraId="3FB16DD8" w14:textId="472407F8"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w:t>
            </w:r>
            <w:r w:rsidR="008F1AC1" w:rsidRPr="00981DC5">
              <w:rPr>
                <w:rFonts w:ascii="Book Antiqua" w:hAnsi="Book Antiqua" w:cs="Calibri"/>
                <w:color w:val="000000" w:themeColor="text1"/>
                <w:lang w:val="en-US"/>
              </w:rPr>
              <w:t>100</w:t>
            </w:r>
          </w:p>
        </w:tc>
        <w:tc>
          <w:tcPr>
            <w:tcW w:w="620" w:type="dxa"/>
            <w:shd w:val="clear" w:color="auto" w:fill="auto"/>
          </w:tcPr>
          <w:p w14:paraId="14CFDA61"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0.461</w:t>
            </w:r>
          </w:p>
        </w:tc>
        <w:tc>
          <w:tcPr>
            <w:tcW w:w="713" w:type="dxa"/>
            <w:shd w:val="clear" w:color="auto" w:fill="auto"/>
          </w:tcPr>
          <w:p w14:paraId="04F965BA" w14:textId="4C52966D"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0.993</w:t>
            </w:r>
          </w:p>
        </w:tc>
        <w:tc>
          <w:tcPr>
            <w:tcW w:w="685" w:type="dxa"/>
            <w:shd w:val="clear" w:color="auto" w:fill="auto"/>
          </w:tcPr>
          <w:p w14:paraId="6EC043AB" w14:textId="2FDC2C7E"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-0.026</w:t>
            </w:r>
            <w:r w:rsidR="008F1AC1" w:rsidRPr="00981DC5">
              <w:rPr>
                <w:rFonts w:ascii="Book Antiqua" w:hAnsi="Book Antiqua" w:cs="Calibri"/>
                <w:color w:val="000000" w:themeColor="text1"/>
                <w:lang w:val="en-US"/>
              </w:rPr>
              <w:t xml:space="preserve"> </w:t>
            </w:r>
            <w:r w:rsidRPr="00981DC5">
              <w:rPr>
                <w:rFonts w:ascii="Book Antiqua" w:hAnsi="Book Antiqua" w:cs="Calibri"/>
                <w:color w:val="000000" w:themeColor="text1"/>
                <w:lang w:val="en-US"/>
              </w:rPr>
              <w:t>to 2.376</w:t>
            </w:r>
          </w:p>
        </w:tc>
        <w:tc>
          <w:tcPr>
            <w:tcW w:w="549" w:type="dxa"/>
            <w:shd w:val="clear" w:color="auto" w:fill="auto"/>
          </w:tcPr>
          <w:p w14:paraId="60F0F2AD"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-1.348 to 1.548</w:t>
            </w:r>
          </w:p>
        </w:tc>
        <w:tc>
          <w:tcPr>
            <w:tcW w:w="620" w:type="dxa"/>
            <w:shd w:val="clear" w:color="auto" w:fill="auto"/>
          </w:tcPr>
          <w:p w14:paraId="169AC4EC" w14:textId="2CA39D3D"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-0.645 to 1.567</w:t>
            </w:r>
          </w:p>
        </w:tc>
        <w:tc>
          <w:tcPr>
            <w:tcW w:w="713" w:type="dxa"/>
            <w:shd w:val="clear" w:color="auto" w:fill="auto"/>
          </w:tcPr>
          <w:p w14:paraId="4A813EB1"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-0.113 to 2.099</w:t>
            </w:r>
          </w:p>
        </w:tc>
        <w:tc>
          <w:tcPr>
            <w:tcW w:w="685" w:type="dxa"/>
            <w:shd w:val="clear" w:color="auto" w:fill="auto"/>
          </w:tcPr>
          <w:p w14:paraId="5B4EE58A" w14:textId="05C0C181"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0.05</w:t>
            </w:r>
            <w:r w:rsidR="008F1AC1" w:rsidRPr="00981DC5">
              <w:rPr>
                <w:rFonts w:ascii="Book Antiqua" w:hAnsi="Book Antiqua" w:cs="Calibri"/>
                <w:color w:val="000000" w:themeColor="text1"/>
                <w:lang w:val="en-US"/>
              </w:rPr>
              <w:t>7</w:t>
            </w:r>
          </w:p>
        </w:tc>
        <w:tc>
          <w:tcPr>
            <w:tcW w:w="549" w:type="dxa"/>
            <w:shd w:val="clear" w:color="auto" w:fill="auto"/>
          </w:tcPr>
          <w:p w14:paraId="7CC8C5C8" w14:textId="4ECC2065"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0.999</w:t>
            </w:r>
          </w:p>
        </w:tc>
        <w:tc>
          <w:tcPr>
            <w:tcW w:w="620" w:type="dxa"/>
            <w:shd w:val="clear" w:color="auto" w:fill="auto"/>
          </w:tcPr>
          <w:p w14:paraId="3D588404" w14:textId="5E5E40EA"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0.65</w:t>
            </w:r>
            <w:r w:rsidR="008F1AC1" w:rsidRPr="00981DC5">
              <w:rPr>
                <w:rFonts w:ascii="Book Antiqua" w:hAnsi="Book Antiqua" w:cs="Calibri"/>
                <w:color w:val="000000" w:themeColor="text1"/>
                <w:lang w:val="en-US"/>
              </w:rPr>
              <w:t>9</w:t>
            </w:r>
          </w:p>
        </w:tc>
        <w:tc>
          <w:tcPr>
            <w:tcW w:w="713" w:type="dxa"/>
            <w:shd w:val="clear" w:color="auto" w:fill="auto"/>
          </w:tcPr>
          <w:p w14:paraId="07CD58C3" w14:textId="3AF2D38C"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0.08</w:t>
            </w:r>
            <w:r w:rsidR="008F1AC1" w:rsidRPr="00981DC5">
              <w:rPr>
                <w:rFonts w:ascii="Book Antiqua" w:hAnsi="Book Antiqua" w:cs="Calibri"/>
                <w:color w:val="000000" w:themeColor="text1"/>
                <w:lang w:val="en-US"/>
              </w:rPr>
              <w:t>8</w:t>
            </w:r>
          </w:p>
        </w:tc>
      </w:tr>
      <w:tr w:rsidR="00981DC5" w:rsidRPr="00981DC5" w14:paraId="5DFA6AD4" w14:textId="77777777" w:rsidTr="00AA0F16">
        <w:tc>
          <w:tcPr>
            <w:tcW w:w="511" w:type="dxa"/>
            <w:shd w:val="clear" w:color="auto" w:fill="auto"/>
          </w:tcPr>
          <w:p w14:paraId="11F5C6FA"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1.604</w:t>
            </w:r>
          </w:p>
        </w:tc>
        <w:tc>
          <w:tcPr>
            <w:tcW w:w="685" w:type="dxa"/>
            <w:shd w:val="clear" w:color="auto" w:fill="auto"/>
          </w:tcPr>
          <w:p w14:paraId="1CDF10CE" w14:textId="30973E36"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0.95</w:t>
            </w:r>
            <w:r w:rsidR="008F1AC1" w:rsidRPr="00981DC5">
              <w:rPr>
                <w:rFonts w:ascii="Book Antiqua" w:hAnsi="Book Antiqua" w:cs="Calibri"/>
                <w:color w:val="000000" w:themeColor="text1"/>
                <w:lang w:val="en-US"/>
              </w:rPr>
              <w:t>1</w:t>
            </w:r>
          </w:p>
        </w:tc>
        <w:tc>
          <w:tcPr>
            <w:tcW w:w="549" w:type="dxa"/>
            <w:shd w:val="clear" w:color="auto" w:fill="auto"/>
          </w:tcPr>
          <w:p w14:paraId="34947A37" w14:textId="2A780A35"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1.99</w:t>
            </w:r>
            <w:r w:rsidR="008F1AC1" w:rsidRPr="00981DC5">
              <w:rPr>
                <w:rFonts w:ascii="Book Antiqua" w:hAnsi="Book Antiqua" w:cs="Calibri"/>
                <w:color w:val="000000" w:themeColor="text1"/>
                <w:lang w:val="en-US"/>
              </w:rPr>
              <w:t>0</w:t>
            </w:r>
          </w:p>
        </w:tc>
        <w:tc>
          <w:tcPr>
            <w:tcW w:w="620" w:type="dxa"/>
            <w:shd w:val="clear" w:color="auto" w:fill="auto"/>
          </w:tcPr>
          <w:p w14:paraId="3F215F7B"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1.767</w:t>
            </w:r>
          </w:p>
        </w:tc>
        <w:tc>
          <w:tcPr>
            <w:tcW w:w="422" w:type="dxa"/>
            <w:shd w:val="clear" w:color="auto" w:fill="auto"/>
          </w:tcPr>
          <w:p w14:paraId="7E58C0CE"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1.0</w:t>
            </w:r>
            <w:r w:rsidRPr="00981DC5">
              <w:rPr>
                <w:rFonts w:ascii="Book Antiqua" w:hAnsi="Book Antiqua" w:cs="Calibri"/>
                <w:color w:val="000000" w:themeColor="text1"/>
                <w:lang w:val="en-US"/>
              </w:rPr>
              <w:lastRenderedPageBreak/>
              <w:t>13</w:t>
            </w:r>
          </w:p>
        </w:tc>
        <w:tc>
          <w:tcPr>
            <w:tcW w:w="685" w:type="dxa"/>
            <w:shd w:val="clear" w:color="auto" w:fill="auto"/>
          </w:tcPr>
          <w:p w14:paraId="2DE997D9" w14:textId="132C9BED"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lastRenderedPageBreak/>
              <w:t>0.653</w:t>
            </w:r>
          </w:p>
        </w:tc>
        <w:tc>
          <w:tcPr>
            <w:tcW w:w="549" w:type="dxa"/>
            <w:shd w:val="clear" w:color="auto" w:fill="auto"/>
          </w:tcPr>
          <w:p w14:paraId="757320CB" w14:textId="1761AB91"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-0.385</w:t>
            </w:r>
          </w:p>
        </w:tc>
        <w:tc>
          <w:tcPr>
            <w:tcW w:w="620" w:type="dxa"/>
            <w:shd w:val="clear" w:color="auto" w:fill="auto"/>
          </w:tcPr>
          <w:p w14:paraId="5CBDF817" w14:textId="31669184"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-0.163</w:t>
            </w:r>
          </w:p>
        </w:tc>
        <w:tc>
          <w:tcPr>
            <w:tcW w:w="713" w:type="dxa"/>
            <w:shd w:val="clear" w:color="auto" w:fill="auto"/>
          </w:tcPr>
          <w:p w14:paraId="7EE37D5E" w14:textId="16FF7214"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0.59</w:t>
            </w:r>
            <w:r w:rsidR="008F1AC1" w:rsidRPr="00981DC5">
              <w:rPr>
                <w:rFonts w:ascii="Book Antiqua" w:hAnsi="Book Antiqua" w:cs="Calibri"/>
                <w:color w:val="000000" w:themeColor="text1"/>
                <w:lang w:val="en-US"/>
              </w:rPr>
              <w:t>2</w:t>
            </w:r>
          </w:p>
        </w:tc>
        <w:tc>
          <w:tcPr>
            <w:tcW w:w="685" w:type="dxa"/>
            <w:shd w:val="clear" w:color="auto" w:fill="auto"/>
          </w:tcPr>
          <w:p w14:paraId="784D7861" w14:textId="1BD4013B"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 xml:space="preserve">-0.452 to </w:t>
            </w:r>
            <w:r w:rsidRPr="00981DC5">
              <w:rPr>
                <w:rFonts w:ascii="Book Antiqua" w:hAnsi="Book Antiqua" w:cs="Calibri"/>
                <w:color w:val="000000" w:themeColor="text1"/>
                <w:lang w:val="en-US"/>
              </w:rPr>
              <w:lastRenderedPageBreak/>
              <w:t>1.759</w:t>
            </w:r>
          </w:p>
        </w:tc>
        <w:tc>
          <w:tcPr>
            <w:tcW w:w="549" w:type="dxa"/>
            <w:shd w:val="clear" w:color="auto" w:fill="auto"/>
          </w:tcPr>
          <w:p w14:paraId="4F101D8B" w14:textId="2F4006A2"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lastRenderedPageBreak/>
              <w:t xml:space="preserve">-1.551 </w:t>
            </w:r>
            <w:r w:rsidRPr="00981DC5">
              <w:rPr>
                <w:rFonts w:ascii="Book Antiqua" w:hAnsi="Book Antiqua" w:cs="Calibri"/>
                <w:color w:val="000000" w:themeColor="text1"/>
                <w:lang w:val="en-US"/>
              </w:rPr>
              <w:lastRenderedPageBreak/>
              <w:t>to 0.780</w:t>
            </w:r>
          </w:p>
        </w:tc>
        <w:tc>
          <w:tcPr>
            <w:tcW w:w="620" w:type="dxa"/>
            <w:shd w:val="clear" w:color="auto" w:fill="auto"/>
          </w:tcPr>
          <w:p w14:paraId="384A4486" w14:textId="464B324B"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lastRenderedPageBreak/>
              <w:t xml:space="preserve">-1.269 </w:t>
            </w:r>
            <w:r w:rsidRPr="00981DC5">
              <w:rPr>
                <w:rFonts w:ascii="Book Antiqua" w:hAnsi="Book Antiqua" w:cs="Calibri"/>
                <w:color w:val="000000" w:themeColor="text1"/>
                <w:lang w:val="en-US"/>
              </w:rPr>
              <w:lastRenderedPageBreak/>
              <w:t>to 0.942</w:t>
            </w:r>
          </w:p>
        </w:tc>
        <w:tc>
          <w:tcPr>
            <w:tcW w:w="713" w:type="dxa"/>
            <w:shd w:val="clear" w:color="auto" w:fill="auto"/>
          </w:tcPr>
          <w:p w14:paraId="14339928" w14:textId="4DD53EFD"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lastRenderedPageBreak/>
              <w:t xml:space="preserve">-0.724 to </w:t>
            </w:r>
            <w:r w:rsidRPr="00981DC5">
              <w:rPr>
                <w:rFonts w:ascii="Book Antiqua" w:hAnsi="Book Antiqua" w:cs="Calibri"/>
                <w:color w:val="000000" w:themeColor="text1"/>
                <w:lang w:val="en-US"/>
              </w:rPr>
              <w:lastRenderedPageBreak/>
              <w:t>1.907</w:t>
            </w:r>
          </w:p>
        </w:tc>
        <w:tc>
          <w:tcPr>
            <w:tcW w:w="685" w:type="dxa"/>
            <w:shd w:val="clear" w:color="auto" w:fill="auto"/>
          </w:tcPr>
          <w:p w14:paraId="1A874A28" w14:textId="1A4A80C8"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lastRenderedPageBreak/>
              <w:t>0.38</w:t>
            </w:r>
            <w:r w:rsidR="008F1AC1" w:rsidRPr="00981DC5">
              <w:rPr>
                <w:rFonts w:ascii="Book Antiqua" w:hAnsi="Book Antiqua" w:cs="Calibri"/>
                <w:color w:val="000000" w:themeColor="text1"/>
                <w:lang w:val="en-US"/>
              </w:rPr>
              <w:t>1</w:t>
            </w:r>
          </w:p>
        </w:tc>
        <w:tc>
          <w:tcPr>
            <w:tcW w:w="549" w:type="dxa"/>
            <w:shd w:val="clear" w:color="auto" w:fill="auto"/>
          </w:tcPr>
          <w:p w14:paraId="5334A3F7" w14:textId="373B3E1E"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0.817</w:t>
            </w:r>
          </w:p>
        </w:tc>
        <w:tc>
          <w:tcPr>
            <w:tcW w:w="620" w:type="dxa"/>
            <w:shd w:val="clear" w:color="auto" w:fill="auto"/>
          </w:tcPr>
          <w:p w14:paraId="258326DB" w14:textId="76CAC6FB"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0.987</w:t>
            </w:r>
          </w:p>
        </w:tc>
        <w:tc>
          <w:tcPr>
            <w:tcW w:w="713" w:type="dxa"/>
            <w:shd w:val="clear" w:color="auto" w:fill="auto"/>
          </w:tcPr>
          <w:p w14:paraId="33765728" w14:textId="0271CCE4"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0.61</w:t>
            </w:r>
            <w:r w:rsidR="008F1AC1" w:rsidRPr="00981DC5">
              <w:rPr>
                <w:rFonts w:ascii="Book Antiqua" w:hAnsi="Book Antiqua" w:cs="Calibri"/>
                <w:color w:val="000000" w:themeColor="text1"/>
                <w:lang w:val="en-US"/>
              </w:rPr>
              <w:t>6</w:t>
            </w:r>
          </w:p>
        </w:tc>
      </w:tr>
      <w:tr w:rsidR="00981DC5" w:rsidRPr="00981DC5" w14:paraId="316B27F9" w14:textId="77777777" w:rsidTr="00AA0F16">
        <w:tc>
          <w:tcPr>
            <w:tcW w:w="511" w:type="dxa"/>
            <w:shd w:val="clear" w:color="auto" w:fill="auto"/>
          </w:tcPr>
          <w:p w14:paraId="6AE123ED"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2.357</w:t>
            </w:r>
          </w:p>
        </w:tc>
        <w:tc>
          <w:tcPr>
            <w:tcW w:w="685" w:type="dxa"/>
            <w:shd w:val="clear" w:color="auto" w:fill="auto"/>
          </w:tcPr>
          <w:p w14:paraId="5A2C1DED" w14:textId="5A2C4EBF"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2.26</w:t>
            </w:r>
            <w:r w:rsidR="008F1AC1" w:rsidRPr="00981DC5">
              <w:rPr>
                <w:rFonts w:ascii="Book Antiqua" w:hAnsi="Book Antiqua" w:cs="Calibri"/>
                <w:color w:val="000000" w:themeColor="text1"/>
                <w:lang w:val="en-US"/>
              </w:rPr>
              <w:t>0</w:t>
            </w:r>
          </w:p>
        </w:tc>
        <w:tc>
          <w:tcPr>
            <w:tcW w:w="549" w:type="dxa"/>
            <w:shd w:val="clear" w:color="auto" w:fill="auto"/>
          </w:tcPr>
          <w:p w14:paraId="6984FD6A"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1.689</w:t>
            </w:r>
          </w:p>
        </w:tc>
        <w:tc>
          <w:tcPr>
            <w:tcW w:w="620" w:type="dxa"/>
            <w:shd w:val="clear" w:color="auto" w:fill="auto"/>
          </w:tcPr>
          <w:p w14:paraId="2DFAB010"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1.566</w:t>
            </w:r>
          </w:p>
        </w:tc>
        <w:tc>
          <w:tcPr>
            <w:tcW w:w="422" w:type="dxa"/>
            <w:shd w:val="clear" w:color="auto" w:fill="auto"/>
          </w:tcPr>
          <w:p w14:paraId="05412684"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1.263</w:t>
            </w:r>
          </w:p>
        </w:tc>
        <w:tc>
          <w:tcPr>
            <w:tcW w:w="685" w:type="dxa"/>
            <w:shd w:val="clear" w:color="auto" w:fill="auto"/>
          </w:tcPr>
          <w:p w14:paraId="2F6F3B1E" w14:textId="2041128C"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0.097</w:t>
            </w:r>
          </w:p>
        </w:tc>
        <w:tc>
          <w:tcPr>
            <w:tcW w:w="549" w:type="dxa"/>
            <w:shd w:val="clear" w:color="auto" w:fill="auto"/>
          </w:tcPr>
          <w:p w14:paraId="593BCB55" w14:textId="7B7149B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0.668</w:t>
            </w:r>
          </w:p>
        </w:tc>
        <w:tc>
          <w:tcPr>
            <w:tcW w:w="620" w:type="dxa"/>
            <w:shd w:val="clear" w:color="auto" w:fill="auto"/>
          </w:tcPr>
          <w:p w14:paraId="65F4691F"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0.792</w:t>
            </w:r>
          </w:p>
        </w:tc>
        <w:tc>
          <w:tcPr>
            <w:tcW w:w="713" w:type="dxa"/>
            <w:shd w:val="clear" w:color="auto" w:fill="auto"/>
          </w:tcPr>
          <w:p w14:paraId="6C71C405"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1.094</w:t>
            </w:r>
          </w:p>
        </w:tc>
        <w:tc>
          <w:tcPr>
            <w:tcW w:w="685" w:type="dxa"/>
            <w:shd w:val="clear" w:color="auto" w:fill="auto"/>
          </w:tcPr>
          <w:p w14:paraId="6379D406" w14:textId="46F9EB5A"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-2.112 to 0.26</w:t>
            </w:r>
            <w:r w:rsidR="008F1AC1" w:rsidRPr="00981DC5">
              <w:rPr>
                <w:rFonts w:ascii="Book Antiqua" w:hAnsi="Book Antiqua" w:cs="Calibri"/>
                <w:color w:val="000000" w:themeColor="text1"/>
                <w:lang w:val="en-US"/>
              </w:rPr>
              <w:t>1</w:t>
            </w:r>
          </w:p>
        </w:tc>
        <w:tc>
          <w:tcPr>
            <w:tcW w:w="549" w:type="dxa"/>
            <w:shd w:val="clear" w:color="auto" w:fill="auto"/>
          </w:tcPr>
          <w:p w14:paraId="53C7CCB6" w14:textId="6F5A0CFD"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-1.363 to 2.7</w:t>
            </w:r>
            <w:r w:rsidR="008F1AC1" w:rsidRPr="00981DC5">
              <w:rPr>
                <w:rFonts w:ascii="Book Antiqua" w:hAnsi="Book Antiqua" w:cs="Calibri"/>
                <w:color w:val="000000" w:themeColor="text1"/>
                <w:lang w:val="en-US"/>
              </w:rPr>
              <w:t>00</w:t>
            </w:r>
          </w:p>
        </w:tc>
        <w:tc>
          <w:tcPr>
            <w:tcW w:w="620" w:type="dxa"/>
            <w:shd w:val="clear" w:color="auto" w:fill="auto"/>
          </w:tcPr>
          <w:p w14:paraId="3305367D" w14:textId="4D1FD4A6"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-0.67</w:t>
            </w:r>
            <w:r w:rsidR="008F1AC1" w:rsidRPr="00981DC5">
              <w:rPr>
                <w:rFonts w:ascii="Book Antiqua" w:hAnsi="Book Antiqua" w:cs="Calibri"/>
                <w:color w:val="000000" w:themeColor="text1"/>
                <w:lang w:val="en-US"/>
              </w:rPr>
              <w:t>9</w:t>
            </w:r>
            <w:r w:rsidRPr="00981DC5">
              <w:rPr>
                <w:rFonts w:ascii="Book Antiqua" w:hAnsi="Book Antiqua" w:cs="Calibri"/>
                <w:color w:val="000000" w:themeColor="text1"/>
                <w:lang w:val="en-US"/>
              </w:rPr>
              <w:t xml:space="preserve"> to 2.262</w:t>
            </w:r>
          </w:p>
        </w:tc>
        <w:tc>
          <w:tcPr>
            <w:tcW w:w="713" w:type="dxa"/>
            <w:shd w:val="clear" w:color="auto" w:fill="auto"/>
          </w:tcPr>
          <w:p w14:paraId="6A08211D" w14:textId="592DB946"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-0.479 to 2.668</w:t>
            </w:r>
          </w:p>
        </w:tc>
        <w:tc>
          <w:tcPr>
            <w:tcW w:w="685" w:type="dxa"/>
            <w:shd w:val="clear" w:color="auto" w:fill="auto"/>
          </w:tcPr>
          <w:p w14:paraId="54EB4F38" w14:textId="0626BA08" w:rsidR="00D54D7A" w:rsidRPr="00981DC5" w:rsidRDefault="008F1AC1"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&gt;0.990</w:t>
            </w:r>
          </w:p>
        </w:tc>
        <w:tc>
          <w:tcPr>
            <w:tcW w:w="549" w:type="dxa"/>
            <w:shd w:val="clear" w:color="auto" w:fill="auto"/>
          </w:tcPr>
          <w:p w14:paraId="624AF095" w14:textId="3040607E"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0.81</w:t>
            </w:r>
            <w:r w:rsidR="008F1AC1" w:rsidRPr="00981DC5">
              <w:rPr>
                <w:rFonts w:ascii="Book Antiqua" w:hAnsi="Book Antiqua" w:cs="Calibri"/>
                <w:color w:val="000000" w:themeColor="text1"/>
                <w:lang w:val="en-US"/>
              </w:rPr>
              <w:t>7</w:t>
            </w:r>
          </w:p>
        </w:tc>
        <w:tc>
          <w:tcPr>
            <w:tcW w:w="620" w:type="dxa"/>
            <w:shd w:val="clear" w:color="auto" w:fill="auto"/>
          </w:tcPr>
          <w:p w14:paraId="6FFC6AC7" w14:textId="30C27FF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0.458</w:t>
            </w:r>
          </w:p>
        </w:tc>
        <w:tc>
          <w:tcPr>
            <w:tcW w:w="713" w:type="dxa"/>
            <w:shd w:val="clear" w:color="auto" w:fill="auto"/>
          </w:tcPr>
          <w:p w14:paraId="41994EA7" w14:textId="30F452D9"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0.24</w:t>
            </w:r>
            <w:r w:rsidR="008F1AC1" w:rsidRPr="00981DC5">
              <w:rPr>
                <w:rFonts w:ascii="Book Antiqua" w:hAnsi="Book Antiqua" w:cs="Calibri"/>
                <w:color w:val="000000" w:themeColor="text1"/>
                <w:lang w:val="en-US"/>
              </w:rPr>
              <w:t>4</w:t>
            </w:r>
          </w:p>
        </w:tc>
      </w:tr>
      <w:tr w:rsidR="00981DC5" w:rsidRPr="00981DC5" w14:paraId="60CB9027" w14:textId="77777777" w:rsidTr="00AA0F16">
        <w:tc>
          <w:tcPr>
            <w:tcW w:w="511" w:type="dxa"/>
            <w:shd w:val="clear" w:color="auto" w:fill="auto"/>
          </w:tcPr>
          <w:p w14:paraId="76E943FC"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2.098</w:t>
            </w:r>
          </w:p>
        </w:tc>
        <w:tc>
          <w:tcPr>
            <w:tcW w:w="685" w:type="dxa"/>
            <w:shd w:val="clear" w:color="auto" w:fill="auto"/>
          </w:tcPr>
          <w:p w14:paraId="6DE21427" w14:textId="70D5D7C4"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0.714</w:t>
            </w:r>
          </w:p>
        </w:tc>
        <w:tc>
          <w:tcPr>
            <w:tcW w:w="549" w:type="dxa"/>
            <w:shd w:val="clear" w:color="auto" w:fill="auto"/>
          </w:tcPr>
          <w:p w14:paraId="152C14E1"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1.423</w:t>
            </w:r>
          </w:p>
        </w:tc>
        <w:tc>
          <w:tcPr>
            <w:tcW w:w="620" w:type="dxa"/>
            <w:shd w:val="clear" w:color="auto" w:fill="auto"/>
          </w:tcPr>
          <w:p w14:paraId="5729C731" w14:textId="56C366FF"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1.13</w:t>
            </w:r>
            <w:r w:rsidR="008F1AC1" w:rsidRPr="00981DC5">
              <w:rPr>
                <w:rFonts w:ascii="Book Antiqua" w:hAnsi="Book Antiqua" w:cs="Calibri"/>
                <w:color w:val="000000" w:themeColor="text1"/>
                <w:lang w:val="en-US"/>
              </w:rPr>
              <w:t>0</w:t>
            </w:r>
          </w:p>
        </w:tc>
        <w:tc>
          <w:tcPr>
            <w:tcW w:w="422" w:type="dxa"/>
            <w:shd w:val="clear" w:color="auto" w:fill="auto"/>
          </w:tcPr>
          <w:p w14:paraId="78CB7944"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1.672</w:t>
            </w:r>
          </w:p>
        </w:tc>
        <w:tc>
          <w:tcPr>
            <w:tcW w:w="685" w:type="dxa"/>
            <w:shd w:val="clear" w:color="auto" w:fill="auto"/>
          </w:tcPr>
          <w:p w14:paraId="30F81712"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1.384</w:t>
            </w:r>
          </w:p>
        </w:tc>
        <w:tc>
          <w:tcPr>
            <w:tcW w:w="549" w:type="dxa"/>
            <w:shd w:val="clear" w:color="auto" w:fill="auto"/>
          </w:tcPr>
          <w:p w14:paraId="3899E0A3" w14:textId="4425EEE9"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0.674</w:t>
            </w:r>
          </w:p>
        </w:tc>
        <w:tc>
          <w:tcPr>
            <w:tcW w:w="620" w:type="dxa"/>
            <w:shd w:val="clear" w:color="auto" w:fill="auto"/>
          </w:tcPr>
          <w:p w14:paraId="024B918E" w14:textId="197DE873"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0.96</w:t>
            </w:r>
            <w:r w:rsidR="008F1AC1" w:rsidRPr="00981DC5">
              <w:rPr>
                <w:rFonts w:ascii="Book Antiqua" w:hAnsi="Book Antiqua" w:cs="Calibri"/>
                <w:color w:val="000000" w:themeColor="text1"/>
                <w:lang w:val="en-US"/>
              </w:rPr>
              <w:t>8</w:t>
            </w:r>
          </w:p>
        </w:tc>
        <w:tc>
          <w:tcPr>
            <w:tcW w:w="713" w:type="dxa"/>
            <w:shd w:val="clear" w:color="auto" w:fill="auto"/>
          </w:tcPr>
          <w:p w14:paraId="281B9AE0" w14:textId="793632D6"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0.42</w:t>
            </w:r>
            <w:r w:rsidR="008F1AC1" w:rsidRPr="00981DC5">
              <w:rPr>
                <w:rFonts w:ascii="Book Antiqua" w:hAnsi="Book Antiqua" w:cs="Calibri"/>
                <w:color w:val="000000" w:themeColor="text1"/>
                <w:lang w:val="en-US"/>
              </w:rPr>
              <w:t>6</w:t>
            </w:r>
          </w:p>
        </w:tc>
        <w:tc>
          <w:tcPr>
            <w:tcW w:w="685" w:type="dxa"/>
            <w:shd w:val="clear" w:color="auto" w:fill="auto"/>
          </w:tcPr>
          <w:p w14:paraId="4611563F" w14:textId="6EBD7D24"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-2.112 to 0.26</w:t>
            </w:r>
            <w:r w:rsidR="008F1AC1" w:rsidRPr="00981DC5">
              <w:rPr>
                <w:rFonts w:ascii="Book Antiqua" w:hAnsi="Book Antiqua" w:cs="Calibri"/>
                <w:color w:val="000000" w:themeColor="text1"/>
                <w:lang w:val="en-US"/>
              </w:rPr>
              <w:t>1</w:t>
            </w:r>
          </w:p>
        </w:tc>
        <w:tc>
          <w:tcPr>
            <w:tcW w:w="549" w:type="dxa"/>
            <w:shd w:val="clear" w:color="auto" w:fill="auto"/>
          </w:tcPr>
          <w:p w14:paraId="22269BAF" w14:textId="10C29FA3"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-0.82</w:t>
            </w:r>
            <w:r w:rsidR="008F1AC1" w:rsidRPr="00981DC5">
              <w:rPr>
                <w:rFonts w:ascii="Book Antiqua" w:hAnsi="Book Antiqua" w:cs="Calibri"/>
                <w:color w:val="000000" w:themeColor="text1"/>
                <w:lang w:val="en-US"/>
              </w:rPr>
              <w:t>6</w:t>
            </w:r>
            <w:r w:rsidRPr="00981DC5">
              <w:rPr>
                <w:rFonts w:ascii="Book Antiqua" w:hAnsi="Book Antiqua" w:cs="Calibri"/>
                <w:color w:val="000000" w:themeColor="text1"/>
                <w:lang w:val="en-US"/>
              </w:rPr>
              <w:t xml:space="preserve"> to 2.175</w:t>
            </w:r>
          </w:p>
        </w:tc>
        <w:tc>
          <w:tcPr>
            <w:tcW w:w="620" w:type="dxa"/>
            <w:shd w:val="clear" w:color="auto" w:fill="auto"/>
          </w:tcPr>
          <w:p w14:paraId="3E2F5886" w14:textId="5C7038C8"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-0.41</w:t>
            </w:r>
            <w:r w:rsidR="008F1AC1" w:rsidRPr="00981DC5">
              <w:rPr>
                <w:rFonts w:ascii="Book Antiqua" w:hAnsi="Book Antiqua" w:cs="Calibri"/>
                <w:color w:val="000000" w:themeColor="text1"/>
                <w:lang w:val="en-US"/>
              </w:rPr>
              <w:t>1</w:t>
            </w:r>
            <w:r w:rsidRPr="00981DC5">
              <w:rPr>
                <w:rFonts w:ascii="Book Antiqua" w:hAnsi="Book Antiqua" w:cs="Calibri"/>
                <w:color w:val="000000" w:themeColor="text1"/>
                <w:lang w:val="en-US"/>
              </w:rPr>
              <w:t xml:space="preserve"> to 2.346</w:t>
            </w:r>
          </w:p>
        </w:tc>
        <w:tc>
          <w:tcPr>
            <w:tcW w:w="713" w:type="dxa"/>
            <w:shd w:val="clear" w:color="auto" w:fill="auto"/>
          </w:tcPr>
          <w:p w14:paraId="3963DF40"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-1.075 to 1.926</w:t>
            </w:r>
          </w:p>
        </w:tc>
        <w:tc>
          <w:tcPr>
            <w:tcW w:w="685" w:type="dxa"/>
            <w:shd w:val="clear" w:color="auto" w:fill="auto"/>
          </w:tcPr>
          <w:p w14:paraId="47787A88"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b/>
                <w:color w:val="000000" w:themeColor="text1"/>
                <w:lang w:val="en-US"/>
              </w:rPr>
            </w:pPr>
            <w:r w:rsidRPr="00981DC5">
              <w:rPr>
                <w:rFonts w:ascii="Book Antiqua" w:hAnsi="Book Antiqua" w:cs="Calibri"/>
                <w:b/>
                <w:color w:val="000000" w:themeColor="text1"/>
                <w:lang w:val="en-US"/>
              </w:rPr>
              <w:t>0.034</w:t>
            </w:r>
          </w:p>
        </w:tc>
        <w:tc>
          <w:tcPr>
            <w:tcW w:w="549" w:type="dxa"/>
            <w:shd w:val="clear" w:color="auto" w:fill="auto"/>
          </w:tcPr>
          <w:p w14:paraId="74019CE7" w14:textId="3EED0D03"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0.6</w:t>
            </w:r>
            <w:r w:rsidR="008F1AC1" w:rsidRPr="00981DC5">
              <w:rPr>
                <w:rFonts w:ascii="Book Antiqua" w:hAnsi="Book Antiqua" w:cs="Calibri"/>
                <w:color w:val="000000" w:themeColor="text1"/>
                <w:lang w:val="en-US"/>
              </w:rPr>
              <w:t>10</w:t>
            </w:r>
          </w:p>
        </w:tc>
        <w:tc>
          <w:tcPr>
            <w:tcW w:w="620" w:type="dxa"/>
            <w:shd w:val="clear" w:color="auto" w:fill="auto"/>
          </w:tcPr>
          <w:p w14:paraId="7CED4087" w14:textId="531C2163"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0.23</w:t>
            </w:r>
            <w:r w:rsidR="008F1AC1" w:rsidRPr="00981DC5">
              <w:rPr>
                <w:rFonts w:ascii="Book Antiqua" w:hAnsi="Book Antiqua" w:cs="Calibri"/>
                <w:color w:val="000000" w:themeColor="text1"/>
                <w:lang w:val="en-US"/>
              </w:rPr>
              <w:t>6</w:t>
            </w:r>
          </w:p>
        </w:tc>
        <w:tc>
          <w:tcPr>
            <w:tcW w:w="713" w:type="dxa"/>
            <w:shd w:val="clear" w:color="auto" w:fill="auto"/>
          </w:tcPr>
          <w:p w14:paraId="34D16990" w14:textId="7939BD23"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0.879</w:t>
            </w:r>
          </w:p>
        </w:tc>
      </w:tr>
      <w:tr w:rsidR="00981DC5" w:rsidRPr="00981DC5" w14:paraId="0A3AA96C" w14:textId="77777777" w:rsidTr="00AA0F16">
        <w:tc>
          <w:tcPr>
            <w:tcW w:w="511" w:type="dxa"/>
            <w:shd w:val="clear" w:color="auto" w:fill="auto"/>
          </w:tcPr>
          <w:p w14:paraId="7C661602" w14:textId="21533AF3"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2.17</w:t>
            </w:r>
            <w:r w:rsidR="008F1AC1" w:rsidRPr="00981DC5">
              <w:rPr>
                <w:rFonts w:ascii="Book Antiqua" w:hAnsi="Book Antiqua" w:cs="Calibri"/>
                <w:color w:val="000000" w:themeColor="text1"/>
                <w:lang w:val="en-US"/>
              </w:rPr>
              <w:t>0</w:t>
            </w:r>
          </w:p>
        </w:tc>
        <w:tc>
          <w:tcPr>
            <w:tcW w:w="685" w:type="dxa"/>
            <w:shd w:val="clear" w:color="auto" w:fill="auto"/>
          </w:tcPr>
          <w:p w14:paraId="736755DE"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1.663</w:t>
            </w:r>
          </w:p>
        </w:tc>
        <w:tc>
          <w:tcPr>
            <w:tcW w:w="549" w:type="dxa"/>
            <w:shd w:val="clear" w:color="auto" w:fill="auto"/>
          </w:tcPr>
          <w:p w14:paraId="5E560B53"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1.746</w:t>
            </w:r>
          </w:p>
        </w:tc>
        <w:tc>
          <w:tcPr>
            <w:tcW w:w="620" w:type="dxa"/>
            <w:shd w:val="clear" w:color="auto" w:fill="auto"/>
          </w:tcPr>
          <w:p w14:paraId="25FD5BBA"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1.205</w:t>
            </w:r>
          </w:p>
        </w:tc>
        <w:tc>
          <w:tcPr>
            <w:tcW w:w="422" w:type="dxa"/>
            <w:shd w:val="clear" w:color="auto" w:fill="auto"/>
          </w:tcPr>
          <w:p w14:paraId="03B4A99E" w14:textId="11094EDA"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0.965</w:t>
            </w:r>
          </w:p>
        </w:tc>
        <w:tc>
          <w:tcPr>
            <w:tcW w:w="685" w:type="dxa"/>
            <w:shd w:val="clear" w:color="auto" w:fill="auto"/>
          </w:tcPr>
          <w:p w14:paraId="44DBCAF8"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0.507</w:t>
            </w:r>
          </w:p>
        </w:tc>
        <w:tc>
          <w:tcPr>
            <w:tcW w:w="549" w:type="dxa"/>
            <w:shd w:val="clear" w:color="auto" w:fill="auto"/>
          </w:tcPr>
          <w:p w14:paraId="3F066B41" w14:textId="110BDD50"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0.42</w:t>
            </w:r>
            <w:r w:rsidR="008F1AC1" w:rsidRPr="00981DC5">
              <w:rPr>
                <w:rFonts w:ascii="Book Antiqua" w:hAnsi="Book Antiqua" w:cs="Calibri"/>
                <w:color w:val="000000" w:themeColor="text1"/>
                <w:lang w:val="en-US"/>
              </w:rPr>
              <w:t>4</w:t>
            </w:r>
          </w:p>
        </w:tc>
        <w:tc>
          <w:tcPr>
            <w:tcW w:w="620" w:type="dxa"/>
            <w:shd w:val="clear" w:color="auto" w:fill="auto"/>
          </w:tcPr>
          <w:p w14:paraId="744D6A50" w14:textId="11C29B04"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0.96</w:t>
            </w:r>
            <w:r w:rsidR="008F1AC1" w:rsidRPr="00981DC5">
              <w:rPr>
                <w:rFonts w:ascii="Book Antiqua" w:hAnsi="Book Antiqua" w:cs="Calibri"/>
                <w:color w:val="000000" w:themeColor="text1"/>
                <w:lang w:val="en-US"/>
              </w:rPr>
              <w:t>6</w:t>
            </w:r>
          </w:p>
        </w:tc>
        <w:tc>
          <w:tcPr>
            <w:tcW w:w="713" w:type="dxa"/>
            <w:shd w:val="clear" w:color="auto" w:fill="auto"/>
          </w:tcPr>
          <w:p w14:paraId="58F466C3"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1.205</w:t>
            </w:r>
          </w:p>
        </w:tc>
        <w:tc>
          <w:tcPr>
            <w:tcW w:w="685" w:type="dxa"/>
            <w:shd w:val="clear" w:color="auto" w:fill="auto"/>
          </w:tcPr>
          <w:p w14:paraId="33172FAA" w14:textId="2AA7552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-2.112 to 0.26</w:t>
            </w:r>
            <w:r w:rsidR="008F1AC1" w:rsidRPr="00981DC5">
              <w:rPr>
                <w:rFonts w:ascii="Book Antiqua" w:hAnsi="Book Antiqua" w:cs="Calibri"/>
                <w:color w:val="000000" w:themeColor="text1"/>
                <w:lang w:val="en-US"/>
              </w:rPr>
              <w:t>1</w:t>
            </w:r>
          </w:p>
        </w:tc>
        <w:tc>
          <w:tcPr>
            <w:tcW w:w="549" w:type="dxa"/>
            <w:shd w:val="clear" w:color="auto" w:fill="auto"/>
          </w:tcPr>
          <w:p w14:paraId="1B8C6B05" w14:textId="4640F868"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-0.7</w:t>
            </w:r>
            <w:r w:rsidR="008F1AC1" w:rsidRPr="00981DC5">
              <w:rPr>
                <w:rFonts w:ascii="Book Antiqua" w:hAnsi="Book Antiqua" w:cs="Calibri"/>
                <w:color w:val="000000" w:themeColor="text1"/>
                <w:lang w:val="en-US"/>
              </w:rPr>
              <w:t>60</w:t>
            </w:r>
            <w:r w:rsidRPr="00981DC5">
              <w:rPr>
                <w:rFonts w:ascii="Book Antiqua" w:hAnsi="Book Antiqua" w:cs="Calibri"/>
                <w:color w:val="000000" w:themeColor="text1"/>
                <w:lang w:val="en-US"/>
              </w:rPr>
              <w:t xml:space="preserve"> to 1.607</w:t>
            </w:r>
          </w:p>
        </w:tc>
        <w:tc>
          <w:tcPr>
            <w:tcW w:w="620" w:type="dxa"/>
            <w:shd w:val="clear" w:color="auto" w:fill="auto"/>
          </w:tcPr>
          <w:p w14:paraId="74F2659F" w14:textId="6D7DECDB"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-0.47</w:t>
            </w:r>
            <w:r w:rsidR="008F1AC1" w:rsidRPr="00981DC5">
              <w:rPr>
                <w:rFonts w:ascii="Book Antiqua" w:hAnsi="Book Antiqua" w:cs="Calibri"/>
                <w:color w:val="000000" w:themeColor="text1"/>
                <w:lang w:val="en-US"/>
              </w:rPr>
              <w:t>8</w:t>
            </w:r>
            <w:r w:rsidRPr="00981DC5">
              <w:rPr>
                <w:rFonts w:ascii="Book Antiqua" w:hAnsi="Book Antiqua" w:cs="Calibri"/>
                <w:color w:val="000000" w:themeColor="text1"/>
                <w:lang w:val="en-US"/>
              </w:rPr>
              <w:t xml:space="preserve"> to 2.409</w:t>
            </w:r>
          </w:p>
        </w:tc>
        <w:tc>
          <w:tcPr>
            <w:tcW w:w="713" w:type="dxa"/>
            <w:shd w:val="clear" w:color="auto" w:fill="auto"/>
          </w:tcPr>
          <w:p w14:paraId="1231778E" w14:textId="4D99AD2D"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0.02</w:t>
            </w:r>
            <w:r w:rsidR="008F1AC1" w:rsidRPr="00981DC5">
              <w:rPr>
                <w:rFonts w:ascii="Book Antiqua" w:hAnsi="Book Antiqua" w:cs="Calibri"/>
                <w:color w:val="000000" w:themeColor="text1"/>
                <w:lang w:val="en-US"/>
              </w:rPr>
              <w:t>2</w:t>
            </w:r>
            <w:r w:rsidRPr="00981DC5">
              <w:rPr>
                <w:rFonts w:ascii="Book Antiqua" w:hAnsi="Book Antiqua" w:cs="Calibri"/>
                <w:color w:val="000000" w:themeColor="text1"/>
                <w:lang w:val="en-US"/>
              </w:rPr>
              <w:t xml:space="preserve"> to 2.388</w:t>
            </w:r>
          </w:p>
        </w:tc>
        <w:tc>
          <w:tcPr>
            <w:tcW w:w="685" w:type="dxa"/>
            <w:shd w:val="clear" w:color="auto" w:fill="auto"/>
          </w:tcPr>
          <w:p w14:paraId="0EC4408E" w14:textId="3719D051"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0.56</w:t>
            </w:r>
            <w:r w:rsidR="008F1AC1" w:rsidRPr="00981DC5">
              <w:rPr>
                <w:rFonts w:ascii="Book Antiqua" w:hAnsi="Book Antiqua" w:cs="Calibri"/>
                <w:color w:val="000000" w:themeColor="text1"/>
                <w:lang w:val="en-US"/>
              </w:rPr>
              <w:t>0</w:t>
            </w:r>
          </w:p>
        </w:tc>
        <w:tc>
          <w:tcPr>
            <w:tcW w:w="549" w:type="dxa"/>
            <w:shd w:val="clear" w:color="auto" w:fill="auto"/>
          </w:tcPr>
          <w:p w14:paraId="19ED4362" w14:textId="74597CC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0.77</w:t>
            </w:r>
            <w:r w:rsidR="008F1AC1" w:rsidRPr="00981DC5">
              <w:rPr>
                <w:rFonts w:ascii="Book Antiqua" w:hAnsi="Book Antiqua" w:cs="Calibri"/>
                <w:color w:val="000000" w:themeColor="text1"/>
                <w:lang w:val="en-US"/>
              </w:rPr>
              <w:t>0</w:t>
            </w:r>
          </w:p>
        </w:tc>
        <w:tc>
          <w:tcPr>
            <w:tcW w:w="620" w:type="dxa"/>
            <w:shd w:val="clear" w:color="auto" w:fill="auto"/>
          </w:tcPr>
          <w:p w14:paraId="3E3EB821" w14:textId="2814D7D4"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0.27</w:t>
            </w:r>
            <w:r w:rsidR="008F1AC1" w:rsidRPr="00981DC5">
              <w:rPr>
                <w:rFonts w:ascii="Book Antiqua" w:hAnsi="Book Antiqua" w:cs="Calibri"/>
                <w:color w:val="000000" w:themeColor="text1"/>
                <w:lang w:val="en-US"/>
              </w:rPr>
              <w:t>0</w:t>
            </w:r>
          </w:p>
        </w:tc>
        <w:tc>
          <w:tcPr>
            <w:tcW w:w="713" w:type="dxa"/>
            <w:shd w:val="clear" w:color="auto" w:fill="auto"/>
          </w:tcPr>
          <w:p w14:paraId="072AA64E" w14:textId="42A8AB78"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b/>
                <w:color w:val="000000" w:themeColor="text1"/>
                <w:lang w:val="en-US"/>
              </w:rPr>
            </w:pPr>
            <w:r w:rsidRPr="00981DC5">
              <w:rPr>
                <w:rFonts w:ascii="Book Antiqua" w:hAnsi="Book Antiqua" w:cs="Calibri"/>
                <w:b/>
                <w:color w:val="000000" w:themeColor="text1"/>
                <w:lang w:val="en-US"/>
              </w:rPr>
              <w:t>0.04</w:t>
            </w:r>
            <w:r w:rsidR="008F1AC1" w:rsidRPr="00981DC5">
              <w:rPr>
                <w:rFonts w:ascii="Book Antiqua" w:hAnsi="Book Antiqua" w:cs="Calibri"/>
                <w:b/>
                <w:color w:val="000000" w:themeColor="text1"/>
                <w:lang w:val="en-US"/>
              </w:rPr>
              <w:t>0</w:t>
            </w:r>
          </w:p>
        </w:tc>
      </w:tr>
      <w:tr w:rsidR="00981DC5" w:rsidRPr="00981DC5" w14:paraId="27601F58" w14:textId="77777777" w:rsidTr="00AA0F16">
        <w:tc>
          <w:tcPr>
            <w:tcW w:w="511" w:type="dxa"/>
            <w:shd w:val="clear" w:color="auto" w:fill="auto"/>
          </w:tcPr>
          <w:p w14:paraId="078258B9"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1.224</w:t>
            </w:r>
          </w:p>
        </w:tc>
        <w:tc>
          <w:tcPr>
            <w:tcW w:w="685" w:type="dxa"/>
            <w:shd w:val="clear" w:color="auto" w:fill="auto"/>
          </w:tcPr>
          <w:p w14:paraId="2E92656F" w14:textId="1972F685"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0.48</w:t>
            </w:r>
            <w:r w:rsidR="008F1AC1" w:rsidRPr="00981DC5">
              <w:rPr>
                <w:rFonts w:ascii="Book Antiqua" w:hAnsi="Book Antiqua" w:cs="Calibri"/>
                <w:color w:val="000000" w:themeColor="text1"/>
                <w:lang w:val="en-US"/>
              </w:rPr>
              <w:t>9</w:t>
            </w:r>
          </w:p>
        </w:tc>
        <w:tc>
          <w:tcPr>
            <w:tcW w:w="549" w:type="dxa"/>
            <w:shd w:val="clear" w:color="auto" w:fill="auto"/>
          </w:tcPr>
          <w:p w14:paraId="414A1DF4"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1.802</w:t>
            </w:r>
          </w:p>
        </w:tc>
        <w:tc>
          <w:tcPr>
            <w:tcW w:w="620" w:type="dxa"/>
            <w:shd w:val="clear" w:color="auto" w:fill="auto"/>
          </w:tcPr>
          <w:p w14:paraId="536BF02F"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1.189</w:t>
            </w:r>
          </w:p>
        </w:tc>
        <w:tc>
          <w:tcPr>
            <w:tcW w:w="422" w:type="dxa"/>
            <w:shd w:val="clear" w:color="auto" w:fill="auto"/>
          </w:tcPr>
          <w:p w14:paraId="6EEA0D0B"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1.221</w:t>
            </w:r>
          </w:p>
        </w:tc>
        <w:tc>
          <w:tcPr>
            <w:tcW w:w="685" w:type="dxa"/>
            <w:shd w:val="clear" w:color="auto" w:fill="auto"/>
          </w:tcPr>
          <w:p w14:paraId="24035443" w14:textId="71C1B2A1"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0.735</w:t>
            </w:r>
          </w:p>
        </w:tc>
        <w:tc>
          <w:tcPr>
            <w:tcW w:w="549" w:type="dxa"/>
            <w:shd w:val="clear" w:color="auto" w:fill="auto"/>
          </w:tcPr>
          <w:p w14:paraId="2EC44C28" w14:textId="6547048E"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-0.57</w:t>
            </w:r>
            <w:r w:rsidR="008F1AC1" w:rsidRPr="00981DC5">
              <w:rPr>
                <w:rFonts w:ascii="Book Antiqua" w:hAnsi="Book Antiqua" w:cs="Calibri"/>
                <w:color w:val="000000" w:themeColor="text1"/>
                <w:lang w:val="en-US"/>
              </w:rPr>
              <w:t>8</w:t>
            </w:r>
          </w:p>
        </w:tc>
        <w:tc>
          <w:tcPr>
            <w:tcW w:w="620" w:type="dxa"/>
            <w:shd w:val="clear" w:color="auto" w:fill="auto"/>
          </w:tcPr>
          <w:p w14:paraId="3BAA6EC0" w14:textId="22EA185B"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0.03</w:t>
            </w:r>
            <w:r w:rsidR="008F1AC1" w:rsidRPr="00981DC5">
              <w:rPr>
                <w:rFonts w:ascii="Book Antiqua" w:hAnsi="Book Antiqua" w:cs="Calibri"/>
                <w:color w:val="000000" w:themeColor="text1"/>
                <w:lang w:val="en-US"/>
              </w:rPr>
              <w:t>5</w:t>
            </w:r>
          </w:p>
        </w:tc>
        <w:tc>
          <w:tcPr>
            <w:tcW w:w="713" w:type="dxa"/>
            <w:shd w:val="clear" w:color="auto" w:fill="auto"/>
          </w:tcPr>
          <w:p w14:paraId="14679BE3" w14:textId="0056D0F3"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0.003</w:t>
            </w:r>
          </w:p>
        </w:tc>
        <w:tc>
          <w:tcPr>
            <w:tcW w:w="685" w:type="dxa"/>
            <w:shd w:val="clear" w:color="auto" w:fill="auto"/>
          </w:tcPr>
          <w:p w14:paraId="65D408A9" w14:textId="02A2549F"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-2.112 to 0.26</w:t>
            </w:r>
            <w:r w:rsidR="008F1AC1" w:rsidRPr="00981DC5">
              <w:rPr>
                <w:rFonts w:ascii="Book Antiqua" w:hAnsi="Book Antiqua" w:cs="Calibri"/>
                <w:color w:val="000000" w:themeColor="text1"/>
                <w:lang w:val="en-US"/>
              </w:rPr>
              <w:t>1</w:t>
            </w:r>
          </w:p>
        </w:tc>
        <w:tc>
          <w:tcPr>
            <w:tcW w:w="549" w:type="dxa"/>
            <w:shd w:val="clear" w:color="auto" w:fill="auto"/>
          </w:tcPr>
          <w:p w14:paraId="125D3A40" w14:textId="289511E8"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-2.13</w:t>
            </w:r>
            <w:r w:rsidR="008F1AC1" w:rsidRPr="00981DC5">
              <w:rPr>
                <w:rFonts w:ascii="Book Antiqua" w:hAnsi="Book Antiqua" w:cs="Calibri"/>
                <w:color w:val="000000" w:themeColor="text1"/>
                <w:lang w:val="en-US"/>
              </w:rPr>
              <w:t>0</w:t>
            </w:r>
            <w:r w:rsidRPr="00981DC5">
              <w:rPr>
                <w:rFonts w:ascii="Book Antiqua" w:hAnsi="Book Antiqua" w:cs="Calibri"/>
                <w:color w:val="000000" w:themeColor="text1"/>
                <w:lang w:val="en-US"/>
              </w:rPr>
              <w:t xml:space="preserve"> to 0.975</w:t>
            </w:r>
          </w:p>
        </w:tc>
        <w:tc>
          <w:tcPr>
            <w:tcW w:w="620" w:type="dxa"/>
            <w:shd w:val="clear" w:color="auto" w:fill="auto"/>
          </w:tcPr>
          <w:p w14:paraId="1D907096"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-1.311 to 1.382</w:t>
            </w:r>
          </w:p>
        </w:tc>
        <w:tc>
          <w:tcPr>
            <w:tcW w:w="713" w:type="dxa"/>
            <w:shd w:val="clear" w:color="auto" w:fill="auto"/>
          </w:tcPr>
          <w:p w14:paraId="493BDAF8"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-1.549 to 1.556</w:t>
            </w:r>
          </w:p>
        </w:tc>
        <w:tc>
          <w:tcPr>
            <w:tcW w:w="685" w:type="dxa"/>
            <w:shd w:val="clear" w:color="auto" w:fill="auto"/>
          </w:tcPr>
          <w:p w14:paraId="184C49F1" w14:textId="5BC6F10F"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0.73</w:t>
            </w:r>
            <w:r w:rsidR="008F1AC1" w:rsidRPr="00981DC5">
              <w:rPr>
                <w:rFonts w:ascii="Book Antiqua" w:hAnsi="Book Antiqua" w:cs="Calibri"/>
                <w:color w:val="000000" w:themeColor="text1"/>
                <w:lang w:val="en-US"/>
              </w:rPr>
              <w:t>0</w:t>
            </w:r>
          </w:p>
        </w:tc>
        <w:tc>
          <w:tcPr>
            <w:tcW w:w="549" w:type="dxa"/>
            <w:shd w:val="clear" w:color="auto" w:fill="auto"/>
          </w:tcPr>
          <w:p w14:paraId="41BD60F7" w14:textId="7A1ABDD0"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0.75</w:t>
            </w:r>
            <w:r w:rsidR="008F1AC1" w:rsidRPr="00981DC5">
              <w:rPr>
                <w:rFonts w:ascii="Book Antiqua" w:hAnsi="Book Antiqua" w:cs="Calibri"/>
                <w:color w:val="000000" w:themeColor="text1"/>
                <w:lang w:val="en-US"/>
              </w:rPr>
              <w:t>0</w:t>
            </w:r>
          </w:p>
        </w:tc>
        <w:tc>
          <w:tcPr>
            <w:tcW w:w="620" w:type="dxa"/>
            <w:shd w:val="clear" w:color="auto" w:fill="auto"/>
          </w:tcPr>
          <w:p w14:paraId="193DC956" w14:textId="6EF0CDF2"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&gt;0.99</w:t>
            </w:r>
            <w:r w:rsidR="008F1AC1" w:rsidRPr="00981DC5">
              <w:rPr>
                <w:rFonts w:ascii="Book Antiqua" w:hAnsi="Book Antiqua" w:cs="Calibri"/>
                <w:color w:val="000000" w:themeColor="text1"/>
                <w:lang w:val="en-US"/>
              </w:rPr>
              <w:t>0</w:t>
            </w:r>
          </w:p>
        </w:tc>
        <w:tc>
          <w:tcPr>
            <w:tcW w:w="713" w:type="dxa"/>
            <w:shd w:val="clear" w:color="auto" w:fill="auto"/>
          </w:tcPr>
          <w:p w14:paraId="7261A767" w14:textId="2719A0A5"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&gt;0.99</w:t>
            </w:r>
            <w:r w:rsidR="008F1AC1" w:rsidRPr="00981DC5">
              <w:rPr>
                <w:rFonts w:ascii="Book Antiqua" w:hAnsi="Book Antiqua" w:cs="Calibri"/>
                <w:color w:val="000000" w:themeColor="text1"/>
                <w:lang w:val="en-US"/>
              </w:rPr>
              <w:t>0</w:t>
            </w:r>
          </w:p>
        </w:tc>
      </w:tr>
      <w:tr w:rsidR="00981DC5" w:rsidRPr="00981DC5" w14:paraId="09295789" w14:textId="77777777" w:rsidTr="00AA0F16">
        <w:tc>
          <w:tcPr>
            <w:tcW w:w="511" w:type="dxa"/>
            <w:shd w:val="clear" w:color="auto" w:fill="auto"/>
          </w:tcPr>
          <w:p w14:paraId="2D9F2F70"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1.606</w:t>
            </w:r>
          </w:p>
        </w:tc>
        <w:tc>
          <w:tcPr>
            <w:tcW w:w="685" w:type="dxa"/>
            <w:shd w:val="clear" w:color="auto" w:fill="auto"/>
          </w:tcPr>
          <w:p w14:paraId="4EEBA591" w14:textId="5CCE2AFA"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0.7</w:t>
            </w:r>
            <w:r w:rsidR="008F1AC1" w:rsidRPr="00981DC5">
              <w:rPr>
                <w:rFonts w:ascii="Book Antiqua" w:hAnsi="Book Antiqua" w:cs="Calibri"/>
                <w:color w:val="000000" w:themeColor="text1"/>
                <w:lang w:val="en-US"/>
              </w:rPr>
              <w:t>10</w:t>
            </w:r>
          </w:p>
        </w:tc>
        <w:tc>
          <w:tcPr>
            <w:tcW w:w="549" w:type="dxa"/>
            <w:shd w:val="clear" w:color="auto" w:fill="auto"/>
          </w:tcPr>
          <w:p w14:paraId="413B8943" w14:textId="6C539714"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0.423</w:t>
            </w:r>
          </w:p>
        </w:tc>
        <w:tc>
          <w:tcPr>
            <w:tcW w:w="620" w:type="dxa"/>
            <w:shd w:val="clear" w:color="auto" w:fill="auto"/>
          </w:tcPr>
          <w:p w14:paraId="240DA429" w14:textId="4E477CBC"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0.60</w:t>
            </w:r>
            <w:r w:rsidR="008F1AC1" w:rsidRPr="00981DC5">
              <w:rPr>
                <w:rFonts w:ascii="Book Antiqua" w:hAnsi="Book Antiqua" w:cs="Calibri"/>
                <w:color w:val="000000" w:themeColor="text1"/>
                <w:lang w:val="en-US"/>
              </w:rPr>
              <w:t>6</w:t>
            </w:r>
          </w:p>
        </w:tc>
        <w:tc>
          <w:tcPr>
            <w:tcW w:w="422" w:type="dxa"/>
            <w:shd w:val="clear" w:color="auto" w:fill="auto"/>
          </w:tcPr>
          <w:p w14:paraId="3A5F840C" w14:textId="695BCB3B"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0.94</w:t>
            </w:r>
            <w:r w:rsidR="008F1AC1" w:rsidRPr="00981DC5">
              <w:rPr>
                <w:rFonts w:ascii="Book Antiqua" w:hAnsi="Book Antiqua" w:cs="Calibri"/>
                <w:color w:val="000000" w:themeColor="text1"/>
                <w:lang w:val="en-US"/>
              </w:rPr>
              <w:t>5</w:t>
            </w:r>
          </w:p>
        </w:tc>
        <w:tc>
          <w:tcPr>
            <w:tcW w:w="685" w:type="dxa"/>
            <w:shd w:val="clear" w:color="auto" w:fill="auto"/>
          </w:tcPr>
          <w:p w14:paraId="7D59A150" w14:textId="1D9A9FBF"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0.896</w:t>
            </w:r>
          </w:p>
        </w:tc>
        <w:tc>
          <w:tcPr>
            <w:tcW w:w="549" w:type="dxa"/>
            <w:shd w:val="clear" w:color="auto" w:fill="auto"/>
          </w:tcPr>
          <w:p w14:paraId="728E7BE9"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1.183</w:t>
            </w:r>
          </w:p>
        </w:tc>
        <w:tc>
          <w:tcPr>
            <w:tcW w:w="620" w:type="dxa"/>
            <w:shd w:val="clear" w:color="auto" w:fill="auto"/>
          </w:tcPr>
          <w:p w14:paraId="5F34919A" w14:textId="4EA82238"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1</w:t>
            </w:r>
            <w:r w:rsidR="008F1AC1" w:rsidRPr="00981DC5">
              <w:rPr>
                <w:rFonts w:ascii="Book Antiqua" w:hAnsi="Book Antiqua" w:cs="Calibri"/>
                <w:color w:val="000000" w:themeColor="text1"/>
                <w:lang w:val="en-US"/>
              </w:rPr>
              <w:t>.000</w:t>
            </w:r>
          </w:p>
        </w:tc>
        <w:tc>
          <w:tcPr>
            <w:tcW w:w="713" w:type="dxa"/>
            <w:shd w:val="clear" w:color="auto" w:fill="auto"/>
          </w:tcPr>
          <w:p w14:paraId="7EC2B9CD" w14:textId="66F9953D"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0.66</w:t>
            </w:r>
            <w:r w:rsidR="008F1AC1" w:rsidRPr="00981DC5">
              <w:rPr>
                <w:rFonts w:ascii="Book Antiqua" w:hAnsi="Book Antiqua" w:cs="Calibri"/>
                <w:color w:val="000000" w:themeColor="text1"/>
                <w:lang w:val="en-US"/>
              </w:rPr>
              <w:t>2</w:t>
            </w:r>
          </w:p>
        </w:tc>
        <w:tc>
          <w:tcPr>
            <w:tcW w:w="685" w:type="dxa"/>
            <w:shd w:val="clear" w:color="auto" w:fill="auto"/>
          </w:tcPr>
          <w:p w14:paraId="0F5EED27" w14:textId="5A1F7635"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 xml:space="preserve">-2.112 to </w:t>
            </w:r>
            <w:r w:rsidRPr="00981DC5">
              <w:rPr>
                <w:rFonts w:ascii="Book Antiqua" w:hAnsi="Book Antiqua" w:cs="Calibri"/>
                <w:color w:val="000000" w:themeColor="text1"/>
                <w:lang w:val="en-US"/>
              </w:rPr>
              <w:lastRenderedPageBreak/>
              <w:t>0.26</w:t>
            </w:r>
            <w:r w:rsidR="008F1AC1" w:rsidRPr="00981DC5">
              <w:rPr>
                <w:rFonts w:ascii="Book Antiqua" w:hAnsi="Book Antiqua" w:cs="Calibri"/>
                <w:color w:val="000000" w:themeColor="text1"/>
                <w:lang w:val="en-US"/>
              </w:rPr>
              <w:t>1</w:t>
            </w:r>
          </w:p>
        </w:tc>
        <w:tc>
          <w:tcPr>
            <w:tcW w:w="549" w:type="dxa"/>
            <w:shd w:val="clear" w:color="auto" w:fill="auto"/>
          </w:tcPr>
          <w:p w14:paraId="47BCB86D" w14:textId="6E99156E"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lastRenderedPageBreak/>
              <w:t>-0.38</w:t>
            </w:r>
            <w:r w:rsidR="008F1AC1" w:rsidRPr="00981DC5">
              <w:rPr>
                <w:rFonts w:ascii="Book Antiqua" w:hAnsi="Book Antiqua" w:cs="Calibri"/>
                <w:color w:val="000000" w:themeColor="text1"/>
                <w:lang w:val="en-US"/>
              </w:rPr>
              <w:t>3</w:t>
            </w:r>
            <w:r w:rsidRPr="00981DC5">
              <w:rPr>
                <w:rFonts w:ascii="Book Antiqua" w:hAnsi="Book Antiqua" w:cs="Calibri"/>
                <w:color w:val="000000" w:themeColor="text1"/>
                <w:lang w:val="en-US"/>
              </w:rPr>
              <w:t xml:space="preserve"> to </w:t>
            </w:r>
            <w:r w:rsidRPr="00981DC5">
              <w:rPr>
                <w:rFonts w:ascii="Book Antiqua" w:hAnsi="Book Antiqua" w:cs="Calibri"/>
                <w:color w:val="000000" w:themeColor="text1"/>
                <w:lang w:val="en-US"/>
              </w:rPr>
              <w:lastRenderedPageBreak/>
              <w:t>2.748</w:t>
            </w:r>
          </w:p>
        </w:tc>
        <w:tc>
          <w:tcPr>
            <w:tcW w:w="620" w:type="dxa"/>
            <w:shd w:val="clear" w:color="auto" w:fill="auto"/>
          </w:tcPr>
          <w:p w14:paraId="2DFBFD79" w14:textId="543F812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lastRenderedPageBreak/>
              <w:t>0.08</w:t>
            </w:r>
            <w:r w:rsidR="008F1AC1" w:rsidRPr="00981DC5">
              <w:rPr>
                <w:rFonts w:ascii="Book Antiqua" w:hAnsi="Book Antiqua" w:cs="Calibri"/>
                <w:color w:val="000000" w:themeColor="text1"/>
                <w:lang w:val="en-US"/>
              </w:rPr>
              <w:t>3</w:t>
            </w:r>
            <w:r w:rsidRPr="00981DC5">
              <w:rPr>
                <w:rFonts w:ascii="Book Antiqua" w:hAnsi="Book Antiqua" w:cs="Calibri"/>
                <w:color w:val="000000" w:themeColor="text1"/>
                <w:lang w:val="en-US"/>
              </w:rPr>
              <w:t xml:space="preserve"> to </w:t>
            </w:r>
            <w:r w:rsidRPr="00981DC5">
              <w:rPr>
                <w:rFonts w:ascii="Book Antiqua" w:hAnsi="Book Antiqua" w:cs="Calibri"/>
                <w:color w:val="000000" w:themeColor="text1"/>
                <w:lang w:val="en-US"/>
              </w:rPr>
              <w:lastRenderedPageBreak/>
              <w:t>1.918</w:t>
            </w:r>
          </w:p>
        </w:tc>
        <w:tc>
          <w:tcPr>
            <w:tcW w:w="713" w:type="dxa"/>
            <w:shd w:val="clear" w:color="auto" w:fill="auto"/>
          </w:tcPr>
          <w:p w14:paraId="3737D68F" w14:textId="7F15091E"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lastRenderedPageBreak/>
              <w:t xml:space="preserve">-0.417 to </w:t>
            </w:r>
            <w:r w:rsidRPr="00981DC5">
              <w:rPr>
                <w:rFonts w:ascii="Book Antiqua" w:hAnsi="Book Antiqua" w:cs="Calibri"/>
                <w:color w:val="000000" w:themeColor="text1"/>
                <w:lang w:val="en-US"/>
              </w:rPr>
              <w:lastRenderedPageBreak/>
              <w:t>1.74</w:t>
            </w:r>
            <w:r w:rsidR="008F1AC1" w:rsidRPr="00981DC5">
              <w:rPr>
                <w:rFonts w:ascii="Book Antiqua" w:hAnsi="Book Antiqua" w:cs="Calibri"/>
                <w:color w:val="000000" w:themeColor="text1"/>
                <w:lang w:val="en-US"/>
              </w:rPr>
              <w:t>0</w:t>
            </w:r>
          </w:p>
        </w:tc>
        <w:tc>
          <w:tcPr>
            <w:tcW w:w="685" w:type="dxa"/>
            <w:shd w:val="clear" w:color="auto" w:fill="auto"/>
          </w:tcPr>
          <w:p w14:paraId="742F105A" w14:textId="7F68092E"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lastRenderedPageBreak/>
              <w:t>0.057</w:t>
            </w:r>
          </w:p>
        </w:tc>
        <w:tc>
          <w:tcPr>
            <w:tcW w:w="549" w:type="dxa"/>
            <w:shd w:val="clear" w:color="auto" w:fill="auto"/>
          </w:tcPr>
          <w:p w14:paraId="4C9335D2" w14:textId="14D24F4B"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0.18</w:t>
            </w:r>
            <w:r w:rsidR="008F1AC1" w:rsidRPr="00981DC5">
              <w:rPr>
                <w:rFonts w:ascii="Book Antiqua" w:hAnsi="Book Antiqua" w:cs="Calibri"/>
                <w:color w:val="000000" w:themeColor="text1"/>
                <w:lang w:val="en-US"/>
              </w:rPr>
              <w:t>3</w:t>
            </w:r>
          </w:p>
        </w:tc>
        <w:tc>
          <w:tcPr>
            <w:tcW w:w="620" w:type="dxa"/>
            <w:shd w:val="clear" w:color="auto" w:fill="auto"/>
          </w:tcPr>
          <w:p w14:paraId="46848D22" w14:textId="6338A538"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b/>
                <w:color w:val="000000" w:themeColor="text1"/>
                <w:lang w:val="en-US"/>
              </w:rPr>
            </w:pPr>
            <w:r w:rsidRPr="00981DC5">
              <w:rPr>
                <w:rFonts w:ascii="Book Antiqua" w:hAnsi="Book Antiqua" w:cs="Calibri"/>
                <w:b/>
                <w:color w:val="000000" w:themeColor="text1"/>
                <w:lang w:val="en-US"/>
              </w:rPr>
              <w:t>0.029</w:t>
            </w:r>
          </w:p>
        </w:tc>
        <w:tc>
          <w:tcPr>
            <w:tcW w:w="713" w:type="dxa"/>
            <w:shd w:val="clear" w:color="auto" w:fill="auto"/>
          </w:tcPr>
          <w:p w14:paraId="66273501" w14:textId="0F273F4C"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0.342</w:t>
            </w:r>
          </w:p>
        </w:tc>
      </w:tr>
      <w:tr w:rsidR="00981DC5" w:rsidRPr="00981DC5" w14:paraId="3903EDD1" w14:textId="77777777" w:rsidTr="00AA0F16">
        <w:tc>
          <w:tcPr>
            <w:tcW w:w="511" w:type="dxa"/>
            <w:shd w:val="clear" w:color="auto" w:fill="auto"/>
          </w:tcPr>
          <w:p w14:paraId="120FD307"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1.046</w:t>
            </w:r>
          </w:p>
        </w:tc>
        <w:tc>
          <w:tcPr>
            <w:tcW w:w="685" w:type="dxa"/>
            <w:shd w:val="clear" w:color="auto" w:fill="auto"/>
          </w:tcPr>
          <w:p w14:paraId="041F6620" w14:textId="019079A5"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0.575</w:t>
            </w:r>
          </w:p>
        </w:tc>
        <w:tc>
          <w:tcPr>
            <w:tcW w:w="549" w:type="dxa"/>
            <w:shd w:val="clear" w:color="auto" w:fill="auto"/>
          </w:tcPr>
          <w:p w14:paraId="439D7E0A"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1.037</w:t>
            </w:r>
          </w:p>
        </w:tc>
        <w:tc>
          <w:tcPr>
            <w:tcW w:w="620" w:type="dxa"/>
            <w:shd w:val="clear" w:color="auto" w:fill="auto"/>
          </w:tcPr>
          <w:p w14:paraId="0BF92A1D" w14:textId="23AB51D1"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0.46</w:t>
            </w:r>
            <w:r w:rsidR="008F1AC1" w:rsidRPr="00981DC5">
              <w:rPr>
                <w:rFonts w:ascii="Book Antiqua" w:hAnsi="Book Antiqua" w:cs="Calibri"/>
                <w:color w:val="000000" w:themeColor="text1"/>
                <w:lang w:val="en-US"/>
              </w:rPr>
              <w:t>8</w:t>
            </w:r>
          </w:p>
        </w:tc>
        <w:tc>
          <w:tcPr>
            <w:tcW w:w="422" w:type="dxa"/>
            <w:shd w:val="clear" w:color="auto" w:fill="auto"/>
          </w:tcPr>
          <w:p w14:paraId="70D16443" w14:textId="1DE8C9A1"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0.51</w:t>
            </w:r>
            <w:r w:rsidR="008F1AC1" w:rsidRPr="00981DC5">
              <w:rPr>
                <w:rFonts w:ascii="Book Antiqua" w:hAnsi="Book Antiqua" w:cs="Calibri"/>
                <w:color w:val="000000" w:themeColor="text1"/>
                <w:lang w:val="en-US"/>
              </w:rPr>
              <w:t>4</w:t>
            </w:r>
          </w:p>
        </w:tc>
        <w:tc>
          <w:tcPr>
            <w:tcW w:w="685" w:type="dxa"/>
            <w:shd w:val="clear" w:color="auto" w:fill="auto"/>
          </w:tcPr>
          <w:p w14:paraId="2C00545A" w14:textId="0FDF3568"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0.471</w:t>
            </w:r>
          </w:p>
        </w:tc>
        <w:tc>
          <w:tcPr>
            <w:tcW w:w="549" w:type="dxa"/>
            <w:shd w:val="clear" w:color="auto" w:fill="auto"/>
          </w:tcPr>
          <w:p w14:paraId="23B0DDD5" w14:textId="5CE2833A"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0.009</w:t>
            </w:r>
          </w:p>
        </w:tc>
        <w:tc>
          <w:tcPr>
            <w:tcW w:w="620" w:type="dxa"/>
            <w:shd w:val="clear" w:color="auto" w:fill="auto"/>
          </w:tcPr>
          <w:p w14:paraId="533B05C0" w14:textId="22AB9A7C"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0.57</w:t>
            </w:r>
            <w:r w:rsidR="008F1AC1" w:rsidRPr="00981DC5">
              <w:rPr>
                <w:rFonts w:ascii="Book Antiqua" w:hAnsi="Book Antiqua" w:cs="Calibri"/>
                <w:color w:val="000000" w:themeColor="text1"/>
                <w:lang w:val="en-US"/>
              </w:rPr>
              <w:t>9</w:t>
            </w:r>
          </w:p>
        </w:tc>
        <w:tc>
          <w:tcPr>
            <w:tcW w:w="713" w:type="dxa"/>
            <w:shd w:val="clear" w:color="auto" w:fill="auto"/>
          </w:tcPr>
          <w:p w14:paraId="1A587AA2" w14:textId="351ACC53"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0.53</w:t>
            </w:r>
            <w:r w:rsidR="008F1AC1" w:rsidRPr="00981DC5">
              <w:rPr>
                <w:rFonts w:ascii="Book Antiqua" w:hAnsi="Book Antiqua" w:cs="Calibri"/>
                <w:color w:val="000000" w:themeColor="text1"/>
                <w:lang w:val="en-US"/>
              </w:rPr>
              <w:t>3</w:t>
            </w:r>
          </w:p>
        </w:tc>
        <w:tc>
          <w:tcPr>
            <w:tcW w:w="685" w:type="dxa"/>
            <w:shd w:val="clear" w:color="auto" w:fill="auto"/>
          </w:tcPr>
          <w:p w14:paraId="4F655132" w14:textId="293594D2"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-2.112 to 0.26</w:t>
            </w:r>
            <w:r w:rsidR="008F1AC1" w:rsidRPr="00981DC5">
              <w:rPr>
                <w:rFonts w:ascii="Book Antiqua" w:hAnsi="Book Antiqua" w:cs="Calibri"/>
                <w:color w:val="000000" w:themeColor="text1"/>
                <w:lang w:val="en-US"/>
              </w:rPr>
              <w:t>1</w:t>
            </w:r>
          </w:p>
        </w:tc>
        <w:tc>
          <w:tcPr>
            <w:tcW w:w="549" w:type="dxa"/>
            <w:shd w:val="clear" w:color="auto" w:fill="auto"/>
          </w:tcPr>
          <w:p w14:paraId="7CE8DBC7"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-1.094 to 1.113</w:t>
            </w:r>
          </w:p>
        </w:tc>
        <w:tc>
          <w:tcPr>
            <w:tcW w:w="620" w:type="dxa"/>
            <w:shd w:val="clear" w:color="auto" w:fill="auto"/>
          </w:tcPr>
          <w:p w14:paraId="0C4461B9" w14:textId="5EBB9904"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-0.55</w:t>
            </w:r>
            <w:r w:rsidR="008F1AC1" w:rsidRPr="00981DC5">
              <w:rPr>
                <w:rFonts w:ascii="Book Antiqua" w:hAnsi="Book Antiqua" w:cs="Calibri"/>
                <w:color w:val="000000" w:themeColor="text1"/>
                <w:lang w:val="en-US"/>
              </w:rPr>
              <w:t>7</w:t>
            </w:r>
            <w:r w:rsidRPr="00981DC5">
              <w:rPr>
                <w:rFonts w:ascii="Book Antiqua" w:hAnsi="Book Antiqua" w:cs="Calibri"/>
                <w:color w:val="000000" w:themeColor="text1"/>
                <w:lang w:val="en-US"/>
              </w:rPr>
              <w:t xml:space="preserve"> to 1.714</w:t>
            </w:r>
          </w:p>
        </w:tc>
        <w:tc>
          <w:tcPr>
            <w:tcW w:w="713" w:type="dxa"/>
            <w:shd w:val="clear" w:color="auto" w:fill="auto"/>
          </w:tcPr>
          <w:p w14:paraId="3665B692" w14:textId="0413BEE6"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-0.58</w:t>
            </w:r>
            <w:r w:rsidR="008F1AC1" w:rsidRPr="00981DC5">
              <w:rPr>
                <w:rFonts w:ascii="Book Antiqua" w:hAnsi="Book Antiqua" w:cs="Calibri"/>
                <w:color w:val="000000" w:themeColor="text1"/>
                <w:lang w:val="en-US"/>
              </w:rPr>
              <w:t>6</w:t>
            </w:r>
            <w:r w:rsidRPr="00981DC5">
              <w:rPr>
                <w:rFonts w:ascii="Book Antiqua" w:hAnsi="Book Antiqua" w:cs="Calibri"/>
                <w:color w:val="000000" w:themeColor="text1"/>
                <w:lang w:val="en-US"/>
              </w:rPr>
              <w:t xml:space="preserve"> to 1.65</w:t>
            </w:r>
            <w:r w:rsidR="008F1AC1" w:rsidRPr="00981DC5">
              <w:rPr>
                <w:rFonts w:ascii="Book Antiqua" w:hAnsi="Book Antiqua" w:cs="Calibri"/>
                <w:color w:val="000000" w:themeColor="text1"/>
                <w:lang w:val="en-US"/>
              </w:rPr>
              <w:t>0</w:t>
            </w:r>
          </w:p>
        </w:tc>
        <w:tc>
          <w:tcPr>
            <w:tcW w:w="685" w:type="dxa"/>
            <w:shd w:val="clear" w:color="auto" w:fill="auto"/>
          </w:tcPr>
          <w:p w14:paraId="7719DA00" w14:textId="5860C7BA"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0.64</w:t>
            </w:r>
            <w:r w:rsidR="008F1AC1" w:rsidRPr="00981DC5">
              <w:rPr>
                <w:rFonts w:ascii="Book Antiqua" w:hAnsi="Book Antiqua" w:cs="Calibri"/>
                <w:color w:val="000000" w:themeColor="text1"/>
                <w:lang w:val="en-US"/>
              </w:rPr>
              <w:t>3</w:t>
            </w:r>
          </w:p>
        </w:tc>
        <w:tc>
          <w:tcPr>
            <w:tcW w:w="549" w:type="dxa"/>
            <w:shd w:val="clear" w:color="auto" w:fill="auto"/>
          </w:tcPr>
          <w:p w14:paraId="35CD1F79" w14:textId="572200D6" w:rsidR="00D54D7A" w:rsidRPr="00981DC5" w:rsidRDefault="008F1AC1"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&gt;0.990</w:t>
            </w:r>
          </w:p>
        </w:tc>
        <w:tc>
          <w:tcPr>
            <w:tcW w:w="620" w:type="dxa"/>
            <w:shd w:val="clear" w:color="auto" w:fill="auto"/>
          </w:tcPr>
          <w:p w14:paraId="193D26F9" w14:textId="20042DE3"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0.50</w:t>
            </w:r>
            <w:r w:rsidR="008F1AC1" w:rsidRPr="00981DC5">
              <w:rPr>
                <w:rFonts w:ascii="Book Antiqua" w:hAnsi="Book Antiqua" w:cs="Calibri"/>
                <w:color w:val="000000" w:themeColor="text1"/>
                <w:lang w:val="en-US"/>
              </w:rPr>
              <w:t>6</w:t>
            </w:r>
          </w:p>
        </w:tc>
        <w:tc>
          <w:tcPr>
            <w:tcW w:w="713" w:type="dxa"/>
            <w:shd w:val="clear" w:color="auto" w:fill="auto"/>
          </w:tcPr>
          <w:p w14:paraId="5A0CD2E8" w14:textId="5B613069"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0.563</w:t>
            </w:r>
          </w:p>
        </w:tc>
      </w:tr>
      <w:tr w:rsidR="00981DC5" w:rsidRPr="00981DC5" w14:paraId="34B16C4C" w14:textId="77777777" w:rsidTr="00AA0F16">
        <w:tc>
          <w:tcPr>
            <w:tcW w:w="511" w:type="dxa"/>
            <w:shd w:val="clear" w:color="auto" w:fill="auto"/>
          </w:tcPr>
          <w:p w14:paraId="66C7351A"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2.669</w:t>
            </w:r>
          </w:p>
        </w:tc>
        <w:tc>
          <w:tcPr>
            <w:tcW w:w="685" w:type="dxa"/>
            <w:shd w:val="clear" w:color="auto" w:fill="auto"/>
          </w:tcPr>
          <w:p w14:paraId="034D1FE8"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1.203</w:t>
            </w:r>
          </w:p>
        </w:tc>
        <w:tc>
          <w:tcPr>
            <w:tcW w:w="549" w:type="dxa"/>
            <w:shd w:val="clear" w:color="auto" w:fill="auto"/>
          </w:tcPr>
          <w:p w14:paraId="40CDCB9E"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1.207</w:t>
            </w:r>
          </w:p>
        </w:tc>
        <w:tc>
          <w:tcPr>
            <w:tcW w:w="620" w:type="dxa"/>
            <w:shd w:val="clear" w:color="auto" w:fill="auto"/>
          </w:tcPr>
          <w:p w14:paraId="3209390E"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1.428</w:t>
            </w:r>
          </w:p>
        </w:tc>
        <w:tc>
          <w:tcPr>
            <w:tcW w:w="422" w:type="dxa"/>
            <w:shd w:val="clear" w:color="auto" w:fill="auto"/>
          </w:tcPr>
          <w:p w14:paraId="26DE9199"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1.371</w:t>
            </w:r>
          </w:p>
        </w:tc>
        <w:tc>
          <w:tcPr>
            <w:tcW w:w="685" w:type="dxa"/>
            <w:shd w:val="clear" w:color="auto" w:fill="auto"/>
          </w:tcPr>
          <w:p w14:paraId="4384674F"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1.466</w:t>
            </w:r>
          </w:p>
        </w:tc>
        <w:tc>
          <w:tcPr>
            <w:tcW w:w="549" w:type="dxa"/>
            <w:shd w:val="clear" w:color="auto" w:fill="auto"/>
          </w:tcPr>
          <w:p w14:paraId="497C1B8A"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1.462</w:t>
            </w:r>
          </w:p>
        </w:tc>
        <w:tc>
          <w:tcPr>
            <w:tcW w:w="620" w:type="dxa"/>
            <w:shd w:val="clear" w:color="auto" w:fill="auto"/>
          </w:tcPr>
          <w:p w14:paraId="39394ECE"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1.241</w:t>
            </w:r>
          </w:p>
        </w:tc>
        <w:tc>
          <w:tcPr>
            <w:tcW w:w="713" w:type="dxa"/>
            <w:shd w:val="clear" w:color="auto" w:fill="auto"/>
          </w:tcPr>
          <w:p w14:paraId="66910E39"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1.298</w:t>
            </w:r>
          </w:p>
        </w:tc>
        <w:tc>
          <w:tcPr>
            <w:tcW w:w="685" w:type="dxa"/>
            <w:shd w:val="clear" w:color="auto" w:fill="auto"/>
          </w:tcPr>
          <w:p w14:paraId="65DB954B" w14:textId="62D64DD1"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-2.112 to 0.26</w:t>
            </w:r>
            <w:r w:rsidR="008F1AC1" w:rsidRPr="00981DC5">
              <w:rPr>
                <w:rFonts w:ascii="Book Antiqua" w:hAnsi="Book Antiqua" w:cs="Calibri"/>
                <w:color w:val="000000" w:themeColor="text1"/>
                <w:lang w:val="en-US"/>
              </w:rPr>
              <w:t>1</w:t>
            </w:r>
          </w:p>
        </w:tc>
        <w:tc>
          <w:tcPr>
            <w:tcW w:w="549" w:type="dxa"/>
            <w:shd w:val="clear" w:color="auto" w:fill="auto"/>
          </w:tcPr>
          <w:p w14:paraId="33FB505D"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-1.407 to 4.331</w:t>
            </w:r>
          </w:p>
        </w:tc>
        <w:tc>
          <w:tcPr>
            <w:tcW w:w="620" w:type="dxa"/>
            <w:shd w:val="clear" w:color="auto" w:fill="auto"/>
          </w:tcPr>
          <w:p w14:paraId="4B46CBC3"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-1.326 to 3.807</w:t>
            </w:r>
          </w:p>
        </w:tc>
        <w:tc>
          <w:tcPr>
            <w:tcW w:w="713" w:type="dxa"/>
            <w:shd w:val="clear" w:color="auto" w:fill="auto"/>
          </w:tcPr>
          <w:p w14:paraId="7603D8B8"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-1.268 to 3.864</w:t>
            </w:r>
          </w:p>
        </w:tc>
        <w:tc>
          <w:tcPr>
            <w:tcW w:w="685" w:type="dxa"/>
            <w:shd w:val="clear" w:color="auto" w:fill="auto"/>
          </w:tcPr>
          <w:p w14:paraId="0C9E05BB" w14:textId="20256D79"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0.33</w:t>
            </w:r>
            <w:r w:rsidR="008F1AC1" w:rsidRPr="00981DC5">
              <w:rPr>
                <w:rFonts w:ascii="Book Antiqua" w:hAnsi="Book Antiqua" w:cs="Calibri"/>
                <w:color w:val="000000" w:themeColor="text1"/>
                <w:lang w:val="en-US"/>
              </w:rPr>
              <w:t>8</w:t>
            </w:r>
          </w:p>
        </w:tc>
        <w:tc>
          <w:tcPr>
            <w:tcW w:w="549" w:type="dxa"/>
            <w:shd w:val="clear" w:color="auto" w:fill="auto"/>
          </w:tcPr>
          <w:p w14:paraId="254E8637" w14:textId="56E5716E"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0.492</w:t>
            </w:r>
          </w:p>
        </w:tc>
        <w:tc>
          <w:tcPr>
            <w:tcW w:w="620" w:type="dxa"/>
            <w:shd w:val="clear" w:color="auto" w:fill="auto"/>
          </w:tcPr>
          <w:p w14:paraId="507FB70F" w14:textId="3B3D7BD4"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0.537</w:t>
            </w:r>
          </w:p>
        </w:tc>
        <w:tc>
          <w:tcPr>
            <w:tcW w:w="713" w:type="dxa"/>
            <w:shd w:val="clear" w:color="auto" w:fill="auto"/>
          </w:tcPr>
          <w:p w14:paraId="4E9E9470" w14:textId="4C17F554"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0.49</w:t>
            </w:r>
            <w:r w:rsidR="008F1AC1" w:rsidRPr="00981DC5">
              <w:rPr>
                <w:rFonts w:ascii="Book Antiqua" w:hAnsi="Book Antiqua" w:cs="Calibri"/>
                <w:color w:val="000000" w:themeColor="text1"/>
                <w:lang w:val="en-US"/>
              </w:rPr>
              <w:t>9</w:t>
            </w:r>
          </w:p>
        </w:tc>
      </w:tr>
      <w:tr w:rsidR="00981DC5" w:rsidRPr="00981DC5" w14:paraId="1B099126" w14:textId="77777777" w:rsidTr="00AA0F16">
        <w:tc>
          <w:tcPr>
            <w:tcW w:w="511" w:type="dxa"/>
            <w:shd w:val="clear" w:color="auto" w:fill="auto"/>
          </w:tcPr>
          <w:p w14:paraId="159470C2"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1.371</w:t>
            </w:r>
          </w:p>
        </w:tc>
        <w:tc>
          <w:tcPr>
            <w:tcW w:w="685" w:type="dxa"/>
            <w:shd w:val="clear" w:color="auto" w:fill="auto"/>
          </w:tcPr>
          <w:p w14:paraId="7AB69173" w14:textId="544DA82F"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0.85</w:t>
            </w:r>
            <w:r w:rsidR="008F1AC1" w:rsidRPr="00981DC5">
              <w:rPr>
                <w:rFonts w:ascii="Book Antiqua" w:hAnsi="Book Antiqua" w:cs="Calibri"/>
                <w:color w:val="000000" w:themeColor="text1"/>
                <w:lang w:val="en-US"/>
              </w:rPr>
              <w:t>2</w:t>
            </w:r>
          </w:p>
        </w:tc>
        <w:tc>
          <w:tcPr>
            <w:tcW w:w="549" w:type="dxa"/>
            <w:shd w:val="clear" w:color="auto" w:fill="auto"/>
          </w:tcPr>
          <w:p w14:paraId="48F6D3DA"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0.705</w:t>
            </w:r>
          </w:p>
        </w:tc>
        <w:tc>
          <w:tcPr>
            <w:tcW w:w="620" w:type="dxa"/>
            <w:shd w:val="clear" w:color="auto" w:fill="auto"/>
          </w:tcPr>
          <w:p w14:paraId="402A1B67"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1.383</w:t>
            </w:r>
          </w:p>
        </w:tc>
        <w:tc>
          <w:tcPr>
            <w:tcW w:w="422" w:type="dxa"/>
            <w:shd w:val="clear" w:color="auto" w:fill="auto"/>
          </w:tcPr>
          <w:p w14:paraId="2A6A03A7"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1.077</w:t>
            </w:r>
          </w:p>
        </w:tc>
        <w:tc>
          <w:tcPr>
            <w:tcW w:w="685" w:type="dxa"/>
            <w:shd w:val="clear" w:color="auto" w:fill="auto"/>
          </w:tcPr>
          <w:p w14:paraId="401AF137" w14:textId="671749F0"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0.5</w:t>
            </w:r>
            <w:r w:rsidR="008F1AC1" w:rsidRPr="00981DC5">
              <w:rPr>
                <w:rFonts w:ascii="Book Antiqua" w:hAnsi="Book Antiqua" w:cs="Calibri"/>
                <w:color w:val="000000" w:themeColor="text1"/>
                <w:lang w:val="en-US"/>
              </w:rPr>
              <w:t>20</w:t>
            </w:r>
          </w:p>
        </w:tc>
        <w:tc>
          <w:tcPr>
            <w:tcW w:w="549" w:type="dxa"/>
            <w:shd w:val="clear" w:color="auto" w:fill="auto"/>
          </w:tcPr>
          <w:p w14:paraId="64A492C3" w14:textId="037C5E59"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0.666</w:t>
            </w:r>
          </w:p>
        </w:tc>
        <w:tc>
          <w:tcPr>
            <w:tcW w:w="620" w:type="dxa"/>
            <w:shd w:val="clear" w:color="auto" w:fill="auto"/>
          </w:tcPr>
          <w:p w14:paraId="189F1D22" w14:textId="4B90BD5F"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-0.01</w:t>
            </w:r>
            <w:r w:rsidR="008F1AC1" w:rsidRPr="00981DC5">
              <w:rPr>
                <w:rFonts w:ascii="Book Antiqua" w:hAnsi="Book Antiqua" w:cs="Calibri"/>
                <w:color w:val="000000" w:themeColor="text1"/>
                <w:lang w:val="en-US"/>
              </w:rPr>
              <w:t>2</w:t>
            </w:r>
          </w:p>
        </w:tc>
        <w:tc>
          <w:tcPr>
            <w:tcW w:w="713" w:type="dxa"/>
            <w:shd w:val="clear" w:color="auto" w:fill="auto"/>
          </w:tcPr>
          <w:p w14:paraId="2B2D501C" w14:textId="0ABDCB9B"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0.294</w:t>
            </w:r>
          </w:p>
        </w:tc>
        <w:tc>
          <w:tcPr>
            <w:tcW w:w="685" w:type="dxa"/>
            <w:shd w:val="clear" w:color="auto" w:fill="auto"/>
          </w:tcPr>
          <w:p w14:paraId="046702D7"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-0.667 to 1.706</w:t>
            </w:r>
          </w:p>
        </w:tc>
        <w:tc>
          <w:tcPr>
            <w:tcW w:w="549" w:type="dxa"/>
            <w:shd w:val="clear" w:color="auto" w:fill="auto"/>
          </w:tcPr>
          <w:p w14:paraId="7EE49C36" w14:textId="0E05E64C"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-0.77</w:t>
            </w:r>
            <w:r w:rsidR="008F1AC1" w:rsidRPr="00981DC5">
              <w:rPr>
                <w:rFonts w:ascii="Book Antiqua" w:hAnsi="Book Antiqua" w:cs="Calibri"/>
                <w:color w:val="000000" w:themeColor="text1"/>
                <w:lang w:val="en-US"/>
              </w:rPr>
              <w:t>5</w:t>
            </w:r>
            <w:r w:rsidRPr="00981DC5">
              <w:rPr>
                <w:rFonts w:ascii="Book Antiqua" w:hAnsi="Book Antiqua" w:cs="Calibri"/>
                <w:color w:val="000000" w:themeColor="text1"/>
                <w:lang w:val="en-US"/>
              </w:rPr>
              <w:t xml:space="preserve"> to 2.107</w:t>
            </w:r>
          </w:p>
        </w:tc>
        <w:tc>
          <w:tcPr>
            <w:tcW w:w="620" w:type="dxa"/>
            <w:shd w:val="clear" w:color="auto" w:fill="auto"/>
          </w:tcPr>
          <w:p w14:paraId="2349C6F8"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-1.452 to 1.429</w:t>
            </w:r>
          </w:p>
        </w:tc>
        <w:tc>
          <w:tcPr>
            <w:tcW w:w="713" w:type="dxa"/>
            <w:shd w:val="clear" w:color="auto" w:fill="auto"/>
          </w:tcPr>
          <w:p w14:paraId="6062DB9A" w14:textId="1360B439"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-0.774 to 1.363</w:t>
            </w:r>
          </w:p>
        </w:tc>
        <w:tc>
          <w:tcPr>
            <w:tcW w:w="685" w:type="dxa"/>
            <w:shd w:val="clear" w:color="auto" w:fill="auto"/>
          </w:tcPr>
          <w:p w14:paraId="4B8F9609" w14:textId="4E2B704E"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0.627</w:t>
            </w:r>
          </w:p>
        </w:tc>
        <w:tc>
          <w:tcPr>
            <w:tcW w:w="549" w:type="dxa"/>
            <w:shd w:val="clear" w:color="auto" w:fill="auto"/>
          </w:tcPr>
          <w:p w14:paraId="5E7BB11B" w14:textId="516A279D"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0.58</w:t>
            </w:r>
            <w:r w:rsidR="008F1AC1" w:rsidRPr="00981DC5">
              <w:rPr>
                <w:rFonts w:ascii="Book Antiqua" w:hAnsi="Book Antiqua" w:cs="Calibri"/>
                <w:color w:val="000000" w:themeColor="text1"/>
                <w:lang w:val="en-US"/>
              </w:rPr>
              <w:t>4</w:t>
            </w:r>
          </w:p>
        </w:tc>
        <w:tc>
          <w:tcPr>
            <w:tcW w:w="620" w:type="dxa"/>
            <w:shd w:val="clear" w:color="auto" w:fill="auto"/>
          </w:tcPr>
          <w:p w14:paraId="4A4650D8" w14:textId="425B7B74" w:rsidR="00D54D7A" w:rsidRPr="00981DC5" w:rsidRDefault="008F1AC1"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&gt;0.990</w:t>
            </w:r>
          </w:p>
        </w:tc>
        <w:tc>
          <w:tcPr>
            <w:tcW w:w="713" w:type="dxa"/>
            <w:shd w:val="clear" w:color="auto" w:fill="auto"/>
          </w:tcPr>
          <w:p w14:paraId="069847DD" w14:textId="0E3CF249"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0.88</w:t>
            </w:r>
            <w:r w:rsidR="008F1AC1" w:rsidRPr="00981DC5">
              <w:rPr>
                <w:rFonts w:ascii="Book Antiqua" w:hAnsi="Book Antiqua" w:cs="Calibri"/>
                <w:color w:val="000000" w:themeColor="text1"/>
                <w:lang w:val="en-US"/>
              </w:rPr>
              <w:t>8</w:t>
            </w:r>
          </w:p>
        </w:tc>
      </w:tr>
      <w:tr w:rsidR="00981DC5" w:rsidRPr="00981DC5" w14:paraId="1E15CB00" w14:textId="77777777" w:rsidTr="00AA0F16">
        <w:tc>
          <w:tcPr>
            <w:tcW w:w="511" w:type="dxa"/>
            <w:shd w:val="clear" w:color="auto" w:fill="auto"/>
          </w:tcPr>
          <w:p w14:paraId="59122A8E"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1.648</w:t>
            </w:r>
          </w:p>
        </w:tc>
        <w:tc>
          <w:tcPr>
            <w:tcW w:w="685" w:type="dxa"/>
            <w:shd w:val="clear" w:color="auto" w:fill="auto"/>
          </w:tcPr>
          <w:p w14:paraId="28F77BEE"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0.8481</w:t>
            </w:r>
          </w:p>
        </w:tc>
        <w:tc>
          <w:tcPr>
            <w:tcW w:w="549" w:type="dxa"/>
            <w:shd w:val="clear" w:color="auto" w:fill="auto"/>
          </w:tcPr>
          <w:p w14:paraId="395A13FB"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0.8028</w:t>
            </w:r>
          </w:p>
        </w:tc>
        <w:tc>
          <w:tcPr>
            <w:tcW w:w="620" w:type="dxa"/>
            <w:shd w:val="clear" w:color="auto" w:fill="auto"/>
          </w:tcPr>
          <w:p w14:paraId="4FBD58B4"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1.174</w:t>
            </w:r>
          </w:p>
        </w:tc>
        <w:tc>
          <w:tcPr>
            <w:tcW w:w="422" w:type="dxa"/>
            <w:shd w:val="clear" w:color="auto" w:fill="auto"/>
          </w:tcPr>
          <w:p w14:paraId="2E00C709"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1.273</w:t>
            </w:r>
          </w:p>
        </w:tc>
        <w:tc>
          <w:tcPr>
            <w:tcW w:w="685" w:type="dxa"/>
            <w:shd w:val="clear" w:color="auto" w:fill="auto"/>
          </w:tcPr>
          <w:p w14:paraId="6EE06F58"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0.7996</w:t>
            </w:r>
          </w:p>
        </w:tc>
        <w:tc>
          <w:tcPr>
            <w:tcW w:w="549" w:type="dxa"/>
            <w:shd w:val="clear" w:color="auto" w:fill="auto"/>
          </w:tcPr>
          <w:p w14:paraId="331C8352"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0.8449</w:t>
            </w:r>
          </w:p>
        </w:tc>
        <w:tc>
          <w:tcPr>
            <w:tcW w:w="620" w:type="dxa"/>
            <w:shd w:val="clear" w:color="auto" w:fill="auto"/>
          </w:tcPr>
          <w:p w14:paraId="67E6C078"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0.4737</w:t>
            </w:r>
          </w:p>
        </w:tc>
        <w:tc>
          <w:tcPr>
            <w:tcW w:w="713" w:type="dxa"/>
            <w:shd w:val="clear" w:color="auto" w:fill="auto"/>
          </w:tcPr>
          <w:p w14:paraId="1A72BA13"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0.3748</w:t>
            </w:r>
          </w:p>
        </w:tc>
        <w:tc>
          <w:tcPr>
            <w:tcW w:w="685" w:type="dxa"/>
            <w:shd w:val="clear" w:color="auto" w:fill="auto"/>
          </w:tcPr>
          <w:p w14:paraId="3E5935C2" w14:textId="4D53C011"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0.01</w:t>
            </w:r>
            <w:r w:rsidR="008F1AC1" w:rsidRPr="00981DC5">
              <w:rPr>
                <w:rFonts w:ascii="Book Antiqua" w:hAnsi="Book Antiqua" w:cs="Calibri"/>
                <w:color w:val="000000" w:themeColor="text1"/>
                <w:lang w:val="en-US"/>
              </w:rPr>
              <w:t>9</w:t>
            </w:r>
            <w:r w:rsidRPr="00981DC5">
              <w:rPr>
                <w:rFonts w:ascii="Book Antiqua" w:hAnsi="Book Antiqua" w:cs="Calibri"/>
                <w:color w:val="000000" w:themeColor="text1"/>
                <w:lang w:val="en-US"/>
              </w:rPr>
              <w:t xml:space="preserve"> to 1.58</w:t>
            </w:r>
            <w:r w:rsidR="008F1AC1" w:rsidRPr="00981DC5">
              <w:rPr>
                <w:rFonts w:ascii="Book Antiqua" w:hAnsi="Book Antiqua" w:cs="Calibri"/>
                <w:color w:val="000000" w:themeColor="text1"/>
                <w:lang w:val="en-US"/>
              </w:rPr>
              <w:t>0</w:t>
            </w:r>
          </w:p>
        </w:tc>
        <w:tc>
          <w:tcPr>
            <w:tcW w:w="549" w:type="dxa"/>
            <w:shd w:val="clear" w:color="auto" w:fill="auto"/>
          </w:tcPr>
          <w:p w14:paraId="7F70188F" w14:textId="725B9FD3"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-0.030 to 1.72</w:t>
            </w:r>
            <w:r w:rsidR="008F1AC1" w:rsidRPr="00981DC5">
              <w:rPr>
                <w:rFonts w:ascii="Book Antiqua" w:hAnsi="Book Antiqua" w:cs="Calibri"/>
                <w:color w:val="000000" w:themeColor="text1"/>
                <w:lang w:val="en-US"/>
              </w:rPr>
              <w:t>0</w:t>
            </w:r>
          </w:p>
        </w:tc>
        <w:tc>
          <w:tcPr>
            <w:tcW w:w="620" w:type="dxa"/>
            <w:shd w:val="clear" w:color="auto" w:fill="auto"/>
          </w:tcPr>
          <w:p w14:paraId="0A6B11ED"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-0.3717 to 1.319</w:t>
            </w:r>
          </w:p>
        </w:tc>
        <w:tc>
          <w:tcPr>
            <w:tcW w:w="713" w:type="dxa"/>
            <w:shd w:val="clear" w:color="auto" w:fill="auto"/>
          </w:tcPr>
          <w:p w14:paraId="489B5AD5" w14:textId="510901BA"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-0.47</w:t>
            </w:r>
            <w:r w:rsidR="008F1AC1" w:rsidRPr="00981DC5">
              <w:rPr>
                <w:rFonts w:ascii="Book Antiqua" w:hAnsi="Book Antiqua" w:cs="Calibri"/>
                <w:color w:val="000000" w:themeColor="text1"/>
                <w:lang w:val="en-US"/>
              </w:rPr>
              <w:t>1</w:t>
            </w:r>
            <w:r w:rsidRPr="00981DC5">
              <w:rPr>
                <w:rFonts w:ascii="Book Antiqua" w:hAnsi="Book Antiqua" w:cs="Calibri"/>
                <w:color w:val="000000" w:themeColor="text1"/>
                <w:lang w:val="en-US"/>
              </w:rPr>
              <w:t xml:space="preserve"> to 1.22</w:t>
            </w:r>
            <w:r w:rsidR="008F1AC1" w:rsidRPr="00981DC5">
              <w:rPr>
                <w:rFonts w:ascii="Book Antiqua" w:hAnsi="Book Antiqua" w:cs="Calibri"/>
                <w:color w:val="000000" w:themeColor="text1"/>
                <w:lang w:val="en-US"/>
              </w:rPr>
              <w:t>0</w:t>
            </w:r>
          </w:p>
        </w:tc>
        <w:tc>
          <w:tcPr>
            <w:tcW w:w="685" w:type="dxa"/>
            <w:shd w:val="clear" w:color="auto" w:fill="auto"/>
          </w:tcPr>
          <w:p w14:paraId="0AF87DE4"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b/>
                <w:color w:val="000000" w:themeColor="text1"/>
                <w:lang w:val="en-US"/>
              </w:rPr>
            </w:pPr>
            <w:r w:rsidRPr="00981DC5">
              <w:rPr>
                <w:rFonts w:ascii="Book Antiqua" w:hAnsi="Book Antiqua" w:cs="Calibri"/>
                <w:b/>
                <w:color w:val="000000" w:themeColor="text1"/>
                <w:lang w:val="en-US"/>
              </w:rPr>
              <w:t>0.043</w:t>
            </w:r>
          </w:p>
        </w:tc>
        <w:tc>
          <w:tcPr>
            <w:tcW w:w="549" w:type="dxa"/>
            <w:shd w:val="clear" w:color="auto" w:fill="auto"/>
          </w:tcPr>
          <w:p w14:paraId="7A024581" w14:textId="532797CF"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0.061</w:t>
            </w:r>
          </w:p>
        </w:tc>
        <w:tc>
          <w:tcPr>
            <w:tcW w:w="620" w:type="dxa"/>
            <w:shd w:val="clear" w:color="auto" w:fill="auto"/>
          </w:tcPr>
          <w:p w14:paraId="4431501D" w14:textId="0A1C4426"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0.43</w:t>
            </w:r>
            <w:r w:rsidR="008F1AC1" w:rsidRPr="00981DC5">
              <w:rPr>
                <w:rFonts w:ascii="Book Antiqua" w:hAnsi="Book Antiqua" w:cs="Calibri"/>
                <w:color w:val="000000" w:themeColor="text1"/>
                <w:lang w:val="en-US"/>
              </w:rPr>
              <w:t>3</w:t>
            </w:r>
          </w:p>
        </w:tc>
        <w:tc>
          <w:tcPr>
            <w:tcW w:w="713" w:type="dxa"/>
            <w:shd w:val="clear" w:color="auto" w:fill="auto"/>
          </w:tcPr>
          <w:p w14:paraId="32DB31E4" w14:textId="796F0A3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0.632</w:t>
            </w:r>
          </w:p>
        </w:tc>
      </w:tr>
      <w:tr w:rsidR="00981DC5" w:rsidRPr="00981DC5" w14:paraId="64F23BF3" w14:textId="77777777" w:rsidTr="00AA0F16">
        <w:tc>
          <w:tcPr>
            <w:tcW w:w="511" w:type="dxa"/>
            <w:shd w:val="clear" w:color="auto" w:fill="auto"/>
          </w:tcPr>
          <w:p w14:paraId="45198A4E"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1.275</w:t>
            </w:r>
          </w:p>
        </w:tc>
        <w:tc>
          <w:tcPr>
            <w:tcW w:w="685" w:type="dxa"/>
            <w:shd w:val="clear" w:color="auto" w:fill="auto"/>
          </w:tcPr>
          <w:p w14:paraId="7FDB9ADD"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1.704</w:t>
            </w:r>
          </w:p>
        </w:tc>
        <w:tc>
          <w:tcPr>
            <w:tcW w:w="549" w:type="dxa"/>
            <w:shd w:val="clear" w:color="auto" w:fill="auto"/>
          </w:tcPr>
          <w:p w14:paraId="26D109E5" w14:textId="61940A32"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0.888</w:t>
            </w:r>
          </w:p>
        </w:tc>
        <w:tc>
          <w:tcPr>
            <w:tcW w:w="620" w:type="dxa"/>
            <w:shd w:val="clear" w:color="auto" w:fill="auto"/>
          </w:tcPr>
          <w:p w14:paraId="3C75688A"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2.157</w:t>
            </w:r>
          </w:p>
        </w:tc>
        <w:tc>
          <w:tcPr>
            <w:tcW w:w="422" w:type="dxa"/>
            <w:shd w:val="clear" w:color="auto" w:fill="auto"/>
          </w:tcPr>
          <w:p w14:paraId="7F384182"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1.683</w:t>
            </w:r>
          </w:p>
        </w:tc>
        <w:tc>
          <w:tcPr>
            <w:tcW w:w="685" w:type="dxa"/>
            <w:shd w:val="clear" w:color="auto" w:fill="auto"/>
          </w:tcPr>
          <w:p w14:paraId="2C360E17" w14:textId="0075B84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-0429</w:t>
            </w:r>
          </w:p>
        </w:tc>
        <w:tc>
          <w:tcPr>
            <w:tcW w:w="549" w:type="dxa"/>
            <w:shd w:val="clear" w:color="auto" w:fill="auto"/>
          </w:tcPr>
          <w:p w14:paraId="30C7578E" w14:textId="3F2B3676"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0.387</w:t>
            </w:r>
          </w:p>
        </w:tc>
        <w:tc>
          <w:tcPr>
            <w:tcW w:w="620" w:type="dxa"/>
            <w:shd w:val="clear" w:color="auto" w:fill="auto"/>
          </w:tcPr>
          <w:p w14:paraId="6A76BC33" w14:textId="3F27EFC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-0.88</w:t>
            </w:r>
            <w:r w:rsidR="008F1AC1" w:rsidRPr="00981DC5">
              <w:rPr>
                <w:rFonts w:ascii="Book Antiqua" w:hAnsi="Book Antiqua" w:cs="Calibri"/>
                <w:color w:val="000000" w:themeColor="text1"/>
                <w:lang w:val="en-US"/>
              </w:rPr>
              <w:t>2</w:t>
            </w:r>
          </w:p>
        </w:tc>
        <w:tc>
          <w:tcPr>
            <w:tcW w:w="713" w:type="dxa"/>
            <w:shd w:val="clear" w:color="auto" w:fill="auto"/>
          </w:tcPr>
          <w:p w14:paraId="681ED3A8" w14:textId="1362AAC0"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-0.40</w:t>
            </w:r>
            <w:r w:rsidR="008F1AC1" w:rsidRPr="00981DC5">
              <w:rPr>
                <w:rFonts w:ascii="Book Antiqua" w:hAnsi="Book Antiqua" w:cs="Calibri"/>
                <w:color w:val="000000" w:themeColor="text1"/>
                <w:lang w:val="en-US"/>
              </w:rPr>
              <w:t>8</w:t>
            </w:r>
          </w:p>
        </w:tc>
        <w:tc>
          <w:tcPr>
            <w:tcW w:w="685" w:type="dxa"/>
            <w:shd w:val="clear" w:color="auto" w:fill="auto"/>
          </w:tcPr>
          <w:p w14:paraId="01AAB9CA"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-1.975 to 1.117</w:t>
            </w:r>
          </w:p>
        </w:tc>
        <w:tc>
          <w:tcPr>
            <w:tcW w:w="549" w:type="dxa"/>
            <w:shd w:val="clear" w:color="auto" w:fill="auto"/>
          </w:tcPr>
          <w:p w14:paraId="0DA62120" w14:textId="07D75450"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-0.95</w:t>
            </w:r>
            <w:r w:rsidR="008F1AC1" w:rsidRPr="00981DC5">
              <w:rPr>
                <w:rFonts w:ascii="Book Antiqua" w:hAnsi="Book Antiqua" w:cs="Calibri"/>
                <w:color w:val="000000" w:themeColor="text1"/>
                <w:lang w:val="en-US"/>
              </w:rPr>
              <w:t xml:space="preserve">7 </w:t>
            </w:r>
            <w:r w:rsidRPr="00981DC5">
              <w:rPr>
                <w:rFonts w:ascii="Book Antiqua" w:hAnsi="Book Antiqua" w:cs="Calibri"/>
                <w:color w:val="000000" w:themeColor="text1"/>
                <w:lang w:val="en-US"/>
              </w:rPr>
              <w:t xml:space="preserve">to </w:t>
            </w:r>
            <w:r w:rsidRPr="00981DC5">
              <w:rPr>
                <w:rFonts w:ascii="Book Antiqua" w:hAnsi="Book Antiqua" w:cs="Calibri"/>
                <w:color w:val="000000" w:themeColor="text1"/>
                <w:lang w:val="en-US"/>
              </w:rPr>
              <w:lastRenderedPageBreak/>
              <w:t>1.731</w:t>
            </w:r>
          </w:p>
        </w:tc>
        <w:tc>
          <w:tcPr>
            <w:tcW w:w="620" w:type="dxa"/>
            <w:shd w:val="clear" w:color="auto" w:fill="auto"/>
          </w:tcPr>
          <w:p w14:paraId="39517895" w14:textId="6ACA2A6C"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lastRenderedPageBreak/>
              <w:t xml:space="preserve">-2.428 to </w:t>
            </w:r>
            <w:r w:rsidRPr="00981DC5">
              <w:rPr>
                <w:rFonts w:ascii="Book Antiqua" w:hAnsi="Book Antiqua" w:cs="Calibri"/>
                <w:color w:val="000000" w:themeColor="text1"/>
                <w:lang w:val="en-US"/>
              </w:rPr>
              <w:lastRenderedPageBreak/>
              <w:t>0.664</w:t>
            </w:r>
          </w:p>
        </w:tc>
        <w:tc>
          <w:tcPr>
            <w:tcW w:w="713" w:type="dxa"/>
            <w:shd w:val="clear" w:color="auto" w:fill="auto"/>
          </w:tcPr>
          <w:p w14:paraId="058BC034"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lastRenderedPageBreak/>
              <w:t>-1.954 to 1.138</w:t>
            </w:r>
          </w:p>
        </w:tc>
        <w:tc>
          <w:tcPr>
            <w:tcW w:w="685" w:type="dxa"/>
            <w:shd w:val="clear" w:color="auto" w:fill="auto"/>
          </w:tcPr>
          <w:p w14:paraId="5D5936B9" w14:textId="2088E120"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0.87</w:t>
            </w:r>
            <w:r w:rsidR="008F1AC1" w:rsidRPr="00981DC5">
              <w:rPr>
                <w:rFonts w:ascii="Book Antiqua" w:hAnsi="Book Antiqua" w:cs="Calibri"/>
                <w:color w:val="000000" w:themeColor="text1"/>
                <w:lang w:val="en-US"/>
              </w:rPr>
              <w:t>9</w:t>
            </w:r>
          </w:p>
        </w:tc>
        <w:tc>
          <w:tcPr>
            <w:tcW w:w="549" w:type="dxa"/>
            <w:shd w:val="clear" w:color="auto" w:fill="auto"/>
          </w:tcPr>
          <w:p w14:paraId="42953B03" w14:textId="3E313B34"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0.864</w:t>
            </w:r>
          </w:p>
        </w:tc>
        <w:tc>
          <w:tcPr>
            <w:tcW w:w="620" w:type="dxa"/>
            <w:shd w:val="clear" w:color="auto" w:fill="auto"/>
          </w:tcPr>
          <w:p w14:paraId="7205B9D4" w14:textId="1DF1F5AE"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0.39</w:t>
            </w:r>
            <w:r w:rsidR="008F1AC1" w:rsidRPr="00981DC5">
              <w:rPr>
                <w:rFonts w:ascii="Book Antiqua" w:hAnsi="Book Antiqua" w:cs="Calibri"/>
                <w:color w:val="000000" w:themeColor="text1"/>
                <w:lang w:val="en-US"/>
              </w:rPr>
              <w:t>4</w:t>
            </w:r>
          </w:p>
        </w:tc>
        <w:tc>
          <w:tcPr>
            <w:tcW w:w="713" w:type="dxa"/>
            <w:shd w:val="clear" w:color="auto" w:fill="auto"/>
          </w:tcPr>
          <w:p w14:paraId="60B6EEC1" w14:textId="2A71015E"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0.89</w:t>
            </w:r>
            <w:r w:rsidR="008F1AC1" w:rsidRPr="00981DC5">
              <w:rPr>
                <w:rFonts w:ascii="Book Antiqua" w:hAnsi="Book Antiqua" w:cs="Calibri"/>
                <w:color w:val="000000" w:themeColor="text1"/>
                <w:lang w:val="en-US"/>
              </w:rPr>
              <w:t>6</w:t>
            </w:r>
          </w:p>
        </w:tc>
      </w:tr>
      <w:tr w:rsidR="00981DC5" w:rsidRPr="00981DC5" w14:paraId="45B6D4C3" w14:textId="77777777" w:rsidTr="00AA0F16">
        <w:tc>
          <w:tcPr>
            <w:tcW w:w="511" w:type="dxa"/>
            <w:shd w:val="clear" w:color="auto" w:fill="auto"/>
          </w:tcPr>
          <w:p w14:paraId="3BF2D150"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1.041</w:t>
            </w:r>
          </w:p>
        </w:tc>
        <w:tc>
          <w:tcPr>
            <w:tcW w:w="685" w:type="dxa"/>
            <w:shd w:val="clear" w:color="auto" w:fill="auto"/>
          </w:tcPr>
          <w:p w14:paraId="6D54C373"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1.966</w:t>
            </w:r>
          </w:p>
        </w:tc>
        <w:tc>
          <w:tcPr>
            <w:tcW w:w="549" w:type="dxa"/>
            <w:shd w:val="clear" w:color="auto" w:fill="auto"/>
          </w:tcPr>
          <w:p w14:paraId="67DB075D"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1.167</w:t>
            </w:r>
          </w:p>
        </w:tc>
        <w:tc>
          <w:tcPr>
            <w:tcW w:w="620" w:type="dxa"/>
            <w:shd w:val="clear" w:color="auto" w:fill="auto"/>
          </w:tcPr>
          <w:p w14:paraId="58B66CE6"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0.789</w:t>
            </w:r>
          </w:p>
        </w:tc>
        <w:tc>
          <w:tcPr>
            <w:tcW w:w="422" w:type="dxa"/>
            <w:shd w:val="clear" w:color="auto" w:fill="auto"/>
          </w:tcPr>
          <w:p w14:paraId="697CA5E5"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1.091</w:t>
            </w:r>
          </w:p>
        </w:tc>
        <w:tc>
          <w:tcPr>
            <w:tcW w:w="685" w:type="dxa"/>
            <w:shd w:val="clear" w:color="auto" w:fill="auto"/>
          </w:tcPr>
          <w:p w14:paraId="6DF52312" w14:textId="3A87A29A"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-0.92</w:t>
            </w:r>
            <w:r w:rsidR="008F1AC1" w:rsidRPr="00981DC5">
              <w:rPr>
                <w:rFonts w:ascii="Book Antiqua" w:hAnsi="Book Antiqua" w:cs="Calibri"/>
                <w:color w:val="000000" w:themeColor="text1"/>
                <w:lang w:val="en-US"/>
              </w:rPr>
              <w:t>6</w:t>
            </w:r>
          </w:p>
        </w:tc>
        <w:tc>
          <w:tcPr>
            <w:tcW w:w="549" w:type="dxa"/>
            <w:shd w:val="clear" w:color="auto" w:fill="auto"/>
          </w:tcPr>
          <w:p w14:paraId="704F646B"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-0.126</w:t>
            </w:r>
          </w:p>
        </w:tc>
        <w:tc>
          <w:tcPr>
            <w:tcW w:w="620" w:type="dxa"/>
            <w:shd w:val="clear" w:color="auto" w:fill="auto"/>
          </w:tcPr>
          <w:p w14:paraId="30CC58E1" w14:textId="38D43906"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0.25</w:t>
            </w:r>
            <w:r w:rsidR="008F1AC1" w:rsidRPr="00981DC5">
              <w:rPr>
                <w:rFonts w:ascii="Book Antiqua" w:hAnsi="Book Antiqua" w:cs="Calibri"/>
                <w:color w:val="000000" w:themeColor="text1"/>
                <w:lang w:val="en-US"/>
              </w:rPr>
              <w:t>2</w:t>
            </w:r>
          </w:p>
        </w:tc>
        <w:tc>
          <w:tcPr>
            <w:tcW w:w="713" w:type="dxa"/>
            <w:shd w:val="clear" w:color="auto" w:fill="auto"/>
          </w:tcPr>
          <w:p w14:paraId="2A7A7AE5" w14:textId="49AA3BDF"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-0.050</w:t>
            </w:r>
          </w:p>
        </w:tc>
        <w:tc>
          <w:tcPr>
            <w:tcW w:w="685" w:type="dxa"/>
            <w:shd w:val="clear" w:color="auto" w:fill="auto"/>
          </w:tcPr>
          <w:p w14:paraId="37C95DC9" w14:textId="6DAEA6CA"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-2.112 to 0.26</w:t>
            </w:r>
            <w:r w:rsidR="008F1AC1" w:rsidRPr="00981DC5">
              <w:rPr>
                <w:rFonts w:ascii="Book Antiqua" w:hAnsi="Book Antiqua" w:cs="Calibri"/>
                <w:color w:val="000000" w:themeColor="text1"/>
                <w:lang w:val="en-US"/>
              </w:rPr>
              <w:t>1</w:t>
            </w:r>
          </w:p>
        </w:tc>
        <w:tc>
          <w:tcPr>
            <w:tcW w:w="549" w:type="dxa"/>
            <w:shd w:val="clear" w:color="auto" w:fill="auto"/>
          </w:tcPr>
          <w:p w14:paraId="431FC382"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-1.356 to 1.104</w:t>
            </w:r>
          </w:p>
        </w:tc>
        <w:tc>
          <w:tcPr>
            <w:tcW w:w="620" w:type="dxa"/>
            <w:shd w:val="clear" w:color="auto" w:fill="auto"/>
          </w:tcPr>
          <w:p w14:paraId="349C23C0" w14:textId="77777777"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-1.035 to 1.539</w:t>
            </w:r>
          </w:p>
        </w:tc>
        <w:tc>
          <w:tcPr>
            <w:tcW w:w="713" w:type="dxa"/>
            <w:shd w:val="clear" w:color="auto" w:fill="auto"/>
          </w:tcPr>
          <w:p w14:paraId="65144833" w14:textId="60419070"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-1.281 to 1.18</w:t>
            </w:r>
            <w:r w:rsidR="008F1AC1" w:rsidRPr="00981DC5">
              <w:rPr>
                <w:rFonts w:ascii="Book Antiqua" w:hAnsi="Book Antiqua" w:cs="Calibri"/>
                <w:color w:val="000000" w:themeColor="text1"/>
                <w:lang w:val="en-US"/>
              </w:rPr>
              <w:t>0</w:t>
            </w:r>
          </w:p>
        </w:tc>
        <w:tc>
          <w:tcPr>
            <w:tcW w:w="685" w:type="dxa"/>
            <w:shd w:val="clear" w:color="auto" w:fill="auto"/>
          </w:tcPr>
          <w:p w14:paraId="5622C95B" w14:textId="4C4E34B6"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0.162</w:t>
            </w:r>
          </w:p>
        </w:tc>
        <w:tc>
          <w:tcPr>
            <w:tcW w:w="549" w:type="dxa"/>
            <w:shd w:val="clear" w:color="auto" w:fill="auto"/>
          </w:tcPr>
          <w:p w14:paraId="0F93996E" w14:textId="6032C36E" w:rsidR="00D54D7A" w:rsidRPr="00981DC5" w:rsidRDefault="008F1AC1"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&gt;0.990</w:t>
            </w:r>
          </w:p>
        </w:tc>
        <w:tc>
          <w:tcPr>
            <w:tcW w:w="620" w:type="dxa"/>
            <w:shd w:val="clear" w:color="auto" w:fill="auto"/>
          </w:tcPr>
          <w:p w14:paraId="2C71BD9F" w14:textId="16803B1D" w:rsidR="00D54D7A" w:rsidRPr="00981DC5" w:rsidRDefault="00D54D7A"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0.963</w:t>
            </w:r>
          </w:p>
        </w:tc>
        <w:tc>
          <w:tcPr>
            <w:tcW w:w="713" w:type="dxa"/>
            <w:shd w:val="clear" w:color="auto" w:fill="auto"/>
          </w:tcPr>
          <w:p w14:paraId="22843A21" w14:textId="560713F2" w:rsidR="00D54D7A" w:rsidRPr="00981DC5" w:rsidRDefault="008F1AC1"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&gt;0.990</w:t>
            </w:r>
          </w:p>
        </w:tc>
      </w:tr>
    </w:tbl>
    <w:p w14:paraId="61FB9115" w14:textId="77777777" w:rsidR="00AA0F16" w:rsidRPr="00AA0F16" w:rsidRDefault="00AA0F16" w:rsidP="00AA0F16">
      <w:pPr>
        <w:adjustRightInd w:val="0"/>
        <w:snapToGrid w:val="0"/>
        <w:spacing w:after="0" w:line="360" w:lineRule="auto"/>
        <w:jc w:val="both"/>
        <w:rPr>
          <w:rFonts w:ascii="Book Antiqua" w:hAnsi="Book Antiqua" w:cs="Calibri"/>
          <w:iCs/>
          <w:color w:val="000000" w:themeColor="text1"/>
          <w:sz w:val="24"/>
          <w:szCs w:val="24"/>
          <w:lang w:val="en-US"/>
        </w:rPr>
      </w:pPr>
      <w:r w:rsidRPr="00981DC5">
        <w:rPr>
          <w:rFonts w:ascii="Book Antiqua" w:hAnsi="Book Antiqua" w:cs="Calibri"/>
          <w:iCs/>
          <w:color w:val="000000" w:themeColor="text1"/>
          <w:lang w:val="en-US"/>
        </w:rPr>
        <w:t xml:space="preserve">k: </w:t>
      </w:r>
      <w:r w:rsidRPr="00981DC5">
        <w:rPr>
          <w:rFonts w:ascii="Book Antiqua" w:hAnsi="Book Antiqua" w:cs="Calibri"/>
          <w:iCs/>
          <w:color w:val="000000" w:themeColor="text1"/>
          <w:sz w:val="24"/>
          <w:szCs w:val="24"/>
          <w:lang w:val="en-US"/>
        </w:rPr>
        <w:t>Control group</w:t>
      </w:r>
      <w:r>
        <w:rPr>
          <w:rFonts w:ascii="Book Antiqua" w:hAnsi="Book Antiqua" w:cs="Calibri"/>
          <w:iCs/>
          <w:color w:val="000000" w:themeColor="text1"/>
          <w:sz w:val="24"/>
          <w:szCs w:val="24"/>
          <w:lang w:val="en-US"/>
        </w:rPr>
        <w:t xml:space="preserve">; </w:t>
      </w:r>
      <w:r>
        <w:rPr>
          <w:rFonts w:ascii="Book Antiqua" w:hAnsi="Book Antiqua" w:cs="Calibri"/>
          <w:color w:val="000000" w:themeColor="text1"/>
          <w:sz w:val="24"/>
          <w:szCs w:val="24"/>
          <w:lang w:val="en-US"/>
        </w:rPr>
        <w:t xml:space="preserve">GEM: </w:t>
      </w:r>
      <w:r w:rsidRPr="00981DC5">
        <w:rPr>
          <w:rFonts w:ascii="Book Antiqua" w:hAnsi="Book Antiqua" w:cs="Calibri"/>
          <w:color w:val="000000" w:themeColor="text1"/>
          <w:sz w:val="24"/>
          <w:szCs w:val="24"/>
          <w:lang w:val="en-US"/>
        </w:rPr>
        <w:t>Gemcitabine</w:t>
      </w:r>
      <w:r>
        <w:rPr>
          <w:rFonts w:ascii="Book Antiqua" w:hAnsi="Book Antiqua" w:cs="Calibri"/>
          <w:color w:val="000000" w:themeColor="text1"/>
          <w:sz w:val="24"/>
          <w:szCs w:val="24"/>
          <w:lang w:val="en-US"/>
        </w:rPr>
        <w:t>;</w:t>
      </w:r>
      <w:r w:rsidRPr="00981DC5">
        <w:rPr>
          <w:rFonts w:ascii="Book Antiqua" w:hAnsi="Book Antiqua" w:cs="Calibri"/>
          <w:color w:val="000000" w:themeColor="text1"/>
          <w:sz w:val="24"/>
          <w:szCs w:val="24"/>
          <w:lang w:val="en-US"/>
        </w:rPr>
        <w:t xml:space="preserve"> GEMOX</w:t>
      </w:r>
      <w:r>
        <w:rPr>
          <w:rFonts w:ascii="Book Antiqua" w:hAnsi="Book Antiqua" w:cs="Calibri"/>
          <w:color w:val="000000" w:themeColor="text1"/>
          <w:sz w:val="24"/>
          <w:szCs w:val="24"/>
          <w:lang w:val="en-US"/>
        </w:rPr>
        <w:t>:</w:t>
      </w:r>
      <w:r w:rsidRPr="00981DC5">
        <w:rPr>
          <w:rFonts w:ascii="Book Antiqua" w:hAnsi="Book Antiqua" w:cs="Calibri"/>
          <w:color w:val="000000" w:themeColor="text1"/>
          <w:sz w:val="24"/>
          <w:szCs w:val="24"/>
          <w:lang w:val="en-US"/>
        </w:rPr>
        <w:t xml:space="preserve"> Gemcitabine + Oxaliplatin</w:t>
      </w:r>
      <w:r>
        <w:rPr>
          <w:rFonts w:ascii="Book Antiqua" w:hAnsi="Book Antiqua" w:cs="Calibri"/>
          <w:color w:val="000000" w:themeColor="text1"/>
          <w:sz w:val="24"/>
          <w:szCs w:val="24"/>
          <w:lang w:val="en-US"/>
        </w:rPr>
        <w:t xml:space="preserve">; </w:t>
      </w:r>
      <w:r w:rsidRPr="00981DC5">
        <w:rPr>
          <w:rFonts w:ascii="Book Antiqua" w:hAnsi="Book Antiqua" w:cs="Calibri"/>
          <w:color w:val="000000" w:themeColor="text1"/>
          <w:sz w:val="24"/>
          <w:szCs w:val="24"/>
          <w:lang w:val="en-US"/>
        </w:rPr>
        <w:t>GEM/nab-P</w:t>
      </w:r>
      <w:r>
        <w:rPr>
          <w:rFonts w:ascii="Book Antiqua" w:hAnsi="Book Antiqua" w:cs="Calibri"/>
          <w:color w:val="000000" w:themeColor="text1"/>
          <w:sz w:val="24"/>
          <w:szCs w:val="24"/>
          <w:lang w:val="en-US"/>
        </w:rPr>
        <w:t>:</w:t>
      </w:r>
      <w:r w:rsidRPr="00981DC5">
        <w:rPr>
          <w:rFonts w:ascii="Book Antiqua" w:hAnsi="Book Antiqua" w:cs="Calibri"/>
          <w:color w:val="000000" w:themeColor="text1"/>
          <w:sz w:val="24"/>
          <w:szCs w:val="24"/>
          <w:lang w:val="en-US"/>
        </w:rPr>
        <w:t xml:space="preserve"> Gemcitabine + nab-Paclitaxel</w:t>
      </w:r>
      <w:r>
        <w:rPr>
          <w:rFonts w:ascii="Book Antiqua" w:hAnsi="Book Antiqua" w:cs="Calibri"/>
          <w:color w:val="000000" w:themeColor="text1"/>
          <w:sz w:val="24"/>
          <w:szCs w:val="24"/>
          <w:lang w:val="en-US"/>
        </w:rPr>
        <w:t>;</w:t>
      </w:r>
      <w:r w:rsidRPr="00981DC5">
        <w:rPr>
          <w:rFonts w:ascii="Book Antiqua" w:hAnsi="Book Antiqua" w:cs="Calibri"/>
          <w:color w:val="000000" w:themeColor="text1"/>
          <w:sz w:val="24"/>
          <w:szCs w:val="24"/>
          <w:lang w:val="en-US"/>
        </w:rPr>
        <w:t xml:space="preserve"> FOLFOXIRI</w:t>
      </w:r>
      <w:r>
        <w:rPr>
          <w:rFonts w:ascii="Book Antiqua" w:hAnsi="Book Antiqua" w:cs="Calibri"/>
          <w:color w:val="000000" w:themeColor="text1"/>
          <w:sz w:val="24"/>
          <w:szCs w:val="24"/>
          <w:lang w:val="en-US"/>
        </w:rPr>
        <w:t>:</w:t>
      </w:r>
      <w:r w:rsidRPr="00981DC5">
        <w:rPr>
          <w:rFonts w:ascii="Book Antiqua" w:hAnsi="Book Antiqua" w:cs="Calibri"/>
          <w:color w:val="000000" w:themeColor="text1"/>
          <w:sz w:val="24"/>
          <w:szCs w:val="24"/>
          <w:lang w:val="en-US"/>
        </w:rPr>
        <w:t xml:space="preserve"> 5-Fluorouracil + </w:t>
      </w:r>
      <w:proofErr w:type="spellStart"/>
      <w:r w:rsidRPr="00981DC5">
        <w:rPr>
          <w:rFonts w:ascii="Book Antiqua" w:hAnsi="Book Antiqua" w:cs="Calibri"/>
          <w:color w:val="000000" w:themeColor="text1"/>
          <w:sz w:val="24"/>
          <w:szCs w:val="24"/>
          <w:lang w:val="en-US"/>
        </w:rPr>
        <w:t>Folinic</w:t>
      </w:r>
      <w:proofErr w:type="spellEnd"/>
      <w:r w:rsidRPr="00981DC5">
        <w:rPr>
          <w:rFonts w:ascii="Book Antiqua" w:hAnsi="Book Antiqua" w:cs="Calibri"/>
          <w:color w:val="000000" w:themeColor="text1"/>
          <w:sz w:val="24"/>
          <w:szCs w:val="24"/>
          <w:lang w:val="en-US"/>
        </w:rPr>
        <w:t xml:space="preserve"> acid + Oxaliplatin + Irinotecan.</w:t>
      </w:r>
    </w:p>
    <w:p w14:paraId="7503094A" w14:textId="14F49BE9" w:rsidR="00D54D7A" w:rsidRPr="00981DC5" w:rsidRDefault="00D54D7A" w:rsidP="00B11A05">
      <w:pPr>
        <w:adjustRightInd w:val="0"/>
        <w:snapToGrid w:val="0"/>
        <w:spacing w:after="0" w:line="360" w:lineRule="auto"/>
        <w:jc w:val="both"/>
        <w:rPr>
          <w:rFonts w:ascii="Book Antiqua" w:hAnsi="Book Antiqua" w:cs="Calibri"/>
          <w:color w:val="000000" w:themeColor="text1"/>
          <w:sz w:val="24"/>
          <w:szCs w:val="24"/>
          <w:lang w:val="en-US"/>
        </w:rPr>
      </w:pPr>
      <w:r w:rsidRPr="00981DC5">
        <w:rPr>
          <w:rFonts w:ascii="Book Antiqua" w:hAnsi="Book Antiqua" w:cs="Calibri"/>
          <w:color w:val="000000" w:themeColor="text1"/>
          <w:sz w:val="24"/>
          <w:szCs w:val="24"/>
          <w:lang w:val="en-US"/>
        </w:rPr>
        <w:br w:type="page"/>
      </w:r>
    </w:p>
    <w:p w14:paraId="070DEDA6" w14:textId="18A67FA8" w:rsidR="00AD5BBD" w:rsidRPr="00981DC5" w:rsidRDefault="00AD5BBD" w:rsidP="00B11A05">
      <w:pPr>
        <w:adjustRightInd w:val="0"/>
        <w:snapToGrid w:val="0"/>
        <w:spacing w:after="0" w:line="360" w:lineRule="auto"/>
        <w:jc w:val="both"/>
        <w:rPr>
          <w:rFonts w:ascii="Book Antiqua" w:hAnsi="Book Antiqua" w:cs="Calibri"/>
          <w:b/>
          <w:bCs/>
          <w:color w:val="000000" w:themeColor="text1"/>
          <w:sz w:val="24"/>
          <w:szCs w:val="24"/>
          <w:lang w:val="en-US"/>
        </w:rPr>
      </w:pPr>
      <w:r w:rsidRPr="00981DC5">
        <w:rPr>
          <w:rFonts w:ascii="Book Antiqua" w:hAnsi="Book Antiqua" w:cs="Calibri"/>
          <w:b/>
          <w:bCs/>
          <w:color w:val="000000" w:themeColor="text1"/>
          <w:sz w:val="24"/>
          <w:szCs w:val="24"/>
          <w:lang w:val="en-US"/>
        </w:rPr>
        <w:lastRenderedPageBreak/>
        <w:t>Table 4 Percentage reduction of the mean</w:t>
      </w:r>
      <w:r w:rsidRPr="001A29E5">
        <w:rPr>
          <w:rFonts w:ascii="Book Antiqua" w:hAnsi="Book Antiqua" w:cs="Calibri"/>
          <w:b/>
          <w:bCs/>
          <w:color w:val="000000" w:themeColor="text1"/>
          <w:sz w:val="24"/>
          <w:szCs w:val="24"/>
          <w:lang w:val="en-US"/>
        </w:rPr>
        <w:t xml:space="preserve"> </w:t>
      </w:r>
      <w:r w:rsidR="00CA3E0A" w:rsidRPr="001A29E5">
        <w:rPr>
          <w:rFonts w:ascii="Book Antiqua" w:hAnsi="Book Antiqua" w:cs="Calibri"/>
          <w:b/>
          <w:color w:val="000000" w:themeColor="text1"/>
          <w:sz w:val="24"/>
          <w:szCs w:val="24"/>
          <w:lang w:val="en-US"/>
        </w:rPr>
        <w:t>relative tumor area</w:t>
      </w:r>
    </w:p>
    <w:tbl>
      <w:tblPr>
        <w:tblW w:w="0" w:type="auto"/>
        <w:tblBorders>
          <w:top w:val="single" w:sz="4" w:space="0" w:color="auto"/>
          <w:bottom w:val="single" w:sz="4" w:space="0" w:color="auto"/>
        </w:tblBorders>
        <w:tblLook w:val="04A0" w:firstRow="1" w:lastRow="0" w:firstColumn="1" w:lastColumn="0" w:noHBand="0" w:noVBand="1"/>
      </w:tblPr>
      <w:tblGrid>
        <w:gridCol w:w="1472"/>
        <w:gridCol w:w="2087"/>
        <w:gridCol w:w="1799"/>
        <w:gridCol w:w="2078"/>
        <w:gridCol w:w="2186"/>
      </w:tblGrid>
      <w:tr w:rsidR="00981DC5" w:rsidRPr="00981DC5" w14:paraId="6C8C97B1" w14:textId="77777777" w:rsidTr="00EB33B3">
        <w:tc>
          <w:tcPr>
            <w:tcW w:w="1472" w:type="dxa"/>
            <w:tcBorders>
              <w:top w:val="single" w:sz="4" w:space="0" w:color="auto"/>
              <w:bottom w:val="single" w:sz="4" w:space="0" w:color="auto"/>
            </w:tcBorders>
            <w:vAlign w:val="center"/>
          </w:tcPr>
          <w:p w14:paraId="6A971500" w14:textId="2441130D" w:rsidR="00D42D1C" w:rsidRPr="00981DC5" w:rsidRDefault="00D42D1C" w:rsidP="00B11A05">
            <w:pPr>
              <w:pStyle w:val="aa"/>
              <w:adjustRightInd w:val="0"/>
              <w:snapToGrid w:val="0"/>
              <w:spacing w:before="0" w:beforeAutospacing="0" w:after="0" w:afterAutospacing="0" w:line="360" w:lineRule="auto"/>
              <w:jc w:val="both"/>
              <w:rPr>
                <w:rFonts w:ascii="Book Antiqua" w:hAnsi="Book Antiqua" w:cs="Calibri"/>
                <w:b/>
                <w:bCs/>
                <w:color w:val="000000" w:themeColor="text1"/>
                <w:lang w:val="en-US"/>
              </w:rPr>
            </w:pPr>
            <w:r w:rsidRPr="00981DC5">
              <w:rPr>
                <w:rFonts w:ascii="Book Antiqua" w:hAnsi="Book Antiqua" w:cs="Calibri"/>
                <w:b/>
                <w:bCs/>
                <w:color w:val="000000" w:themeColor="text1"/>
                <w:lang w:val="en-US"/>
              </w:rPr>
              <w:t>N</w:t>
            </w:r>
            <w:r w:rsidR="00AD5BBD" w:rsidRPr="00981DC5">
              <w:rPr>
                <w:rFonts w:ascii="Book Antiqua" w:hAnsi="Book Antiqua" w:cs="Calibri"/>
                <w:b/>
                <w:bCs/>
                <w:color w:val="000000" w:themeColor="text1"/>
                <w:lang w:val="en-US"/>
              </w:rPr>
              <w:t>o</w:t>
            </w:r>
            <w:r w:rsidRPr="00981DC5">
              <w:rPr>
                <w:rFonts w:ascii="Book Antiqua" w:hAnsi="Book Antiqua" w:cs="Calibri"/>
                <w:b/>
                <w:bCs/>
                <w:color w:val="000000" w:themeColor="text1"/>
                <w:lang w:val="en-US"/>
              </w:rPr>
              <w:t>. of case</w:t>
            </w:r>
          </w:p>
        </w:tc>
        <w:tc>
          <w:tcPr>
            <w:tcW w:w="2087" w:type="dxa"/>
            <w:tcBorders>
              <w:top w:val="single" w:sz="4" w:space="0" w:color="auto"/>
              <w:bottom w:val="single" w:sz="4" w:space="0" w:color="auto"/>
            </w:tcBorders>
            <w:shd w:val="clear" w:color="auto" w:fill="auto"/>
            <w:vAlign w:val="center"/>
          </w:tcPr>
          <w:p w14:paraId="03F2D07D" w14:textId="1D341A86" w:rsidR="00D42D1C" w:rsidRPr="00981DC5" w:rsidRDefault="00D42D1C" w:rsidP="00B11A05">
            <w:pPr>
              <w:pStyle w:val="aa"/>
              <w:adjustRightInd w:val="0"/>
              <w:snapToGrid w:val="0"/>
              <w:spacing w:before="0" w:beforeAutospacing="0" w:after="0" w:afterAutospacing="0" w:line="360" w:lineRule="auto"/>
              <w:jc w:val="both"/>
              <w:rPr>
                <w:rFonts w:ascii="Book Antiqua" w:hAnsi="Book Antiqua" w:cs="Calibri"/>
                <w:b/>
                <w:bCs/>
                <w:color w:val="000000" w:themeColor="text1"/>
                <w:lang w:val="en-US"/>
              </w:rPr>
            </w:pPr>
            <w:r w:rsidRPr="00981DC5">
              <w:rPr>
                <w:rFonts w:ascii="Book Antiqua" w:hAnsi="Book Antiqua" w:cs="Calibri"/>
                <w:b/>
                <w:bCs/>
                <w:color w:val="000000" w:themeColor="text1"/>
                <w:lang w:val="en-US"/>
              </w:rPr>
              <w:t xml:space="preserve">k </w:t>
            </w:r>
            <w:r w:rsidR="00EB33B3" w:rsidRPr="00981DC5">
              <w:rPr>
                <w:rFonts w:ascii="Book Antiqua" w:hAnsi="Book Antiqua" w:cs="Calibri"/>
                <w:b/>
                <w:bCs/>
                <w:i/>
                <w:color w:val="000000" w:themeColor="text1"/>
                <w:lang w:val="en-US"/>
              </w:rPr>
              <w:t>vs</w:t>
            </w:r>
            <w:r w:rsidRPr="00981DC5">
              <w:rPr>
                <w:rFonts w:ascii="Book Antiqua" w:hAnsi="Book Antiqua" w:cs="Calibri"/>
                <w:b/>
                <w:bCs/>
                <w:color w:val="000000" w:themeColor="text1"/>
                <w:lang w:val="en-US"/>
              </w:rPr>
              <w:t xml:space="preserve"> FOLFOXIRI</w:t>
            </w:r>
            <w:r w:rsidR="00EB33B3" w:rsidRPr="00981DC5">
              <w:rPr>
                <w:rFonts w:ascii="Book Antiqua" w:hAnsi="Book Antiqua" w:cs="Calibri"/>
                <w:b/>
                <w:bCs/>
                <w:color w:val="000000" w:themeColor="text1"/>
                <w:lang w:val="en-US"/>
              </w:rPr>
              <w:t xml:space="preserve"> (%)</w:t>
            </w:r>
          </w:p>
        </w:tc>
        <w:tc>
          <w:tcPr>
            <w:tcW w:w="1799" w:type="dxa"/>
            <w:tcBorders>
              <w:top w:val="single" w:sz="4" w:space="0" w:color="auto"/>
              <w:bottom w:val="single" w:sz="4" w:space="0" w:color="auto"/>
            </w:tcBorders>
            <w:shd w:val="clear" w:color="auto" w:fill="auto"/>
            <w:vAlign w:val="center"/>
          </w:tcPr>
          <w:p w14:paraId="1534EACF" w14:textId="18E56060" w:rsidR="00D42D1C" w:rsidRPr="00981DC5" w:rsidRDefault="00D42D1C" w:rsidP="00B11A05">
            <w:pPr>
              <w:pStyle w:val="aa"/>
              <w:adjustRightInd w:val="0"/>
              <w:snapToGrid w:val="0"/>
              <w:spacing w:before="0" w:beforeAutospacing="0" w:after="0" w:afterAutospacing="0" w:line="360" w:lineRule="auto"/>
              <w:jc w:val="both"/>
              <w:rPr>
                <w:rFonts w:ascii="Book Antiqua" w:hAnsi="Book Antiqua" w:cs="Calibri"/>
                <w:b/>
                <w:bCs/>
                <w:color w:val="000000" w:themeColor="text1"/>
                <w:lang w:val="en-US"/>
              </w:rPr>
            </w:pPr>
            <w:r w:rsidRPr="00981DC5">
              <w:rPr>
                <w:rFonts w:ascii="Book Antiqua" w:hAnsi="Book Antiqua" w:cs="Calibri"/>
                <w:b/>
                <w:bCs/>
                <w:color w:val="000000" w:themeColor="text1"/>
                <w:lang w:val="en-US"/>
              </w:rPr>
              <w:t xml:space="preserve">k </w:t>
            </w:r>
            <w:r w:rsidR="00EB33B3" w:rsidRPr="00981DC5">
              <w:rPr>
                <w:rFonts w:ascii="Book Antiqua" w:hAnsi="Book Antiqua" w:cs="Calibri"/>
                <w:b/>
                <w:bCs/>
                <w:i/>
                <w:color w:val="000000" w:themeColor="text1"/>
                <w:lang w:val="en-US"/>
              </w:rPr>
              <w:t>vs</w:t>
            </w:r>
            <w:r w:rsidRPr="00981DC5">
              <w:rPr>
                <w:rFonts w:ascii="Book Antiqua" w:hAnsi="Book Antiqua" w:cs="Calibri"/>
                <w:b/>
                <w:bCs/>
                <w:color w:val="000000" w:themeColor="text1"/>
                <w:lang w:val="en-US"/>
              </w:rPr>
              <w:t xml:space="preserve"> GEMOX</w:t>
            </w:r>
            <w:r w:rsidR="00EB33B3" w:rsidRPr="00981DC5">
              <w:rPr>
                <w:rFonts w:ascii="Book Antiqua" w:hAnsi="Book Antiqua" w:cs="Calibri"/>
                <w:b/>
                <w:bCs/>
                <w:color w:val="000000" w:themeColor="text1"/>
                <w:lang w:val="en-US"/>
              </w:rPr>
              <w:t xml:space="preserve"> (%)</w:t>
            </w:r>
          </w:p>
        </w:tc>
        <w:tc>
          <w:tcPr>
            <w:tcW w:w="2078" w:type="dxa"/>
            <w:tcBorders>
              <w:top w:val="single" w:sz="4" w:space="0" w:color="auto"/>
              <w:bottom w:val="single" w:sz="4" w:space="0" w:color="auto"/>
            </w:tcBorders>
            <w:shd w:val="clear" w:color="auto" w:fill="auto"/>
            <w:vAlign w:val="center"/>
          </w:tcPr>
          <w:p w14:paraId="2A20BECC" w14:textId="134C1F87" w:rsidR="00D42D1C" w:rsidRPr="00981DC5" w:rsidRDefault="00D42D1C" w:rsidP="00B11A05">
            <w:pPr>
              <w:pStyle w:val="aa"/>
              <w:adjustRightInd w:val="0"/>
              <w:snapToGrid w:val="0"/>
              <w:spacing w:before="0" w:beforeAutospacing="0" w:after="0" w:afterAutospacing="0" w:line="360" w:lineRule="auto"/>
              <w:jc w:val="both"/>
              <w:rPr>
                <w:rFonts w:ascii="Book Antiqua" w:hAnsi="Book Antiqua" w:cs="Calibri"/>
                <w:b/>
                <w:bCs/>
                <w:color w:val="000000" w:themeColor="text1"/>
                <w:lang w:val="en-US"/>
              </w:rPr>
            </w:pPr>
            <w:r w:rsidRPr="00981DC5">
              <w:rPr>
                <w:rFonts w:ascii="Book Antiqua" w:hAnsi="Book Antiqua" w:cs="Calibri"/>
                <w:b/>
                <w:bCs/>
                <w:color w:val="000000" w:themeColor="text1"/>
                <w:lang w:val="en-US"/>
              </w:rPr>
              <w:t xml:space="preserve">k </w:t>
            </w:r>
            <w:r w:rsidR="00EB33B3" w:rsidRPr="00981DC5">
              <w:rPr>
                <w:rFonts w:ascii="Book Antiqua" w:hAnsi="Book Antiqua" w:cs="Calibri"/>
                <w:b/>
                <w:bCs/>
                <w:i/>
                <w:color w:val="000000" w:themeColor="text1"/>
                <w:lang w:val="en-US"/>
              </w:rPr>
              <w:t>vs</w:t>
            </w:r>
            <w:r w:rsidRPr="00981DC5">
              <w:rPr>
                <w:rFonts w:ascii="Book Antiqua" w:hAnsi="Book Antiqua" w:cs="Calibri"/>
                <w:b/>
                <w:bCs/>
                <w:color w:val="000000" w:themeColor="text1"/>
                <w:lang w:val="en-US"/>
              </w:rPr>
              <w:t xml:space="preserve"> Gem/nab-P</w:t>
            </w:r>
            <w:r w:rsidR="00EB33B3" w:rsidRPr="00981DC5">
              <w:rPr>
                <w:rFonts w:ascii="Book Antiqua" w:hAnsi="Book Antiqua" w:cs="Calibri"/>
                <w:b/>
                <w:bCs/>
                <w:color w:val="000000" w:themeColor="text1"/>
                <w:lang w:val="en-US"/>
              </w:rPr>
              <w:t xml:space="preserve"> (%)</w:t>
            </w:r>
          </w:p>
        </w:tc>
        <w:tc>
          <w:tcPr>
            <w:tcW w:w="2186" w:type="dxa"/>
            <w:tcBorders>
              <w:top w:val="single" w:sz="4" w:space="0" w:color="auto"/>
              <w:bottom w:val="single" w:sz="4" w:space="0" w:color="auto"/>
            </w:tcBorders>
            <w:shd w:val="clear" w:color="auto" w:fill="auto"/>
            <w:vAlign w:val="center"/>
          </w:tcPr>
          <w:p w14:paraId="45446968" w14:textId="4ED73C78" w:rsidR="00D42D1C" w:rsidRPr="00981DC5" w:rsidRDefault="00D42D1C" w:rsidP="00B11A05">
            <w:pPr>
              <w:pStyle w:val="aa"/>
              <w:adjustRightInd w:val="0"/>
              <w:snapToGrid w:val="0"/>
              <w:spacing w:before="0" w:beforeAutospacing="0" w:after="0" w:afterAutospacing="0" w:line="360" w:lineRule="auto"/>
              <w:jc w:val="both"/>
              <w:rPr>
                <w:rFonts w:ascii="Book Antiqua" w:hAnsi="Book Antiqua" w:cs="Calibri"/>
                <w:b/>
                <w:bCs/>
                <w:color w:val="000000" w:themeColor="text1"/>
                <w:lang w:val="en-US"/>
              </w:rPr>
            </w:pPr>
            <w:r w:rsidRPr="00981DC5">
              <w:rPr>
                <w:rFonts w:ascii="Book Antiqua" w:hAnsi="Book Antiqua" w:cs="Calibri"/>
                <w:b/>
                <w:bCs/>
                <w:color w:val="000000" w:themeColor="text1"/>
                <w:lang w:val="en-US"/>
              </w:rPr>
              <w:t xml:space="preserve">k </w:t>
            </w:r>
            <w:r w:rsidR="00EB33B3" w:rsidRPr="00981DC5">
              <w:rPr>
                <w:rFonts w:ascii="Book Antiqua" w:hAnsi="Book Antiqua" w:cs="Calibri"/>
                <w:b/>
                <w:bCs/>
                <w:i/>
                <w:color w:val="000000" w:themeColor="text1"/>
                <w:lang w:val="en-US"/>
              </w:rPr>
              <w:t>vs</w:t>
            </w:r>
            <w:r w:rsidRPr="00981DC5">
              <w:rPr>
                <w:rFonts w:ascii="Book Antiqua" w:hAnsi="Book Antiqua" w:cs="Calibri"/>
                <w:b/>
                <w:bCs/>
                <w:color w:val="000000" w:themeColor="text1"/>
                <w:lang w:val="en-US"/>
              </w:rPr>
              <w:t xml:space="preserve"> Gemcitabine</w:t>
            </w:r>
            <w:r w:rsidR="00EB33B3" w:rsidRPr="00981DC5">
              <w:rPr>
                <w:rFonts w:ascii="Book Antiqua" w:hAnsi="Book Antiqua" w:cs="Calibri"/>
                <w:b/>
                <w:bCs/>
                <w:color w:val="000000" w:themeColor="text1"/>
                <w:lang w:val="en-US"/>
              </w:rPr>
              <w:t xml:space="preserve"> (%)</w:t>
            </w:r>
          </w:p>
        </w:tc>
      </w:tr>
      <w:tr w:rsidR="00981DC5" w:rsidRPr="00981DC5" w14:paraId="1765630A" w14:textId="77777777" w:rsidTr="00EB33B3">
        <w:tc>
          <w:tcPr>
            <w:tcW w:w="1472" w:type="dxa"/>
            <w:tcBorders>
              <w:top w:val="single" w:sz="4" w:space="0" w:color="auto"/>
            </w:tcBorders>
            <w:vAlign w:val="center"/>
          </w:tcPr>
          <w:p w14:paraId="4144ACB4" w14:textId="0F76B72A" w:rsidR="00D42D1C" w:rsidRPr="00981DC5" w:rsidRDefault="00D42D1C"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1</w:t>
            </w:r>
          </w:p>
        </w:tc>
        <w:tc>
          <w:tcPr>
            <w:tcW w:w="2087" w:type="dxa"/>
            <w:tcBorders>
              <w:top w:val="single" w:sz="4" w:space="0" w:color="auto"/>
            </w:tcBorders>
            <w:shd w:val="clear" w:color="auto" w:fill="auto"/>
            <w:vAlign w:val="center"/>
          </w:tcPr>
          <w:p w14:paraId="68A44421" w14:textId="627153C4" w:rsidR="00D42D1C" w:rsidRPr="00981DC5" w:rsidRDefault="00D42D1C"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-74</w:t>
            </w:r>
          </w:p>
        </w:tc>
        <w:tc>
          <w:tcPr>
            <w:tcW w:w="1799" w:type="dxa"/>
            <w:tcBorders>
              <w:top w:val="single" w:sz="4" w:space="0" w:color="auto"/>
            </w:tcBorders>
            <w:shd w:val="clear" w:color="auto" w:fill="auto"/>
            <w:vAlign w:val="center"/>
          </w:tcPr>
          <w:p w14:paraId="00D6964F" w14:textId="30A76CA2" w:rsidR="00D42D1C" w:rsidRPr="00981DC5" w:rsidRDefault="00D42D1C"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-59</w:t>
            </w:r>
          </w:p>
        </w:tc>
        <w:tc>
          <w:tcPr>
            <w:tcW w:w="2078" w:type="dxa"/>
            <w:tcBorders>
              <w:top w:val="single" w:sz="4" w:space="0" w:color="auto"/>
            </w:tcBorders>
            <w:shd w:val="clear" w:color="auto" w:fill="auto"/>
            <w:vAlign w:val="center"/>
          </w:tcPr>
          <w:p w14:paraId="435112E4" w14:textId="21FF41F1" w:rsidR="00D42D1C" w:rsidRPr="00981DC5" w:rsidRDefault="00D42D1C"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-67</w:t>
            </w:r>
          </w:p>
        </w:tc>
        <w:tc>
          <w:tcPr>
            <w:tcW w:w="2186" w:type="dxa"/>
            <w:tcBorders>
              <w:top w:val="single" w:sz="4" w:space="0" w:color="auto"/>
            </w:tcBorders>
            <w:shd w:val="clear" w:color="auto" w:fill="auto"/>
            <w:vAlign w:val="center"/>
          </w:tcPr>
          <w:p w14:paraId="184E8588" w14:textId="58919224" w:rsidR="00D42D1C" w:rsidRPr="00981DC5" w:rsidRDefault="00D42D1C"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-60</w:t>
            </w:r>
          </w:p>
        </w:tc>
      </w:tr>
      <w:tr w:rsidR="00981DC5" w:rsidRPr="00981DC5" w14:paraId="5F7B50C9" w14:textId="77777777" w:rsidTr="00EB33B3">
        <w:tc>
          <w:tcPr>
            <w:tcW w:w="1472" w:type="dxa"/>
            <w:vAlign w:val="center"/>
          </w:tcPr>
          <w:p w14:paraId="271FA39C" w14:textId="585D728A" w:rsidR="00D42D1C" w:rsidRPr="00981DC5" w:rsidRDefault="00D42D1C"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2</w:t>
            </w:r>
          </w:p>
        </w:tc>
        <w:tc>
          <w:tcPr>
            <w:tcW w:w="2087" w:type="dxa"/>
            <w:shd w:val="clear" w:color="auto" w:fill="auto"/>
            <w:vAlign w:val="center"/>
          </w:tcPr>
          <w:p w14:paraId="279525B1" w14:textId="63A055E1" w:rsidR="00D42D1C" w:rsidRPr="00981DC5" w:rsidRDefault="00D42D1C"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-62</w:t>
            </w:r>
          </w:p>
        </w:tc>
        <w:tc>
          <w:tcPr>
            <w:tcW w:w="1799" w:type="dxa"/>
            <w:shd w:val="clear" w:color="auto" w:fill="auto"/>
            <w:vAlign w:val="center"/>
          </w:tcPr>
          <w:p w14:paraId="1FD3AD7A" w14:textId="190B7AAC" w:rsidR="00D42D1C" w:rsidRPr="00981DC5" w:rsidRDefault="00D42D1C"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-40</w:t>
            </w:r>
          </w:p>
        </w:tc>
        <w:tc>
          <w:tcPr>
            <w:tcW w:w="2078" w:type="dxa"/>
            <w:shd w:val="clear" w:color="auto" w:fill="auto"/>
            <w:vAlign w:val="center"/>
          </w:tcPr>
          <w:p w14:paraId="16B2E150" w14:textId="686DDB78" w:rsidR="00D42D1C" w:rsidRPr="00981DC5" w:rsidRDefault="00D42D1C"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-73</w:t>
            </w:r>
          </w:p>
        </w:tc>
        <w:tc>
          <w:tcPr>
            <w:tcW w:w="2186" w:type="dxa"/>
            <w:shd w:val="clear" w:color="auto" w:fill="auto"/>
            <w:vAlign w:val="center"/>
          </w:tcPr>
          <w:p w14:paraId="677A722F" w14:textId="59897344" w:rsidR="00D42D1C" w:rsidRPr="00981DC5" w:rsidRDefault="00D42D1C"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-15</w:t>
            </w:r>
          </w:p>
        </w:tc>
      </w:tr>
      <w:tr w:rsidR="00981DC5" w:rsidRPr="00981DC5" w14:paraId="6F80644C" w14:textId="77777777" w:rsidTr="00EB33B3">
        <w:tc>
          <w:tcPr>
            <w:tcW w:w="1472" w:type="dxa"/>
            <w:vAlign w:val="center"/>
          </w:tcPr>
          <w:p w14:paraId="0395CB00" w14:textId="13FFFF63" w:rsidR="00D42D1C" w:rsidRPr="00981DC5" w:rsidRDefault="00D42D1C"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3</w:t>
            </w:r>
          </w:p>
        </w:tc>
        <w:tc>
          <w:tcPr>
            <w:tcW w:w="2087" w:type="dxa"/>
            <w:shd w:val="clear" w:color="auto" w:fill="auto"/>
            <w:vAlign w:val="center"/>
          </w:tcPr>
          <w:p w14:paraId="18D71573" w14:textId="0917EE65" w:rsidR="00D42D1C" w:rsidRPr="00981DC5" w:rsidRDefault="00D42D1C"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-69</w:t>
            </w:r>
          </w:p>
        </w:tc>
        <w:tc>
          <w:tcPr>
            <w:tcW w:w="1799" w:type="dxa"/>
            <w:shd w:val="clear" w:color="auto" w:fill="auto"/>
            <w:vAlign w:val="center"/>
          </w:tcPr>
          <w:p w14:paraId="0E5E9BDF" w14:textId="76214160" w:rsidR="00D42D1C" w:rsidRPr="00981DC5" w:rsidRDefault="00D42D1C"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-6</w:t>
            </w:r>
          </w:p>
        </w:tc>
        <w:tc>
          <w:tcPr>
            <w:tcW w:w="2078" w:type="dxa"/>
            <w:shd w:val="clear" w:color="auto" w:fill="auto"/>
            <w:vAlign w:val="center"/>
          </w:tcPr>
          <w:p w14:paraId="5E8E6B3D" w14:textId="74D5F1EA" w:rsidR="00D42D1C" w:rsidRPr="00981DC5" w:rsidRDefault="00D42D1C"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-27</w:t>
            </w:r>
          </w:p>
        </w:tc>
        <w:tc>
          <w:tcPr>
            <w:tcW w:w="2186" w:type="dxa"/>
            <w:shd w:val="clear" w:color="auto" w:fill="auto"/>
            <w:vAlign w:val="center"/>
          </w:tcPr>
          <w:p w14:paraId="18B4E9F7" w14:textId="4EAE8988" w:rsidR="00D42D1C" w:rsidRPr="00981DC5" w:rsidRDefault="00D42D1C"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-58</w:t>
            </w:r>
          </w:p>
        </w:tc>
      </w:tr>
      <w:tr w:rsidR="00981DC5" w:rsidRPr="00981DC5" w14:paraId="0DB0D81E" w14:textId="77777777" w:rsidTr="00EB33B3">
        <w:tc>
          <w:tcPr>
            <w:tcW w:w="1472" w:type="dxa"/>
            <w:vAlign w:val="center"/>
          </w:tcPr>
          <w:p w14:paraId="2C2E767D" w14:textId="5EF537FA" w:rsidR="00D42D1C" w:rsidRPr="00981DC5" w:rsidRDefault="00D42D1C"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4</w:t>
            </w:r>
          </w:p>
        </w:tc>
        <w:tc>
          <w:tcPr>
            <w:tcW w:w="2087" w:type="dxa"/>
            <w:shd w:val="clear" w:color="auto" w:fill="auto"/>
            <w:vAlign w:val="center"/>
          </w:tcPr>
          <w:p w14:paraId="2B94A0F6" w14:textId="18DEF310" w:rsidR="00D42D1C" w:rsidRPr="00981DC5" w:rsidRDefault="00D42D1C"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-41</w:t>
            </w:r>
          </w:p>
        </w:tc>
        <w:tc>
          <w:tcPr>
            <w:tcW w:w="1799" w:type="dxa"/>
            <w:shd w:val="clear" w:color="auto" w:fill="auto"/>
            <w:vAlign w:val="center"/>
          </w:tcPr>
          <w:p w14:paraId="7FEFBFD3" w14:textId="3C1F5952" w:rsidR="00D42D1C" w:rsidRPr="00981DC5" w:rsidRDefault="00D42D1C"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24</w:t>
            </w:r>
          </w:p>
        </w:tc>
        <w:tc>
          <w:tcPr>
            <w:tcW w:w="2078" w:type="dxa"/>
            <w:shd w:val="clear" w:color="auto" w:fill="auto"/>
            <w:vAlign w:val="center"/>
          </w:tcPr>
          <w:p w14:paraId="2B9F0647" w14:textId="19B27496" w:rsidR="00D42D1C" w:rsidRPr="00981DC5" w:rsidRDefault="00D42D1C"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10</w:t>
            </w:r>
          </w:p>
        </w:tc>
        <w:tc>
          <w:tcPr>
            <w:tcW w:w="2186" w:type="dxa"/>
            <w:shd w:val="clear" w:color="auto" w:fill="auto"/>
            <w:vAlign w:val="center"/>
          </w:tcPr>
          <w:p w14:paraId="0EC098C1" w14:textId="6E2F5124" w:rsidR="00D42D1C" w:rsidRPr="00981DC5" w:rsidRDefault="00D42D1C"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-37</w:t>
            </w:r>
          </w:p>
        </w:tc>
      </w:tr>
      <w:tr w:rsidR="00981DC5" w:rsidRPr="00981DC5" w14:paraId="42D72403" w14:textId="77777777" w:rsidTr="00EB33B3">
        <w:tc>
          <w:tcPr>
            <w:tcW w:w="1472" w:type="dxa"/>
            <w:vAlign w:val="center"/>
          </w:tcPr>
          <w:p w14:paraId="2988FAFD" w14:textId="007168D0" w:rsidR="00D42D1C" w:rsidRPr="00981DC5" w:rsidRDefault="00D42D1C"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5</w:t>
            </w:r>
          </w:p>
        </w:tc>
        <w:tc>
          <w:tcPr>
            <w:tcW w:w="2087" w:type="dxa"/>
            <w:shd w:val="clear" w:color="auto" w:fill="auto"/>
            <w:vAlign w:val="center"/>
          </w:tcPr>
          <w:p w14:paraId="545FAC9F" w14:textId="2848CA31" w:rsidR="00D42D1C" w:rsidRPr="00981DC5" w:rsidRDefault="00D42D1C"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-4</w:t>
            </w:r>
          </w:p>
        </w:tc>
        <w:tc>
          <w:tcPr>
            <w:tcW w:w="1799" w:type="dxa"/>
            <w:shd w:val="clear" w:color="auto" w:fill="auto"/>
            <w:vAlign w:val="center"/>
          </w:tcPr>
          <w:p w14:paraId="756E32AA" w14:textId="0B8173E0" w:rsidR="00D42D1C" w:rsidRPr="00981DC5" w:rsidRDefault="00D42D1C"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-28</w:t>
            </w:r>
          </w:p>
        </w:tc>
        <w:tc>
          <w:tcPr>
            <w:tcW w:w="2078" w:type="dxa"/>
            <w:shd w:val="clear" w:color="auto" w:fill="auto"/>
            <w:vAlign w:val="center"/>
          </w:tcPr>
          <w:p w14:paraId="1F9A9AF9" w14:textId="00470317" w:rsidR="00D42D1C" w:rsidRPr="00981DC5" w:rsidRDefault="00D42D1C"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-34</w:t>
            </w:r>
          </w:p>
        </w:tc>
        <w:tc>
          <w:tcPr>
            <w:tcW w:w="2186" w:type="dxa"/>
            <w:shd w:val="clear" w:color="auto" w:fill="auto"/>
            <w:vAlign w:val="center"/>
          </w:tcPr>
          <w:p w14:paraId="0937F5A3" w14:textId="3F4E2B00" w:rsidR="00D42D1C" w:rsidRPr="00981DC5" w:rsidRDefault="00D42D1C"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-46</w:t>
            </w:r>
          </w:p>
        </w:tc>
      </w:tr>
      <w:tr w:rsidR="00981DC5" w:rsidRPr="00981DC5" w14:paraId="56F43BF7" w14:textId="77777777" w:rsidTr="00EB33B3">
        <w:tc>
          <w:tcPr>
            <w:tcW w:w="1472" w:type="dxa"/>
            <w:vAlign w:val="center"/>
          </w:tcPr>
          <w:p w14:paraId="47492854" w14:textId="19CE91C3" w:rsidR="00D42D1C" w:rsidRPr="00981DC5" w:rsidRDefault="00D42D1C"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6</w:t>
            </w:r>
          </w:p>
        </w:tc>
        <w:tc>
          <w:tcPr>
            <w:tcW w:w="2087" w:type="dxa"/>
            <w:shd w:val="clear" w:color="auto" w:fill="auto"/>
            <w:vAlign w:val="center"/>
          </w:tcPr>
          <w:p w14:paraId="528D70F6" w14:textId="34D467D5" w:rsidR="00D42D1C" w:rsidRPr="00981DC5" w:rsidRDefault="00D42D1C"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-66</w:t>
            </w:r>
          </w:p>
        </w:tc>
        <w:tc>
          <w:tcPr>
            <w:tcW w:w="1799" w:type="dxa"/>
            <w:shd w:val="clear" w:color="auto" w:fill="auto"/>
            <w:vAlign w:val="center"/>
          </w:tcPr>
          <w:p w14:paraId="17338076" w14:textId="53A02D85" w:rsidR="00D42D1C" w:rsidRPr="00981DC5" w:rsidRDefault="00D42D1C"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-32</w:t>
            </w:r>
          </w:p>
        </w:tc>
        <w:tc>
          <w:tcPr>
            <w:tcW w:w="2078" w:type="dxa"/>
            <w:shd w:val="clear" w:color="auto" w:fill="auto"/>
            <w:vAlign w:val="center"/>
          </w:tcPr>
          <w:p w14:paraId="2DD3E258" w14:textId="42FF2AAC" w:rsidR="00D42D1C" w:rsidRPr="00981DC5" w:rsidRDefault="00D42D1C"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-46</w:t>
            </w:r>
          </w:p>
        </w:tc>
        <w:tc>
          <w:tcPr>
            <w:tcW w:w="2186" w:type="dxa"/>
            <w:shd w:val="clear" w:color="auto" w:fill="auto"/>
            <w:vAlign w:val="center"/>
          </w:tcPr>
          <w:p w14:paraId="349F1BA4" w14:textId="5214DCC7" w:rsidR="00D42D1C" w:rsidRPr="00981DC5" w:rsidRDefault="00D42D1C"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-20</w:t>
            </w:r>
          </w:p>
        </w:tc>
      </w:tr>
      <w:tr w:rsidR="00981DC5" w:rsidRPr="00981DC5" w14:paraId="31715C05" w14:textId="77777777" w:rsidTr="00EB33B3">
        <w:tc>
          <w:tcPr>
            <w:tcW w:w="1472" w:type="dxa"/>
            <w:vAlign w:val="center"/>
          </w:tcPr>
          <w:p w14:paraId="0E189F6A" w14:textId="24BAA109" w:rsidR="00D42D1C" w:rsidRPr="00981DC5" w:rsidRDefault="00D42D1C"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7</w:t>
            </w:r>
          </w:p>
        </w:tc>
        <w:tc>
          <w:tcPr>
            <w:tcW w:w="2087" w:type="dxa"/>
            <w:shd w:val="clear" w:color="auto" w:fill="auto"/>
            <w:vAlign w:val="center"/>
          </w:tcPr>
          <w:p w14:paraId="72AD6751" w14:textId="0566A566" w:rsidR="00D42D1C" w:rsidRPr="00981DC5" w:rsidRDefault="00D42D1C"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-23</w:t>
            </w:r>
          </w:p>
        </w:tc>
        <w:tc>
          <w:tcPr>
            <w:tcW w:w="1799" w:type="dxa"/>
            <w:shd w:val="clear" w:color="auto" w:fill="auto"/>
            <w:vAlign w:val="center"/>
          </w:tcPr>
          <w:p w14:paraId="0161808C" w14:textId="4DE3EB22" w:rsidR="00D42D1C" w:rsidRPr="00981DC5" w:rsidRDefault="00D42D1C"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-20</w:t>
            </w:r>
          </w:p>
        </w:tc>
        <w:tc>
          <w:tcPr>
            <w:tcW w:w="2078" w:type="dxa"/>
            <w:shd w:val="clear" w:color="auto" w:fill="auto"/>
            <w:vAlign w:val="center"/>
          </w:tcPr>
          <w:p w14:paraId="148D208D" w14:textId="3BC05038" w:rsidR="00D42D1C" w:rsidRPr="00981DC5" w:rsidRDefault="00D42D1C"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-44</w:t>
            </w:r>
          </w:p>
        </w:tc>
        <w:tc>
          <w:tcPr>
            <w:tcW w:w="2186" w:type="dxa"/>
            <w:shd w:val="clear" w:color="auto" w:fill="auto"/>
            <w:vAlign w:val="center"/>
          </w:tcPr>
          <w:p w14:paraId="052682B7" w14:textId="5BD23827" w:rsidR="00D42D1C" w:rsidRPr="00981DC5" w:rsidRDefault="00D42D1C"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-56</w:t>
            </w:r>
          </w:p>
        </w:tc>
      </w:tr>
      <w:tr w:rsidR="00981DC5" w:rsidRPr="00981DC5" w14:paraId="39018DB2" w14:textId="77777777" w:rsidTr="00EB33B3">
        <w:tc>
          <w:tcPr>
            <w:tcW w:w="1472" w:type="dxa"/>
            <w:vAlign w:val="center"/>
          </w:tcPr>
          <w:p w14:paraId="11FA7244" w14:textId="26C0A848" w:rsidR="00D42D1C" w:rsidRPr="00981DC5" w:rsidRDefault="00D42D1C"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8</w:t>
            </w:r>
          </w:p>
        </w:tc>
        <w:tc>
          <w:tcPr>
            <w:tcW w:w="2087" w:type="dxa"/>
            <w:shd w:val="clear" w:color="auto" w:fill="auto"/>
            <w:vAlign w:val="center"/>
          </w:tcPr>
          <w:p w14:paraId="64E3EA1E" w14:textId="2AC118C5" w:rsidR="00D42D1C" w:rsidRPr="00981DC5" w:rsidRDefault="00D42D1C"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-60</w:t>
            </w:r>
          </w:p>
        </w:tc>
        <w:tc>
          <w:tcPr>
            <w:tcW w:w="1799" w:type="dxa"/>
            <w:shd w:val="clear" w:color="auto" w:fill="auto"/>
            <w:vAlign w:val="center"/>
          </w:tcPr>
          <w:p w14:paraId="16996F3C" w14:textId="4CE006EC" w:rsidR="00D42D1C" w:rsidRPr="00981DC5" w:rsidRDefault="00D42D1C"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47</w:t>
            </w:r>
          </w:p>
        </w:tc>
        <w:tc>
          <w:tcPr>
            <w:tcW w:w="2078" w:type="dxa"/>
            <w:shd w:val="clear" w:color="auto" w:fill="auto"/>
            <w:vAlign w:val="center"/>
          </w:tcPr>
          <w:p w14:paraId="174D0300" w14:textId="49765EE8" w:rsidR="00D42D1C" w:rsidRPr="00981DC5" w:rsidRDefault="00D42D1C"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-3</w:t>
            </w:r>
          </w:p>
        </w:tc>
        <w:tc>
          <w:tcPr>
            <w:tcW w:w="2186" w:type="dxa"/>
            <w:shd w:val="clear" w:color="auto" w:fill="auto"/>
            <w:vAlign w:val="center"/>
          </w:tcPr>
          <w:p w14:paraId="0078E54E" w14:textId="5D23B595" w:rsidR="00D42D1C" w:rsidRPr="00981DC5" w:rsidRDefault="00D42D1C"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w:t>
            </w:r>
          </w:p>
        </w:tc>
      </w:tr>
      <w:tr w:rsidR="00981DC5" w:rsidRPr="00981DC5" w14:paraId="5D2A5438" w14:textId="77777777" w:rsidTr="00EB33B3">
        <w:tc>
          <w:tcPr>
            <w:tcW w:w="1472" w:type="dxa"/>
            <w:vAlign w:val="center"/>
          </w:tcPr>
          <w:p w14:paraId="6B0FA09D" w14:textId="4804915C" w:rsidR="00D42D1C" w:rsidRPr="00981DC5" w:rsidRDefault="00D42D1C"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9</w:t>
            </w:r>
          </w:p>
        </w:tc>
        <w:tc>
          <w:tcPr>
            <w:tcW w:w="2087" w:type="dxa"/>
            <w:shd w:val="clear" w:color="auto" w:fill="auto"/>
            <w:vAlign w:val="center"/>
          </w:tcPr>
          <w:p w14:paraId="0BA5AD86" w14:textId="3DFA0406" w:rsidR="00D42D1C" w:rsidRPr="00981DC5" w:rsidRDefault="00D42D1C"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-56</w:t>
            </w:r>
          </w:p>
        </w:tc>
        <w:tc>
          <w:tcPr>
            <w:tcW w:w="1799" w:type="dxa"/>
            <w:shd w:val="clear" w:color="auto" w:fill="auto"/>
            <w:vAlign w:val="center"/>
          </w:tcPr>
          <w:p w14:paraId="6DFEB409" w14:textId="3B792D6D" w:rsidR="00D42D1C" w:rsidRPr="00981DC5" w:rsidRDefault="00D42D1C"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-74</w:t>
            </w:r>
          </w:p>
        </w:tc>
        <w:tc>
          <w:tcPr>
            <w:tcW w:w="2078" w:type="dxa"/>
            <w:shd w:val="clear" w:color="auto" w:fill="auto"/>
            <w:vAlign w:val="center"/>
          </w:tcPr>
          <w:p w14:paraId="5F4DAC9D" w14:textId="32D080DF" w:rsidR="00D42D1C" w:rsidRPr="00981DC5" w:rsidRDefault="00D42D1C"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-62</w:t>
            </w:r>
          </w:p>
        </w:tc>
        <w:tc>
          <w:tcPr>
            <w:tcW w:w="2186" w:type="dxa"/>
            <w:shd w:val="clear" w:color="auto" w:fill="auto"/>
            <w:vAlign w:val="center"/>
          </w:tcPr>
          <w:p w14:paraId="41E3D9E1" w14:textId="03ECAF6D" w:rsidR="00D42D1C" w:rsidRPr="00981DC5" w:rsidRDefault="00D42D1C"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-41</w:t>
            </w:r>
          </w:p>
        </w:tc>
      </w:tr>
      <w:tr w:rsidR="00981DC5" w:rsidRPr="00981DC5" w14:paraId="43AB93F1" w14:textId="77777777" w:rsidTr="00EB33B3">
        <w:tc>
          <w:tcPr>
            <w:tcW w:w="1472" w:type="dxa"/>
            <w:vAlign w:val="center"/>
          </w:tcPr>
          <w:p w14:paraId="574334F3" w14:textId="72494548" w:rsidR="00D42D1C" w:rsidRPr="00981DC5" w:rsidRDefault="00D42D1C"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10</w:t>
            </w:r>
          </w:p>
        </w:tc>
        <w:tc>
          <w:tcPr>
            <w:tcW w:w="2087" w:type="dxa"/>
            <w:shd w:val="clear" w:color="auto" w:fill="auto"/>
            <w:vAlign w:val="center"/>
          </w:tcPr>
          <w:p w14:paraId="3BEDCD1F" w14:textId="2A1295DB" w:rsidR="00D42D1C" w:rsidRPr="00981DC5" w:rsidRDefault="00D42D1C"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-45</w:t>
            </w:r>
          </w:p>
        </w:tc>
        <w:tc>
          <w:tcPr>
            <w:tcW w:w="1799" w:type="dxa"/>
            <w:shd w:val="clear" w:color="auto" w:fill="auto"/>
            <w:vAlign w:val="center"/>
          </w:tcPr>
          <w:p w14:paraId="2CE303DE" w14:textId="260BC14F" w:rsidR="00D42D1C" w:rsidRPr="00981DC5" w:rsidRDefault="00D42D1C"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-1</w:t>
            </w:r>
          </w:p>
        </w:tc>
        <w:tc>
          <w:tcPr>
            <w:tcW w:w="2078" w:type="dxa"/>
            <w:shd w:val="clear" w:color="auto" w:fill="auto"/>
            <w:vAlign w:val="center"/>
          </w:tcPr>
          <w:p w14:paraId="1C181AD1" w14:textId="2C03C9DE" w:rsidR="00D42D1C" w:rsidRPr="00981DC5" w:rsidRDefault="00D42D1C"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-55</w:t>
            </w:r>
          </w:p>
        </w:tc>
        <w:tc>
          <w:tcPr>
            <w:tcW w:w="2186" w:type="dxa"/>
            <w:shd w:val="clear" w:color="auto" w:fill="auto"/>
            <w:vAlign w:val="center"/>
          </w:tcPr>
          <w:p w14:paraId="63C97C1F" w14:textId="28641F25" w:rsidR="00D42D1C" w:rsidRPr="00981DC5" w:rsidRDefault="00D42D1C"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-51</w:t>
            </w:r>
          </w:p>
        </w:tc>
      </w:tr>
      <w:tr w:rsidR="00981DC5" w:rsidRPr="00981DC5" w14:paraId="0221AB0A" w14:textId="77777777" w:rsidTr="00EB33B3">
        <w:tc>
          <w:tcPr>
            <w:tcW w:w="1472" w:type="dxa"/>
            <w:vAlign w:val="center"/>
          </w:tcPr>
          <w:p w14:paraId="3AD1E614" w14:textId="7FF3CEFE" w:rsidR="00D42D1C" w:rsidRPr="00981DC5" w:rsidRDefault="00D42D1C"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11</w:t>
            </w:r>
          </w:p>
        </w:tc>
        <w:tc>
          <w:tcPr>
            <w:tcW w:w="2087" w:type="dxa"/>
            <w:shd w:val="clear" w:color="auto" w:fill="auto"/>
            <w:vAlign w:val="center"/>
          </w:tcPr>
          <w:p w14:paraId="285766DC" w14:textId="240B8B96" w:rsidR="00D42D1C" w:rsidRPr="00981DC5" w:rsidRDefault="00D42D1C"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-55</w:t>
            </w:r>
          </w:p>
        </w:tc>
        <w:tc>
          <w:tcPr>
            <w:tcW w:w="1799" w:type="dxa"/>
            <w:shd w:val="clear" w:color="auto" w:fill="auto"/>
            <w:vAlign w:val="center"/>
          </w:tcPr>
          <w:p w14:paraId="3C11C563" w14:textId="69F6B55C" w:rsidR="00D42D1C" w:rsidRPr="00981DC5" w:rsidRDefault="00D42D1C"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-55</w:t>
            </w:r>
          </w:p>
        </w:tc>
        <w:tc>
          <w:tcPr>
            <w:tcW w:w="2078" w:type="dxa"/>
            <w:shd w:val="clear" w:color="auto" w:fill="auto"/>
            <w:vAlign w:val="center"/>
          </w:tcPr>
          <w:p w14:paraId="10CE3B0A" w14:textId="38986948" w:rsidR="00D42D1C" w:rsidRPr="00981DC5" w:rsidRDefault="00D42D1C"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-46</w:t>
            </w:r>
          </w:p>
        </w:tc>
        <w:tc>
          <w:tcPr>
            <w:tcW w:w="2186" w:type="dxa"/>
            <w:shd w:val="clear" w:color="auto" w:fill="auto"/>
            <w:vAlign w:val="center"/>
          </w:tcPr>
          <w:p w14:paraId="52BB9A77" w14:textId="4A0BC759" w:rsidR="00D42D1C" w:rsidRPr="00981DC5" w:rsidRDefault="00D42D1C"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-49</w:t>
            </w:r>
          </w:p>
        </w:tc>
      </w:tr>
      <w:tr w:rsidR="00981DC5" w:rsidRPr="00981DC5" w14:paraId="709509BB" w14:textId="77777777" w:rsidTr="00EB33B3">
        <w:tc>
          <w:tcPr>
            <w:tcW w:w="1472" w:type="dxa"/>
            <w:vAlign w:val="center"/>
          </w:tcPr>
          <w:p w14:paraId="077F412F" w14:textId="4758DF95" w:rsidR="00D42D1C" w:rsidRPr="00981DC5" w:rsidRDefault="00D42D1C"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12</w:t>
            </w:r>
          </w:p>
        </w:tc>
        <w:tc>
          <w:tcPr>
            <w:tcW w:w="2087" w:type="dxa"/>
            <w:shd w:val="clear" w:color="auto" w:fill="auto"/>
            <w:vAlign w:val="center"/>
          </w:tcPr>
          <w:p w14:paraId="60AB5002" w14:textId="40EB7327" w:rsidR="00D42D1C" w:rsidRPr="00981DC5" w:rsidRDefault="00D42D1C"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-38</w:t>
            </w:r>
          </w:p>
        </w:tc>
        <w:tc>
          <w:tcPr>
            <w:tcW w:w="1799" w:type="dxa"/>
            <w:shd w:val="clear" w:color="auto" w:fill="auto"/>
            <w:vAlign w:val="center"/>
          </w:tcPr>
          <w:p w14:paraId="27295178" w14:textId="23AD867F" w:rsidR="00D42D1C" w:rsidRPr="00981DC5" w:rsidRDefault="00D42D1C"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-49</w:t>
            </w:r>
          </w:p>
        </w:tc>
        <w:tc>
          <w:tcPr>
            <w:tcW w:w="2078" w:type="dxa"/>
            <w:shd w:val="clear" w:color="auto" w:fill="auto"/>
            <w:vAlign w:val="center"/>
          </w:tcPr>
          <w:p w14:paraId="772732EB" w14:textId="530D7C1E" w:rsidR="00D42D1C" w:rsidRPr="00981DC5" w:rsidRDefault="00D42D1C"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1</w:t>
            </w:r>
          </w:p>
        </w:tc>
        <w:tc>
          <w:tcPr>
            <w:tcW w:w="2186" w:type="dxa"/>
            <w:shd w:val="clear" w:color="auto" w:fill="auto"/>
            <w:vAlign w:val="center"/>
          </w:tcPr>
          <w:p w14:paraId="35D968C4" w14:textId="475F7DC3" w:rsidR="00D42D1C" w:rsidRPr="00981DC5" w:rsidRDefault="00D42D1C"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-21</w:t>
            </w:r>
          </w:p>
        </w:tc>
      </w:tr>
      <w:tr w:rsidR="00981DC5" w:rsidRPr="00981DC5" w14:paraId="597AF1BD" w14:textId="77777777" w:rsidTr="00EB33B3">
        <w:tc>
          <w:tcPr>
            <w:tcW w:w="1472" w:type="dxa"/>
            <w:vAlign w:val="center"/>
          </w:tcPr>
          <w:p w14:paraId="37518066" w14:textId="378633F7" w:rsidR="00D42D1C" w:rsidRPr="00981DC5" w:rsidRDefault="00D42D1C"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13</w:t>
            </w:r>
          </w:p>
        </w:tc>
        <w:tc>
          <w:tcPr>
            <w:tcW w:w="2087" w:type="dxa"/>
            <w:shd w:val="clear" w:color="auto" w:fill="auto"/>
            <w:vAlign w:val="center"/>
          </w:tcPr>
          <w:p w14:paraId="20A345AB" w14:textId="35688D23" w:rsidR="00D42D1C" w:rsidRPr="00981DC5" w:rsidRDefault="00D42D1C"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-49</w:t>
            </w:r>
          </w:p>
        </w:tc>
        <w:tc>
          <w:tcPr>
            <w:tcW w:w="1799" w:type="dxa"/>
            <w:shd w:val="clear" w:color="auto" w:fill="auto"/>
            <w:vAlign w:val="center"/>
          </w:tcPr>
          <w:p w14:paraId="32B478FA" w14:textId="06FB55C1" w:rsidR="00D42D1C" w:rsidRPr="00981DC5" w:rsidRDefault="00D42D1C"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-51</w:t>
            </w:r>
          </w:p>
        </w:tc>
        <w:tc>
          <w:tcPr>
            <w:tcW w:w="2078" w:type="dxa"/>
            <w:shd w:val="clear" w:color="auto" w:fill="auto"/>
            <w:vAlign w:val="center"/>
          </w:tcPr>
          <w:p w14:paraId="5091F014" w14:textId="73157F03" w:rsidR="00D42D1C" w:rsidRPr="00981DC5" w:rsidRDefault="00D42D1C"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-29</w:t>
            </w:r>
          </w:p>
        </w:tc>
        <w:tc>
          <w:tcPr>
            <w:tcW w:w="2186" w:type="dxa"/>
            <w:shd w:val="clear" w:color="auto" w:fill="auto"/>
            <w:vAlign w:val="center"/>
          </w:tcPr>
          <w:p w14:paraId="09B40044" w14:textId="1AB6953F" w:rsidR="00D42D1C" w:rsidRPr="00981DC5" w:rsidRDefault="00D42D1C"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-23</w:t>
            </w:r>
          </w:p>
        </w:tc>
      </w:tr>
      <w:tr w:rsidR="00981DC5" w:rsidRPr="00981DC5" w14:paraId="69472986" w14:textId="77777777" w:rsidTr="00EB33B3">
        <w:tc>
          <w:tcPr>
            <w:tcW w:w="1472" w:type="dxa"/>
            <w:vAlign w:val="center"/>
          </w:tcPr>
          <w:p w14:paraId="3CE551DF" w14:textId="32846698" w:rsidR="00D42D1C" w:rsidRPr="00981DC5" w:rsidRDefault="00D42D1C"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14</w:t>
            </w:r>
          </w:p>
        </w:tc>
        <w:tc>
          <w:tcPr>
            <w:tcW w:w="2087" w:type="dxa"/>
            <w:shd w:val="clear" w:color="auto" w:fill="auto"/>
            <w:vAlign w:val="center"/>
          </w:tcPr>
          <w:p w14:paraId="5C98D2F9" w14:textId="69884ECD" w:rsidR="00D42D1C" w:rsidRPr="00981DC5" w:rsidRDefault="00D42D1C"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34</w:t>
            </w:r>
          </w:p>
        </w:tc>
        <w:tc>
          <w:tcPr>
            <w:tcW w:w="1799" w:type="dxa"/>
            <w:shd w:val="clear" w:color="auto" w:fill="auto"/>
            <w:vAlign w:val="center"/>
          </w:tcPr>
          <w:p w14:paraId="6DE28933" w14:textId="2D44022A" w:rsidR="00D42D1C" w:rsidRPr="00981DC5" w:rsidRDefault="00D42D1C"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-30</w:t>
            </w:r>
          </w:p>
        </w:tc>
        <w:tc>
          <w:tcPr>
            <w:tcW w:w="2078" w:type="dxa"/>
            <w:shd w:val="clear" w:color="auto" w:fill="auto"/>
            <w:vAlign w:val="center"/>
          </w:tcPr>
          <w:p w14:paraId="26B65534" w14:textId="2513CA1E" w:rsidR="00D42D1C" w:rsidRPr="00981DC5" w:rsidRDefault="00D42D1C"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69</w:t>
            </w:r>
          </w:p>
        </w:tc>
        <w:tc>
          <w:tcPr>
            <w:tcW w:w="2186" w:type="dxa"/>
            <w:shd w:val="clear" w:color="auto" w:fill="auto"/>
            <w:vAlign w:val="center"/>
          </w:tcPr>
          <w:p w14:paraId="3BEF601E" w14:textId="033DB7F8" w:rsidR="00D42D1C" w:rsidRPr="00981DC5" w:rsidRDefault="00D42D1C"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32</w:t>
            </w:r>
          </w:p>
        </w:tc>
      </w:tr>
      <w:tr w:rsidR="00981DC5" w:rsidRPr="00981DC5" w14:paraId="465539F8" w14:textId="77777777" w:rsidTr="00EB33B3">
        <w:tc>
          <w:tcPr>
            <w:tcW w:w="1472" w:type="dxa"/>
            <w:vAlign w:val="center"/>
          </w:tcPr>
          <w:p w14:paraId="641BF34E" w14:textId="1C60A339" w:rsidR="00D42D1C" w:rsidRPr="00981DC5" w:rsidRDefault="00D42D1C"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15</w:t>
            </w:r>
          </w:p>
        </w:tc>
        <w:tc>
          <w:tcPr>
            <w:tcW w:w="2087" w:type="dxa"/>
            <w:shd w:val="clear" w:color="auto" w:fill="auto"/>
            <w:vAlign w:val="center"/>
          </w:tcPr>
          <w:p w14:paraId="6A10F695" w14:textId="71C75B1D" w:rsidR="00D42D1C" w:rsidRPr="00981DC5" w:rsidRDefault="00D42D1C"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54</w:t>
            </w:r>
          </w:p>
        </w:tc>
        <w:tc>
          <w:tcPr>
            <w:tcW w:w="1799" w:type="dxa"/>
            <w:shd w:val="clear" w:color="auto" w:fill="auto"/>
            <w:vAlign w:val="center"/>
          </w:tcPr>
          <w:p w14:paraId="27D0AA77" w14:textId="07FF6652" w:rsidR="00D42D1C" w:rsidRPr="00981DC5" w:rsidRDefault="00D42D1C"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-8</w:t>
            </w:r>
          </w:p>
        </w:tc>
        <w:tc>
          <w:tcPr>
            <w:tcW w:w="2078" w:type="dxa"/>
            <w:shd w:val="clear" w:color="auto" w:fill="auto"/>
            <w:vAlign w:val="center"/>
          </w:tcPr>
          <w:p w14:paraId="0B286622" w14:textId="6C0508DD" w:rsidR="00D42D1C" w:rsidRPr="00981DC5" w:rsidRDefault="00D42D1C"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-38</w:t>
            </w:r>
          </w:p>
        </w:tc>
        <w:tc>
          <w:tcPr>
            <w:tcW w:w="2186" w:type="dxa"/>
            <w:shd w:val="clear" w:color="auto" w:fill="auto"/>
            <w:vAlign w:val="center"/>
          </w:tcPr>
          <w:p w14:paraId="27E2E418" w14:textId="18320584" w:rsidR="00D42D1C" w:rsidRPr="00981DC5" w:rsidRDefault="00D42D1C"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-14</w:t>
            </w:r>
          </w:p>
        </w:tc>
      </w:tr>
    </w:tbl>
    <w:p w14:paraId="0AF9BEE7" w14:textId="77777777" w:rsidR="00AA0F16" w:rsidRPr="00AA0F16" w:rsidRDefault="00AA0F16" w:rsidP="00AA0F16">
      <w:pPr>
        <w:adjustRightInd w:val="0"/>
        <w:snapToGrid w:val="0"/>
        <w:spacing w:after="0" w:line="360" w:lineRule="auto"/>
        <w:jc w:val="both"/>
        <w:rPr>
          <w:rFonts w:ascii="Book Antiqua" w:hAnsi="Book Antiqua" w:cs="Calibri"/>
          <w:iCs/>
          <w:color w:val="000000" w:themeColor="text1"/>
          <w:sz w:val="24"/>
          <w:szCs w:val="24"/>
          <w:lang w:val="en-US"/>
        </w:rPr>
      </w:pPr>
      <w:r w:rsidRPr="00981DC5">
        <w:rPr>
          <w:rFonts w:ascii="Book Antiqua" w:hAnsi="Book Antiqua" w:cs="Calibri"/>
          <w:iCs/>
          <w:color w:val="000000" w:themeColor="text1"/>
          <w:lang w:val="en-US"/>
        </w:rPr>
        <w:t xml:space="preserve">k: </w:t>
      </w:r>
      <w:r w:rsidRPr="00981DC5">
        <w:rPr>
          <w:rFonts w:ascii="Book Antiqua" w:hAnsi="Book Antiqua" w:cs="Calibri"/>
          <w:iCs/>
          <w:color w:val="000000" w:themeColor="text1"/>
          <w:sz w:val="24"/>
          <w:szCs w:val="24"/>
          <w:lang w:val="en-US"/>
        </w:rPr>
        <w:t>Control group</w:t>
      </w:r>
      <w:r>
        <w:rPr>
          <w:rFonts w:ascii="Book Antiqua" w:hAnsi="Book Antiqua" w:cs="Calibri"/>
          <w:iCs/>
          <w:color w:val="000000" w:themeColor="text1"/>
          <w:sz w:val="24"/>
          <w:szCs w:val="24"/>
          <w:lang w:val="en-US"/>
        </w:rPr>
        <w:t xml:space="preserve">; </w:t>
      </w:r>
      <w:r>
        <w:rPr>
          <w:rFonts w:ascii="Book Antiqua" w:hAnsi="Book Antiqua" w:cs="Calibri"/>
          <w:color w:val="000000" w:themeColor="text1"/>
          <w:sz w:val="24"/>
          <w:szCs w:val="24"/>
          <w:lang w:val="en-US"/>
        </w:rPr>
        <w:t xml:space="preserve">GEM: </w:t>
      </w:r>
      <w:r w:rsidRPr="00981DC5">
        <w:rPr>
          <w:rFonts w:ascii="Book Antiqua" w:hAnsi="Book Antiqua" w:cs="Calibri"/>
          <w:color w:val="000000" w:themeColor="text1"/>
          <w:sz w:val="24"/>
          <w:szCs w:val="24"/>
          <w:lang w:val="en-US"/>
        </w:rPr>
        <w:t>Gemcitabine</w:t>
      </w:r>
      <w:r>
        <w:rPr>
          <w:rFonts w:ascii="Book Antiqua" w:hAnsi="Book Antiqua" w:cs="Calibri"/>
          <w:color w:val="000000" w:themeColor="text1"/>
          <w:sz w:val="24"/>
          <w:szCs w:val="24"/>
          <w:lang w:val="en-US"/>
        </w:rPr>
        <w:t>;</w:t>
      </w:r>
      <w:r w:rsidRPr="00981DC5">
        <w:rPr>
          <w:rFonts w:ascii="Book Antiqua" w:hAnsi="Book Antiqua" w:cs="Calibri"/>
          <w:color w:val="000000" w:themeColor="text1"/>
          <w:sz w:val="24"/>
          <w:szCs w:val="24"/>
          <w:lang w:val="en-US"/>
        </w:rPr>
        <w:t xml:space="preserve"> GEMOX</w:t>
      </w:r>
      <w:r>
        <w:rPr>
          <w:rFonts w:ascii="Book Antiqua" w:hAnsi="Book Antiqua" w:cs="Calibri"/>
          <w:color w:val="000000" w:themeColor="text1"/>
          <w:sz w:val="24"/>
          <w:szCs w:val="24"/>
          <w:lang w:val="en-US"/>
        </w:rPr>
        <w:t>:</w:t>
      </w:r>
      <w:r w:rsidRPr="00981DC5">
        <w:rPr>
          <w:rFonts w:ascii="Book Antiqua" w:hAnsi="Book Antiqua" w:cs="Calibri"/>
          <w:color w:val="000000" w:themeColor="text1"/>
          <w:sz w:val="24"/>
          <w:szCs w:val="24"/>
          <w:lang w:val="en-US"/>
        </w:rPr>
        <w:t xml:space="preserve"> Gemcitabine + Oxaliplatin</w:t>
      </w:r>
      <w:r>
        <w:rPr>
          <w:rFonts w:ascii="Book Antiqua" w:hAnsi="Book Antiqua" w:cs="Calibri"/>
          <w:color w:val="000000" w:themeColor="text1"/>
          <w:sz w:val="24"/>
          <w:szCs w:val="24"/>
          <w:lang w:val="en-US"/>
        </w:rPr>
        <w:t xml:space="preserve">; </w:t>
      </w:r>
      <w:r w:rsidRPr="00981DC5">
        <w:rPr>
          <w:rFonts w:ascii="Book Antiqua" w:hAnsi="Book Antiqua" w:cs="Calibri"/>
          <w:color w:val="000000" w:themeColor="text1"/>
          <w:sz w:val="24"/>
          <w:szCs w:val="24"/>
          <w:lang w:val="en-US"/>
        </w:rPr>
        <w:t>GEM/nab-P</w:t>
      </w:r>
      <w:r>
        <w:rPr>
          <w:rFonts w:ascii="Book Antiqua" w:hAnsi="Book Antiqua" w:cs="Calibri"/>
          <w:color w:val="000000" w:themeColor="text1"/>
          <w:sz w:val="24"/>
          <w:szCs w:val="24"/>
          <w:lang w:val="en-US"/>
        </w:rPr>
        <w:t>:</w:t>
      </w:r>
      <w:r w:rsidRPr="00981DC5">
        <w:rPr>
          <w:rFonts w:ascii="Book Antiqua" w:hAnsi="Book Antiqua" w:cs="Calibri"/>
          <w:color w:val="000000" w:themeColor="text1"/>
          <w:sz w:val="24"/>
          <w:szCs w:val="24"/>
          <w:lang w:val="en-US"/>
        </w:rPr>
        <w:t xml:space="preserve"> Gemcitabine + nab-Paclitaxel</w:t>
      </w:r>
      <w:r>
        <w:rPr>
          <w:rFonts w:ascii="Book Antiqua" w:hAnsi="Book Antiqua" w:cs="Calibri"/>
          <w:color w:val="000000" w:themeColor="text1"/>
          <w:sz w:val="24"/>
          <w:szCs w:val="24"/>
          <w:lang w:val="en-US"/>
        </w:rPr>
        <w:t>;</w:t>
      </w:r>
      <w:r w:rsidRPr="00981DC5">
        <w:rPr>
          <w:rFonts w:ascii="Book Antiqua" w:hAnsi="Book Antiqua" w:cs="Calibri"/>
          <w:color w:val="000000" w:themeColor="text1"/>
          <w:sz w:val="24"/>
          <w:szCs w:val="24"/>
          <w:lang w:val="en-US"/>
        </w:rPr>
        <w:t xml:space="preserve"> FOLFOXIRI</w:t>
      </w:r>
      <w:r>
        <w:rPr>
          <w:rFonts w:ascii="Book Antiqua" w:hAnsi="Book Antiqua" w:cs="Calibri"/>
          <w:color w:val="000000" w:themeColor="text1"/>
          <w:sz w:val="24"/>
          <w:szCs w:val="24"/>
          <w:lang w:val="en-US"/>
        </w:rPr>
        <w:t>:</w:t>
      </w:r>
      <w:r w:rsidRPr="00981DC5">
        <w:rPr>
          <w:rFonts w:ascii="Book Antiqua" w:hAnsi="Book Antiqua" w:cs="Calibri"/>
          <w:color w:val="000000" w:themeColor="text1"/>
          <w:sz w:val="24"/>
          <w:szCs w:val="24"/>
          <w:lang w:val="en-US"/>
        </w:rPr>
        <w:t xml:space="preserve"> 5-Fluorouracil + </w:t>
      </w:r>
      <w:proofErr w:type="spellStart"/>
      <w:r w:rsidRPr="00981DC5">
        <w:rPr>
          <w:rFonts w:ascii="Book Antiqua" w:hAnsi="Book Antiqua" w:cs="Calibri"/>
          <w:color w:val="000000" w:themeColor="text1"/>
          <w:sz w:val="24"/>
          <w:szCs w:val="24"/>
          <w:lang w:val="en-US"/>
        </w:rPr>
        <w:t>Folinic</w:t>
      </w:r>
      <w:proofErr w:type="spellEnd"/>
      <w:r w:rsidRPr="00981DC5">
        <w:rPr>
          <w:rFonts w:ascii="Book Antiqua" w:hAnsi="Book Antiqua" w:cs="Calibri"/>
          <w:color w:val="000000" w:themeColor="text1"/>
          <w:sz w:val="24"/>
          <w:szCs w:val="24"/>
          <w:lang w:val="en-US"/>
        </w:rPr>
        <w:t xml:space="preserve"> acid + Oxaliplatin + Irinotecan.</w:t>
      </w:r>
    </w:p>
    <w:p w14:paraId="0071A895" w14:textId="4E4FFC03" w:rsidR="00512A45" w:rsidRPr="00981DC5" w:rsidRDefault="00512A45" w:rsidP="00B11A05">
      <w:pPr>
        <w:adjustRightInd w:val="0"/>
        <w:snapToGrid w:val="0"/>
        <w:spacing w:after="0" w:line="360" w:lineRule="auto"/>
        <w:jc w:val="both"/>
        <w:rPr>
          <w:rFonts w:ascii="Book Antiqua" w:hAnsi="Book Antiqua" w:cs="Calibri"/>
          <w:color w:val="000000" w:themeColor="text1"/>
          <w:sz w:val="24"/>
          <w:szCs w:val="24"/>
          <w:lang w:val="en-US"/>
        </w:rPr>
      </w:pPr>
      <w:r w:rsidRPr="00981DC5">
        <w:rPr>
          <w:rFonts w:ascii="Book Antiqua" w:hAnsi="Book Antiqua" w:cs="Calibri"/>
          <w:color w:val="000000" w:themeColor="text1"/>
          <w:sz w:val="24"/>
          <w:szCs w:val="24"/>
          <w:lang w:val="en-US"/>
        </w:rPr>
        <w:br w:type="page"/>
      </w:r>
    </w:p>
    <w:p w14:paraId="6D83D2A2" w14:textId="7B26FBA7" w:rsidR="00AD5BBD" w:rsidRPr="00981DC5" w:rsidRDefault="00AD5BBD" w:rsidP="00B11A05">
      <w:pPr>
        <w:adjustRightInd w:val="0"/>
        <w:snapToGrid w:val="0"/>
        <w:spacing w:after="0" w:line="360" w:lineRule="auto"/>
        <w:jc w:val="both"/>
        <w:rPr>
          <w:rFonts w:ascii="Book Antiqua" w:hAnsi="Book Antiqua" w:cs="Calibri"/>
          <w:b/>
          <w:bCs/>
          <w:color w:val="000000" w:themeColor="text1"/>
          <w:sz w:val="24"/>
          <w:szCs w:val="24"/>
          <w:lang w:val="en-US"/>
        </w:rPr>
      </w:pPr>
      <w:r w:rsidRPr="00981DC5">
        <w:rPr>
          <w:rFonts w:ascii="Book Antiqua" w:hAnsi="Book Antiqua" w:cs="Calibri"/>
          <w:b/>
          <w:bCs/>
          <w:color w:val="000000" w:themeColor="text1"/>
          <w:sz w:val="24"/>
          <w:szCs w:val="24"/>
          <w:lang w:val="en-US"/>
        </w:rPr>
        <w:lastRenderedPageBreak/>
        <w:t xml:space="preserve">Table 5 analysis of the percentage reduction of the mean </w:t>
      </w:r>
      <w:r w:rsidR="00CA3E0A" w:rsidRPr="00981DC5">
        <w:rPr>
          <w:rFonts w:ascii="Book Antiqua" w:hAnsi="Book Antiqua" w:cs="Calibri"/>
          <w:color w:val="000000" w:themeColor="text1"/>
          <w:sz w:val="24"/>
          <w:szCs w:val="24"/>
          <w:lang w:val="en-US"/>
        </w:rPr>
        <w:t>relative tumor area</w:t>
      </w:r>
      <w:r w:rsidR="00CA3E0A" w:rsidRPr="00981DC5">
        <w:rPr>
          <w:rFonts w:ascii="Book Antiqua" w:hAnsi="Book Antiqua" w:cs="Calibri"/>
          <w:b/>
          <w:bCs/>
          <w:color w:val="000000" w:themeColor="text1"/>
          <w:sz w:val="24"/>
          <w:szCs w:val="24"/>
          <w:lang w:val="en-US"/>
        </w:rPr>
        <w:t xml:space="preserve"> </w:t>
      </w:r>
      <w:r w:rsidRPr="00981DC5">
        <w:rPr>
          <w:rFonts w:ascii="Book Antiqua" w:hAnsi="Book Antiqua" w:cs="Calibri"/>
          <w:b/>
          <w:bCs/>
          <w:color w:val="000000" w:themeColor="text1"/>
          <w:sz w:val="24"/>
          <w:szCs w:val="24"/>
          <w:lang w:val="en-US"/>
        </w:rPr>
        <w:t>in the treated subgroups in comparison to the control group</w:t>
      </w:r>
    </w:p>
    <w:tbl>
      <w:tblPr>
        <w:tblW w:w="0" w:type="auto"/>
        <w:tblBorders>
          <w:top w:val="single" w:sz="4" w:space="0" w:color="auto"/>
          <w:bottom w:val="single" w:sz="4" w:space="0" w:color="auto"/>
        </w:tblBorders>
        <w:tblLook w:val="04A0" w:firstRow="1" w:lastRow="0" w:firstColumn="1" w:lastColumn="0" w:noHBand="0" w:noVBand="1"/>
      </w:tblPr>
      <w:tblGrid>
        <w:gridCol w:w="1350"/>
        <w:gridCol w:w="2275"/>
        <w:gridCol w:w="1651"/>
        <w:gridCol w:w="2187"/>
        <w:gridCol w:w="2169"/>
      </w:tblGrid>
      <w:tr w:rsidR="00981DC5" w:rsidRPr="00981DC5" w14:paraId="432D98B3" w14:textId="77777777" w:rsidTr="00AA0F16">
        <w:tc>
          <w:tcPr>
            <w:tcW w:w="1350" w:type="dxa"/>
            <w:vMerge w:val="restart"/>
            <w:tcBorders>
              <w:top w:val="single" w:sz="4" w:space="0" w:color="auto"/>
              <w:bottom w:val="single" w:sz="4" w:space="0" w:color="auto"/>
            </w:tcBorders>
            <w:shd w:val="clear" w:color="auto" w:fill="auto"/>
            <w:vAlign w:val="center"/>
          </w:tcPr>
          <w:p w14:paraId="5A6AE3FB" w14:textId="66E6F9C2" w:rsidR="00AD5BBD" w:rsidRPr="00981DC5" w:rsidRDefault="00AD5BBD" w:rsidP="00B11A05">
            <w:pPr>
              <w:pStyle w:val="aa"/>
              <w:adjustRightInd w:val="0"/>
              <w:snapToGrid w:val="0"/>
              <w:spacing w:before="0" w:beforeAutospacing="0" w:after="0" w:afterAutospacing="0" w:line="360" w:lineRule="auto"/>
              <w:jc w:val="both"/>
              <w:rPr>
                <w:rFonts w:ascii="Book Antiqua" w:hAnsi="Book Antiqua" w:cs="Calibri"/>
                <w:b/>
                <w:bCs/>
                <w:color w:val="000000" w:themeColor="text1"/>
                <w:lang w:val="en-US"/>
              </w:rPr>
            </w:pPr>
            <w:r w:rsidRPr="00981DC5">
              <w:rPr>
                <w:rFonts w:ascii="Book Antiqua" w:hAnsi="Book Antiqua" w:cs="Calibri"/>
                <w:b/>
                <w:bCs/>
                <w:color w:val="000000" w:themeColor="text1"/>
                <w:lang w:val="en-US"/>
              </w:rPr>
              <w:t>Threshold value</w:t>
            </w:r>
          </w:p>
        </w:tc>
        <w:tc>
          <w:tcPr>
            <w:tcW w:w="8282" w:type="dxa"/>
            <w:gridSpan w:val="4"/>
            <w:tcBorders>
              <w:top w:val="single" w:sz="4" w:space="0" w:color="auto"/>
              <w:bottom w:val="single" w:sz="4" w:space="0" w:color="auto"/>
            </w:tcBorders>
            <w:shd w:val="clear" w:color="auto" w:fill="auto"/>
            <w:vAlign w:val="center"/>
          </w:tcPr>
          <w:p w14:paraId="51B90CD1" w14:textId="6634B3D1" w:rsidR="00AD5BBD" w:rsidRPr="00981DC5" w:rsidRDefault="00AD5BBD" w:rsidP="00B11A05">
            <w:pPr>
              <w:pStyle w:val="aa"/>
              <w:adjustRightInd w:val="0"/>
              <w:snapToGrid w:val="0"/>
              <w:spacing w:before="0" w:beforeAutospacing="0" w:after="0" w:afterAutospacing="0" w:line="360" w:lineRule="auto"/>
              <w:jc w:val="both"/>
              <w:rPr>
                <w:rFonts w:ascii="Book Antiqua" w:hAnsi="Book Antiqua" w:cs="Calibri"/>
                <w:b/>
                <w:bCs/>
                <w:color w:val="000000" w:themeColor="text1"/>
                <w:lang w:val="en-US"/>
              </w:rPr>
            </w:pPr>
            <w:r w:rsidRPr="00981DC5">
              <w:rPr>
                <w:rFonts w:ascii="Book Antiqua" w:hAnsi="Book Antiqua" w:cs="Calibri"/>
                <w:b/>
                <w:bCs/>
                <w:color w:val="000000" w:themeColor="text1"/>
                <w:lang w:val="en-US"/>
              </w:rPr>
              <w:t>Number of cases</w:t>
            </w:r>
            <w:r w:rsidR="00EB33B3" w:rsidRPr="00981DC5">
              <w:rPr>
                <w:rFonts w:ascii="Book Antiqua" w:hAnsi="Book Antiqua" w:cs="Calibri"/>
                <w:b/>
                <w:bCs/>
                <w:color w:val="000000" w:themeColor="text1"/>
                <w:lang w:val="en-US"/>
              </w:rPr>
              <w:t>,</w:t>
            </w:r>
            <w:r w:rsidRPr="00981DC5">
              <w:rPr>
                <w:rFonts w:ascii="Book Antiqua" w:hAnsi="Book Antiqua" w:cs="Calibri"/>
                <w:b/>
                <w:bCs/>
                <w:color w:val="000000" w:themeColor="text1"/>
                <w:lang w:val="en-US"/>
              </w:rPr>
              <w:t xml:space="preserve"> </w:t>
            </w:r>
            <w:r w:rsidRPr="00981DC5">
              <w:rPr>
                <w:rFonts w:ascii="Book Antiqua" w:hAnsi="Book Antiqua" w:cs="Calibri"/>
                <w:b/>
                <w:bCs/>
                <w:i/>
                <w:iCs/>
                <w:color w:val="000000" w:themeColor="text1"/>
                <w:lang w:val="en-US"/>
              </w:rPr>
              <w:t>n</w:t>
            </w:r>
            <w:r w:rsidRPr="00981DC5">
              <w:rPr>
                <w:rFonts w:ascii="Book Antiqua" w:hAnsi="Book Antiqua" w:cs="Calibri"/>
                <w:b/>
                <w:bCs/>
                <w:color w:val="000000" w:themeColor="text1"/>
                <w:lang w:val="en-US"/>
              </w:rPr>
              <w:t xml:space="preserve"> (%)</w:t>
            </w:r>
          </w:p>
        </w:tc>
      </w:tr>
      <w:tr w:rsidR="00981DC5" w:rsidRPr="00981DC5" w14:paraId="1ABA2D4C" w14:textId="77777777" w:rsidTr="00AA0F16">
        <w:tc>
          <w:tcPr>
            <w:tcW w:w="1350" w:type="dxa"/>
            <w:vMerge/>
            <w:tcBorders>
              <w:top w:val="single" w:sz="4" w:space="0" w:color="auto"/>
              <w:bottom w:val="single" w:sz="4" w:space="0" w:color="auto"/>
            </w:tcBorders>
            <w:shd w:val="clear" w:color="auto" w:fill="auto"/>
            <w:vAlign w:val="center"/>
          </w:tcPr>
          <w:p w14:paraId="4747DEA6" w14:textId="13D82A99" w:rsidR="00AD5BBD" w:rsidRPr="00981DC5" w:rsidRDefault="00AD5BBD" w:rsidP="00B11A05">
            <w:pPr>
              <w:pStyle w:val="aa"/>
              <w:adjustRightInd w:val="0"/>
              <w:snapToGrid w:val="0"/>
              <w:spacing w:before="0" w:beforeAutospacing="0" w:after="0" w:afterAutospacing="0" w:line="360" w:lineRule="auto"/>
              <w:jc w:val="both"/>
              <w:rPr>
                <w:rFonts w:ascii="Book Antiqua" w:hAnsi="Book Antiqua" w:cs="Calibri"/>
                <w:b/>
                <w:bCs/>
                <w:color w:val="000000" w:themeColor="text1"/>
                <w:lang w:val="en-US"/>
              </w:rPr>
            </w:pPr>
          </w:p>
        </w:tc>
        <w:tc>
          <w:tcPr>
            <w:tcW w:w="2275" w:type="dxa"/>
            <w:tcBorders>
              <w:top w:val="single" w:sz="4" w:space="0" w:color="auto"/>
              <w:bottom w:val="single" w:sz="4" w:space="0" w:color="auto"/>
            </w:tcBorders>
            <w:shd w:val="clear" w:color="auto" w:fill="auto"/>
            <w:vAlign w:val="center"/>
          </w:tcPr>
          <w:p w14:paraId="2B35550E" w14:textId="2354F959" w:rsidR="00AD5BBD" w:rsidRPr="00981DC5" w:rsidRDefault="00AD5BBD" w:rsidP="00B11A05">
            <w:pPr>
              <w:pStyle w:val="aa"/>
              <w:adjustRightInd w:val="0"/>
              <w:snapToGrid w:val="0"/>
              <w:spacing w:before="0" w:beforeAutospacing="0" w:after="0" w:afterAutospacing="0" w:line="360" w:lineRule="auto"/>
              <w:jc w:val="both"/>
              <w:rPr>
                <w:rFonts w:ascii="Book Antiqua" w:hAnsi="Book Antiqua" w:cs="Calibri"/>
                <w:b/>
                <w:bCs/>
                <w:color w:val="000000" w:themeColor="text1"/>
                <w:lang w:val="en-US"/>
              </w:rPr>
            </w:pPr>
            <w:r w:rsidRPr="00981DC5">
              <w:rPr>
                <w:rFonts w:ascii="Book Antiqua" w:hAnsi="Book Antiqua" w:cs="Calibri"/>
                <w:b/>
                <w:bCs/>
                <w:color w:val="000000" w:themeColor="text1"/>
                <w:lang w:val="en-US"/>
              </w:rPr>
              <w:t xml:space="preserve">k </w:t>
            </w:r>
            <w:r w:rsidR="00EB33B3" w:rsidRPr="00981DC5">
              <w:rPr>
                <w:rFonts w:ascii="Book Antiqua" w:hAnsi="Book Antiqua" w:cs="Calibri"/>
                <w:b/>
                <w:bCs/>
                <w:i/>
                <w:color w:val="000000" w:themeColor="text1"/>
                <w:lang w:val="en-US"/>
              </w:rPr>
              <w:t>vs</w:t>
            </w:r>
            <w:r w:rsidRPr="00981DC5">
              <w:rPr>
                <w:rFonts w:ascii="Book Antiqua" w:hAnsi="Book Antiqua" w:cs="Calibri"/>
                <w:b/>
                <w:bCs/>
                <w:color w:val="000000" w:themeColor="text1"/>
                <w:lang w:val="en-US"/>
              </w:rPr>
              <w:t xml:space="preserve"> FOLFOXIRI</w:t>
            </w:r>
          </w:p>
        </w:tc>
        <w:tc>
          <w:tcPr>
            <w:tcW w:w="1651" w:type="dxa"/>
            <w:tcBorders>
              <w:top w:val="single" w:sz="4" w:space="0" w:color="auto"/>
              <w:bottom w:val="single" w:sz="4" w:space="0" w:color="auto"/>
            </w:tcBorders>
            <w:shd w:val="clear" w:color="auto" w:fill="auto"/>
            <w:vAlign w:val="center"/>
          </w:tcPr>
          <w:p w14:paraId="380CD041" w14:textId="12E80CD6" w:rsidR="00AD5BBD" w:rsidRPr="00981DC5" w:rsidRDefault="00AD5BBD" w:rsidP="00B11A05">
            <w:pPr>
              <w:pStyle w:val="aa"/>
              <w:adjustRightInd w:val="0"/>
              <w:snapToGrid w:val="0"/>
              <w:spacing w:before="0" w:beforeAutospacing="0" w:after="0" w:afterAutospacing="0" w:line="360" w:lineRule="auto"/>
              <w:jc w:val="both"/>
              <w:rPr>
                <w:rFonts w:ascii="Book Antiqua" w:hAnsi="Book Antiqua" w:cs="Calibri"/>
                <w:b/>
                <w:bCs/>
                <w:color w:val="000000" w:themeColor="text1"/>
                <w:lang w:val="en-US"/>
              </w:rPr>
            </w:pPr>
            <w:r w:rsidRPr="00981DC5">
              <w:rPr>
                <w:rFonts w:ascii="Book Antiqua" w:hAnsi="Book Antiqua" w:cs="Calibri"/>
                <w:b/>
                <w:bCs/>
                <w:color w:val="000000" w:themeColor="text1"/>
                <w:lang w:val="en-US"/>
              </w:rPr>
              <w:t xml:space="preserve">k </w:t>
            </w:r>
            <w:r w:rsidR="00EB33B3" w:rsidRPr="00981DC5">
              <w:rPr>
                <w:rFonts w:ascii="Book Antiqua" w:hAnsi="Book Antiqua" w:cs="Calibri"/>
                <w:b/>
                <w:bCs/>
                <w:i/>
                <w:color w:val="000000" w:themeColor="text1"/>
                <w:lang w:val="en-US"/>
              </w:rPr>
              <w:t>vs</w:t>
            </w:r>
            <w:r w:rsidRPr="00981DC5">
              <w:rPr>
                <w:rFonts w:ascii="Book Antiqua" w:hAnsi="Book Antiqua" w:cs="Calibri"/>
                <w:b/>
                <w:bCs/>
                <w:color w:val="000000" w:themeColor="text1"/>
                <w:lang w:val="en-US"/>
              </w:rPr>
              <w:t xml:space="preserve"> GEMOX</w:t>
            </w:r>
          </w:p>
        </w:tc>
        <w:tc>
          <w:tcPr>
            <w:tcW w:w="2187" w:type="dxa"/>
            <w:tcBorders>
              <w:top w:val="single" w:sz="4" w:space="0" w:color="auto"/>
              <w:bottom w:val="single" w:sz="4" w:space="0" w:color="auto"/>
            </w:tcBorders>
            <w:shd w:val="clear" w:color="auto" w:fill="auto"/>
            <w:vAlign w:val="center"/>
          </w:tcPr>
          <w:p w14:paraId="5E9E231B" w14:textId="407B46C9" w:rsidR="00AD5BBD" w:rsidRPr="00981DC5" w:rsidRDefault="00AD5BBD" w:rsidP="00B11A05">
            <w:pPr>
              <w:pStyle w:val="aa"/>
              <w:adjustRightInd w:val="0"/>
              <w:snapToGrid w:val="0"/>
              <w:spacing w:before="0" w:beforeAutospacing="0" w:after="0" w:afterAutospacing="0" w:line="360" w:lineRule="auto"/>
              <w:jc w:val="both"/>
              <w:rPr>
                <w:rFonts w:ascii="Book Antiqua" w:hAnsi="Book Antiqua" w:cs="Calibri"/>
                <w:b/>
                <w:bCs/>
                <w:color w:val="000000" w:themeColor="text1"/>
                <w:lang w:val="en-US"/>
              </w:rPr>
            </w:pPr>
            <w:r w:rsidRPr="00981DC5">
              <w:rPr>
                <w:rFonts w:ascii="Book Antiqua" w:hAnsi="Book Antiqua" w:cs="Calibri"/>
                <w:b/>
                <w:bCs/>
                <w:color w:val="000000" w:themeColor="text1"/>
                <w:lang w:val="en-US"/>
              </w:rPr>
              <w:t xml:space="preserve">k </w:t>
            </w:r>
            <w:r w:rsidR="00EB33B3" w:rsidRPr="00981DC5">
              <w:rPr>
                <w:rFonts w:ascii="Book Antiqua" w:hAnsi="Book Antiqua" w:cs="Calibri"/>
                <w:b/>
                <w:bCs/>
                <w:i/>
                <w:color w:val="000000" w:themeColor="text1"/>
                <w:lang w:val="en-US"/>
              </w:rPr>
              <w:t>vs</w:t>
            </w:r>
            <w:r w:rsidRPr="00981DC5">
              <w:rPr>
                <w:rFonts w:ascii="Book Antiqua" w:hAnsi="Book Antiqua" w:cs="Calibri"/>
                <w:b/>
                <w:bCs/>
                <w:color w:val="000000" w:themeColor="text1"/>
                <w:lang w:val="en-US"/>
              </w:rPr>
              <w:t xml:space="preserve"> Gem/nab-P</w:t>
            </w:r>
          </w:p>
        </w:tc>
        <w:tc>
          <w:tcPr>
            <w:tcW w:w="2169" w:type="dxa"/>
            <w:tcBorders>
              <w:top w:val="single" w:sz="4" w:space="0" w:color="auto"/>
              <w:bottom w:val="single" w:sz="4" w:space="0" w:color="auto"/>
            </w:tcBorders>
            <w:shd w:val="clear" w:color="auto" w:fill="auto"/>
            <w:vAlign w:val="center"/>
          </w:tcPr>
          <w:p w14:paraId="73B5A64F" w14:textId="3981C70A" w:rsidR="00AD5BBD" w:rsidRPr="00981DC5" w:rsidRDefault="00AD5BBD" w:rsidP="00B11A05">
            <w:pPr>
              <w:pStyle w:val="aa"/>
              <w:adjustRightInd w:val="0"/>
              <w:snapToGrid w:val="0"/>
              <w:spacing w:before="0" w:beforeAutospacing="0" w:after="0" w:afterAutospacing="0" w:line="360" w:lineRule="auto"/>
              <w:jc w:val="both"/>
              <w:rPr>
                <w:rFonts w:ascii="Book Antiqua" w:hAnsi="Book Antiqua" w:cs="Calibri"/>
                <w:b/>
                <w:bCs/>
                <w:color w:val="000000" w:themeColor="text1"/>
                <w:lang w:val="en-US"/>
              </w:rPr>
            </w:pPr>
            <w:r w:rsidRPr="00981DC5">
              <w:rPr>
                <w:rFonts w:ascii="Book Antiqua" w:hAnsi="Book Antiqua" w:cs="Calibri"/>
                <w:b/>
                <w:bCs/>
                <w:color w:val="000000" w:themeColor="text1"/>
                <w:lang w:val="en-US"/>
              </w:rPr>
              <w:t xml:space="preserve">k </w:t>
            </w:r>
            <w:r w:rsidR="00EB33B3" w:rsidRPr="00981DC5">
              <w:rPr>
                <w:rFonts w:ascii="Book Antiqua" w:hAnsi="Book Antiqua" w:cs="Calibri"/>
                <w:b/>
                <w:bCs/>
                <w:i/>
                <w:color w:val="000000" w:themeColor="text1"/>
                <w:lang w:val="en-US"/>
              </w:rPr>
              <w:t>vs</w:t>
            </w:r>
            <w:r w:rsidRPr="00981DC5">
              <w:rPr>
                <w:rFonts w:ascii="Book Antiqua" w:hAnsi="Book Antiqua" w:cs="Calibri"/>
                <w:b/>
                <w:bCs/>
                <w:color w:val="000000" w:themeColor="text1"/>
                <w:lang w:val="en-US"/>
              </w:rPr>
              <w:t xml:space="preserve"> Gemcitabine</w:t>
            </w:r>
          </w:p>
        </w:tc>
      </w:tr>
      <w:tr w:rsidR="00981DC5" w:rsidRPr="00981DC5" w14:paraId="6E12477D" w14:textId="77777777" w:rsidTr="00AA0F16">
        <w:tc>
          <w:tcPr>
            <w:tcW w:w="1350" w:type="dxa"/>
            <w:tcBorders>
              <w:top w:val="single" w:sz="4" w:space="0" w:color="auto"/>
            </w:tcBorders>
            <w:shd w:val="clear" w:color="auto" w:fill="auto"/>
            <w:vAlign w:val="center"/>
          </w:tcPr>
          <w:p w14:paraId="7368752D" w14:textId="147C1655" w:rsidR="00512A45" w:rsidRPr="00981DC5" w:rsidRDefault="00512A45"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-10</w:t>
            </w:r>
            <w:r w:rsidR="00EB33B3" w:rsidRPr="00981DC5">
              <w:rPr>
                <w:rFonts w:ascii="Book Antiqua" w:hAnsi="Book Antiqua" w:cs="Calibri"/>
                <w:color w:val="000000" w:themeColor="text1"/>
                <w:lang w:val="en-US"/>
              </w:rPr>
              <w:t>%</w:t>
            </w:r>
          </w:p>
        </w:tc>
        <w:tc>
          <w:tcPr>
            <w:tcW w:w="2275" w:type="dxa"/>
            <w:tcBorders>
              <w:top w:val="single" w:sz="4" w:space="0" w:color="auto"/>
            </w:tcBorders>
            <w:shd w:val="clear" w:color="auto" w:fill="auto"/>
            <w:vAlign w:val="center"/>
          </w:tcPr>
          <w:p w14:paraId="096444E0" w14:textId="729B4D2E" w:rsidR="00512A45" w:rsidRPr="00981DC5" w:rsidRDefault="00512A45"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13 (87)</w:t>
            </w:r>
          </w:p>
        </w:tc>
        <w:tc>
          <w:tcPr>
            <w:tcW w:w="1651" w:type="dxa"/>
            <w:tcBorders>
              <w:top w:val="single" w:sz="4" w:space="0" w:color="auto"/>
            </w:tcBorders>
            <w:shd w:val="clear" w:color="auto" w:fill="auto"/>
            <w:vAlign w:val="center"/>
          </w:tcPr>
          <w:p w14:paraId="66B2ECDC" w14:textId="4AECC530" w:rsidR="00512A45" w:rsidRPr="00981DC5" w:rsidRDefault="00512A45"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13 (87)</w:t>
            </w:r>
          </w:p>
        </w:tc>
        <w:tc>
          <w:tcPr>
            <w:tcW w:w="2187" w:type="dxa"/>
            <w:tcBorders>
              <w:top w:val="single" w:sz="4" w:space="0" w:color="auto"/>
            </w:tcBorders>
            <w:shd w:val="clear" w:color="auto" w:fill="auto"/>
            <w:vAlign w:val="center"/>
          </w:tcPr>
          <w:p w14:paraId="7935A98E" w14:textId="7855966E" w:rsidR="00512A45" w:rsidRPr="00981DC5" w:rsidRDefault="00512A45"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12 (80)</w:t>
            </w:r>
          </w:p>
        </w:tc>
        <w:tc>
          <w:tcPr>
            <w:tcW w:w="2169" w:type="dxa"/>
            <w:tcBorders>
              <w:top w:val="single" w:sz="4" w:space="0" w:color="auto"/>
            </w:tcBorders>
            <w:shd w:val="clear" w:color="auto" w:fill="auto"/>
            <w:vAlign w:val="center"/>
          </w:tcPr>
          <w:p w14:paraId="1AB6B389" w14:textId="0678EB8E" w:rsidR="00512A45" w:rsidRPr="00981DC5" w:rsidRDefault="00512A45"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13 (87)</w:t>
            </w:r>
          </w:p>
        </w:tc>
      </w:tr>
      <w:tr w:rsidR="00981DC5" w:rsidRPr="00981DC5" w14:paraId="07D63B37" w14:textId="77777777" w:rsidTr="00AA0F16">
        <w:tc>
          <w:tcPr>
            <w:tcW w:w="1350" w:type="dxa"/>
            <w:shd w:val="clear" w:color="auto" w:fill="auto"/>
            <w:vAlign w:val="center"/>
          </w:tcPr>
          <w:p w14:paraId="4E4D7381" w14:textId="77717BEA" w:rsidR="00512A45" w:rsidRPr="00981DC5" w:rsidRDefault="00512A45"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-20</w:t>
            </w:r>
            <w:r w:rsidR="00EB33B3" w:rsidRPr="00981DC5">
              <w:rPr>
                <w:rFonts w:ascii="Book Antiqua" w:hAnsi="Book Antiqua" w:cs="Calibri"/>
                <w:color w:val="000000" w:themeColor="text1"/>
                <w:lang w:val="en-US"/>
              </w:rPr>
              <w:t>%</w:t>
            </w:r>
          </w:p>
        </w:tc>
        <w:tc>
          <w:tcPr>
            <w:tcW w:w="2275" w:type="dxa"/>
            <w:shd w:val="clear" w:color="auto" w:fill="auto"/>
            <w:vAlign w:val="center"/>
          </w:tcPr>
          <w:p w14:paraId="0C5507B0" w14:textId="3335512C" w:rsidR="00512A45" w:rsidRPr="00981DC5" w:rsidRDefault="00512A45"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12 (80)</w:t>
            </w:r>
          </w:p>
        </w:tc>
        <w:tc>
          <w:tcPr>
            <w:tcW w:w="1651" w:type="dxa"/>
            <w:shd w:val="clear" w:color="auto" w:fill="auto"/>
            <w:vAlign w:val="center"/>
          </w:tcPr>
          <w:p w14:paraId="3514AD06" w14:textId="1F77D6E2" w:rsidR="00512A45" w:rsidRPr="00981DC5" w:rsidRDefault="00512A45"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10 (67)</w:t>
            </w:r>
          </w:p>
        </w:tc>
        <w:tc>
          <w:tcPr>
            <w:tcW w:w="2187" w:type="dxa"/>
            <w:shd w:val="clear" w:color="auto" w:fill="auto"/>
            <w:vAlign w:val="center"/>
          </w:tcPr>
          <w:p w14:paraId="753EA0F5" w14:textId="537B6408" w:rsidR="00512A45" w:rsidRPr="00981DC5" w:rsidRDefault="00512A45"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11 (73)</w:t>
            </w:r>
          </w:p>
        </w:tc>
        <w:tc>
          <w:tcPr>
            <w:tcW w:w="2169" w:type="dxa"/>
            <w:shd w:val="clear" w:color="auto" w:fill="auto"/>
            <w:vAlign w:val="center"/>
          </w:tcPr>
          <w:p w14:paraId="7EB1D8C7" w14:textId="3FB96F22" w:rsidR="00512A45" w:rsidRPr="00981DC5" w:rsidRDefault="00512A45"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11 (73)</w:t>
            </w:r>
          </w:p>
        </w:tc>
      </w:tr>
      <w:tr w:rsidR="00981DC5" w:rsidRPr="00981DC5" w14:paraId="281FA21F" w14:textId="77777777" w:rsidTr="00AA0F16">
        <w:tc>
          <w:tcPr>
            <w:tcW w:w="1350" w:type="dxa"/>
            <w:shd w:val="clear" w:color="auto" w:fill="auto"/>
            <w:vAlign w:val="center"/>
          </w:tcPr>
          <w:p w14:paraId="40AA5644" w14:textId="57ABB352" w:rsidR="00512A45" w:rsidRPr="00981DC5" w:rsidRDefault="00512A45"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-30</w:t>
            </w:r>
            <w:r w:rsidR="00EB33B3" w:rsidRPr="00981DC5">
              <w:rPr>
                <w:rFonts w:ascii="Book Antiqua" w:hAnsi="Book Antiqua" w:cs="Calibri"/>
                <w:color w:val="000000" w:themeColor="text1"/>
                <w:lang w:val="en-US"/>
              </w:rPr>
              <w:t>%</w:t>
            </w:r>
          </w:p>
        </w:tc>
        <w:tc>
          <w:tcPr>
            <w:tcW w:w="2275" w:type="dxa"/>
            <w:shd w:val="clear" w:color="auto" w:fill="auto"/>
            <w:vAlign w:val="center"/>
          </w:tcPr>
          <w:p w14:paraId="61BC4BC3" w14:textId="591EF0D8" w:rsidR="00512A45" w:rsidRPr="00981DC5" w:rsidRDefault="00512A45"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11 (73)</w:t>
            </w:r>
          </w:p>
        </w:tc>
        <w:tc>
          <w:tcPr>
            <w:tcW w:w="1651" w:type="dxa"/>
            <w:shd w:val="clear" w:color="auto" w:fill="auto"/>
            <w:vAlign w:val="center"/>
          </w:tcPr>
          <w:p w14:paraId="0FB3689C" w14:textId="130A7E44" w:rsidR="00512A45" w:rsidRPr="00981DC5" w:rsidRDefault="00512A45"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8 (53)</w:t>
            </w:r>
          </w:p>
        </w:tc>
        <w:tc>
          <w:tcPr>
            <w:tcW w:w="2187" w:type="dxa"/>
            <w:shd w:val="clear" w:color="auto" w:fill="auto"/>
            <w:vAlign w:val="center"/>
          </w:tcPr>
          <w:p w14:paraId="70C0EA4E" w14:textId="149AAA7B" w:rsidR="00512A45" w:rsidRPr="00981DC5" w:rsidRDefault="00512A45"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9 (60)</w:t>
            </w:r>
          </w:p>
        </w:tc>
        <w:tc>
          <w:tcPr>
            <w:tcW w:w="2169" w:type="dxa"/>
            <w:shd w:val="clear" w:color="auto" w:fill="auto"/>
            <w:vAlign w:val="center"/>
          </w:tcPr>
          <w:p w14:paraId="33E9B709" w14:textId="0C8AF7DE" w:rsidR="00512A45" w:rsidRPr="00981DC5" w:rsidRDefault="00512A45"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8 (53)</w:t>
            </w:r>
          </w:p>
        </w:tc>
      </w:tr>
      <w:tr w:rsidR="00981DC5" w:rsidRPr="00981DC5" w14:paraId="2BF5B06B" w14:textId="77777777" w:rsidTr="00AA0F16">
        <w:tc>
          <w:tcPr>
            <w:tcW w:w="1350" w:type="dxa"/>
            <w:shd w:val="clear" w:color="auto" w:fill="auto"/>
            <w:vAlign w:val="center"/>
          </w:tcPr>
          <w:p w14:paraId="609B4E89" w14:textId="710B3F9B" w:rsidR="00512A45" w:rsidRPr="00981DC5" w:rsidRDefault="00512A45"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-40</w:t>
            </w:r>
            <w:r w:rsidR="00EB33B3" w:rsidRPr="00981DC5">
              <w:rPr>
                <w:rFonts w:ascii="Book Antiqua" w:hAnsi="Book Antiqua" w:cs="Calibri"/>
                <w:color w:val="000000" w:themeColor="text1"/>
                <w:lang w:val="en-US"/>
              </w:rPr>
              <w:t>%</w:t>
            </w:r>
          </w:p>
        </w:tc>
        <w:tc>
          <w:tcPr>
            <w:tcW w:w="2275" w:type="dxa"/>
            <w:shd w:val="clear" w:color="auto" w:fill="auto"/>
            <w:vAlign w:val="center"/>
          </w:tcPr>
          <w:p w14:paraId="4120BE5A" w14:textId="0B41BF50" w:rsidR="00512A45" w:rsidRPr="00981DC5" w:rsidRDefault="00512A45"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10 (67)</w:t>
            </w:r>
          </w:p>
        </w:tc>
        <w:tc>
          <w:tcPr>
            <w:tcW w:w="1651" w:type="dxa"/>
            <w:shd w:val="clear" w:color="auto" w:fill="auto"/>
            <w:vAlign w:val="center"/>
          </w:tcPr>
          <w:p w14:paraId="203361B5" w14:textId="74551DBA" w:rsidR="00512A45" w:rsidRPr="00981DC5" w:rsidRDefault="00512A45"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6 (40)</w:t>
            </w:r>
          </w:p>
        </w:tc>
        <w:tc>
          <w:tcPr>
            <w:tcW w:w="2187" w:type="dxa"/>
            <w:shd w:val="clear" w:color="auto" w:fill="auto"/>
            <w:vAlign w:val="center"/>
          </w:tcPr>
          <w:p w14:paraId="6E381C84" w14:textId="00625538" w:rsidR="00512A45" w:rsidRPr="00981DC5" w:rsidRDefault="00512A45"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7 (47)</w:t>
            </w:r>
          </w:p>
        </w:tc>
        <w:tc>
          <w:tcPr>
            <w:tcW w:w="2169" w:type="dxa"/>
            <w:shd w:val="clear" w:color="auto" w:fill="auto"/>
            <w:vAlign w:val="center"/>
          </w:tcPr>
          <w:p w14:paraId="79AAE3E5" w14:textId="576C0781" w:rsidR="00512A45" w:rsidRPr="00981DC5" w:rsidRDefault="00512A45"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7 (47)</w:t>
            </w:r>
          </w:p>
        </w:tc>
      </w:tr>
      <w:tr w:rsidR="00981DC5" w:rsidRPr="00981DC5" w14:paraId="1EDE055A" w14:textId="77777777" w:rsidTr="00AA0F16">
        <w:tc>
          <w:tcPr>
            <w:tcW w:w="1350" w:type="dxa"/>
            <w:shd w:val="clear" w:color="auto" w:fill="auto"/>
            <w:vAlign w:val="center"/>
          </w:tcPr>
          <w:p w14:paraId="0B7DC5D3" w14:textId="77777777" w:rsidR="00512A45" w:rsidRPr="00981DC5" w:rsidRDefault="00512A45"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-50%</w:t>
            </w:r>
          </w:p>
        </w:tc>
        <w:tc>
          <w:tcPr>
            <w:tcW w:w="2275" w:type="dxa"/>
            <w:shd w:val="clear" w:color="auto" w:fill="auto"/>
            <w:vAlign w:val="center"/>
          </w:tcPr>
          <w:p w14:paraId="731AF808" w14:textId="6668C89D" w:rsidR="00512A45" w:rsidRPr="00981DC5" w:rsidRDefault="00512A45"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7 (47)</w:t>
            </w:r>
          </w:p>
        </w:tc>
        <w:tc>
          <w:tcPr>
            <w:tcW w:w="1651" w:type="dxa"/>
            <w:shd w:val="clear" w:color="auto" w:fill="auto"/>
            <w:vAlign w:val="center"/>
          </w:tcPr>
          <w:p w14:paraId="6CAA3693" w14:textId="5CE514B6" w:rsidR="00512A45" w:rsidRPr="00981DC5" w:rsidRDefault="00512A45"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5 (33)</w:t>
            </w:r>
          </w:p>
        </w:tc>
        <w:tc>
          <w:tcPr>
            <w:tcW w:w="2187" w:type="dxa"/>
            <w:shd w:val="clear" w:color="auto" w:fill="auto"/>
            <w:vAlign w:val="center"/>
          </w:tcPr>
          <w:p w14:paraId="58FCA65A" w14:textId="5B58769D" w:rsidR="00512A45" w:rsidRPr="00981DC5" w:rsidRDefault="00512A45"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4 (27)</w:t>
            </w:r>
          </w:p>
        </w:tc>
        <w:tc>
          <w:tcPr>
            <w:tcW w:w="2169" w:type="dxa"/>
            <w:shd w:val="clear" w:color="auto" w:fill="auto"/>
            <w:vAlign w:val="center"/>
          </w:tcPr>
          <w:p w14:paraId="6F86BBC2" w14:textId="6BCB3F79" w:rsidR="00512A45" w:rsidRPr="00981DC5" w:rsidRDefault="00512A45"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4 (27)</w:t>
            </w:r>
          </w:p>
        </w:tc>
      </w:tr>
      <w:tr w:rsidR="00981DC5" w:rsidRPr="00981DC5" w14:paraId="273D59CF" w14:textId="77777777" w:rsidTr="00AA0F16">
        <w:tc>
          <w:tcPr>
            <w:tcW w:w="1350" w:type="dxa"/>
            <w:shd w:val="clear" w:color="auto" w:fill="auto"/>
            <w:vAlign w:val="center"/>
          </w:tcPr>
          <w:p w14:paraId="46801B8C" w14:textId="77777777" w:rsidR="00512A45" w:rsidRPr="00981DC5" w:rsidRDefault="00512A45"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-60%</w:t>
            </w:r>
          </w:p>
        </w:tc>
        <w:tc>
          <w:tcPr>
            <w:tcW w:w="2275" w:type="dxa"/>
            <w:shd w:val="clear" w:color="auto" w:fill="auto"/>
            <w:vAlign w:val="center"/>
          </w:tcPr>
          <w:p w14:paraId="3BAD9922" w14:textId="6F4EE802" w:rsidR="00512A45" w:rsidRPr="00981DC5" w:rsidRDefault="00512A45"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5 (33)</w:t>
            </w:r>
          </w:p>
        </w:tc>
        <w:tc>
          <w:tcPr>
            <w:tcW w:w="1651" w:type="dxa"/>
            <w:shd w:val="clear" w:color="auto" w:fill="auto"/>
            <w:vAlign w:val="center"/>
          </w:tcPr>
          <w:p w14:paraId="0DD88DF0" w14:textId="41279A06" w:rsidR="00512A45" w:rsidRPr="00981DC5" w:rsidRDefault="00512A45"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1 (7)</w:t>
            </w:r>
          </w:p>
        </w:tc>
        <w:tc>
          <w:tcPr>
            <w:tcW w:w="2187" w:type="dxa"/>
            <w:shd w:val="clear" w:color="auto" w:fill="auto"/>
            <w:vAlign w:val="center"/>
          </w:tcPr>
          <w:p w14:paraId="47C9E8D5" w14:textId="274CB76A" w:rsidR="00512A45" w:rsidRPr="00981DC5" w:rsidRDefault="00512A45"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4 (27)</w:t>
            </w:r>
          </w:p>
        </w:tc>
        <w:tc>
          <w:tcPr>
            <w:tcW w:w="2169" w:type="dxa"/>
            <w:shd w:val="clear" w:color="auto" w:fill="auto"/>
            <w:vAlign w:val="center"/>
          </w:tcPr>
          <w:p w14:paraId="27F61982" w14:textId="4525322D" w:rsidR="00512A45" w:rsidRPr="00981DC5" w:rsidRDefault="00512A45"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1 (7)</w:t>
            </w:r>
          </w:p>
        </w:tc>
      </w:tr>
      <w:tr w:rsidR="00981DC5" w:rsidRPr="00981DC5" w14:paraId="2784C7C8" w14:textId="77777777" w:rsidTr="00AA0F16">
        <w:tc>
          <w:tcPr>
            <w:tcW w:w="1350" w:type="dxa"/>
            <w:shd w:val="clear" w:color="auto" w:fill="auto"/>
            <w:vAlign w:val="center"/>
          </w:tcPr>
          <w:p w14:paraId="77AB1BE9" w14:textId="77777777" w:rsidR="00512A45" w:rsidRPr="00981DC5" w:rsidRDefault="00512A45"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-70%</w:t>
            </w:r>
          </w:p>
        </w:tc>
        <w:tc>
          <w:tcPr>
            <w:tcW w:w="2275" w:type="dxa"/>
            <w:shd w:val="clear" w:color="auto" w:fill="auto"/>
            <w:vAlign w:val="center"/>
          </w:tcPr>
          <w:p w14:paraId="7A5A9EF2" w14:textId="3F02CBEE" w:rsidR="00512A45" w:rsidRPr="00981DC5" w:rsidRDefault="00512A45"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1 (7)</w:t>
            </w:r>
          </w:p>
        </w:tc>
        <w:tc>
          <w:tcPr>
            <w:tcW w:w="1651" w:type="dxa"/>
            <w:shd w:val="clear" w:color="auto" w:fill="auto"/>
            <w:vAlign w:val="center"/>
          </w:tcPr>
          <w:p w14:paraId="019099F0" w14:textId="69562C4B" w:rsidR="00512A45" w:rsidRPr="00981DC5" w:rsidRDefault="00512A45"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1 (7)</w:t>
            </w:r>
          </w:p>
        </w:tc>
        <w:tc>
          <w:tcPr>
            <w:tcW w:w="2187" w:type="dxa"/>
            <w:shd w:val="clear" w:color="auto" w:fill="auto"/>
            <w:vAlign w:val="center"/>
          </w:tcPr>
          <w:p w14:paraId="236E2E95" w14:textId="29EE3A59" w:rsidR="00512A45" w:rsidRPr="00981DC5" w:rsidRDefault="00512A45"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1 (7)</w:t>
            </w:r>
          </w:p>
        </w:tc>
        <w:tc>
          <w:tcPr>
            <w:tcW w:w="2169" w:type="dxa"/>
            <w:shd w:val="clear" w:color="auto" w:fill="auto"/>
            <w:vAlign w:val="center"/>
          </w:tcPr>
          <w:p w14:paraId="54FDCBEB" w14:textId="334140E6" w:rsidR="00512A45" w:rsidRPr="00981DC5" w:rsidRDefault="00512A45"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 (0)</w:t>
            </w:r>
          </w:p>
        </w:tc>
      </w:tr>
      <w:tr w:rsidR="00981DC5" w:rsidRPr="00981DC5" w14:paraId="3299ED99" w14:textId="77777777" w:rsidTr="00AA0F16">
        <w:tc>
          <w:tcPr>
            <w:tcW w:w="1350" w:type="dxa"/>
            <w:shd w:val="clear" w:color="auto" w:fill="auto"/>
            <w:vAlign w:val="center"/>
          </w:tcPr>
          <w:p w14:paraId="2BF117E1" w14:textId="77777777" w:rsidR="00512A45" w:rsidRPr="00981DC5" w:rsidRDefault="00512A45"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-80%</w:t>
            </w:r>
          </w:p>
        </w:tc>
        <w:tc>
          <w:tcPr>
            <w:tcW w:w="2275" w:type="dxa"/>
            <w:shd w:val="clear" w:color="auto" w:fill="auto"/>
            <w:vAlign w:val="center"/>
          </w:tcPr>
          <w:p w14:paraId="5B2DCC82" w14:textId="696385DA" w:rsidR="00512A45" w:rsidRPr="00981DC5" w:rsidRDefault="00512A45"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 (0)</w:t>
            </w:r>
          </w:p>
        </w:tc>
        <w:tc>
          <w:tcPr>
            <w:tcW w:w="1651" w:type="dxa"/>
            <w:shd w:val="clear" w:color="auto" w:fill="auto"/>
            <w:vAlign w:val="center"/>
          </w:tcPr>
          <w:p w14:paraId="070B72CB" w14:textId="2A12F548" w:rsidR="00512A45" w:rsidRPr="00981DC5" w:rsidRDefault="00512A45"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 (0)</w:t>
            </w:r>
          </w:p>
        </w:tc>
        <w:tc>
          <w:tcPr>
            <w:tcW w:w="2187" w:type="dxa"/>
            <w:shd w:val="clear" w:color="auto" w:fill="auto"/>
            <w:vAlign w:val="center"/>
          </w:tcPr>
          <w:p w14:paraId="5D3F87DF" w14:textId="34589303" w:rsidR="00512A45" w:rsidRPr="00981DC5" w:rsidRDefault="00512A45"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 (0)</w:t>
            </w:r>
          </w:p>
        </w:tc>
        <w:tc>
          <w:tcPr>
            <w:tcW w:w="2169" w:type="dxa"/>
            <w:shd w:val="clear" w:color="auto" w:fill="auto"/>
            <w:vAlign w:val="center"/>
          </w:tcPr>
          <w:p w14:paraId="694C63B4" w14:textId="450CBB59" w:rsidR="00512A45" w:rsidRPr="00981DC5" w:rsidRDefault="00512A45" w:rsidP="00B11A05">
            <w:pPr>
              <w:pStyle w:val="aa"/>
              <w:adjustRightInd w:val="0"/>
              <w:snapToGrid w:val="0"/>
              <w:spacing w:before="0" w:beforeAutospacing="0" w:after="0" w:afterAutospacing="0" w:line="360" w:lineRule="auto"/>
              <w:jc w:val="both"/>
              <w:rPr>
                <w:rFonts w:ascii="Book Antiqua" w:hAnsi="Book Antiqua" w:cs="Calibri"/>
                <w:color w:val="000000" w:themeColor="text1"/>
                <w:lang w:val="en-US"/>
              </w:rPr>
            </w:pPr>
            <w:r w:rsidRPr="00981DC5">
              <w:rPr>
                <w:rFonts w:ascii="Book Antiqua" w:hAnsi="Book Antiqua" w:cs="Calibri"/>
                <w:color w:val="000000" w:themeColor="text1"/>
                <w:lang w:val="en-US"/>
              </w:rPr>
              <w:t>0 (0)</w:t>
            </w:r>
          </w:p>
        </w:tc>
      </w:tr>
    </w:tbl>
    <w:p w14:paraId="2A1D6974" w14:textId="77777777" w:rsidR="00AA0F16" w:rsidRPr="00AA0F16" w:rsidRDefault="00AA0F16" w:rsidP="00AA0F16">
      <w:pPr>
        <w:adjustRightInd w:val="0"/>
        <w:snapToGrid w:val="0"/>
        <w:spacing w:after="0" w:line="360" w:lineRule="auto"/>
        <w:jc w:val="both"/>
        <w:rPr>
          <w:rFonts w:ascii="Book Antiqua" w:hAnsi="Book Antiqua" w:cs="Calibri"/>
          <w:iCs/>
          <w:color w:val="000000" w:themeColor="text1"/>
          <w:sz w:val="24"/>
          <w:szCs w:val="24"/>
          <w:lang w:val="en-US"/>
        </w:rPr>
      </w:pPr>
      <w:r w:rsidRPr="00981DC5">
        <w:rPr>
          <w:rFonts w:ascii="Book Antiqua" w:hAnsi="Book Antiqua" w:cs="Calibri"/>
          <w:iCs/>
          <w:color w:val="000000" w:themeColor="text1"/>
          <w:lang w:val="en-US"/>
        </w:rPr>
        <w:t xml:space="preserve">k: </w:t>
      </w:r>
      <w:r w:rsidRPr="00981DC5">
        <w:rPr>
          <w:rFonts w:ascii="Book Antiqua" w:hAnsi="Book Antiqua" w:cs="Calibri"/>
          <w:iCs/>
          <w:color w:val="000000" w:themeColor="text1"/>
          <w:sz w:val="24"/>
          <w:szCs w:val="24"/>
          <w:lang w:val="en-US"/>
        </w:rPr>
        <w:t>Control group</w:t>
      </w:r>
      <w:r>
        <w:rPr>
          <w:rFonts w:ascii="Book Antiqua" w:hAnsi="Book Antiqua" w:cs="Calibri"/>
          <w:iCs/>
          <w:color w:val="000000" w:themeColor="text1"/>
          <w:sz w:val="24"/>
          <w:szCs w:val="24"/>
          <w:lang w:val="en-US"/>
        </w:rPr>
        <w:t xml:space="preserve">; </w:t>
      </w:r>
      <w:r>
        <w:rPr>
          <w:rFonts w:ascii="Book Antiqua" w:hAnsi="Book Antiqua" w:cs="Calibri"/>
          <w:color w:val="000000" w:themeColor="text1"/>
          <w:sz w:val="24"/>
          <w:szCs w:val="24"/>
          <w:lang w:val="en-US"/>
        </w:rPr>
        <w:t xml:space="preserve">GEM: </w:t>
      </w:r>
      <w:r w:rsidRPr="00981DC5">
        <w:rPr>
          <w:rFonts w:ascii="Book Antiqua" w:hAnsi="Book Antiqua" w:cs="Calibri"/>
          <w:color w:val="000000" w:themeColor="text1"/>
          <w:sz w:val="24"/>
          <w:szCs w:val="24"/>
          <w:lang w:val="en-US"/>
        </w:rPr>
        <w:t>Gemcitabine</w:t>
      </w:r>
      <w:r>
        <w:rPr>
          <w:rFonts w:ascii="Book Antiqua" w:hAnsi="Book Antiqua" w:cs="Calibri"/>
          <w:color w:val="000000" w:themeColor="text1"/>
          <w:sz w:val="24"/>
          <w:szCs w:val="24"/>
          <w:lang w:val="en-US"/>
        </w:rPr>
        <w:t>;</w:t>
      </w:r>
      <w:r w:rsidRPr="00981DC5">
        <w:rPr>
          <w:rFonts w:ascii="Book Antiqua" w:hAnsi="Book Antiqua" w:cs="Calibri"/>
          <w:color w:val="000000" w:themeColor="text1"/>
          <w:sz w:val="24"/>
          <w:szCs w:val="24"/>
          <w:lang w:val="en-US"/>
        </w:rPr>
        <w:t xml:space="preserve"> GEMOX</w:t>
      </w:r>
      <w:r>
        <w:rPr>
          <w:rFonts w:ascii="Book Antiqua" w:hAnsi="Book Antiqua" w:cs="Calibri"/>
          <w:color w:val="000000" w:themeColor="text1"/>
          <w:sz w:val="24"/>
          <w:szCs w:val="24"/>
          <w:lang w:val="en-US"/>
        </w:rPr>
        <w:t>:</w:t>
      </w:r>
      <w:r w:rsidRPr="00981DC5">
        <w:rPr>
          <w:rFonts w:ascii="Book Antiqua" w:hAnsi="Book Antiqua" w:cs="Calibri"/>
          <w:color w:val="000000" w:themeColor="text1"/>
          <w:sz w:val="24"/>
          <w:szCs w:val="24"/>
          <w:lang w:val="en-US"/>
        </w:rPr>
        <w:t xml:space="preserve"> Gemcitabine + Oxaliplatin</w:t>
      </w:r>
      <w:r>
        <w:rPr>
          <w:rFonts w:ascii="Book Antiqua" w:hAnsi="Book Antiqua" w:cs="Calibri"/>
          <w:color w:val="000000" w:themeColor="text1"/>
          <w:sz w:val="24"/>
          <w:szCs w:val="24"/>
          <w:lang w:val="en-US"/>
        </w:rPr>
        <w:t xml:space="preserve">; </w:t>
      </w:r>
      <w:r w:rsidRPr="00981DC5">
        <w:rPr>
          <w:rFonts w:ascii="Book Antiqua" w:hAnsi="Book Antiqua" w:cs="Calibri"/>
          <w:color w:val="000000" w:themeColor="text1"/>
          <w:sz w:val="24"/>
          <w:szCs w:val="24"/>
          <w:lang w:val="en-US"/>
        </w:rPr>
        <w:t>GEM/nab-P</w:t>
      </w:r>
      <w:r>
        <w:rPr>
          <w:rFonts w:ascii="Book Antiqua" w:hAnsi="Book Antiqua" w:cs="Calibri"/>
          <w:color w:val="000000" w:themeColor="text1"/>
          <w:sz w:val="24"/>
          <w:szCs w:val="24"/>
          <w:lang w:val="en-US"/>
        </w:rPr>
        <w:t>:</w:t>
      </w:r>
      <w:r w:rsidRPr="00981DC5">
        <w:rPr>
          <w:rFonts w:ascii="Book Antiqua" w:hAnsi="Book Antiqua" w:cs="Calibri"/>
          <w:color w:val="000000" w:themeColor="text1"/>
          <w:sz w:val="24"/>
          <w:szCs w:val="24"/>
          <w:lang w:val="en-US"/>
        </w:rPr>
        <w:t xml:space="preserve"> Gemcitabine + nab-Paclitaxel</w:t>
      </w:r>
      <w:r>
        <w:rPr>
          <w:rFonts w:ascii="Book Antiqua" w:hAnsi="Book Antiqua" w:cs="Calibri"/>
          <w:color w:val="000000" w:themeColor="text1"/>
          <w:sz w:val="24"/>
          <w:szCs w:val="24"/>
          <w:lang w:val="en-US"/>
        </w:rPr>
        <w:t>;</w:t>
      </w:r>
      <w:r w:rsidRPr="00981DC5">
        <w:rPr>
          <w:rFonts w:ascii="Book Antiqua" w:hAnsi="Book Antiqua" w:cs="Calibri"/>
          <w:color w:val="000000" w:themeColor="text1"/>
          <w:sz w:val="24"/>
          <w:szCs w:val="24"/>
          <w:lang w:val="en-US"/>
        </w:rPr>
        <w:t xml:space="preserve"> FOLFOXIRI</w:t>
      </w:r>
      <w:r>
        <w:rPr>
          <w:rFonts w:ascii="Book Antiqua" w:hAnsi="Book Antiqua" w:cs="Calibri"/>
          <w:color w:val="000000" w:themeColor="text1"/>
          <w:sz w:val="24"/>
          <w:szCs w:val="24"/>
          <w:lang w:val="en-US"/>
        </w:rPr>
        <w:t>:</w:t>
      </w:r>
      <w:r w:rsidRPr="00981DC5">
        <w:rPr>
          <w:rFonts w:ascii="Book Antiqua" w:hAnsi="Book Antiqua" w:cs="Calibri"/>
          <w:color w:val="000000" w:themeColor="text1"/>
          <w:sz w:val="24"/>
          <w:szCs w:val="24"/>
          <w:lang w:val="en-US"/>
        </w:rPr>
        <w:t xml:space="preserve"> 5-Fluorouracil + </w:t>
      </w:r>
      <w:proofErr w:type="spellStart"/>
      <w:r w:rsidRPr="00981DC5">
        <w:rPr>
          <w:rFonts w:ascii="Book Antiqua" w:hAnsi="Book Antiqua" w:cs="Calibri"/>
          <w:color w:val="000000" w:themeColor="text1"/>
          <w:sz w:val="24"/>
          <w:szCs w:val="24"/>
          <w:lang w:val="en-US"/>
        </w:rPr>
        <w:t>Folinic</w:t>
      </w:r>
      <w:proofErr w:type="spellEnd"/>
      <w:r w:rsidRPr="00981DC5">
        <w:rPr>
          <w:rFonts w:ascii="Book Antiqua" w:hAnsi="Book Antiqua" w:cs="Calibri"/>
          <w:color w:val="000000" w:themeColor="text1"/>
          <w:sz w:val="24"/>
          <w:szCs w:val="24"/>
          <w:lang w:val="en-US"/>
        </w:rPr>
        <w:t xml:space="preserve"> acid + Oxaliplatin + Irinotecan.</w:t>
      </w:r>
    </w:p>
    <w:p w14:paraId="0BF63640" w14:textId="2C4DA1CC" w:rsidR="00A94FCF" w:rsidRPr="00981DC5" w:rsidRDefault="00D54D7A" w:rsidP="00B11A05">
      <w:pPr>
        <w:adjustRightInd w:val="0"/>
        <w:snapToGrid w:val="0"/>
        <w:spacing w:after="0" w:line="360" w:lineRule="auto"/>
        <w:jc w:val="both"/>
        <w:rPr>
          <w:rFonts w:ascii="Book Antiqua" w:hAnsi="Book Antiqua" w:cs="Calibri"/>
          <w:color w:val="000000" w:themeColor="text1"/>
          <w:sz w:val="24"/>
          <w:szCs w:val="24"/>
          <w:lang w:val="en-US"/>
        </w:rPr>
      </w:pPr>
      <w:r w:rsidRPr="00981DC5">
        <w:rPr>
          <w:rFonts w:ascii="Book Antiqua" w:hAnsi="Book Antiqua" w:cs="Calibri"/>
          <w:color w:val="000000" w:themeColor="text1"/>
          <w:sz w:val="24"/>
          <w:szCs w:val="24"/>
          <w:lang w:val="en-US"/>
        </w:rPr>
        <w:br w:type="page"/>
      </w:r>
    </w:p>
    <w:p w14:paraId="3944CCDA" w14:textId="7798100D" w:rsidR="00AD5BBD" w:rsidRPr="00981DC5" w:rsidRDefault="00AD5BBD" w:rsidP="00B11A05">
      <w:pPr>
        <w:adjustRightInd w:val="0"/>
        <w:snapToGrid w:val="0"/>
        <w:spacing w:after="0" w:line="360" w:lineRule="auto"/>
        <w:jc w:val="both"/>
        <w:rPr>
          <w:rFonts w:ascii="Book Antiqua" w:hAnsi="Book Antiqua" w:cs="Calibri"/>
          <w:b/>
          <w:bCs/>
          <w:color w:val="000000" w:themeColor="text1"/>
          <w:sz w:val="24"/>
          <w:szCs w:val="24"/>
          <w:lang w:val="en-US"/>
        </w:rPr>
      </w:pPr>
      <w:r w:rsidRPr="00981DC5">
        <w:rPr>
          <w:rFonts w:ascii="Book Antiqua" w:hAnsi="Book Antiqua" w:cs="Calibri"/>
          <w:b/>
          <w:bCs/>
          <w:color w:val="000000" w:themeColor="text1"/>
          <w:sz w:val="24"/>
          <w:szCs w:val="24"/>
          <w:lang w:val="en-US"/>
        </w:rPr>
        <w:lastRenderedPageBreak/>
        <w:t xml:space="preserve">Table 6 Calculation of the conversion factor for the test with </w:t>
      </w:r>
      <w:proofErr w:type="spellStart"/>
      <w:r w:rsidRPr="00981DC5">
        <w:rPr>
          <w:rFonts w:ascii="Book Antiqua" w:hAnsi="Book Antiqua" w:cs="Calibri"/>
          <w:b/>
          <w:bCs/>
          <w:color w:val="000000" w:themeColor="text1"/>
          <w:sz w:val="24"/>
          <w:szCs w:val="24"/>
          <w:lang w:val="en-US"/>
        </w:rPr>
        <w:t>xenotransplanted</w:t>
      </w:r>
      <w:proofErr w:type="spellEnd"/>
      <w:r w:rsidRPr="00981DC5">
        <w:rPr>
          <w:rFonts w:ascii="Book Antiqua" w:hAnsi="Book Antiqua" w:cs="Calibri"/>
          <w:b/>
          <w:bCs/>
          <w:color w:val="000000" w:themeColor="text1"/>
          <w:sz w:val="24"/>
          <w:szCs w:val="24"/>
          <w:lang w:val="en-US"/>
        </w:rPr>
        <w:t xml:space="preserve"> zebrafish embryos</w:t>
      </w:r>
    </w:p>
    <w:tbl>
      <w:tblPr>
        <w:tblStyle w:val="af1"/>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1"/>
        <w:gridCol w:w="1884"/>
        <w:gridCol w:w="1894"/>
        <w:gridCol w:w="2123"/>
        <w:gridCol w:w="1860"/>
      </w:tblGrid>
      <w:tr w:rsidR="00981DC5" w:rsidRPr="00981DC5" w14:paraId="252B8E18" w14:textId="77777777" w:rsidTr="00EB33B3">
        <w:tc>
          <w:tcPr>
            <w:tcW w:w="1861" w:type="dxa"/>
            <w:tcBorders>
              <w:top w:val="single" w:sz="4" w:space="0" w:color="auto"/>
              <w:bottom w:val="single" w:sz="4" w:space="0" w:color="auto"/>
            </w:tcBorders>
            <w:vAlign w:val="center"/>
          </w:tcPr>
          <w:p w14:paraId="74E24D95" w14:textId="77777777" w:rsidR="00521171" w:rsidRPr="00981DC5" w:rsidRDefault="00521171" w:rsidP="00B11A05">
            <w:pPr>
              <w:adjustRightInd w:val="0"/>
              <w:snapToGrid w:val="0"/>
              <w:spacing w:line="360" w:lineRule="auto"/>
              <w:jc w:val="both"/>
              <w:rPr>
                <w:rFonts w:ascii="Book Antiqua" w:hAnsi="Book Antiqua"/>
                <w:b/>
                <w:bCs/>
                <w:color w:val="000000" w:themeColor="text1"/>
                <w:sz w:val="24"/>
                <w:szCs w:val="24"/>
                <w:lang w:val="en-US"/>
              </w:rPr>
            </w:pPr>
          </w:p>
        </w:tc>
        <w:tc>
          <w:tcPr>
            <w:tcW w:w="1884" w:type="dxa"/>
            <w:tcBorders>
              <w:top w:val="single" w:sz="4" w:space="0" w:color="auto"/>
              <w:bottom w:val="single" w:sz="4" w:space="0" w:color="auto"/>
            </w:tcBorders>
          </w:tcPr>
          <w:p w14:paraId="28C74F6E" w14:textId="77777777" w:rsidR="00521171" w:rsidRPr="00981DC5" w:rsidRDefault="00521171" w:rsidP="00B11A05">
            <w:pPr>
              <w:adjustRightInd w:val="0"/>
              <w:snapToGrid w:val="0"/>
              <w:spacing w:line="360" w:lineRule="auto"/>
              <w:jc w:val="both"/>
              <w:rPr>
                <w:rFonts w:ascii="Book Antiqua" w:hAnsi="Book Antiqua"/>
                <w:b/>
                <w:bCs/>
                <w:color w:val="000000" w:themeColor="text1"/>
                <w:sz w:val="24"/>
                <w:szCs w:val="24"/>
                <w:lang w:val="en-US"/>
              </w:rPr>
            </w:pPr>
            <w:r w:rsidRPr="00981DC5">
              <w:rPr>
                <w:rFonts w:ascii="Book Antiqua" w:hAnsi="Book Antiqua"/>
                <w:b/>
                <w:bCs/>
                <w:color w:val="000000" w:themeColor="text1"/>
                <w:sz w:val="24"/>
                <w:szCs w:val="24"/>
                <w:lang w:val="en-US"/>
              </w:rPr>
              <w:t>Study</w:t>
            </w:r>
          </w:p>
        </w:tc>
        <w:tc>
          <w:tcPr>
            <w:tcW w:w="1894" w:type="dxa"/>
            <w:tcBorders>
              <w:top w:val="single" w:sz="4" w:space="0" w:color="auto"/>
              <w:bottom w:val="single" w:sz="4" w:space="0" w:color="auto"/>
            </w:tcBorders>
          </w:tcPr>
          <w:p w14:paraId="013F0402" w14:textId="77777777" w:rsidR="00521171" w:rsidRPr="00981DC5" w:rsidRDefault="00521171" w:rsidP="00B11A05">
            <w:pPr>
              <w:adjustRightInd w:val="0"/>
              <w:snapToGrid w:val="0"/>
              <w:spacing w:line="360" w:lineRule="auto"/>
              <w:jc w:val="both"/>
              <w:rPr>
                <w:rFonts w:ascii="Book Antiqua" w:hAnsi="Book Antiqua"/>
                <w:b/>
                <w:bCs/>
                <w:color w:val="000000" w:themeColor="text1"/>
                <w:sz w:val="24"/>
                <w:szCs w:val="24"/>
                <w:lang w:val="en-US"/>
              </w:rPr>
            </w:pPr>
            <w:r w:rsidRPr="00981DC5">
              <w:rPr>
                <w:rFonts w:ascii="Book Antiqua" w:hAnsi="Book Antiqua" w:cs="Calibri"/>
                <w:b/>
                <w:bCs/>
                <w:color w:val="000000" w:themeColor="text1"/>
                <w:sz w:val="24"/>
                <w:szCs w:val="24"/>
                <w:lang w:val="en-US"/>
              </w:rPr>
              <w:t>Percentage of partial response reported in literature</w:t>
            </w:r>
          </w:p>
        </w:tc>
        <w:tc>
          <w:tcPr>
            <w:tcW w:w="2123" w:type="dxa"/>
            <w:tcBorders>
              <w:top w:val="single" w:sz="4" w:space="0" w:color="auto"/>
              <w:bottom w:val="single" w:sz="4" w:space="0" w:color="auto"/>
            </w:tcBorders>
          </w:tcPr>
          <w:p w14:paraId="69897A6B" w14:textId="77777777" w:rsidR="00521171" w:rsidRPr="00981DC5" w:rsidRDefault="00521171" w:rsidP="00B11A05">
            <w:pPr>
              <w:adjustRightInd w:val="0"/>
              <w:snapToGrid w:val="0"/>
              <w:spacing w:line="360" w:lineRule="auto"/>
              <w:jc w:val="both"/>
              <w:rPr>
                <w:rFonts w:ascii="Book Antiqua" w:hAnsi="Book Antiqua" w:cs="Calibri"/>
                <w:b/>
                <w:bCs/>
                <w:color w:val="000000" w:themeColor="text1"/>
                <w:sz w:val="24"/>
                <w:szCs w:val="24"/>
                <w:lang w:val="en-US"/>
              </w:rPr>
            </w:pPr>
            <w:r w:rsidRPr="00981DC5">
              <w:rPr>
                <w:rFonts w:ascii="Book Antiqua" w:hAnsi="Book Antiqua" w:cs="Calibri"/>
                <w:b/>
                <w:bCs/>
                <w:color w:val="000000" w:themeColor="text1"/>
                <w:sz w:val="24"/>
                <w:szCs w:val="24"/>
                <w:lang w:val="en-US"/>
              </w:rPr>
              <w:t xml:space="preserve">Conversion Factor for </w:t>
            </w:r>
            <w:proofErr w:type="spellStart"/>
            <w:r w:rsidRPr="00981DC5">
              <w:rPr>
                <w:rFonts w:ascii="Book Antiqua" w:hAnsi="Book Antiqua" w:cs="Calibri"/>
                <w:b/>
                <w:bCs/>
                <w:color w:val="000000" w:themeColor="text1"/>
                <w:sz w:val="24"/>
                <w:szCs w:val="24"/>
                <w:lang w:val="en-US"/>
              </w:rPr>
              <w:t>xenotransplanted</w:t>
            </w:r>
            <w:proofErr w:type="spellEnd"/>
            <w:r w:rsidRPr="00981DC5">
              <w:rPr>
                <w:rFonts w:ascii="Book Antiqua" w:hAnsi="Book Antiqua" w:cs="Calibri"/>
                <w:b/>
                <w:bCs/>
                <w:color w:val="000000" w:themeColor="text1"/>
                <w:sz w:val="24"/>
                <w:szCs w:val="24"/>
                <w:lang w:val="en-US"/>
              </w:rPr>
              <w:t xml:space="preserve"> zebrafish embryos</w:t>
            </w:r>
          </w:p>
        </w:tc>
        <w:tc>
          <w:tcPr>
            <w:tcW w:w="1860" w:type="dxa"/>
            <w:tcBorders>
              <w:top w:val="single" w:sz="4" w:space="0" w:color="auto"/>
              <w:bottom w:val="single" w:sz="4" w:space="0" w:color="auto"/>
            </w:tcBorders>
          </w:tcPr>
          <w:p w14:paraId="5A2A55D4" w14:textId="64D3283B" w:rsidR="00521171" w:rsidRPr="00981DC5" w:rsidRDefault="00521171" w:rsidP="00B11A05">
            <w:pPr>
              <w:adjustRightInd w:val="0"/>
              <w:snapToGrid w:val="0"/>
              <w:spacing w:line="360" w:lineRule="auto"/>
              <w:jc w:val="both"/>
              <w:rPr>
                <w:rFonts w:ascii="Book Antiqua" w:hAnsi="Book Antiqua"/>
                <w:color w:val="000000" w:themeColor="text1"/>
                <w:sz w:val="24"/>
                <w:szCs w:val="24"/>
                <w:lang w:val="en-US"/>
              </w:rPr>
            </w:pPr>
            <w:r w:rsidRPr="00981DC5">
              <w:rPr>
                <w:rFonts w:ascii="Book Antiqua" w:hAnsi="Book Antiqua" w:cs="Calibri"/>
                <w:b/>
                <w:color w:val="000000" w:themeColor="text1"/>
                <w:sz w:val="24"/>
                <w:szCs w:val="24"/>
                <w:lang w:val="en-US"/>
              </w:rPr>
              <w:t>Mean conversion factor (</w:t>
            </w:r>
            <w:r w:rsidR="00AD5BBD" w:rsidRPr="00981DC5">
              <w:rPr>
                <w:rFonts w:ascii="Book Antiqua" w:hAnsi="Book Antiqua" w:cs="Calibri"/>
                <w:b/>
                <w:i/>
                <w:iCs/>
                <w:color w:val="000000" w:themeColor="text1"/>
                <w:sz w:val="24"/>
                <w:szCs w:val="24"/>
                <w:lang w:val="en-US"/>
              </w:rPr>
              <w:t>P</w:t>
            </w:r>
            <w:r w:rsidR="00AD5BBD" w:rsidRPr="00981DC5">
              <w:rPr>
                <w:rFonts w:ascii="Book Antiqua" w:hAnsi="Book Antiqua" w:cs="Calibri"/>
                <w:b/>
                <w:color w:val="000000" w:themeColor="text1"/>
                <w:sz w:val="24"/>
                <w:szCs w:val="24"/>
                <w:lang w:val="en-US"/>
              </w:rPr>
              <w:t xml:space="preserve"> </w:t>
            </w:r>
            <w:r w:rsidRPr="00981DC5">
              <w:rPr>
                <w:rFonts w:ascii="Book Antiqua" w:hAnsi="Book Antiqua" w:cs="Calibri"/>
                <w:b/>
                <w:color w:val="000000" w:themeColor="text1"/>
                <w:sz w:val="24"/>
                <w:szCs w:val="24"/>
                <w:lang w:val="en-US"/>
              </w:rPr>
              <w:t>=</w:t>
            </w:r>
            <w:r w:rsidR="00AD5BBD" w:rsidRPr="00981DC5">
              <w:rPr>
                <w:rFonts w:ascii="Book Antiqua" w:hAnsi="Book Antiqua" w:cs="Calibri"/>
                <w:b/>
                <w:color w:val="000000" w:themeColor="text1"/>
                <w:sz w:val="24"/>
                <w:szCs w:val="24"/>
                <w:lang w:val="en-US"/>
              </w:rPr>
              <w:t xml:space="preserve"> </w:t>
            </w:r>
            <w:r w:rsidRPr="00981DC5">
              <w:rPr>
                <w:rFonts w:ascii="Book Antiqua" w:hAnsi="Book Antiqua" w:cs="Calibri"/>
                <w:b/>
                <w:color w:val="000000" w:themeColor="text1"/>
                <w:sz w:val="24"/>
                <w:szCs w:val="24"/>
                <w:lang w:val="en-US"/>
              </w:rPr>
              <w:t>0.626)</w:t>
            </w:r>
          </w:p>
        </w:tc>
      </w:tr>
      <w:tr w:rsidR="00981DC5" w:rsidRPr="00981DC5" w14:paraId="6F2211FA" w14:textId="77777777" w:rsidTr="00EB33B3">
        <w:trPr>
          <w:trHeight w:val="577"/>
        </w:trPr>
        <w:tc>
          <w:tcPr>
            <w:tcW w:w="1861" w:type="dxa"/>
            <w:vMerge w:val="restart"/>
            <w:tcBorders>
              <w:top w:val="single" w:sz="4" w:space="0" w:color="auto"/>
            </w:tcBorders>
            <w:vAlign w:val="center"/>
          </w:tcPr>
          <w:p w14:paraId="12F6EDA9" w14:textId="01BA37DB" w:rsidR="00521171" w:rsidRPr="00981DC5" w:rsidRDefault="00521171" w:rsidP="00B11A05">
            <w:pPr>
              <w:adjustRightInd w:val="0"/>
              <w:snapToGrid w:val="0"/>
              <w:spacing w:line="360" w:lineRule="auto"/>
              <w:jc w:val="both"/>
              <w:rPr>
                <w:rFonts w:ascii="Book Antiqua" w:hAnsi="Book Antiqua"/>
                <w:color w:val="000000" w:themeColor="text1"/>
                <w:sz w:val="24"/>
                <w:szCs w:val="24"/>
                <w:lang w:val="en-US"/>
              </w:rPr>
            </w:pPr>
            <w:r w:rsidRPr="00981DC5">
              <w:rPr>
                <w:rFonts w:ascii="Book Antiqua" w:hAnsi="Book Antiqua" w:cs="Calibri"/>
                <w:color w:val="000000" w:themeColor="text1"/>
                <w:sz w:val="24"/>
                <w:szCs w:val="24"/>
                <w:lang w:val="en-US"/>
              </w:rPr>
              <w:t xml:space="preserve">k </w:t>
            </w:r>
            <w:r w:rsidR="00EB33B3" w:rsidRPr="00981DC5">
              <w:rPr>
                <w:rFonts w:ascii="Book Antiqua" w:hAnsi="Book Antiqua" w:cs="Calibri"/>
                <w:i/>
                <w:color w:val="000000" w:themeColor="text1"/>
                <w:sz w:val="24"/>
                <w:szCs w:val="24"/>
                <w:lang w:val="en-US"/>
              </w:rPr>
              <w:t>vs</w:t>
            </w:r>
            <w:r w:rsidRPr="00981DC5">
              <w:rPr>
                <w:rFonts w:ascii="Book Antiqua" w:hAnsi="Book Antiqua" w:cs="Calibri"/>
                <w:color w:val="000000" w:themeColor="text1"/>
                <w:sz w:val="24"/>
                <w:szCs w:val="24"/>
                <w:lang w:val="en-US"/>
              </w:rPr>
              <w:t xml:space="preserve"> FOLFOXIRI</w:t>
            </w:r>
          </w:p>
        </w:tc>
        <w:tc>
          <w:tcPr>
            <w:tcW w:w="1884" w:type="dxa"/>
            <w:tcBorders>
              <w:top w:val="single" w:sz="4" w:space="0" w:color="auto"/>
            </w:tcBorders>
            <w:vAlign w:val="center"/>
          </w:tcPr>
          <w:p w14:paraId="2608360D" w14:textId="3E699404" w:rsidR="00521171" w:rsidRPr="00981DC5" w:rsidRDefault="00521171"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s="Calibri"/>
                <w:color w:val="000000" w:themeColor="text1"/>
                <w:sz w:val="24"/>
                <w:szCs w:val="24"/>
                <w:lang w:val="en-US"/>
              </w:rPr>
              <w:t xml:space="preserve">Conroy </w:t>
            </w:r>
            <w:r w:rsidRPr="00981DC5">
              <w:rPr>
                <w:rFonts w:ascii="Book Antiqua" w:hAnsi="Book Antiqua" w:cs="Calibri"/>
                <w:i/>
                <w:iCs/>
                <w:color w:val="000000" w:themeColor="text1"/>
                <w:sz w:val="24"/>
                <w:szCs w:val="24"/>
                <w:lang w:val="en-US"/>
              </w:rPr>
              <w:t>et al</w:t>
            </w:r>
            <w:r w:rsidR="00EB33B3" w:rsidRPr="00981DC5">
              <w:rPr>
                <w:rFonts w:ascii="Book Antiqua" w:hAnsi="Book Antiqua" w:cs="Calibri"/>
                <w:color w:val="000000" w:themeColor="text1"/>
                <w:sz w:val="24"/>
                <w:szCs w:val="24"/>
                <w:vertAlign w:val="superscript"/>
                <w:lang w:val="en-US"/>
              </w:rPr>
              <w:fldChar w:fldCharType="begin" w:fldLock="1"/>
            </w:r>
            <w:r w:rsidR="00EB33B3" w:rsidRPr="00981DC5">
              <w:rPr>
                <w:rFonts w:ascii="Book Antiqua" w:hAnsi="Book Antiqua" w:cs="Calibri"/>
                <w:color w:val="000000" w:themeColor="text1"/>
                <w:sz w:val="24"/>
                <w:szCs w:val="24"/>
                <w:vertAlign w:val="superscript"/>
                <w:lang w:val="en-US"/>
              </w:rPr>
              <w:instrText>ADDIN CSL_CITATION {"citationItems":[{"id":"ITEM-1","itemData":{"DOI":"10.1056/NEJMoa1011923","ISSN":"15334406","PMID":"21561347","abstract":"BACKGROUND: Data are lacking on the efficacy and safety of a combination chemotherapy regimen consisting of oxaliplatin, irinotecan, fluorouracil, and leucovorin (FOLFIRINOX) as compared with gemcitabine as first-line therapy in patients with metastatic pancreatic cancer. METHODS: We randomly assigned 342 patients with an Eastern Cooperative Oncology Group performance status score of 0 or 1 (on a scale of 0 to 5, with higher scores indicating a greater severity of illness) to receive FOLFIRINOX (oxaliplatin, 85 mg per square meter of body-surface area; irinotecan, 180 mg per square meter; leucovorin, 400 mg per square meter; and fluorouracil, 400 mg per square meter given as a bolus followed by 2400 mg per square meter given as a 46-hour continuous infusion, every 2 weeks) or gemcitabine at a dose of 1000 mg per square meter weekly for 7 of 8 weeks and then weekly for 3 of 4 weeks. Six months of chemotherapy were recommended in both groups in patients who had a response. The primary end point was overall survival. RESULTS: The median overall survival was 11.1 months in the FOLFIRINOX group as compared with 6.8 months in the gemcitabine group (hazard ratio for death, 0.57; 95% confidence interval [CI], 0.45 to 0.73; P&lt;0.001). Median progression-free survival was 6.4 months in the FOLFIRINOX group and 3.3 months in the gemcitabine group (hazard ratio for disease progression, 0.47; 95% CI, 0.37 to 0.59; P&lt;0.001). The objective response rate was 31.6% in the FOLFIRINOX group versus 9.4% in the gemcitabine group (P&lt;0.001). More adverse events were noted in the FOLFIRINOX group; 5.4% of patients in this group had febrile neutropenia. At 6 months, 31% of the patients in the FOLFIRINOX group had a definitive degradation of the quality of life versus 66% in the gemcitabine group (hazard ratio, 0.47; 95% CI, 0.30 to 0.70; P&lt;0.001). CONCLUSIONS: As compared with gemcitabine, FOLFIRINOX was associated with a survival advantage and had increased toxicity. FOLFIRINOX is an option for the treatment of patients with metastatic pancreatic cancer and good performance status. (Funded by the French government and others; ClinicalTrials.gov number, NCT00112658.) Copyright © 2011 Massachusetts Medical Society.","author":[{"dropping-particle":"","family":"Conroy","given":"Thierry","non-dropping-particle":"","parse-names":false,"suffix":""},{"dropping-particle":"","family":"Desseigne","given":"Françoise","non-dropping-particle":"","parse-names":false,"suffix":""},{"dropping-particle":"","family":"Ychou","given":"Marc","non-dropping-particle":"","parse-names":false,"suffix":""},{"dropping-particle":"","family":"Bouché","given":"Olivier","non-dropping-particle":"","parse-names":false,"suffix":""},{"dropping-particle":"","family":"Guimbaud","given":"Rosine","non-dropping-particle":"","parse-names":false,"suffix":""},{"dropping-particle":"","family":"Bécouarn","given":"Yves","non-dropping-particle":"","parse-names":false,"suffix":""},{"dropping-particle":"","family":"Adenis","given":"Antoine","non-dropping-particle":"","parse-names":false,"suffix":""},{"dropping-particle":"","family":"Raoul","given":"Jean Luc","non-dropping-particle":"","parse-names":false,"suffix":""},{"dropping-particle":"","family":"Gourgou-Bourgade","given":"Sophie","non-dropping-particle":"","parse-names":false,"suffix":""},{"dropping-particle":"","family":"La Fouchardière","given":"Christelle","non-dropping-particle":"De","parse-names":false,"suffix":""},{"dropping-particle":"","family":"Bennouna","given":"Jaafar","non-dropping-particle":"","parse-names":false,"suffix":""},{"dropping-particle":"","family":"Bachet","given":"Jean Baptiste","non-dropping-particle":"","parse-names":false,"suffix":""},{"dropping-particle":"","family":"Khemissa-Akouz","given":"Faiza","non-dropping-particle":"","parse-names":false,"suffix":""},{"dropping-particle":"","family":"Péré-Vergé","given":"Denis","non-dropping-particle":"","parse-names":false,"suffix":""},{"dropping-particle":"","family":"Delbaldo","given":"Catherine","non-dropping-particle":"","parse-names":false,"suffix":""},{"dropping-particle":"","family":"Assenat","given":"Eric","non-dropping-particle":"","parse-names":false,"suffix":""},{"dropping-particle":"","family":"Chauffert","given":"Bruno","non-dropping-particle":"","parse-names":false,"suffix":""},{"dropping-particle":"","family":"Michel","given":"Pierre","non-dropping-particle":"","parse-names":false,"suffix":""},{"dropping-particle":"","family":"Montoto-Grillot","given":"Christine","non-dropping-particle":"","parse-names":false,"suffix":""},{"dropping-particle":"","family":"Ducreux","given":"Michel","non-dropping-particle":"","parse-names":false,"suffix":""}],"container-title":"New England Journal of Medicine","id":"ITEM-1","issue":"19","issued":{"date-parts":[["2011","5","12"]]},"page":"1817-1825","publisher":"Massachussetts Medical Society","title":"FOLFIRINOX versus gemcitabine for metastatic pancreatic cancer","type":"article-journal","volume":"364"},"uris":["http://www.mendeley.com/documents/?uuid=79115611-6660-388d-8f90-b6d1dd896e88"]}],"mendeley":{"formattedCitation":"&lt;sup&gt;[7]&lt;/sup&gt;","plainTextFormattedCitation":"[7]","previouslyFormattedCitation":"&lt;sup&gt;[7]&lt;/sup&gt;"},"properties":{"noteIndex":0},"schema":"https://github.com/citation-style-language/schema/raw/master/csl-citation.json"}</w:instrText>
            </w:r>
            <w:r w:rsidR="00EB33B3" w:rsidRPr="00981DC5">
              <w:rPr>
                <w:rFonts w:ascii="Book Antiqua" w:hAnsi="Book Antiqua" w:cs="Calibri"/>
                <w:color w:val="000000" w:themeColor="text1"/>
                <w:sz w:val="24"/>
                <w:szCs w:val="24"/>
                <w:vertAlign w:val="superscript"/>
                <w:lang w:val="en-US"/>
              </w:rPr>
              <w:fldChar w:fldCharType="separate"/>
            </w:r>
            <w:r w:rsidR="00EB33B3" w:rsidRPr="00981DC5">
              <w:rPr>
                <w:rFonts w:ascii="Book Antiqua" w:hAnsi="Book Antiqua" w:cs="Calibri"/>
                <w:noProof/>
                <w:color w:val="000000" w:themeColor="text1"/>
                <w:sz w:val="24"/>
                <w:szCs w:val="24"/>
                <w:vertAlign w:val="superscript"/>
                <w:lang w:val="en-US"/>
              </w:rPr>
              <w:t>[7]</w:t>
            </w:r>
            <w:r w:rsidR="00EB33B3" w:rsidRPr="00981DC5">
              <w:rPr>
                <w:rFonts w:ascii="Book Antiqua" w:hAnsi="Book Antiqua" w:cs="Calibri"/>
                <w:color w:val="000000" w:themeColor="text1"/>
                <w:sz w:val="24"/>
                <w:szCs w:val="24"/>
                <w:vertAlign w:val="superscript"/>
                <w:lang w:val="en-US"/>
              </w:rPr>
              <w:fldChar w:fldCharType="end"/>
            </w:r>
            <w:r w:rsidR="00EB33B3" w:rsidRPr="00981DC5">
              <w:rPr>
                <w:rFonts w:ascii="Book Antiqua" w:hAnsi="Book Antiqua" w:cs="Calibri"/>
                <w:color w:val="000000" w:themeColor="text1"/>
                <w:sz w:val="24"/>
                <w:szCs w:val="24"/>
                <w:lang w:val="en-US"/>
              </w:rPr>
              <w:t>,</w:t>
            </w:r>
            <w:r w:rsidRPr="00981DC5">
              <w:rPr>
                <w:rFonts w:ascii="Book Antiqua" w:hAnsi="Book Antiqua" w:cs="Calibri"/>
                <w:color w:val="000000" w:themeColor="text1"/>
                <w:sz w:val="24"/>
                <w:szCs w:val="24"/>
                <w:lang w:val="en-US"/>
              </w:rPr>
              <w:t xml:space="preserve"> 2011</w:t>
            </w:r>
            <w:r w:rsidR="00EB33B3" w:rsidRPr="00981DC5">
              <w:rPr>
                <w:rFonts w:ascii="Book Antiqua" w:hAnsi="Book Antiqua" w:cs="Calibri"/>
                <w:color w:val="000000" w:themeColor="text1"/>
                <w:sz w:val="24"/>
                <w:szCs w:val="24"/>
                <w:lang w:val="en-US"/>
              </w:rPr>
              <w:t xml:space="preserve"> </w:t>
            </w:r>
          </w:p>
        </w:tc>
        <w:tc>
          <w:tcPr>
            <w:tcW w:w="1894" w:type="dxa"/>
            <w:tcBorders>
              <w:top w:val="single" w:sz="4" w:space="0" w:color="auto"/>
            </w:tcBorders>
            <w:vAlign w:val="center"/>
          </w:tcPr>
          <w:p w14:paraId="240E5968" w14:textId="77777777" w:rsidR="00521171" w:rsidRPr="00981DC5" w:rsidRDefault="00521171"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s="Calibri"/>
                <w:color w:val="000000" w:themeColor="text1"/>
                <w:sz w:val="24"/>
                <w:szCs w:val="24"/>
                <w:lang w:val="en-US"/>
              </w:rPr>
              <w:t>31</w:t>
            </w:r>
          </w:p>
        </w:tc>
        <w:tc>
          <w:tcPr>
            <w:tcW w:w="2123" w:type="dxa"/>
            <w:tcBorders>
              <w:top w:val="single" w:sz="4" w:space="0" w:color="auto"/>
            </w:tcBorders>
            <w:vAlign w:val="center"/>
          </w:tcPr>
          <w:p w14:paraId="5588A599" w14:textId="77777777" w:rsidR="00521171" w:rsidRPr="00981DC5" w:rsidRDefault="00521171"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s="Calibri"/>
                <w:color w:val="000000" w:themeColor="text1"/>
                <w:sz w:val="24"/>
                <w:szCs w:val="24"/>
                <w:lang w:val="en-US"/>
              </w:rPr>
              <w:t>-60.1</w:t>
            </w:r>
          </w:p>
        </w:tc>
        <w:tc>
          <w:tcPr>
            <w:tcW w:w="1860" w:type="dxa"/>
            <w:vMerge w:val="restart"/>
            <w:tcBorders>
              <w:top w:val="single" w:sz="4" w:space="0" w:color="auto"/>
            </w:tcBorders>
            <w:vAlign w:val="center"/>
          </w:tcPr>
          <w:p w14:paraId="7645CEF9" w14:textId="77777777" w:rsidR="00521171" w:rsidRPr="00981DC5" w:rsidRDefault="00521171" w:rsidP="00B11A05">
            <w:pPr>
              <w:adjustRightInd w:val="0"/>
              <w:snapToGrid w:val="0"/>
              <w:spacing w:line="360" w:lineRule="auto"/>
              <w:jc w:val="both"/>
              <w:rPr>
                <w:rFonts w:ascii="Book Antiqua" w:hAnsi="Book Antiqua"/>
                <w:color w:val="000000" w:themeColor="text1"/>
                <w:sz w:val="24"/>
                <w:szCs w:val="24"/>
                <w:lang w:val="en-US"/>
              </w:rPr>
            </w:pPr>
            <w:r w:rsidRPr="00981DC5">
              <w:rPr>
                <w:rFonts w:ascii="Book Antiqua" w:hAnsi="Book Antiqua" w:cs="Calibri"/>
                <w:color w:val="000000" w:themeColor="text1"/>
                <w:sz w:val="24"/>
                <w:szCs w:val="24"/>
                <w:lang w:val="en-US"/>
              </w:rPr>
              <w:t>-60.4</w:t>
            </w:r>
          </w:p>
        </w:tc>
      </w:tr>
      <w:tr w:rsidR="00981DC5" w:rsidRPr="00981DC5" w14:paraId="24070E66" w14:textId="77777777" w:rsidTr="00EB33B3">
        <w:tc>
          <w:tcPr>
            <w:tcW w:w="1861" w:type="dxa"/>
            <w:vMerge/>
            <w:vAlign w:val="center"/>
          </w:tcPr>
          <w:p w14:paraId="091896D7" w14:textId="77777777" w:rsidR="00521171" w:rsidRPr="00981DC5" w:rsidRDefault="00521171" w:rsidP="00B11A05">
            <w:pPr>
              <w:adjustRightInd w:val="0"/>
              <w:snapToGrid w:val="0"/>
              <w:spacing w:line="360" w:lineRule="auto"/>
              <w:jc w:val="both"/>
              <w:rPr>
                <w:rFonts w:ascii="Book Antiqua" w:hAnsi="Book Antiqua"/>
                <w:color w:val="000000" w:themeColor="text1"/>
                <w:sz w:val="24"/>
                <w:szCs w:val="24"/>
                <w:lang w:val="en-US"/>
              </w:rPr>
            </w:pPr>
          </w:p>
        </w:tc>
        <w:tc>
          <w:tcPr>
            <w:tcW w:w="1884" w:type="dxa"/>
            <w:vAlign w:val="center"/>
          </w:tcPr>
          <w:p w14:paraId="0F5F62B1" w14:textId="6B7A7352" w:rsidR="00521171" w:rsidRPr="00981DC5" w:rsidRDefault="00521171"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s="Calibri"/>
                <w:color w:val="000000" w:themeColor="text1"/>
                <w:sz w:val="24"/>
                <w:szCs w:val="24"/>
                <w:lang w:val="en-US"/>
              </w:rPr>
              <w:t xml:space="preserve">Tong </w:t>
            </w:r>
            <w:r w:rsidR="00EB33B3" w:rsidRPr="00981DC5">
              <w:rPr>
                <w:rFonts w:ascii="Book Antiqua" w:hAnsi="Book Antiqua" w:cs="Calibri"/>
                <w:i/>
                <w:iCs/>
                <w:color w:val="000000" w:themeColor="text1"/>
                <w:sz w:val="24"/>
                <w:szCs w:val="24"/>
                <w:lang w:val="en-US"/>
              </w:rPr>
              <w:t>et al</w:t>
            </w:r>
            <w:r w:rsidR="00EB33B3" w:rsidRPr="00981DC5">
              <w:rPr>
                <w:rFonts w:ascii="Book Antiqua" w:hAnsi="Book Antiqua" w:cs="Calibri"/>
                <w:color w:val="000000" w:themeColor="text1"/>
                <w:sz w:val="24"/>
                <w:szCs w:val="24"/>
                <w:vertAlign w:val="superscript"/>
                <w:lang w:val="en-US"/>
              </w:rPr>
              <w:fldChar w:fldCharType="begin" w:fldLock="1"/>
            </w:r>
            <w:r w:rsidR="00EB33B3" w:rsidRPr="00981DC5">
              <w:rPr>
                <w:rFonts w:ascii="Book Antiqua" w:hAnsi="Book Antiqua" w:cs="Calibri"/>
                <w:color w:val="000000" w:themeColor="text1"/>
                <w:sz w:val="24"/>
                <w:szCs w:val="24"/>
                <w:vertAlign w:val="superscript"/>
                <w:lang w:val="en-US"/>
              </w:rPr>
              <w:instrText>ADDIN CSL_CITATION {"citationItems":[{"id":"ITEM-1","itemData":{"DOI":"10.1056/NEJMoa1011923","ISSN":"15334406","PMID":"21561347","abstract":"BACKGROUND: Data are lacking on the efficacy and safety of a combination chemotherapy regimen consisting of oxaliplatin, irinotecan, fluorouracil, and leucovorin (FOLFIRINOX) as compared with gemcitabine as first-line therapy in patients with metastatic pancreatic cancer. METHODS: We randomly assigned 342 patients with an Eastern Cooperative Oncology Group performance status score of 0 or 1 (on a scale of 0 to 5, with higher scores indicating a greater severity of illness) to receive FOLFIRINOX (oxaliplatin, 85 mg per square meter of body-surface area; irinotecan, 180 mg per square meter; leucovorin, 400 mg per square meter; and fluorouracil, 400 mg per square meter given as a bolus followed by 2400 mg per square meter given as a 46-hour continuous infusion, every 2 weeks) or gemcitabine at a dose of 1000 mg per square meter weekly for 7 of 8 weeks and then weekly for 3 of 4 weeks. Six months of chemotherapy were recommended in both groups in patients who had a response. The primary end point was overall survival. RESULTS: The median overall survival was 11.1 months in the FOLFIRINOX group as compared with 6.8 months in the gemcitabine group (hazard ratio for death, 0.57; 95% confidence interval [CI], 0.45 to 0.73; P&lt;0.001). Median progression-free survival was 6.4 months in the FOLFIRINOX group and 3.3 months in the gemcitabine group (hazard ratio for disease progression, 0.47; 95% CI, 0.37 to 0.59; P&lt;0.001). The objective response rate was 31.6% in the FOLFIRINOX group versus 9.4% in the gemcitabine group (P&lt;0.001). More adverse events were noted in the FOLFIRINOX group; 5.4% of patients in this group had febrile neutropenia. At 6 months, 31% of the patients in the FOLFIRINOX group had a definitive degradation of the quality of life versus 66% in the gemcitabine group (hazard ratio, 0.47; 95% CI, 0.30 to 0.70; P&lt;0.001). CONCLUSIONS: As compared with gemcitabine, FOLFIRINOX was associated with a survival advantage and had increased toxicity. FOLFIRINOX is an option for the treatment of patients with metastatic pancreatic cancer and good performance status. (Funded by the French government and others; ClinicalTrials.gov number, NCT00112658.) Copyright © 2011 Massachusetts Medical Society.","author":[{"dropping-particle":"","family":"Conroy","given":"Thierry","non-dropping-particle":"","parse-names":false,"suffix":""},{"dropping-particle":"","family":"Desseigne","given":"Françoise","non-dropping-particle":"","parse-names":false,"suffix":""},{"dropping-particle":"","family":"Ychou","given":"Marc","non-dropping-particle":"","parse-names":false,"suffix":""},{"dropping-particle":"","family":"Bouché","given":"Olivier","non-dropping-particle":"","parse-names":false,"suffix":""},{"dropping-particle":"","family":"Guimbaud","given":"Rosine","non-dropping-particle":"","parse-names":false,"suffix":""},{"dropping-particle":"","family":"Bécouarn","given":"Yves","non-dropping-particle":"","parse-names":false,"suffix":""},{"dropping-particle":"","family":"Adenis","given":"Antoine","non-dropping-particle":"","parse-names":false,"suffix":""},{"dropping-particle":"","family":"Raoul","given":"Jean Luc","non-dropping-particle":"","parse-names":false,"suffix":""},{"dropping-particle":"","family":"Gourgou-Bourgade","given":"Sophie","non-dropping-particle":"","parse-names":false,"suffix":""},{"dropping-particle":"","family":"La Fouchardière","given":"Christelle","non-dropping-particle":"De","parse-names":false,"suffix":""},{"dropping-particle":"","family":"Bennouna","given":"Jaafar","non-dropping-particle":"","parse-names":false,"suffix":""},{"dropping-particle":"","family":"Bachet","given":"Jean Baptiste","non-dropping-particle":"","parse-names":false,"suffix":""},{"dropping-particle":"","family":"Khemissa-Akouz","given":"Faiza","non-dropping-particle":"","parse-names":false,"suffix":""},{"dropping-particle":"","family":"Péré-Vergé","given":"Denis","non-dropping-particle":"","parse-names":false,"suffix":""},{"dropping-particle":"","family":"Delbaldo","given":"Catherine","non-dropping-particle":"","parse-names":false,"suffix":""},{"dropping-particle":"","family":"Assenat","given":"Eric","non-dropping-particle":"","parse-names":false,"suffix":""},{"dropping-particle":"","family":"Chauffert","given":"Bruno","non-dropping-particle":"","parse-names":false,"suffix":""},{"dropping-particle":"","family":"Michel","given":"Pierre","non-dropping-particle":"","parse-names":false,"suffix":""},{"dropping-particle":"","family":"Montoto-Grillot","given":"Christine","non-dropping-particle":"","parse-names":false,"suffix":""},{"dropping-particle":"","family":"Ducreux","given":"Michel","non-dropping-particle":"","parse-names":false,"suffix":""}],"container-title":"New England Journal of Medicine","id":"ITEM-1","issue":"19","issued":{"date-parts":[["2011","5","12"]]},"page":"1817-1825","publisher":"Massachussetts Medical Society","title":"FOLFIRINOX versus gemcitabine for metastatic pancreatic cancer","type":"article-journal","volume":"364"},"uris":["http://www.mendeley.com/documents/?uuid=79115611-6660-388d-8f90-b6d1dd896e88"]}],"mendeley":{"formattedCitation":"&lt;sup&gt;[7]&lt;/sup&gt;","plainTextFormattedCitation":"[7]","previouslyFormattedCitation":"&lt;sup&gt;[7]&lt;/sup&gt;"},"properties":{"noteIndex":0},"schema":"https://github.com/citation-style-language/schema/raw/master/csl-citation.json"}</w:instrText>
            </w:r>
            <w:r w:rsidR="00EB33B3" w:rsidRPr="00981DC5">
              <w:rPr>
                <w:rFonts w:ascii="Book Antiqua" w:hAnsi="Book Antiqua" w:cs="Calibri"/>
                <w:color w:val="000000" w:themeColor="text1"/>
                <w:sz w:val="24"/>
                <w:szCs w:val="24"/>
                <w:vertAlign w:val="superscript"/>
                <w:lang w:val="en-US"/>
              </w:rPr>
              <w:fldChar w:fldCharType="separate"/>
            </w:r>
            <w:r w:rsidR="00EB33B3" w:rsidRPr="00981DC5">
              <w:rPr>
                <w:rFonts w:ascii="Book Antiqua" w:hAnsi="Book Antiqua" w:cs="Calibri"/>
                <w:noProof/>
                <w:color w:val="000000" w:themeColor="text1"/>
                <w:sz w:val="24"/>
                <w:szCs w:val="24"/>
                <w:vertAlign w:val="superscript"/>
                <w:lang w:val="en-US"/>
              </w:rPr>
              <w:t>[40]</w:t>
            </w:r>
            <w:r w:rsidR="00EB33B3" w:rsidRPr="00981DC5">
              <w:rPr>
                <w:rFonts w:ascii="Book Antiqua" w:hAnsi="Book Antiqua" w:cs="Calibri"/>
                <w:color w:val="000000" w:themeColor="text1"/>
                <w:sz w:val="24"/>
                <w:szCs w:val="24"/>
                <w:vertAlign w:val="superscript"/>
                <w:lang w:val="en-US"/>
              </w:rPr>
              <w:fldChar w:fldCharType="end"/>
            </w:r>
            <w:r w:rsidR="00EB33B3" w:rsidRPr="00981DC5">
              <w:rPr>
                <w:rFonts w:ascii="Book Antiqua" w:hAnsi="Book Antiqua" w:cs="Calibri"/>
                <w:color w:val="000000" w:themeColor="text1"/>
                <w:sz w:val="24"/>
                <w:szCs w:val="24"/>
                <w:lang w:val="en-US"/>
              </w:rPr>
              <w:t>, 2018</w:t>
            </w:r>
          </w:p>
        </w:tc>
        <w:tc>
          <w:tcPr>
            <w:tcW w:w="1894" w:type="dxa"/>
            <w:vAlign w:val="center"/>
          </w:tcPr>
          <w:p w14:paraId="5959D6B3" w14:textId="77777777" w:rsidR="00521171" w:rsidRPr="00981DC5" w:rsidRDefault="00521171"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s="Calibri"/>
                <w:color w:val="000000" w:themeColor="text1"/>
                <w:sz w:val="24"/>
                <w:szCs w:val="24"/>
                <w:lang w:val="en-US"/>
              </w:rPr>
              <w:t>35.9</w:t>
            </w:r>
          </w:p>
        </w:tc>
        <w:tc>
          <w:tcPr>
            <w:tcW w:w="2123" w:type="dxa"/>
            <w:vAlign w:val="center"/>
          </w:tcPr>
          <w:p w14:paraId="668E65EB" w14:textId="77777777" w:rsidR="00521171" w:rsidRPr="00981DC5" w:rsidRDefault="00521171"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s="Calibri"/>
                <w:color w:val="000000" w:themeColor="text1"/>
                <w:sz w:val="24"/>
                <w:szCs w:val="24"/>
                <w:lang w:val="en-US"/>
              </w:rPr>
              <w:t>-56.2</w:t>
            </w:r>
          </w:p>
        </w:tc>
        <w:tc>
          <w:tcPr>
            <w:tcW w:w="1860" w:type="dxa"/>
            <w:vMerge/>
            <w:vAlign w:val="center"/>
          </w:tcPr>
          <w:p w14:paraId="7FE8E0DA" w14:textId="77777777" w:rsidR="00521171" w:rsidRPr="00981DC5" w:rsidRDefault="00521171" w:rsidP="00B11A05">
            <w:pPr>
              <w:adjustRightInd w:val="0"/>
              <w:snapToGrid w:val="0"/>
              <w:spacing w:line="360" w:lineRule="auto"/>
              <w:jc w:val="both"/>
              <w:rPr>
                <w:rFonts w:ascii="Book Antiqua" w:hAnsi="Book Antiqua"/>
                <w:color w:val="000000" w:themeColor="text1"/>
                <w:sz w:val="24"/>
                <w:szCs w:val="24"/>
                <w:lang w:val="en-US"/>
              </w:rPr>
            </w:pPr>
          </w:p>
        </w:tc>
      </w:tr>
      <w:tr w:rsidR="00981DC5" w:rsidRPr="00981DC5" w14:paraId="21684E4B" w14:textId="77777777" w:rsidTr="00EB33B3">
        <w:tc>
          <w:tcPr>
            <w:tcW w:w="1861" w:type="dxa"/>
            <w:vMerge/>
            <w:vAlign w:val="center"/>
          </w:tcPr>
          <w:p w14:paraId="3DC014A1" w14:textId="77777777" w:rsidR="00521171" w:rsidRPr="00981DC5" w:rsidRDefault="00521171" w:rsidP="00B11A05">
            <w:pPr>
              <w:adjustRightInd w:val="0"/>
              <w:snapToGrid w:val="0"/>
              <w:spacing w:line="360" w:lineRule="auto"/>
              <w:jc w:val="both"/>
              <w:rPr>
                <w:rFonts w:ascii="Book Antiqua" w:hAnsi="Book Antiqua"/>
                <w:color w:val="000000" w:themeColor="text1"/>
                <w:sz w:val="24"/>
                <w:szCs w:val="24"/>
                <w:lang w:val="en-US"/>
              </w:rPr>
            </w:pPr>
          </w:p>
        </w:tc>
        <w:tc>
          <w:tcPr>
            <w:tcW w:w="1884" w:type="dxa"/>
            <w:vAlign w:val="center"/>
          </w:tcPr>
          <w:p w14:paraId="0CE43976" w14:textId="1506A49D" w:rsidR="00521171" w:rsidRPr="00981DC5" w:rsidRDefault="00521171"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s="Calibri"/>
                <w:color w:val="000000" w:themeColor="text1"/>
                <w:sz w:val="24"/>
                <w:szCs w:val="24"/>
                <w:lang w:val="en-US"/>
              </w:rPr>
              <w:t xml:space="preserve">Lakatos </w:t>
            </w:r>
            <w:r w:rsidR="00EB33B3" w:rsidRPr="00981DC5">
              <w:rPr>
                <w:rFonts w:ascii="Book Antiqua" w:hAnsi="Book Antiqua" w:cs="Calibri"/>
                <w:i/>
                <w:iCs/>
                <w:color w:val="000000" w:themeColor="text1"/>
                <w:sz w:val="24"/>
                <w:szCs w:val="24"/>
                <w:lang w:val="en-US"/>
              </w:rPr>
              <w:t>et al</w:t>
            </w:r>
            <w:r w:rsidR="00EB33B3" w:rsidRPr="00981DC5">
              <w:rPr>
                <w:rFonts w:ascii="Book Antiqua" w:hAnsi="Book Antiqua" w:cs="Calibri"/>
                <w:color w:val="000000" w:themeColor="text1"/>
                <w:sz w:val="24"/>
                <w:szCs w:val="24"/>
                <w:vertAlign w:val="superscript"/>
                <w:lang w:val="en-US"/>
              </w:rPr>
              <w:fldChar w:fldCharType="begin" w:fldLock="1"/>
            </w:r>
            <w:r w:rsidR="00EB33B3" w:rsidRPr="00981DC5">
              <w:rPr>
                <w:rFonts w:ascii="Book Antiqua" w:hAnsi="Book Antiqua" w:cs="Calibri"/>
                <w:color w:val="000000" w:themeColor="text1"/>
                <w:sz w:val="24"/>
                <w:szCs w:val="24"/>
                <w:vertAlign w:val="superscript"/>
                <w:lang w:val="en-US"/>
              </w:rPr>
              <w:instrText>ADDIN CSL_CITATION {"citationItems":[{"id":"ITEM-1","itemData":{"DOI":"10.1056/NEJMoa1011923","ISSN":"15334406","PMID":"21561347","abstract":"BACKGROUND: Data are lacking on the efficacy and safety of a combination chemotherapy regimen consisting of oxaliplatin, irinotecan, fluorouracil, and leucovorin (FOLFIRINOX) as compared with gemcitabine as first-line therapy in patients with metastatic pancreatic cancer. METHODS: We randomly assigned 342 patients with an Eastern Cooperative Oncology Group performance status score of 0 or 1 (on a scale of 0 to 5, with higher scores indicating a greater severity of illness) to receive FOLFIRINOX (oxaliplatin, 85 mg per square meter of body-surface area; irinotecan, 180 mg per square meter; leucovorin, 400 mg per square meter; and fluorouracil, 400 mg per square meter given as a bolus followed by 2400 mg per square meter given as a 46-hour continuous infusion, every 2 weeks) or gemcitabine at a dose of 1000 mg per square meter weekly for 7 of 8 weeks and then weekly for 3 of 4 weeks. Six months of chemotherapy were recommended in both groups in patients who had a response. The primary end point was overall survival. RESULTS: The median overall survival was 11.1 months in the FOLFIRINOX group as compared with 6.8 months in the gemcitabine group (hazard ratio for death, 0.57; 95% confidence interval [CI], 0.45 to 0.73; P&lt;0.001). Median progression-free survival was 6.4 months in the FOLFIRINOX group and 3.3 months in the gemcitabine group (hazard ratio for disease progression, 0.47; 95% CI, 0.37 to 0.59; P&lt;0.001). The objective response rate was 31.6% in the FOLFIRINOX group versus 9.4% in the gemcitabine group (P&lt;0.001). More adverse events were noted in the FOLFIRINOX group; 5.4% of patients in this group had febrile neutropenia. At 6 months, 31% of the patients in the FOLFIRINOX group had a definitive degradation of the quality of life versus 66% in the gemcitabine group (hazard ratio, 0.47; 95% CI, 0.30 to 0.70; P&lt;0.001). CONCLUSIONS: As compared with gemcitabine, FOLFIRINOX was associated with a survival advantage and had increased toxicity. FOLFIRINOX is an option for the treatment of patients with metastatic pancreatic cancer and good performance status. (Funded by the French government and others; ClinicalTrials.gov number, NCT00112658.) Copyright © 2011 Massachusetts Medical Society.","author":[{"dropping-particle":"","family":"Conroy","given":"Thierry","non-dropping-particle":"","parse-names":false,"suffix":""},{"dropping-particle":"","family":"Desseigne","given":"Françoise","non-dropping-particle":"","parse-names":false,"suffix":""},{"dropping-particle":"","family":"Ychou","given":"Marc","non-dropping-particle":"","parse-names":false,"suffix":""},{"dropping-particle":"","family":"Bouché","given":"Olivier","non-dropping-particle":"","parse-names":false,"suffix":""},{"dropping-particle":"","family":"Guimbaud","given":"Rosine","non-dropping-particle":"","parse-names":false,"suffix":""},{"dropping-particle":"","family":"Bécouarn","given":"Yves","non-dropping-particle":"","parse-names":false,"suffix":""},{"dropping-particle":"","family":"Adenis","given":"Antoine","non-dropping-particle":"","parse-names":false,"suffix":""},{"dropping-particle":"","family":"Raoul","given":"Jean Luc","non-dropping-particle":"","parse-names":false,"suffix":""},{"dropping-particle":"","family":"Gourgou-Bourgade","given":"Sophie","non-dropping-particle":"","parse-names":false,"suffix":""},{"dropping-particle":"","family":"La Fouchardière","given":"Christelle","non-dropping-particle":"De","parse-names":false,"suffix":""},{"dropping-particle":"","family":"Bennouna","given":"Jaafar","non-dropping-particle":"","parse-names":false,"suffix":""},{"dropping-particle":"","family":"Bachet","given":"Jean Baptiste","non-dropping-particle":"","parse-names":false,"suffix":""},{"dropping-particle":"","family":"Khemissa-Akouz","given":"Faiza","non-dropping-particle":"","parse-names":false,"suffix":""},{"dropping-particle":"","family":"Péré-Vergé","given":"Denis","non-dropping-particle":"","parse-names":false,"suffix":""},{"dropping-particle":"","family":"Delbaldo","given":"Catherine","non-dropping-particle":"","parse-names":false,"suffix":""},{"dropping-particle":"","family":"Assenat","given":"Eric","non-dropping-particle":"","parse-names":false,"suffix":""},{"dropping-particle":"","family":"Chauffert","given":"Bruno","non-dropping-particle":"","parse-names":false,"suffix":""},{"dropping-particle":"","family":"Michel","given":"Pierre","non-dropping-particle":"","parse-names":false,"suffix":""},{"dropping-particle":"","family":"Montoto-Grillot","given":"Christine","non-dropping-particle":"","parse-names":false,"suffix":""},{"dropping-particle":"","family":"Ducreux","given":"Michel","non-dropping-particle":"","parse-names":false,"suffix":""}],"container-title":"New England Journal of Medicine","id":"ITEM-1","issue":"19","issued":{"date-parts":[["2011","5","12"]]},"page":"1817-1825","publisher":"Massachussetts Medical Society","title":"FOLFIRINOX versus gemcitabine for metastatic pancreatic cancer","type":"article-journal","volume":"364"},"uris":["http://www.mendeley.com/documents/?uuid=79115611-6660-388d-8f90-b6d1dd896e88"]}],"mendeley":{"formattedCitation":"&lt;sup&gt;[7]&lt;/sup&gt;","plainTextFormattedCitation":"[7]","previouslyFormattedCitation":"&lt;sup&gt;[7]&lt;/sup&gt;"},"properties":{"noteIndex":0},"schema":"https://github.com/citation-style-language/schema/raw/master/csl-citation.json"}</w:instrText>
            </w:r>
            <w:r w:rsidR="00EB33B3" w:rsidRPr="00981DC5">
              <w:rPr>
                <w:rFonts w:ascii="Book Antiqua" w:hAnsi="Book Antiqua" w:cs="Calibri"/>
                <w:color w:val="000000" w:themeColor="text1"/>
                <w:sz w:val="24"/>
                <w:szCs w:val="24"/>
                <w:vertAlign w:val="superscript"/>
                <w:lang w:val="en-US"/>
              </w:rPr>
              <w:fldChar w:fldCharType="separate"/>
            </w:r>
            <w:r w:rsidR="00EB33B3" w:rsidRPr="00981DC5">
              <w:rPr>
                <w:rFonts w:ascii="Book Antiqua" w:hAnsi="Book Antiqua" w:cs="Calibri"/>
                <w:noProof/>
                <w:color w:val="000000" w:themeColor="text1"/>
                <w:sz w:val="24"/>
                <w:szCs w:val="24"/>
                <w:vertAlign w:val="superscript"/>
                <w:lang w:val="en-US"/>
              </w:rPr>
              <w:t>[41]</w:t>
            </w:r>
            <w:r w:rsidR="00EB33B3" w:rsidRPr="00981DC5">
              <w:rPr>
                <w:rFonts w:ascii="Book Antiqua" w:hAnsi="Book Antiqua" w:cs="Calibri"/>
                <w:color w:val="000000" w:themeColor="text1"/>
                <w:sz w:val="24"/>
                <w:szCs w:val="24"/>
                <w:vertAlign w:val="superscript"/>
                <w:lang w:val="en-US"/>
              </w:rPr>
              <w:fldChar w:fldCharType="end"/>
            </w:r>
            <w:r w:rsidR="00EB33B3" w:rsidRPr="00981DC5">
              <w:rPr>
                <w:rFonts w:ascii="Book Antiqua" w:hAnsi="Book Antiqua" w:cs="Calibri"/>
                <w:color w:val="000000" w:themeColor="text1"/>
                <w:sz w:val="24"/>
                <w:szCs w:val="24"/>
                <w:lang w:val="en-US"/>
              </w:rPr>
              <w:t>, 2017</w:t>
            </w:r>
          </w:p>
        </w:tc>
        <w:tc>
          <w:tcPr>
            <w:tcW w:w="1894" w:type="dxa"/>
            <w:vAlign w:val="center"/>
          </w:tcPr>
          <w:p w14:paraId="2A7D1698" w14:textId="77777777" w:rsidR="00521171" w:rsidRPr="00981DC5" w:rsidRDefault="00521171"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s="Calibri"/>
                <w:color w:val="000000" w:themeColor="text1"/>
                <w:sz w:val="24"/>
                <w:szCs w:val="24"/>
                <w:lang w:val="en-US"/>
              </w:rPr>
              <w:t>18.8</w:t>
            </w:r>
          </w:p>
        </w:tc>
        <w:tc>
          <w:tcPr>
            <w:tcW w:w="2123" w:type="dxa"/>
            <w:vAlign w:val="center"/>
          </w:tcPr>
          <w:p w14:paraId="1BD89DF0" w14:textId="77777777" w:rsidR="00521171" w:rsidRPr="00981DC5" w:rsidRDefault="00521171"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s="Calibri"/>
                <w:color w:val="000000" w:themeColor="text1"/>
                <w:sz w:val="24"/>
                <w:szCs w:val="24"/>
                <w:lang w:val="en-US"/>
              </w:rPr>
              <w:t>-69.8</w:t>
            </w:r>
          </w:p>
        </w:tc>
        <w:tc>
          <w:tcPr>
            <w:tcW w:w="1860" w:type="dxa"/>
            <w:vMerge/>
            <w:vAlign w:val="center"/>
          </w:tcPr>
          <w:p w14:paraId="602FB60F" w14:textId="77777777" w:rsidR="00521171" w:rsidRPr="00981DC5" w:rsidRDefault="00521171" w:rsidP="00B11A05">
            <w:pPr>
              <w:adjustRightInd w:val="0"/>
              <w:snapToGrid w:val="0"/>
              <w:spacing w:line="360" w:lineRule="auto"/>
              <w:jc w:val="both"/>
              <w:rPr>
                <w:rFonts w:ascii="Book Antiqua" w:hAnsi="Book Antiqua"/>
                <w:color w:val="000000" w:themeColor="text1"/>
                <w:sz w:val="24"/>
                <w:szCs w:val="24"/>
                <w:lang w:val="en-US"/>
              </w:rPr>
            </w:pPr>
          </w:p>
        </w:tc>
      </w:tr>
      <w:tr w:rsidR="00981DC5" w:rsidRPr="00981DC5" w14:paraId="558767C8" w14:textId="77777777" w:rsidTr="00EB33B3">
        <w:tc>
          <w:tcPr>
            <w:tcW w:w="1861" w:type="dxa"/>
            <w:vMerge/>
            <w:vAlign w:val="center"/>
          </w:tcPr>
          <w:p w14:paraId="39905BDA" w14:textId="77777777" w:rsidR="00521171" w:rsidRPr="00981DC5" w:rsidRDefault="00521171" w:rsidP="00B11A05">
            <w:pPr>
              <w:adjustRightInd w:val="0"/>
              <w:snapToGrid w:val="0"/>
              <w:spacing w:line="360" w:lineRule="auto"/>
              <w:jc w:val="both"/>
              <w:rPr>
                <w:rFonts w:ascii="Book Antiqua" w:hAnsi="Book Antiqua"/>
                <w:color w:val="000000" w:themeColor="text1"/>
                <w:sz w:val="24"/>
                <w:szCs w:val="24"/>
                <w:lang w:val="en-US"/>
              </w:rPr>
            </w:pPr>
          </w:p>
        </w:tc>
        <w:tc>
          <w:tcPr>
            <w:tcW w:w="1884" w:type="dxa"/>
            <w:vAlign w:val="center"/>
          </w:tcPr>
          <w:p w14:paraId="72209468" w14:textId="28DD14AD" w:rsidR="00521171" w:rsidRPr="00981DC5" w:rsidRDefault="00521171" w:rsidP="00B11A05">
            <w:pPr>
              <w:adjustRightInd w:val="0"/>
              <w:snapToGrid w:val="0"/>
              <w:spacing w:line="360" w:lineRule="auto"/>
              <w:jc w:val="both"/>
              <w:rPr>
                <w:rFonts w:ascii="Book Antiqua" w:hAnsi="Book Antiqua" w:cs="Calibri"/>
                <w:color w:val="000000" w:themeColor="text1"/>
                <w:sz w:val="24"/>
                <w:szCs w:val="24"/>
                <w:lang w:val="en-US"/>
              </w:rPr>
            </w:pPr>
            <w:proofErr w:type="spellStart"/>
            <w:r w:rsidRPr="00981DC5">
              <w:rPr>
                <w:rFonts w:ascii="Book Antiqua" w:hAnsi="Book Antiqua" w:cs="Calibri"/>
                <w:color w:val="000000" w:themeColor="text1"/>
                <w:sz w:val="24"/>
                <w:szCs w:val="24"/>
                <w:lang w:val="en-US"/>
              </w:rPr>
              <w:t>Nitsche</w:t>
            </w:r>
            <w:proofErr w:type="spellEnd"/>
            <w:r w:rsidRPr="00981DC5">
              <w:rPr>
                <w:rFonts w:ascii="Book Antiqua" w:hAnsi="Book Antiqua" w:cs="Calibri"/>
                <w:color w:val="000000" w:themeColor="text1"/>
                <w:sz w:val="24"/>
                <w:szCs w:val="24"/>
                <w:lang w:val="en-US"/>
              </w:rPr>
              <w:t xml:space="preserve"> </w:t>
            </w:r>
            <w:r w:rsidR="00EB33B3" w:rsidRPr="00981DC5">
              <w:rPr>
                <w:rFonts w:ascii="Book Antiqua" w:hAnsi="Book Antiqua" w:cs="Calibri"/>
                <w:i/>
                <w:iCs/>
                <w:color w:val="000000" w:themeColor="text1"/>
                <w:sz w:val="24"/>
                <w:szCs w:val="24"/>
                <w:lang w:val="en-US"/>
              </w:rPr>
              <w:t>et al</w:t>
            </w:r>
            <w:r w:rsidR="00EB33B3" w:rsidRPr="00981DC5">
              <w:rPr>
                <w:rFonts w:ascii="Book Antiqua" w:hAnsi="Book Antiqua" w:cs="Calibri"/>
                <w:color w:val="000000" w:themeColor="text1"/>
                <w:sz w:val="24"/>
                <w:szCs w:val="24"/>
                <w:vertAlign w:val="superscript"/>
                <w:lang w:val="en-US"/>
              </w:rPr>
              <w:fldChar w:fldCharType="begin" w:fldLock="1"/>
            </w:r>
            <w:r w:rsidR="00EB33B3" w:rsidRPr="00981DC5">
              <w:rPr>
                <w:rFonts w:ascii="Book Antiqua" w:hAnsi="Book Antiqua" w:cs="Calibri"/>
                <w:color w:val="000000" w:themeColor="text1"/>
                <w:sz w:val="24"/>
                <w:szCs w:val="24"/>
                <w:vertAlign w:val="superscript"/>
                <w:lang w:val="en-US"/>
              </w:rPr>
              <w:instrText>ADDIN CSL_CITATION {"citationItems":[{"id":"ITEM-1","itemData":{"DOI":"10.1056/NEJMoa1011923","ISSN":"15334406","PMID":"21561347","abstract":"BACKGROUND: Data are lacking on the efficacy and safety of a combination chemotherapy regimen consisting of oxaliplatin, irinotecan, fluorouracil, and leucovorin (FOLFIRINOX) as compared with gemcitabine as first-line therapy in patients with metastatic pancreatic cancer. METHODS: We randomly assigned 342 patients with an Eastern Cooperative Oncology Group performance status score of 0 or 1 (on a scale of 0 to 5, with higher scores indicating a greater severity of illness) to receive FOLFIRINOX (oxaliplatin, 85 mg per square meter of body-surface area; irinotecan, 180 mg per square meter; leucovorin, 400 mg per square meter; and fluorouracil, 400 mg per square meter given as a bolus followed by 2400 mg per square meter given as a 46-hour continuous infusion, every 2 weeks) or gemcitabine at a dose of 1000 mg per square meter weekly for 7 of 8 weeks and then weekly for 3 of 4 weeks. Six months of chemotherapy were recommended in both groups in patients who had a response. The primary end point was overall survival. RESULTS: The median overall survival was 11.1 months in the FOLFIRINOX group as compared with 6.8 months in the gemcitabine group (hazard ratio for death, 0.57; 95% confidence interval [CI], 0.45 to 0.73; P&lt;0.001). Median progression-free survival was 6.4 months in the FOLFIRINOX group and 3.3 months in the gemcitabine group (hazard ratio for disease progression, 0.47; 95% CI, 0.37 to 0.59; P&lt;0.001). The objective response rate was 31.6% in the FOLFIRINOX group versus 9.4% in the gemcitabine group (P&lt;0.001). More adverse events were noted in the FOLFIRINOX group; 5.4% of patients in this group had febrile neutropenia. At 6 months, 31% of the patients in the FOLFIRINOX group had a definitive degradation of the quality of life versus 66% in the gemcitabine group (hazard ratio, 0.47; 95% CI, 0.30 to 0.70; P&lt;0.001). CONCLUSIONS: As compared with gemcitabine, FOLFIRINOX was associated with a survival advantage and had increased toxicity. FOLFIRINOX is an option for the treatment of patients with metastatic pancreatic cancer and good performance status. (Funded by the French government and others; ClinicalTrials.gov number, NCT00112658.) Copyright © 2011 Massachusetts Medical Society.","author":[{"dropping-particle":"","family":"Conroy","given":"Thierry","non-dropping-particle":"","parse-names":false,"suffix":""},{"dropping-particle":"","family":"Desseigne","given":"Françoise","non-dropping-particle":"","parse-names":false,"suffix":""},{"dropping-particle":"","family":"Ychou","given":"Marc","non-dropping-particle":"","parse-names":false,"suffix":""},{"dropping-particle":"","family":"Bouché","given":"Olivier","non-dropping-particle":"","parse-names":false,"suffix":""},{"dropping-particle":"","family":"Guimbaud","given":"Rosine","non-dropping-particle":"","parse-names":false,"suffix":""},{"dropping-particle":"","family":"Bécouarn","given":"Yves","non-dropping-particle":"","parse-names":false,"suffix":""},{"dropping-particle":"","family":"Adenis","given":"Antoine","non-dropping-particle":"","parse-names":false,"suffix":""},{"dropping-particle":"","family":"Raoul","given":"Jean Luc","non-dropping-particle":"","parse-names":false,"suffix":""},{"dropping-particle":"","family":"Gourgou-Bourgade","given":"Sophie","non-dropping-particle":"","parse-names":false,"suffix":""},{"dropping-particle":"","family":"La Fouchardière","given":"Christelle","non-dropping-particle":"De","parse-names":false,"suffix":""},{"dropping-particle":"","family":"Bennouna","given":"Jaafar","non-dropping-particle":"","parse-names":false,"suffix":""},{"dropping-particle":"","family":"Bachet","given":"Jean Baptiste","non-dropping-particle":"","parse-names":false,"suffix":""},{"dropping-particle":"","family":"Khemissa-Akouz","given":"Faiza","non-dropping-particle":"","parse-names":false,"suffix":""},{"dropping-particle":"","family":"Péré-Vergé","given":"Denis","non-dropping-particle":"","parse-names":false,"suffix":""},{"dropping-particle":"","family":"Delbaldo","given":"Catherine","non-dropping-particle":"","parse-names":false,"suffix":""},{"dropping-particle":"","family":"Assenat","given":"Eric","non-dropping-particle":"","parse-names":false,"suffix":""},{"dropping-particle":"","family":"Chauffert","given":"Bruno","non-dropping-particle":"","parse-names":false,"suffix":""},{"dropping-particle":"","family":"Michel","given":"Pierre","non-dropping-particle":"","parse-names":false,"suffix":""},{"dropping-particle":"","family":"Montoto-Grillot","given":"Christine","non-dropping-particle":"","parse-names":false,"suffix":""},{"dropping-particle":"","family":"Ducreux","given":"Michel","non-dropping-particle":"","parse-names":false,"suffix":""}],"container-title":"New England Journal of Medicine","id":"ITEM-1","issue":"19","issued":{"date-parts":[["2011","5","12"]]},"page":"1817-1825","publisher":"Massachussetts Medical Society","title":"FOLFIRINOX versus gemcitabine for metastatic pancreatic cancer","type":"article-journal","volume":"364"},"uris":["http://www.mendeley.com/documents/?uuid=79115611-6660-388d-8f90-b6d1dd896e88"]}],"mendeley":{"formattedCitation":"&lt;sup&gt;[7]&lt;/sup&gt;","plainTextFormattedCitation":"[7]","previouslyFormattedCitation":"&lt;sup&gt;[7]&lt;/sup&gt;"},"properties":{"noteIndex":0},"schema":"https://github.com/citation-style-language/schema/raw/master/csl-citation.json"}</w:instrText>
            </w:r>
            <w:r w:rsidR="00EB33B3" w:rsidRPr="00981DC5">
              <w:rPr>
                <w:rFonts w:ascii="Book Antiqua" w:hAnsi="Book Antiqua" w:cs="Calibri"/>
                <w:color w:val="000000" w:themeColor="text1"/>
                <w:sz w:val="24"/>
                <w:szCs w:val="24"/>
                <w:vertAlign w:val="superscript"/>
                <w:lang w:val="en-US"/>
              </w:rPr>
              <w:fldChar w:fldCharType="separate"/>
            </w:r>
            <w:r w:rsidR="00EB33B3" w:rsidRPr="00981DC5">
              <w:rPr>
                <w:rFonts w:ascii="Book Antiqua" w:hAnsi="Book Antiqua" w:cs="Calibri"/>
                <w:noProof/>
                <w:color w:val="000000" w:themeColor="text1"/>
                <w:sz w:val="24"/>
                <w:szCs w:val="24"/>
                <w:vertAlign w:val="superscript"/>
                <w:lang w:val="en-US"/>
              </w:rPr>
              <w:t>[42]</w:t>
            </w:r>
            <w:r w:rsidR="00EB33B3" w:rsidRPr="00981DC5">
              <w:rPr>
                <w:rFonts w:ascii="Book Antiqua" w:hAnsi="Book Antiqua" w:cs="Calibri"/>
                <w:color w:val="000000" w:themeColor="text1"/>
                <w:sz w:val="24"/>
                <w:szCs w:val="24"/>
                <w:vertAlign w:val="superscript"/>
                <w:lang w:val="en-US"/>
              </w:rPr>
              <w:fldChar w:fldCharType="end"/>
            </w:r>
            <w:r w:rsidR="00EB33B3" w:rsidRPr="00981DC5">
              <w:rPr>
                <w:rFonts w:ascii="Book Antiqua" w:hAnsi="Book Antiqua" w:cs="Calibri"/>
                <w:color w:val="000000" w:themeColor="text1"/>
                <w:sz w:val="24"/>
                <w:szCs w:val="24"/>
                <w:lang w:val="en-US"/>
              </w:rPr>
              <w:t>, 2015</w:t>
            </w:r>
          </w:p>
        </w:tc>
        <w:tc>
          <w:tcPr>
            <w:tcW w:w="1894" w:type="dxa"/>
            <w:vAlign w:val="center"/>
          </w:tcPr>
          <w:p w14:paraId="66EA4E4B" w14:textId="77777777" w:rsidR="00521171" w:rsidRPr="00981DC5" w:rsidRDefault="00521171"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s="Calibri"/>
                <w:color w:val="000000" w:themeColor="text1"/>
                <w:sz w:val="24"/>
                <w:szCs w:val="24"/>
                <w:lang w:val="en-US"/>
              </w:rPr>
              <w:t>42.8</w:t>
            </w:r>
          </w:p>
        </w:tc>
        <w:tc>
          <w:tcPr>
            <w:tcW w:w="2123" w:type="dxa"/>
            <w:vAlign w:val="center"/>
          </w:tcPr>
          <w:p w14:paraId="45CA7E78" w14:textId="77777777" w:rsidR="00521171" w:rsidRPr="00981DC5" w:rsidRDefault="00521171"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s="Calibri"/>
                <w:color w:val="000000" w:themeColor="text1"/>
                <w:sz w:val="24"/>
                <w:szCs w:val="24"/>
                <w:lang w:val="en-US"/>
              </w:rPr>
              <w:t>-50.7</w:t>
            </w:r>
          </w:p>
        </w:tc>
        <w:tc>
          <w:tcPr>
            <w:tcW w:w="1860" w:type="dxa"/>
            <w:vMerge/>
            <w:vAlign w:val="center"/>
          </w:tcPr>
          <w:p w14:paraId="046298AA" w14:textId="77777777" w:rsidR="00521171" w:rsidRPr="00981DC5" w:rsidRDefault="00521171" w:rsidP="00B11A05">
            <w:pPr>
              <w:adjustRightInd w:val="0"/>
              <w:snapToGrid w:val="0"/>
              <w:spacing w:line="360" w:lineRule="auto"/>
              <w:jc w:val="both"/>
              <w:rPr>
                <w:rFonts w:ascii="Book Antiqua" w:hAnsi="Book Antiqua"/>
                <w:color w:val="000000" w:themeColor="text1"/>
                <w:sz w:val="24"/>
                <w:szCs w:val="24"/>
                <w:lang w:val="en-US"/>
              </w:rPr>
            </w:pPr>
          </w:p>
        </w:tc>
      </w:tr>
      <w:tr w:rsidR="00981DC5" w:rsidRPr="00981DC5" w14:paraId="493D103A" w14:textId="77777777" w:rsidTr="00EB33B3">
        <w:tc>
          <w:tcPr>
            <w:tcW w:w="1861" w:type="dxa"/>
            <w:vMerge/>
            <w:vAlign w:val="center"/>
          </w:tcPr>
          <w:p w14:paraId="46A53C12" w14:textId="77777777" w:rsidR="00521171" w:rsidRPr="00981DC5" w:rsidRDefault="00521171" w:rsidP="00B11A05">
            <w:pPr>
              <w:adjustRightInd w:val="0"/>
              <w:snapToGrid w:val="0"/>
              <w:spacing w:line="360" w:lineRule="auto"/>
              <w:jc w:val="both"/>
              <w:rPr>
                <w:rFonts w:ascii="Book Antiqua" w:hAnsi="Book Antiqua"/>
                <w:color w:val="000000" w:themeColor="text1"/>
                <w:sz w:val="24"/>
                <w:szCs w:val="24"/>
                <w:lang w:val="en-US"/>
              </w:rPr>
            </w:pPr>
          </w:p>
        </w:tc>
        <w:tc>
          <w:tcPr>
            <w:tcW w:w="1884" w:type="dxa"/>
            <w:vAlign w:val="center"/>
          </w:tcPr>
          <w:p w14:paraId="4BFE6544" w14:textId="41605382" w:rsidR="00521171" w:rsidRPr="00981DC5" w:rsidRDefault="00521171" w:rsidP="00B11A05">
            <w:pPr>
              <w:adjustRightInd w:val="0"/>
              <w:snapToGrid w:val="0"/>
              <w:spacing w:line="360" w:lineRule="auto"/>
              <w:jc w:val="both"/>
              <w:rPr>
                <w:rFonts w:ascii="Book Antiqua" w:hAnsi="Book Antiqua" w:cs="Calibri"/>
                <w:color w:val="000000" w:themeColor="text1"/>
                <w:sz w:val="24"/>
                <w:szCs w:val="24"/>
                <w:lang w:val="en-US"/>
              </w:rPr>
            </w:pPr>
            <w:proofErr w:type="spellStart"/>
            <w:r w:rsidRPr="00981DC5">
              <w:rPr>
                <w:rFonts w:ascii="Book Antiqua" w:hAnsi="Book Antiqua" w:cs="Calibri"/>
                <w:color w:val="000000" w:themeColor="text1"/>
                <w:sz w:val="24"/>
                <w:szCs w:val="24"/>
                <w:lang w:val="en-US"/>
              </w:rPr>
              <w:t>Sadot</w:t>
            </w:r>
            <w:proofErr w:type="spellEnd"/>
            <w:r w:rsidRPr="00981DC5">
              <w:rPr>
                <w:rFonts w:ascii="Book Antiqua" w:hAnsi="Book Antiqua" w:cs="Calibri"/>
                <w:color w:val="000000" w:themeColor="text1"/>
                <w:sz w:val="24"/>
                <w:szCs w:val="24"/>
                <w:lang w:val="en-US"/>
              </w:rPr>
              <w:t xml:space="preserve"> </w:t>
            </w:r>
            <w:r w:rsidR="00EB33B3" w:rsidRPr="00981DC5">
              <w:rPr>
                <w:rFonts w:ascii="Book Antiqua" w:hAnsi="Book Antiqua" w:cs="Calibri"/>
                <w:i/>
                <w:iCs/>
                <w:color w:val="000000" w:themeColor="text1"/>
                <w:sz w:val="24"/>
                <w:szCs w:val="24"/>
                <w:lang w:val="en-US"/>
              </w:rPr>
              <w:t>et al</w:t>
            </w:r>
            <w:r w:rsidR="00EB33B3" w:rsidRPr="00981DC5">
              <w:rPr>
                <w:rFonts w:ascii="Book Antiqua" w:hAnsi="Book Antiqua" w:cs="Calibri"/>
                <w:color w:val="000000" w:themeColor="text1"/>
                <w:sz w:val="24"/>
                <w:szCs w:val="24"/>
                <w:vertAlign w:val="superscript"/>
                <w:lang w:val="en-US"/>
              </w:rPr>
              <w:fldChar w:fldCharType="begin" w:fldLock="1"/>
            </w:r>
            <w:r w:rsidR="00EB33B3" w:rsidRPr="00981DC5">
              <w:rPr>
                <w:rFonts w:ascii="Book Antiqua" w:hAnsi="Book Antiqua" w:cs="Calibri"/>
                <w:color w:val="000000" w:themeColor="text1"/>
                <w:sz w:val="24"/>
                <w:szCs w:val="24"/>
                <w:vertAlign w:val="superscript"/>
                <w:lang w:val="en-US"/>
              </w:rPr>
              <w:instrText>ADDIN CSL_CITATION {"citationItems":[{"id":"ITEM-1","itemData":{"DOI":"10.1056/NEJMoa1011923","ISSN":"15334406","PMID":"21561347","abstract":"BACKGROUND: Data are lacking on the efficacy and safety of a combination chemotherapy regimen consisting of oxaliplatin, irinotecan, fluorouracil, and leucovorin (FOLFIRINOX) as compared with gemcitabine as first-line therapy in patients with metastatic pancreatic cancer. METHODS: We randomly assigned 342 patients with an Eastern Cooperative Oncology Group performance status score of 0 or 1 (on a scale of 0 to 5, with higher scores indicating a greater severity of illness) to receive FOLFIRINOX (oxaliplatin, 85 mg per square meter of body-surface area; irinotecan, 180 mg per square meter; leucovorin, 400 mg per square meter; and fluorouracil, 400 mg per square meter given as a bolus followed by 2400 mg per square meter given as a 46-hour continuous infusion, every 2 weeks) or gemcitabine at a dose of 1000 mg per square meter weekly for 7 of 8 weeks and then weekly for 3 of 4 weeks. Six months of chemotherapy were recommended in both groups in patients who had a response. The primary end point was overall survival. RESULTS: The median overall survival was 11.1 months in the FOLFIRINOX group as compared with 6.8 months in the gemcitabine group (hazard ratio for death, 0.57; 95% confidence interval [CI], 0.45 to 0.73; P&lt;0.001). Median progression-free survival was 6.4 months in the FOLFIRINOX group and 3.3 months in the gemcitabine group (hazard ratio for disease progression, 0.47; 95% CI, 0.37 to 0.59; P&lt;0.001). The objective response rate was 31.6% in the FOLFIRINOX group versus 9.4% in the gemcitabine group (P&lt;0.001). More adverse events were noted in the FOLFIRINOX group; 5.4% of patients in this group had febrile neutropenia. At 6 months, 31% of the patients in the FOLFIRINOX group had a definitive degradation of the quality of life versus 66% in the gemcitabine group (hazard ratio, 0.47; 95% CI, 0.30 to 0.70; P&lt;0.001). CONCLUSIONS: As compared with gemcitabine, FOLFIRINOX was associated with a survival advantage and had increased toxicity. FOLFIRINOX is an option for the treatment of patients with metastatic pancreatic cancer and good performance status. (Funded by the French government and others; ClinicalTrials.gov number, NCT00112658.) Copyright © 2011 Massachusetts Medical Society.","author":[{"dropping-particle":"","family":"Conroy","given":"Thierry","non-dropping-particle":"","parse-names":false,"suffix":""},{"dropping-particle":"","family":"Desseigne","given":"Françoise","non-dropping-particle":"","parse-names":false,"suffix":""},{"dropping-particle":"","family":"Ychou","given":"Marc","non-dropping-particle":"","parse-names":false,"suffix":""},{"dropping-particle":"","family":"Bouché","given":"Olivier","non-dropping-particle":"","parse-names":false,"suffix":""},{"dropping-particle":"","family":"Guimbaud","given":"Rosine","non-dropping-particle":"","parse-names":false,"suffix":""},{"dropping-particle":"","family":"Bécouarn","given":"Yves","non-dropping-particle":"","parse-names":false,"suffix":""},{"dropping-particle":"","family":"Adenis","given":"Antoine","non-dropping-particle":"","parse-names":false,"suffix":""},{"dropping-particle":"","family":"Raoul","given":"Jean Luc","non-dropping-particle":"","parse-names":false,"suffix":""},{"dropping-particle":"","family":"Gourgou-Bourgade","given":"Sophie","non-dropping-particle":"","parse-names":false,"suffix":""},{"dropping-particle":"","family":"La Fouchardière","given":"Christelle","non-dropping-particle":"De","parse-names":false,"suffix":""},{"dropping-particle":"","family":"Bennouna","given":"Jaafar","non-dropping-particle":"","parse-names":false,"suffix":""},{"dropping-particle":"","family":"Bachet","given":"Jean Baptiste","non-dropping-particle":"","parse-names":false,"suffix":""},{"dropping-particle":"","family":"Khemissa-Akouz","given":"Faiza","non-dropping-particle":"","parse-names":false,"suffix":""},{"dropping-particle":"","family":"Péré-Vergé","given":"Denis","non-dropping-particle":"","parse-names":false,"suffix":""},{"dropping-particle":"","family":"Delbaldo","given":"Catherine","non-dropping-particle":"","parse-names":false,"suffix":""},{"dropping-particle":"","family":"Assenat","given":"Eric","non-dropping-particle":"","parse-names":false,"suffix":""},{"dropping-particle":"","family":"Chauffert","given":"Bruno","non-dropping-particle":"","parse-names":false,"suffix":""},{"dropping-particle":"","family":"Michel","given":"Pierre","non-dropping-particle":"","parse-names":false,"suffix":""},{"dropping-particle":"","family":"Montoto-Grillot","given":"Christine","non-dropping-particle":"","parse-names":false,"suffix":""},{"dropping-particle":"","family":"Ducreux","given":"Michel","non-dropping-particle":"","parse-names":false,"suffix":""}],"container-title":"New England Journal of Medicine","id":"ITEM-1","issue":"19","issued":{"date-parts":[["2011","5","12"]]},"page":"1817-1825","publisher":"Massachussetts Medical Society","title":"FOLFIRINOX versus gemcitabine for metastatic pancreatic cancer","type":"article-journal","volume":"364"},"uris":["http://www.mendeley.com/documents/?uuid=79115611-6660-388d-8f90-b6d1dd896e88"]}],"mendeley":{"formattedCitation":"&lt;sup&gt;[7]&lt;/sup&gt;","plainTextFormattedCitation":"[7]","previouslyFormattedCitation":"&lt;sup&gt;[7]&lt;/sup&gt;"},"properties":{"noteIndex":0},"schema":"https://github.com/citation-style-language/schema/raw/master/csl-citation.json"}</w:instrText>
            </w:r>
            <w:r w:rsidR="00EB33B3" w:rsidRPr="00981DC5">
              <w:rPr>
                <w:rFonts w:ascii="Book Antiqua" w:hAnsi="Book Antiqua" w:cs="Calibri"/>
                <w:color w:val="000000" w:themeColor="text1"/>
                <w:sz w:val="24"/>
                <w:szCs w:val="24"/>
                <w:vertAlign w:val="superscript"/>
                <w:lang w:val="en-US"/>
              </w:rPr>
              <w:fldChar w:fldCharType="separate"/>
            </w:r>
            <w:r w:rsidR="00EB33B3" w:rsidRPr="00981DC5">
              <w:rPr>
                <w:rFonts w:ascii="Book Antiqua" w:hAnsi="Book Antiqua" w:cs="Calibri"/>
                <w:noProof/>
                <w:color w:val="000000" w:themeColor="text1"/>
                <w:sz w:val="24"/>
                <w:szCs w:val="24"/>
                <w:vertAlign w:val="superscript"/>
                <w:lang w:val="en-US"/>
              </w:rPr>
              <w:t>[43]</w:t>
            </w:r>
            <w:r w:rsidR="00EB33B3" w:rsidRPr="00981DC5">
              <w:rPr>
                <w:rFonts w:ascii="Book Antiqua" w:hAnsi="Book Antiqua" w:cs="Calibri"/>
                <w:color w:val="000000" w:themeColor="text1"/>
                <w:sz w:val="24"/>
                <w:szCs w:val="24"/>
                <w:vertAlign w:val="superscript"/>
                <w:lang w:val="en-US"/>
              </w:rPr>
              <w:fldChar w:fldCharType="end"/>
            </w:r>
            <w:r w:rsidR="00EB33B3" w:rsidRPr="00981DC5">
              <w:rPr>
                <w:rFonts w:ascii="Book Antiqua" w:hAnsi="Book Antiqua" w:cs="Calibri"/>
                <w:color w:val="000000" w:themeColor="text1"/>
                <w:sz w:val="24"/>
                <w:szCs w:val="24"/>
                <w:lang w:val="en-US"/>
              </w:rPr>
              <w:t>, 2015</w:t>
            </w:r>
          </w:p>
        </w:tc>
        <w:tc>
          <w:tcPr>
            <w:tcW w:w="1894" w:type="dxa"/>
            <w:vAlign w:val="center"/>
          </w:tcPr>
          <w:p w14:paraId="797FBCAA" w14:textId="77777777" w:rsidR="00521171" w:rsidRPr="00981DC5" w:rsidRDefault="00521171"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s="Calibri"/>
                <w:color w:val="000000" w:themeColor="text1"/>
                <w:sz w:val="24"/>
                <w:szCs w:val="24"/>
                <w:lang w:val="en-US"/>
              </w:rPr>
              <w:t>29</w:t>
            </w:r>
          </w:p>
        </w:tc>
        <w:tc>
          <w:tcPr>
            <w:tcW w:w="2123" w:type="dxa"/>
            <w:vAlign w:val="center"/>
          </w:tcPr>
          <w:p w14:paraId="3475B33B" w14:textId="77777777" w:rsidR="00521171" w:rsidRPr="00981DC5" w:rsidRDefault="00521171"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s="Calibri"/>
                <w:color w:val="000000" w:themeColor="text1"/>
                <w:sz w:val="24"/>
                <w:szCs w:val="24"/>
                <w:lang w:val="en-US"/>
              </w:rPr>
              <w:t>-61.7</w:t>
            </w:r>
          </w:p>
        </w:tc>
        <w:tc>
          <w:tcPr>
            <w:tcW w:w="1860" w:type="dxa"/>
            <w:vMerge/>
            <w:vAlign w:val="center"/>
          </w:tcPr>
          <w:p w14:paraId="2269A073" w14:textId="77777777" w:rsidR="00521171" w:rsidRPr="00981DC5" w:rsidRDefault="00521171" w:rsidP="00B11A05">
            <w:pPr>
              <w:adjustRightInd w:val="0"/>
              <w:snapToGrid w:val="0"/>
              <w:spacing w:line="360" w:lineRule="auto"/>
              <w:jc w:val="both"/>
              <w:rPr>
                <w:rFonts w:ascii="Book Antiqua" w:hAnsi="Book Antiqua"/>
                <w:color w:val="000000" w:themeColor="text1"/>
                <w:sz w:val="24"/>
                <w:szCs w:val="24"/>
                <w:lang w:val="en-US"/>
              </w:rPr>
            </w:pPr>
          </w:p>
        </w:tc>
      </w:tr>
      <w:tr w:rsidR="00981DC5" w:rsidRPr="00981DC5" w14:paraId="680117AD" w14:textId="77777777" w:rsidTr="00EB33B3">
        <w:tc>
          <w:tcPr>
            <w:tcW w:w="1861" w:type="dxa"/>
            <w:vMerge/>
            <w:vAlign w:val="center"/>
          </w:tcPr>
          <w:p w14:paraId="46A4609B" w14:textId="77777777" w:rsidR="00521171" w:rsidRPr="00981DC5" w:rsidRDefault="00521171" w:rsidP="00B11A05">
            <w:pPr>
              <w:adjustRightInd w:val="0"/>
              <w:snapToGrid w:val="0"/>
              <w:spacing w:line="360" w:lineRule="auto"/>
              <w:jc w:val="both"/>
              <w:rPr>
                <w:rFonts w:ascii="Book Antiqua" w:hAnsi="Book Antiqua"/>
                <w:color w:val="000000" w:themeColor="text1"/>
                <w:sz w:val="24"/>
                <w:szCs w:val="24"/>
                <w:lang w:val="en-US"/>
              </w:rPr>
            </w:pPr>
          </w:p>
        </w:tc>
        <w:tc>
          <w:tcPr>
            <w:tcW w:w="1884" w:type="dxa"/>
            <w:vAlign w:val="center"/>
          </w:tcPr>
          <w:p w14:paraId="2B1AE47D" w14:textId="27047B75" w:rsidR="00521171" w:rsidRPr="00981DC5" w:rsidRDefault="00521171"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s="Calibri"/>
                <w:color w:val="000000" w:themeColor="text1"/>
                <w:sz w:val="24"/>
                <w:szCs w:val="24"/>
                <w:lang w:val="en-US"/>
              </w:rPr>
              <w:t xml:space="preserve">Wang </w:t>
            </w:r>
            <w:r w:rsidR="00EB33B3" w:rsidRPr="00981DC5">
              <w:rPr>
                <w:rFonts w:ascii="Book Antiqua" w:hAnsi="Book Antiqua" w:cs="Calibri"/>
                <w:i/>
                <w:iCs/>
                <w:color w:val="000000" w:themeColor="text1"/>
                <w:sz w:val="24"/>
                <w:szCs w:val="24"/>
                <w:lang w:val="en-US"/>
              </w:rPr>
              <w:t>et al</w:t>
            </w:r>
            <w:r w:rsidR="00EB33B3" w:rsidRPr="00981DC5">
              <w:rPr>
                <w:rFonts w:ascii="Book Antiqua" w:hAnsi="Book Antiqua" w:cs="Calibri"/>
                <w:color w:val="000000" w:themeColor="text1"/>
                <w:sz w:val="24"/>
                <w:szCs w:val="24"/>
                <w:vertAlign w:val="superscript"/>
                <w:lang w:val="en-US"/>
              </w:rPr>
              <w:fldChar w:fldCharType="begin" w:fldLock="1"/>
            </w:r>
            <w:r w:rsidR="00EB33B3" w:rsidRPr="00981DC5">
              <w:rPr>
                <w:rFonts w:ascii="Book Antiqua" w:hAnsi="Book Antiqua" w:cs="Calibri"/>
                <w:color w:val="000000" w:themeColor="text1"/>
                <w:sz w:val="24"/>
                <w:szCs w:val="24"/>
                <w:vertAlign w:val="superscript"/>
                <w:lang w:val="en-US"/>
              </w:rPr>
              <w:instrText>ADDIN CSL_CITATION {"citationItems":[{"id":"ITEM-1","itemData":{"DOI":"10.1056/NEJMoa1011923","ISSN":"15334406","PMID":"21561347","abstract":"BACKGROUND: Data are lacking on the efficacy and safety of a combination chemotherapy regimen consisting of oxaliplatin, irinotecan, fluorouracil, and leucovorin (FOLFIRINOX) as compared with gemcitabine as first-line therapy in patients with metastatic pancreatic cancer. METHODS: We randomly assigned 342 patients with an Eastern Cooperative Oncology Group performance status score of 0 or 1 (on a scale of 0 to 5, with higher scores indicating a greater severity of illness) to receive FOLFIRINOX (oxaliplatin, 85 mg per square meter of body-surface area; irinotecan, 180 mg per square meter; leucovorin, 400 mg per square meter; and fluorouracil, 400 mg per square meter given as a bolus followed by 2400 mg per square meter given as a 46-hour continuous infusion, every 2 weeks) or gemcitabine at a dose of 1000 mg per square meter weekly for 7 of 8 weeks and then weekly for 3 of 4 weeks. Six months of chemotherapy were recommended in both groups in patients who had a response. The primary end point was overall survival. RESULTS: The median overall survival was 11.1 months in the FOLFIRINOX group as compared with 6.8 months in the gemcitabine group (hazard ratio for death, 0.57; 95% confidence interval [CI], 0.45 to 0.73; P&lt;0.001). Median progression-free survival was 6.4 months in the FOLFIRINOX group and 3.3 months in the gemcitabine group (hazard ratio for disease progression, 0.47; 95% CI, 0.37 to 0.59; P&lt;0.001). The objective response rate was 31.6% in the FOLFIRINOX group versus 9.4% in the gemcitabine group (P&lt;0.001). More adverse events were noted in the FOLFIRINOX group; 5.4% of patients in this group had febrile neutropenia. At 6 months, 31% of the patients in the FOLFIRINOX group had a definitive degradation of the quality of life versus 66% in the gemcitabine group (hazard ratio, 0.47; 95% CI, 0.30 to 0.70; P&lt;0.001). CONCLUSIONS: As compared with gemcitabine, FOLFIRINOX was associated with a survival advantage and had increased toxicity. FOLFIRINOX is an option for the treatment of patients with metastatic pancreatic cancer and good performance status. (Funded by the French government and others; ClinicalTrials.gov number, NCT00112658.) Copyright © 2011 Massachusetts Medical Society.","author":[{"dropping-particle":"","family":"Conroy","given":"Thierry","non-dropping-particle":"","parse-names":false,"suffix":""},{"dropping-particle":"","family":"Desseigne","given":"Françoise","non-dropping-particle":"","parse-names":false,"suffix":""},{"dropping-particle":"","family":"Ychou","given":"Marc","non-dropping-particle":"","parse-names":false,"suffix":""},{"dropping-particle":"","family":"Bouché","given":"Olivier","non-dropping-particle":"","parse-names":false,"suffix":""},{"dropping-particle":"","family":"Guimbaud","given":"Rosine","non-dropping-particle":"","parse-names":false,"suffix":""},{"dropping-particle":"","family":"Bécouarn","given":"Yves","non-dropping-particle":"","parse-names":false,"suffix":""},{"dropping-particle":"","family":"Adenis","given":"Antoine","non-dropping-particle":"","parse-names":false,"suffix":""},{"dropping-particle":"","family":"Raoul","given":"Jean Luc","non-dropping-particle":"","parse-names":false,"suffix":""},{"dropping-particle":"","family":"Gourgou-Bourgade","given":"Sophie","non-dropping-particle":"","parse-names":false,"suffix":""},{"dropping-particle":"","family":"La Fouchardière","given":"Christelle","non-dropping-particle":"De","parse-names":false,"suffix":""},{"dropping-particle":"","family":"Bennouna","given":"Jaafar","non-dropping-particle":"","parse-names":false,"suffix":""},{"dropping-particle":"","family":"Bachet","given":"Jean Baptiste","non-dropping-particle":"","parse-names":false,"suffix":""},{"dropping-particle":"","family":"Khemissa-Akouz","given":"Faiza","non-dropping-particle":"","parse-names":false,"suffix":""},{"dropping-particle":"","family":"Péré-Vergé","given":"Denis","non-dropping-particle":"","parse-names":false,"suffix":""},{"dropping-particle":"","family":"Delbaldo","given":"Catherine","non-dropping-particle":"","parse-names":false,"suffix":""},{"dropping-particle":"","family":"Assenat","given":"Eric","non-dropping-particle":"","parse-names":false,"suffix":""},{"dropping-particle":"","family":"Chauffert","given":"Bruno","non-dropping-particle":"","parse-names":false,"suffix":""},{"dropping-particle":"","family":"Michel","given":"Pierre","non-dropping-particle":"","parse-names":false,"suffix":""},{"dropping-particle":"","family":"Montoto-Grillot","given":"Christine","non-dropping-particle":"","parse-names":false,"suffix":""},{"dropping-particle":"","family":"Ducreux","given":"Michel","non-dropping-particle":"","parse-names":false,"suffix":""}],"container-title":"New England Journal of Medicine","id":"ITEM-1","issue":"19","issued":{"date-parts":[["2011","5","12"]]},"page":"1817-1825","publisher":"Massachussetts Medical Society","title":"FOLFIRINOX versus gemcitabine for metastatic pancreatic cancer","type":"article-journal","volume":"364"},"uris":["http://www.mendeley.com/documents/?uuid=79115611-6660-388d-8f90-b6d1dd896e88"]}],"mendeley":{"formattedCitation":"&lt;sup&gt;[7]&lt;/sup&gt;","plainTextFormattedCitation":"[7]","previouslyFormattedCitation":"&lt;sup&gt;[7]&lt;/sup&gt;"},"properties":{"noteIndex":0},"schema":"https://github.com/citation-style-language/schema/raw/master/csl-citation.json"}</w:instrText>
            </w:r>
            <w:r w:rsidR="00EB33B3" w:rsidRPr="00981DC5">
              <w:rPr>
                <w:rFonts w:ascii="Book Antiqua" w:hAnsi="Book Antiqua" w:cs="Calibri"/>
                <w:color w:val="000000" w:themeColor="text1"/>
                <w:sz w:val="24"/>
                <w:szCs w:val="24"/>
                <w:vertAlign w:val="superscript"/>
                <w:lang w:val="en-US"/>
              </w:rPr>
              <w:fldChar w:fldCharType="separate"/>
            </w:r>
            <w:r w:rsidR="00EB33B3" w:rsidRPr="00981DC5">
              <w:rPr>
                <w:rFonts w:ascii="Book Antiqua" w:hAnsi="Book Antiqua" w:cs="Calibri"/>
                <w:noProof/>
                <w:color w:val="000000" w:themeColor="text1"/>
                <w:sz w:val="24"/>
                <w:szCs w:val="24"/>
                <w:vertAlign w:val="superscript"/>
                <w:lang w:val="en-US"/>
              </w:rPr>
              <w:t>[44]</w:t>
            </w:r>
            <w:r w:rsidR="00EB33B3" w:rsidRPr="00981DC5">
              <w:rPr>
                <w:rFonts w:ascii="Book Antiqua" w:hAnsi="Book Antiqua" w:cs="Calibri"/>
                <w:color w:val="000000" w:themeColor="text1"/>
                <w:sz w:val="24"/>
                <w:szCs w:val="24"/>
                <w:vertAlign w:val="superscript"/>
                <w:lang w:val="en-US"/>
              </w:rPr>
              <w:fldChar w:fldCharType="end"/>
            </w:r>
            <w:r w:rsidR="00EB33B3" w:rsidRPr="00981DC5">
              <w:rPr>
                <w:rFonts w:ascii="Book Antiqua" w:hAnsi="Book Antiqua" w:cs="Calibri"/>
                <w:color w:val="000000" w:themeColor="text1"/>
                <w:sz w:val="24"/>
                <w:szCs w:val="24"/>
                <w:lang w:val="en-US"/>
              </w:rPr>
              <w:t>, 2019</w:t>
            </w:r>
          </w:p>
        </w:tc>
        <w:tc>
          <w:tcPr>
            <w:tcW w:w="1894" w:type="dxa"/>
            <w:vAlign w:val="center"/>
          </w:tcPr>
          <w:p w14:paraId="41BC6281" w14:textId="77777777" w:rsidR="00521171" w:rsidRPr="00981DC5" w:rsidRDefault="00521171"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s="Calibri"/>
                <w:color w:val="000000" w:themeColor="text1"/>
                <w:sz w:val="24"/>
                <w:szCs w:val="24"/>
                <w:lang w:val="en-US"/>
              </w:rPr>
              <w:t>32.3</w:t>
            </w:r>
          </w:p>
        </w:tc>
        <w:tc>
          <w:tcPr>
            <w:tcW w:w="2123" w:type="dxa"/>
            <w:vAlign w:val="center"/>
          </w:tcPr>
          <w:p w14:paraId="731BD98F" w14:textId="77777777" w:rsidR="00521171" w:rsidRPr="00981DC5" w:rsidRDefault="00521171"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s="Calibri"/>
                <w:color w:val="000000" w:themeColor="text1"/>
                <w:sz w:val="24"/>
                <w:szCs w:val="24"/>
                <w:lang w:val="en-US"/>
              </w:rPr>
              <w:t>-59.1</w:t>
            </w:r>
          </w:p>
        </w:tc>
        <w:tc>
          <w:tcPr>
            <w:tcW w:w="1860" w:type="dxa"/>
            <w:vMerge/>
            <w:vAlign w:val="center"/>
          </w:tcPr>
          <w:p w14:paraId="0E7635F8" w14:textId="77777777" w:rsidR="00521171" w:rsidRPr="00981DC5" w:rsidRDefault="00521171" w:rsidP="00B11A05">
            <w:pPr>
              <w:adjustRightInd w:val="0"/>
              <w:snapToGrid w:val="0"/>
              <w:spacing w:line="360" w:lineRule="auto"/>
              <w:jc w:val="both"/>
              <w:rPr>
                <w:rFonts w:ascii="Book Antiqua" w:hAnsi="Book Antiqua"/>
                <w:color w:val="000000" w:themeColor="text1"/>
                <w:sz w:val="24"/>
                <w:szCs w:val="24"/>
                <w:lang w:val="en-US"/>
              </w:rPr>
            </w:pPr>
          </w:p>
        </w:tc>
      </w:tr>
      <w:tr w:rsidR="00981DC5" w:rsidRPr="00981DC5" w14:paraId="3B2A964B" w14:textId="77777777" w:rsidTr="00EB33B3">
        <w:tc>
          <w:tcPr>
            <w:tcW w:w="1861" w:type="dxa"/>
            <w:vMerge w:val="restart"/>
            <w:vAlign w:val="center"/>
          </w:tcPr>
          <w:p w14:paraId="0CF6249D" w14:textId="1A7932B5" w:rsidR="00521171" w:rsidRPr="00981DC5" w:rsidRDefault="00521171" w:rsidP="00B11A05">
            <w:pPr>
              <w:adjustRightInd w:val="0"/>
              <w:snapToGrid w:val="0"/>
              <w:spacing w:line="360" w:lineRule="auto"/>
              <w:jc w:val="both"/>
              <w:rPr>
                <w:rFonts w:ascii="Book Antiqua" w:hAnsi="Book Antiqua"/>
                <w:color w:val="000000" w:themeColor="text1"/>
                <w:sz w:val="24"/>
                <w:szCs w:val="24"/>
                <w:lang w:val="en-US"/>
              </w:rPr>
            </w:pPr>
            <w:r w:rsidRPr="00981DC5">
              <w:rPr>
                <w:rFonts w:ascii="Book Antiqua" w:hAnsi="Book Antiqua" w:cs="Calibri"/>
                <w:color w:val="000000" w:themeColor="text1"/>
                <w:sz w:val="24"/>
                <w:szCs w:val="24"/>
                <w:lang w:val="en-US"/>
              </w:rPr>
              <w:t xml:space="preserve">k </w:t>
            </w:r>
            <w:r w:rsidR="00EB33B3" w:rsidRPr="00981DC5">
              <w:rPr>
                <w:rFonts w:ascii="Book Antiqua" w:hAnsi="Book Antiqua" w:cs="Calibri"/>
                <w:i/>
                <w:color w:val="000000" w:themeColor="text1"/>
                <w:sz w:val="24"/>
                <w:szCs w:val="24"/>
                <w:lang w:val="en-US"/>
              </w:rPr>
              <w:t>vs</w:t>
            </w:r>
            <w:r w:rsidRPr="00981DC5">
              <w:rPr>
                <w:rFonts w:ascii="Book Antiqua" w:hAnsi="Book Antiqua" w:cs="Calibri"/>
                <w:color w:val="000000" w:themeColor="text1"/>
                <w:sz w:val="24"/>
                <w:szCs w:val="24"/>
                <w:lang w:val="en-US"/>
              </w:rPr>
              <w:t xml:space="preserve"> GEMOX</w:t>
            </w:r>
          </w:p>
        </w:tc>
        <w:tc>
          <w:tcPr>
            <w:tcW w:w="1884" w:type="dxa"/>
            <w:vAlign w:val="center"/>
          </w:tcPr>
          <w:p w14:paraId="59E74990" w14:textId="4573B93C" w:rsidR="00521171" w:rsidRPr="00981DC5" w:rsidRDefault="00521171"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s="Calibri"/>
                <w:color w:val="000000" w:themeColor="text1"/>
                <w:sz w:val="24"/>
                <w:szCs w:val="24"/>
                <w:lang w:val="en-US"/>
              </w:rPr>
              <w:t xml:space="preserve">Shi </w:t>
            </w:r>
            <w:r w:rsidR="00EB33B3" w:rsidRPr="00981DC5">
              <w:rPr>
                <w:rFonts w:ascii="Book Antiqua" w:hAnsi="Book Antiqua" w:cs="Calibri"/>
                <w:i/>
                <w:iCs/>
                <w:color w:val="000000" w:themeColor="text1"/>
                <w:sz w:val="24"/>
                <w:szCs w:val="24"/>
                <w:lang w:val="en-US"/>
              </w:rPr>
              <w:t>et al</w:t>
            </w:r>
            <w:r w:rsidR="00EB33B3" w:rsidRPr="00981DC5">
              <w:rPr>
                <w:rFonts w:ascii="Book Antiqua" w:hAnsi="Book Antiqua" w:cs="Calibri"/>
                <w:color w:val="000000" w:themeColor="text1"/>
                <w:sz w:val="24"/>
                <w:szCs w:val="24"/>
                <w:vertAlign w:val="superscript"/>
                <w:lang w:val="en-US"/>
              </w:rPr>
              <w:fldChar w:fldCharType="begin" w:fldLock="1"/>
            </w:r>
            <w:r w:rsidR="00EB33B3" w:rsidRPr="00981DC5">
              <w:rPr>
                <w:rFonts w:ascii="Book Antiqua" w:hAnsi="Book Antiqua" w:cs="Calibri"/>
                <w:color w:val="000000" w:themeColor="text1"/>
                <w:sz w:val="24"/>
                <w:szCs w:val="24"/>
                <w:vertAlign w:val="superscript"/>
                <w:lang w:val="en-US"/>
              </w:rPr>
              <w:instrText>ADDIN CSL_CITATION {"citationItems":[{"id":"ITEM-1","itemData":{"DOI":"10.1056/NEJMoa1011923","ISSN":"15334406","PMID":"21561347","abstract":"BACKGROUND: Data are lacking on the efficacy and safety of a combination chemotherapy regimen consisting of oxaliplatin, irinotecan, fluorouracil, and leucovorin (FOLFIRINOX) as compared with gemcitabine as first-line therapy in patients with metastatic pancreatic cancer. METHODS: We randomly assigned 342 patients with an Eastern Cooperative Oncology Group performance status score of 0 or 1 (on a scale of 0 to 5, with higher scores indicating a greater severity of illness) to receive FOLFIRINOX (oxaliplatin, 85 mg per square meter of body-surface area; irinotecan, 180 mg per square meter; leucovorin, 400 mg per square meter; and fluorouracil, 400 mg per square meter given as a bolus followed by 2400 mg per square meter given as a 46-hour continuous infusion, every 2 weeks) or gemcitabine at a dose of 1000 mg per square meter weekly for 7 of 8 weeks and then weekly for 3 of 4 weeks. Six months of chemotherapy were recommended in both groups in patients who had a response. The primary end point was overall survival. RESULTS: The median overall survival was 11.1 months in the FOLFIRINOX group as compared with 6.8 months in the gemcitabine group (hazard ratio for death, 0.57; 95% confidence interval [CI], 0.45 to 0.73; P&lt;0.001). Median progression-free survival was 6.4 months in the FOLFIRINOX group and 3.3 months in the gemcitabine group (hazard ratio for disease progression, 0.47; 95% CI, 0.37 to 0.59; P&lt;0.001). The objective response rate was 31.6% in the FOLFIRINOX group versus 9.4% in the gemcitabine group (P&lt;0.001). More adverse events were noted in the FOLFIRINOX group; 5.4% of patients in this group had febrile neutropenia. At 6 months, 31% of the patients in the FOLFIRINOX group had a definitive degradation of the quality of life versus 66% in the gemcitabine group (hazard ratio, 0.47; 95% CI, 0.30 to 0.70; P&lt;0.001). CONCLUSIONS: As compared with gemcitabine, FOLFIRINOX was associated with a survival advantage and had increased toxicity. FOLFIRINOX is an option for the treatment of patients with metastatic pancreatic cancer and good performance status. (Funded by the French government and others; ClinicalTrials.gov number, NCT00112658.) Copyright © 2011 Massachusetts Medical Society.","author":[{"dropping-particle":"","family":"Conroy","given":"Thierry","non-dropping-particle":"","parse-names":false,"suffix":""},{"dropping-particle":"","family":"Desseigne","given":"Françoise","non-dropping-particle":"","parse-names":false,"suffix":""},{"dropping-particle":"","family":"Ychou","given":"Marc","non-dropping-particle":"","parse-names":false,"suffix":""},{"dropping-particle":"","family":"Bouché","given":"Olivier","non-dropping-particle":"","parse-names":false,"suffix":""},{"dropping-particle":"","family":"Guimbaud","given":"Rosine","non-dropping-particle":"","parse-names":false,"suffix":""},{"dropping-particle":"","family":"Bécouarn","given":"Yves","non-dropping-particle":"","parse-names":false,"suffix":""},{"dropping-particle":"","family":"Adenis","given":"Antoine","non-dropping-particle":"","parse-names":false,"suffix":""},{"dropping-particle":"","family":"Raoul","given":"Jean Luc","non-dropping-particle":"","parse-names":false,"suffix":""},{"dropping-particle":"","family":"Gourgou-Bourgade","given":"Sophie","non-dropping-particle":"","parse-names":false,"suffix":""},{"dropping-particle":"","family":"La Fouchardière","given":"Christelle","non-dropping-particle":"De","parse-names":false,"suffix":""},{"dropping-particle":"","family":"Bennouna","given":"Jaafar","non-dropping-particle":"","parse-names":false,"suffix":""},{"dropping-particle":"","family":"Bachet","given":"Jean Baptiste","non-dropping-particle":"","parse-names":false,"suffix":""},{"dropping-particle":"","family":"Khemissa-Akouz","given":"Faiza","non-dropping-particle":"","parse-names":false,"suffix":""},{"dropping-particle":"","family":"Péré-Vergé","given":"Denis","non-dropping-particle":"","parse-names":false,"suffix":""},{"dropping-particle":"","family":"Delbaldo","given":"Catherine","non-dropping-particle":"","parse-names":false,"suffix":""},{"dropping-particle":"","family":"Assenat","given":"Eric","non-dropping-particle":"","parse-names":false,"suffix":""},{"dropping-particle":"","family":"Chauffert","given":"Bruno","non-dropping-particle":"","parse-names":false,"suffix":""},{"dropping-particle":"","family":"Michel","given":"Pierre","non-dropping-particle":"","parse-names":false,"suffix":""},{"dropping-particle":"","family":"Montoto-Grillot","given":"Christine","non-dropping-particle":"","parse-names":false,"suffix":""},{"dropping-particle":"","family":"Ducreux","given":"Michel","non-dropping-particle":"","parse-names":false,"suffix":""}],"container-title":"New England Journal of Medicine","id":"ITEM-1","issue":"19","issued":{"date-parts":[["2011","5","12"]]},"page":"1817-1825","publisher":"Massachussetts Medical Society","title":"FOLFIRINOX versus gemcitabine for metastatic pancreatic cancer","type":"article-journal","volume":"364"},"uris":["http://www.mendeley.com/documents/?uuid=79115611-6660-388d-8f90-b6d1dd896e88"]}],"mendeley":{"formattedCitation":"&lt;sup&gt;[7]&lt;/sup&gt;","plainTextFormattedCitation":"[7]","previouslyFormattedCitation":"&lt;sup&gt;[7]&lt;/sup&gt;"},"properties":{"noteIndex":0},"schema":"https://github.com/citation-style-language/schema/raw/master/csl-citation.json"}</w:instrText>
            </w:r>
            <w:r w:rsidR="00EB33B3" w:rsidRPr="00981DC5">
              <w:rPr>
                <w:rFonts w:ascii="Book Antiqua" w:hAnsi="Book Antiqua" w:cs="Calibri"/>
                <w:color w:val="000000" w:themeColor="text1"/>
                <w:sz w:val="24"/>
                <w:szCs w:val="24"/>
                <w:vertAlign w:val="superscript"/>
                <w:lang w:val="en-US"/>
              </w:rPr>
              <w:fldChar w:fldCharType="separate"/>
            </w:r>
            <w:r w:rsidR="00EB33B3" w:rsidRPr="00981DC5">
              <w:rPr>
                <w:rFonts w:ascii="Book Antiqua" w:hAnsi="Book Antiqua" w:cs="Calibri"/>
                <w:noProof/>
                <w:color w:val="000000" w:themeColor="text1"/>
                <w:sz w:val="24"/>
                <w:szCs w:val="24"/>
                <w:vertAlign w:val="superscript"/>
                <w:lang w:val="en-US"/>
              </w:rPr>
              <w:t>[46]</w:t>
            </w:r>
            <w:r w:rsidR="00EB33B3" w:rsidRPr="00981DC5">
              <w:rPr>
                <w:rFonts w:ascii="Book Antiqua" w:hAnsi="Book Antiqua" w:cs="Calibri"/>
                <w:color w:val="000000" w:themeColor="text1"/>
                <w:sz w:val="24"/>
                <w:szCs w:val="24"/>
                <w:vertAlign w:val="superscript"/>
                <w:lang w:val="en-US"/>
              </w:rPr>
              <w:fldChar w:fldCharType="end"/>
            </w:r>
            <w:r w:rsidR="00EB33B3" w:rsidRPr="00981DC5">
              <w:rPr>
                <w:rFonts w:ascii="Book Antiqua" w:hAnsi="Book Antiqua" w:cs="Calibri"/>
                <w:color w:val="000000" w:themeColor="text1"/>
                <w:sz w:val="24"/>
                <w:szCs w:val="24"/>
                <w:lang w:val="en-US"/>
              </w:rPr>
              <w:t>, 2007</w:t>
            </w:r>
          </w:p>
        </w:tc>
        <w:tc>
          <w:tcPr>
            <w:tcW w:w="1894" w:type="dxa"/>
            <w:vAlign w:val="center"/>
          </w:tcPr>
          <w:p w14:paraId="18FE11CD" w14:textId="77777777" w:rsidR="00521171" w:rsidRPr="00981DC5" w:rsidRDefault="00521171"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s="Calibri"/>
                <w:color w:val="000000" w:themeColor="text1"/>
                <w:sz w:val="24"/>
                <w:szCs w:val="24"/>
                <w:lang w:val="en-US"/>
              </w:rPr>
              <w:t>26.8</w:t>
            </w:r>
          </w:p>
        </w:tc>
        <w:tc>
          <w:tcPr>
            <w:tcW w:w="2123" w:type="dxa"/>
            <w:vAlign w:val="center"/>
          </w:tcPr>
          <w:p w14:paraId="65FD9BF2" w14:textId="77777777" w:rsidR="00521171" w:rsidRPr="00981DC5" w:rsidRDefault="00521171"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s="Calibri"/>
                <w:color w:val="000000" w:themeColor="text1"/>
                <w:sz w:val="24"/>
                <w:szCs w:val="24"/>
                <w:lang w:val="en-US"/>
              </w:rPr>
              <w:t>-55.2</w:t>
            </w:r>
          </w:p>
        </w:tc>
        <w:tc>
          <w:tcPr>
            <w:tcW w:w="1860" w:type="dxa"/>
            <w:vMerge w:val="restart"/>
            <w:vAlign w:val="center"/>
          </w:tcPr>
          <w:p w14:paraId="4D546EC7" w14:textId="77777777" w:rsidR="00521171" w:rsidRPr="00981DC5" w:rsidRDefault="00521171" w:rsidP="00B11A05">
            <w:pPr>
              <w:adjustRightInd w:val="0"/>
              <w:snapToGrid w:val="0"/>
              <w:spacing w:line="360" w:lineRule="auto"/>
              <w:jc w:val="both"/>
              <w:rPr>
                <w:rFonts w:ascii="Book Antiqua" w:hAnsi="Book Antiqua"/>
                <w:color w:val="000000" w:themeColor="text1"/>
                <w:sz w:val="24"/>
                <w:szCs w:val="24"/>
                <w:lang w:val="en-US"/>
              </w:rPr>
            </w:pPr>
            <w:r w:rsidRPr="00981DC5">
              <w:rPr>
                <w:rFonts w:ascii="Book Antiqua" w:hAnsi="Book Antiqua" w:cs="Calibri"/>
                <w:color w:val="000000" w:themeColor="text1"/>
                <w:sz w:val="24"/>
                <w:szCs w:val="24"/>
                <w:lang w:val="en-US"/>
              </w:rPr>
              <w:t>-59.3</w:t>
            </w:r>
          </w:p>
        </w:tc>
      </w:tr>
      <w:tr w:rsidR="00981DC5" w:rsidRPr="00981DC5" w14:paraId="76E5F51A" w14:textId="77777777" w:rsidTr="00EB33B3">
        <w:tc>
          <w:tcPr>
            <w:tcW w:w="1861" w:type="dxa"/>
            <w:vMerge/>
            <w:vAlign w:val="center"/>
          </w:tcPr>
          <w:p w14:paraId="6BD49874" w14:textId="77777777" w:rsidR="00521171" w:rsidRPr="00981DC5" w:rsidRDefault="00521171" w:rsidP="00B11A05">
            <w:pPr>
              <w:adjustRightInd w:val="0"/>
              <w:snapToGrid w:val="0"/>
              <w:spacing w:line="360" w:lineRule="auto"/>
              <w:jc w:val="both"/>
              <w:rPr>
                <w:rFonts w:ascii="Book Antiqua" w:hAnsi="Book Antiqua"/>
                <w:color w:val="000000" w:themeColor="text1"/>
                <w:sz w:val="24"/>
                <w:szCs w:val="24"/>
                <w:lang w:val="en-US"/>
              </w:rPr>
            </w:pPr>
          </w:p>
        </w:tc>
        <w:tc>
          <w:tcPr>
            <w:tcW w:w="1884" w:type="dxa"/>
            <w:vAlign w:val="center"/>
          </w:tcPr>
          <w:p w14:paraId="55E998D8" w14:textId="66BD673D" w:rsidR="00521171" w:rsidRPr="00981DC5" w:rsidRDefault="00521171"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s="Calibri"/>
                <w:color w:val="000000" w:themeColor="text1"/>
                <w:sz w:val="24"/>
                <w:szCs w:val="24"/>
                <w:lang w:val="en-US"/>
              </w:rPr>
              <w:t xml:space="preserve">Li </w:t>
            </w:r>
            <w:r w:rsidR="00EB33B3" w:rsidRPr="00981DC5">
              <w:rPr>
                <w:rFonts w:ascii="Book Antiqua" w:hAnsi="Book Antiqua" w:cs="Calibri"/>
                <w:i/>
                <w:iCs/>
                <w:color w:val="000000" w:themeColor="text1"/>
                <w:sz w:val="24"/>
                <w:szCs w:val="24"/>
                <w:lang w:val="en-US"/>
              </w:rPr>
              <w:t>et al</w:t>
            </w:r>
            <w:r w:rsidR="00EB33B3" w:rsidRPr="00981DC5">
              <w:rPr>
                <w:rFonts w:ascii="Book Antiqua" w:hAnsi="Book Antiqua" w:cs="Calibri"/>
                <w:color w:val="000000" w:themeColor="text1"/>
                <w:sz w:val="24"/>
                <w:szCs w:val="24"/>
                <w:vertAlign w:val="superscript"/>
                <w:lang w:val="en-US"/>
              </w:rPr>
              <w:fldChar w:fldCharType="begin" w:fldLock="1"/>
            </w:r>
            <w:r w:rsidR="00EB33B3" w:rsidRPr="00981DC5">
              <w:rPr>
                <w:rFonts w:ascii="Book Antiqua" w:hAnsi="Book Antiqua" w:cs="Calibri"/>
                <w:color w:val="000000" w:themeColor="text1"/>
                <w:sz w:val="24"/>
                <w:szCs w:val="24"/>
                <w:vertAlign w:val="superscript"/>
                <w:lang w:val="en-US"/>
              </w:rPr>
              <w:instrText>ADDIN CSL_CITATION {"citationItems":[{"id":"ITEM-1","itemData":{"DOI":"10.1056/NEJMoa1011923","ISSN":"15334406","PMID":"21561347","abstract":"BACKGROUND: Data are lacking on the efficacy and safety of a combination chemotherapy regimen consisting of oxaliplatin, irinotecan, fluorouracil, and leucovorin (FOLFIRINOX) as compared with gemcitabine as first-line therapy in patients with metastatic pancreatic cancer. METHODS: We randomly assigned 342 patients with an Eastern Cooperative Oncology Group performance status score of 0 or 1 (on a scale of 0 to 5, with higher scores indicating a greater severity of illness) to receive FOLFIRINOX (oxaliplatin, 85 mg per square meter of body-surface area; irinotecan, 180 mg per square meter; leucovorin, 400 mg per square meter; and fluorouracil, 400 mg per square meter given as a bolus followed by 2400 mg per square meter given as a 46-hour continuous infusion, every 2 weeks) or gemcitabine at a dose of 1000 mg per square meter weekly for 7 of 8 weeks and then weekly for 3 of 4 weeks. Six months of chemotherapy were recommended in both groups in patients who had a response. The primary end point was overall survival. RESULTS: The median overall survival was 11.1 months in the FOLFIRINOX group as compared with 6.8 months in the gemcitabine group (hazard ratio for death, 0.57; 95% confidence interval [CI], 0.45 to 0.73; P&lt;0.001). Median progression-free survival was 6.4 months in the FOLFIRINOX group and 3.3 months in the gemcitabine group (hazard ratio for disease progression, 0.47; 95% CI, 0.37 to 0.59; P&lt;0.001). The objective response rate was 31.6% in the FOLFIRINOX group versus 9.4% in the gemcitabine group (P&lt;0.001). More adverse events were noted in the FOLFIRINOX group; 5.4% of patients in this group had febrile neutropenia. At 6 months, 31% of the patients in the FOLFIRINOX group had a definitive degradation of the quality of life versus 66% in the gemcitabine group (hazard ratio, 0.47; 95% CI, 0.30 to 0.70; P&lt;0.001). CONCLUSIONS: As compared with gemcitabine, FOLFIRINOX was associated with a survival advantage and had increased toxicity. FOLFIRINOX is an option for the treatment of patients with metastatic pancreatic cancer and good performance status. (Funded by the French government and others; ClinicalTrials.gov number, NCT00112658.) Copyright © 2011 Massachusetts Medical Society.","author":[{"dropping-particle":"","family":"Conroy","given":"Thierry","non-dropping-particle":"","parse-names":false,"suffix":""},{"dropping-particle":"","family":"Desseigne","given":"Françoise","non-dropping-particle":"","parse-names":false,"suffix":""},{"dropping-particle":"","family":"Ychou","given":"Marc","non-dropping-particle":"","parse-names":false,"suffix":""},{"dropping-particle":"","family":"Bouché","given":"Olivier","non-dropping-particle":"","parse-names":false,"suffix":""},{"dropping-particle":"","family":"Guimbaud","given":"Rosine","non-dropping-particle":"","parse-names":false,"suffix":""},{"dropping-particle":"","family":"Bécouarn","given":"Yves","non-dropping-particle":"","parse-names":false,"suffix":""},{"dropping-particle":"","family":"Adenis","given":"Antoine","non-dropping-particle":"","parse-names":false,"suffix":""},{"dropping-particle":"","family":"Raoul","given":"Jean Luc","non-dropping-particle":"","parse-names":false,"suffix":""},{"dropping-particle":"","family":"Gourgou-Bourgade","given":"Sophie","non-dropping-particle":"","parse-names":false,"suffix":""},{"dropping-particle":"","family":"La Fouchardière","given":"Christelle","non-dropping-particle":"De","parse-names":false,"suffix":""},{"dropping-particle":"","family":"Bennouna","given":"Jaafar","non-dropping-particle":"","parse-names":false,"suffix":""},{"dropping-particle":"","family":"Bachet","given":"Jean Baptiste","non-dropping-particle":"","parse-names":false,"suffix":""},{"dropping-particle":"","family":"Khemissa-Akouz","given":"Faiza","non-dropping-particle":"","parse-names":false,"suffix":""},{"dropping-particle":"","family":"Péré-Vergé","given":"Denis","non-dropping-particle":"","parse-names":false,"suffix":""},{"dropping-particle":"","family":"Delbaldo","given":"Catherine","non-dropping-particle":"","parse-names":false,"suffix":""},{"dropping-particle":"","family":"Assenat","given":"Eric","non-dropping-particle":"","parse-names":false,"suffix":""},{"dropping-particle":"","family":"Chauffert","given":"Bruno","non-dropping-particle":"","parse-names":false,"suffix":""},{"dropping-particle":"","family":"Michel","given":"Pierre","non-dropping-particle":"","parse-names":false,"suffix":""},{"dropping-particle":"","family":"Montoto-Grillot","given":"Christine","non-dropping-particle":"","parse-names":false,"suffix":""},{"dropping-particle":"","family":"Ducreux","given":"Michel","non-dropping-particle":"","parse-names":false,"suffix":""}],"container-title":"New England Journal of Medicine","id":"ITEM-1","issue":"19","issued":{"date-parts":[["2011","5","12"]]},"page":"1817-1825","publisher":"Massachussetts Medical Society","title":"FOLFIRINOX versus gemcitabine for metastatic pancreatic cancer","type":"article-journal","volume":"364"},"uris":["http://www.mendeley.com/documents/?uuid=79115611-6660-388d-8f90-b6d1dd896e88"]}],"mendeley":{"formattedCitation":"&lt;sup&gt;[7]&lt;/sup&gt;","plainTextFormattedCitation":"[7]","previouslyFormattedCitation":"&lt;sup&gt;[7]&lt;/sup&gt;"},"properties":{"noteIndex":0},"schema":"https://github.com/citation-style-language/schema/raw/master/csl-citation.json"}</w:instrText>
            </w:r>
            <w:r w:rsidR="00EB33B3" w:rsidRPr="00981DC5">
              <w:rPr>
                <w:rFonts w:ascii="Book Antiqua" w:hAnsi="Book Antiqua" w:cs="Calibri"/>
                <w:color w:val="000000" w:themeColor="text1"/>
                <w:sz w:val="24"/>
                <w:szCs w:val="24"/>
                <w:vertAlign w:val="superscript"/>
                <w:lang w:val="en-US"/>
              </w:rPr>
              <w:fldChar w:fldCharType="separate"/>
            </w:r>
            <w:r w:rsidR="00EB33B3" w:rsidRPr="00981DC5">
              <w:rPr>
                <w:rFonts w:ascii="Book Antiqua" w:hAnsi="Book Antiqua" w:cs="Calibri"/>
                <w:noProof/>
                <w:color w:val="000000" w:themeColor="text1"/>
                <w:sz w:val="24"/>
                <w:szCs w:val="24"/>
                <w:vertAlign w:val="superscript"/>
                <w:lang w:val="en-US"/>
              </w:rPr>
              <w:t>[47]</w:t>
            </w:r>
            <w:r w:rsidR="00EB33B3" w:rsidRPr="00981DC5">
              <w:rPr>
                <w:rFonts w:ascii="Book Antiqua" w:hAnsi="Book Antiqua" w:cs="Calibri"/>
                <w:color w:val="000000" w:themeColor="text1"/>
                <w:sz w:val="24"/>
                <w:szCs w:val="24"/>
                <w:vertAlign w:val="superscript"/>
                <w:lang w:val="en-US"/>
              </w:rPr>
              <w:fldChar w:fldCharType="end"/>
            </w:r>
            <w:r w:rsidR="00EB33B3" w:rsidRPr="00981DC5">
              <w:rPr>
                <w:rFonts w:ascii="Book Antiqua" w:hAnsi="Book Antiqua" w:cs="Calibri"/>
                <w:color w:val="000000" w:themeColor="text1"/>
                <w:sz w:val="24"/>
                <w:szCs w:val="24"/>
                <w:lang w:val="en-US"/>
              </w:rPr>
              <w:t>, 2010</w:t>
            </w:r>
          </w:p>
        </w:tc>
        <w:tc>
          <w:tcPr>
            <w:tcW w:w="1894" w:type="dxa"/>
            <w:vAlign w:val="center"/>
          </w:tcPr>
          <w:p w14:paraId="7D99764C" w14:textId="77777777" w:rsidR="00521171" w:rsidRPr="00981DC5" w:rsidRDefault="00521171"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s="Calibri"/>
                <w:color w:val="000000" w:themeColor="text1"/>
                <w:sz w:val="24"/>
                <w:szCs w:val="24"/>
                <w:lang w:val="en-US"/>
              </w:rPr>
              <w:t>25</w:t>
            </w:r>
          </w:p>
        </w:tc>
        <w:tc>
          <w:tcPr>
            <w:tcW w:w="2123" w:type="dxa"/>
            <w:vAlign w:val="center"/>
          </w:tcPr>
          <w:p w14:paraId="035C4E07" w14:textId="77777777" w:rsidR="00521171" w:rsidRPr="00981DC5" w:rsidRDefault="00521171"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s="Calibri"/>
                <w:color w:val="000000" w:themeColor="text1"/>
                <w:sz w:val="24"/>
                <w:szCs w:val="24"/>
                <w:lang w:val="en-US"/>
              </w:rPr>
              <w:t>-56.8</w:t>
            </w:r>
          </w:p>
        </w:tc>
        <w:tc>
          <w:tcPr>
            <w:tcW w:w="1860" w:type="dxa"/>
            <w:vMerge/>
            <w:vAlign w:val="center"/>
          </w:tcPr>
          <w:p w14:paraId="072A254F" w14:textId="77777777" w:rsidR="00521171" w:rsidRPr="00981DC5" w:rsidRDefault="00521171" w:rsidP="00B11A05">
            <w:pPr>
              <w:adjustRightInd w:val="0"/>
              <w:snapToGrid w:val="0"/>
              <w:spacing w:line="360" w:lineRule="auto"/>
              <w:jc w:val="both"/>
              <w:rPr>
                <w:rFonts w:ascii="Book Antiqua" w:hAnsi="Book Antiqua"/>
                <w:color w:val="000000" w:themeColor="text1"/>
                <w:sz w:val="24"/>
                <w:szCs w:val="24"/>
                <w:lang w:val="en-US"/>
              </w:rPr>
            </w:pPr>
          </w:p>
        </w:tc>
      </w:tr>
      <w:tr w:rsidR="00981DC5" w:rsidRPr="00981DC5" w14:paraId="0B86D2E2" w14:textId="77777777" w:rsidTr="00EB33B3">
        <w:tc>
          <w:tcPr>
            <w:tcW w:w="1861" w:type="dxa"/>
            <w:vMerge w:val="restart"/>
            <w:vAlign w:val="center"/>
          </w:tcPr>
          <w:p w14:paraId="6DE20E99" w14:textId="73226FE7" w:rsidR="00521171" w:rsidRPr="00981DC5" w:rsidRDefault="00521171" w:rsidP="00B11A05">
            <w:pPr>
              <w:adjustRightInd w:val="0"/>
              <w:snapToGrid w:val="0"/>
              <w:spacing w:line="360" w:lineRule="auto"/>
              <w:jc w:val="both"/>
              <w:rPr>
                <w:rFonts w:ascii="Book Antiqua" w:hAnsi="Book Antiqua"/>
                <w:color w:val="000000" w:themeColor="text1"/>
                <w:sz w:val="24"/>
                <w:szCs w:val="24"/>
                <w:lang w:val="en-US"/>
              </w:rPr>
            </w:pPr>
            <w:r w:rsidRPr="00981DC5">
              <w:rPr>
                <w:rFonts w:ascii="Book Antiqua" w:hAnsi="Book Antiqua" w:cs="Calibri"/>
                <w:color w:val="000000" w:themeColor="text1"/>
                <w:sz w:val="24"/>
                <w:szCs w:val="24"/>
                <w:lang w:val="en-US"/>
              </w:rPr>
              <w:t xml:space="preserve">k </w:t>
            </w:r>
            <w:r w:rsidR="00EB33B3" w:rsidRPr="00981DC5">
              <w:rPr>
                <w:rFonts w:ascii="Book Antiqua" w:hAnsi="Book Antiqua" w:cs="Calibri"/>
                <w:i/>
                <w:color w:val="000000" w:themeColor="text1"/>
                <w:sz w:val="24"/>
                <w:szCs w:val="24"/>
                <w:lang w:val="en-US"/>
              </w:rPr>
              <w:t>vs</w:t>
            </w:r>
            <w:r w:rsidRPr="00981DC5">
              <w:rPr>
                <w:rFonts w:ascii="Book Antiqua" w:hAnsi="Book Antiqua" w:cs="Calibri"/>
                <w:color w:val="000000" w:themeColor="text1"/>
                <w:sz w:val="24"/>
                <w:szCs w:val="24"/>
                <w:lang w:val="en-US"/>
              </w:rPr>
              <w:t xml:space="preserve"> Gem/nab-P</w:t>
            </w:r>
          </w:p>
        </w:tc>
        <w:tc>
          <w:tcPr>
            <w:tcW w:w="1884" w:type="dxa"/>
            <w:vAlign w:val="center"/>
          </w:tcPr>
          <w:p w14:paraId="1457012A" w14:textId="289EA908" w:rsidR="00521171" w:rsidRPr="00981DC5" w:rsidRDefault="00521171"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s="Calibri"/>
                <w:color w:val="000000" w:themeColor="text1"/>
                <w:sz w:val="24"/>
                <w:szCs w:val="24"/>
                <w:lang w:val="en-US"/>
              </w:rPr>
              <w:t xml:space="preserve">Von Hoff </w:t>
            </w:r>
            <w:r w:rsidR="00EB33B3" w:rsidRPr="00981DC5">
              <w:rPr>
                <w:rFonts w:ascii="Book Antiqua" w:hAnsi="Book Antiqua" w:cs="Calibri"/>
                <w:i/>
                <w:iCs/>
                <w:color w:val="000000" w:themeColor="text1"/>
                <w:sz w:val="24"/>
                <w:szCs w:val="24"/>
                <w:lang w:val="en-US"/>
              </w:rPr>
              <w:t>et al</w:t>
            </w:r>
            <w:r w:rsidR="00EB33B3" w:rsidRPr="00981DC5">
              <w:rPr>
                <w:rFonts w:ascii="Book Antiqua" w:hAnsi="Book Antiqua" w:cs="Calibri"/>
                <w:color w:val="000000" w:themeColor="text1"/>
                <w:sz w:val="24"/>
                <w:szCs w:val="24"/>
                <w:vertAlign w:val="superscript"/>
                <w:lang w:val="en-US"/>
              </w:rPr>
              <w:fldChar w:fldCharType="begin" w:fldLock="1"/>
            </w:r>
            <w:r w:rsidR="00EB33B3" w:rsidRPr="00981DC5">
              <w:rPr>
                <w:rFonts w:ascii="Book Antiqua" w:hAnsi="Book Antiqua" w:cs="Calibri"/>
                <w:color w:val="000000" w:themeColor="text1"/>
                <w:sz w:val="24"/>
                <w:szCs w:val="24"/>
                <w:vertAlign w:val="superscript"/>
                <w:lang w:val="en-US"/>
              </w:rPr>
              <w:instrText>ADDIN CSL_CITATION {"citationItems":[{"id":"ITEM-1","itemData":{"DOI":"10.1056/NEJMoa1011923","ISSN":"15334406","PMID":"21561347","abstract":"BACKGROUND: Data are lacking on the efficacy and safety of a combination chemotherapy regimen consisting of oxaliplatin, irinotecan, fluorouracil, and leucovorin (FOLFIRINOX) as compared with gemcitabine as first-line therapy in patients with metastatic pancreatic cancer. METHODS: We randomly assigned 342 patients with an Eastern Cooperative Oncology Group performance status score of 0 or 1 (on a scale of 0 to 5, with higher scores indicating a greater severity of illness) to receive FOLFIRINOX (oxaliplatin, 85 mg per square meter of body-surface area; irinotecan, 180 mg per square meter; leucovorin, 400 mg per square meter; and fluorouracil, 400 mg per square meter given as a bolus followed by 2400 mg per square meter given as a 46-hour continuous infusion, every 2 weeks) or gemcitabine at a dose of 1000 mg per square meter weekly for 7 of 8 weeks and then weekly for 3 of 4 weeks. Six months of chemotherapy were recommended in both groups in patients who had a response. The primary end point was overall survival. RESULTS: The median overall survival was 11.1 months in the FOLFIRINOX group as compared with 6.8 months in the gemcitabine group (hazard ratio for death, 0.57; 95% confidence interval [CI], 0.45 to 0.73; P&lt;0.001). Median progression-free survival was 6.4 months in the FOLFIRINOX group and 3.3 months in the gemcitabine group (hazard ratio for disease progression, 0.47; 95% CI, 0.37 to 0.59; P&lt;0.001). The objective response rate was 31.6% in the FOLFIRINOX group versus 9.4% in the gemcitabine group (P&lt;0.001). More adverse events were noted in the FOLFIRINOX group; 5.4% of patients in this group had febrile neutropenia. At 6 months, 31% of the patients in the FOLFIRINOX group had a definitive degradation of the quality of life versus 66% in the gemcitabine group (hazard ratio, 0.47; 95% CI, 0.30 to 0.70; P&lt;0.001). CONCLUSIONS: As compared with gemcitabine, FOLFIRINOX was associated with a survival advantage and had increased toxicity. FOLFIRINOX is an option for the treatment of patients with metastatic pancreatic cancer and good performance status. (Funded by the French government and others; ClinicalTrials.gov number, NCT00112658.) Copyright © 2011 Massachusetts Medical Society.","author":[{"dropping-particle":"","family":"Conroy","given":"Thierry","non-dropping-particle":"","parse-names":false,"suffix":""},{"dropping-particle":"","family":"Desseigne","given":"Françoise","non-dropping-particle":"","parse-names":false,"suffix":""},{"dropping-particle":"","family":"Ychou","given":"Marc","non-dropping-particle":"","parse-names":false,"suffix":""},{"dropping-particle":"","family":"Bouché","given":"Olivier","non-dropping-particle":"","parse-names":false,"suffix":""},{"dropping-particle":"","family":"Guimbaud","given":"Rosine","non-dropping-particle":"","parse-names":false,"suffix":""},{"dropping-particle":"","family":"Bécouarn","given":"Yves","non-dropping-particle":"","parse-names":false,"suffix":""},{"dropping-particle":"","family":"Adenis","given":"Antoine","non-dropping-particle":"","parse-names":false,"suffix":""},{"dropping-particle":"","family":"Raoul","given":"Jean Luc","non-dropping-particle":"","parse-names":false,"suffix":""},{"dropping-particle":"","family":"Gourgou-Bourgade","given":"Sophie","non-dropping-particle":"","parse-names":false,"suffix":""},{"dropping-particle":"","family":"La Fouchardière","given":"Christelle","non-dropping-particle":"De","parse-names":false,"suffix":""},{"dropping-particle":"","family":"Bennouna","given":"Jaafar","non-dropping-particle":"","parse-names":false,"suffix":""},{"dropping-particle":"","family":"Bachet","given":"Jean Baptiste","non-dropping-particle":"","parse-names":false,"suffix":""},{"dropping-particle":"","family":"Khemissa-Akouz","given":"Faiza","non-dropping-particle":"","parse-names":false,"suffix":""},{"dropping-particle":"","family":"Péré-Vergé","given":"Denis","non-dropping-particle":"","parse-names":false,"suffix":""},{"dropping-particle":"","family":"Delbaldo","given":"Catherine","non-dropping-particle":"","parse-names":false,"suffix":""},{"dropping-particle":"","family":"Assenat","given":"Eric","non-dropping-particle":"","parse-names":false,"suffix":""},{"dropping-particle":"","family":"Chauffert","given":"Bruno","non-dropping-particle":"","parse-names":false,"suffix":""},{"dropping-particle":"","family":"Michel","given":"Pierre","non-dropping-particle":"","parse-names":false,"suffix":""},{"dropping-particle":"","family":"Montoto-Grillot","given":"Christine","non-dropping-particle":"","parse-names":false,"suffix":""},{"dropping-particle":"","family":"Ducreux","given":"Michel","non-dropping-particle":"","parse-names":false,"suffix":""}],"container-title":"New England Journal of Medicine","id":"ITEM-1","issue":"19","issued":{"date-parts":[["2011","5","12"]]},"page":"1817-1825","publisher":"Massachussetts Medical Society","title":"FOLFIRINOX versus gemcitabine for metastatic pancreatic cancer","type":"article-journal","volume":"364"},"uris":["http://www.mendeley.com/documents/?uuid=79115611-6660-388d-8f90-b6d1dd896e88"]}],"mendeley":{"formattedCitation":"&lt;sup&gt;[7]&lt;/sup&gt;","plainTextFormattedCitation":"[7]","previouslyFormattedCitation":"&lt;sup&gt;[7]&lt;/sup&gt;"},"properties":{"noteIndex":0},"schema":"https://github.com/citation-style-language/schema/raw/master/csl-citation.json"}</w:instrText>
            </w:r>
            <w:r w:rsidR="00EB33B3" w:rsidRPr="00981DC5">
              <w:rPr>
                <w:rFonts w:ascii="Book Antiqua" w:hAnsi="Book Antiqua" w:cs="Calibri"/>
                <w:color w:val="000000" w:themeColor="text1"/>
                <w:sz w:val="24"/>
                <w:szCs w:val="24"/>
                <w:vertAlign w:val="superscript"/>
                <w:lang w:val="en-US"/>
              </w:rPr>
              <w:fldChar w:fldCharType="separate"/>
            </w:r>
            <w:r w:rsidR="00EB33B3" w:rsidRPr="00981DC5">
              <w:rPr>
                <w:rFonts w:ascii="Book Antiqua" w:hAnsi="Book Antiqua" w:cs="Calibri"/>
                <w:noProof/>
                <w:color w:val="000000" w:themeColor="text1"/>
                <w:sz w:val="24"/>
                <w:szCs w:val="24"/>
                <w:vertAlign w:val="superscript"/>
                <w:lang w:val="en-US"/>
              </w:rPr>
              <w:t>[48]</w:t>
            </w:r>
            <w:r w:rsidR="00EB33B3" w:rsidRPr="00981DC5">
              <w:rPr>
                <w:rFonts w:ascii="Book Antiqua" w:hAnsi="Book Antiqua" w:cs="Calibri"/>
                <w:color w:val="000000" w:themeColor="text1"/>
                <w:sz w:val="24"/>
                <w:szCs w:val="24"/>
                <w:vertAlign w:val="superscript"/>
                <w:lang w:val="en-US"/>
              </w:rPr>
              <w:fldChar w:fldCharType="end"/>
            </w:r>
            <w:r w:rsidR="00EB33B3" w:rsidRPr="00981DC5">
              <w:rPr>
                <w:rFonts w:ascii="Book Antiqua" w:hAnsi="Book Antiqua" w:cs="Calibri"/>
                <w:color w:val="000000" w:themeColor="text1"/>
                <w:sz w:val="24"/>
                <w:szCs w:val="24"/>
                <w:lang w:val="en-US"/>
              </w:rPr>
              <w:t>, 2013</w:t>
            </w:r>
          </w:p>
        </w:tc>
        <w:tc>
          <w:tcPr>
            <w:tcW w:w="1894" w:type="dxa"/>
            <w:vAlign w:val="center"/>
          </w:tcPr>
          <w:p w14:paraId="68D46C37" w14:textId="77777777" w:rsidR="00521171" w:rsidRPr="00981DC5" w:rsidRDefault="00521171"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s="Calibri"/>
                <w:color w:val="000000" w:themeColor="text1"/>
                <w:sz w:val="24"/>
                <w:szCs w:val="24"/>
                <w:lang w:val="en-US"/>
              </w:rPr>
              <w:t>23</w:t>
            </w:r>
          </w:p>
        </w:tc>
        <w:tc>
          <w:tcPr>
            <w:tcW w:w="2123" w:type="dxa"/>
            <w:vAlign w:val="center"/>
          </w:tcPr>
          <w:p w14:paraId="38487085" w14:textId="77777777" w:rsidR="00521171" w:rsidRPr="00981DC5" w:rsidRDefault="00521171"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s="Calibri"/>
                <w:color w:val="000000" w:themeColor="text1"/>
                <w:sz w:val="24"/>
                <w:szCs w:val="24"/>
                <w:lang w:val="en-US"/>
              </w:rPr>
              <w:t>-61.3</w:t>
            </w:r>
          </w:p>
        </w:tc>
        <w:tc>
          <w:tcPr>
            <w:tcW w:w="1860" w:type="dxa"/>
            <w:vMerge w:val="restart"/>
            <w:vAlign w:val="center"/>
          </w:tcPr>
          <w:p w14:paraId="4E115F6E" w14:textId="77777777" w:rsidR="00521171" w:rsidRPr="00981DC5" w:rsidRDefault="00521171" w:rsidP="00B11A05">
            <w:pPr>
              <w:adjustRightInd w:val="0"/>
              <w:snapToGrid w:val="0"/>
              <w:spacing w:line="360" w:lineRule="auto"/>
              <w:jc w:val="both"/>
              <w:rPr>
                <w:rFonts w:ascii="Book Antiqua" w:hAnsi="Book Antiqua"/>
                <w:color w:val="000000" w:themeColor="text1"/>
                <w:sz w:val="24"/>
                <w:szCs w:val="24"/>
                <w:lang w:val="en-US"/>
              </w:rPr>
            </w:pPr>
            <w:r w:rsidRPr="00981DC5">
              <w:rPr>
                <w:rFonts w:ascii="Book Antiqua" w:hAnsi="Book Antiqua" w:cs="Calibri"/>
                <w:color w:val="000000" w:themeColor="text1"/>
                <w:sz w:val="24"/>
                <w:szCs w:val="24"/>
                <w:lang w:val="en-US"/>
              </w:rPr>
              <w:t>-62.4</w:t>
            </w:r>
          </w:p>
        </w:tc>
      </w:tr>
      <w:tr w:rsidR="00981DC5" w:rsidRPr="00981DC5" w14:paraId="5F3E7823" w14:textId="77777777" w:rsidTr="00EB33B3">
        <w:tc>
          <w:tcPr>
            <w:tcW w:w="1861" w:type="dxa"/>
            <w:vMerge/>
            <w:vAlign w:val="center"/>
          </w:tcPr>
          <w:p w14:paraId="4E54EC5C" w14:textId="77777777" w:rsidR="00521171" w:rsidRPr="00981DC5" w:rsidRDefault="00521171" w:rsidP="00B11A05">
            <w:pPr>
              <w:adjustRightInd w:val="0"/>
              <w:snapToGrid w:val="0"/>
              <w:spacing w:line="360" w:lineRule="auto"/>
              <w:jc w:val="both"/>
              <w:rPr>
                <w:rFonts w:ascii="Book Antiqua" w:hAnsi="Book Antiqua"/>
                <w:color w:val="000000" w:themeColor="text1"/>
                <w:sz w:val="24"/>
                <w:szCs w:val="24"/>
                <w:lang w:val="en-US"/>
              </w:rPr>
            </w:pPr>
          </w:p>
        </w:tc>
        <w:tc>
          <w:tcPr>
            <w:tcW w:w="1884" w:type="dxa"/>
            <w:vAlign w:val="center"/>
          </w:tcPr>
          <w:p w14:paraId="2AFC7178" w14:textId="73C0BD4E" w:rsidR="00521171" w:rsidRPr="00981DC5" w:rsidRDefault="00521171"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s="Calibri"/>
                <w:color w:val="000000" w:themeColor="text1"/>
                <w:sz w:val="24"/>
                <w:szCs w:val="24"/>
                <w:lang w:val="en-US"/>
              </w:rPr>
              <w:t xml:space="preserve">Casanova-Martinez </w:t>
            </w:r>
            <w:r w:rsidR="00EB33B3" w:rsidRPr="00981DC5">
              <w:rPr>
                <w:rFonts w:ascii="Book Antiqua" w:hAnsi="Book Antiqua" w:cs="Calibri"/>
                <w:i/>
                <w:iCs/>
                <w:color w:val="000000" w:themeColor="text1"/>
                <w:sz w:val="24"/>
                <w:szCs w:val="24"/>
                <w:lang w:val="en-US"/>
              </w:rPr>
              <w:t>et al</w:t>
            </w:r>
            <w:r w:rsidR="00EB33B3" w:rsidRPr="00981DC5">
              <w:rPr>
                <w:rFonts w:ascii="Book Antiqua" w:hAnsi="Book Antiqua" w:cs="Calibri"/>
                <w:color w:val="000000" w:themeColor="text1"/>
                <w:sz w:val="24"/>
                <w:szCs w:val="24"/>
                <w:vertAlign w:val="superscript"/>
                <w:lang w:val="en-US"/>
              </w:rPr>
              <w:fldChar w:fldCharType="begin" w:fldLock="1"/>
            </w:r>
            <w:r w:rsidR="00EB33B3" w:rsidRPr="00981DC5">
              <w:rPr>
                <w:rFonts w:ascii="Book Antiqua" w:hAnsi="Book Antiqua" w:cs="Calibri"/>
                <w:color w:val="000000" w:themeColor="text1"/>
                <w:sz w:val="24"/>
                <w:szCs w:val="24"/>
                <w:vertAlign w:val="superscript"/>
                <w:lang w:val="en-US"/>
              </w:rPr>
              <w:instrText>ADDIN CSL_CITATION {"citationItems":[{"id":"ITEM-1","itemData":{"DOI":"10.1056/NEJMoa1011923","ISSN":"15334406","PMID":"21561347","abstract":"BACKGROUND: Data are lacking on the efficacy and safety of a combination chemotherapy regimen consisting of oxaliplatin, irinotecan, fluorouracil, and leucovorin (FOLFIRINOX) as compared with gemcitabine as first-line therapy in patients with metastatic pancreatic cancer. METHODS: We randomly assigned 342 patients with an Eastern Cooperative Oncology Group performance status score of 0 or 1 (on a scale of 0 to 5, with higher scores indicating a greater severity of illness) to receive FOLFIRINOX (oxaliplatin, 85 mg per square meter of body-surface area; irinotecan, 180 mg per square meter; leucovorin, 400 mg per square meter; and fluorouracil, 400 mg per square meter given as a bolus followed by 2400 mg per square meter given as a 46-hour continuous infusion, every 2 weeks) or gemcitabine at a dose of 1000 mg per square meter weekly for 7 of 8 weeks and then weekly for 3 of 4 weeks. Six months of chemotherapy were recommended in both groups in patients who had a response. The primary end point was overall survival. RESULTS: The median overall survival was 11.1 months in the FOLFIRINOX group as compared with 6.8 months in the gemcitabine group (hazard ratio for death, 0.57; 95% confidence interval [CI], 0.45 to 0.73; P&lt;0.001). Median progression-free survival was 6.4 months in the FOLFIRINOX group and 3.3 months in the gemcitabine group (hazard ratio for disease progression, 0.47; 95% CI, 0.37 to 0.59; P&lt;0.001). The objective response rate was 31.6% in the FOLFIRINOX group versus 9.4% in the gemcitabine group (P&lt;0.001). More adverse events were noted in the FOLFIRINOX group; 5.4% of patients in this group had febrile neutropenia. At 6 months, 31% of the patients in the FOLFIRINOX group had a definitive degradation of the quality of life versus 66% in the gemcitabine group (hazard ratio, 0.47; 95% CI, 0.30 to 0.70; P&lt;0.001). CONCLUSIONS: As compared with gemcitabine, FOLFIRINOX was associated with a survival advantage and had increased toxicity. FOLFIRINOX is an option for the treatment of patients with metastatic pancreatic cancer and good performance status. (Funded by the French government and others; ClinicalTrials.gov number, NCT00112658.) Copyright © 2011 Massachusetts Medical Society.","author":[{"dropping-particle":"","family":"Conroy","given":"Thierry","non-dropping-particle":"","parse-names":false,"suffix":""},{"dropping-particle":"","family":"Desseigne","given":"Françoise","non-dropping-particle":"","parse-names":false,"suffix":""},{"dropping-particle":"","family":"Ychou","given":"Marc","non-dropping-particle":"","parse-names":false,"suffix":""},{"dropping-particle":"","family":"Bouché","given":"Olivier","non-dropping-particle":"","parse-names":false,"suffix":""},{"dropping-particle":"","family":"Guimbaud","given":"Rosine","non-dropping-particle":"","parse-names":false,"suffix":""},{"dropping-particle":"","family":"Bécouarn","given":"Yves","non-dropping-particle":"","parse-names":false,"suffix":""},{"dropping-particle":"","family":"Adenis","given":"Antoine","non-dropping-particle":"","parse-names":false,"suffix":""},{"dropping-particle":"","family":"Raoul","given":"Jean Luc","non-dropping-particle":"","parse-names":false,"suffix":""},{"dropping-particle":"","family":"Gourgou-Bourgade","given":"Sophie","non-dropping-particle":"","parse-names":false,"suffix":""},{"dropping-particle":"","family":"La Fouchardière","given":"Christelle","non-dropping-particle":"De","parse-names":false,"suffix":""},{"dropping-particle":"","family":"Bennouna","given":"Jaafar","non-dropping-particle":"","parse-names":false,"suffix":""},{"dropping-particle":"","family":"Bachet","given":"Jean Baptiste","non-dropping-particle":"","parse-names":false,"suffix":""},{"dropping-particle":"","family":"Khemissa-Akouz","given":"Faiza","non-dropping-particle":"","parse-names":false,"suffix":""},{"dropping-particle":"","family":"Péré-Vergé","given":"Denis","non-dropping-particle":"","parse-names":false,"suffix":""},{"dropping-particle":"","family":"Delbaldo","given":"Catherine","non-dropping-particle":"","parse-names":false,"suffix":""},{"dropping-particle":"","family":"Assenat","given":"Eric","non-dropping-particle":"","parse-names":false,"suffix":""},{"dropping-particle":"","family":"Chauffert","given":"Bruno","non-dropping-particle":"","parse-names":false,"suffix":""},{"dropping-particle":"","family":"Michel","given":"Pierre","non-dropping-particle":"","parse-names":false,"suffix":""},{"dropping-particle":"","family":"Montoto-Grillot","given":"Christine","non-dropping-particle":"","parse-names":false,"suffix":""},{"dropping-particle":"","family":"Ducreux","given":"Michel","non-dropping-particle":"","parse-names":false,"suffix":""}],"container-title":"New England Journal of Medicine","id":"ITEM-1","issue":"19","issued":{"date-parts":[["2011","5","12"]]},"page":"1817-1825","publisher":"Massachussetts Medical Society","title":"FOLFIRINOX versus gemcitabine for metastatic pancreatic cancer","type":"article-journal","volume":"364"},"uris":["http://www.mendeley.com/documents/?uuid=79115611-6660-388d-8f90-b6d1dd896e88"]}],"mendeley":{"formattedCitation":"&lt;sup&gt;[7]&lt;/sup&gt;","plainTextFormattedCitation":"[7]","previouslyFormattedCitation":"&lt;sup&gt;[7]&lt;/sup&gt;"},"properties":{"noteIndex":0},"schema":"https://github.com/citation-style-language/schema/raw/master/csl-citation.json"}</w:instrText>
            </w:r>
            <w:r w:rsidR="00EB33B3" w:rsidRPr="00981DC5">
              <w:rPr>
                <w:rFonts w:ascii="Book Antiqua" w:hAnsi="Book Antiqua" w:cs="Calibri"/>
                <w:color w:val="000000" w:themeColor="text1"/>
                <w:sz w:val="24"/>
                <w:szCs w:val="24"/>
                <w:vertAlign w:val="superscript"/>
                <w:lang w:val="en-US"/>
              </w:rPr>
              <w:fldChar w:fldCharType="separate"/>
            </w:r>
            <w:r w:rsidR="00EB33B3" w:rsidRPr="00981DC5">
              <w:rPr>
                <w:rFonts w:ascii="Book Antiqua" w:hAnsi="Book Antiqua" w:cs="Calibri"/>
                <w:noProof/>
                <w:color w:val="000000" w:themeColor="text1"/>
                <w:sz w:val="24"/>
                <w:szCs w:val="24"/>
                <w:vertAlign w:val="superscript"/>
                <w:lang w:val="en-US"/>
              </w:rPr>
              <w:t>[49]</w:t>
            </w:r>
            <w:r w:rsidR="00EB33B3" w:rsidRPr="00981DC5">
              <w:rPr>
                <w:rFonts w:ascii="Book Antiqua" w:hAnsi="Book Antiqua" w:cs="Calibri"/>
                <w:color w:val="000000" w:themeColor="text1"/>
                <w:sz w:val="24"/>
                <w:szCs w:val="24"/>
                <w:vertAlign w:val="superscript"/>
                <w:lang w:val="en-US"/>
              </w:rPr>
              <w:fldChar w:fldCharType="end"/>
            </w:r>
            <w:r w:rsidR="00EB33B3" w:rsidRPr="00981DC5">
              <w:rPr>
                <w:rFonts w:ascii="Book Antiqua" w:hAnsi="Book Antiqua" w:cs="Calibri"/>
                <w:color w:val="000000" w:themeColor="text1"/>
                <w:sz w:val="24"/>
                <w:szCs w:val="24"/>
                <w:lang w:val="en-US"/>
              </w:rPr>
              <w:t>, 2018</w:t>
            </w:r>
          </w:p>
        </w:tc>
        <w:tc>
          <w:tcPr>
            <w:tcW w:w="1894" w:type="dxa"/>
            <w:vAlign w:val="center"/>
          </w:tcPr>
          <w:p w14:paraId="3199DF96" w14:textId="77777777" w:rsidR="00521171" w:rsidRPr="00981DC5" w:rsidRDefault="00521171"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s="Calibri"/>
                <w:color w:val="000000" w:themeColor="text1"/>
                <w:sz w:val="24"/>
                <w:szCs w:val="24"/>
                <w:lang w:val="en-US"/>
              </w:rPr>
              <w:t>20</w:t>
            </w:r>
          </w:p>
        </w:tc>
        <w:tc>
          <w:tcPr>
            <w:tcW w:w="2123" w:type="dxa"/>
            <w:vAlign w:val="center"/>
          </w:tcPr>
          <w:p w14:paraId="772352E8" w14:textId="77777777" w:rsidR="00521171" w:rsidRPr="00981DC5" w:rsidRDefault="00521171"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s="Calibri"/>
                <w:color w:val="000000" w:themeColor="text1"/>
                <w:sz w:val="24"/>
                <w:szCs w:val="24"/>
                <w:lang w:val="en-US"/>
              </w:rPr>
              <w:t>-64.0</w:t>
            </w:r>
          </w:p>
        </w:tc>
        <w:tc>
          <w:tcPr>
            <w:tcW w:w="1860" w:type="dxa"/>
            <w:vMerge/>
            <w:vAlign w:val="center"/>
          </w:tcPr>
          <w:p w14:paraId="2130912F" w14:textId="77777777" w:rsidR="00521171" w:rsidRPr="00981DC5" w:rsidRDefault="00521171" w:rsidP="00B11A05">
            <w:pPr>
              <w:adjustRightInd w:val="0"/>
              <w:snapToGrid w:val="0"/>
              <w:spacing w:line="360" w:lineRule="auto"/>
              <w:jc w:val="both"/>
              <w:rPr>
                <w:rFonts w:ascii="Book Antiqua" w:hAnsi="Book Antiqua"/>
                <w:color w:val="000000" w:themeColor="text1"/>
                <w:sz w:val="24"/>
                <w:szCs w:val="24"/>
                <w:lang w:val="en-US"/>
              </w:rPr>
            </w:pPr>
          </w:p>
        </w:tc>
      </w:tr>
      <w:tr w:rsidR="00981DC5" w:rsidRPr="00981DC5" w14:paraId="3579832B" w14:textId="77777777" w:rsidTr="00EB33B3">
        <w:tc>
          <w:tcPr>
            <w:tcW w:w="1861" w:type="dxa"/>
            <w:vMerge/>
            <w:vAlign w:val="center"/>
          </w:tcPr>
          <w:p w14:paraId="7A93BC2A" w14:textId="77777777" w:rsidR="00521171" w:rsidRPr="00981DC5" w:rsidRDefault="00521171" w:rsidP="00B11A05">
            <w:pPr>
              <w:adjustRightInd w:val="0"/>
              <w:snapToGrid w:val="0"/>
              <w:spacing w:line="360" w:lineRule="auto"/>
              <w:jc w:val="both"/>
              <w:rPr>
                <w:rFonts w:ascii="Book Antiqua" w:hAnsi="Book Antiqua"/>
                <w:color w:val="000000" w:themeColor="text1"/>
                <w:sz w:val="24"/>
                <w:szCs w:val="24"/>
                <w:lang w:val="en-US"/>
              </w:rPr>
            </w:pPr>
          </w:p>
        </w:tc>
        <w:tc>
          <w:tcPr>
            <w:tcW w:w="1884" w:type="dxa"/>
            <w:vAlign w:val="center"/>
          </w:tcPr>
          <w:p w14:paraId="10A69537" w14:textId="1863C0F1" w:rsidR="00521171" w:rsidRPr="00981DC5" w:rsidRDefault="00521171" w:rsidP="00B11A05">
            <w:pPr>
              <w:adjustRightInd w:val="0"/>
              <w:snapToGrid w:val="0"/>
              <w:spacing w:line="360" w:lineRule="auto"/>
              <w:jc w:val="both"/>
              <w:rPr>
                <w:rFonts w:ascii="Book Antiqua" w:hAnsi="Book Antiqua" w:cs="Calibri"/>
                <w:color w:val="000000" w:themeColor="text1"/>
                <w:sz w:val="24"/>
                <w:szCs w:val="24"/>
                <w:lang w:val="en-US"/>
              </w:rPr>
            </w:pPr>
            <w:proofErr w:type="spellStart"/>
            <w:r w:rsidRPr="00981DC5">
              <w:rPr>
                <w:rFonts w:ascii="Book Antiqua" w:hAnsi="Book Antiqua" w:cs="Calibri"/>
                <w:color w:val="000000" w:themeColor="text1"/>
                <w:sz w:val="24"/>
                <w:szCs w:val="24"/>
                <w:lang w:val="en-US"/>
              </w:rPr>
              <w:t>Karasic</w:t>
            </w:r>
            <w:proofErr w:type="spellEnd"/>
            <w:r w:rsidRPr="00981DC5">
              <w:rPr>
                <w:rFonts w:ascii="Book Antiqua" w:hAnsi="Book Antiqua" w:cs="Calibri"/>
                <w:color w:val="000000" w:themeColor="text1"/>
                <w:sz w:val="24"/>
                <w:szCs w:val="24"/>
                <w:lang w:val="en-US"/>
              </w:rPr>
              <w:t xml:space="preserve"> </w:t>
            </w:r>
            <w:r w:rsidR="00EB33B3" w:rsidRPr="00981DC5">
              <w:rPr>
                <w:rFonts w:ascii="Book Antiqua" w:hAnsi="Book Antiqua" w:cs="Calibri"/>
                <w:i/>
                <w:iCs/>
                <w:color w:val="000000" w:themeColor="text1"/>
                <w:sz w:val="24"/>
                <w:szCs w:val="24"/>
                <w:lang w:val="en-US"/>
              </w:rPr>
              <w:t>et al</w:t>
            </w:r>
            <w:r w:rsidR="00EB33B3" w:rsidRPr="00981DC5">
              <w:rPr>
                <w:rFonts w:ascii="Book Antiqua" w:hAnsi="Book Antiqua" w:cs="Calibri"/>
                <w:color w:val="000000" w:themeColor="text1"/>
                <w:sz w:val="24"/>
                <w:szCs w:val="24"/>
                <w:vertAlign w:val="superscript"/>
                <w:lang w:val="en-US"/>
              </w:rPr>
              <w:fldChar w:fldCharType="begin" w:fldLock="1"/>
            </w:r>
            <w:r w:rsidR="00EB33B3" w:rsidRPr="00981DC5">
              <w:rPr>
                <w:rFonts w:ascii="Book Antiqua" w:hAnsi="Book Antiqua" w:cs="Calibri"/>
                <w:color w:val="000000" w:themeColor="text1"/>
                <w:sz w:val="24"/>
                <w:szCs w:val="24"/>
                <w:vertAlign w:val="superscript"/>
                <w:lang w:val="en-US"/>
              </w:rPr>
              <w:instrText>ADDIN CSL_CITATION {"citationItems":[{"id":"ITEM-1","itemData":{"DOI":"10.1056/NEJMoa1011923","ISSN":"15334406","PMID":"21561347","abstract":"BACKGROUND: Data are lacking on the efficacy and safety of a combination chemotherapy regimen consisting of oxaliplatin, irinotecan, fluorouracil, and leucovorin (FOLFIRINOX) as compared with gemcitabine as first-line therapy in patients with metastatic pancreatic cancer. METHODS: We randomly assigned 342 patients with an Eastern Cooperative Oncology Group performance status score of 0 or 1 (on a scale of 0 to 5, with higher scores indicating a greater severity of illness) to receive FOLFIRINOX (oxaliplatin, 85 mg per square meter of body-surface area; irinotecan, 180 mg per square meter; leucovorin, 400 mg per square meter; and fluorouracil, 400 mg per square meter given as a bolus followed by 2400 mg per square meter given as a 46-hour continuous infusion, every 2 weeks) or gemcitabine at a dose of 1000 mg per square meter weekly for 7 of 8 weeks and then weekly for 3 of 4 weeks. Six months of chemotherapy were recommended in both groups in patients who had a response. The primary end point was overall survival. RESULTS: The median overall survival was 11.1 months in the FOLFIRINOX group as compared with 6.8 months in the gemcitabine group (hazard ratio for death, 0.57; 95% confidence interval [CI], 0.45 to 0.73; P&lt;0.001). Median progression-free survival was 6.4 months in the FOLFIRINOX group and 3.3 months in the gemcitabine group (hazard ratio for disease progression, 0.47; 95% CI, 0.37 to 0.59; P&lt;0.001). The objective response rate was 31.6% in the FOLFIRINOX group versus 9.4% in the gemcitabine group (P&lt;0.001). More adverse events were noted in the FOLFIRINOX group; 5.4% of patients in this group had febrile neutropenia. At 6 months, 31% of the patients in the FOLFIRINOX group had a definitive degradation of the quality of life versus 66% in the gemcitabine group (hazard ratio, 0.47; 95% CI, 0.30 to 0.70; P&lt;0.001). CONCLUSIONS: As compared with gemcitabine, FOLFIRINOX was associated with a survival advantage and had increased toxicity. FOLFIRINOX is an option for the treatment of patients with metastatic pancreatic cancer and good performance status. (Funded by the French government and others; ClinicalTrials.gov number, NCT00112658.) Copyright © 2011 Massachusetts Medical Society.","author":[{"dropping-particle":"","family":"Conroy","given":"Thierry","non-dropping-particle":"","parse-names":false,"suffix":""},{"dropping-particle":"","family":"Desseigne","given":"Françoise","non-dropping-particle":"","parse-names":false,"suffix":""},{"dropping-particle":"","family":"Ychou","given":"Marc","non-dropping-particle":"","parse-names":false,"suffix":""},{"dropping-particle":"","family":"Bouché","given":"Olivier","non-dropping-particle":"","parse-names":false,"suffix":""},{"dropping-particle":"","family":"Guimbaud","given":"Rosine","non-dropping-particle":"","parse-names":false,"suffix":""},{"dropping-particle":"","family":"Bécouarn","given":"Yves","non-dropping-particle":"","parse-names":false,"suffix":""},{"dropping-particle":"","family":"Adenis","given":"Antoine","non-dropping-particle":"","parse-names":false,"suffix":""},{"dropping-particle":"","family":"Raoul","given":"Jean Luc","non-dropping-particle":"","parse-names":false,"suffix":""},{"dropping-particle":"","family":"Gourgou-Bourgade","given":"Sophie","non-dropping-particle":"","parse-names":false,"suffix":""},{"dropping-particle":"","family":"La Fouchardière","given":"Christelle","non-dropping-particle":"De","parse-names":false,"suffix":""},{"dropping-particle":"","family":"Bennouna","given":"Jaafar","non-dropping-particle":"","parse-names":false,"suffix":""},{"dropping-particle":"","family":"Bachet","given":"Jean Baptiste","non-dropping-particle":"","parse-names":false,"suffix":""},{"dropping-particle":"","family":"Khemissa-Akouz","given":"Faiza","non-dropping-particle":"","parse-names":false,"suffix":""},{"dropping-particle":"","family":"Péré-Vergé","given":"Denis","non-dropping-particle":"","parse-names":false,"suffix":""},{"dropping-particle":"","family":"Delbaldo","given":"Catherine","non-dropping-particle":"","parse-names":false,"suffix":""},{"dropping-particle":"","family":"Assenat","given":"Eric","non-dropping-particle":"","parse-names":false,"suffix":""},{"dropping-particle":"","family":"Chauffert","given":"Bruno","non-dropping-particle":"","parse-names":false,"suffix":""},{"dropping-particle":"","family":"Michel","given":"Pierre","non-dropping-particle":"","parse-names":false,"suffix":""},{"dropping-particle":"","family":"Montoto-Grillot","given":"Christine","non-dropping-particle":"","parse-names":false,"suffix":""},{"dropping-particle":"","family":"Ducreux","given":"Michel","non-dropping-particle":"","parse-names":false,"suffix":""}],"container-title":"New England Journal of Medicine","id":"ITEM-1","issue":"19","issued":{"date-parts":[["2011","5","12"]]},"page":"1817-1825","publisher":"Massachussetts Medical Society","title":"FOLFIRINOX versus gemcitabine for metastatic pancreatic cancer","type":"article-journal","volume":"364"},"uris":["http://www.mendeley.com/documents/?uuid=79115611-6660-388d-8f90-b6d1dd896e88"]}],"mendeley":{"formattedCitation":"&lt;sup&gt;[7]&lt;/sup&gt;","plainTextFormattedCitation":"[7]","previouslyFormattedCitation":"&lt;sup&gt;[7]&lt;/sup&gt;"},"properties":{"noteIndex":0},"schema":"https://github.com/citation-style-language/schema/raw/master/csl-citation.json"}</w:instrText>
            </w:r>
            <w:r w:rsidR="00EB33B3" w:rsidRPr="00981DC5">
              <w:rPr>
                <w:rFonts w:ascii="Book Antiqua" w:hAnsi="Book Antiqua" w:cs="Calibri"/>
                <w:color w:val="000000" w:themeColor="text1"/>
                <w:sz w:val="24"/>
                <w:szCs w:val="24"/>
                <w:vertAlign w:val="superscript"/>
                <w:lang w:val="en-US"/>
              </w:rPr>
              <w:fldChar w:fldCharType="separate"/>
            </w:r>
            <w:r w:rsidR="00EB33B3" w:rsidRPr="00981DC5">
              <w:rPr>
                <w:rFonts w:ascii="Book Antiqua" w:hAnsi="Book Antiqua" w:cs="Calibri"/>
                <w:noProof/>
                <w:color w:val="000000" w:themeColor="text1"/>
                <w:sz w:val="24"/>
                <w:szCs w:val="24"/>
                <w:vertAlign w:val="superscript"/>
                <w:lang w:val="en-US"/>
              </w:rPr>
              <w:t>[50]</w:t>
            </w:r>
            <w:r w:rsidR="00EB33B3" w:rsidRPr="00981DC5">
              <w:rPr>
                <w:rFonts w:ascii="Book Antiqua" w:hAnsi="Book Antiqua" w:cs="Calibri"/>
                <w:color w:val="000000" w:themeColor="text1"/>
                <w:sz w:val="24"/>
                <w:szCs w:val="24"/>
                <w:vertAlign w:val="superscript"/>
                <w:lang w:val="en-US"/>
              </w:rPr>
              <w:fldChar w:fldCharType="end"/>
            </w:r>
            <w:r w:rsidR="00EB33B3" w:rsidRPr="00981DC5">
              <w:rPr>
                <w:rFonts w:ascii="Book Antiqua" w:hAnsi="Book Antiqua" w:cs="Calibri"/>
                <w:color w:val="000000" w:themeColor="text1"/>
                <w:sz w:val="24"/>
                <w:szCs w:val="24"/>
                <w:lang w:val="en-US"/>
              </w:rPr>
              <w:t>, 2019</w:t>
            </w:r>
          </w:p>
        </w:tc>
        <w:tc>
          <w:tcPr>
            <w:tcW w:w="1894" w:type="dxa"/>
            <w:vAlign w:val="center"/>
          </w:tcPr>
          <w:p w14:paraId="61B71F7E" w14:textId="77777777" w:rsidR="00521171" w:rsidRPr="00981DC5" w:rsidRDefault="00521171"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s="Calibri"/>
                <w:color w:val="000000" w:themeColor="text1"/>
                <w:sz w:val="24"/>
                <w:szCs w:val="24"/>
                <w:lang w:val="en-US"/>
              </w:rPr>
              <w:t>21.1</w:t>
            </w:r>
          </w:p>
        </w:tc>
        <w:tc>
          <w:tcPr>
            <w:tcW w:w="2123" w:type="dxa"/>
            <w:vAlign w:val="center"/>
          </w:tcPr>
          <w:p w14:paraId="49400DAC" w14:textId="77777777" w:rsidR="00521171" w:rsidRPr="00981DC5" w:rsidRDefault="00521171"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s="Calibri"/>
                <w:color w:val="000000" w:themeColor="text1"/>
                <w:sz w:val="24"/>
                <w:szCs w:val="24"/>
                <w:lang w:val="en-US"/>
              </w:rPr>
              <w:t>-63.0</w:t>
            </w:r>
          </w:p>
        </w:tc>
        <w:tc>
          <w:tcPr>
            <w:tcW w:w="1860" w:type="dxa"/>
            <w:vMerge/>
            <w:vAlign w:val="center"/>
          </w:tcPr>
          <w:p w14:paraId="395964B7" w14:textId="77777777" w:rsidR="00521171" w:rsidRPr="00981DC5" w:rsidRDefault="00521171" w:rsidP="00B11A05">
            <w:pPr>
              <w:adjustRightInd w:val="0"/>
              <w:snapToGrid w:val="0"/>
              <w:spacing w:line="360" w:lineRule="auto"/>
              <w:jc w:val="both"/>
              <w:rPr>
                <w:rFonts w:ascii="Book Antiqua" w:hAnsi="Book Antiqua"/>
                <w:color w:val="000000" w:themeColor="text1"/>
                <w:sz w:val="24"/>
                <w:szCs w:val="24"/>
                <w:lang w:val="en-US"/>
              </w:rPr>
            </w:pPr>
          </w:p>
        </w:tc>
      </w:tr>
      <w:tr w:rsidR="00981DC5" w:rsidRPr="00981DC5" w14:paraId="26A98A45" w14:textId="77777777" w:rsidTr="00EB33B3">
        <w:tc>
          <w:tcPr>
            <w:tcW w:w="1861" w:type="dxa"/>
            <w:vMerge/>
            <w:vAlign w:val="center"/>
          </w:tcPr>
          <w:p w14:paraId="11A9D56D" w14:textId="77777777" w:rsidR="00521171" w:rsidRPr="00981DC5" w:rsidRDefault="00521171" w:rsidP="00B11A05">
            <w:pPr>
              <w:adjustRightInd w:val="0"/>
              <w:snapToGrid w:val="0"/>
              <w:spacing w:line="360" w:lineRule="auto"/>
              <w:jc w:val="both"/>
              <w:rPr>
                <w:rFonts w:ascii="Book Antiqua" w:hAnsi="Book Antiqua"/>
                <w:color w:val="000000" w:themeColor="text1"/>
                <w:sz w:val="24"/>
                <w:szCs w:val="24"/>
                <w:lang w:val="en-US"/>
              </w:rPr>
            </w:pPr>
          </w:p>
        </w:tc>
        <w:tc>
          <w:tcPr>
            <w:tcW w:w="1884" w:type="dxa"/>
            <w:vAlign w:val="center"/>
          </w:tcPr>
          <w:p w14:paraId="3B6D710B" w14:textId="76C7F133" w:rsidR="00521171" w:rsidRPr="00981DC5" w:rsidRDefault="00521171"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s="Calibri"/>
                <w:color w:val="000000" w:themeColor="text1"/>
                <w:sz w:val="24"/>
                <w:szCs w:val="24"/>
                <w:lang w:val="en-US"/>
              </w:rPr>
              <w:t xml:space="preserve">Montes </w:t>
            </w:r>
            <w:r w:rsidR="00EB33B3" w:rsidRPr="00981DC5">
              <w:rPr>
                <w:rFonts w:ascii="Book Antiqua" w:hAnsi="Book Antiqua" w:cs="Calibri"/>
                <w:i/>
                <w:iCs/>
                <w:color w:val="000000" w:themeColor="text1"/>
                <w:sz w:val="24"/>
                <w:szCs w:val="24"/>
                <w:lang w:val="en-US"/>
              </w:rPr>
              <w:t>et al</w:t>
            </w:r>
            <w:r w:rsidR="00EB33B3" w:rsidRPr="00981DC5">
              <w:rPr>
                <w:rFonts w:ascii="Book Antiqua" w:hAnsi="Book Antiqua" w:cs="Calibri"/>
                <w:color w:val="000000" w:themeColor="text1"/>
                <w:sz w:val="24"/>
                <w:szCs w:val="24"/>
                <w:vertAlign w:val="superscript"/>
                <w:lang w:val="en-US"/>
              </w:rPr>
              <w:fldChar w:fldCharType="begin" w:fldLock="1"/>
            </w:r>
            <w:r w:rsidR="00EB33B3" w:rsidRPr="00981DC5">
              <w:rPr>
                <w:rFonts w:ascii="Book Antiqua" w:hAnsi="Book Antiqua" w:cs="Calibri"/>
                <w:color w:val="000000" w:themeColor="text1"/>
                <w:sz w:val="24"/>
                <w:szCs w:val="24"/>
                <w:vertAlign w:val="superscript"/>
                <w:lang w:val="en-US"/>
              </w:rPr>
              <w:instrText>ADDIN CSL_CITATION {"citationItems":[{"id":"ITEM-1","itemData":{"DOI":"10.1056/NEJMoa1011923","ISSN":"15334406","PMID":"21561347","abstract":"BACKGROUND: Data are lacking on the efficacy and safety of a combination chemotherapy regimen consisting of oxaliplatin, irinotecan, fluorouracil, and leucovorin (FOLFIRINOX) as compared with gemcitabine as first-line therapy in patients with metastatic pancreatic cancer. METHODS: We randomly assigned 342 patients with an Eastern Cooperative Oncology Group performance status score of 0 or 1 (on a scale of 0 to 5, with higher scores indicating a greater severity of illness) to receive FOLFIRINOX (oxaliplatin, 85 mg per square meter of body-surface area; irinotecan, 180 mg per square meter; leucovorin, 400 mg per square meter; and fluorouracil, 400 mg per square meter given as a bolus followed by 2400 mg per square meter given as a 46-hour continuous infusion, every 2 weeks) or gemcitabine at a dose of 1000 mg per square meter weekly for 7 of 8 weeks and then weekly for 3 of 4 weeks. Six months of chemotherapy were recommended in both groups in patients who had a response. The primary end point was overall survival. RESULTS: The median overall survival was 11.1 months in the FOLFIRINOX group as compared with 6.8 months in the gemcitabine group (hazard ratio for death, 0.57; 95% confidence interval [CI], 0.45 to 0.73; P&lt;0.001). Median progression-free survival was 6.4 months in the FOLFIRINOX group and 3.3 months in the gemcitabine group (hazard ratio for disease progression, 0.47; 95% CI, 0.37 to 0.59; P&lt;0.001). The objective response rate was 31.6% in the FOLFIRINOX group versus 9.4% in the gemcitabine group (P&lt;0.001). More adverse events were noted in the FOLFIRINOX group; 5.4% of patients in this group had febrile neutropenia. At 6 months, 31% of the patients in the FOLFIRINOX group had a definitive degradation of the quality of life versus 66% in the gemcitabine group (hazard ratio, 0.47; 95% CI, 0.30 to 0.70; P&lt;0.001). CONCLUSIONS: As compared with gemcitabine, FOLFIRINOX was associated with a survival advantage and had increased toxicity. FOLFIRINOX is an option for the treatment of patients with metastatic pancreatic cancer and good performance status. (Funded by the French government and others; ClinicalTrials.gov number, NCT00112658.) Copyright © 2011 Massachusetts Medical Society.","author":[{"dropping-particle":"","family":"Conroy","given":"Thierry","non-dropping-particle":"","parse-names":false,"suffix":""},{"dropping-particle":"","family":"Desseigne","given":"Françoise","non-dropping-particle":"","parse-names":false,"suffix":""},{"dropping-particle":"","family":"Ychou","given":"Marc","non-dropping-particle":"","parse-names":false,"suffix":""},{"dropping-particle":"","family":"Bouché","given":"Olivier","non-dropping-particle":"","parse-names":false,"suffix":""},{"dropping-particle":"","family":"Guimbaud","given":"Rosine","non-dropping-particle":"","parse-names":false,"suffix":""},{"dropping-particle":"","family":"Bécouarn","given":"Yves","non-dropping-particle":"","parse-names":false,"suffix":""},{"dropping-particle":"","family":"Adenis","given":"Antoine","non-dropping-particle":"","parse-names":false,"suffix":""},{"dropping-particle":"","family":"Raoul","given":"Jean Luc","non-dropping-particle":"","parse-names":false,"suffix":""},{"dropping-particle":"","family":"Gourgou-Bourgade","given":"Sophie","non-dropping-particle":"","parse-names":false,"suffix":""},{"dropping-particle":"","family":"La Fouchardière","given":"Christelle","non-dropping-particle":"De","parse-names":false,"suffix":""},{"dropping-particle":"","family":"Bennouna","given":"Jaafar","non-dropping-particle":"","parse-names":false,"suffix":""},{"dropping-particle":"","family":"Bachet","given":"Jean Baptiste","non-dropping-particle":"","parse-names":false,"suffix":""},{"dropping-particle":"","family":"Khemissa-Akouz","given":"Faiza","non-dropping-particle":"","parse-names":false,"suffix":""},{"dropping-particle":"","family":"Péré-Vergé","given":"Denis","non-dropping-particle":"","parse-names":false,"suffix":""},{"dropping-particle":"","family":"Delbaldo","given":"Catherine","non-dropping-particle":"","parse-names":false,"suffix":""},{"dropping-particle":"","family":"Assenat","given":"Eric","non-dropping-particle":"","parse-names":false,"suffix":""},{"dropping-particle":"","family":"Chauffert","given":"Bruno","non-dropping-particle":"","parse-names":false,"suffix":""},{"dropping-particle":"","family":"Michel","given":"Pierre","non-dropping-particle":"","parse-names":false,"suffix":""},{"dropping-particle":"","family":"Montoto-Grillot","given":"Christine","non-dropping-particle":"","parse-names":false,"suffix":""},{"dropping-particle":"","family":"Ducreux","given":"Michel","non-dropping-particle":"","parse-names":false,"suffix":""}],"container-title":"New England Journal of Medicine","id":"ITEM-1","issue":"19","issued":{"date-parts":[["2011","5","12"]]},"page":"1817-1825","publisher":"Massachussetts Medical Society","title":"FOLFIRINOX versus gemcitabine for metastatic pancreatic cancer","type":"article-journal","volume":"364"},"uris":["http://www.mendeley.com/documents/?uuid=79115611-6660-388d-8f90-b6d1dd896e88"]}],"mendeley":{"formattedCitation":"&lt;sup&gt;[7]&lt;/sup&gt;","plainTextFormattedCitation":"[7]","previouslyFormattedCitation":"&lt;sup&gt;[7]&lt;/sup&gt;"},"properties":{"noteIndex":0},"schema":"https://github.com/citation-style-language/schema/raw/master/csl-citation.json"}</w:instrText>
            </w:r>
            <w:r w:rsidR="00EB33B3" w:rsidRPr="00981DC5">
              <w:rPr>
                <w:rFonts w:ascii="Book Antiqua" w:hAnsi="Book Antiqua" w:cs="Calibri"/>
                <w:color w:val="000000" w:themeColor="text1"/>
                <w:sz w:val="24"/>
                <w:szCs w:val="24"/>
                <w:vertAlign w:val="superscript"/>
                <w:lang w:val="en-US"/>
              </w:rPr>
              <w:fldChar w:fldCharType="separate"/>
            </w:r>
            <w:r w:rsidR="00EB33B3" w:rsidRPr="00981DC5">
              <w:rPr>
                <w:rFonts w:ascii="Book Antiqua" w:hAnsi="Book Antiqua" w:cs="Calibri"/>
                <w:noProof/>
                <w:color w:val="000000" w:themeColor="text1"/>
                <w:sz w:val="24"/>
                <w:szCs w:val="24"/>
                <w:vertAlign w:val="superscript"/>
                <w:lang w:val="en-US"/>
              </w:rPr>
              <w:t>[51]</w:t>
            </w:r>
            <w:r w:rsidR="00EB33B3" w:rsidRPr="00981DC5">
              <w:rPr>
                <w:rFonts w:ascii="Book Antiqua" w:hAnsi="Book Antiqua" w:cs="Calibri"/>
                <w:color w:val="000000" w:themeColor="text1"/>
                <w:sz w:val="24"/>
                <w:szCs w:val="24"/>
                <w:vertAlign w:val="superscript"/>
                <w:lang w:val="en-US"/>
              </w:rPr>
              <w:fldChar w:fldCharType="end"/>
            </w:r>
            <w:r w:rsidR="00EB33B3" w:rsidRPr="00981DC5">
              <w:rPr>
                <w:rFonts w:ascii="Book Antiqua" w:hAnsi="Book Antiqua" w:cs="Calibri"/>
                <w:color w:val="000000" w:themeColor="text1"/>
                <w:sz w:val="24"/>
                <w:szCs w:val="24"/>
                <w:lang w:val="en-US"/>
              </w:rPr>
              <w:t>, 2017</w:t>
            </w:r>
          </w:p>
        </w:tc>
        <w:tc>
          <w:tcPr>
            <w:tcW w:w="1894" w:type="dxa"/>
            <w:vAlign w:val="center"/>
          </w:tcPr>
          <w:p w14:paraId="7096808B" w14:textId="77777777" w:rsidR="00521171" w:rsidRPr="00981DC5" w:rsidRDefault="00521171"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s="Calibri"/>
                <w:color w:val="000000" w:themeColor="text1"/>
                <w:sz w:val="24"/>
                <w:szCs w:val="24"/>
                <w:lang w:val="en-US"/>
              </w:rPr>
              <w:t>23</w:t>
            </w:r>
          </w:p>
        </w:tc>
        <w:tc>
          <w:tcPr>
            <w:tcW w:w="2123" w:type="dxa"/>
            <w:vAlign w:val="center"/>
          </w:tcPr>
          <w:p w14:paraId="58CE549F" w14:textId="77777777" w:rsidR="00521171" w:rsidRPr="00981DC5" w:rsidRDefault="00521171"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s="Calibri"/>
                <w:color w:val="000000" w:themeColor="text1"/>
                <w:sz w:val="24"/>
                <w:szCs w:val="24"/>
                <w:lang w:val="en-US"/>
              </w:rPr>
              <w:t>-61.3</w:t>
            </w:r>
          </w:p>
        </w:tc>
        <w:tc>
          <w:tcPr>
            <w:tcW w:w="1860" w:type="dxa"/>
            <w:vMerge/>
            <w:vAlign w:val="center"/>
          </w:tcPr>
          <w:p w14:paraId="7E9148FA" w14:textId="77777777" w:rsidR="00521171" w:rsidRPr="00981DC5" w:rsidRDefault="00521171" w:rsidP="00B11A05">
            <w:pPr>
              <w:adjustRightInd w:val="0"/>
              <w:snapToGrid w:val="0"/>
              <w:spacing w:line="360" w:lineRule="auto"/>
              <w:jc w:val="both"/>
              <w:rPr>
                <w:rFonts w:ascii="Book Antiqua" w:hAnsi="Book Antiqua"/>
                <w:color w:val="000000" w:themeColor="text1"/>
                <w:sz w:val="24"/>
                <w:szCs w:val="24"/>
                <w:lang w:val="en-US"/>
              </w:rPr>
            </w:pPr>
          </w:p>
        </w:tc>
      </w:tr>
      <w:tr w:rsidR="00981DC5" w:rsidRPr="00981DC5" w14:paraId="0D0F0ADD" w14:textId="77777777" w:rsidTr="00EB33B3">
        <w:tc>
          <w:tcPr>
            <w:tcW w:w="1861" w:type="dxa"/>
            <w:vMerge w:val="restart"/>
            <w:vAlign w:val="center"/>
          </w:tcPr>
          <w:p w14:paraId="512A3ED3" w14:textId="30BC995A" w:rsidR="00521171" w:rsidRPr="00981DC5" w:rsidRDefault="00521171" w:rsidP="00B11A05">
            <w:pPr>
              <w:adjustRightInd w:val="0"/>
              <w:snapToGrid w:val="0"/>
              <w:spacing w:line="360" w:lineRule="auto"/>
              <w:jc w:val="both"/>
              <w:rPr>
                <w:rFonts w:ascii="Book Antiqua" w:hAnsi="Book Antiqua"/>
                <w:color w:val="000000" w:themeColor="text1"/>
                <w:sz w:val="24"/>
                <w:szCs w:val="24"/>
                <w:lang w:val="en-US"/>
              </w:rPr>
            </w:pPr>
            <w:r w:rsidRPr="00981DC5">
              <w:rPr>
                <w:rFonts w:ascii="Book Antiqua" w:hAnsi="Book Antiqua" w:cs="Calibri"/>
                <w:color w:val="000000" w:themeColor="text1"/>
                <w:sz w:val="24"/>
                <w:szCs w:val="24"/>
                <w:lang w:val="en-US"/>
              </w:rPr>
              <w:lastRenderedPageBreak/>
              <w:t xml:space="preserve">k </w:t>
            </w:r>
            <w:r w:rsidR="00EB33B3" w:rsidRPr="00981DC5">
              <w:rPr>
                <w:rFonts w:ascii="Book Antiqua" w:hAnsi="Book Antiqua" w:cs="Calibri"/>
                <w:i/>
                <w:color w:val="000000" w:themeColor="text1"/>
                <w:sz w:val="24"/>
                <w:szCs w:val="24"/>
                <w:lang w:val="en-US"/>
              </w:rPr>
              <w:t>vs</w:t>
            </w:r>
            <w:r w:rsidRPr="00981DC5">
              <w:rPr>
                <w:rFonts w:ascii="Book Antiqua" w:hAnsi="Book Antiqua" w:cs="Calibri"/>
                <w:color w:val="000000" w:themeColor="text1"/>
                <w:sz w:val="24"/>
                <w:szCs w:val="24"/>
                <w:lang w:val="en-US"/>
              </w:rPr>
              <w:t xml:space="preserve"> Gemcitabine</w:t>
            </w:r>
          </w:p>
        </w:tc>
        <w:tc>
          <w:tcPr>
            <w:tcW w:w="1884" w:type="dxa"/>
            <w:vAlign w:val="center"/>
          </w:tcPr>
          <w:p w14:paraId="5CB9029C" w14:textId="489736EC" w:rsidR="00521171" w:rsidRPr="00981DC5" w:rsidRDefault="00EB33B3" w:rsidP="00B11A05">
            <w:pPr>
              <w:adjustRightInd w:val="0"/>
              <w:snapToGrid w:val="0"/>
              <w:spacing w:line="360" w:lineRule="auto"/>
              <w:jc w:val="both"/>
              <w:rPr>
                <w:rFonts w:ascii="Book Antiqua" w:hAnsi="Book Antiqua"/>
                <w:color w:val="000000" w:themeColor="text1"/>
                <w:sz w:val="24"/>
                <w:szCs w:val="24"/>
                <w:lang w:val="en-US"/>
              </w:rPr>
            </w:pPr>
            <w:r w:rsidRPr="00981DC5">
              <w:rPr>
                <w:rFonts w:ascii="Book Antiqua" w:hAnsi="Book Antiqua" w:cs="Calibri"/>
                <w:color w:val="000000" w:themeColor="text1"/>
                <w:sz w:val="24"/>
                <w:szCs w:val="24"/>
                <w:lang w:val="en-US"/>
              </w:rPr>
              <w:t xml:space="preserve">Conroy </w:t>
            </w:r>
            <w:r w:rsidRPr="00981DC5">
              <w:rPr>
                <w:rFonts w:ascii="Book Antiqua" w:hAnsi="Book Antiqua" w:cs="Calibri"/>
                <w:i/>
                <w:iCs/>
                <w:color w:val="000000" w:themeColor="text1"/>
                <w:sz w:val="24"/>
                <w:szCs w:val="24"/>
                <w:lang w:val="en-US"/>
              </w:rPr>
              <w:t>et al</w:t>
            </w:r>
            <w:r w:rsidRPr="00981DC5">
              <w:rPr>
                <w:rFonts w:ascii="Book Antiqua" w:hAnsi="Book Antiqua" w:cs="Calibri"/>
                <w:color w:val="000000" w:themeColor="text1"/>
                <w:sz w:val="24"/>
                <w:szCs w:val="24"/>
                <w:vertAlign w:val="superscript"/>
                <w:lang w:val="en-US"/>
              </w:rPr>
              <w:fldChar w:fldCharType="begin" w:fldLock="1"/>
            </w:r>
            <w:r w:rsidRPr="00981DC5">
              <w:rPr>
                <w:rFonts w:ascii="Book Antiqua" w:hAnsi="Book Antiqua" w:cs="Calibri"/>
                <w:color w:val="000000" w:themeColor="text1"/>
                <w:sz w:val="24"/>
                <w:szCs w:val="24"/>
                <w:vertAlign w:val="superscript"/>
                <w:lang w:val="en-US"/>
              </w:rPr>
              <w:instrText>ADDIN CSL_CITATION {"citationItems":[{"id":"ITEM-1","itemData":{"DOI":"10.1056/NEJMoa1011923","ISSN":"15334406","PMID":"21561347","abstract":"BACKGROUND: Data are lacking on the efficacy and safety of a combination chemotherapy regimen consisting of oxaliplatin, irinotecan, fluorouracil, and leucovorin (FOLFIRINOX) as compared with gemcitabine as first-line therapy in patients with metastatic pancreatic cancer. METHODS: We randomly assigned 342 patients with an Eastern Cooperative Oncology Group performance status score of 0 or 1 (on a scale of 0 to 5, with higher scores indicating a greater severity of illness) to receive FOLFIRINOX (oxaliplatin, 85 mg per square meter of body-surface area; irinotecan, 180 mg per square meter; leucovorin, 400 mg per square meter; and fluorouracil, 400 mg per square meter given as a bolus followed by 2400 mg per square meter given as a 46-hour continuous infusion, every 2 weeks) or gemcitabine at a dose of 1000 mg per square meter weekly for 7 of 8 weeks and then weekly for 3 of 4 weeks. Six months of chemotherapy were recommended in both groups in patients who had a response. The primary end point was overall survival. RESULTS: The median overall survival was 11.1 months in the FOLFIRINOX group as compared with 6.8 months in the gemcitabine group (hazard ratio for death, 0.57; 95% confidence interval [CI], 0.45 to 0.73; P&lt;0.001). Median progression-free survival was 6.4 months in the FOLFIRINOX group and 3.3 months in the gemcitabine group (hazard ratio for disease progression, 0.47; 95% CI, 0.37 to 0.59; P&lt;0.001). The objective response rate was 31.6% in the FOLFIRINOX group versus 9.4% in the gemcitabine group (P&lt;0.001). More adverse events were noted in the FOLFIRINOX group; 5.4% of patients in this group had febrile neutropenia. At 6 months, 31% of the patients in the FOLFIRINOX group had a definitive degradation of the quality of life versus 66% in the gemcitabine group (hazard ratio, 0.47; 95% CI, 0.30 to 0.70; P&lt;0.001). CONCLUSIONS: As compared with gemcitabine, FOLFIRINOX was associated with a survival advantage and had increased toxicity. FOLFIRINOX is an option for the treatment of patients with metastatic pancreatic cancer and good performance status. (Funded by the French government and others; ClinicalTrials.gov number, NCT00112658.) Copyright © 2011 Massachusetts Medical Society.","author":[{"dropping-particle":"","family":"Conroy","given":"Thierry","non-dropping-particle":"","parse-names":false,"suffix":""},{"dropping-particle":"","family":"Desseigne","given":"Françoise","non-dropping-particle":"","parse-names":false,"suffix":""},{"dropping-particle":"","family":"Ychou","given":"Marc","non-dropping-particle":"","parse-names":false,"suffix":""},{"dropping-particle":"","family":"Bouché","given":"Olivier","non-dropping-particle":"","parse-names":false,"suffix":""},{"dropping-particle":"","family":"Guimbaud","given":"Rosine","non-dropping-particle":"","parse-names":false,"suffix":""},{"dropping-particle":"","family":"Bécouarn","given":"Yves","non-dropping-particle":"","parse-names":false,"suffix":""},{"dropping-particle":"","family":"Adenis","given":"Antoine","non-dropping-particle":"","parse-names":false,"suffix":""},{"dropping-particle":"","family":"Raoul","given":"Jean Luc","non-dropping-particle":"","parse-names":false,"suffix":""},{"dropping-particle":"","family":"Gourgou-Bourgade","given":"Sophie","non-dropping-particle":"","parse-names":false,"suffix":""},{"dropping-particle":"","family":"La Fouchardière","given":"Christelle","non-dropping-particle":"De","parse-names":false,"suffix":""},{"dropping-particle":"","family":"Bennouna","given":"Jaafar","non-dropping-particle":"","parse-names":false,"suffix":""},{"dropping-particle":"","family":"Bachet","given":"Jean Baptiste","non-dropping-particle":"","parse-names":false,"suffix":""},{"dropping-particle":"","family":"Khemissa-Akouz","given":"Faiza","non-dropping-particle":"","parse-names":false,"suffix":""},{"dropping-particle":"","family":"Péré-Vergé","given":"Denis","non-dropping-particle":"","parse-names":false,"suffix":""},{"dropping-particle":"","family":"Delbaldo","given":"Catherine","non-dropping-particle":"","parse-names":false,"suffix":""},{"dropping-particle":"","family":"Assenat","given":"Eric","non-dropping-particle":"","parse-names":false,"suffix":""},{"dropping-particle":"","family":"Chauffert","given":"Bruno","non-dropping-particle":"","parse-names":false,"suffix":""},{"dropping-particle":"","family":"Michel","given":"Pierre","non-dropping-particle":"","parse-names":false,"suffix":""},{"dropping-particle":"","family":"Montoto-Grillot","given":"Christine","non-dropping-particle":"","parse-names":false,"suffix":""},{"dropping-particle":"","family":"Ducreux","given":"Michel","non-dropping-particle":"","parse-names":false,"suffix":""}],"container-title":"New England Journal of Medicine","id":"ITEM-1","issue":"19","issued":{"date-parts":[["2011","5","12"]]},"page":"1817-1825","publisher":"Massachussetts Medical Society","title":"FOLFIRINOX versus gemcitabine for metastatic pancreatic cancer","type":"article-journal","volume":"364"},"uris":["http://www.mendeley.com/documents/?uuid=79115611-6660-388d-8f90-b6d1dd896e88"]}],"mendeley":{"formattedCitation":"&lt;sup&gt;[7]&lt;/sup&gt;","plainTextFormattedCitation":"[7]","previouslyFormattedCitation":"&lt;sup&gt;[7]&lt;/sup&gt;"},"properties":{"noteIndex":0},"schema":"https://github.com/citation-style-language/schema/raw/master/csl-citation.json"}</w:instrText>
            </w:r>
            <w:r w:rsidRPr="00981DC5">
              <w:rPr>
                <w:rFonts w:ascii="Book Antiqua" w:hAnsi="Book Antiqua" w:cs="Calibri"/>
                <w:color w:val="000000" w:themeColor="text1"/>
                <w:sz w:val="24"/>
                <w:szCs w:val="24"/>
                <w:vertAlign w:val="superscript"/>
                <w:lang w:val="en-US"/>
              </w:rPr>
              <w:fldChar w:fldCharType="separate"/>
            </w:r>
            <w:r w:rsidRPr="00981DC5">
              <w:rPr>
                <w:rFonts w:ascii="Book Antiqua" w:hAnsi="Book Antiqua" w:cs="Calibri"/>
                <w:noProof/>
                <w:color w:val="000000" w:themeColor="text1"/>
                <w:sz w:val="24"/>
                <w:szCs w:val="24"/>
                <w:vertAlign w:val="superscript"/>
                <w:lang w:val="en-US"/>
              </w:rPr>
              <w:t>[7]</w:t>
            </w:r>
            <w:r w:rsidRPr="00981DC5">
              <w:rPr>
                <w:rFonts w:ascii="Book Antiqua" w:hAnsi="Book Antiqua" w:cs="Calibri"/>
                <w:color w:val="000000" w:themeColor="text1"/>
                <w:sz w:val="24"/>
                <w:szCs w:val="24"/>
                <w:vertAlign w:val="superscript"/>
                <w:lang w:val="en-US"/>
              </w:rPr>
              <w:fldChar w:fldCharType="end"/>
            </w:r>
            <w:r w:rsidRPr="00981DC5">
              <w:rPr>
                <w:rFonts w:ascii="Book Antiqua" w:hAnsi="Book Antiqua" w:cs="Calibri"/>
                <w:color w:val="000000" w:themeColor="text1"/>
                <w:sz w:val="24"/>
                <w:szCs w:val="24"/>
                <w:lang w:val="en-US"/>
              </w:rPr>
              <w:t>, 2011</w:t>
            </w:r>
          </w:p>
        </w:tc>
        <w:tc>
          <w:tcPr>
            <w:tcW w:w="1894" w:type="dxa"/>
            <w:vAlign w:val="center"/>
          </w:tcPr>
          <w:p w14:paraId="40A61255" w14:textId="77777777" w:rsidR="00521171" w:rsidRPr="00981DC5" w:rsidRDefault="00521171"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s="Calibri"/>
                <w:color w:val="000000" w:themeColor="text1"/>
                <w:sz w:val="24"/>
                <w:szCs w:val="24"/>
                <w:lang w:val="en-US"/>
              </w:rPr>
              <w:t>16</w:t>
            </w:r>
          </w:p>
        </w:tc>
        <w:tc>
          <w:tcPr>
            <w:tcW w:w="2123" w:type="dxa"/>
            <w:vAlign w:val="center"/>
          </w:tcPr>
          <w:p w14:paraId="3E1A23CA" w14:textId="77777777" w:rsidR="00521171" w:rsidRPr="00981DC5" w:rsidRDefault="00521171"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s="Calibri"/>
                <w:color w:val="000000" w:themeColor="text1"/>
                <w:sz w:val="24"/>
                <w:szCs w:val="24"/>
                <w:lang w:val="en-US"/>
              </w:rPr>
              <w:t>-63.9</w:t>
            </w:r>
          </w:p>
        </w:tc>
        <w:tc>
          <w:tcPr>
            <w:tcW w:w="1860" w:type="dxa"/>
            <w:vMerge w:val="restart"/>
            <w:vAlign w:val="center"/>
          </w:tcPr>
          <w:p w14:paraId="0BDBDF37" w14:textId="77777777" w:rsidR="00521171" w:rsidRPr="00981DC5" w:rsidRDefault="00521171" w:rsidP="00B11A05">
            <w:pPr>
              <w:adjustRightInd w:val="0"/>
              <w:snapToGrid w:val="0"/>
              <w:spacing w:line="360" w:lineRule="auto"/>
              <w:jc w:val="both"/>
              <w:rPr>
                <w:rFonts w:ascii="Book Antiqua" w:hAnsi="Book Antiqua"/>
                <w:color w:val="000000" w:themeColor="text1"/>
                <w:sz w:val="24"/>
                <w:szCs w:val="24"/>
                <w:lang w:val="en-US"/>
              </w:rPr>
            </w:pPr>
            <w:r w:rsidRPr="00981DC5">
              <w:rPr>
                <w:rFonts w:ascii="Book Antiqua" w:hAnsi="Book Antiqua" w:cs="Calibri"/>
                <w:color w:val="000000" w:themeColor="text1"/>
                <w:sz w:val="24"/>
                <w:szCs w:val="24"/>
                <w:lang w:val="en-US"/>
              </w:rPr>
              <w:t>-63.7</w:t>
            </w:r>
          </w:p>
        </w:tc>
      </w:tr>
      <w:tr w:rsidR="00981DC5" w:rsidRPr="00981DC5" w14:paraId="16ED65DB" w14:textId="77777777" w:rsidTr="00EB33B3">
        <w:tc>
          <w:tcPr>
            <w:tcW w:w="1861" w:type="dxa"/>
            <w:vMerge/>
            <w:vAlign w:val="center"/>
          </w:tcPr>
          <w:p w14:paraId="15207783" w14:textId="77777777" w:rsidR="00521171" w:rsidRPr="00981DC5" w:rsidRDefault="00521171" w:rsidP="00B11A05">
            <w:pPr>
              <w:adjustRightInd w:val="0"/>
              <w:snapToGrid w:val="0"/>
              <w:spacing w:line="360" w:lineRule="auto"/>
              <w:jc w:val="both"/>
              <w:rPr>
                <w:rFonts w:ascii="Book Antiqua" w:hAnsi="Book Antiqua"/>
                <w:color w:val="000000" w:themeColor="text1"/>
                <w:sz w:val="24"/>
                <w:szCs w:val="24"/>
                <w:lang w:val="en-US"/>
              </w:rPr>
            </w:pPr>
          </w:p>
        </w:tc>
        <w:tc>
          <w:tcPr>
            <w:tcW w:w="1884" w:type="dxa"/>
            <w:vAlign w:val="center"/>
          </w:tcPr>
          <w:p w14:paraId="19958B0C" w14:textId="5479672E" w:rsidR="00521171" w:rsidRPr="00981DC5" w:rsidRDefault="00521171" w:rsidP="00B11A05">
            <w:pPr>
              <w:adjustRightInd w:val="0"/>
              <w:snapToGrid w:val="0"/>
              <w:spacing w:line="360" w:lineRule="auto"/>
              <w:jc w:val="both"/>
              <w:rPr>
                <w:rFonts w:ascii="Book Antiqua" w:hAnsi="Book Antiqua"/>
                <w:color w:val="000000" w:themeColor="text1"/>
                <w:sz w:val="24"/>
                <w:szCs w:val="24"/>
                <w:lang w:val="en-US"/>
              </w:rPr>
            </w:pPr>
            <w:proofErr w:type="spellStart"/>
            <w:r w:rsidRPr="00981DC5">
              <w:rPr>
                <w:rFonts w:ascii="Book Antiqua" w:hAnsi="Book Antiqua" w:cs="Calibri"/>
                <w:color w:val="000000" w:themeColor="text1"/>
                <w:sz w:val="24"/>
                <w:szCs w:val="24"/>
                <w:lang w:val="en-US"/>
              </w:rPr>
              <w:t>Louvet</w:t>
            </w:r>
            <w:proofErr w:type="spellEnd"/>
            <w:r w:rsidRPr="00981DC5">
              <w:rPr>
                <w:rFonts w:ascii="Book Antiqua" w:hAnsi="Book Antiqua" w:cs="Calibri"/>
                <w:color w:val="000000" w:themeColor="text1"/>
                <w:sz w:val="24"/>
                <w:szCs w:val="24"/>
                <w:lang w:val="en-US"/>
              </w:rPr>
              <w:t xml:space="preserve"> </w:t>
            </w:r>
            <w:r w:rsidR="00EB33B3" w:rsidRPr="00981DC5">
              <w:rPr>
                <w:rFonts w:ascii="Book Antiqua" w:hAnsi="Book Antiqua" w:cs="Calibri"/>
                <w:i/>
                <w:iCs/>
                <w:color w:val="000000" w:themeColor="text1"/>
                <w:sz w:val="24"/>
                <w:szCs w:val="24"/>
                <w:lang w:val="en-US"/>
              </w:rPr>
              <w:t>et al</w:t>
            </w:r>
            <w:r w:rsidR="00EB33B3" w:rsidRPr="00981DC5">
              <w:rPr>
                <w:rFonts w:ascii="Book Antiqua" w:hAnsi="Book Antiqua" w:cs="Calibri"/>
                <w:color w:val="000000" w:themeColor="text1"/>
                <w:sz w:val="24"/>
                <w:szCs w:val="24"/>
                <w:vertAlign w:val="superscript"/>
                <w:lang w:val="en-US"/>
              </w:rPr>
              <w:fldChar w:fldCharType="begin" w:fldLock="1"/>
            </w:r>
            <w:r w:rsidR="00EB33B3" w:rsidRPr="00981DC5">
              <w:rPr>
                <w:rFonts w:ascii="Book Antiqua" w:hAnsi="Book Antiqua" w:cs="Calibri"/>
                <w:color w:val="000000" w:themeColor="text1"/>
                <w:sz w:val="24"/>
                <w:szCs w:val="24"/>
                <w:vertAlign w:val="superscript"/>
                <w:lang w:val="en-US"/>
              </w:rPr>
              <w:instrText>ADDIN CSL_CITATION {"citationItems":[{"id":"ITEM-1","itemData":{"DOI":"10.1056/NEJMoa1011923","ISSN":"15334406","PMID":"21561347","abstract":"BACKGROUND: Data are lacking on the efficacy and safety of a combination chemotherapy regimen consisting of oxaliplatin, irinotecan, fluorouracil, and leucovorin (FOLFIRINOX) as compared with gemcitabine as first-line therapy in patients with metastatic pancreatic cancer. METHODS: We randomly assigned 342 patients with an Eastern Cooperative Oncology Group performance status score of 0 or 1 (on a scale of 0 to 5, with higher scores indicating a greater severity of illness) to receive FOLFIRINOX (oxaliplatin, 85 mg per square meter of body-surface area; irinotecan, 180 mg per square meter; leucovorin, 400 mg per square meter; and fluorouracil, 400 mg per square meter given as a bolus followed by 2400 mg per square meter given as a 46-hour continuous infusion, every 2 weeks) or gemcitabine at a dose of 1000 mg per square meter weekly for 7 of 8 weeks and then weekly for 3 of 4 weeks. Six months of chemotherapy were recommended in both groups in patients who had a response. The primary end point was overall survival. RESULTS: The median overall survival was 11.1 months in the FOLFIRINOX group as compared with 6.8 months in the gemcitabine group (hazard ratio for death, 0.57; 95% confidence interval [CI], 0.45 to 0.73; P&lt;0.001). Median progression-free survival was 6.4 months in the FOLFIRINOX group and 3.3 months in the gemcitabine group (hazard ratio for disease progression, 0.47; 95% CI, 0.37 to 0.59; P&lt;0.001). The objective response rate was 31.6% in the FOLFIRINOX group versus 9.4% in the gemcitabine group (P&lt;0.001). More adverse events were noted in the FOLFIRINOX group; 5.4% of patients in this group had febrile neutropenia. At 6 months, 31% of the patients in the FOLFIRINOX group had a definitive degradation of the quality of life versus 66% in the gemcitabine group (hazard ratio, 0.47; 95% CI, 0.30 to 0.70; P&lt;0.001). CONCLUSIONS: As compared with gemcitabine, FOLFIRINOX was associated with a survival advantage and had increased toxicity. FOLFIRINOX is an option for the treatment of patients with metastatic pancreatic cancer and good performance status. (Funded by the French government and others; ClinicalTrials.gov number, NCT00112658.) Copyright © 2011 Massachusetts Medical Society.","author":[{"dropping-particle":"","family":"Conroy","given":"Thierry","non-dropping-particle":"","parse-names":false,"suffix":""},{"dropping-particle":"","family":"Desseigne","given":"Françoise","non-dropping-particle":"","parse-names":false,"suffix":""},{"dropping-particle":"","family":"Ychou","given":"Marc","non-dropping-particle":"","parse-names":false,"suffix":""},{"dropping-particle":"","family":"Bouché","given":"Olivier","non-dropping-particle":"","parse-names":false,"suffix":""},{"dropping-particle":"","family":"Guimbaud","given":"Rosine","non-dropping-particle":"","parse-names":false,"suffix":""},{"dropping-particle":"","family":"Bécouarn","given":"Yves","non-dropping-particle":"","parse-names":false,"suffix":""},{"dropping-particle":"","family":"Adenis","given":"Antoine","non-dropping-particle":"","parse-names":false,"suffix":""},{"dropping-particle":"","family":"Raoul","given":"Jean Luc","non-dropping-particle":"","parse-names":false,"suffix":""},{"dropping-particle":"","family":"Gourgou-Bourgade","given":"Sophie","non-dropping-particle":"","parse-names":false,"suffix":""},{"dropping-particle":"","family":"La Fouchardière","given":"Christelle","non-dropping-particle":"De","parse-names":false,"suffix":""},{"dropping-particle":"","family":"Bennouna","given":"Jaafar","non-dropping-particle":"","parse-names":false,"suffix":""},{"dropping-particle":"","family":"Bachet","given":"Jean Baptiste","non-dropping-particle":"","parse-names":false,"suffix":""},{"dropping-particle":"","family":"Khemissa-Akouz","given":"Faiza","non-dropping-particle":"","parse-names":false,"suffix":""},{"dropping-particle":"","family":"Péré-Vergé","given":"Denis","non-dropping-particle":"","parse-names":false,"suffix":""},{"dropping-particle":"","family":"Delbaldo","given":"Catherine","non-dropping-particle":"","parse-names":false,"suffix":""},{"dropping-particle":"","family":"Assenat","given":"Eric","non-dropping-particle":"","parse-names":false,"suffix":""},{"dropping-particle":"","family":"Chauffert","given":"Bruno","non-dropping-particle":"","parse-names":false,"suffix":""},{"dropping-particle":"","family":"Michel","given":"Pierre","non-dropping-particle":"","parse-names":false,"suffix":""},{"dropping-particle":"","family":"Montoto-Grillot","given":"Christine","non-dropping-particle":"","parse-names":false,"suffix":""},{"dropping-particle":"","family":"Ducreux","given":"Michel","non-dropping-particle":"","parse-names":false,"suffix":""}],"container-title":"New England Journal of Medicine","id":"ITEM-1","issue":"19","issued":{"date-parts":[["2011","5","12"]]},"page":"1817-1825","publisher":"Massachussetts Medical Society","title":"FOLFIRINOX versus gemcitabine for metastatic pancreatic cancer","type":"article-journal","volume":"364"},"uris":["http://www.mendeley.com/documents/?uuid=79115611-6660-388d-8f90-b6d1dd896e88"]}],"mendeley":{"formattedCitation":"&lt;sup&gt;[7]&lt;/sup&gt;","plainTextFormattedCitation":"[7]","previouslyFormattedCitation":"&lt;sup&gt;[7]&lt;/sup&gt;"},"properties":{"noteIndex":0},"schema":"https://github.com/citation-style-language/schema/raw/master/csl-citation.json"}</w:instrText>
            </w:r>
            <w:r w:rsidR="00EB33B3" w:rsidRPr="00981DC5">
              <w:rPr>
                <w:rFonts w:ascii="Book Antiqua" w:hAnsi="Book Antiqua" w:cs="Calibri"/>
                <w:color w:val="000000" w:themeColor="text1"/>
                <w:sz w:val="24"/>
                <w:szCs w:val="24"/>
                <w:vertAlign w:val="superscript"/>
                <w:lang w:val="en-US"/>
              </w:rPr>
              <w:fldChar w:fldCharType="separate"/>
            </w:r>
            <w:r w:rsidR="00EB33B3" w:rsidRPr="00981DC5">
              <w:rPr>
                <w:rFonts w:ascii="Book Antiqua" w:hAnsi="Book Antiqua" w:cs="Calibri"/>
                <w:noProof/>
                <w:color w:val="000000" w:themeColor="text1"/>
                <w:sz w:val="24"/>
                <w:szCs w:val="24"/>
                <w:vertAlign w:val="superscript"/>
                <w:lang w:val="en-US"/>
              </w:rPr>
              <w:t>[52]</w:t>
            </w:r>
            <w:r w:rsidR="00EB33B3" w:rsidRPr="00981DC5">
              <w:rPr>
                <w:rFonts w:ascii="Book Antiqua" w:hAnsi="Book Antiqua" w:cs="Calibri"/>
                <w:color w:val="000000" w:themeColor="text1"/>
                <w:sz w:val="24"/>
                <w:szCs w:val="24"/>
                <w:vertAlign w:val="superscript"/>
                <w:lang w:val="en-US"/>
              </w:rPr>
              <w:fldChar w:fldCharType="end"/>
            </w:r>
            <w:r w:rsidR="00EB33B3" w:rsidRPr="00981DC5">
              <w:rPr>
                <w:rFonts w:ascii="Book Antiqua" w:hAnsi="Book Antiqua" w:cs="Calibri"/>
                <w:color w:val="000000" w:themeColor="text1"/>
                <w:sz w:val="24"/>
                <w:szCs w:val="24"/>
                <w:lang w:val="en-US"/>
              </w:rPr>
              <w:t>, 2005</w:t>
            </w:r>
          </w:p>
        </w:tc>
        <w:tc>
          <w:tcPr>
            <w:tcW w:w="1894" w:type="dxa"/>
            <w:vAlign w:val="center"/>
          </w:tcPr>
          <w:p w14:paraId="19041684" w14:textId="77777777" w:rsidR="00521171" w:rsidRPr="00981DC5" w:rsidRDefault="00521171"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s="Calibri"/>
                <w:color w:val="000000" w:themeColor="text1"/>
                <w:sz w:val="24"/>
                <w:szCs w:val="24"/>
                <w:lang w:val="en-US"/>
              </w:rPr>
              <w:t>17.3</w:t>
            </w:r>
          </w:p>
        </w:tc>
        <w:tc>
          <w:tcPr>
            <w:tcW w:w="2123" w:type="dxa"/>
            <w:vAlign w:val="center"/>
          </w:tcPr>
          <w:p w14:paraId="4CE0808C" w14:textId="77777777" w:rsidR="00521171" w:rsidRPr="00981DC5" w:rsidRDefault="00521171"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s="Calibri"/>
                <w:color w:val="000000" w:themeColor="text1"/>
                <w:sz w:val="24"/>
                <w:szCs w:val="24"/>
                <w:lang w:val="en-US"/>
              </w:rPr>
              <w:t>-62.8</w:t>
            </w:r>
          </w:p>
        </w:tc>
        <w:tc>
          <w:tcPr>
            <w:tcW w:w="1860" w:type="dxa"/>
            <w:vMerge/>
            <w:vAlign w:val="center"/>
          </w:tcPr>
          <w:p w14:paraId="5BB05658" w14:textId="77777777" w:rsidR="00521171" w:rsidRPr="00981DC5" w:rsidRDefault="00521171" w:rsidP="00B11A05">
            <w:pPr>
              <w:adjustRightInd w:val="0"/>
              <w:snapToGrid w:val="0"/>
              <w:spacing w:line="360" w:lineRule="auto"/>
              <w:jc w:val="both"/>
              <w:rPr>
                <w:rFonts w:ascii="Book Antiqua" w:hAnsi="Book Antiqua"/>
                <w:color w:val="000000" w:themeColor="text1"/>
                <w:sz w:val="24"/>
                <w:szCs w:val="24"/>
                <w:lang w:val="en-US"/>
              </w:rPr>
            </w:pPr>
          </w:p>
        </w:tc>
      </w:tr>
      <w:tr w:rsidR="00981DC5" w:rsidRPr="00981DC5" w14:paraId="41633979" w14:textId="77777777" w:rsidTr="00EB33B3">
        <w:tc>
          <w:tcPr>
            <w:tcW w:w="1861" w:type="dxa"/>
            <w:vMerge/>
            <w:vAlign w:val="center"/>
          </w:tcPr>
          <w:p w14:paraId="2C694E03" w14:textId="77777777" w:rsidR="00521171" w:rsidRPr="00981DC5" w:rsidRDefault="00521171" w:rsidP="00B11A05">
            <w:pPr>
              <w:adjustRightInd w:val="0"/>
              <w:snapToGrid w:val="0"/>
              <w:spacing w:line="360" w:lineRule="auto"/>
              <w:jc w:val="both"/>
              <w:rPr>
                <w:rFonts w:ascii="Book Antiqua" w:hAnsi="Book Antiqua"/>
                <w:color w:val="000000" w:themeColor="text1"/>
                <w:sz w:val="24"/>
                <w:szCs w:val="24"/>
                <w:lang w:val="en-US"/>
              </w:rPr>
            </w:pPr>
          </w:p>
        </w:tc>
        <w:tc>
          <w:tcPr>
            <w:tcW w:w="1884" w:type="dxa"/>
            <w:vAlign w:val="center"/>
          </w:tcPr>
          <w:p w14:paraId="5EE29F8E" w14:textId="52B13E0F" w:rsidR="00521171" w:rsidRPr="00981DC5" w:rsidRDefault="00521171"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s="Calibri"/>
                <w:color w:val="000000" w:themeColor="text1"/>
                <w:sz w:val="24"/>
                <w:szCs w:val="24"/>
                <w:lang w:val="en-US"/>
              </w:rPr>
              <w:t xml:space="preserve">Ergun </w:t>
            </w:r>
            <w:r w:rsidR="00EB33B3" w:rsidRPr="00981DC5">
              <w:rPr>
                <w:rFonts w:ascii="Book Antiqua" w:hAnsi="Book Antiqua" w:cs="Calibri"/>
                <w:i/>
                <w:iCs/>
                <w:color w:val="000000" w:themeColor="text1"/>
                <w:sz w:val="24"/>
                <w:szCs w:val="24"/>
                <w:lang w:val="en-US"/>
              </w:rPr>
              <w:t>et al</w:t>
            </w:r>
            <w:r w:rsidR="00EB33B3" w:rsidRPr="00981DC5">
              <w:rPr>
                <w:rFonts w:ascii="Book Antiqua" w:hAnsi="Book Antiqua" w:cs="Calibri"/>
                <w:color w:val="000000" w:themeColor="text1"/>
                <w:sz w:val="24"/>
                <w:szCs w:val="24"/>
                <w:vertAlign w:val="superscript"/>
                <w:lang w:val="en-US"/>
              </w:rPr>
              <w:fldChar w:fldCharType="begin" w:fldLock="1"/>
            </w:r>
            <w:r w:rsidR="00EB33B3" w:rsidRPr="00981DC5">
              <w:rPr>
                <w:rFonts w:ascii="Book Antiqua" w:hAnsi="Book Antiqua" w:cs="Calibri"/>
                <w:color w:val="000000" w:themeColor="text1"/>
                <w:sz w:val="24"/>
                <w:szCs w:val="24"/>
                <w:vertAlign w:val="superscript"/>
                <w:lang w:val="en-US"/>
              </w:rPr>
              <w:instrText>ADDIN CSL_CITATION {"citationItems":[{"id":"ITEM-1","itemData":{"DOI":"10.1056/NEJMoa1011923","ISSN":"15334406","PMID":"21561347","abstract":"BACKGROUND: Data are lacking on the efficacy and safety of a combination chemotherapy regimen consisting of oxaliplatin, irinotecan, fluorouracil, and leucovorin (FOLFIRINOX) as compared with gemcitabine as first-line therapy in patients with metastatic pancreatic cancer. METHODS: We randomly assigned 342 patients with an Eastern Cooperative Oncology Group performance status score of 0 or 1 (on a scale of 0 to 5, with higher scores indicating a greater severity of illness) to receive FOLFIRINOX (oxaliplatin, 85 mg per square meter of body-surface area; irinotecan, 180 mg per square meter; leucovorin, 400 mg per square meter; and fluorouracil, 400 mg per square meter given as a bolus followed by 2400 mg per square meter given as a 46-hour continuous infusion, every 2 weeks) or gemcitabine at a dose of 1000 mg per square meter weekly for 7 of 8 weeks and then weekly for 3 of 4 weeks. Six months of chemotherapy were recommended in both groups in patients who had a response. The primary end point was overall survival. RESULTS: The median overall survival was 11.1 months in the FOLFIRINOX group as compared with 6.8 months in the gemcitabine group (hazard ratio for death, 0.57; 95% confidence interval [CI], 0.45 to 0.73; P&lt;0.001). Median progression-free survival was 6.4 months in the FOLFIRINOX group and 3.3 months in the gemcitabine group (hazard ratio for disease progression, 0.47; 95% CI, 0.37 to 0.59; P&lt;0.001). The objective response rate was 31.6% in the FOLFIRINOX group versus 9.4% in the gemcitabine group (P&lt;0.001). More adverse events were noted in the FOLFIRINOX group; 5.4% of patients in this group had febrile neutropenia. At 6 months, 31% of the patients in the FOLFIRINOX group had a definitive degradation of the quality of life versus 66% in the gemcitabine group (hazard ratio, 0.47; 95% CI, 0.30 to 0.70; P&lt;0.001). CONCLUSIONS: As compared with gemcitabine, FOLFIRINOX was associated with a survival advantage and had increased toxicity. FOLFIRINOX is an option for the treatment of patients with metastatic pancreatic cancer and good performance status. (Funded by the French government and others; ClinicalTrials.gov number, NCT00112658.) Copyright © 2011 Massachusetts Medical Society.","author":[{"dropping-particle":"","family":"Conroy","given":"Thierry","non-dropping-particle":"","parse-names":false,"suffix":""},{"dropping-particle":"","family":"Desseigne","given":"Françoise","non-dropping-particle":"","parse-names":false,"suffix":""},{"dropping-particle":"","family":"Ychou","given":"Marc","non-dropping-particle":"","parse-names":false,"suffix":""},{"dropping-particle":"","family":"Bouché","given":"Olivier","non-dropping-particle":"","parse-names":false,"suffix":""},{"dropping-particle":"","family":"Guimbaud","given":"Rosine","non-dropping-particle":"","parse-names":false,"suffix":""},{"dropping-particle":"","family":"Bécouarn","given":"Yves","non-dropping-particle":"","parse-names":false,"suffix":""},{"dropping-particle":"","family":"Adenis","given":"Antoine","non-dropping-particle":"","parse-names":false,"suffix":""},{"dropping-particle":"","family":"Raoul","given":"Jean Luc","non-dropping-particle":"","parse-names":false,"suffix":""},{"dropping-particle":"","family":"Gourgou-Bourgade","given":"Sophie","non-dropping-particle":"","parse-names":false,"suffix":""},{"dropping-particle":"","family":"La Fouchardière","given":"Christelle","non-dropping-particle":"De","parse-names":false,"suffix":""},{"dropping-particle":"","family":"Bennouna","given":"Jaafar","non-dropping-particle":"","parse-names":false,"suffix":""},{"dropping-particle":"","family":"Bachet","given":"Jean Baptiste","non-dropping-particle":"","parse-names":false,"suffix":""},{"dropping-particle":"","family":"Khemissa-Akouz","given":"Faiza","non-dropping-particle":"","parse-names":false,"suffix":""},{"dropping-particle":"","family":"Péré-Vergé","given":"Denis","non-dropping-particle":"","parse-names":false,"suffix":""},{"dropping-particle":"","family":"Delbaldo","given":"Catherine","non-dropping-particle":"","parse-names":false,"suffix":""},{"dropping-particle":"","family":"Assenat","given":"Eric","non-dropping-particle":"","parse-names":false,"suffix":""},{"dropping-particle":"","family":"Chauffert","given":"Bruno","non-dropping-particle":"","parse-names":false,"suffix":""},{"dropping-particle":"","family":"Michel","given":"Pierre","non-dropping-particle":"","parse-names":false,"suffix":""},{"dropping-particle":"","family":"Montoto-Grillot","given":"Christine","non-dropping-particle":"","parse-names":false,"suffix":""},{"dropping-particle":"","family":"Ducreux","given":"Michel","non-dropping-particle":"","parse-names":false,"suffix":""}],"container-title":"New England Journal of Medicine","id":"ITEM-1","issue":"19","issued":{"date-parts":[["2011","5","12"]]},"page":"1817-1825","publisher":"Massachussetts Medical Society","title":"FOLFIRINOX versus gemcitabine for metastatic pancreatic cancer","type":"article-journal","volume":"364"},"uris":["http://www.mendeley.com/documents/?uuid=79115611-6660-388d-8f90-b6d1dd896e88"]}],"mendeley":{"formattedCitation":"&lt;sup&gt;[7]&lt;/sup&gt;","plainTextFormattedCitation":"[7]","previouslyFormattedCitation":"&lt;sup&gt;[7]&lt;/sup&gt;"},"properties":{"noteIndex":0},"schema":"https://github.com/citation-style-language/schema/raw/master/csl-citation.json"}</w:instrText>
            </w:r>
            <w:r w:rsidR="00EB33B3" w:rsidRPr="00981DC5">
              <w:rPr>
                <w:rFonts w:ascii="Book Antiqua" w:hAnsi="Book Antiqua" w:cs="Calibri"/>
                <w:color w:val="000000" w:themeColor="text1"/>
                <w:sz w:val="24"/>
                <w:szCs w:val="24"/>
                <w:vertAlign w:val="superscript"/>
                <w:lang w:val="en-US"/>
              </w:rPr>
              <w:fldChar w:fldCharType="separate"/>
            </w:r>
            <w:r w:rsidR="00EB33B3" w:rsidRPr="00981DC5">
              <w:rPr>
                <w:rFonts w:ascii="Book Antiqua" w:hAnsi="Book Antiqua" w:cs="Calibri"/>
                <w:noProof/>
                <w:color w:val="000000" w:themeColor="text1"/>
                <w:sz w:val="24"/>
                <w:szCs w:val="24"/>
                <w:vertAlign w:val="superscript"/>
                <w:lang w:val="en-US"/>
              </w:rPr>
              <w:t>[53]</w:t>
            </w:r>
            <w:r w:rsidR="00EB33B3" w:rsidRPr="00981DC5">
              <w:rPr>
                <w:rFonts w:ascii="Book Antiqua" w:hAnsi="Book Antiqua" w:cs="Calibri"/>
                <w:color w:val="000000" w:themeColor="text1"/>
                <w:sz w:val="24"/>
                <w:szCs w:val="24"/>
                <w:vertAlign w:val="superscript"/>
                <w:lang w:val="en-US"/>
              </w:rPr>
              <w:fldChar w:fldCharType="end"/>
            </w:r>
            <w:r w:rsidR="00EB33B3" w:rsidRPr="00981DC5">
              <w:rPr>
                <w:rFonts w:ascii="Book Antiqua" w:hAnsi="Book Antiqua" w:cs="Calibri"/>
                <w:color w:val="000000" w:themeColor="text1"/>
                <w:sz w:val="24"/>
                <w:szCs w:val="24"/>
                <w:lang w:val="en-US"/>
              </w:rPr>
              <w:t>, 2018</w:t>
            </w:r>
          </w:p>
        </w:tc>
        <w:tc>
          <w:tcPr>
            <w:tcW w:w="1894" w:type="dxa"/>
            <w:vAlign w:val="center"/>
          </w:tcPr>
          <w:p w14:paraId="370FFBF4" w14:textId="77777777" w:rsidR="00521171" w:rsidRPr="00981DC5" w:rsidRDefault="00521171"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s="Calibri"/>
                <w:color w:val="000000" w:themeColor="text1"/>
                <w:sz w:val="24"/>
                <w:szCs w:val="24"/>
                <w:lang w:val="en-US"/>
              </w:rPr>
              <w:t>15.3</w:t>
            </w:r>
          </w:p>
        </w:tc>
        <w:tc>
          <w:tcPr>
            <w:tcW w:w="2123" w:type="dxa"/>
            <w:vAlign w:val="center"/>
          </w:tcPr>
          <w:p w14:paraId="7B4192A8" w14:textId="77777777" w:rsidR="00521171" w:rsidRPr="00981DC5" w:rsidRDefault="00521171" w:rsidP="00B11A05">
            <w:pPr>
              <w:adjustRightInd w:val="0"/>
              <w:snapToGrid w:val="0"/>
              <w:spacing w:line="360" w:lineRule="auto"/>
              <w:jc w:val="both"/>
              <w:rPr>
                <w:rFonts w:ascii="Book Antiqua" w:hAnsi="Book Antiqua" w:cs="Calibri"/>
                <w:color w:val="000000" w:themeColor="text1"/>
                <w:sz w:val="24"/>
                <w:szCs w:val="24"/>
                <w:lang w:val="en-US"/>
              </w:rPr>
            </w:pPr>
            <w:r w:rsidRPr="00981DC5">
              <w:rPr>
                <w:rFonts w:ascii="Book Antiqua" w:hAnsi="Book Antiqua" w:cs="Calibri"/>
                <w:color w:val="000000" w:themeColor="text1"/>
                <w:sz w:val="24"/>
                <w:szCs w:val="24"/>
                <w:lang w:val="en-US"/>
              </w:rPr>
              <w:t>-64.5</w:t>
            </w:r>
          </w:p>
        </w:tc>
        <w:tc>
          <w:tcPr>
            <w:tcW w:w="1860" w:type="dxa"/>
            <w:vMerge/>
            <w:vAlign w:val="center"/>
          </w:tcPr>
          <w:p w14:paraId="1DA44120" w14:textId="77777777" w:rsidR="00521171" w:rsidRPr="00981DC5" w:rsidRDefault="00521171" w:rsidP="00B11A05">
            <w:pPr>
              <w:adjustRightInd w:val="0"/>
              <w:snapToGrid w:val="0"/>
              <w:spacing w:line="360" w:lineRule="auto"/>
              <w:jc w:val="both"/>
              <w:rPr>
                <w:rFonts w:ascii="Book Antiqua" w:hAnsi="Book Antiqua"/>
                <w:color w:val="000000" w:themeColor="text1"/>
                <w:sz w:val="24"/>
                <w:szCs w:val="24"/>
                <w:lang w:val="en-US"/>
              </w:rPr>
            </w:pPr>
          </w:p>
        </w:tc>
      </w:tr>
    </w:tbl>
    <w:p w14:paraId="70C9023B" w14:textId="0E086BD4" w:rsidR="006A3D96" w:rsidRPr="00AA0F16" w:rsidRDefault="00AA0F16" w:rsidP="00AA0F16">
      <w:pPr>
        <w:adjustRightInd w:val="0"/>
        <w:snapToGrid w:val="0"/>
        <w:spacing w:after="0" w:line="360" w:lineRule="auto"/>
        <w:jc w:val="both"/>
        <w:rPr>
          <w:rFonts w:ascii="Book Antiqua" w:hAnsi="Book Antiqua" w:cs="Calibri"/>
          <w:iCs/>
          <w:color w:val="000000" w:themeColor="text1"/>
          <w:sz w:val="24"/>
          <w:szCs w:val="24"/>
          <w:lang w:val="en-US"/>
        </w:rPr>
      </w:pPr>
      <w:r w:rsidRPr="00981DC5">
        <w:rPr>
          <w:rFonts w:ascii="Book Antiqua" w:hAnsi="Book Antiqua" w:cs="Calibri"/>
          <w:iCs/>
          <w:color w:val="000000" w:themeColor="text1"/>
          <w:lang w:val="en-US"/>
        </w:rPr>
        <w:t xml:space="preserve">k: </w:t>
      </w:r>
      <w:r w:rsidRPr="00981DC5">
        <w:rPr>
          <w:rFonts w:ascii="Book Antiqua" w:hAnsi="Book Antiqua" w:cs="Calibri"/>
          <w:iCs/>
          <w:color w:val="000000" w:themeColor="text1"/>
          <w:sz w:val="24"/>
          <w:szCs w:val="24"/>
          <w:lang w:val="en-US"/>
        </w:rPr>
        <w:t>Control group</w:t>
      </w:r>
      <w:r>
        <w:rPr>
          <w:rFonts w:ascii="Book Antiqua" w:hAnsi="Book Antiqua" w:cs="Calibri"/>
          <w:iCs/>
          <w:color w:val="000000" w:themeColor="text1"/>
          <w:sz w:val="24"/>
          <w:szCs w:val="24"/>
          <w:lang w:val="en-US"/>
        </w:rPr>
        <w:t xml:space="preserve">; </w:t>
      </w:r>
      <w:r>
        <w:rPr>
          <w:rFonts w:ascii="Book Antiqua" w:hAnsi="Book Antiqua" w:cs="Calibri"/>
          <w:color w:val="000000" w:themeColor="text1"/>
          <w:sz w:val="24"/>
          <w:szCs w:val="24"/>
          <w:lang w:val="en-US"/>
        </w:rPr>
        <w:t xml:space="preserve">GEM: </w:t>
      </w:r>
      <w:r w:rsidRPr="00981DC5">
        <w:rPr>
          <w:rFonts w:ascii="Book Antiqua" w:hAnsi="Book Antiqua" w:cs="Calibri"/>
          <w:color w:val="000000" w:themeColor="text1"/>
          <w:sz w:val="24"/>
          <w:szCs w:val="24"/>
          <w:lang w:val="en-US"/>
        </w:rPr>
        <w:t>Gemcitabine</w:t>
      </w:r>
      <w:r>
        <w:rPr>
          <w:rFonts w:ascii="Book Antiqua" w:hAnsi="Book Antiqua" w:cs="Calibri"/>
          <w:color w:val="000000" w:themeColor="text1"/>
          <w:sz w:val="24"/>
          <w:szCs w:val="24"/>
          <w:lang w:val="en-US"/>
        </w:rPr>
        <w:t>;</w:t>
      </w:r>
      <w:r w:rsidRPr="00981DC5">
        <w:rPr>
          <w:rFonts w:ascii="Book Antiqua" w:hAnsi="Book Antiqua" w:cs="Calibri"/>
          <w:color w:val="000000" w:themeColor="text1"/>
          <w:sz w:val="24"/>
          <w:szCs w:val="24"/>
          <w:lang w:val="en-US"/>
        </w:rPr>
        <w:t xml:space="preserve"> GEMOX</w:t>
      </w:r>
      <w:r>
        <w:rPr>
          <w:rFonts w:ascii="Book Antiqua" w:hAnsi="Book Antiqua" w:cs="Calibri"/>
          <w:color w:val="000000" w:themeColor="text1"/>
          <w:sz w:val="24"/>
          <w:szCs w:val="24"/>
          <w:lang w:val="en-US"/>
        </w:rPr>
        <w:t>:</w:t>
      </w:r>
      <w:r w:rsidRPr="00981DC5">
        <w:rPr>
          <w:rFonts w:ascii="Book Antiqua" w:hAnsi="Book Antiqua" w:cs="Calibri"/>
          <w:color w:val="000000" w:themeColor="text1"/>
          <w:sz w:val="24"/>
          <w:szCs w:val="24"/>
          <w:lang w:val="en-US"/>
        </w:rPr>
        <w:t xml:space="preserve"> Gemcitabine + Oxaliplatin</w:t>
      </w:r>
      <w:r>
        <w:rPr>
          <w:rFonts w:ascii="Book Antiqua" w:hAnsi="Book Antiqua" w:cs="Calibri"/>
          <w:color w:val="000000" w:themeColor="text1"/>
          <w:sz w:val="24"/>
          <w:szCs w:val="24"/>
          <w:lang w:val="en-US"/>
        </w:rPr>
        <w:t xml:space="preserve">; </w:t>
      </w:r>
      <w:r w:rsidRPr="00981DC5">
        <w:rPr>
          <w:rFonts w:ascii="Book Antiqua" w:hAnsi="Book Antiqua" w:cs="Calibri"/>
          <w:color w:val="000000" w:themeColor="text1"/>
          <w:sz w:val="24"/>
          <w:szCs w:val="24"/>
          <w:lang w:val="en-US"/>
        </w:rPr>
        <w:t>GEM/nab-P</w:t>
      </w:r>
      <w:r>
        <w:rPr>
          <w:rFonts w:ascii="Book Antiqua" w:hAnsi="Book Antiqua" w:cs="Calibri"/>
          <w:color w:val="000000" w:themeColor="text1"/>
          <w:sz w:val="24"/>
          <w:szCs w:val="24"/>
          <w:lang w:val="en-US"/>
        </w:rPr>
        <w:t>:</w:t>
      </w:r>
      <w:r w:rsidRPr="00981DC5">
        <w:rPr>
          <w:rFonts w:ascii="Book Antiqua" w:hAnsi="Book Antiqua" w:cs="Calibri"/>
          <w:color w:val="000000" w:themeColor="text1"/>
          <w:sz w:val="24"/>
          <w:szCs w:val="24"/>
          <w:lang w:val="en-US"/>
        </w:rPr>
        <w:t xml:space="preserve"> Gemcitabine + nab-Paclitaxel</w:t>
      </w:r>
      <w:r>
        <w:rPr>
          <w:rFonts w:ascii="Book Antiqua" w:hAnsi="Book Antiqua" w:cs="Calibri"/>
          <w:color w:val="000000" w:themeColor="text1"/>
          <w:sz w:val="24"/>
          <w:szCs w:val="24"/>
          <w:lang w:val="en-US"/>
        </w:rPr>
        <w:t>;</w:t>
      </w:r>
      <w:r w:rsidRPr="00981DC5">
        <w:rPr>
          <w:rFonts w:ascii="Book Antiqua" w:hAnsi="Book Antiqua" w:cs="Calibri"/>
          <w:color w:val="000000" w:themeColor="text1"/>
          <w:sz w:val="24"/>
          <w:szCs w:val="24"/>
          <w:lang w:val="en-US"/>
        </w:rPr>
        <w:t xml:space="preserve"> FOLFOXIRI</w:t>
      </w:r>
      <w:r>
        <w:rPr>
          <w:rFonts w:ascii="Book Antiqua" w:hAnsi="Book Antiqua" w:cs="Calibri"/>
          <w:color w:val="000000" w:themeColor="text1"/>
          <w:sz w:val="24"/>
          <w:szCs w:val="24"/>
          <w:lang w:val="en-US"/>
        </w:rPr>
        <w:t>:</w:t>
      </w:r>
      <w:r w:rsidRPr="00981DC5">
        <w:rPr>
          <w:rFonts w:ascii="Book Antiqua" w:hAnsi="Book Antiqua" w:cs="Calibri"/>
          <w:color w:val="000000" w:themeColor="text1"/>
          <w:sz w:val="24"/>
          <w:szCs w:val="24"/>
          <w:lang w:val="en-US"/>
        </w:rPr>
        <w:t xml:space="preserve"> 5-Fluorouracil + </w:t>
      </w:r>
      <w:proofErr w:type="spellStart"/>
      <w:r w:rsidRPr="00981DC5">
        <w:rPr>
          <w:rFonts w:ascii="Book Antiqua" w:hAnsi="Book Antiqua" w:cs="Calibri"/>
          <w:color w:val="000000" w:themeColor="text1"/>
          <w:sz w:val="24"/>
          <w:szCs w:val="24"/>
          <w:lang w:val="en-US"/>
        </w:rPr>
        <w:t>Folinic</w:t>
      </w:r>
      <w:proofErr w:type="spellEnd"/>
      <w:r w:rsidRPr="00981DC5">
        <w:rPr>
          <w:rFonts w:ascii="Book Antiqua" w:hAnsi="Book Antiqua" w:cs="Calibri"/>
          <w:color w:val="000000" w:themeColor="text1"/>
          <w:sz w:val="24"/>
          <w:szCs w:val="24"/>
          <w:lang w:val="en-US"/>
        </w:rPr>
        <w:t xml:space="preserve"> acid + Oxaliplatin + Irinotecan.</w:t>
      </w:r>
    </w:p>
    <w:sectPr w:rsidR="006A3D96" w:rsidRPr="00AA0F16" w:rsidSect="00E653A7">
      <w:footerReference w:type="even" r:id="rId13"/>
      <w:footerReference w:type="default" r:id="rId14"/>
      <w:pgSz w:w="11900" w:h="1684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F7E09D" w14:textId="77777777" w:rsidR="00450C50" w:rsidRDefault="00450C50" w:rsidP="003B4D37">
      <w:pPr>
        <w:spacing w:after="0" w:line="240" w:lineRule="auto"/>
      </w:pPr>
      <w:r>
        <w:separator/>
      </w:r>
    </w:p>
  </w:endnote>
  <w:endnote w:type="continuationSeparator" w:id="0">
    <w:p w14:paraId="38D071AD" w14:textId="77777777" w:rsidR="00450C50" w:rsidRDefault="00450C50" w:rsidP="003B4D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f0"/>
      </w:rPr>
      <w:id w:val="672924186"/>
      <w:docPartObj>
        <w:docPartGallery w:val="Page Numbers (Bottom of Page)"/>
        <w:docPartUnique/>
      </w:docPartObj>
    </w:sdtPr>
    <w:sdtEndPr>
      <w:rPr>
        <w:rStyle w:val="af0"/>
      </w:rPr>
    </w:sdtEndPr>
    <w:sdtContent>
      <w:p w14:paraId="7703BB77" w14:textId="4072ED81" w:rsidR="007F7CF7" w:rsidRDefault="007F7CF7" w:rsidP="00EE1EED">
        <w:pPr>
          <w:pStyle w:val="ad"/>
          <w:framePr w:wrap="none" w:vAnchor="text" w:hAnchor="margin" w:xAlign="right" w:y="1"/>
          <w:rPr>
            <w:rStyle w:val="af0"/>
          </w:rPr>
        </w:pPr>
        <w:r>
          <w:rPr>
            <w:rStyle w:val="af0"/>
          </w:rPr>
          <w:fldChar w:fldCharType="begin"/>
        </w:r>
        <w:r>
          <w:rPr>
            <w:rStyle w:val="af0"/>
          </w:rPr>
          <w:instrText xml:space="preserve"> PAGE </w:instrText>
        </w:r>
        <w:r>
          <w:rPr>
            <w:rStyle w:val="af0"/>
          </w:rPr>
          <w:fldChar w:fldCharType="end"/>
        </w:r>
      </w:p>
    </w:sdtContent>
  </w:sdt>
  <w:p w14:paraId="5988FAA0" w14:textId="77777777" w:rsidR="007F7CF7" w:rsidRDefault="007F7CF7" w:rsidP="00E653A7">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C4BBE3" w14:textId="0CF458B5" w:rsidR="000450D4" w:rsidRPr="000450D4" w:rsidRDefault="000450D4" w:rsidP="000450D4">
    <w:pPr>
      <w:pStyle w:val="ad"/>
      <w:jc w:val="right"/>
      <w:rPr>
        <w:rFonts w:ascii="Book Antiqua" w:hAnsi="Book Antiqua"/>
        <w:color w:val="000000" w:themeColor="text1"/>
        <w:sz w:val="24"/>
        <w:szCs w:val="24"/>
      </w:rPr>
    </w:pPr>
    <w:r w:rsidRPr="000450D4">
      <w:rPr>
        <w:rFonts w:ascii="Book Antiqua" w:hAnsi="Book Antiqua"/>
        <w:color w:val="000000" w:themeColor="text1"/>
        <w:sz w:val="24"/>
        <w:szCs w:val="24"/>
      </w:rPr>
      <w:fldChar w:fldCharType="begin"/>
    </w:r>
    <w:r w:rsidRPr="000450D4">
      <w:rPr>
        <w:rFonts w:ascii="Book Antiqua" w:hAnsi="Book Antiqua"/>
        <w:color w:val="000000" w:themeColor="text1"/>
        <w:sz w:val="24"/>
        <w:szCs w:val="24"/>
      </w:rPr>
      <w:instrText>PAGE  \* Arabic  \* MERGEFORMAT</w:instrText>
    </w:r>
    <w:r w:rsidRPr="000450D4">
      <w:rPr>
        <w:rFonts w:ascii="Book Antiqua" w:hAnsi="Book Antiqua"/>
        <w:color w:val="000000" w:themeColor="text1"/>
        <w:sz w:val="24"/>
        <w:szCs w:val="24"/>
      </w:rPr>
      <w:fldChar w:fldCharType="separate"/>
    </w:r>
    <w:r w:rsidR="001A29E5" w:rsidRPr="001A29E5">
      <w:rPr>
        <w:rFonts w:ascii="Book Antiqua" w:hAnsi="Book Antiqua"/>
        <w:noProof/>
        <w:color w:val="000000" w:themeColor="text1"/>
        <w:sz w:val="24"/>
        <w:szCs w:val="24"/>
        <w:lang w:val="zh-CN"/>
      </w:rPr>
      <w:t>44</w:t>
    </w:r>
    <w:r w:rsidRPr="000450D4">
      <w:rPr>
        <w:rFonts w:ascii="Book Antiqua" w:hAnsi="Book Antiqua"/>
        <w:color w:val="000000" w:themeColor="text1"/>
        <w:sz w:val="24"/>
        <w:szCs w:val="24"/>
      </w:rPr>
      <w:fldChar w:fldCharType="end"/>
    </w:r>
    <w:r w:rsidRPr="000450D4">
      <w:rPr>
        <w:rFonts w:ascii="Book Antiqua" w:hAnsi="Book Antiqua"/>
        <w:color w:val="000000" w:themeColor="text1"/>
        <w:sz w:val="24"/>
        <w:szCs w:val="24"/>
        <w:lang w:val="zh-CN"/>
      </w:rPr>
      <w:t>/</w:t>
    </w:r>
    <w:r w:rsidRPr="000450D4">
      <w:rPr>
        <w:rFonts w:ascii="Book Antiqua" w:hAnsi="Book Antiqua"/>
        <w:color w:val="000000" w:themeColor="text1"/>
        <w:sz w:val="24"/>
        <w:szCs w:val="24"/>
      </w:rPr>
      <w:fldChar w:fldCharType="begin"/>
    </w:r>
    <w:r w:rsidRPr="000450D4">
      <w:rPr>
        <w:rFonts w:ascii="Book Antiqua" w:hAnsi="Book Antiqua"/>
        <w:color w:val="000000" w:themeColor="text1"/>
        <w:sz w:val="24"/>
        <w:szCs w:val="24"/>
      </w:rPr>
      <w:instrText>NUMPAGES  \* Arabic  \* MERGEFORMAT</w:instrText>
    </w:r>
    <w:r w:rsidRPr="000450D4">
      <w:rPr>
        <w:rFonts w:ascii="Book Antiqua" w:hAnsi="Book Antiqua"/>
        <w:color w:val="000000" w:themeColor="text1"/>
        <w:sz w:val="24"/>
        <w:szCs w:val="24"/>
      </w:rPr>
      <w:fldChar w:fldCharType="separate"/>
    </w:r>
    <w:r w:rsidR="001A29E5" w:rsidRPr="001A29E5">
      <w:rPr>
        <w:rFonts w:ascii="Book Antiqua" w:hAnsi="Book Antiqua"/>
        <w:noProof/>
        <w:color w:val="000000" w:themeColor="text1"/>
        <w:sz w:val="24"/>
        <w:szCs w:val="24"/>
        <w:lang w:val="zh-CN"/>
      </w:rPr>
      <w:t>45</w:t>
    </w:r>
    <w:r w:rsidRPr="000450D4">
      <w:rPr>
        <w:rFonts w:ascii="Book Antiqua" w:hAnsi="Book Antiqua"/>
        <w:color w:val="000000" w:themeColor="text1"/>
        <w:sz w:val="24"/>
        <w:szCs w:val="24"/>
      </w:rPr>
      <w:fldChar w:fldCharType="end"/>
    </w:r>
  </w:p>
  <w:p w14:paraId="523E3111" w14:textId="77777777" w:rsidR="007F7CF7" w:rsidRDefault="007F7CF7" w:rsidP="00E653A7">
    <w:pPr>
      <w:pStyle w:val="a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E0B6E5" w14:textId="77777777" w:rsidR="00450C50" w:rsidRDefault="00450C50" w:rsidP="003B4D37">
      <w:pPr>
        <w:spacing w:after="0" w:line="240" w:lineRule="auto"/>
      </w:pPr>
      <w:r>
        <w:separator/>
      </w:r>
    </w:p>
  </w:footnote>
  <w:footnote w:type="continuationSeparator" w:id="0">
    <w:p w14:paraId="5726632F" w14:textId="77777777" w:rsidR="00450C50" w:rsidRDefault="00450C50" w:rsidP="003B4D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AA94BB5"/>
    <w:multiLevelType w:val="hybridMultilevel"/>
    <w:tmpl w:val="2BC229A4"/>
    <w:lvl w:ilvl="0" w:tplc="809E8E8C">
      <w:start w:val="70"/>
      <w:numFmt w:val="bullet"/>
      <w:lvlText w:val=""/>
      <w:lvlJc w:val="left"/>
      <w:pPr>
        <w:ind w:left="720" w:hanging="360"/>
      </w:pPr>
      <w:rPr>
        <w:rFonts w:ascii="Symbol" w:eastAsiaTheme="minorEastAsia" w:hAnsi="Symbol"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60C53B96"/>
    <w:multiLevelType w:val="multilevel"/>
    <w:tmpl w:val="467A07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4"/>
  <w:bordersDoNotSurroundHeader/>
  <w:bordersDoNotSurroundFooter/>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3D96"/>
    <w:rsid w:val="00025184"/>
    <w:rsid w:val="00025EFB"/>
    <w:rsid w:val="0003695C"/>
    <w:rsid w:val="000369AA"/>
    <w:rsid w:val="00037097"/>
    <w:rsid w:val="000450D4"/>
    <w:rsid w:val="0005482B"/>
    <w:rsid w:val="00066C0E"/>
    <w:rsid w:val="00077BD5"/>
    <w:rsid w:val="000A3361"/>
    <w:rsid w:val="000A6696"/>
    <w:rsid w:val="000C71A0"/>
    <w:rsid w:val="000D0102"/>
    <w:rsid w:val="000E26AB"/>
    <w:rsid w:val="000E45C7"/>
    <w:rsid w:val="000F1CFA"/>
    <w:rsid w:val="000F48FA"/>
    <w:rsid w:val="00100140"/>
    <w:rsid w:val="0011344F"/>
    <w:rsid w:val="0011529A"/>
    <w:rsid w:val="0011750A"/>
    <w:rsid w:val="00121265"/>
    <w:rsid w:val="00127410"/>
    <w:rsid w:val="00150ADD"/>
    <w:rsid w:val="001618A9"/>
    <w:rsid w:val="001636EC"/>
    <w:rsid w:val="00170234"/>
    <w:rsid w:val="0017667F"/>
    <w:rsid w:val="00193E11"/>
    <w:rsid w:val="001A29E5"/>
    <w:rsid w:val="001A32A6"/>
    <w:rsid w:val="001B2922"/>
    <w:rsid w:val="001B3108"/>
    <w:rsid w:val="001C44C9"/>
    <w:rsid w:val="001E2EC5"/>
    <w:rsid w:val="001F2930"/>
    <w:rsid w:val="001F5BB1"/>
    <w:rsid w:val="002125DE"/>
    <w:rsid w:val="00227A9B"/>
    <w:rsid w:val="00235C66"/>
    <w:rsid w:val="00237FBC"/>
    <w:rsid w:val="002442C0"/>
    <w:rsid w:val="00255BCD"/>
    <w:rsid w:val="00261B3F"/>
    <w:rsid w:val="00290DC9"/>
    <w:rsid w:val="00292524"/>
    <w:rsid w:val="002A5C45"/>
    <w:rsid w:val="002B157E"/>
    <w:rsid w:val="002C1D2D"/>
    <w:rsid w:val="002C251A"/>
    <w:rsid w:val="002C5768"/>
    <w:rsid w:val="002D0209"/>
    <w:rsid w:val="002D18F4"/>
    <w:rsid w:val="002D1B26"/>
    <w:rsid w:val="002D3492"/>
    <w:rsid w:val="002D3EC0"/>
    <w:rsid w:val="002F0860"/>
    <w:rsid w:val="002F373C"/>
    <w:rsid w:val="002F50B0"/>
    <w:rsid w:val="00307EBC"/>
    <w:rsid w:val="0031316E"/>
    <w:rsid w:val="00316FEC"/>
    <w:rsid w:val="0032538F"/>
    <w:rsid w:val="0036037E"/>
    <w:rsid w:val="003621C8"/>
    <w:rsid w:val="00362834"/>
    <w:rsid w:val="00367FCA"/>
    <w:rsid w:val="0038723B"/>
    <w:rsid w:val="00391307"/>
    <w:rsid w:val="00391EFB"/>
    <w:rsid w:val="003923D0"/>
    <w:rsid w:val="003934E9"/>
    <w:rsid w:val="00394778"/>
    <w:rsid w:val="003A2EF2"/>
    <w:rsid w:val="003A319F"/>
    <w:rsid w:val="003A5068"/>
    <w:rsid w:val="003B1A37"/>
    <w:rsid w:val="003B4D37"/>
    <w:rsid w:val="003B6296"/>
    <w:rsid w:val="003C4EBC"/>
    <w:rsid w:val="0040078E"/>
    <w:rsid w:val="00404573"/>
    <w:rsid w:val="00406598"/>
    <w:rsid w:val="004107CC"/>
    <w:rsid w:val="00421EF5"/>
    <w:rsid w:val="00440EC0"/>
    <w:rsid w:val="00450C50"/>
    <w:rsid w:val="00463B5F"/>
    <w:rsid w:val="004742A7"/>
    <w:rsid w:val="0047473A"/>
    <w:rsid w:val="00474DD2"/>
    <w:rsid w:val="00484E47"/>
    <w:rsid w:val="004858BF"/>
    <w:rsid w:val="0049134E"/>
    <w:rsid w:val="00494705"/>
    <w:rsid w:val="004A1B89"/>
    <w:rsid w:val="004C48B5"/>
    <w:rsid w:val="004D331E"/>
    <w:rsid w:val="004F487C"/>
    <w:rsid w:val="005022B6"/>
    <w:rsid w:val="00505CAC"/>
    <w:rsid w:val="005122B8"/>
    <w:rsid w:val="00512A45"/>
    <w:rsid w:val="005155BB"/>
    <w:rsid w:val="0052035A"/>
    <w:rsid w:val="00521171"/>
    <w:rsid w:val="00527569"/>
    <w:rsid w:val="00533D3B"/>
    <w:rsid w:val="005653F1"/>
    <w:rsid w:val="00567B7D"/>
    <w:rsid w:val="005706FF"/>
    <w:rsid w:val="00570B10"/>
    <w:rsid w:val="005815BC"/>
    <w:rsid w:val="00594EB8"/>
    <w:rsid w:val="005B186A"/>
    <w:rsid w:val="005D0922"/>
    <w:rsid w:val="005E603D"/>
    <w:rsid w:val="00600082"/>
    <w:rsid w:val="00601BEB"/>
    <w:rsid w:val="00613E2D"/>
    <w:rsid w:val="0061405B"/>
    <w:rsid w:val="00614132"/>
    <w:rsid w:val="00616D76"/>
    <w:rsid w:val="00626FDC"/>
    <w:rsid w:val="006327EF"/>
    <w:rsid w:val="00645875"/>
    <w:rsid w:val="00651398"/>
    <w:rsid w:val="00657DFA"/>
    <w:rsid w:val="0066030F"/>
    <w:rsid w:val="00661698"/>
    <w:rsid w:val="00686F78"/>
    <w:rsid w:val="00687805"/>
    <w:rsid w:val="006A3ACC"/>
    <w:rsid w:val="006A3D96"/>
    <w:rsid w:val="006A6AF6"/>
    <w:rsid w:val="006F05A4"/>
    <w:rsid w:val="006F45EB"/>
    <w:rsid w:val="006F6978"/>
    <w:rsid w:val="0070169F"/>
    <w:rsid w:val="00741F68"/>
    <w:rsid w:val="007534CB"/>
    <w:rsid w:val="007547A5"/>
    <w:rsid w:val="00763FB3"/>
    <w:rsid w:val="007831C5"/>
    <w:rsid w:val="00783D9E"/>
    <w:rsid w:val="007A6715"/>
    <w:rsid w:val="007B2E90"/>
    <w:rsid w:val="007B5242"/>
    <w:rsid w:val="007C0EFB"/>
    <w:rsid w:val="007F0AED"/>
    <w:rsid w:val="007F37A0"/>
    <w:rsid w:val="007F7CF7"/>
    <w:rsid w:val="00804B54"/>
    <w:rsid w:val="00820004"/>
    <w:rsid w:val="0082017A"/>
    <w:rsid w:val="00831572"/>
    <w:rsid w:val="00836AFE"/>
    <w:rsid w:val="00841FA2"/>
    <w:rsid w:val="00870220"/>
    <w:rsid w:val="00882DDC"/>
    <w:rsid w:val="00886078"/>
    <w:rsid w:val="008877D5"/>
    <w:rsid w:val="008936E6"/>
    <w:rsid w:val="008A42EF"/>
    <w:rsid w:val="008E4BB2"/>
    <w:rsid w:val="008F1AC1"/>
    <w:rsid w:val="008F7266"/>
    <w:rsid w:val="00901CF2"/>
    <w:rsid w:val="00917466"/>
    <w:rsid w:val="0092069A"/>
    <w:rsid w:val="00920C7C"/>
    <w:rsid w:val="00933552"/>
    <w:rsid w:val="009372B3"/>
    <w:rsid w:val="00941FDA"/>
    <w:rsid w:val="00955263"/>
    <w:rsid w:val="00956A40"/>
    <w:rsid w:val="009659E8"/>
    <w:rsid w:val="009667A3"/>
    <w:rsid w:val="009667B3"/>
    <w:rsid w:val="009710F8"/>
    <w:rsid w:val="00973CE4"/>
    <w:rsid w:val="009757F4"/>
    <w:rsid w:val="00981DC5"/>
    <w:rsid w:val="00986934"/>
    <w:rsid w:val="00987222"/>
    <w:rsid w:val="00991529"/>
    <w:rsid w:val="00992CDD"/>
    <w:rsid w:val="009B2E0B"/>
    <w:rsid w:val="009B4E37"/>
    <w:rsid w:val="009C4DB1"/>
    <w:rsid w:val="009D5C75"/>
    <w:rsid w:val="009E5199"/>
    <w:rsid w:val="009E7D15"/>
    <w:rsid w:val="009F5B25"/>
    <w:rsid w:val="00A048F5"/>
    <w:rsid w:val="00A14056"/>
    <w:rsid w:val="00A27EF9"/>
    <w:rsid w:val="00A31369"/>
    <w:rsid w:val="00A377B0"/>
    <w:rsid w:val="00A429BA"/>
    <w:rsid w:val="00A47A76"/>
    <w:rsid w:val="00A66D75"/>
    <w:rsid w:val="00A713F1"/>
    <w:rsid w:val="00A75E36"/>
    <w:rsid w:val="00A82D59"/>
    <w:rsid w:val="00A94FCF"/>
    <w:rsid w:val="00AA0F16"/>
    <w:rsid w:val="00AB14B3"/>
    <w:rsid w:val="00AB4062"/>
    <w:rsid w:val="00AC3987"/>
    <w:rsid w:val="00AC700C"/>
    <w:rsid w:val="00AD001C"/>
    <w:rsid w:val="00AD402B"/>
    <w:rsid w:val="00AD4332"/>
    <w:rsid w:val="00AD5BBD"/>
    <w:rsid w:val="00AD7BD5"/>
    <w:rsid w:val="00AF05E7"/>
    <w:rsid w:val="00B11A05"/>
    <w:rsid w:val="00B37270"/>
    <w:rsid w:val="00B43380"/>
    <w:rsid w:val="00B55671"/>
    <w:rsid w:val="00B6451D"/>
    <w:rsid w:val="00B71AD8"/>
    <w:rsid w:val="00B739D4"/>
    <w:rsid w:val="00B9654C"/>
    <w:rsid w:val="00BA3424"/>
    <w:rsid w:val="00BA6E0A"/>
    <w:rsid w:val="00BD31CF"/>
    <w:rsid w:val="00BD35A0"/>
    <w:rsid w:val="00C04F44"/>
    <w:rsid w:val="00C13455"/>
    <w:rsid w:val="00C13622"/>
    <w:rsid w:val="00C143B0"/>
    <w:rsid w:val="00C16BDF"/>
    <w:rsid w:val="00C17AE8"/>
    <w:rsid w:val="00C222B0"/>
    <w:rsid w:val="00C31C8D"/>
    <w:rsid w:val="00C5522B"/>
    <w:rsid w:val="00C573F9"/>
    <w:rsid w:val="00C57E27"/>
    <w:rsid w:val="00C67049"/>
    <w:rsid w:val="00C81A24"/>
    <w:rsid w:val="00C866DD"/>
    <w:rsid w:val="00C86B70"/>
    <w:rsid w:val="00CA1BA2"/>
    <w:rsid w:val="00CA3E0A"/>
    <w:rsid w:val="00CA4191"/>
    <w:rsid w:val="00CA5D65"/>
    <w:rsid w:val="00CB0773"/>
    <w:rsid w:val="00CC44BB"/>
    <w:rsid w:val="00CD29FE"/>
    <w:rsid w:val="00CD3086"/>
    <w:rsid w:val="00CD6B9C"/>
    <w:rsid w:val="00CD7209"/>
    <w:rsid w:val="00CE2C42"/>
    <w:rsid w:val="00CE390B"/>
    <w:rsid w:val="00CE6650"/>
    <w:rsid w:val="00CE7A85"/>
    <w:rsid w:val="00CF3AED"/>
    <w:rsid w:val="00D17E5C"/>
    <w:rsid w:val="00D21673"/>
    <w:rsid w:val="00D23583"/>
    <w:rsid w:val="00D23A0D"/>
    <w:rsid w:val="00D42D1C"/>
    <w:rsid w:val="00D5033F"/>
    <w:rsid w:val="00D54D7A"/>
    <w:rsid w:val="00D6284D"/>
    <w:rsid w:val="00D84716"/>
    <w:rsid w:val="00D866C7"/>
    <w:rsid w:val="00D908FE"/>
    <w:rsid w:val="00D96C19"/>
    <w:rsid w:val="00DE0FB3"/>
    <w:rsid w:val="00DE3E64"/>
    <w:rsid w:val="00DE481A"/>
    <w:rsid w:val="00E00AD1"/>
    <w:rsid w:val="00E06810"/>
    <w:rsid w:val="00E31702"/>
    <w:rsid w:val="00E335EC"/>
    <w:rsid w:val="00E34526"/>
    <w:rsid w:val="00E464D0"/>
    <w:rsid w:val="00E55A60"/>
    <w:rsid w:val="00E55BB5"/>
    <w:rsid w:val="00E62597"/>
    <w:rsid w:val="00E653A7"/>
    <w:rsid w:val="00E65F3D"/>
    <w:rsid w:val="00E70CCE"/>
    <w:rsid w:val="00E72A44"/>
    <w:rsid w:val="00E762DE"/>
    <w:rsid w:val="00E94ABB"/>
    <w:rsid w:val="00EA070F"/>
    <w:rsid w:val="00EA0852"/>
    <w:rsid w:val="00EA0929"/>
    <w:rsid w:val="00EB33B3"/>
    <w:rsid w:val="00EE1EED"/>
    <w:rsid w:val="00EE7256"/>
    <w:rsid w:val="00F02DDC"/>
    <w:rsid w:val="00F04789"/>
    <w:rsid w:val="00F12C48"/>
    <w:rsid w:val="00F1636C"/>
    <w:rsid w:val="00F177ED"/>
    <w:rsid w:val="00F20057"/>
    <w:rsid w:val="00F2467F"/>
    <w:rsid w:val="00F3252B"/>
    <w:rsid w:val="00F36C2D"/>
    <w:rsid w:val="00F40166"/>
    <w:rsid w:val="00F4657A"/>
    <w:rsid w:val="00F60ED1"/>
    <w:rsid w:val="00F930B6"/>
    <w:rsid w:val="00F9497D"/>
    <w:rsid w:val="00FA36B1"/>
    <w:rsid w:val="00FA405B"/>
    <w:rsid w:val="00FB254C"/>
    <w:rsid w:val="00FD3B9D"/>
    <w:rsid w:val="00FD5844"/>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1627175"/>
  <w15:docId w15:val="{72B8C90B-AD19-0A4E-B1A4-621171C66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567B7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pPr>
      <w:spacing w:line="240" w:lineRule="auto"/>
    </w:pPr>
    <w:rPr>
      <w:sz w:val="20"/>
      <w:szCs w:val="20"/>
    </w:rPr>
  </w:style>
  <w:style w:type="character" w:customStyle="1" w:styleId="a4">
    <w:name w:val="批注文字 字符"/>
    <w:basedOn w:val="a0"/>
    <w:link w:val="a3"/>
    <w:uiPriority w:val="99"/>
    <w:rPr>
      <w:sz w:val="20"/>
      <w:szCs w:val="20"/>
    </w:rPr>
  </w:style>
  <w:style w:type="character" w:styleId="a5">
    <w:name w:val="annotation reference"/>
    <w:basedOn w:val="a0"/>
    <w:unhideWhenUsed/>
    <w:rPr>
      <w:sz w:val="16"/>
      <w:szCs w:val="16"/>
    </w:rPr>
  </w:style>
  <w:style w:type="paragraph" w:styleId="a6">
    <w:name w:val="Balloon Text"/>
    <w:basedOn w:val="a"/>
    <w:link w:val="a7"/>
    <w:uiPriority w:val="99"/>
    <w:semiHidden/>
    <w:unhideWhenUsed/>
    <w:rsid w:val="006A3D96"/>
    <w:pPr>
      <w:spacing w:after="0" w:line="240" w:lineRule="auto"/>
    </w:pPr>
    <w:rPr>
      <w:rFonts w:ascii="Segoe UI" w:hAnsi="Segoe UI" w:cs="Segoe UI"/>
      <w:sz w:val="18"/>
      <w:szCs w:val="18"/>
    </w:rPr>
  </w:style>
  <w:style w:type="character" w:customStyle="1" w:styleId="a7">
    <w:name w:val="批注框文本 字符"/>
    <w:basedOn w:val="a0"/>
    <w:link w:val="a6"/>
    <w:uiPriority w:val="99"/>
    <w:semiHidden/>
    <w:rsid w:val="006A3D96"/>
    <w:rPr>
      <w:rFonts w:ascii="Segoe UI" w:hAnsi="Segoe UI" w:cs="Segoe UI"/>
      <w:sz w:val="18"/>
      <w:szCs w:val="18"/>
    </w:rPr>
  </w:style>
  <w:style w:type="paragraph" w:styleId="a8">
    <w:name w:val="annotation subject"/>
    <w:basedOn w:val="a3"/>
    <w:next w:val="a3"/>
    <w:link w:val="a9"/>
    <w:uiPriority w:val="99"/>
    <w:semiHidden/>
    <w:unhideWhenUsed/>
    <w:rsid w:val="00B6451D"/>
    <w:rPr>
      <w:b/>
      <w:bCs/>
    </w:rPr>
  </w:style>
  <w:style w:type="character" w:customStyle="1" w:styleId="a9">
    <w:name w:val="批注主题 字符"/>
    <w:basedOn w:val="a4"/>
    <w:link w:val="a8"/>
    <w:uiPriority w:val="99"/>
    <w:semiHidden/>
    <w:rsid w:val="00B6451D"/>
    <w:rPr>
      <w:b/>
      <w:bCs/>
      <w:sz w:val="20"/>
      <w:szCs w:val="20"/>
    </w:rPr>
  </w:style>
  <w:style w:type="paragraph" w:styleId="aa">
    <w:name w:val="Normal (Web)"/>
    <w:basedOn w:val="a"/>
    <w:uiPriority w:val="99"/>
    <w:unhideWhenUsed/>
    <w:rsid w:val="00917466"/>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header"/>
    <w:basedOn w:val="a"/>
    <w:link w:val="ac"/>
    <w:uiPriority w:val="99"/>
    <w:unhideWhenUsed/>
    <w:rsid w:val="003B4D37"/>
    <w:pPr>
      <w:tabs>
        <w:tab w:val="center" w:pos="4513"/>
        <w:tab w:val="right" w:pos="9026"/>
      </w:tabs>
      <w:spacing w:after="0" w:line="240" w:lineRule="auto"/>
    </w:pPr>
  </w:style>
  <w:style w:type="character" w:customStyle="1" w:styleId="ac">
    <w:name w:val="页眉 字符"/>
    <w:basedOn w:val="a0"/>
    <w:link w:val="ab"/>
    <w:uiPriority w:val="99"/>
    <w:rsid w:val="003B4D37"/>
  </w:style>
  <w:style w:type="paragraph" w:styleId="ad">
    <w:name w:val="footer"/>
    <w:basedOn w:val="a"/>
    <w:link w:val="ae"/>
    <w:uiPriority w:val="99"/>
    <w:unhideWhenUsed/>
    <w:rsid w:val="003B4D37"/>
    <w:pPr>
      <w:tabs>
        <w:tab w:val="center" w:pos="4513"/>
        <w:tab w:val="right" w:pos="9026"/>
      </w:tabs>
      <w:spacing w:after="0" w:line="240" w:lineRule="auto"/>
    </w:pPr>
  </w:style>
  <w:style w:type="character" w:customStyle="1" w:styleId="ae">
    <w:name w:val="页脚 字符"/>
    <w:basedOn w:val="a0"/>
    <w:link w:val="ad"/>
    <w:uiPriority w:val="99"/>
    <w:rsid w:val="003B4D37"/>
  </w:style>
  <w:style w:type="character" w:styleId="af">
    <w:name w:val="line number"/>
    <w:basedOn w:val="a0"/>
    <w:uiPriority w:val="99"/>
    <w:semiHidden/>
    <w:unhideWhenUsed/>
    <w:rsid w:val="00E653A7"/>
  </w:style>
  <w:style w:type="character" w:styleId="af0">
    <w:name w:val="page number"/>
    <w:basedOn w:val="a0"/>
    <w:uiPriority w:val="99"/>
    <w:semiHidden/>
    <w:unhideWhenUsed/>
    <w:rsid w:val="00E653A7"/>
  </w:style>
  <w:style w:type="table" w:styleId="af1">
    <w:name w:val="Table Grid"/>
    <w:basedOn w:val="a1"/>
    <w:uiPriority w:val="39"/>
    <w:rsid w:val="00F401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List Paragraph"/>
    <w:basedOn w:val="a"/>
    <w:uiPriority w:val="34"/>
    <w:qFormat/>
    <w:rsid w:val="0031316E"/>
    <w:pPr>
      <w:ind w:left="720"/>
      <w:contextualSpacing/>
    </w:pPr>
  </w:style>
  <w:style w:type="character" w:customStyle="1" w:styleId="10">
    <w:name w:val="标题 1 字符"/>
    <w:basedOn w:val="a0"/>
    <w:link w:val="1"/>
    <w:uiPriority w:val="9"/>
    <w:rsid w:val="00567B7D"/>
    <w:rPr>
      <w:rFonts w:ascii="Times New Roman" w:eastAsia="Times New Roman" w:hAnsi="Times New Roman" w:cs="Times New Roman"/>
      <w:b/>
      <w:bCs/>
      <w:kern w:val="36"/>
      <w:sz w:val="48"/>
      <w:szCs w:val="48"/>
    </w:rPr>
  </w:style>
  <w:style w:type="character" w:customStyle="1" w:styleId="highlight">
    <w:name w:val="highlight"/>
    <w:basedOn w:val="a0"/>
    <w:rsid w:val="00567B7D"/>
  </w:style>
  <w:style w:type="character" w:customStyle="1" w:styleId="normaltextrun">
    <w:name w:val="normaltextrun"/>
    <w:basedOn w:val="a0"/>
    <w:rsid w:val="00474DD2"/>
  </w:style>
  <w:style w:type="character" w:customStyle="1" w:styleId="apple-converted-space">
    <w:name w:val="apple-converted-space"/>
    <w:basedOn w:val="a0"/>
    <w:rsid w:val="00474DD2"/>
  </w:style>
  <w:style w:type="character" w:customStyle="1" w:styleId="spellingerror">
    <w:name w:val="spellingerror"/>
    <w:basedOn w:val="a0"/>
    <w:rsid w:val="00474DD2"/>
  </w:style>
  <w:style w:type="character" w:customStyle="1" w:styleId="eop">
    <w:name w:val="eop"/>
    <w:basedOn w:val="a0"/>
    <w:rsid w:val="009E7D15"/>
  </w:style>
  <w:style w:type="paragraph" w:customStyle="1" w:styleId="11">
    <w:name w:val="正文1"/>
    <w:uiPriority w:val="99"/>
    <w:rsid w:val="00E762DE"/>
    <w:pPr>
      <w:spacing w:after="0" w:line="276" w:lineRule="auto"/>
    </w:pPr>
    <w:rPr>
      <w:rFonts w:ascii="Arial" w:eastAsia="宋体" w:hAnsi="Arial" w:cs="Arial"/>
      <w:color w:val="000000"/>
      <w:szCs w:val="20"/>
      <w:lang w:val="pl-PL" w:eastAsia="pl-PL"/>
    </w:rPr>
  </w:style>
  <w:style w:type="paragraph" w:customStyle="1" w:styleId="paragraph">
    <w:name w:val="paragraph"/>
    <w:basedOn w:val="a"/>
    <w:rsid w:val="00B11A05"/>
    <w:pPr>
      <w:spacing w:before="100" w:beforeAutospacing="1" w:after="100" w:afterAutospacing="1" w:line="240" w:lineRule="auto"/>
    </w:pPr>
    <w:rPr>
      <w:rFonts w:ascii="Times New Roman" w:eastAsia="宋体" w:hAnsi="Times New Roman" w:cs="Times New Roman"/>
      <w:sz w:val="24"/>
      <w:szCs w:val="24"/>
      <w:lang w:val="en-US" w:eastAsia="en-US"/>
    </w:rPr>
  </w:style>
  <w:style w:type="character" w:customStyle="1" w:styleId="12">
    <w:name w:val="批注文字 字符1"/>
    <w:basedOn w:val="a0"/>
    <w:uiPriority w:val="99"/>
    <w:qFormat/>
    <w:rsid w:val="00C81A24"/>
    <w:rPr>
      <w:rFonts w:eastAsiaTheme="minorEastAsia"/>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877315">
      <w:bodyDiv w:val="1"/>
      <w:marLeft w:val="0"/>
      <w:marRight w:val="0"/>
      <w:marTop w:val="0"/>
      <w:marBottom w:val="0"/>
      <w:divBdr>
        <w:top w:val="none" w:sz="0" w:space="0" w:color="auto"/>
        <w:left w:val="none" w:sz="0" w:space="0" w:color="auto"/>
        <w:bottom w:val="none" w:sz="0" w:space="0" w:color="auto"/>
        <w:right w:val="none" w:sz="0" w:space="0" w:color="auto"/>
      </w:divBdr>
    </w:div>
    <w:div w:id="48724196">
      <w:bodyDiv w:val="1"/>
      <w:marLeft w:val="0"/>
      <w:marRight w:val="0"/>
      <w:marTop w:val="0"/>
      <w:marBottom w:val="0"/>
      <w:divBdr>
        <w:top w:val="none" w:sz="0" w:space="0" w:color="auto"/>
        <w:left w:val="none" w:sz="0" w:space="0" w:color="auto"/>
        <w:bottom w:val="none" w:sz="0" w:space="0" w:color="auto"/>
        <w:right w:val="none" w:sz="0" w:space="0" w:color="auto"/>
      </w:divBdr>
    </w:div>
    <w:div w:id="133259133">
      <w:bodyDiv w:val="1"/>
      <w:marLeft w:val="0"/>
      <w:marRight w:val="0"/>
      <w:marTop w:val="0"/>
      <w:marBottom w:val="0"/>
      <w:divBdr>
        <w:top w:val="none" w:sz="0" w:space="0" w:color="auto"/>
        <w:left w:val="none" w:sz="0" w:space="0" w:color="auto"/>
        <w:bottom w:val="none" w:sz="0" w:space="0" w:color="auto"/>
        <w:right w:val="none" w:sz="0" w:space="0" w:color="auto"/>
      </w:divBdr>
    </w:div>
    <w:div w:id="284509598">
      <w:bodyDiv w:val="1"/>
      <w:marLeft w:val="0"/>
      <w:marRight w:val="0"/>
      <w:marTop w:val="0"/>
      <w:marBottom w:val="0"/>
      <w:divBdr>
        <w:top w:val="none" w:sz="0" w:space="0" w:color="auto"/>
        <w:left w:val="none" w:sz="0" w:space="0" w:color="auto"/>
        <w:bottom w:val="none" w:sz="0" w:space="0" w:color="auto"/>
        <w:right w:val="none" w:sz="0" w:space="0" w:color="auto"/>
      </w:divBdr>
      <w:divsChild>
        <w:div w:id="1759788590">
          <w:marLeft w:val="0"/>
          <w:marRight w:val="0"/>
          <w:marTop w:val="0"/>
          <w:marBottom w:val="0"/>
          <w:divBdr>
            <w:top w:val="none" w:sz="0" w:space="0" w:color="auto"/>
            <w:left w:val="none" w:sz="0" w:space="0" w:color="auto"/>
            <w:bottom w:val="none" w:sz="0" w:space="0" w:color="auto"/>
            <w:right w:val="none" w:sz="0" w:space="0" w:color="auto"/>
          </w:divBdr>
          <w:divsChild>
            <w:div w:id="337653989">
              <w:marLeft w:val="0"/>
              <w:marRight w:val="0"/>
              <w:marTop w:val="0"/>
              <w:marBottom w:val="0"/>
              <w:divBdr>
                <w:top w:val="none" w:sz="0" w:space="0" w:color="auto"/>
                <w:left w:val="none" w:sz="0" w:space="0" w:color="auto"/>
                <w:bottom w:val="none" w:sz="0" w:space="0" w:color="auto"/>
                <w:right w:val="none" w:sz="0" w:space="0" w:color="auto"/>
              </w:divBdr>
              <w:divsChild>
                <w:div w:id="123721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448256">
      <w:bodyDiv w:val="1"/>
      <w:marLeft w:val="0"/>
      <w:marRight w:val="0"/>
      <w:marTop w:val="0"/>
      <w:marBottom w:val="0"/>
      <w:divBdr>
        <w:top w:val="none" w:sz="0" w:space="0" w:color="auto"/>
        <w:left w:val="none" w:sz="0" w:space="0" w:color="auto"/>
        <w:bottom w:val="none" w:sz="0" w:space="0" w:color="auto"/>
        <w:right w:val="none" w:sz="0" w:space="0" w:color="auto"/>
      </w:divBdr>
      <w:divsChild>
        <w:div w:id="1447314274">
          <w:marLeft w:val="0"/>
          <w:marRight w:val="0"/>
          <w:marTop w:val="0"/>
          <w:marBottom w:val="0"/>
          <w:divBdr>
            <w:top w:val="none" w:sz="0" w:space="0" w:color="auto"/>
            <w:left w:val="none" w:sz="0" w:space="0" w:color="auto"/>
            <w:bottom w:val="none" w:sz="0" w:space="0" w:color="auto"/>
            <w:right w:val="none" w:sz="0" w:space="0" w:color="auto"/>
          </w:divBdr>
          <w:divsChild>
            <w:div w:id="700474010">
              <w:marLeft w:val="0"/>
              <w:marRight w:val="0"/>
              <w:marTop w:val="0"/>
              <w:marBottom w:val="0"/>
              <w:divBdr>
                <w:top w:val="none" w:sz="0" w:space="0" w:color="auto"/>
                <w:left w:val="none" w:sz="0" w:space="0" w:color="auto"/>
                <w:bottom w:val="none" w:sz="0" w:space="0" w:color="auto"/>
                <w:right w:val="none" w:sz="0" w:space="0" w:color="auto"/>
              </w:divBdr>
              <w:divsChild>
                <w:div w:id="110337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034534">
      <w:bodyDiv w:val="1"/>
      <w:marLeft w:val="0"/>
      <w:marRight w:val="0"/>
      <w:marTop w:val="0"/>
      <w:marBottom w:val="0"/>
      <w:divBdr>
        <w:top w:val="none" w:sz="0" w:space="0" w:color="auto"/>
        <w:left w:val="none" w:sz="0" w:space="0" w:color="auto"/>
        <w:bottom w:val="none" w:sz="0" w:space="0" w:color="auto"/>
        <w:right w:val="none" w:sz="0" w:space="0" w:color="auto"/>
      </w:divBdr>
      <w:divsChild>
        <w:div w:id="1413504798">
          <w:marLeft w:val="0"/>
          <w:marRight w:val="0"/>
          <w:marTop w:val="0"/>
          <w:marBottom w:val="0"/>
          <w:divBdr>
            <w:top w:val="none" w:sz="0" w:space="0" w:color="auto"/>
            <w:left w:val="none" w:sz="0" w:space="0" w:color="auto"/>
            <w:bottom w:val="none" w:sz="0" w:space="0" w:color="auto"/>
            <w:right w:val="none" w:sz="0" w:space="0" w:color="auto"/>
          </w:divBdr>
          <w:divsChild>
            <w:div w:id="799104255">
              <w:marLeft w:val="0"/>
              <w:marRight w:val="0"/>
              <w:marTop w:val="0"/>
              <w:marBottom w:val="0"/>
              <w:divBdr>
                <w:top w:val="none" w:sz="0" w:space="0" w:color="auto"/>
                <w:left w:val="none" w:sz="0" w:space="0" w:color="auto"/>
                <w:bottom w:val="none" w:sz="0" w:space="0" w:color="auto"/>
                <w:right w:val="none" w:sz="0" w:space="0" w:color="auto"/>
              </w:divBdr>
              <w:divsChild>
                <w:div w:id="76685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923411">
      <w:bodyDiv w:val="1"/>
      <w:marLeft w:val="0"/>
      <w:marRight w:val="0"/>
      <w:marTop w:val="0"/>
      <w:marBottom w:val="0"/>
      <w:divBdr>
        <w:top w:val="none" w:sz="0" w:space="0" w:color="auto"/>
        <w:left w:val="none" w:sz="0" w:space="0" w:color="auto"/>
        <w:bottom w:val="none" w:sz="0" w:space="0" w:color="auto"/>
        <w:right w:val="none" w:sz="0" w:space="0" w:color="auto"/>
      </w:divBdr>
      <w:divsChild>
        <w:div w:id="446654796">
          <w:marLeft w:val="0"/>
          <w:marRight w:val="0"/>
          <w:marTop w:val="0"/>
          <w:marBottom w:val="0"/>
          <w:divBdr>
            <w:top w:val="none" w:sz="0" w:space="0" w:color="auto"/>
            <w:left w:val="none" w:sz="0" w:space="0" w:color="auto"/>
            <w:bottom w:val="none" w:sz="0" w:space="0" w:color="auto"/>
            <w:right w:val="none" w:sz="0" w:space="0" w:color="auto"/>
          </w:divBdr>
          <w:divsChild>
            <w:div w:id="1200892775">
              <w:marLeft w:val="0"/>
              <w:marRight w:val="0"/>
              <w:marTop w:val="0"/>
              <w:marBottom w:val="0"/>
              <w:divBdr>
                <w:top w:val="none" w:sz="0" w:space="0" w:color="auto"/>
                <w:left w:val="none" w:sz="0" w:space="0" w:color="auto"/>
                <w:bottom w:val="none" w:sz="0" w:space="0" w:color="auto"/>
                <w:right w:val="none" w:sz="0" w:space="0" w:color="auto"/>
              </w:divBdr>
              <w:divsChild>
                <w:div w:id="68651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739993">
      <w:bodyDiv w:val="1"/>
      <w:marLeft w:val="0"/>
      <w:marRight w:val="0"/>
      <w:marTop w:val="0"/>
      <w:marBottom w:val="0"/>
      <w:divBdr>
        <w:top w:val="none" w:sz="0" w:space="0" w:color="auto"/>
        <w:left w:val="none" w:sz="0" w:space="0" w:color="auto"/>
        <w:bottom w:val="none" w:sz="0" w:space="0" w:color="auto"/>
        <w:right w:val="none" w:sz="0" w:space="0" w:color="auto"/>
      </w:divBdr>
      <w:divsChild>
        <w:div w:id="1582518485">
          <w:marLeft w:val="0"/>
          <w:marRight w:val="0"/>
          <w:marTop w:val="0"/>
          <w:marBottom w:val="0"/>
          <w:divBdr>
            <w:top w:val="none" w:sz="0" w:space="0" w:color="auto"/>
            <w:left w:val="none" w:sz="0" w:space="0" w:color="auto"/>
            <w:bottom w:val="none" w:sz="0" w:space="0" w:color="auto"/>
            <w:right w:val="none" w:sz="0" w:space="0" w:color="auto"/>
          </w:divBdr>
          <w:divsChild>
            <w:div w:id="622536823">
              <w:marLeft w:val="0"/>
              <w:marRight w:val="0"/>
              <w:marTop w:val="0"/>
              <w:marBottom w:val="0"/>
              <w:divBdr>
                <w:top w:val="none" w:sz="0" w:space="0" w:color="auto"/>
                <w:left w:val="none" w:sz="0" w:space="0" w:color="auto"/>
                <w:bottom w:val="none" w:sz="0" w:space="0" w:color="auto"/>
                <w:right w:val="none" w:sz="0" w:space="0" w:color="auto"/>
              </w:divBdr>
              <w:divsChild>
                <w:div w:id="101438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531117">
      <w:bodyDiv w:val="1"/>
      <w:marLeft w:val="0"/>
      <w:marRight w:val="0"/>
      <w:marTop w:val="0"/>
      <w:marBottom w:val="0"/>
      <w:divBdr>
        <w:top w:val="none" w:sz="0" w:space="0" w:color="auto"/>
        <w:left w:val="none" w:sz="0" w:space="0" w:color="auto"/>
        <w:bottom w:val="none" w:sz="0" w:space="0" w:color="auto"/>
        <w:right w:val="none" w:sz="0" w:space="0" w:color="auto"/>
      </w:divBdr>
    </w:div>
    <w:div w:id="699402009">
      <w:bodyDiv w:val="1"/>
      <w:marLeft w:val="0"/>
      <w:marRight w:val="0"/>
      <w:marTop w:val="0"/>
      <w:marBottom w:val="0"/>
      <w:divBdr>
        <w:top w:val="none" w:sz="0" w:space="0" w:color="auto"/>
        <w:left w:val="none" w:sz="0" w:space="0" w:color="auto"/>
        <w:bottom w:val="none" w:sz="0" w:space="0" w:color="auto"/>
        <w:right w:val="none" w:sz="0" w:space="0" w:color="auto"/>
      </w:divBdr>
      <w:divsChild>
        <w:div w:id="1279950414">
          <w:marLeft w:val="0"/>
          <w:marRight w:val="0"/>
          <w:marTop w:val="0"/>
          <w:marBottom w:val="0"/>
          <w:divBdr>
            <w:top w:val="none" w:sz="0" w:space="0" w:color="auto"/>
            <w:left w:val="none" w:sz="0" w:space="0" w:color="auto"/>
            <w:bottom w:val="none" w:sz="0" w:space="0" w:color="auto"/>
            <w:right w:val="none" w:sz="0" w:space="0" w:color="auto"/>
          </w:divBdr>
          <w:divsChild>
            <w:div w:id="2099934485">
              <w:marLeft w:val="0"/>
              <w:marRight w:val="0"/>
              <w:marTop w:val="0"/>
              <w:marBottom w:val="0"/>
              <w:divBdr>
                <w:top w:val="none" w:sz="0" w:space="0" w:color="auto"/>
                <w:left w:val="none" w:sz="0" w:space="0" w:color="auto"/>
                <w:bottom w:val="none" w:sz="0" w:space="0" w:color="auto"/>
                <w:right w:val="none" w:sz="0" w:space="0" w:color="auto"/>
              </w:divBdr>
              <w:divsChild>
                <w:div w:id="914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164745">
      <w:bodyDiv w:val="1"/>
      <w:marLeft w:val="0"/>
      <w:marRight w:val="0"/>
      <w:marTop w:val="0"/>
      <w:marBottom w:val="0"/>
      <w:divBdr>
        <w:top w:val="none" w:sz="0" w:space="0" w:color="auto"/>
        <w:left w:val="none" w:sz="0" w:space="0" w:color="auto"/>
        <w:bottom w:val="none" w:sz="0" w:space="0" w:color="auto"/>
        <w:right w:val="none" w:sz="0" w:space="0" w:color="auto"/>
      </w:divBdr>
    </w:div>
    <w:div w:id="1195075298">
      <w:bodyDiv w:val="1"/>
      <w:marLeft w:val="0"/>
      <w:marRight w:val="0"/>
      <w:marTop w:val="0"/>
      <w:marBottom w:val="0"/>
      <w:divBdr>
        <w:top w:val="none" w:sz="0" w:space="0" w:color="auto"/>
        <w:left w:val="none" w:sz="0" w:space="0" w:color="auto"/>
        <w:bottom w:val="none" w:sz="0" w:space="0" w:color="auto"/>
        <w:right w:val="none" w:sz="0" w:space="0" w:color="auto"/>
      </w:divBdr>
    </w:div>
    <w:div w:id="1327443553">
      <w:bodyDiv w:val="1"/>
      <w:marLeft w:val="0"/>
      <w:marRight w:val="0"/>
      <w:marTop w:val="0"/>
      <w:marBottom w:val="0"/>
      <w:divBdr>
        <w:top w:val="none" w:sz="0" w:space="0" w:color="auto"/>
        <w:left w:val="none" w:sz="0" w:space="0" w:color="auto"/>
        <w:bottom w:val="none" w:sz="0" w:space="0" w:color="auto"/>
        <w:right w:val="none" w:sz="0" w:space="0" w:color="auto"/>
      </w:divBdr>
    </w:div>
    <w:div w:id="1339892542">
      <w:bodyDiv w:val="1"/>
      <w:marLeft w:val="0"/>
      <w:marRight w:val="0"/>
      <w:marTop w:val="0"/>
      <w:marBottom w:val="0"/>
      <w:divBdr>
        <w:top w:val="none" w:sz="0" w:space="0" w:color="auto"/>
        <w:left w:val="none" w:sz="0" w:space="0" w:color="auto"/>
        <w:bottom w:val="none" w:sz="0" w:space="0" w:color="auto"/>
        <w:right w:val="none" w:sz="0" w:space="0" w:color="auto"/>
      </w:divBdr>
    </w:div>
    <w:div w:id="1466200233">
      <w:bodyDiv w:val="1"/>
      <w:marLeft w:val="0"/>
      <w:marRight w:val="0"/>
      <w:marTop w:val="0"/>
      <w:marBottom w:val="0"/>
      <w:divBdr>
        <w:top w:val="none" w:sz="0" w:space="0" w:color="auto"/>
        <w:left w:val="none" w:sz="0" w:space="0" w:color="auto"/>
        <w:bottom w:val="none" w:sz="0" w:space="0" w:color="auto"/>
        <w:right w:val="none" w:sz="0" w:space="0" w:color="auto"/>
      </w:divBdr>
      <w:divsChild>
        <w:div w:id="631591383">
          <w:marLeft w:val="0"/>
          <w:marRight w:val="0"/>
          <w:marTop w:val="0"/>
          <w:marBottom w:val="0"/>
          <w:divBdr>
            <w:top w:val="none" w:sz="0" w:space="0" w:color="auto"/>
            <w:left w:val="none" w:sz="0" w:space="0" w:color="auto"/>
            <w:bottom w:val="none" w:sz="0" w:space="0" w:color="auto"/>
            <w:right w:val="none" w:sz="0" w:space="0" w:color="auto"/>
          </w:divBdr>
          <w:divsChild>
            <w:div w:id="604505179">
              <w:marLeft w:val="0"/>
              <w:marRight w:val="0"/>
              <w:marTop w:val="0"/>
              <w:marBottom w:val="0"/>
              <w:divBdr>
                <w:top w:val="none" w:sz="0" w:space="0" w:color="auto"/>
                <w:left w:val="none" w:sz="0" w:space="0" w:color="auto"/>
                <w:bottom w:val="none" w:sz="0" w:space="0" w:color="auto"/>
                <w:right w:val="none" w:sz="0" w:space="0" w:color="auto"/>
              </w:divBdr>
              <w:divsChild>
                <w:div w:id="88953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839764">
      <w:bodyDiv w:val="1"/>
      <w:marLeft w:val="0"/>
      <w:marRight w:val="0"/>
      <w:marTop w:val="0"/>
      <w:marBottom w:val="0"/>
      <w:divBdr>
        <w:top w:val="none" w:sz="0" w:space="0" w:color="auto"/>
        <w:left w:val="none" w:sz="0" w:space="0" w:color="auto"/>
        <w:bottom w:val="none" w:sz="0" w:space="0" w:color="auto"/>
        <w:right w:val="none" w:sz="0" w:space="0" w:color="auto"/>
      </w:divBdr>
    </w:div>
    <w:div w:id="1679497466">
      <w:bodyDiv w:val="1"/>
      <w:marLeft w:val="0"/>
      <w:marRight w:val="0"/>
      <w:marTop w:val="0"/>
      <w:marBottom w:val="0"/>
      <w:divBdr>
        <w:top w:val="none" w:sz="0" w:space="0" w:color="auto"/>
        <w:left w:val="none" w:sz="0" w:space="0" w:color="auto"/>
        <w:bottom w:val="none" w:sz="0" w:space="0" w:color="auto"/>
        <w:right w:val="none" w:sz="0" w:space="0" w:color="auto"/>
      </w:divBdr>
    </w:div>
    <w:div w:id="1708752575">
      <w:bodyDiv w:val="1"/>
      <w:marLeft w:val="0"/>
      <w:marRight w:val="0"/>
      <w:marTop w:val="0"/>
      <w:marBottom w:val="0"/>
      <w:divBdr>
        <w:top w:val="none" w:sz="0" w:space="0" w:color="auto"/>
        <w:left w:val="none" w:sz="0" w:space="0" w:color="auto"/>
        <w:bottom w:val="none" w:sz="0" w:space="0" w:color="auto"/>
        <w:right w:val="none" w:sz="0" w:space="0" w:color="auto"/>
      </w:divBdr>
    </w:div>
    <w:div w:id="1720323244">
      <w:bodyDiv w:val="1"/>
      <w:marLeft w:val="0"/>
      <w:marRight w:val="0"/>
      <w:marTop w:val="0"/>
      <w:marBottom w:val="0"/>
      <w:divBdr>
        <w:top w:val="none" w:sz="0" w:space="0" w:color="auto"/>
        <w:left w:val="none" w:sz="0" w:space="0" w:color="auto"/>
        <w:bottom w:val="none" w:sz="0" w:space="0" w:color="auto"/>
        <w:right w:val="none" w:sz="0" w:space="0" w:color="auto"/>
      </w:divBdr>
      <w:divsChild>
        <w:div w:id="1535383112">
          <w:marLeft w:val="0"/>
          <w:marRight w:val="0"/>
          <w:marTop w:val="0"/>
          <w:marBottom w:val="0"/>
          <w:divBdr>
            <w:top w:val="none" w:sz="0" w:space="0" w:color="auto"/>
            <w:left w:val="none" w:sz="0" w:space="0" w:color="auto"/>
            <w:bottom w:val="none" w:sz="0" w:space="0" w:color="auto"/>
            <w:right w:val="none" w:sz="0" w:space="0" w:color="auto"/>
          </w:divBdr>
          <w:divsChild>
            <w:div w:id="81880367">
              <w:marLeft w:val="0"/>
              <w:marRight w:val="0"/>
              <w:marTop w:val="0"/>
              <w:marBottom w:val="0"/>
              <w:divBdr>
                <w:top w:val="none" w:sz="0" w:space="0" w:color="auto"/>
                <w:left w:val="none" w:sz="0" w:space="0" w:color="auto"/>
                <w:bottom w:val="none" w:sz="0" w:space="0" w:color="auto"/>
                <w:right w:val="none" w:sz="0" w:space="0" w:color="auto"/>
              </w:divBdr>
              <w:divsChild>
                <w:div w:id="163073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945782">
      <w:bodyDiv w:val="1"/>
      <w:marLeft w:val="0"/>
      <w:marRight w:val="0"/>
      <w:marTop w:val="0"/>
      <w:marBottom w:val="0"/>
      <w:divBdr>
        <w:top w:val="none" w:sz="0" w:space="0" w:color="auto"/>
        <w:left w:val="none" w:sz="0" w:space="0" w:color="auto"/>
        <w:bottom w:val="none" w:sz="0" w:space="0" w:color="auto"/>
        <w:right w:val="none" w:sz="0" w:space="0" w:color="auto"/>
      </w:divBdr>
      <w:divsChild>
        <w:div w:id="1062026964">
          <w:marLeft w:val="0"/>
          <w:marRight w:val="0"/>
          <w:marTop w:val="0"/>
          <w:marBottom w:val="0"/>
          <w:divBdr>
            <w:top w:val="none" w:sz="0" w:space="0" w:color="auto"/>
            <w:left w:val="none" w:sz="0" w:space="0" w:color="auto"/>
            <w:bottom w:val="none" w:sz="0" w:space="0" w:color="auto"/>
            <w:right w:val="none" w:sz="0" w:space="0" w:color="auto"/>
          </w:divBdr>
          <w:divsChild>
            <w:div w:id="1655064509">
              <w:marLeft w:val="0"/>
              <w:marRight w:val="0"/>
              <w:marTop w:val="0"/>
              <w:marBottom w:val="0"/>
              <w:divBdr>
                <w:top w:val="none" w:sz="0" w:space="0" w:color="auto"/>
                <w:left w:val="none" w:sz="0" w:space="0" w:color="auto"/>
                <w:bottom w:val="none" w:sz="0" w:space="0" w:color="auto"/>
                <w:right w:val="none" w:sz="0" w:space="0" w:color="auto"/>
              </w:divBdr>
              <w:divsChild>
                <w:div w:id="102016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826DD7-75B3-4897-ACAE-70CA2829A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56214</Words>
  <Characters>320426</Characters>
  <Application>Microsoft Office Word</Application>
  <DocSecurity>0</DocSecurity>
  <Lines>2670</Lines>
  <Paragraphs>751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375889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vittoria raffa</dc:creator>
  <cp:lastModifiedBy>Liansheng Ma</cp:lastModifiedBy>
  <cp:revision>2</cp:revision>
  <cp:lastPrinted>2019-12-27T15:32:00Z</cp:lastPrinted>
  <dcterms:created xsi:type="dcterms:W3CDTF">2020-05-26T23:54:00Z</dcterms:created>
  <dcterms:modified xsi:type="dcterms:W3CDTF">2020-05-26T23:54:00Z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http://www.zotero.org/styles/world-journal-of-gastroenterology</vt:lpwstr>
  </property>
  <property fmtid="{D5CDD505-2E9C-101B-9397-08002B2CF9AE}" pid="4" name="Mendeley Unique User Id_1">
    <vt:lpwstr>2e504ce7-5623-3865-8a01-3fd0b8fb3448</vt:lpwstr>
  </property>
  <property fmtid="{D5CDD505-2E9C-101B-9397-08002B2CF9AE}" pid="5" name="Mendeley Recent Style Id 0_1">
    <vt:lpwstr>http://www.zotero.org/styles/aging-clinical-and-experimental-research</vt:lpwstr>
  </property>
  <property fmtid="{D5CDD505-2E9C-101B-9397-08002B2CF9AE}" pid="6" name="Mendeley Recent Style Name 0_1">
    <vt:lpwstr>Aging Clinical and Experimental Research</vt:lpwstr>
  </property>
  <property fmtid="{D5CDD505-2E9C-101B-9397-08002B2CF9AE}" pid="7" name="Mendeley Recent Style Id 1_1">
    <vt:lpwstr>http://www.zotero.org/styles/american-medical-association</vt:lpwstr>
  </property>
  <property fmtid="{D5CDD505-2E9C-101B-9397-08002B2CF9AE}" pid="8" name="Mendeley Recent Style Name 1_1">
    <vt:lpwstr>American Medical Association</vt:lpwstr>
  </property>
  <property fmtid="{D5CDD505-2E9C-101B-9397-08002B2CF9AE}" pid="9" name="Mendeley Recent Style Id 2_1">
    <vt:lpwstr>http://www.zotero.org/styles/british-journal-of-surgery</vt:lpwstr>
  </property>
  <property fmtid="{D5CDD505-2E9C-101B-9397-08002B2CF9AE}" pid="10" name="Mendeley Recent Style Name 2_1">
    <vt:lpwstr>British Journal of Surgery</vt:lpwstr>
  </property>
  <property fmtid="{D5CDD505-2E9C-101B-9397-08002B2CF9AE}" pid="11" name="Mendeley Recent Style Id 3_1">
    <vt:lpwstr>http://www.zotero.org/styles/infection</vt:lpwstr>
  </property>
  <property fmtid="{D5CDD505-2E9C-101B-9397-08002B2CF9AE}" pid="12" name="Mendeley Recent Style Name 3_1">
    <vt:lpwstr>Infection</vt:lpwstr>
  </property>
  <property fmtid="{D5CDD505-2E9C-101B-9397-08002B2CF9AE}" pid="13" name="Mendeley Recent Style Id 4_1">
    <vt:lpwstr>http://www.zotero.org/styles/international-journal-of-colorectal-disease</vt:lpwstr>
  </property>
  <property fmtid="{D5CDD505-2E9C-101B-9397-08002B2CF9AE}" pid="14" name="Mendeley Recent Style Name 4_1">
    <vt:lpwstr>International Journal of Colorectal Disease</vt:lpwstr>
  </property>
  <property fmtid="{D5CDD505-2E9C-101B-9397-08002B2CF9AE}" pid="15" name="Mendeley Recent Style Id 5_1">
    <vt:lpwstr>http://www.zotero.org/styles/journal-of-gastroenterology-and-hepatology</vt:lpwstr>
  </property>
  <property fmtid="{D5CDD505-2E9C-101B-9397-08002B2CF9AE}" pid="16" name="Mendeley Recent Style Name 5_1">
    <vt:lpwstr>Journal of Gastroenterology and Hepatology</vt:lpwstr>
  </property>
  <property fmtid="{D5CDD505-2E9C-101B-9397-08002B2CF9AE}" pid="17" name="Mendeley Recent Style Id 6_1">
    <vt:lpwstr>http://www.zotero.org/styles/journal-of-robotic-surgery</vt:lpwstr>
  </property>
  <property fmtid="{D5CDD505-2E9C-101B-9397-08002B2CF9AE}" pid="18" name="Mendeley Recent Style Name 6_1">
    <vt:lpwstr>Journal of Robotic Surgery</vt:lpwstr>
  </property>
  <property fmtid="{D5CDD505-2E9C-101B-9397-08002B2CF9AE}" pid="19" name="Mendeley Recent Style Id 7_1">
    <vt:lpwstr>http://www.zotero.org/styles/surgical-endoscopy</vt:lpwstr>
  </property>
  <property fmtid="{D5CDD505-2E9C-101B-9397-08002B2CF9AE}" pid="20" name="Mendeley Recent Style Name 7_1">
    <vt:lpwstr>Surgical Endoscopy</vt:lpwstr>
  </property>
  <property fmtid="{D5CDD505-2E9C-101B-9397-08002B2CF9AE}" pid="21" name="Mendeley Recent Style Id 8_1">
    <vt:lpwstr>http://www.zotero.org/styles/vancouver</vt:lpwstr>
  </property>
  <property fmtid="{D5CDD505-2E9C-101B-9397-08002B2CF9AE}" pid="22" name="Mendeley Recent Style Name 8_1">
    <vt:lpwstr>Vancouver</vt:lpwstr>
  </property>
  <property fmtid="{D5CDD505-2E9C-101B-9397-08002B2CF9AE}" pid="23" name="Mendeley Recent Style Id 9_1">
    <vt:lpwstr>http://www.zotero.org/styles/world-journal-of-gastroenterology</vt:lpwstr>
  </property>
  <property fmtid="{D5CDD505-2E9C-101B-9397-08002B2CF9AE}" pid="24" name="Mendeley Recent Style Name 9_1">
    <vt:lpwstr>World Journal of Gastroenterology</vt:lpwstr>
  </property>
</Properties>
</file>