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A4F39" w14:textId="77777777" w:rsidR="00D147DD" w:rsidRPr="00011E8F" w:rsidRDefault="00D147DD" w:rsidP="00FC61F7">
      <w:pPr>
        <w:snapToGrid w:val="0"/>
        <w:spacing w:after="0" w:line="360" w:lineRule="auto"/>
        <w:jc w:val="both"/>
        <w:rPr>
          <w:rFonts w:ascii="Book Antiqua" w:hAnsi="Book Antiqua"/>
          <w:color w:val="000000" w:themeColor="text1"/>
          <w:sz w:val="24"/>
          <w:szCs w:val="24"/>
          <w:lang w:val="en-NZ"/>
        </w:rPr>
      </w:pPr>
      <w:r w:rsidRPr="00011E8F">
        <w:rPr>
          <w:rFonts w:ascii="Book Antiqua" w:hAnsi="Book Antiqua"/>
          <w:b/>
          <w:color w:val="000000" w:themeColor="text1"/>
          <w:sz w:val="24"/>
          <w:szCs w:val="24"/>
          <w:lang w:val="en-NZ"/>
        </w:rPr>
        <w:t>Name of Journal</w:t>
      </w:r>
      <w:r w:rsidRPr="00011E8F">
        <w:rPr>
          <w:rFonts w:ascii="Book Antiqua" w:hAnsi="Book Antiqua"/>
          <w:color w:val="000000" w:themeColor="text1"/>
          <w:sz w:val="24"/>
          <w:szCs w:val="24"/>
          <w:lang w:val="en-NZ"/>
        </w:rPr>
        <w:t xml:space="preserve">: </w:t>
      </w:r>
      <w:r w:rsidRPr="00011E8F">
        <w:rPr>
          <w:rFonts w:ascii="Book Antiqua" w:hAnsi="Book Antiqua"/>
          <w:i/>
          <w:color w:val="000000" w:themeColor="text1"/>
          <w:sz w:val="24"/>
          <w:szCs w:val="24"/>
          <w:lang w:val="en-NZ"/>
        </w:rPr>
        <w:t>World Journal of Gastroenterology</w:t>
      </w:r>
    </w:p>
    <w:p w14:paraId="3C0DFB39" w14:textId="3E3311BE" w:rsidR="00D147DD" w:rsidRPr="00011E8F" w:rsidRDefault="00D147DD" w:rsidP="00FC61F7">
      <w:pPr>
        <w:snapToGrid w:val="0"/>
        <w:spacing w:after="0" w:line="360" w:lineRule="auto"/>
        <w:jc w:val="both"/>
        <w:rPr>
          <w:rFonts w:ascii="Book Antiqua" w:hAnsi="Book Antiqua"/>
          <w:b/>
          <w:color w:val="000000" w:themeColor="text1"/>
          <w:sz w:val="24"/>
          <w:szCs w:val="24"/>
          <w:lang w:val="en-NZ"/>
        </w:rPr>
      </w:pPr>
      <w:r w:rsidRPr="00011E8F">
        <w:rPr>
          <w:rFonts w:ascii="Book Antiqua" w:hAnsi="Book Antiqua"/>
          <w:b/>
          <w:color w:val="000000" w:themeColor="text1"/>
          <w:sz w:val="24"/>
          <w:szCs w:val="24"/>
          <w:lang w:val="en-NZ"/>
        </w:rPr>
        <w:t>Manuscript NO</w:t>
      </w:r>
      <w:r w:rsidRPr="00011E8F">
        <w:rPr>
          <w:rFonts w:ascii="Book Antiqua" w:hAnsi="Book Antiqua"/>
          <w:color w:val="000000" w:themeColor="text1"/>
          <w:sz w:val="24"/>
          <w:szCs w:val="24"/>
          <w:lang w:val="en-NZ"/>
        </w:rPr>
        <w:t xml:space="preserve">: </w:t>
      </w:r>
      <w:r w:rsidR="001969E5" w:rsidRPr="00011E8F">
        <w:rPr>
          <w:rFonts w:ascii="Book Antiqua" w:hAnsi="Book Antiqua"/>
          <w:color w:val="000000" w:themeColor="text1"/>
          <w:sz w:val="24"/>
          <w:szCs w:val="24"/>
          <w:lang w:val="en-NZ"/>
        </w:rPr>
        <w:t>53671</w:t>
      </w:r>
    </w:p>
    <w:p w14:paraId="7F6B986A" w14:textId="112F932D" w:rsidR="00D147DD" w:rsidRPr="00011E8F" w:rsidRDefault="00D147DD" w:rsidP="00FC61F7">
      <w:pPr>
        <w:snapToGrid w:val="0"/>
        <w:spacing w:after="0" w:line="360" w:lineRule="auto"/>
        <w:jc w:val="both"/>
        <w:rPr>
          <w:rFonts w:ascii="Book Antiqua" w:hAnsi="Book Antiqua"/>
          <w:color w:val="000000" w:themeColor="text1"/>
          <w:sz w:val="24"/>
          <w:szCs w:val="24"/>
          <w:lang w:val="en-NZ"/>
        </w:rPr>
      </w:pPr>
      <w:r w:rsidRPr="00011E8F">
        <w:rPr>
          <w:rFonts w:ascii="Book Antiqua" w:hAnsi="Book Antiqua"/>
          <w:b/>
          <w:color w:val="000000" w:themeColor="text1"/>
          <w:sz w:val="24"/>
          <w:szCs w:val="24"/>
          <w:lang w:val="en-NZ"/>
        </w:rPr>
        <w:t>Manuscript Type:</w:t>
      </w:r>
      <w:r w:rsidRPr="00011E8F">
        <w:rPr>
          <w:rFonts w:ascii="Book Antiqua" w:hAnsi="Book Antiqua"/>
          <w:color w:val="000000" w:themeColor="text1"/>
          <w:sz w:val="24"/>
          <w:szCs w:val="24"/>
          <w:lang w:val="en-NZ"/>
        </w:rPr>
        <w:t xml:space="preserve"> OPINION REVIEW</w:t>
      </w:r>
    </w:p>
    <w:p w14:paraId="5DC30B20" w14:textId="77777777" w:rsidR="00D147DD" w:rsidRPr="00011E8F" w:rsidRDefault="00D147DD" w:rsidP="00FC61F7">
      <w:pPr>
        <w:snapToGrid w:val="0"/>
        <w:spacing w:after="0" w:line="360" w:lineRule="auto"/>
        <w:jc w:val="both"/>
        <w:rPr>
          <w:rFonts w:ascii="Book Antiqua" w:hAnsi="Book Antiqua"/>
          <w:b/>
          <w:color w:val="000000" w:themeColor="text1"/>
          <w:sz w:val="24"/>
          <w:szCs w:val="24"/>
          <w:lang w:val="en-NZ"/>
        </w:rPr>
      </w:pPr>
    </w:p>
    <w:p w14:paraId="1E8EA4C4" w14:textId="1CD7ECE1" w:rsidR="00D147DD" w:rsidRPr="00011E8F" w:rsidRDefault="00C440B7" w:rsidP="00FC61F7">
      <w:pPr>
        <w:snapToGrid w:val="0"/>
        <w:spacing w:after="0" w:line="360" w:lineRule="auto"/>
        <w:jc w:val="both"/>
        <w:rPr>
          <w:rFonts w:ascii="Book Antiqua" w:hAnsi="Book Antiqua"/>
          <w:b/>
          <w:color w:val="000000" w:themeColor="text1"/>
          <w:sz w:val="24"/>
          <w:szCs w:val="24"/>
          <w:lang w:val="en-NZ"/>
        </w:rPr>
      </w:pPr>
      <w:r w:rsidRPr="00011E8F">
        <w:rPr>
          <w:rFonts w:ascii="Book Antiqua" w:hAnsi="Book Antiqua"/>
          <w:b/>
          <w:color w:val="000000" w:themeColor="text1"/>
          <w:sz w:val="24"/>
          <w:szCs w:val="24"/>
          <w:lang w:val="en-NZ"/>
        </w:rPr>
        <w:t xml:space="preserve">Cost </w:t>
      </w:r>
      <w:r w:rsidR="00D147DD" w:rsidRPr="00011E8F">
        <w:rPr>
          <w:rFonts w:ascii="Book Antiqua" w:hAnsi="Book Antiqua"/>
          <w:b/>
          <w:color w:val="000000" w:themeColor="text1"/>
          <w:sz w:val="24"/>
          <w:szCs w:val="24"/>
          <w:lang w:val="en-NZ"/>
        </w:rPr>
        <w:t>of postoperative complications</w:t>
      </w:r>
      <w:r w:rsidRPr="00011E8F">
        <w:rPr>
          <w:rFonts w:ascii="Book Antiqua" w:hAnsi="Book Antiqua"/>
          <w:b/>
          <w:color w:val="000000" w:themeColor="text1"/>
          <w:sz w:val="24"/>
          <w:szCs w:val="24"/>
          <w:lang w:val="en-NZ"/>
        </w:rPr>
        <w:t>:</w:t>
      </w:r>
      <w:r w:rsidR="00D147DD" w:rsidRPr="00011E8F">
        <w:rPr>
          <w:rFonts w:ascii="Book Antiqua" w:hAnsi="Book Antiqua"/>
          <w:b/>
          <w:color w:val="000000" w:themeColor="text1"/>
          <w:sz w:val="24"/>
          <w:szCs w:val="24"/>
          <w:lang w:val="en-NZ"/>
        </w:rPr>
        <w:t xml:space="preserve"> How to avoid calculation errors</w:t>
      </w:r>
    </w:p>
    <w:p w14:paraId="52A21A84" w14:textId="77777777" w:rsidR="00C440B7" w:rsidRPr="00011E8F" w:rsidRDefault="00C440B7" w:rsidP="00FC61F7">
      <w:pPr>
        <w:pStyle w:val="1"/>
        <w:snapToGrid w:val="0"/>
        <w:spacing w:line="360" w:lineRule="auto"/>
        <w:jc w:val="both"/>
        <w:rPr>
          <w:rFonts w:ascii="Book Antiqua" w:hAnsi="Book Antiqua" w:cs="Times New Roman"/>
          <w:b/>
          <w:color w:val="000000" w:themeColor="text1"/>
          <w:sz w:val="24"/>
          <w:szCs w:val="24"/>
          <w:lang w:val="en-NZ" w:eastAsia="zh-CN"/>
        </w:rPr>
      </w:pPr>
      <w:bookmarkStart w:id="0" w:name="OLE_LINK217"/>
      <w:bookmarkStart w:id="1" w:name="OLE_LINK266"/>
    </w:p>
    <w:p w14:paraId="6153BA62" w14:textId="22A74470" w:rsidR="00D147DD" w:rsidRPr="00011E8F" w:rsidRDefault="00C440B7" w:rsidP="00FC61F7">
      <w:pPr>
        <w:pStyle w:val="1"/>
        <w:snapToGrid w:val="0"/>
        <w:spacing w:line="360" w:lineRule="auto"/>
        <w:jc w:val="both"/>
        <w:rPr>
          <w:rFonts w:ascii="Book Antiqua" w:hAnsi="Book Antiqua" w:cs="Times New Roman"/>
          <w:bCs/>
          <w:color w:val="000000" w:themeColor="text1"/>
          <w:sz w:val="24"/>
          <w:szCs w:val="24"/>
          <w:highlight w:val="white"/>
          <w:lang w:val="en-NZ" w:eastAsia="zh-CN"/>
        </w:rPr>
      </w:pPr>
      <w:r w:rsidRPr="00011E8F">
        <w:rPr>
          <w:rFonts w:ascii="Book Antiqua" w:hAnsi="Book Antiqua"/>
          <w:bCs/>
          <w:color w:val="000000" w:themeColor="text1"/>
          <w:sz w:val="24"/>
          <w:szCs w:val="24"/>
        </w:rPr>
        <w:t>De la Plaza Llamas</w:t>
      </w:r>
      <w:r w:rsidRPr="00011E8F">
        <w:rPr>
          <w:rFonts w:ascii="Book Antiqua" w:hAnsi="Book Antiqua"/>
          <w:bCs/>
          <w:color w:val="000000" w:themeColor="text1"/>
          <w:sz w:val="24"/>
          <w:szCs w:val="24"/>
          <w:lang w:val="en-NZ"/>
        </w:rPr>
        <w:t xml:space="preserve"> </w:t>
      </w:r>
      <w:r w:rsidRPr="00011E8F">
        <w:rPr>
          <w:rFonts w:ascii="Book Antiqua" w:hAnsi="Book Antiqua"/>
          <w:bCs/>
          <w:color w:val="000000" w:themeColor="text1"/>
          <w:sz w:val="24"/>
          <w:szCs w:val="24"/>
          <w:lang w:val="en-NZ" w:eastAsia="zh-CN"/>
        </w:rPr>
        <w:t>R</w:t>
      </w:r>
      <w:r w:rsidRPr="00011E8F">
        <w:rPr>
          <w:rFonts w:ascii="Book Antiqua" w:hAnsi="Book Antiqua"/>
          <w:bCs/>
          <w:i/>
          <w:iCs/>
          <w:color w:val="000000" w:themeColor="text1"/>
          <w:sz w:val="24"/>
          <w:szCs w:val="24"/>
          <w:lang w:val="en-NZ" w:eastAsia="zh-CN"/>
        </w:rPr>
        <w:t xml:space="preserve"> et al</w:t>
      </w:r>
      <w:r w:rsidRPr="00011E8F">
        <w:rPr>
          <w:rFonts w:ascii="Book Antiqua" w:hAnsi="Book Antiqua"/>
          <w:bCs/>
          <w:color w:val="000000" w:themeColor="text1"/>
          <w:sz w:val="24"/>
          <w:szCs w:val="24"/>
          <w:lang w:val="en-NZ" w:eastAsia="zh-CN"/>
        </w:rPr>
        <w:t xml:space="preserve">. </w:t>
      </w:r>
      <w:r w:rsidR="0098075C" w:rsidRPr="00011E8F">
        <w:rPr>
          <w:rFonts w:ascii="Book Antiqua" w:hAnsi="Book Antiqua"/>
          <w:bCs/>
          <w:color w:val="000000" w:themeColor="text1"/>
          <w:sz w:val="24"/>
          <w:szCs w:val="24"/>
          <w:lang w:val="en-NZ"/>
        </w:rPr>
        <w:t xml:space="preserve">The cost of </w:t>
      </w:r>
      <w:r w:rsidRPr="00011E8F">
        <w:rPr>
          <w:rFonts w:ascii="Book Antiqua" w:hAnsi="Book Antiqua"/>
          <w:bCs/>
          <w:color w:val="000000" w:themeColor="text1"/>
          <w:sz w:val="24"/>
          <w:szCs w:val="24"/>
          <w:lang w:val="en-NZ"/>
        </w:rPr>
        <w:t>PC:</w:t>
      </w:r>
      <w:r w:rsidR="0098075C" w:rsidRPr="00011E8F">
        <w:rPr>
          <w:rFonts w:ascii="Book Antiqua" w:hAnsi="Book Antiqua"/>
          <w:bCs/>
          <w:color w:val="000000" w:themeColor="text1"/>
          <w:sz w:val="24"/>
          <w:szCs w:val="24"/>
          <w:lang w:val="en-NZ"/>
        </w:rPr>
        <w:t xml:space="preserve"> Avoiding</w:t>
      </w:r>
      <w:r w:rsidR="00F61DBB" w:rsidRPr="00011E8F">
        <w:rPr>
          <w:rFonts w:ascii="Book Antiqua" w:hAnsi="Book Antiqua"/>
          <w:bCs/>
          <w:color w:val="000000" w:themeColor="text1"/>
          <w:sz w:val="24"/>
          <w:szCs w:val="24"/>
          <w:lang w:val="en-NZ"/>
        </w:rPr>
        <w:t xml:space="preserve"> errors</w:t>
      </w:r>
    </w:p>
    <w:bookmarkEnd w:id="0"/>
    <w:bookmarkEnd w:id="1"/>
    <w:p w14:paraId="642230DE" w14:textId="77777777" w:rsidR="00D147DD" w:rsidRPr="00011E8F" w:rsidRDefault="00D147DD" w:rsidP="00FC61F7">
      <w:pPr>
        <w:snapToGrid w:val="0"/>
        <w:spacing w:after="0" w:line="360" w:lineRule="auto"/>
        <w:jc w:val="both"/>
        <w:rPr>
          <w:rFonts w:ascii="Book Antiqua" w:hAnsi="Book Antiqua"/>
          <w:bCs/>
          <w:color w:val="000000" w:themeColor="text1"/>
          <w:sz w:val="24"/>
          <w:szCs w:val="24"/>
          <w:lang w:val="en-NZ"/>
        </w:rPr>
      </w:pPr>
    </w:p>
    <w:p w14:paraId="09ACA6CD" w14:textId="4C0E0304" w:rsidR="00D147DD" w:rsidRPr="00011E8F" w:rsidRDefault="00D147DD" w:rsidP="00FC61F7">
      <w:pPr>
        <w:snapToGrid w:val="0"/>
        <w:spacing w:after="0" w:line="360" w:lineRule="auto"/>
        <w:jc w:val="both"/>
        <w:rPr>
          <w:rFonts w:ascii="Book Antiqua" w:hAnsi="Book Antiqua"/>
          <w:bCs/>
          <w:color w:val="000000" w:themeColor="text1"/>
          <w:sz w:val="24"/>
          <w:szCs w:val="24"/>
        </w:rPr>
      </w:pPr>
      <w:r w:rsidRPr="00011E8F">
        <w:rPr>
          <w:rFonts w:ascii="Book Antiqua" w:hAnsi="Book Antiqua"/>
          <w:bCs/>
          <w:color w:val="000000" w:themeColor="text1"/>
          <w:sz w:val="24"/>
          <w:szCs w:val="24"/>
        </w:rPr>
        <w:t>Roberto De la Plaza Llamas</w:t>
      </w:r>
      <w:r w:rsidR="00C440B7" w:rsidRPr="00011E8F">
        <w:rPr>
          <w:rFonts w:ascii="Book Antiqua" w:hAnsi="Book Antiqua"/>
          <w:bCs/>
          <w:color w:val="000000" w:themeColor="text1"/>
          <w:sz w:val="24"/>
          <w:szCs w:val="24"/>
        </w:rPr>
        <w:t xml:space="preserve">, </w:t>
      </w:r>
      <w:r w:rsidRPr="00011E8F">
        <w:rPr>
          <w:rFonts w:ascii="Book Antiqua" w:hAnsi="Book Antiqua"/>
          <w:bCs/>
          <w:color w:val="000000" w:themeColor="text1"/>
          <w:sz w:val="24"/>
          <w:szCs w:val="24"/>
        </w:rPr>
        <w:t>José M Ramia</w:t>
      </w:r>
    </w:p>
    <w:p w14:paraId="2D41F058" w14:textId="77777777" w:rsidR="00C440B7" w:rsidRPr="00011E8F" w:rsidRDefault="00C440B7" w:rsidP="00FC61F7">
      <w:pPr>
        <w:snapToGrid w:val="0"/>
        <w:spacing w:after="0" w:line="360" w:lineRule="auto"/>
        <w:jc w:val="both"/>
        <w:rPr>
          <w:rFonts w:ascii="Book Antiqua" w:hAnsi="Book Antiqua"/>
          <w:b/>
          <w:color w:val="000000" w:themeColor="text1"/>
          <w:sz w:val="24"/>
          <w:szCs w:val="24"/>
        </w:rPr>
      </w:pPr>
    </w:p>
    <w:p w14:paraId="3F87C87C" w14:textId="2DBEBD9C" w:rsidR="00D147DD" w:rsidRPr="00011E8F" w:rsidRDefault="00C440B7" w:rsidP="00FC61F7">
      <w:pPr>
        <w:snapToGrid w:val="0"/>
        <w:spacing w:after="0" w:line="360" w:lineRule="auto"/>
        <w:jc w:val="both"/>
        <w:rPr>
          <w:rFonts w:ascii="Book Antiqua" w:hAnsi="Book Antiqua"/>
          <w:color w:val="000000" w:themeColor="text1"/>
          <w:sz w:val="24"/>
          <w:szCs w:val="24"/>
        </w:rPr>
      </w:pPr>
      <w:r w:rsidRPr="00011E8F">
        <w:rPr>
          <w:rFonts w:ascii="Book Antiqua" w:hAnsi="Book Antiqua"/>
          <w:b/>
          <w:color w:val="000000" w:themeColor="text1"/>
          <w:sz w:val="24"/>
          <w:szCs w:val="24"/>
        </w:rPr>
        <w:t>Roberto De la Plaza Llamas, José M Ramia</w:t>
      </w:r>
      <w:r w:rsidRPr="00011E8F">
        <w:rPr>
          <w:rFonts w:ascii="Book Antiqua" w:hAnsi="Book Antiqua"/>
          <w:b/>
          <w:color w:val="000000" w:themeColor="text1"/>
          <w:sz w:val="24"/>
          <w:szCs w:val="24"/>
          <w:lang w:eastAsia="zh-CN"/>
        </w:rPr>
        <w:t xml:space="preserve">, </w:t>
      </w:r>
      <w:r w:rsidR="00D147DD" w:rsidRPr="00011E8F">
        <w:rPr>
          <w:rFonts w:ascii="Book Antiqua" w:hAnsi="Book Antiqua"/>
          <w:color w:val="000000" w:themeColor="text1"/>
          <w:sz w:val="24"/>
          <w:szCs w:val="24"/>
          <w:lang w:val="en-NZ"/>
        </w:rPr>
        <w:t>Department of General and Digestive Surgery</w:t>
      </w:r>
      <w:r w:rsidR="00007DC1">
        <w:rPr>
          <w:rFonts w:ascii="Book Antiqua" w:hAnsi="Book Antiqua"/>
          <w:color w:val="000000" w:themeColor="text1"/>
          <w:sz w:val="24"/>
          <w:szCs w:val="24"/>
          <w:lang w:val="en-NZ"/>
        </w:rPr>
        <w:t xml:space="preserve">, </w:t>
      </w:r>
      <w:r w:rsidR="00D147DD" w:rsidRPr="00011E8F">
        <w:rPr>
          <w:rFonts w:ascii="Book Antiqua" w:hAnsi="Book Antiqua"/>
          <w:color w:val="000000" w:themeColor="text1"/>
          <w:sz w:val="24"/>
          <w:szCs w:val="24"/>
        </w:rPr>
        <w:t>Hospital Universitario de Guadalajara, Guadalajara</w:t>
      </w:r>
      <w:r w:rsidRPr="00011E8F">
        <w:rPr>
          <w:rFonts w:ascii="Book Antiqua" w:hAnsi="Book Antiqua"/>
          <w:color w:val="000000" w:themeColor="text1"/>
          <w:sz w:val="24"/>
          <w:szCs w:val="24"/>
        </w:rPr>
        <w:t xml:space="preserve"> 19002</w:t>
      </w:r>
      <w:r w:rsidR="00D147DD" w:rsidRPr="00011E8F">
        <w:rPr>
          <w:rFonts w:ascii="Book Antiqua" w:hAnsi="Book Antiqua"/>
          <w:color w:val="000000" w:themeColor="text1"/>
          <w:sz w:val="24"/>
          <w:szCs w:val="24"/>
        </w:rPr>
        <w:t>, Spain</w:t>
      </w:r>
    </w:p>
    <w:p w14:paraId="6EFA4324" w14:textId="77777777" w:rsidR="00C440B7" w:rsidRPr="00011E8F" w:rsidRDefault="00C440B7" w:rsidP="00FC61F7">
      <w:pPr>
        <w:snapToGrid w:val="0"/>
        <w:spacing w:after="0" w:line="360" w:lineRule="auto"/>
        <w:jc w:val="both"/>
        <w:rPr>
          <w:rFonts w:ascii="Book Antiqua" w:hAnsi="Book Antiqua"/>
          <w:b/>
          <w:color w:val="000000" w:themeColor="text1"/>
          <w:sz w:val="24"/>
          <w:szCs w:val="24"/>
        </w:rPr>
      </w:pPr>
    </w:p>
    <w:p w14:paraId="78573274" w14:textId="000C8C2B" w:rsidR="00D147DD" w:rsidRPr="00011E8F" w:rsidRDefault="00011E8F" w:rsidP="00FC61F7">
      <w:pPr>
        <w:snapToGrid w:val="0"/>
        <w:spacing w:after="0" w:line="360" w:lineRule="auto"/>
        <w:jc w:val="both"/>
        <w:rPr>
          <w:rFonts w:ascii="Book Antiqua" w:hAnsi="Book Antiqua"/>
          <w:color w:val="000000" w:themeColor="text1"/>
          <w:sz w:val="24"/>
          <w:szCs w:val="24"/>
          <w:lang w:val="en-NZ"/>
        </w:rPr>
      </w:pPr>
      <w:bookmarkStart w:id="2" w:name="_Hlk13494459"/>
      <w:r w:rsidRPr="00011E8F">
        <w:rPr>
          <w:rFonts w:ascii="Book Antiqua" w:hAnsi="Book Antiqua" w:cs="Arial"/>
          <w:b/>
          <w:bCs/>
          <w:color w:val="000000" w:themeColor="text1"/>
          <w:sz w:val="24"/>
          <w:szCs w:val="24"/>
        </w:rPr>
        <w:t>Author contributions:</w:t>
      </w:r>
      <w:bookmarkEnd w:id="2"/>
      <w:r w:rsidRPr="00011E8F">
        <w:rPr>
          <w:rFonts w:ascii="Book Antiqua" w:hAnsi="Book Antiqua" w:cs="Arial"/>
          <w:b/>
          <w:bCs/>
          <w:color w:val="000000" w:themeColor="text1"/>
          <w:sz w:val="24"/>
          <w:szCs w:val="24"/>
          <w:lang w:eastAsia="zh-CN"/>
        </w:rPr>
        <w:t xml:space="preserve"> </w:t>
      </w:r>
      <w:r w:rsidR="00D147DD" w:rsidRPr="00011E8F">
        <w:rPr>
          <w:rFonts w:ascii="Book Antiqua" w:hAnsi="Book Antiqua"/>
          <w:color w:val="000000" w:themeColor="text1"/>
          <w:sz w:val="24"/>
          <w:szCs w:val="24"/>
          <w:lang w:val="en-NZ"/>
        </w:rPr>
        <w:t xml:space="preserve">De la Plaza Llamas R and </w:t>
      </w:r>
      <w:proofErr w:type="spellStart"/>
      <w:r w:rsidR="00D147DD" w:rsidRPr="00011E8F">
        <w:rPr>
          <w:rFonts w:ascii="Book Antiqua" w:hAnsi="Book Antiqua"/>
          <w:color w:val="000000" w:themeColor="text1"/>
          <w:sz w:val="24"/>
          <w:szCs w:val="24"/>
          <w:lang w:val="en-NZ"/>
        </w:rPr>
        <w:t>Ramia</w:t>
      </w:r>
      <w:proofErr w:type="spellEnd"/>
      <w:r w:rsidR="00D147DD" w:rsidRPr="00011E8F">
        <w:rPr>
          <w:rFonts w:ascii="Book Antiqua" w:hAnsi="Book Antiqua"/>
          <w:color w:val="000000" w:themeColor="text1"/>
          <w:sz w:val="24"/>
          <w:szCs w:val="24"/>
          <w:lang w:val="en-NZ"/>
        </w:rPr>
        <w:t xml:space="preserve"> JM conceived the study</w:t>
      </w:r>
      <w:r w:rsidR="0095125A" w:rsidRPr="00011E8F">
        <w:rPr>
          <w:rFonts w:ascii="Book Antiqua" w:hAnsi="Book Antiqua"/>
          <w:color w:val="000000" w:themeColor="text1"/>
          <w:sz w:val="24"/>
          <w:szCs w:val="24"/>
          <w:lang w:val="en-NZ"/>
        </w:rPr>
        <w:t xml:space="preserve"> and drafted the manuscript</w:t>
      </w:r>
      <w:r w:rsidR="00D147DD" w:rsidRPr="00011E8F">
        <w:rPr>
          <w:rFonts w:ascii="Book Antiqua" w:hAnsi="Book Antiqua"/>
          <w:color w:val="000000" w:themeColor="text1"/>
          <w:sz w:val="24"/>
          <w:szCs w:val="24"/>
          <w:lang w:val="en-NZ"/>
        </w:rPr>
        <w:t>; De la Plaza Llamas R design the study</w:t>
      </w:r>
      <w:r w:rsidR="0095125A" w:rsidRPr="00011E8F">
        <w:rPr>
          <w:rFonts w:ascii="Book Antiqua" w:hAnsi="Book Antiqua"/>
          <w:color w:val="000000" w:themeColor="text1"/>
          <w:sz w:val="24"/>
          <w:szCs w:val="24"/>
          <w:lang w:val="en-NZ"/>
        </w:rPr>
        <w:t xml:space="preserve"> and</w:t>
      </w:r>
      <w:r w:rsidR="00D147DD" w:rsidRPr="00011E8F">
        <w:rPr>
          <w:rFonts w:ascii="Book Antiqua" w:hAnsi="Book Antiqua"/>
          <w:color w:val="000000" w:themeColor="text1"/>
          <w:sz w:val="24"/>
          <w:szCs w:val="24"/>
          <w:lang w:val="en-NZ"/>
        </w:rPr>
        <w:t xml:space="preserve"> performed the </w:t>
      </w:r>
      <w:r w:rsidR="0095125A" w:rsidRPr="00011E8F">
        <w:rPr>
          <w:rFonts w:ascii="Book Antiqua" w:hAnsi="Book Antiqua"/>
          <w:color w:val="000000" w:themeColor="text1"/>
          <w:sz w:val="24"/>
          <w:szCs w:val="24"/>
          <w:lang w:val="en-NZ"/>
        </w:rPr>
        <w:t>research</w:t>
      </w:r>
      <w:r w:rsidR="00D147DD" w:rsidRPr="00011E8F">
        <w:rPr>
          <w:rFonts w:ascii="Book Antiqua" w:hAnsi="Book Antiqua"/>
          <w:color w:val="000000" w:themeColor="text1"/>
          <w:sz w:val="24"/>
          <w:szCs w:val="24"/>
          <w:lang w:val="en-NZ"/>
        </w:rPr>
        <w:t xml:space="preserve">; </w:t>
      </w:r>
      <w:r w:rsidR="0095125A" w:rsidRPr="00011E8F">
        <w:rPr>
          <w:rFonts w:ascii="Book Antiqua" w:hAnsi="Book Antiqua"/>
          <w:color w:val="000000" w:themeColor="text1"/>
          <w:sz w:val="24"/>
          <w:szCs w:val="24"/>
          <w:lang w:val="en-NZ"/>
        </w:rPr>
        <w:t xml:space="preserve">Both </w:t>
      </w:r>
      <w:r w:rsidR="00D147DD" w:rsidRPr="00011E8F">
        <w:rPr>
          <w:rFonts w:ascii="Book Antiqua" w:hAnsi="Book Antiqua"/>
          <w:color w:val="000000" w:themeColor="text1"/>
          <w:sz w:val="24"/>
          <w:szCs w:val="24"/>
          <w:lang w:val="en-NZ"/>
        </w:rPr>
        <w:t>authors approved the final version of the article.</w:t>
      </w:r>
    </w:p>
    <w:p w14:paraId="0A27FC78" w14:textId="77777777" w:rsidR="00C440B7" w:rsidRPr="00011E8F" w:rsidRDefault="00C440B7" w:rsidP="00FC61F7">
      <w:pPr>
        <w:snapToGrid w:val="0"/>
        <w:spacing w:after="0" w:line="360" w:lineRule="auto"/>
        <w:jc w:val="both"/>
        <w:rPr>
          <w:rFonts w:ascii="Book Antiqua" w:hAnsi="Book Antiqua"/>
          <w:b/>
          <w:color w:val="000000" w:themeColor="text1"/>
          <w:sz w:val="24"/>
          <w:szCs w:val="24"/>
          <w:lang w:val="en-NZ"/>
        </w:rPr>
      </w:pPr>
    </w:p>
    <w:p w14:paraId="08AF12BA" w14:textId="24118761" w:rsidR="00D147DD" w:rsidRPr="00011E8F" w:rsidRDefault="00011E8F" w:rsidP="00FC61F7">
      <w:pPr>
        <w:snapToGrid w:val="0"/>
        <w:spacing w:after="0" w:line="360" w:lineRule="auto"/>
        <w:jc w:val="both"/>
        <w:rPr>
          <w:rFonts w:ascii="Book Antiqua" w:hAnsi="Book Antiqua"/>
          <w:color w:val="000000" w:themeColor="text1"/>
          <w:sz w:val="24"/>
          <w:szCs w:val="24"/>
        </w:rPr>
      </w:pPr>
      <w:r w:rsidRPr="00011E8F">
        <w:rPr>
          <w:rFonts w:ascii="Book Antiqua" w:hAnsi="Book Antiqua" w:cs="Times New Roman"/>
          <w:b/>
          <w:color w:val="000000" w:themeColor="text1"/>
          <w:sz w:val="24"/>
          <w:szCs w:val="24"/>
        </w:rPr>
        <w:t>Corresponding author:</w:t>
      </w:r>
      <w:r w:rsidRPr="00011E8F">
        <w:rPr>
          <w:rFonts w:ascii="Book Antiqua" w:hAnsi="Book Antiqua" w:cs="Arial"/>
          <w:color w:val="000000" w:themeColor="text1"/>
          <w:sz w:val="24"/>
          <w:szCs w:val="24"/>
          <w:lang w:eastAsia="zh-CN"/>
        </w:rPr>
        <w:t xml:space="preserve"> </w:t>
      </w:r>
      <w:r w:rsidR="00D147DD" w:rsidRPr="00011E8F">
        <w:rPr>
          <w:rFonts w:ascii="Book Antiqua" w:hAnsi="Book Antiqua"/>
          <w:b/>
          <w:color w:val="000000" w:themeColor="text1"/>
          <w:sz w:val="24"/>
          <w:szCs w:val="24"/>
        </w:rPr>
        <w:t xml:space="preserve">Roberto De la Plaza Llamas, </w:t>
      </w:r>
      <w:r w:rsidR="00EB63BA" w:rsidRPr="00EB63BA">
        <w:rPr>
          <w:rFonts w:ascii="Book Antiqua" w:hAnsi="Book Antiqua"/>
          <w:b/>
          <w:color w:val="000000" w:themeColor="text1"/>
          <w:sz w:val="24"/>
          <w:szCs w:val="24"/>
        </w:rPr>
        <w:t xml:space="preserve">FACS, MD, MSc, PhD, Associate Professor, Doctor, Surgeon, </w:t>
      </w:r>
      <w:r w:rsidR="00D147DD" w:rsidRPr="00011E8F">
        <w:rPr>
          <w:rFonts w:ascii="Book Antiqua" w:hAnsi="Book Antiqua"/>
          <w:color w:val="000000" w:themeColor="text1"/>
          <w:sz w:val="24"/>
          <w:szCs w:val="24"/>
        </w:rPr>
        <w:t>Department of General and Digestive Surgery</w:t>
      </w:r>
      <w:r w:rsidR="00C440B7" w:rsidRPr="00011E8F">
        <w:rPr>
          <w:rFonts w:ascii="Book Antiqua" w:hAnsi="Book Antiqua"/>
          <w:color w:val="000000" w:themeColor="text1"/>
          <w:sz w:val="24"/>
          <w:szCs w:val="24"/>
        </w:rPr>
        <w:t>,</w:t>
      </w:r>
      <w:r w:rsidR="00D147DD" w:rsidRPr="00011E8F">
        <w:rPr>
          <w:rFonts w:ascii="Book Antiqua" w:hAnsi="Book Antiqua"/>
          <w:color w:val="000000" w:themeColor="text1"/>
          <w:sz w:val="24"/>
          <w:szCs w:val="24"/>
        </w:rPr>
        <w:t xml:space="preserve"> Hospital Universitario de Guadalajara, Calle Donante de sangre s/n, Guadalajara</w:t>
      </w:r>
      <w:r w:rsidR="00C440B7" w:rsidRPr="00011E8F">
        <w:rPr>
          <w:rFonts w:ascii="Book Antiqua" w:hAnsi="Book Antiqua"/>
          <w:color w:val="000000" w:themeColor="text1"/>
          <w:sz w:val="24"/>
          <w:szCs w:val="24"/>
        </w:rPr>
        <w:t xml:space="preserve"> 19002</w:t>
      </w:r>
      <w:r w:rsidR="00D147DD" w:rsidRPr="00011E8F">
        <w:rPr>
          <w:rFonts w:ascii="Book Antiqua" w:hAnsi="Book Antiqua"/>
          <w:color w:val="000000" w:themeColor="text1"/>
          <w:sz w:val="24"/>
          <w:szCs w:val="24"/>
        </w:rPr>
        <w:t xml:space="preserve">, Spain. </w:t>
      </w:r>
      <w:r w:rsidR="00D147DD" w:rsidRPr="00011E8F">
        <w:rPr>
          <w:rFonts w:ascii="Book Antiqua" w:hAnsi="Book Antiqua"/>
          <w:color w:val="000000" w:themeColor="text1"/>
          <w:sz w:val="24"/>
          <w:szCs w:val="24"/>
          <w:u w:val="single"/>
        </w:rPr>
        <w:t>rdplazal@sescam.jccm.es</w:t>
      </w:r>
    </w:p>
    <w:p w14:paraId="414D36C4" w14:textId="77777777" w:rsidR="00C440B7" w:rsidRPr="00011E8F" w:rsidRDefault="00C440B7" w:rsidP="00FC61F7">
      <w:pPr>
        <w:snapToGrid w:val="0"/>
        <w:spacing w:after="0" w:line="360" w:lineRule="auto"/>
        <w:jc w:val="both"/>
        <w:rPr>
          <w:rFonts w:ascii="Book Antiqua" w:hAnsi="Book Antiqua"/>
          <w:b/>
          <w:color w:val="000000" w:themeColor="text1"/>
          <w:sz w:val="24"/>
          <w:szCs w:val="24"/>
          <w:lang w:val="en-NZ"/>
        </w:rPr>
      </w:pPr>
    </w:p>
    <w:p w14:paraId="5B303D3E" w14:textId="4385148B" w:rsidR="00011E8F" w:rsidRPr="00011E8F" w:rsidRDefault="00011E8F" w:rsidP="00011E8F">
      <w:pPr>
        <w:widowControl w:val="0"/>
        <w:spacing w:after="0" w:line="360" w:lineRule="auto"/>
        <w:jc w:val="both"/>
        <w:rPr>
          <w:rFonts w:ascii="Book Antiqua" w:hAnsi="Book Antiqua" w:cs="Times New Roman"/>
          <w:bCs/>
          <w:color w:val="000000" w:themeColor="text1"/>
          <w:kern w:val="2"/>
          <w:sz w:val="24"/>
          <w:szCs w:val="24"/>
          <w:lang w:eastAsia="zh-CN"/>
        </w:rPr>
      </w:pPr>
      <w:bookmarkStart w:id="3" w:name="OLE_LINK75"/>
      <w:bookmarkStart w:id="4" w:name="OLE_LINK76"/>
      <w:bookmarkStart w:id="5" w:name="OLE_LINK269"/>
      <w:bookmarkStart w:id="6" w:name="OLE_LINK239"/>
      <w:r w:rsidRPr="00011E8F">
        <w:rPr>
          <w:rFonts w:ascii="Book Antiqua" w:hAnsi="Book Antiqua" w:cs="Times New Roman"/>
          <w:b/>
          <w:color w:val="000000" w:themeColor="text1"/>
          <w:kern w:val="2"/>
          <w:sz w:val="24"/>
          <w:szCs w:val="24"/>
          <w:lang w:eastAsia="zh-CN"/>
        </w:rPr>
        <w:t xml:space="preserve">Received: </w:t>
      </w:r>
      <w:r w:rsidRPr="00011E8F">
        <w:rPr>
          <w:rFonts w:ascii="Book Antiqua" w:hAnsi="Book Antiqua" w:cs="Times New Roman"/>
          <w:bCs/>
          <w:color w:val="000000" w:themeColor="text1"/>
          <w:kern w:val="2"/>
          <w:sz w:val="24"/>
          <w:szCs w:val="24"/>
          <w:lang w:eastAsia="zh-CN"/>
        </w:rPr>
        <w:t>December 27, 2019</w:t>
      </w:r>
    </w:p>
    <w:p w14:paraId="64AA6CAE" w14:textId="3CD34096" w:rsidR="00011E8F" w:rsidRPr="00011E8F" w:rsidRDefault="00011E8F" w:rsidP="00011E8F">
      <w:pPr>
        <w:widowControl w:val="0"/>
        <w:spacing w:after="0" w:line="360" w:lineRule="auto"/>
        <w:jc w:val="both"/>
        <w:rPr>
          <w:rFonts w:ascii="Book Antiqua" w:hAnsi="Book Antiqua" w:cs="Times New Roman"/>
          <w:bCs/>
          <w:color w:val="000000" w:themeColor="text1"/>
          <w:kern w:val="2"/>
          <w:sz w:val="24"/>
          <w:szCs w:val="24"/>
          <w:lang w:eastAsia="zh-CN"/>
        </w:rPr>
      </w:pPr>
      <w:r w:rsidRPr="00011E8F">
        <w:rPr>
          <w:rFonts w:ascii="Book Antiqua" w:hAnsi="Book Antiqua" w:cs="Times New Roman"/>
          <w:b/>
          <w:color w:val="000000" w:themeColor="text1"/>
          <w:kern w:val="2"/>
          <w:sz w:val="24"/>
          <w:szCs w:val="24"/>
          <w:lang w:eastAsia="zh-CN"/>
        </w:rPr>
        <w:t xml:space="preserve">Revised: </w:t>
      </w:r>
      <w:r w:rsidRPr="00011E8F">
        <w:rPr>
          <w:rFonts w:ascii="Book Antiqua" w:hAnsi="Book Antiqua" w:cs="Times New Roman"/>
          <w:bCs/>
          <w:color w:val="000000" w:themeColor="text1"/>
          <w:kern w:val="2"/>
          <w:sz w:val="24"/>
          <w:szCs w:val="24"/>
          <w:lang w:eastAsia="zh-CN"/>
        </w:rPr>
        <w:t>March 27, 2020</w:t>
      </w:r>
    </w:p>
    <w:p w14:paraId="79184465" w14:textId="3105B465" w:rsidR="00011E8F" w:rsidRPr="00011E8F" w:rsidRDefault="00011E8F" w:rsidP="00011E8F">
      <w:pPr>
        <w:widowControl w:val="0"/>
        <w:spacing w:after="0" w:line="360" w:lineRule="auto"/>
        <w:jc w:val="both"/>
        <w:rPr>
          <w:rFonts w:ascii="Book Antiqua" w:hAnsi="Book Antiqua" w:cs="Times New Roman"/>
          <w:color w:val="000000" w:themeColor="text1"/>
          <w:kern w:val="2"/>
          <w:sz w:val="24"/>
          <w:szCs w:val="24"/>
          <w:lang w:eastAsia="zh-CN"/>
        </w:rPr>
      </w:pPr>
      <w:r w:rsidRPr="00011E8F">
        <w:rPr>
          <w:rFonts w:ascii="Book Antiqua" w:hAnsi="Book Antiqua" w:cs="Times New Roman"/>
          <w:b/>
          <w:color w:val="000000" w:themeColor="text1"/>
          <w:kern w:val="2"/>
          <w:sz w:val="24"/>
          <w:szCs w:val="24"/>
          <w:lang w:eastAsia="zh-CN"/>
        </w:rPr>
        <w:t>Accepted:</w:t>
      </w:r>
      <w:r w:rsidR="00D3504E" w:rsidRPr="00D3504E">
        <w:t xml:space="preserve"> </w:t>
      </w:r>
      <w:r w:rsidR="00D3504E" w:rsidRPr="00D3504E">
        <w:rPr>
          <w:rFonts w:ascii="Book Antiqua" w:hAnsi="Book Antiqua" w:cs="Times New Roman"/>
          <w:bCs/>
          <w:color w:val="000000" w:themeColor="text1"/>
          <w:kern w:val="2"/>
          <w:sz w:val="24"/>
          <w:szCs w:val="24"/>
          <w:lang w:eastAsia="zh-CN"/>
        </w:rPr>
        <w:t>May 20, 2020</w:t>
      </w:r>
      <w:r w:rsidRPr="00D3504E">
        <w:rPr>
          <w:rFonts w:ascii="Book Antiqua" w:hAnsi="Book Antiqua" w:cs="Times New Roman"/>
          <w:bCs/>
          <w:color w:val="000000" w:themeColor="text1"/>
          <w:kern w:val="2"/>
          <w:sz w:val="24"/>
          <w:szCs w:val="24"/>
          <w:lang w:eastAsia="zh-CN"/>
        </w:rPr>
        <w:t xml:space="preserve"> </w:t>
      </w:r>
    </w:p>
    <w:p w14:paraId="3304DA31" w14:textId="77777777" w:rsidR="00011E8F" w:rsidRPr="00011E8F" w:rsidRDefault="00011E8F" w:rsidP="00011E8F">
      <w:pPr>
        <w:widowControl w:val="0"/>
        <w:spacing w:after="0" w:line="360" w:lineRule="auto"/>
        <w:jc w:val="both"/>
        <w:rPr>
          <w:rFonts w:ascii="Book Antiqua" w:hAnsi="Book Antiqua" w:cs="Times New Roman"/>
          <w:b/>
          <w:color w:val="000000" w:themeColor="text1"/>
          <w:kern w:val="2"/>
          <w:sz w:val="24"/>
          <w:szCs w:val="24"/>
          <w:lang w:eastAsia="zh-CN"/>
        </w:rPr>
      </w:pPr>
      <w:r w:rsidRPr="00011E8F">
        <w:rPr>
          <w:rFonts w:ascii="Book Antiqua" w:hAnsi="Book Antiqua" w:cs="Times New Roman"/>
          <w:b/>
          <w:color w:val="000000" w:themeColor="text1"/>
          <w:kern w:val="2"/>
          <w:sz w:val="24"/>
          <w:szCs w:val="24"/>
          <w:lang w:eastAsia="zh-CN"/>
        </w:rPr>
        <w:t>Published online:</w:t>
      </w:r>
      <w:bookmarkEnd w:id="3"/>
      <w:bookmarkEnd w:id="4"/>
      <w:bookmarkEnd w:id="5"/>
      <w:bookmarkEnd w:id="6"/>
    </w:p>
    <w:p w14:paraId="7D6E91C3" w14:textId="332F86A5" w:rsidR="00D147DD" w:rsidRPr="00011E8F" w:rsidRDefault="00D147DD" w:rsidP="00FC61F7">
      <w:pPr>
        <w:snapToGrid w:val="0"/>
        <w:spacing w:after="0" w:line="360" w:lineRule="auto"/>
        <w:jc w:val="both"/>
        <w:rPr>
          <w:rFonts w:ascii="Book Antiqua" w:hAnsi="Book Antiqua"/>
          <w:b/>
          <w:color w:val="000000" w:themeColor="text1"/>
          <w:sz w:val="24"/>
          <w:szCs w:val="24"/>
          <w:lang w:val="en-NZ"/>
        </w:rPr>
      </w:pPr>
      <w:r w:rsidRPr="00011E8F">
        <w:rPr>
          <w:rFonts w:ascii="Book Antiqua" w:hAnsi="Book Antiqua"/>
          <w:b/>
          <w:color w:val="000000" w:themeColor="text1"/>
          <w:sz w:val="24"/>
          <w:szCs w:val="24"/>
          <w:lang w:val="en-NZ"/>
        </w:rPr>
        <w:br w:type="page"/>
      </w:r>
    </w:p>
    <w:p w14:paraId="228AC006" w14:textId="77777777" w:rsidR="00011E8F" w:rsidRPr="00011E8F" w:rsidRDefault="00011E8F" w:rsidP="00011E8F">
      <w:pPr>
        <w:spacing w:after="0" w:line="360" w:lineRule="auto"/>
        <w:jc w:val="both"/>
        <w:rPr>
          <w:rFonts w:ascii="Book Antiqua" w:eastAsia="ヒラギノ角ゴ Pro W3" w:hAnsi="Book Antiqua" w:cs="Times New Roman"/>
          <w:color w:val="000000" w:themeColor="text1"/>
          <w:sz w:val="24"/>
          <w:szCs w:val="24"/>
        </w:rPr>
      </w:pPr>
      <w:r w:rsidRPr="00011E8F">
        <w:rPr>
          <w:rFonts w:ascii="Book Antiqua" w:hAnsi="Book Antiqua"/>
          <w:b/>
          <w:bCs/>
          <w:color w:val="000000" w:themeColor="text1"/>
          <w:sz w:val="24"/>
          <w:szCs w:val="24"/>
        </w:rPr>
        <w:lastRenderedPageBreak/>
        <w:t>Abstract</w:t>
      </w:r>
    </w:p>
    <w:p w14:paraId="7BBB2DD0" w14:textId="2EB62CE3" w:rsidR="0056798F" w:rsidRPr="00011E8F" w:rsidRDefault="0056798F" w:rsidP="00FC61F7">
      <w:pPr>
        <w:snapToGrid w:val="0"/>
        <w:spacing w:after="0" w:line="360" w:lineRule="auto"/>
        <w:jc w:val="both"/>
        <w:rPr>
          <w:rFonts w:ascii="Book Antiqua" w:hAnsi="Book Antiqua"/>
          <w:color w:val="000000" w:themeColor="text1"/>
          <w:sz w:val="24"/>
          <w:szCs w:val="24"/>
          <w:lang w:val="en-NZ"/>
        </w:rPr>
      </w:pPr>
      <w:r w:rsidRPr="00011E8F">
        <w:rPr>
          <w:rFonts w:ascii="Book Antiqua" w:hAnsi="Book Antiqua"/>
          <w:color w:val="000000" w:themeColor="text1"/>
          <w:sz w:val="24"/>
          <w:szCs w:val="24"/>
          <w:lang w:val="en-NZ"/>
        </w:rPr>
        <w:t xml:space="preserve">Postoperative complications (PC) are a basic health outcome, but no surgery service in the world records and/or audits the PC associated with all the surgical procedures it performs. Most studies that have assessed the cost of PC suffer from poor quality and a lack of transparency and consistency. The payment system in place often rewards the volume of services provided rather than the quality of patients’ clinical outcomes. Without a thorough registration of PC, the economic costs involved cannot be determined. An accurate, reliable appraisal would help identify areas for investment in order to reduce the incidence of PC, improve surgical results, and bring down the economic costs. This article describes how to quantify and classify PC using the </w:t>
      </w:r>
      <w:proofErr w:type="spellStart"/>
      <w:r w:rsidRPr="00011E8F">
        <w:rPr>
          <w:rFonts w:ascii="Book Antiqua" w:hAnsi="Book Antiqua"/>
          <w:color w:val="000000" w:themeColor="text1"/>
          <w:sz w:val="24"/>
          <w:szCs w:val="24"/>
          <w:lang w:val="en-NZ"/>
        </w:rPr>
        <w:t>Clavien-Dindo</w:t>
      </w:r>
      <w:proofErr w:type="spellEnd"/>
      <w:r w:rsidRPr="00011E8F">
        <w:rPr>
          <w:rFonts w:ascii="Book Antiqua" w:hAnsi="Book Antiqua"/>
          <w:color w:val="000000" w:themeColor="text1"/>
          <w:sz w:val="24"/>
          <w:szCs w:val="24"/>
          <w:lang w:val="en-NZ"/>
        </w:rPr>
        <w:t xml:space="preserve"> </w:t>
      </w:r>
      <w:r w:rsidR="00C440B7" w:rsidRPr="00011E8F">
        <w:rPr>
          <w:rFonts w:ascii="Book Antiqua" w:hAnsi="Book Antiqua"/>
          <w:color w:val="000000" w:themeColor="text1"/>
          <w:sz w:val="24"/>
          <w:szCs w:val="24"/>
          <w:lang w:val="en-NZ"/>
        </w:rPr>
        <w:t xml:space="preserve">classification </w:t>
      </w:r>
      <w:r w:rsidRPr="00011E8F">
        <w:rPr>
          <w:rFonts w:ascii="Book Antiqua" w:hAnsi="Book Antiqua"/>
          <w:color w:val="000000" w:themeColor="text1"/>
          <w:sz w:val="24"/>
          <w:szCs w:val="24"/>
          <w:lang w:val="en-NZ"/>
        </w:rPr>
        <w:t xml:space="preserve">and the </w:t>
      </w:r>
      <w:r w:rsidR="00C440B7" w:rsidRPr="00011E8F">
        <w:rPr>
          <w:rFonts w:ascii="Book Antiqua" w:hAnsi="Book Antiqua"/>
          <w:color w:val="000000" w:themeColor="text1"/>
          <w:sz w:val="24"/>
          <w:szCs w:val="24"/>
          <w:lang w:val="en-NZ"/>
        </w:rPr>
        <w:t>comprehensive complication index</w:t>
      </w:r>
      <w:r w:rsidRPr="00011E8F">
        <w:rPr>
          <w:rFonts w:ascii="Book Antiqua" w:hAnsi="Book Antiqua"/>
          <w:color w:val="000000" w:themeColor="text1"/>
          <w:sz w:val="24"/>
          <w:szCs w:val="24"/>
          <w:lang w:val="en-NZ"/>
        </w:rPr>
        <w:t>, discusses the perspectives from which economic evaluations are performed and the minimum postoperative follow-up established, and makes various recommendations. The availability of accurate and impartially audited data on PC will help reduce their incidence and bring down costs. Patients, the health authorities, and society as a whole are sure to benefit.</w:t>
      </w:r>
    </w:p>
    <w:p w14:paraId="2AE5EB2B" w14:textId="77777777" w:rsidR="00C440B7" w:rsidRPr="00011E8F" w:rsidRDefault="00C440B7" w:rsidP="00FC61F7">
      <w:pPr>
        <w:snapToGrid w:val="0"/>
        <w:spacing w:after="0" w:line="360" w:lineRule="auto"/>
        <w:jc w:val="both"/>
        <w:rPr>
          <w:rFonts w:ascii="Book Antiqua" w:hAnsi="Book Antiqua"/>
          <w:color w:val="000000" w:themeColor="text1"/>
          <w:sz w:val="24"/>
          <w:szCs w:val="24"/>
          <w:lang w:val="en-NZ"/>
        </w:rPr>
      </w:pPr>
    </w:p>
    <w:p w14:paraId="558D7E8D" w14:textId="0DC46273" w:rsidR="00204911" w:rsidRPr="00011E8F" w:rsidRDefault="00011E8F" w:rsidP="00FC61F7">
      <w:pPr>
        <w:snapToGrid w:val="0"/>
        <w:spacing w:after="0" w:line="360" w:lineRule="auto"/>
        <w:jc w:val="both"/>
        <w:rPr>
          <w:rFonts w:ascii="Book Antiqua" w:hAnsi="Book Antiqua"/>
          <w:color w:val="000000" w:themeColor="text1"/>
          <w:sz w:val="24"/>
          <w:szCs w:val="24"/>
          <w:lang w:val="en-NZ"/>
        </w:rPr>
      </w:pPr>
      <w:bookmarkStart w:id="7" w:name="_Hlk13494727"/>
      <w:r w:rsidRPr="00011E8F">
        <w:rPr>
          <w:rFonts w:ascii="Book Antiqua" w:hAnsi="Book Antiqua" w:cs="Arial"/>
          <w:b/>
          <w:bCs/>
          <w:color w:val="000000" w:themeColor="text1"/>
          <w:sz w:val="24"/>
          <w:szCs w:val="24"/>
        </w:rPr>
        <w:t>Key words:</w:t>
      </w:r>
      <w:bookmarkEnd w:id="7"/>
      <w:r w:rsidRPr="00011E8F">
        <w:rPr>
          <w:rFonts w:ascii="Book Antiqua" w:hAnsi="Book Antiqua" w:cs="Arial"/>
          <w:bCs/>
          <w:color w:val="000000" w:themeColor="text1"/>
          <w:sz w:val="24"/>
          <w:szCs w:val="24"/>
          <w:lang w:eastAsia="zh-CN"/>
        </w:rPr>
        <w:t xml:space="preserve"> </w:t>
      </w:r>
      <w:r w:rsidR="0056798F" w:rsidRPr="00011E8F">
        <w:rPr>
          <w:rFonts w:ascii="Book Antiqua" w:hAnsi="Book Antiqua"/>
          <w:color w:val="000000" w:themeColor="text1"/>
          <w:sz w:val="24"/>
          <w:szCs w:val="24"/>
          <w:lang w:val="en-NZ"/>
        </w:rPr>
        <w:t xml:space="preserve">Morbidity; Postoperative complications; Costs and </w:t>
      </w:r>
      <w:r w:rsidR="00C440B7" w:rsidRPr="00011E8F">
        <w:rPr>
          <w:rFonts w:ascii="Book Antiqua" w:hAnsi="Book Antiqua"/>
          <w:color w:val="000000" w:themeColor="text1"/>
          <w:sz w:val="24"/>
          <w:szCs w:val="24"/>
          <w:lang w:val="en-NZ"/>
        </w:rPr>
        <w:t>cost analysis</w:t>
      </w:r>
      <w:r w:rsidR="0056798F" w:rsidRPr="00011E8F">
        <w:rPr>
          <w:rFonts w:ascii="Book Antiqua" w:hAnsi="Book Antiqua"/>
          <w:color w:val="000000" w:themeColor="text1"/>
          <w:sz w:val="24"/>
          <w:szCs w:val="24"/>
          <w:lang w:val="en-NZ"/>
        </w:rPr>
        <w:t xml:space="preserve">; Economic evaluation; Healthcare costs; Opportunity </w:t>
      </w:r>
      <w:r w:rsidR="00C440B7" w:rsidRPr="00011E8F">
        <w:rPr>
          <w:rFonts w:ascii="Book Antiqua" w:hAnsi="Book Antiqua"/>
          <w:color w:val="000000" w:themeColor="text1"/>
          <w:sz w:val="24"/>
          <w:szCs w:val="24"/>
          <w:lang w:val="en-NZ"/>
        </w:rPr>
        <w:t>cost</w:t>
      </w:r>
      <w:r w:rsidR="0056798F" w:rsidRPr="00011E8F">
        <w:rPr>
          <w:rFonts w:ascii="Book Antiqua" w:hAnsi="Book Antiqua"/>
          <w:color w:val="000000" w:themeColor="text1"/>
          <w:sz w:val="24"/>
          <w:szCs w:val="24"/>
          <w:lang w:val="en-NZ"/>
        </w:rPr>
        <w:t xml:space="preserve">; </w:t>
      </w:r>
      <w:proofErr w:type="spellStart"/>
      <w:r w:rsidR="0056798F" w:rsidRPr="00011E8F">
        <w:rPr>
          <w:rFonts w:ascii="Book Antiqua" w:hAnsi="Book Antiqua"/>
          <w:color w:val="000000" w:themeColor="text1"/>
          <w:sz w:val="24"/>
          <w:szCs w:val="24"/>
          <w:lang w:val="en-NZ"/>
        </w:rPr>
        <w:t>Clavien</w:t>
      </w:r>
      <w:r w:rsidR="00C440B7" w:rsidRPr="00011E8F">
        <w:rPr>
          <w:rFonts w:ascii="Book Antiqua" w:hAnsi="Book Antiqua"/>
          <w:color w:val="000000" w:themeColor="text1"/>
          <w:sz w:val="24"/>
          <w:szCs w:val="24"/>
          <w:lang w:val="en-NZ"/>
        </w:rPr>
        <w:t>-</w:t>
      </w:r>
      <w:r w:rsidR="0056798F" w:rsidRPr="00011E8F">
        <w:rPr>
          <w:rFonts w:ascii="Book Antiqua" w:hAnsi="Book Antiqua"/>
          <w:color w:val="000000" w:themeColor="text1"/>
          <w:sz w:val="24"/>
          <w:szCs w:val="24"/>
          <w:lang w:val="en-NZ"/>
        </w:rPr>
        <w:t>Dindo</w:t>
      </w:r>
      <w:proofErr w:type="spellEnd"/>
      <w:r w:rsidR="0056798F" w:rsidRPr="00011E8F">
        <w:rPr>
          <w:rFonts w:ascii="Book Antiqua" w:hAnsi="Book Antiqua"/>
          <w:color w:val="000000" w:themeColor="text1"/>
          <w:sz w:val="24"/>
          <w:szCs w:val="24"/>
          <w:lang w:val="en-NZ"/>
        </w:rPr>
        <w:t xml:space="preserve"> </w:t>
      </w:r>
      <w:r w:rsidR="00C440B7" w:rsidRPr="00011E8F">
        <w:rPr>
          <w:rFonts w:ascii="Book Antiqua" w:hAnsi="Book Antiqua"/>
          <w:color w:val="000000" w:themeColor="text1"/>
          <w:sz w:val="24"/>
          <w:szCs w:val="24"/>
          <w:lang w:val="en-NZ"/>
        </w:rPr>
        <w:t>classification</w:t>
      </w:r>
      <w:r w:rsidR="0056798F" w:rsidRPr="00011E8F">
        <w:rPr>
          <w:rFonts w:ascii="Book Antiqua" w:hAnsi="Book Antiqua"/>
          <w:color w:val="000000" w:themeColor="text1"/>
          <w:sz w:val="24"/>
          <w:szCs w:val="24"/>
          <w:lang w:val="en-NZ"/>
        </w:rPr>
        <w:t xml:space="preserve">; Comprehensive </w:t>
      </w:r>
      <w:r w:rsidR="00C440B7" w:rsidRPr="00011E8F">
        <w:rPr>
          <w:rFonts w:ascii="Book Antiqua" w:hAnsi="Book Antiqua"/>
          <w:color w:val="000000" w:themeColor="text1"/>
          <w:sz w:val="24"/>
          <w:szCs w:val="24"/>
          <w:lang w:val="en-NZ"/>
        </w:rPr>
        <w:t>complication index</w:t>
      </w:r>
    </w:p>
    <w:p w14:paraId="2C9F4B82" w14:textId="77777777" w:rsidR="00C440B7" w:rsidRPr="00011E8F" w:rsidRDefault="00C440B7" w:rsidP="00FC61F7">
      <w:pPr>
        <w:snapToGrid w:val="0"/>
        <w:spacing w:after="0" w:line="360" w:lineRule="auto"/>
        <w:jc w:val="both"/>
        <w:rPr>
          <w:rFonts w:ascii="Book Antiqua" w:hAnsi="Book Antiqua"/>
          <w:color w:val="000000" w:themeColor="text1"/>
          <w:sz w:val="24"/>
          <w:szCs w:val="24"/>
          <w:lang w:val="en-NZ"/>
        </w:rPr>
      </w:pPr>
    </w:p>
    <w:p w14:paraId="3B33E633" w14:textId="021593AF" w:rsidR="00011E8F" w:rsidRPr="00011E8F" w:rsidRDefault="00011E8F" w:rsidP="00011E8F">
      <w:pPr>
        <w:adjustRightInd w:val="0"/>
        <w:snapToGrid w:val="0"/>
        <w:spacing w:line="360" w:lineRule="auto"/>
        <w:rPr>
          <w:rFonts w:ascii="Book Antiqua" w:hAnsi="Book Antiqua"/>
          <w:b/>
          <w:color w:val="000000" w:themeColor="text1"/>
          <w:sz w:val="24"/>
          <w:szCs w:val="24"/>
        </w:rPr>
      </w:pPr>
      <w:r w:rsidRPr="00011E8F">
        <w:rPr>
          <w:rFonts w:ascii="Book Antiqua" w:hAnsi="Book Antiqua"/>
          <w:bCs/>
          <w:color w:val="000000" w:themeColor="text1"/>
          <w:sz w:val="24"/>
          <w:szCs w:val="24"/>
        </w:rPr>
        <w:t xml:space="preserve">De la Plaza Llamas R, Ramia JM. </w:t>
      </w:r>
      <w:r w:rsidRPr="00011E8F">
        <w:rPr>
          <w:rFonts w:ascii="Book Antiqua" w:hAnsi="Book Antiqua"/>
          <w:bCs/>
          <w:color w:val="000000" w:themeColor="text1"/>
          <w:sz w:val="24"/>
          <w:szCs w:val="24"/>
          <w:lang w:val="en-NZ"/>
        </w:rPr>
        <w:t xml:space="preserve">Cost of postoperative complications: How to avoid calculation errors. </w:t>
      </w:r>
      <w:r w:rsidRPr="00011E8F">
        <w:rPr>
          <w:rFonts w:ascii="Book Antiqua" w:hAnsi="Book Antiqua"/>
          <w:bCs/>
          <w:i/>
          <w:iCs/>
          <w:color w:val="000000" w:themeColor="text1"/>
          <w:sz w:val="24"/>
          <w:szCs w:val="24"/>
        </w:rPr>
        <w:t xml:space="preserve">World J Gastroenterol </w:t>
      </w:r>
      <w:r w:rsidRPr="00011E8F">
        <w:rPr>
          <w:rFonts w:ascii="Book Antiqua" w:hAnsi="Book Antiqua"/>
          <w:bCs/>
          <w:color w:val="000000" w:themeColor="text1"/>
          <w:sz w:val="24"/>
          <w:szCs w:val="24"/>
        </w:rPr>
        <w:t>2020; In press</w:t>
      </w:r>
    </w:p>
    <w:p w14:paraId="6D2A1EE5" w14:textId="77777777" w:rsidR="00011E8F" w:rsidRPr="00011E8F" w:rsidRDefault="00011E8F" w:rsidP="00011E8F">
      <w:pPr>
        <w:spacing w:after="0" w:line="360" w:lineRule="auto"/>
        <w:jc w:val="both"/>
        <w:rPr>
          <w:rFonts w:ascii="Book Antiqua" w:eastAsia="Arial Unicode MS" w:hAnsi="Book Antiqua" w:cs="Arial Unicode MS"/>
          <w:b/>
          <w:color w:val="000000" w:themeColor="text1"/>
          <w:sz w:val="24"/>
          <w:szCs w:val="24"/>
          <w:lang w:eastAsia="zh-CN"/>
        </w:rPr>
      </w:pPr>
    </w:p>
    <w:p w14:paraId="788B9837" w14:textId="03F02C4F" w:rsidR="001A1965" w:rsidRPr="00011E8F" w:rsidRDefault="00011E8F" w:rsidP="00011E8F">
      <w:pPr>
        <w:snapToGrid w:val="0"/>
        <w:spacing w:after="0" w:line="360" w:lineRule="auto"/>
        <w:jc w:val="both"/>
        <w:rPr>
          <w:rFonts w:ascii="Book Antiqua" w:hAnsi="Book Antiqua"/>
          <w:color w:val="000000" w:themeColor="text1"/>
          <w:sz w:val="24"/>
          <w:szCs w:val="24"/>
          <w:lang w:val="en-NZ"/>
        </w:rPr>
      </w:pPr>
      <w:r w:rsidRPr="00011E8F">
        <w:rPr>
          <w:rFonts w:ascii="Book Antiqua" w:eastAsia="Arial Unicode MS" w:hAnsi="Book Antiqua" w:cs="Arial Unicode MS"/>
          <w:b/>
          <w:color w:val="000000" w:themeColor="text1"/>
          <w:sz w:val="24"/>
          <w:szCs w:val="24"/>
        </w:rPr>
        <w:t>Core tip</w:t>
      </w:r>
      <w:r w:rsidRPr="00011E8F">
        <w:rPr>
          <w:rFonts w:ascii="Book Antiqua" w:eastAsia="Arial Unicode MS" w:hAnsi="Book Antiqua" w:cs="Arial Unicode MS"/>
          <w:b/>
          <w:color w:val="000000" w:themeColor="text1"/>
          <w:sz w:val="24"/>
          <w:szCs w:val="24"/>
          <w:lang w:eastAsia="zh-CN"/>
        </w:rPr>
        <w:t>:</w:t>
      </w:r>
      <w:r w:rsidRPr="00011E8F">
        <w:rPr>
          <w:rFonts w:ascii="Book Antiqua" w:eastAsia="Arial Unicode MS" w:hAnsi="Book Antiqua" w:cs="Arial Unicode MS"/>
          <w:b/>
          <w:color w:val="000000" w:themeColor="text1"/>
          <w:sz w:val="24"/>
          <w:szCs w:val="24"/>
        </w:rPr>
        <w:t xml:space="preserve"> </w:t>
      </w:r>
      <w:r w:rsidR="0056798F" w:rsidRPr="00011E8F">
        <w:rPr>
          <w:rFonts w:ascii="Book Antiqua" w:hAnsi="Book Antiqua"/>
          <w:color w:val="000000" w:themeColor="text1"/>
          <w:sz w:val="24"/>
          <w:szCs w:val="24"/>
          <w:lang w:val="en-NZ"/>
        </w:rPr>
        <w:t xml:space="preserve">No surgery service in the world registers and/or audits the postoperative complications (PC) of all the surgical procedures it performs. Most economic studies of PC are of poor quality; without an accurate registration of PC, their costs cannot be reliably determined. The article describes ways of quantifying and classifying PC, discusses the perspectives from which their economic evaluation and monitoring can be approached, and makes recommendations. An accurate assessment of PC and their </w:t>
      </w:r>
      <w:r w:rsidR="0056798F" w:rsidRPr="00011E8F">
        <w:rPr>
          <w:rFonts w:ascii="Book Antiqua" w:hAnsi="Book Antiqua"/>
          <w:color w:val="000000" w:themeColor="text1"/>
          <w:sz w:val="24"/>
          <w:szCs w:val="24"/>
          <w:lang w:val="en-NZ"/>
        </w:rPr>
        <w:lastRenderedPageBreak/>
        <w:t>costs will allow us to determine which areas need investment in order to lower the incidence of PC, improve surgical results, and reduce economic costs</w:t>
      </w:r>
      <w:r w:rsidR="001A1965" w:rsidRPr="00011E8F">
        <w:rPr>
          <w:rFonts w:ascii="Book Antiqua" w:hAnsi="Book Antiqua"/>
          <w:color w:val="000000" w:themeColor="text1"/>
          <w:sz w:val="24"/>
          <w:szCs w:val="24"/>
          <w:lang w:val="en-NZ"/>
        </w:rPr>
        <w:t>.</w:t>
      </w:r>
    </w:p>
    <w:p w14:paraId="31EF2792" w14:textId="77777777" w:rsidR="001A1965" w:rsidRPr="00011E8F" w:rsidRDefault="001A1965" w:rsidP="00FC61F7">
      <w:pPr>
        <w:snapToGrid w:val="0"/>
        <w:spacing w:after="0" w:line="360" w:lineRule="auto"/>
        <w:jc w:val="both"/>
        <w:rPr>
          <w:rFonts w:ascii="Book Antiqua" w:hAnsi="Book Antiqua"/>
          <w:color w:val="000000" w:themeColor="text1"/>
          <w:sz w:val="24"/>
          <w:szCs w:val="24"/>
          <w:lang w:val="en-NZ"/>
        </w:rPr>
      </w:pPr>
      <w:r w:rsidRPr="00011E8F">
        <w:rPr>
          <w:rFonts w:ascii="Book Antiqua" w:hAnsi="Book Antiqua"/>
          <w:color w:val="000000" w:themeColor="text1"/>
          <w:sz w:val="24"/>
          <w:szCs w:val="24"/>
          <w:lang w:val="en-NZ"/>
        </w:rPr>
        <w:br w:type="page"/>
      </w:r>
    </w:p>
    <w:p w14:paraId="1F24BC74" w14:textId="77777777" w:rsidR="001917A0" w:rsidRPr="00011E8F" w:rsidRDefault="001917A0" w:rsidP="00FC61F7">
      <w:pPr>
        <w:snapToGrid w:val="0"/>
        <w:spacing w:after="0" w:line="360" w:lineRule="auto"/>
        <w:ind w:right="565"/>
        <w:jc w:val="both"/>
        <w:rPr>
          <w:rFonts w:ascii="Book Antiqua" w:hAnsi="Book Antiqua"/>
          <w:b/>
          <w:color w:val="000000" w:themeColor="text1"/>
          <w:sz w:val="24"/>
          <w:szCs w:val="24"/>
          <w:u w:val="single"/>
          <w:lang w:val="en-US"/>
        </w:rPr>
      </w:pPr>
      <w:r w:rsidRPr="00011E8F">
        <w:rPr>
          <w:rFonts w:ascii="Book Antiqua" w:hAnsi="Book Antiqua"/>
          <w:b/>
          <w:color w:val="000000" w:themeColor="text1"/>
          <w:sz w:val="24"/>
          <w:szCs w:val="24"/>
          <w:u w:val="single"/>
          <w:lang w:val="en-US"/>
        </w:rPr>
        <w:lastRenderedPageBreak/>
        <w:t>INTRODUCTION</w:t>
      </w:r>
    </w:p>
    <w:p w14:paraId="5F5E6224" w14:textId="5FC94CCD" w:rsidR="001917A0" w:rsidRPr="00011E8F" w:rsidRDefault="001917A0" w:rsidP="00FC61F7">
      <w:pPr>
        <w:snapToGrid w:val="0"/>
        <w:spacing w:after="0" w:line="360" w:lineRule="auto"/>
        <w:ind w:right="565"/>
        <w:jc w:val="both"/>
        <w:rPr>
          <w:rFonts w:ascii="Book Antiqua" w:hAnsi="Book Antiqua"/>
          <w:color w:val="000000" w:themeColor="text1"/>
          <w:sz w:val="24"/>
          <w:szCs w:val="24"/>
          <w:lang w:val="en-US"/>
        </w:rPr>
      </w:pPr>
      <w:r w:rsidRPr="00011E8F">
        <w:rPr>
          <w:rFonts w:ascii="Book Antiqua" w:hAnsi="Book Antiqua"/>
          <w:color w:val="000000" w:themeColor="text1"/>
          <w:sz w:val="24"/>
          <w:szCs w:val="24"/>
          <w:lang w:val="en-US"/>
        </w:rPr>
        <w:t xml:space="preserve">Expenditure on health as a proportion of gross domestic product in OECD countries in 2017 ranged from 17.2% in the </w:t>
      </w:r>
      <w:r w:rsidR="00C440B7" w:rsidRPr="00011E8F">
        <w:rPr>
          <w:rFonts w:ascii="Book Antiqua" w:hAnsi="Book Antiqua"/>
          <w:color w:val="000000" w:themeColor="text1"/>
          <w:sz w:val="24"/>
          <w:szCs w:val="24"/>
          <w:lang w:val="en-US"/>
        </w:rPr>
        <w:t>United States</w:t>
      </w:r>
      <w:r w:rsidRPr="00011E8F">
        <w:rPr>
          <w:rFonts w:ascii="Book Antiqua" w:hAnsi="Book Antiqua"/>
          <w:color w:val="000000" w:themeColor="text1"/>
          <w:sz w:val="24"/>
          <w:szCs w:val="24"/>
          <w:lang w:val="en-US"/>
        </w:rPr>
        <w:t xml:space="preserve"> to 4.2% in Turkey</w:t>
      </w:r>
      <w:r w:rsidRPr="00011E8F">
        <w:rPr>
          <w:rFonts w:ascii="Book Antiqua" w:hAnsi="Book Antiqua"/>
          <w:color w:val="000000" w:themeColor="text1"/>
          <w:sz w:val="24"/>
          <w:szCs w:val="24"/>
        </w:rPr>
        <w:fldChar w:fldCharType="begin" w:fldLock="1"/>
      </w:r>
      <w:r w:rsidR="00394178" w:rsidRPr="00011E8F">
        <w:rPr>
          <w:rFonts w:ascii="Book Antiqua" w:hAnsi="Book Antiqua"/>
          <w:color w:val="000000" w:themeColor="text1"/>
          <w:sz w:val="24"/>
          <w:szCs w:val="24"/>
          <w:lang w:val="en-US"/>
        </w:rPr>
        <w:instrText>ADDIN CSL_CITATION {"citationItems":[{"id":"ITEM-1","itemData":{"id":"ITEM-1","issued":{"date-parts":[["0"]]},"title":"Health expenditure as a percentage of GDP by country 2017 | Statista","type":"webpage"},"uris":["http://www.mendeley.com/documents/?uuid=d6980a00-9743-32cb-861b-81c6726b2fae","http://www.mendeley.com/documents/?uuid=bb688f96-10db-48fb-ab9d-6f37ee57d99e"]}],"mendeley":{"formattedCitation":"&lt;sup&gt;[1]&lt;/sup&gt;","plainTextFormattedCitation":"[1]","previouslyFormattedCitation":"&lt;sup&gt;[1]&lt;/sup&gt;"},"properties":{"noteIndex":0},"schema":"https://github.com/citation-style-language/schema/raw/master/csl-citation.json"}</w:instrText>
      </w:r>
      <w:r w:rsidRPr="00011E8F">
        <w:rPr>
          <w:rFonts w:ascii="Book Antiqua" w:hAnsi="Book Antiqua"/>
          <w:color w:val="000000" w:themeColor="text1"/>
          <w:sz w:val="24"/>
          <w:szCs w:val="24"/>
        </w:rPr>
        <w:fldChar w:fldCharType="separate"/>
      </w:r>
      <w:r w:rsidRPr="00011E8F">
        <w:rPr>
          <w:rFonts w:ascii="Book Antiqua" w:hAnsi="Book Antiqua"/>
          <w:noProof/>
          <w:color w:val="000000" w:themeColor="text1"/>
          <w:sz w:val="24"/>
          <w:szCs w:val="24"/>
          <w:vertAlign w:val="superscript"/>
          <w:lang w:val="en-US"/>
        </w:rPr>
        <w:t>[1]</w:t>
      </w:r>
      <w:r w:rsidRPr="00011E8F">
        <w:rPr>
          <w:rFonts w:ascii="Book Antiqua" w:hAnsi="Book Antiqua"/>
          <w:color w:val="000000" w:themeColor="text1"/>
          <w:sz w:val="24"/>
          <w:szCs w:val="24"/>
        </w:rPr>
        <w:fldChar w:fldCharType="end"/>
      </w:r>
      <w:r w:rsidRPr="00011E8F">
        <w:rPr>
          <w:rFonts w:ascii="Book Antiqua" w:hAnsi="Book Antiqua"/>
          <w:color w:val="000000" w:themeColor="text1"/>
          <w:sz w:val="24"/>
          <w:szCs w:val="24"/>
          <w:lang w:val="en-US"/>
        </w:rPr>
        <w:t>. Because of the rising economic costs (EC) deriving from the growing use of expensive technology and population aging, and the need to invest in other basic health areas or global issues such as combating the effects of climate change, expenditure on health must achieve maximum efficiency,</w:t>
      </w:r>
      <w:r w:rsidRPr="00011E8F">
        <w:rPr>
          <w:rFonts w:ascii="Book Antiqua" w:hAnsi="Book Antiqua"/>
          <w:color w:val="000000" w:themeColor="text1"/>
          <w:sz w:val="24"/>
          <w:szCs w:val="24"/>
          <w:lang w:val="en-NZ"/>
        </w:rPr>
        <w:t xml:space="preserve"> </w:t>
      </w:r>
      <w:r w:rsidRPr="00011E8F">
        <w:rPr>
          <w:rFonts w:ascii="Book Antiqua" w:hAnsi="Book Antiqua"/>
          <w:color w:val="000000" w:themeColor="text1"/>
          <w:sz w:val="24"/>
          <w:szCs w:val="24"/>
          <w:lang w:val="en-US"/>
        </w:rPr>
        <w:t>incorporating other health benefits and improving the quality of all.</w:t>
      </w:r>
    </w:p>
    <w:p w14:paraId="42E7DB2A" w14:textId="520D7876" w:rsidR="001917A0" w:rsidRPr="00011E8F" w:rsidRDefault="001917A0" w:rsidP="00FC61F7">
      <w:pPr>
        <w:snapToGrid w:val="0"/>
        <w:spacing w:after="0" w:line="360" w:lineRule="auto"/>
        <w:ind w:right="565" w:firstLineChars="100" w:firstLine="240"/>
        <w:jc w:val="both"/>
        <w:rPr>
          <w:rFonts w:ascii="Book Antiqua" w:hAnsi="Book Antiqua"/>
          <w:color w:val="000000" w:themeColor="text1"/>
          <w:sz w:val="24"/>
          <w:szCs w:val="24"/>
          <w:lang w:val="en-US"/>
        </w:rPr>
      </w:pPr>
      <w:r w:rsidRPr="00011E8F">
        <w:rPr>
          <w:rFonts w:ascii="Book Antiqua" w:hAnsi="Book Antiqua"/>
          <w:color w:val="000000" w:themeColor="text1"/>
          <w:sz w:val="24"/>
          <w:szCs w:val="24"/>
          <w:lang w:val="en-US"/>
        </w:rPr>
        <w:t>Postoperative complications (PC) are a basic health outcome. Their presence has a negative effect on patients’ quality of life in the short and/or long term and increases the consumption of human, technical and economic resources. An accurate appraisal of the effects of PC would allow us to determine which specific areas are need of investment in order to reduce their incidence, improve surgical results, raise patients’ quality of life, and bring down EC.</w:t>
      </w:r>
    </w:p>
    <w:p w14:paraId="69D31E62" w14:textId="77777777" w:rsidR="00C440B7" w:rsidRPr="00011E8F" w:rsidRDefault="00C440B7" w:rsidP="00FC61F7">
      <w:pPr>
        <w:snapToGrid w:val="0"/>
        <w:spacing w:after="0" w:line="360" w:lineRule="auto"/>
        <w:ind w:right="565" w:firstLineChars="100" w:firstLine="240"/>
        <w:jc w:val="both"/>
        <w:rPr>
          <w:rFonts w:ascii="Book Antiqua" w:hAnsi="Book Antiqua"/>
          <w:color w:val="000000" w:themeColor="text1"/>
          <w:sz w:val="24"/>
          <w:szCs w:val="24"/>
          <w:lang w:val="en-US"/>
        </w:rPr>
      </w:pPr>
    </w:p>
    <w:p w14:paraId="53CFBD2A" w14:textId="77777777" w:rsidR="001917A0" w:rsidRPr="00011E8F" w:rsidRDefault="001917A0" w:rsidP="00FC61F7">
      <w:pPr>
        <w:snapToGrid w:val="0"/>
        <w:spacing w:after="0" w:line="360" w:lineRule="auto"/>
        <w:ind w:right="565"/>
        <w:jc w:val="both"/>
        <w:rPr>
          <w:rFonts w:ascii="Book Antiqua" w:hAnsi="Book Antiqua"/>
          <w:b/>
          <w:color w:val="000000" w:themeColor="text1"/>
          <w:sz w:val="24"/>
          <w:szCs w:val="24"/>
          <w:u w:val="single"/>
          <w:lang w:val="en-US"/>
        </w:rPr>
      </w:pPr>
      <w:r w:rsidRPr="00011E8F">
        <w:rPr>
          <w:rFonts w:ascii="Book Antiqua" w:hAnsi="Book Antiqua"/>
          <w:b/>
          <w:color w:val="000000" w:themeColor="text1"/>
          <w:sz w:val="24"/>
          <w:szCs w:val="24"/>
          <w:u w:val="single"/>
          <w:lang w:val="en-US"/>
        </w:rPr>
        <w:t>CURRENT SITUATION</w:t>
      </w:r>
    </w:p>
    <w:p w14:paraId="6398C51B" w14:textId="6341756F" w:rsidR="001917A0" w:rsidRPr="00011E8F" w:rsidRDefault="001917A0" w:rsidP="00FC61F7">
      <w:pPr>
        <w:snapToGrid w:val="0"/>
        <w:spacing w:after="0" w:line="360" w:lineRule="auto"/>
        <w:ind w:right="565"/>
        <w:jc w:val="both"/>
        <w:rPr>
          <w:rFonts w:ascii="Book Antiqua" w:hAnsi="Book Antiqua"/>
          <w:color w:val="000000" w:themeColor="text1"/>
          <w:sz w:val="24"/>
          <w:szCs w:val="24"/>
          <w:lang w:val="en-US"/>
        </w:rPr>
      </w:pPr>
      <w:r w:rsidRPr="00011E8F">
        <w:rPr>
          <w:rFonts w:ascii="Book Antiqua" w:hAnsi="Book Antiqua"/>
          <w:color w:val="000000" w:themeColor="text1"/>
          <w:sz w:val="24"/>
          <w:szCs w:val="24"/>
          <w:lang w:val="en-US"/>
        </w:rPr>
        <w:t>At present no surgery service anywhere in the world systematically records all the morbidity associated with the surgical procedures it performs</w:t>
      </w:r>
      <w:r w:rsidRPr="00011E8F">
        <w:rPr>
          <w:rFonts w:ascii="Book Antiqua" w:hAnsi="Book Antiqua"/>
          <w:color w:val="000000" w:themeColor="text1"/>
          <w:sz w:val="24"/>
          <w:szCs w:val="24"/>
        </w:rPr>
        <w:fldChar w:fldCharType="begin" w:fldLock="1"/>
      </w:r>
      <w:r w:rsidR="00394178" w:rsidRPr="00011E8F">
        <w:rPr>
          <w:rFonts w:ascii="Book Antiqua" w:hAnsi="Book Antiqua"/>
          <w:color w:val="000000" w:themeColor="text1"/>
          <w:sz w:val="24"/>
          <w:szCs w:val="24"/>
          <w:lang w:val="en-US"/>
        </w:rPr>
        <w:instrText>ADDIN CSL_CITATION {"citationItems":[{"id":"ITEM-1","itemData":{"DOI":"10.3748/wjg.v25.i23.2833","ISSN":"2219-2840","PMID":"31249442","abstract":"Postoperative complications represent a basic quality indicator for measuring outcomes at surgical units. At present, however, they are not systematically measured in all surgical procedures. A more accurate assessment of their impact could help to evaluate the real morbidity associated with different surgical interventions, establish measures for improvement, increase efficiency and identify benchmarking services. The Clavien-Dindo Classification is the most widely used system worldwide for assessing postoperative complications. However, the postoperative period is summarized by the most serious complication without taking into account others of lesser magnitude. Recently, two new scoring systems have emerged, the Comprehensive Complication Index and the Complication Severity Score, which include all postoperative complications and quantify them from 0 (no complications) to 100 (patient's death), These allow the comparison of results. It is important to train surgical staff to report and classify complications and to record 90-d morbidity rates in all patients. Comparisons with other services must take into account patient comorbidities and the complexity of the particular surgical procedure. To avoid subjectivity and bias, external audits are necessary. In addition, ensuring transparency in the reporting of the results is an urgent obligation.","author":[{"dropping-particle":"","family":"la Plaza Llamas","given":"Roberto","non-dropping-particle":"De","parse-names":false,"suffix":""},{"dropping-particle":"","family":"Ramia","given":"José M.","non-dropping-particle":"","parse-names":false,"suffix":""}],"container-title":"World journal of gastroenterology","id":"ITEM-1","issue":"23","issued":{"date-parts":[["2019","6"]]},"page":"2833-2838","title":"Postoperative complications in gastrointestinal surgery: A \"hidden\" basic quality indicator.","type":"article-journal","volume":"25"},"uris":["http://www.mendeley.com/documents/?uuid=4cd44ca6-ce5a-4f63-a6ef-970337da28f9","http://www.mendeley.com/documents/?uuid=5e97b60c-cf52-41fd-babd-e13ffe8816cf"]}],"mendeley":{"formattedCitation":"&lt;sup&gt;[2]&lt;/sup&gt;","plainTextFormattedCitation":"[2]","previouslyFormattedCitation":"&lt;sup&gt;[2]&lt;/sup&gt;"},"properties":{"noteIndex":0},"schema":"https://github.com/citation-style-language/schema/raw/master/csl-citation.json"}</w:instrText>
      </w:r>
      <w:r w:rsidRPr="00011E8F">
        <w:rPr>
          <w:rFonts w:ascii="Book Antiqua" w:hAnsi="Book Antiqua"/>
          <w:color w:val="000000" w:themeColor="text1"/>
          <w:sz w:val="24"/>
          <w:szCs w:val="24"/>
        </w:rPr>
        <w:fldChar w:fldCharType="separate"/>
      </w:r>
      <w:r w:rsidRPr="00011E8F">
        <w:rPr>
          <w:rFonts w:ascii="Book Antiqua" w:hAnsi="Book Antiqua"/>
          <w:noProof/>
          <w:color w:val="000000" w:themeColor="text1"/>
          <w:sz w:val="24"/>
          <w:szCs w:val="24"/>
          <w:vertAlign w:val="superscript"/>
          <w:lang w:val="en-US"/>
        </w:rPr>
        <w:t>[2]</w:t>
      </w:r>
      <w:r w:rsidRPr="00011E8F">
        <w:rPr>
          <w:rFonts w:ascii="Book Antiqua" w:hAnsi="Book Antiqua"/>
          <w:color w:val="000000" w:themeColor="text1"/>
          <w:sz w:val="24"/>
          <w:szCs w:val="24"/>
        </w:rPr>
        <w:fldChar w:fldCharType="end"/>
      </w:r>
      <w:r w:rsidRPr="00011E8F">
        <w:rPr>
          <w:rFonts w:ascii="Book Antiqua" w:hAnsi="Book Antiqua"/>
          <w:color w:val="000000" w:themeColor="text1"/>
          <w:sz w:val="24"/>
          <w:szCs w:val="24"/>
          <w:lang w:val="en-US"/>
        </w:rPr>
        <w:t xml:space="preserve"> or submits records of this kind to objective and impartial audit</w:t>
      </w:r>
      <w:r w:rsidRPr="00011E8F">
        <w:rPr>
          <w:rFonts w:ascii="Book Antiqua" w:hAnsi="Book Antiqua"/>
          <w:color w:val="000000" w:themeColor="text1"/>
          <w:sz w:val="24"/>
          <w:szCs w:val="24"/>
        </w:rPr>
        <w:fldChar w:fldCharType="begin" w:fldLock="1"/>
      </w:r>
      <w:r w:rsidR="00394178" w:rsidRPr="00011E8F">
        <w:rPr>
          <w:rFonts w:ascii="Book Antiqua" w:hAnsi="Book Antiqua"/>
          <w:color w:val="000000" w:themeColor="text1"/>
          <w:sz w:val="24"/>
          <w:szCs w:val="24"/>
          <w:lang w:val="en-US"/>
        </w:rPr>
        <w:instrText>ADDIN CSL_CITATION {"citationItems":[{"id":"ITEM-1","itemData":{"DOI":"10.1016/j.ciresp.2019.06.007","ISSN":"1578-147X","PMID":"31362837","author":[{"dropping-particle":"","family":"la Plaza Llamas","given":"Roberto","non-dropping-particle":"de","parse-names":false,"suffix":""},{"dropping-particle":"","family":"García Gil","given":"José Manuel","non-dropping-particle":"","parse-names":false,"suffix":""},{"dropping-particle":"","family":"Ramia Ángel","given":"José Manuel","non-dropping-particle":"","parse-names":false,"suffix":""}],"container-title":"Cirugia espanola","id":"ITEM-1","issue":"10","issued":{"date-parts":[["2019","12"]]},"page":"609-611","title":"Standardizing the treatment of esophagogastric junction tumors: Centralization, registries and surgical training.","type":"article-journal","volume":"97"},"uris":["http://www.mendeley.com/documents/?uuid=1975719d-035f-486b-857e-e91747810e55","http://www.mendeley.com/documents/?uuid=967de3ea-247d-4761-a30e-cc4f31ed1241"]}],"mendeley":{"formattedCitation":"&lt;sup&gt;[3]&lt;/sup&gt;","plainTextFormattedCitation":"[3]","previouslyFormattedCitation":"&lt;sup&gt;[3]&lt;/sup&gt;"},"properties":{"noteIndex":0},"schema":"https://github.com/citation-style-language/schema/raw/master/csl-citation.json"}</w:instrText>
      </w:r>
      <w:r w:rsidRPr="00011E8F">
        <w:rPr>
          <w:rFonts w:ascii="Book Antiqua" w:hAnsi="Book Antiqua"/>
          <w:color w:val="000000" w:themeColor="text1"/>
          <w:sz w:val="24"/>
          <w:szCs w:val="24"/>
        </w:rPr>
        <w:fldChar w:fldCharType="separate"/>
      </w:r>
      <w:r w:rsidRPr="00011E8F">
        <w:rPr>
          <w:rFonts w:ascii="Book Antiqua" w:hAnsi="Book Antiqua"/>
          <w:noProof/>
          <w:color w:val="000000" w:themeColor="text1"/>
          <w:sz w:val="24"/>
          <w:szCs w:val="24"/>
          <w:vertAlign w:val="superscript"/>
          <w:lang w:val="en-US"/>
        </w:rPr>
        <w:t>[3]</w:t>
      </w:r>
      <w:r w:rsidRPr="00011E8F">
        <w:rPr>
          <w:rFonts w:ascii="Book Antiqua" w:hAnsi="Book Antiqua"/>
          <w:color w:val="000000" w:themeColor="text1"/>
          <w:sz w:val="24"/>
          <w:szCs w:val="24"/>
        </w:rPr>
        <w:fldChar w:fldCharType="end"/>
      </w:r>
      <w:r w:rsidRPr="00011E8F">
        <w:rPr>
          <w:rFonts w:ascii="Book Antiqua" w:hAnsi="Book Antiqua"/>
          <w:color w:val="000000" w:themeColor="text1"/>
          <w:sz w:val="24"/>
          <w:szCs w:val="24"/>
          <w:lang w:val="en-US"/>
        </w:rPr>
        <w:t xml:space="preserve">. What is more, the analyses of the </w:t>
      </w:r>
      <w:r w:rsidR="00C440B7" w:rsidRPr="00011E8F">
        <w:rPr>
          <w:rFonts w:ascii="Book Antiqua" w:hAnsi="Book Antiqua"/>
          <w:color w:val="000000" w:themeColor="text1"/>
          <w:sz w:val="24"/>
          <w:szCs w:val="24"/>
          <w:lang w:val="en-US"/>
        </w:rPr>
        <w:t>EC</w:t>
      </w:r>
      <w:r w:rsidRPr="00011E8F">
        <w:rPr>
          <w:rFonts w:ascii="Book Antiqua" w:hAnsi="Book Antiqua"/>
          <w:color w:val="000000" w:themeColor="text1"/>
          <w:sz w:val="24"/>
          <w:szCs w:val="24"/>
          <w:lang w:val="en-US"/>
        </w:rPr>
        <w:t xml:space="preserve"> of PC lack consistency and transparency in terms of the presentation of reports on costs and resource use</w:t>
      </w:r>
      <w:r w:rsidRPr="00011E8F">
        <w:rPr>
          <w:rFonts w:ascii="Book Antiqua" w:hAnsi="Book Antiqua"/>
          <w:color w:val="000000" w:themeColor="text1"/>
          <w:sz w:val="24"/>
          <w:szCs w:val="24"/>
        </w:rPr>
        <w:fldChar w:fldCharType="begin" w:fldLock="1"/>
      </w:r>
      <w:r w:rsidR="00394178" w:rsidRPr="00011E8F">
        <w:rPr>
          <w:rFonts w:ascii="Book Antiqua" w:hAnsi="Book Antiqua"/>
          <w:color w:val="000000" w:themeColor="text1"/>
          <w:sz w:val="24"/>
          <w:szCs w:val="24"/>
          <w:lang w:val="en-US"/>
        </w:rPr>
        <w:instrText>ADDIN CSL_CITATION {"citationItems":[{"id":"ITEM-1","itemData":{"DOI":"10.1007/s40258-013-0060-y","ISBN":"1179-1896 (Electronic)","ISSN":"1179-1896","PMID":"24166193","abstract":"OBJECTIVES On the basis of a systematic review, we aimed to establish the cost and drivers of cost and/or resource use of intra- and perioperative complications occurring as a result of selected major surgical procedures, as well as to understand the relationship between costs and severity of complication and, consequently, the economic burden they represent. We also assessed the clinical and economic methodologies used to derive costs and resource use across the studies with a view to providing guidance on reporting standards for these studies. METHODS We searched EMBASE, MEDLINE and Econlit (from 2002 to 2012) for study publications including resource use/cost data relating to surgical complications. RESULTS We identified 38 relevant studies on pancreatic (n = 14), urologic (n = 4), gynaecological (n = 6), thoracic (n = 13) and hepatic surgery (n = 1). All studies showed that complications lead to higher resource use and hospital costs compared with surgical procedures without complications. Costs depend on type of complication and complication severity, and are driven primarily by prolonged hospitalisation. There was considerable heterogeneity between studies with regard to patient populations, outcomes and procedures, as well as a lack of consistency and transparency of reporting of costs/resource use. Complication severity grading systems were used infrequently. CONCLUSIONS The overall conclusions of included studies are consistent: complications represent an important economic burden for health care providers. We conclude that more accurate and consistent data collection is required to serve as input for good-quality economic analyses, which in turn can inform hospital decisions on cost-efficient allocation of their limited resources.","author":[{"dropping-particle":"","family":"Patel","given":"Ajay S.","non-dropping-particle":"","parse-names":false,"suffix":""},{"dropping-particle":"","family":"Bergman","given":"Annika","non-dropping-particle":"","parse-names":false,"suffix":""},{"dropping-particle":"","family":"Moore","given":"Brigitte W.","non-dropping-particle":"","parse-names":false,"suffix":""},{"dropping-particle":"","family":"Haglund","given":"Ulf","non-dropping-particle":"","parse-names":false,"suffix":""}],"container-title":"Applied health economics and health policy","id":"ITEM-1","issue":"6","issued":{"date-parts":[["2013","12"]]},"page":"577-92","title":"The economic burden of complications occurring in major surgical procedures: a systematic review.","type":"article-journal","volume":"11"},"uris":["http://www.mendeley.com/documents/?uuid=b6a4f160-d618-41c9-846b-98774803e5bb","http://www.mendeley.com/documents/?uuid=534db7fd-7b6f-4c06-bc22-da93d14829f8"]}],"mendeley":{"formattedCitation":"&lt;sup&gt;[4]&lt;/sup&gt;","plainTextFormattedCitation":"[4]","previouslyFormattedCitation":"&lt;sup&gt;[4]&lt;/sup&gt;"},"properties":{"noteIndex":0},"schema":"https://github.com/citation-style-language/schema/raw/master/csl-citation.json"}</w:instrText>
      </w:r>
      <w:r w:rsidRPr="00011E8F">
        <w:rPr>
          <w:rFonts w:ascii="Book Antiqua" w:hAnsi="Book Antiqua"/>
          <w:color w:val="000000" w:themeColor="text1"/>
          <w:sz w:val="24"/>
          <w:szCs w:val="24"/>
        </w:rPr>
        <w:fldChar w:fldCharType="separate"/>
      </w:r>
      <w:r w:rsidRPr="00011E8F">
        <w:rPr>
          <w:rFonts w:ascii="Book Antiqua" w:hAnsi="Book Antiqua"/>
          <w:noProof/>
          <w:color w:val="000000" w:themeColor="text1"/>
          <w:sz w:val="24"/>
          <w:szCs w:val="24"/>
          <w:vertAlign w:val="superscript"/>
          <w:lang w:val="en-NZ"/>
        </w:rPr>
        <w:t>[4]</w:t>
      </w:r>
      <w:r w:rsidRPr="00011E8F">
        <w:rPr>
          <w:rFonts w:ascii="Book Antiqua" w:hAnsi="Book Antiqua"/>
          <w:color w:val="000000" w:themeColor="text1"/>
          <w:sz w:val="24"/>
          <w:szCs w:val="24"/>
        </w:rPr>
        <w:fldChar w:fldCharType="end"/>
      </w:r>
      <w:r w:rsidRPr="00011E8F">
        <w:rPr>
          <w:rFonts w:ascii="Book Antiqua" w:hAnsi="Book Antiqua"/>
          <w:color w:val="000000" w:themeColor="text1"/>
          <w:sz w:val="24"/>
          <w:szCs w:val="24"/>
          <w:lang w:val="en-US"/>
        </w:rPr>
        <w:t>. Without a complete and impartial registry of PC, the associated EC cannot be determined.</w:t>
      </w:r>
    </w:p>
    <w:p w14:paraId="76CE7645" w14:textId="6287352C" w:rsidR="001917A0" w:rsidRPr="00011E8F" w:rsidRDefault="001917A0" w:rsidP="00FC61F7">
      <w:pPr>
        <w:snapToGrid w:val="0"/>
        <w:spacing w:after="0" w:line="360" w:lineRule="auto"/>
        <w:ind w:right="565" w:firstLineChars="100" w:firstLine="240"/>
        <w:jc w:val="both"/>
        <w:rPr>
          <w:rFonts w:ascii="Book Antiqua" w:hAnsi="Book Antiqua"/>
          <w:color w:val="000000" w:themeColor="text1"/>
          <w:sz w:val="24"/>
          <w:szCs w:val="24"/>
          <w:lang w:val="en-US"/>
        </w:rPr>
      </w:pPr>
      <w:r w:rsidRPr="00011E8F">
        <w:rPr>
          <w:rFonts w:ascii="Book Antiqua" w:hAnsi="Book Antiqua"/>
          <w:color w:val="000000" w:themeColor="text1"/>
          <w:sz w:val="24"/>
          <w:szCs w:val="24"/>
          <w:lang w:val="en-US"/>
        </w:rPr>
        <w:t>A prospective study by our group evaluating the PC of all surgical procedures at a surgery service found a morbidity rate of 27.7%. Depending on the complexity of the surgery, the PC ranged from 10.7% to 71.4%. In addition, among patients with complications, 51.5% presented two events or more</w:t>
      </w:r>
      <w:r w:rsidRPr="00011E8F">
        <w:rPr>
          <w:rFonts w:ascii="Book Antiqua" w:hAnsi="Book Antiqua"/>
          <w:color w:val="000000" w:themeColor="text1"/>
          <w:sz w:val="24"/>
          <w:szCs w:val="24"/>
        </w:rPr>
        <w:fldChar w:fldCharType="begin" w:fldLock="1"/>
      </w:r>
      <w:r w:rsidR="00394178" w:rsidRPr="00011E8F">
        <w:rPr>
          <w:rFonts w:ascii="Book Antiqua" w:hAnsi="Book Antiqua"/>
          <w:color w:val="000000" w:themeColor="text1"/>
          <w:sz w:val="24"/>
          <w:szCs w:val="24"/>
          <w:lang w:val="en-US"/>
        </w:rPr>
        <w:instrText>ADDIN CSL_CITATION {"citationItems":[{"id":"ITEM-1","itemData":{"DOI":"10.1097/SLA.0000000000002839","ISSN":"1528-1140","PMID":"30303875","abstract":"OBJECTIVE Using clinical outcomes, to validate the comprehensive complication index (CCI) as a measure of postoperative morbidity in all patients undergoing surgery at a general surgery department. BACKGROUND The Clavien-Dindo classification (CDC) is the most widely used system to assess postoperative morbidity. The CCI is a numerical scale based on the CDC. Once validated, it could be used universally to establish and compare the real postoperative complications of each surgical procedure. METHODS Observational prospective cohort study. All patients who underwent surgery during the 1-year study period were included. All the complications graded with the CDC and related to the initial admission, or until discharge if the patient was readmitted within 90 days of surgery, were included. Surgical procedures were classified according to the operative severity score (OSS) as minor, moderate, major, or major+. The clinical validation of the CCI was performed by assessing its correlation with 4 different clinical outcomes. RESULTS A total of 1850 patients were included: 513 (27.7%) presented complications and 101 (5.46%) were readmitted. In the multivariate analysis, the CCI and CDC were associated with postoperative stay, prolongation of postoperative stay, readmission, and disability in all OSS groups (P &lt; 0.001). The CCI was superior to the CDC in all models except for prolongation of stay for OSS moderate and major+. CONCLUSIONS The CCI can be applied in all the procedures carried out at general surgery departments. It is able to determine the morbidity and allows the comparison of the outcomes at different services.","author":[{"dropping-particle":"","family":"la Plaza Llamas","given":"Roberto","non-dropping-particle":"de","parse-names":false,"suffix":""},{"dropping-particle":"","family":"Ramia Ángel","given":"José Manuel","non-dropping-particle":"","parse-names":false,"suffix":""},{"dropping-particle":"","family":"Bellón","given":"Juan M","non-dropping-particle":"","parse-names":false,"suffix":""},{"dropping-particle":"","family":"Arteaga Peralta","given":"Vladimir","non-dropping-particle":"","parse-names":false,"suffix":""},{"dropping-particle":"","family":"García Amador","given":"Cristina","non-dropping-particle":"","parse-names":false,"suffix":""},{"dropping-particle":"","family":"López Marcano","given":"Aylhín Joana","non-dropping-particle":"","parse-names":false,"suffix":""},{"dropping-particle":"","family":"Medina Velasco","given":"Aníbal Armando","non-dropping-particle":"","parse-names":false,"suffix":""},{"dropping-particle":"","family":"González Sierra","given":"Begoña","non-dropping-particle":"","parse-names":false,"suffix":""},{"dropping-particle":"","family":"Manuel Vázquez","given":"Alba","non-dropping-particle":"","parse-names":false,"suffix":""}],"container-title":"Annals of surgery","id":"ITEM-1","issue":"5","issued":{"date-parts":[["2018","11"]]},"page":"838-844","title":"Clinical Validation of the Comprehensive Complication Index as a Measure of Postoperative Morbidity at a Surgical Department: A Prospective Study.","type":"article-journal","volume":"268"},"uris":["http://www.mendeley.com/documents/?uuid=af7334d4-f730-41ef-813b-9a708dd320a5"]}],"mendeley":{"formattedCitation":"&lt;sup&gt;[5]&lt;/sup&gt;","plainTextFormattedCitation":"[5]","previouslyFormattedCitation":"&lt;sup&gt;[5]&lt;/sup&gt;"},"properties":{"noteIndex":0},"schema":"https://github.com/citation-style-language/schema/raw/master/csl-citation.json"}</w:instrText>
      </w:r>
      <w:r w:rsidRPr="00011E8F">
        <w:rPr>
          <w:rFonts w:ascii="Book Antiqua" w:hAnsi="Book Antiqua"/>
          <w:color w:val="000000" w:themeColor="text1"/>
          <w:sz w:val="24"/>
          <w:szCs w:val="24"/>
        </w:rPr>
        <w:fldChar w:fldCharType="separate"/>
      </w:r>
      <w:r w:rsidRPr="00011E8F">
        <w:rPr>
          <w:rFonts w:ascii="Book Antiqua" w:hAnsi="Book Antiqua"/>
          <w:noProof/>
          <w:color w:val="000000" w:themeColor="text1"/>
          <w:sz w:val="24"/>
          <w:szCs w:val="24"/>
          <w:vertAlign w:val="superscript"/>
          <w:lang w:val="en-US"/>
        </w:rPr>
        <w:t>[5]</w:t>
      </w:r>
      <w:r w:rsidRPr="00011E8F">
        <w:rPr>
          <w:rFonts w:ascii="Book Antiqua" w:hAnsi="Book Antiqua"/>
          <w:color w:val="000000" w:themeColor="text1"/>
          <w:sz w:val="24"/>
          <w:szCs w:val="24"/>
        </w:rPr>
        <w:fldChar w:fldCharType="end"/>
      </w:r>
      <w:r w:rsidRPr="00011E8F">
        <w:rPr>
          <w:rFonts w:ascii="Book Antiqua" w:hAnsi="Book Antiqua"/>
          <w:color w:val="000000" w:themeColor="text1"/>
          <w:sz w:val="24"/>
          <w:szCs w:val="24"/>
          <w:lang w:val="en-US"/>
        </w:rPr>
        <w:t>.</w:t>
      </w:r>
    </w:p>
    <w:p w14:paraId="699C309F" w14:textId="63CB90D9" w:rsidR="001917A0" w:rsidRPr="00011E8F" w:rsidRDefault="001917A0" w:rsidP="00FC61F7">
      <w:pPr>
        <w:snapToGrid w:val="0"/>
        <w:spacing w:after="0" w:line="360" w:lineRule="auto"/>
        <w:ind w:right="565" w:firstLineChars="100" w:firstLine="240"/>
        <w:jc w:val="both"/>
        <w:rPr>
          <w:rFonts w:ascii="Book Antiqua" w:hAnsi="Book Antiqua"/>
          <w:color w:val="000000" w:themeColor="text1"/>
          <w:sz w:val="24"/>
          <w:szCs w:val="24"/>
          <w:lang w:val="en-US"/>
        </w:rPr>
      </w:pPr>
      <w:r w:rsidRPr="00011E8F">
        <w:rPr>
          <w:rFonts w:ascii="Book Antiqua" w:hAnsi="Book Antiqua"/>
          <w:color w:val="000000" w:themeColor="text1"/>
          <w:sz w:val="24"/>
          <w:szCs w:val="24"/>
          <w:lang w:val="en-US"/>
        </w:rPr>
        <w:t xml:space="preserve">Even patient death has a negative economic effect. One cost analysis of 1200 patients undergoing major surgery showed that hospital costs incurred by a death were significantly higher than the costs of </w:t>
      </w:r>
      <w:proofErr w:type="spellStart"/>
      <w:r w:rsidRPr="00011E8F">
        <w:rPr>
          <w:rFonts w:ascii="Book Antiqua" w:hAnsi="Book Antiqua"/>
          <w:color w:val="000000" w:themeColor="text1"/>
          <w:sz w:val="24"/>
          <w:szCs w:val="24"/>
          <w:lang w:val="en-US"/>
        </w:rPr>
        <w:t>Clavien</w:t>
      </w:r>
      <w:r w:rsidR="00C440B7" w:rsidRPr="00011E8F">
        <w:rPr>
          <w:rFonts w:ascii="Book Antiqua" w:hAnsi="Book Antiqua"/>
          <w:color w:val="000000" w:themeColor="text1"/>
          <w:sz w:val="24"/>
          <w:szCs w:val="24"/>
          <w:lang w:val="en-US"/>
        </w:rPr>
        <w:t>-</w:t>
      </w:r>
      <w:r w:rsidRPr="00011E8F">
        <w:rPr>
          <w:rFonts w:ascii="Book Antiqua" w:hAnsi="Book Antiqua"/>
          <w:color w:val="000000" w:themeColor="text1"/>
          <w:sz w:val="24"/>
          <w:szCs w:val="24"/>
          <w:lang w:val="en-US"/>
        </w:rPr>
        <w:t>Dindo</w:t>
      </w:r>
      <w:proofErr w:type="spellEnd"/>
      <w:r w:rsidRPr="00011E8F">
        <w:rPr>
          <w:rFonts w:ascii="Book Antiqua" w:hAnsi="Book Antiqua"/>
          <w:color w:val="000000" w:themeColor="text1"/>
          <w:sz w:val="24"/>
          <w:szCs w:val="24"/>
          <w:lang w:val="en-US"/>
        </w:rPr>
        <w:t xml:space="preserve"> classification (CDC) grade I to </w:t>
      </w:r>
      <w:proofErr w:type="spellStart"/>
      <w:r w:rsidRPr="00011E8F">
        <w:rPr>
          <w:rFonts w:ascii="Book Antiqua" w:hAnsi="Book Antiqua"/>
          <w:color w:val="000000" w:themeColor="text1"/>
          <w:sz w:val="24"/>
          <w:szCs w:val="24"/>
          <w:lang w:val="en-US"/>
        </w:rPr>
        <w:t>IIIb</w:t>
      </w:r>
      <w:proofErr w:type="spellEnd"/>
      <w:r w:rsidRPr="00011E8F">
        <w:rPr>
          <w:rFonts w:ascii="Book Antiqua" w:hAnsi="Book Antiqua"/>
          <w:color w:val="000000" w:themeColor="text1"/>
          <w:sz w:val="24"/>
          <w:szCs w:val="24"/>
          <w:lang w:val="en-US"/>
        </w:rPr>
        <w:t xml:space="preserve"> complications (although they were significantly lower than those associated with grade IV complications in all surgeries)</w:t>
      </w:r>
      <w:r w:rsidRPr="00011E8F">
        <w:rPr>
          <w:rFonts w:ascii="Book Antiqua" w:hAnsi="Book Antiqua"/>
          <w:color w:val="000000" w:themeColor="text1"/>
          <w:sz w:val="24"/>
          <w:szCs w:val="24"/>
          <w:lang w:val="en-NZ"/>
        </w:rPr>
        <w:fldChar w:fldCharType="begin" w:fldLock="1"/>
      </w:r>
      <w:r w:rsidR="00394178" w:rsidRPr="00011E8F">
        <w:rPr>
          <w:rFonts w:ascii="Book Antiqua" w:hAnsi="Book Antiqua"/>
          <w:color w:val="000000" w:themeColor="text1"/>
          <w:sz w:val="24"/>
          <w:szCs w:val="24"/>
          <w:lang w:val="en-US"/>
        </w:rPr>
        <w:instrText>ADDIN CSL_CITATION {"citationItems":[{"id":"ITEM-1","itemData":{"DOI":"10.1097/SLA.0b013e31821d4a43","ISBN":"1528-1140 (Electronic)\\r0003-4932 (Linking)","ISSN":"1528-1140","PMID":"21562405","abstract":"OBJECTIVE To assess the impact of postoperative complications on full in-hospital costs per case. BACKGROUND Rising expenses for complex medical procedures combined with constrained resources represent a major challenge. The severity of postoperative complications reflects surgical outcomes. The magnitude of the cost created by negative outcomes is unclear. PATIENTS AND METHODS Morbidity of 1200 consecutive patients undergoing major surgery from 2005 to 2008 in a tertiary, high-volume center was assessed by a validated, complication score system. Full in-hospital costs were collected for each patient. Statistical analysis was performed using a multivariate linear regression model adjusted for potential confounders. RESULTS This study population included 393 complex liver/bile duct surgeries, 110 major pancreas operations, 389 colon resections, and 308 Roux-en-Y gastric bypasses. The overall 30-day mortality rate was 1.8%, whereas morbidity was 53.8%. Patients with an uneventful course had mean costs per case of US$ 27,946 (SD US$ 15,106). Costs increased dramatically with the severity of postoperative complications and reached the mean costs of US$ 159,345 (SD US$ 151,191) for grade IV complications. This increase in costs, up to 5 times the cost of a similar operation without complications, was observed for all types of investigated procedures, although the magnitude of the increase varied, with the highest costs in patients undergoing pancreas surgery. CONCLUSION This study demonstrates the dramatic impact of postoperative complications on full in-hospital costs per case and that complications are the strongest indicator of costs. Furthermore, the study highlights a relevant savings capacity for major surgical procedures, and supports all efforts to lower negative events in the postoperative course.","author":[{"dropping-particle":"","family":"Vonlanthen","given":"René","non-dropping-particle":"","parse-names":false,"suffix":""},{"dropping-particle":"","family":"Slankamenac","given":"Ksenija","non-dropping-particle":"","parse-names":false,"suffix":""},{"dropping-particle":"","family":"Breitenstein","given":"Stefan","non-dropping-particle":"","parse-names":false,"suffix":""},{"dropping-particle":"","family":"Puhan","given":"Milo a.","non-dropping-particle":"","parse-names":false,"suffix":""},{"dropping-particle":"","family":"Muller","given":"Markus K.","non-dropping-particle":"","parse-names":false,"suffix":""},{"dropping-particle":"","family":"Hahnloser","given":"Dieter","non-dropping-particle":"","parse-names":false,"suffix":""},{"dropping-particle":"","family":"Hauri","given":"Dimitri","non-dropping-particle":"","parse-names":false,"suffix":""},{"dropping-particle":"","family":"Graf","given":"Rolf","non-dropping-particle":"","parse-names":false,"suffix":""},{"dropping-particle":"","family":"Clavien","given":"Pierre-Alain","non-dropping-particle":"","parse-names":false,"suffix":""}],"container-title":"Annals of surgery","id":"ITEM-1","issue":"6","issued":{"date-parts":[["2011","12"]]},"page":"907-13","title":"The impact of complications on costs of major surgical procedures: a cost analysis of 1200 patients.","type":"article-journal","volume":"254"},"uris":["http://www.mendeley.com/documents/?uuid=b9e5444d-b621-499a-8e78-e0675d58ca57"]}],"mendeley":{"formattedCitation":"&lt;sup&gt;[6]&lt;/sup&gt;","plainTextFormattedCitation":"[6]","previouslyFormattedCitation":"&lt;sup&gt;[6]&lt;/sup&gt;"},"properties":{"noteIndex":0},"schema":"https://github.com/citation-style-language/schema/raw/master/csl-citation.json"}</w:instrText>
      </w:r>
      <w:r w:rsidRPr="00011E8F">
        <w:rPr>
          <w:rFonts w:ascii="Book Antiqua" w:hAnsi="Book Antiqua"/>
          <w:color w:val="000000" w:themeColor="text1"/>
          <w:sz w:val="24"/>
          <w:szCs w:val="24"/>
          <w:lang w:val="en-NZ"/>
        </w:rPr>
        <w:fldChar w:fldCharType="separate"/>
      </w:r>
      <w:r w:rsidRPr="00011E8F">
        <w:rPr>
          <w:rFonts w:ascii="Book Antiqua" w:hAnsi="Book Antiqua"/>
          <w:noProof/>
          <w:color w:val="000000" w:themeColor="text1"/>
          <w:sz w:val="24"/>
          <w:szCs w:val="24"/>
          <w:vertAlign w:val="superscript"/>
          <w:lang w:val="en-NZ"/>
        </w:rPr>
        <w:t>[6]</w:t>
      </w:r>
      <w:r w:rsidRPr="00011E8F">
        <w:rPr>
          <w:rFonts w:ascii="Book Antiqua" w:hAnsi="Book Antiqua"/>
          <w:color w:val="000000" w:themeColor="text1"/>
          <w:sz w:val="24"/>
          <w:szCs w:val="24"/>
          <w:lang w:val="en-NZ"/>
        </w:rPr>
        <w:fldChar w:fldCharType="end"/>
      </w:r>
      <w:r w:rsidRPr="00011E8F">
        <w:rPr>
          <w:rFonts w:ascii="Book Antiqua" w:hAnsi="Book Antiqua"/>
          <w:color w:val="000000" w:themeColor="text1"/>
          <w:sz w:val="24"/>
          <w:szCs w:val="24"/>
          <w:lang w:val="en-NZ"/>
        </w:rPr>
        <w:t xml:space="preserve">. </w:t>
      </w:r>
      <w:r w:rsidRPr="00011E8F">
        <w:rPr>
          <w:rFonts w:ascii="Book Antiqua" w:hAnsi="Book Antiqua"/>
          <w:color w:val="000000" w:themeColor="text1"/>
          <w:sz w:val="24"/>
          <w:szCs w:val="24"/>
          <w:lang w:val="en-US"/>
        </w:rPr>
        <w:t xml:space="preserve">In pancreatic </w:t>
      </w:r>
      <w:r w:rsidRPr="00011E8F">
        <w:rPr>
          <w:rFonts w:ascii="Book Antiqua" w:hAnsi="Book Antiqua"/>
          <w:color w:val="000000" w:themeColor="text1"/>
          <w:sz w:val="24"/>
          <w:szCs w:val="24"/>
          <w:lang w:val="en-US"/>
        </w:rPr>
        <w:lastRenderedPageBreak/>
        <w:t xml:space="preserve">surgery the costs in patients rescued from PC were 64% lower than those incurred in patients who died due to the </w:t>
      </w:r>
      <w:proofErr w:type="gramStart"/>
      <w:r w:rsidRPr="00011E8F">
        <w:rPr>
          <w:rFonts w:ascii="Book Antiqua" w:hAnsi="Book Antiqua"/>
          <w:color w:val="000000" w:themeColor="text1"/>
          <w:sz w:val="24"/>
          <w:szCs w:val="24"/>
          <w:lang w:val="en-US"/>
        </w:rPr>
        <w:t>complication</w:t>
      </w:r>
      <w:r w:rsidRPr="00011E8F">
        <w:rPr>
          <w:rFonts w:ascii="Book Antiqua" w:hAnsi="Book Antiqua"/>
          <w:color w:val="000000" w:themeColor="text1"/>
          <w:sz w:val="24"/>
          <w:szCs w:val="24"/>
          <w:vertAlign w:val="superscript"/>
          <w:lang w:val="en-US"/>
        </w:rPr>
        <w:t>[</w:t>
      </w:r>
      <w:proofErr w:type="gramEnd"/>
      <w:r w:rsidRPr="00011E8F">
        <w:rPr>
          <w:rFonts w:ascii="Book Antiqua" w:hAnsi="Book Antiqua"/>
          <w:color w:val="000000" w:themeColor="text1"/>
          <w:sz w:val="24"/>
          <w:szCs w:val="24"/>
          <w:vertAlign w:val="superscript"/>
          <w:lang w:val="en-US"/>
        </w:rPr>
        <w:t>7]</w:t>
      </w:r>
      <w:r w:rsidRPr="00011E8F">
        <w:rPr>
          <w:rFonts w:ascii="Book Antiqua" w:hAnsi="Book Antiqua"/>
          <w:color w:val="000000" w:themeColor="text1"/>
          <w:sz w:val="24"/>
          <w:szCs w:val="24"/>
          <w:lang w:val="en-US"/>
        </w:rPr>
        <w:t>. In studies validating the association of scales with EC, deceased patients should not be included in the comparative statistical analysis due to possible distortions caused by non-survivor bias</w:t>
      </w:r>
      <w:r w:rsidRPr="00011E8F">
        <w:rPr>
          <w:rFonts w:ascii="Book Antiqua" w:hAnsi="Book Antiqua"/>
          <w:color w:val="000000" w:themeColor="text1"/>
          <w:sz w:val="24"/>
          <w:szCs w:val="24"/>
          <w:lang w:val="en-NZ"/>
        </w:rPr>
        <w:fldChar w:fldCharType="begin" w:fldLock="1"/>
      </w:r>
      <w:r w:rsidR="00394178" w:rsidRPr="00011E8F">
        <w:rPr>
          <w:rFonts w:ascii="Book Antiqua" w:hAnsi="Book Antiqua"/>
          <w:color w:val="000000" w:themeColor="text1"/>
          <w:sz w:val="24"/>
          <w:szCs w:val="24"/>
          <w:lang w:val="en-US"/>
        </w:rPr>
        <w:instrText>ADDIN CSL_CITATION {"citationItems":[{"id":"ITEM-1","itemData":{"DOI":"10.1097/SLA.0b013e31821d4a43","ISBN":"1528-1140 (Electronic)\\r0003-4932 (Linking)","ISSN":"1528-1140","PMID":"21562405","abstract":"OBJECTIVE To assess the impact of postoperative complications on full in-hospital costs per case. BACKGROUND Rising expenses for complex medical procedures combined with constrained resources represent a major challenge. The severity of postoperative complications reflects surgical outcomes. The magnitude of the cost created by negative outcomes is unclear. PATIENTS AND METHODS Morbidity of 1200 consecutive patients undergoing major surgery from 2005 to 2008 in a tertiary, high-volume center was assessed by a validated, complication score system. Full in-hospital costs were collected for each patient. Statistical analysis was performed using a multivariate linear regression model adjusted for potential confounders. RESULTS This study population included 393 complex liver/bile duct surgeries, 110 major pancreas operations, 389 colon resections, and 308 Roux-en-Y gastric bypasses. The overall 30-day mortality rate was 1.8%, whereas morbidity was 53.8%. Patients with an uneventful course had mean costs per case of US$ 27,946 (SD US$ 15,106). Costs increased dramatically with the severity of postoperative complications and reached the mean costs of US$ 159,345 (SD US$ 151,191) for grade IV complications. This increase in costs, up to 5 times the cost of a similar operation without complications, was observed for all types of investigated procedures, although the magnitude of the increase varied, with the highest costs in patients undergoing pancreas surgery. CONCLUSION This study demonstrates the dramatic impact of postoperative complications on full in-hospital costs per case and that complications are the strongest indicator of costs. Furthermore, the study highlights a relevant savings capacity for major surgical procedures, and supports all efforts to lower negative events in the postoperative course.","author":[{"dropping-particle":"","family":"Vonlanthen","given":"René","non-dropping-particle":"","parse-names":false,"suffix":""},{"dropping-particle":"","family":"Slankamenac","given":"Ksenija","non-dropping-particle":"","parse-names":false,"suffix":""},{"dropping-particle":"","family":"Breitenstein","given":"Stefan","non-dropping-particle":"","parse-names":false,"suffix":""},{"dropping-particle":"","family":"Puhan","given":"Milo a.","non-dropping-particle":"","parse-names":false,"suffix":""},{"dropping-particle":"","family":"Muller","given":"Markus K.","non-dropping-particle":"","parse-names":false,"suffix":""},{"dropping-particle":"","family":"Hahnloser","given":"Dieter","non-dropping-particle":"","parse-names":false,"suffix":""},{"dropping-particle":"","family":"Hauri","given":"Dimitri","non-dropping-particle":"","parse-names":false,"suffix":""},{"dropping-particle":"","family":"Graf","given":"Rolf","non-dropping-particle":"","parse-names":false,"suffix":""},{"dropping-particle":"","family":"Clavien","given":"Pierre-Alain","non-dropping-particle":"","parse-names":false,"suffix":""}],"container-title":"Annals of surgery","id":"ITEM-1","issue":"6","issued":{"date-parts":[["2011","12"]]},"page":"907-13","title":"The impact of complications on costs of major surgical procedures: a cost analysis of 1200 patients.","type":"article-journal","volume":"254"},"uris":["http://www.mendeley.com/documents/?uuid=b9e5444d-b621-499a-8e78-e0675d58ca57"]},{"id":"ITEM-2","itemData":{"DOI":"10.1097/SLA.0000000000002839","ISSN":"1528-1140","PMID":"30303875","abstract":"OBJECTIVE Using clinical outcomes, to validate the comprehensive complication index (CCI) as a measure of postoperative morbidity in all patients undergoing surgery at a general surgery department. BACKGROUND The Clavien-Dindo classification (CDC) is the most widely used system to assess postoperative morbidity. The CCI is a numerical scale based on the CDC. Once validated, it could be used universally to establish and compare the real postoperative complications of each surgical procedure. METHODS Observational prospective cohort study. All patients who underwent surgery during the 1-year study period were included. All the complications graded with the CDC and related to the initial admission, or until discharge if the patient was readmitted within 90 days of surgery, were included. Surgical procedures were classified according to the operative severity score (OSS) as minor, moderate, major, or major+. The clinical validation of the CCI was performed by assessing its correlation with 4 different clinical outcomes. RESULTS A total of 1850 patients were included: 513 (27.7%) presented complications and 101 (5.46%) were readmitted. In the multivariate analysis, the CCI and CDC were associated with postoperative stay, prolongation of postoperative stay, readmission, and disability in all OSS groups (P &lt; 0.001). The CCI was superior to the CDC in all models except for prolongation of stay for OSS moderate and major+. CONCLUSIONS The CCI can be applied in all the procedures carried out at general surgery departments. It is able to determine the morbidity and allows the comparison of the outcomes at different services.","author":[{"dropping-particle":"","family":"la Plaza Llamas","given":"Roberto","non-dropping-particle":"de","parse-names":false,"suffix":""},{"dropping-particle":"","family":"Ramia Ángel","given":"José Manuel","non-dropping-particle":"","parse-names":false,"suffix":""},{"dropping-particle":"","family":"Bellón","given":"Juan M","non-dropping-particle":"","parse-names":false,"suffix":""},{"dropping-particle":"","family":"Arteaga Peralta","given":"Vladimir","non-dropping-particle":"","parse-names":false,"suffix":""},{"dropping-particle":"","family":"García Amador","given":"Cristina","non-dropping-particle":"","parse-names":false,"suffix":""},{"dropping-particle":"","family":"López Marcano","given":"Aylhín Joana","non-dropping-particle":"","parse-names":false,"suffix":""},{"dropping-particle":"","family":"Medina Velasco","given":"Aníbal Armando","non-dropping-particle":"","parse-names":false,"suffix":""},{"dropping-particle":"","family":"González Sierra","given":"Begoña","non-dropping-particle":"","parse-names":false,"suffix":""},{"dropping-particle":"","family":"Manuel Vázquez","given":"Alba","non-dropping-particle":"","parse-names":false,"suffix":""}],"container-title":"Annals of surgery","id":"ITEM-2","issue":"5","issued":{"date-parts":[["2018","11"]]},"page":"838-844","title":"Clinical Validation of the Comprehensive Complication Index as a Measure of Postoperative Morbidity at a Surgical Department: A Prospective Study.","type":"article-journal","volume":"268"},"uris":["http://www.mendeley.com/documents/?uuid=af7334d4-f730-41ef-813b-9a708dd320a5"]}],"mendeley":{"formattedCitation":"&lt;sup&gt;[5,6]&lt;/sup&gt;","plainTextFormattedCitation":"[5,6]","previouslyFormattedCitation":"&lt;sup&gt;[5,6]&lt;/sup&gt;"},"properties":{"noteIndex":0},"schema":"https://github.com/citation-style-language/schema/raw/master/csl-citation.json"}</w:instrText>
      </w:r>
      <w:r w:rsidRPr="00011E8F">
        <w:rPr>
          <w:rFonts w:ascii="Book Antiqua" w:hAnsi="Book Antiqua"/>
          <w:color w:val="000000" w:themeColor="text1"/>
          <w:sz w:val="24"/>
          <w:szCs w:val="24"/>
          <w:lang w:val="en-NZ"/>
        </w:rPr>
        <w:fldChar w:fldCharType="separate"/>
      </w:r>
      <w:r w:rsidRPr="00011E8F">
        <w:rPr>
          <w:rFonts w:ascii="Book Antiqua" w:hAnsi="Book Antiqua"/>
          <w:noProof/>
          <w:color w:val="000000" w:themeColor="text1"/>
          <w:sz w:val="24"/>
          <w:szCs w:val="24"/>
          <w:vertAlign w:val="superscript"/>
          <w:lang w:val="en-NZ"/>
        </w:rPr>
        <w:t>[5,6]</w:t>
      </w:r>
      <w:r w:rsidRPr="00011E8F">
        <w:rPr>
          <w:rFonts w:ascii="Book Antiqua" w:hAnsi="Book Antiqua"/>
          <w:color w:val="000000" w:themeColor="text1"/>
          <w:sz w:val="24"/>
          <w:szCs w:val="24"/>
          <w:lang w:val="en-NZ"/>
        </w:rPr>
        <w:fldChar w:fldCharType="end"/>
      </w:r>
      <w:r w:rsidRPr="00011E8F">
        <w:rPr>
          <w:rFonts w:ascii="Book Antiqua" w:hAnsi="Book Antiqua"/>
          <w:color w:val="000000" w:themeColor="text1"/>
          <w:sz w:val="24"/>
          <w:szCs w:val="24"/>
          <w:lang w:val="en-NZ"/>
        </w:rPr>
        <w:t xml:space="preserve">. </w:t>
      </w:r>
      <w:r w:rsidRPr="00011E8F">
        <w:rPr>
          <w:rFonts w:ascii="Book Antiqua" w:hAnsi="Book Antiqua"/>
          <w:color w:val="000000" w:themeColor="text1"/>
          <w:sz w:val="24"/>
          <w:szCs w:val="24"/>
          <w:lang w:val="en-US"/>
        </w:rPr>
        <w:t>In addition to EC, the loss of patient productivity should be taken into account.</w:t>
      </w:r>
    </w:p>
    <w:p w14:paraId="280231D5" w14:textId="5505740D" w:rsidR="001917A0" w:rsidRPr="00011E8F" w:rsidRDefault="001917A0" w:rsidP="00FC61F7">
      <w:pPr>
        <w:snapToGrid w:val="0"/>
        <w:spacing w:after="0" w:line="360" w:lineRule="auto"/>
        <w:ind w:right="565" w:firstLineChars="100" w:firstLine="240"/>
        <w:jc w:val="both"/>
        <w:rPr>
          <w:rFonts w:ascii="Book Antiqua" w:hAnsi="Book Antiqua"/>
          <w:color w:val="000000" w:themeColor="text1"/>
          <w:sz w:val="24"/>
          <w:szCs w:val="24"/>
          <w:lang w:val="en-US"/>
        </w:rPr>
      </w:pPr>
      <w:r w:rsidRPr="00011E8F">
        <w:rPr>
          <w:rFonts w:ascii="Book Antiqua" w:hAnsi="Book Antiqua"/>
          <w:color w:val="000000" w:themeColor="text1"/>
          <w:sz w:val="24"/>
          <w:szCs w:val="24"/>
          <w:lang w:val="en-US"/>
        </w:rPr>
        <w:t>Obviously, PC must be monitored after discharge. For example, surgical site infections are a frequent PC</w:t>
      </w:r>
      <w:r w:rsidRPr="00011E8F">
        <w:rPr>
          <w:rFonts w:ascii="Book Antiqua" w:hAnsi="Book Antiqua"/>
          <w:color w:val="000000" w:themeColor="text1"/>
          <w:sz w:val="24"/>
          <w:szCs w:val="24"/>
          <w:lang w:val="en-NZ"/>
        </w:rPr>
        <w:fldChar w:fldCharType="begin" w:fldLock="1"/>
      </w:r>
      <w:r w:rsidR="00394178" w:rsidRPr="00011E8F">
        <w:rPr>
          <w:rFonts w:ascii="Book Antiqua" w:hAnsi="Book Antiqua"/>
          <w:color w:val="000000" w:themeColor="text1"/>
          <w:sz w:val="24"/>
          <w:szCs w:val="24"/>
          <w:lang w:val="en-US"/>
        </w:rPr>
        <w:instrText>ADDIN CSL_CITATION {"citationItems":[{"id":"ITEM-1","itemData":{"DOI":"10.1089/sur.2017.072","ISSN":"1557-8674","PMID":"28402728","abstract":"Despite decades of attention and advances in medical treatments, surgical site infections (SSI) remain a significant problem to our patients. Surprisingly, the reported incidence of SSI has not changed appreciably in the past five decades, although not surprisingly the timing to diagnosis (inpatient vs. outpatient) has changed. Although the patient consequences have not escaped our notice, until recently the costs associated with SSI have been difficult to ascertain. In this review, we discuss the relevant history of SSI monitoring, the incidence as well as the costs and consequences associated with this complication.","author":[{"dropping-particle":"","family":"Sullivan","given":"Elizabeth","non-dropping-particle":"","parse-names":false,"suffix":""},{"dropping-particle":"","family":"Gupta","given":"Alok","non-dropping-particle":"","parse-names":false,"suffix":""},{"dropping-particle":"","family":"Cook","given":"Charles H","non-dropping-particle":"","parse-names":false,"suffix":""}],"container-title":"Surgical infections","id":"ITEM-1","issue":"4","issued":{"date-parts":[["0"]]},"page":"451-454","title":"Cost and Consequences of Surgical Site Infections: A Call to Arms.","type":"article-journal","volume":"18"},"uris":["http://www.mendeley.com/documents/?uuid=59d7bb08-d975-4fd8-b91e-47ac28c9623f","http://www.mendeley.com/documents/?uuid=ace276c3-6cd0-49c3-a418-10c714518d89"]}],"mendeley":{"formattedCitation":"&lt;sup&gt;[7]&lt;/sup&gt;","plainTextFormattedCitation":"[7]","previouslyFormattedCitation":"&lt;sup&gt;[7]&lt;/sup&gt;"},"properties":{"noteIndex":0},"schema":"https://github.com/citation-style-language/schema/raw/master/csl-citation.json"}</w:instrText>
      </w:r>
      <w:r w:rsidRPr="00011E8F">
        <w:rPr>
          <w:rFonts w:ascii="Book Antiqua" w:hAnsi="Book Antiqua"/>
          <w:color w:val="000000" w:themeColor="text1"/>
          <w:sz w:val="24"/>
          <w:szCs w:val="24"/>
          <w:lang w:val="en-NZ"/>
        </w:rPr>
        <w:fldChar w:fldCharType="separate"/>
      </w:r>
      <w:r w:rsidR="00394178" w:rsidRPr="00011E8F">
        <w:rPr>
          <w:rFonts w:ascii="Book Antiqua" w:hAnsi="Book Antiqua"/>
          <w:noProof/>
          <w:color w:val="000000" w:themeColor="text1"/>
          <w:sz w:val="24"/>
          <w:szCs w:val="24"/>
          <w:vertAlign w:val="superscript"/>
          <w:lang w:val="en-US"/>
        </w:rPr>
        <w:t>[7]</w:t>
      </w:r>
      <w:r w:rsidRPr="00011E8F">
        <w:rPr>
          <w:rFonts w:ascii="Book Antiqua" w:hAnsi="Book Antiqua"/>
          <w:color w:val="000000" w:themeColor="text1"/>
          <w:sz w:val="24"/>
          <w:szCs w:val="24"/>
          <w:lang w:val="en-NZ"/>
        </w:rPr>
        <w:fldChar w:fldCharType="end"/>
      </w:r>
      <w:r w:rsidRPr="00011E8F">
        <w:rPr>
          <w:rFonts w:ascii="Book Antiqua" w:hAnsi="Book Antiqua"/>
          <w:color w:val="000000" w:themeColor="text1"/>
          <w:sz w:val="24"/>
          <w:szCs w:val="24"/>
          <w:lang w:val="en-NZ"/>
        </w:rPr>
        <w:t xml:space="preserve">; an </w:t>
      </w:r>
      <w:r w:rsidRPr="00011E8F">
        <w:rPr>
          <w:rFonts w:ascii="Book Antiqua" w:hAnsi="Book Antiqua"/>
          <w:color w:val="000000" w:themeColor="text1"/>
          <w:sz w:val="24"/>
          <w:szCs w:val="24"/>
          <w:lang w:val="en-US"/>
        </w:rPr>
        <w:t>incidence of 15% has been reported</w:t>
      </w:r>
      <w:r w:rsidRPr="00011E8F">
        <w:rPr>
          <w:rFonts w:ascii="Book Antiqua" w:hAnsi="Book Antiqua"/>
          <w:color w:val="000000" w:themeColor="text1"/>
          <w:sz w:val="24"/>
          <w:szCs w:val="24"/>
          <w:lang w:val="en-NZ"/>
        </w:rPr>
        <w:fldChar w:fldCharType="begin" w:fldLock="1"/>
      </w:r>
      <w:r w:rsidR="00394178" w:rsidRPr="00011E8F">
        <w:rPr>
          <w:rFonts w:ascii="Book Antiqua" w:hAnsi="Book Antiqua"/>
          <w:color w:val="000000" w:themeColor="text1"/>
          <w:sz w:val="24"/>
          <w:szCs w:val="24"/>
          <w:lang w:val="en-US"/>
        </w:rPr>
        <w:instrText>ADDIN CSL_CITATION {"citationItems":[{"id":"ITEM-1","itemData":{"DOI":"10.1086/501820","ISSN":"0899-823X","PMID":"11198018","abstract":"OBJECTIVE To study postoperative infections in hospital and after discharge, and to identify the risk factors for such infections. DESIGN Prospective cohort study, with telephone follow-up for 1 month after hospital discharge. SETTING The general surgery service of a tertiary hospital in Spain. MAIN OUTCOME MEASURE In-hospital and postdischarge surgical-site infection (SSI), always confirmed by a physician. RESULTS Of the 1,506 patients initially enrolled, 29 died during hospital stay, and 33 were lost to postdischarge follow-up. An SSI was identified prior to discharge in 123 patients and after discharge in 103. For several variables (age, serum albumin, glycemia, lengths of preoperative and postoperative hospital stay, etc), there were no differences between patients with postdischarge SSI and noninfected patients; however, there were differences detected between patients with postdischarge SSI and in-hospital SSI, as well as between patients with in-hospital SSI and noninfected patients. The analysis of risk factors showed that most predictors for in-hospital SSI did not behave in the same manner for postdischarge SSI. Stepwise logistic regression only identified chemoprophylaxis, age (advanced age was a preventive factor), and body mass index as independent risk factors for postdischarge SSI. Differences in risk factors between in-hospital and post-discharge SSIs remained even after controlling for time from operation to diagnosis. CONCLUSIONS Most predictors of in-hospital SSI were not predictors of postdischarge SSI.","author":[{"dropping-particle":"","family":"Delgado-Rodríguez","given":"M","non-dropping-particle":"","parse-names":false,"suffix":""},{"dropping-particle":"","family":"Gómez-Ortega","given":"A","non-dropping-particle":"","parse-names":false,"suffix":""},{"dropping-particle":"","family":"Sillero-Arenas","given":"M","non-dropping-particle":"","parse-names":false,"suffix":""},{"dropping-particle":"","family":"Llorca","given":"J","non-dropping-particle":"","parse-names":false,"suffix":""}],"container-title":"Infection control and hospital epidemiology","id":"ITEM-1","issue":"1","issued":{"date-parts":[["2001","1"]]},"page":"24-30","title":"Epidemiology of surgical-site infections diagnosed after hospital discharge: a prospective cohort study.","type":"article-journal","volume":"22"},"uris":["http://www.mendeley.com/documents/?uuid=e9386fcb-bee8-43bc-9267-9912ee0ce5b6","http://www.mendeley.com/documents/?uuid=bbacfba4-7c23-4f0a-bb25-20cd14ad1058"]},{"id":"ITEM-2","itemData":{"DOI":"10.1016/j.jhin.2010.01.029","ISSN":"1532-2939","PMID":"20435375","abstract":"In this population-based retrospective cohort study, we examined the frequency, severity, and prediction of post-discharge surgical site infections (SSIs). We evaluated all patients admitted for their first elective surgical procedure in Ontario, Canada, between 1 April 2002 and 31 March 2008. Procedure and patient characteristics were derived from linked hospital, emergency room and physician claims databases within Canada's universal healthcare system. The 30 day risk of SSI was derived from the initial hospital admission, outpatient consultations, return emergency room visits and readmissions. The cohort included 622 683 patients, of whom 84 081 (13.5%) were diagnosed with SSI, and more than half (48 725) were diagnosed post-discharge. Post-discharge infections were associated with an increased risk of reoperation (odds ratio: 2.28; 95% confidence interval: 2.11-2.48), return emergency room visit (9.08; 8.89-9.27), and readmission (6.16; 5.98-6.35). The most common risk index predicted incremental increases in the risk of in-hospital SSI, but did not predict increases in the risk of post-discharge infection. Patients with post-discharge infections had baseline characteristics more akin to uninfected patients than patients with in-hospital infections. Predictors of post-discharge infection included shorter procedure duration, shorter length of stay, rural residence, alcoholism, diabetes and obesity. Post-discharge SSIs are frequent, severe, scattered over time and location, and hard to predict using common risk indices. They represent an important hidden burden in our healthcare system.","author":[{"dropping-particle":"","family":"Daneman","given":"N","non-dropping-particle":"","parse-names":false,"suffix":""},{"dropping-particle":"","family":"Lu","given":"H","non-dropping-particle":"","parse-names":false,"suffix":""},{"dropping-particle":"","family":"Redelmeier","given":"D A","non-dropping-particle":"","parse-names":false,"suffix":""}],"container-title":"The Journal of hospital infection","id":"ITEM-2","issue":"3","issued":{"date-parts":[["2010","7"]]},"page":"188-94","title":"Discharge after discharge: predicting surgical site infections after patients leave hospital.","type":"article-journal","volume":"75"},"uris":["http://www.mendeley.com/documents/?uuid=ab87169e-5b87-408c-ad5f-3eca535ebc80"]}],"mendeley":{"formattedCitation":"&lt;sup&gt;[8,9]&lt;/sup&gt;","plainTextFormattedCitation":"[8,9]","previouslyFormattedCitation":"&lt;sup&gt;[8,9]&lt;/sup&gt;"},"properties":{"noteIndex":0},"schema":"https://github.com/citation-style-language/schema/raw/master/csl-citation.json"}</w:instrText>
      </w:r>
      <w:r w:rsidRPr="00011E8F">
        <w:rPr>
          <w:rFonts w:ascii="Book Antiqua" w:hAnsi="Book Antiqua"/>
          <w:color w:val="000000" w:themeColor="text1"/>
          <w:sz w:val="24"/>
          <w:szCs w:val="24"/>
          <w:lang w:val="en-NZ"/>
        </w:rPr>
        <w:fldChar w:fldCharType="separate"/>
      </w:r>
      <w:r w:rsidR="00394178" w:rsidRPr="00011E8F">
        <w:rPr>
          <w:rFonts w:ascii="Book Antiqua" w:hAnsi="Book Antiqua"/>
          <w:noProof/>
          <w:color w:val="000000" w:themeColor="text1"/>
          <w:sz w:val="24"/>
          <w:szCs w:val="24"/>
          <w:vertAlign w:val="superscript"/>
          <w:lang w:val="en-US"/>
        </w:rPr>
        <w:t>[8,9]</w:t>
      </w:r>
      <w:r w:rsidRPr="00011E8F">
        <w:rPr>
          <w:rFonts w:ascii="Book Antiqua" w:hAnsi="Book Antiqua"/>
          <w:color w:val="000000" w:themeColor="text1"/>
          <w:sz w:val="24"/>
          <w:szCs w:val="24"/>
          <w:lang w:val="en-NZ"/>
        </w:rPr>
        <w:fldChar w:fldCharType="end"/>
      </w:r>
      <w:r w:rsidRPr="00011E8F">
        <w:rPr>
          <w:rFonts w:ascii="Book Antiqua" w:hAnsi="Book Antiqua"/>
          <w:color w:val="000000" w:themeColor="text1"/>
          <w:sz w:val="24"/>
          <w:szCs w:val="24"/>
          <w:lang w:val="en-US"/>
        </w:rPr>
        <w:t xml:space="preserve"> and of these as many as 58% occur after hospital discharge</w:t>
      </w:r>
      <w:r w:rsidRPr="00011E8F">
        <w:rPr>
          <w:rFonts w:ascii="Book Antiqua" w:hAnsi="Book Antiqua"/>
          <w:color w:val="000000" w:themeColor="text1"/>
          <w:sz w:val="24"/>
          <w:szCs w:val="24"/>
          <w:lang w:val="en-NZ"/>
        </w:rPr>
        <w:fldChar w:fldCharType="begin" w:fldLock="1"/>
      </w:r>
      <w:r w:rsidR="00394178" w:rsidRPr="00011E8F">
        <w:rPr>
          <w:rFonts w:ascii="Book Antiqua" w:hAnsi="Book Antiqua"/>
          <w:color w:val="000000" w:themeColor="text1"/>
          <w:sz w:val="24"/>
          <w:szCs w:val="24"/>
          <w:lang w:val="en-US"/>
        </w:rPr>
        <w:instrText>ADDIN CSL_CITATION {"citationItems":[{"id":"ITEM-1","itemData":{"DOI":"10.1016/j.jhin.2010.01.029","ISSN":"1532-2939","PMID":"20435375","abstract":"In this population-based retrospective cohort study, we examined the frequency, severity, and prediction of post-discharge surgical site infections (SSIs). We evaluated all patients admitted for their first elective surgical procedure in Ontario, Canada, between 1 April 2002 and 31 March 2008. Procedure and patient characteristics were derived from linked hospital, emergency room and physician claims databases within Canada's universal healthcare system. The 30 day risk of SSI was derived from the initial hospital admission, outpatient consultations, return emergency room visits and readmissions. The cohort included 622 683 patients, of whom 84 081 (13.5%) were diagnosed with SSI, and more than half (48 725) were diagnosed post-discharge. Post-discharge infections were associated with an increased risk of reoperation (odds ratio: 2.28; 95% confidence interval: 2.11-2.48), return emergency room visit (9.08; 8.89-9.27), and readmission (6.16; 5.98-6.35). The most common risk index predicted incremental increases in the risk of in-hospital SSI, but did not predict increases in the risk of post-discharge infection. Patients with post-discharge infections had baseline characteristics more akin to uninfected patients than patients with in-hospital infections. Predictors of post-discharge infection included shorter procedure duration, shorter length of stay, rural residence, alcoholism, diabetes and obesity. Post-discharge SSIs are frequent, severe, scattered over time and location, and hard to predict using common risk indices. They represent an important hidden burden in our healthcare system.","author":[{"dropping-particle":"","family":"Daneman","given":"N","non-dropping-particle":"","parse-names":false,"suffix":""},{"dropping-particle":"","family":"Lu","given":"H","non-dropping-particle":"","parse-names":false,"suffix":""},{"dropping-particle":"","family":"Redelmeier","given":"D A","non-dropping-particle":"","parse-names":false,"suffix":""}],"container-title":"The Journal of hospital infection","id":"ITEM-1","issue":"3","issued":{"date-parts":[["2010","7"]]},"page":"188-94","title":"Discharge after discharge: predicting surgical site infections after patients leave hospital.","type":"article-journal","volume":"75"},"uris":["http://www.mendeley.com/documents/?uuid=ab87169e-5b87-408c-ad5f-3eca535ebc80"]}],"mendeley":{"formattedCitation":"&lt;sup&gt;[9]&lt;/sup&gt;","plainTextFormattedCitation":"[9]","previouslyFormattedCitation":"&lt;sup&gt;[9]&lt;/sup&gt;"},"properties":{"noteIndex":0},"schema":"https://github.com/citation-style-language/schema/raw/master/csl-citation.json"}</w:instrText>
      </w:r>
      <w:r w:rsidRPr="00011E8F">
        <w:rPr>
          <w:rFonts w:ascii="Book Antiqua" w:hAnsi="Book Antiqua"/>
          <w:color w:val="000000" w:themeColor="text1"/>
          <w:sz w:val="24"/>
          <w:szCs w:val="24"/>
          <w:lang w:val="en-NZ"/>
        </w:rPr>
        <w:fldChar w:fldCharType="separate"/>
      </w:r>
      <w:r w:rsidR="00394178" w:rsidRPr="00011E8F">
        <w:rPr>
          <w:rFonts w:ascii="Book Antiqua" w:hAnsi="Book Antiqua"/>
          <w:noProof/>
          <w:color w:val="000000" w:themeColor="text1"/>
          <w:sz w:val="24"/>
          <w:szCs w:val="24"/>
          <w:vertAlign w:val="superscript"/>
          <w:lang w:val="en-US"/>
        </w:rPr>
        <w:t>[9]</w:t>
      </w:r>
      <w:r w:rsidRPr="00011E8F">
        <w:rPr>
          <w:rFonts w:ascii="Book Antiqua" w:hAnsi="Book Antiqua"/>
          <w:color w:val="000000" w:themeColor="text1"/>
          <w:sz w:val="24"/>
          <w:szCs w:val="24"/>
          <w:lang w:val="en-NZ"/>
        </w:rPr>
        <w:fldChar w:fldCharType="end"/>
      </w:r>
      <w:r w:rsidRPr="00011E8F">
        <w:rPr>
          <w:rFonts w:ascii="Book Antiqua" w:hAnsi="Book Antiqua"/>
          <w:color w:val="000000" w:themeColor="text1"/>
          <w:sz w:val="24"/>
          <w:szCs w:val="24"/>
          <w:lang w:val="en-US"/>
        </w:rPr>
        <w:t>.</w:t>
      </w:r>
    </w:p>
    <w:p w14:paraId="773E8BB2" w14:textId="15BF89E1" w:rsidR="001917A0" w:rsidRPr="00011E8F" w:rsidRDefault="001917A0" w:rsidP="00FC61F7">
      <w:pPr>
        <w:snapToGrid w:val="0"/>
        <w:spacing w:after="0" w:line="360" w:lineRule="auto"/>
        <w:ind w:right="565" w:firstLineChars="100" w:firstLine="240"/>
        <w:jc w:val="both"/>
        <w:rPr>
          <w:rFonts w:ascii="Book Antiqua" w:hAnsi="Book Antiqua"/>
          <w:color w:val="000000" w:themeColor="text1"/>
          <w:sz w:val="24"/>
          <w:szCs w:val="24"/>
          <w:lang w:val="en-US"/>
        </w:rPr>
      </w:pPr>
      <w:r w:rsidRPr="00011E8F">
        <w:rPr>
          <w:rFonts w:ascii="Book Antiqua" w:hAnsi="Book Antiqua"/>
          <w:color w:val="000000" w:themeColor="text1"/>
          <w:sz w:val="24"/>
          <w:szCs w:val="24"/>
          <w:lang w:val="en-US"/>
        </w:rPr>
        <w:t>From the hospital perspective, the minimum follow-up period of PC and their EC must be at least 90 d and readmissions must be considered. One prospective study of all interventions carried out at a general surgery service found an overall readmission rate after 90 d of 5.5%</w:t>
      </w:r>
      <w:r w:rsidRPr="00011E8F">
        <w:rPr>
          <w:rFonts w:ascii="Book Antiqua" w:hAnsi="Book Antiqua"/>
          <w:color w:val="000000" w:themeColor="text1"/>
          <w:sz w:val="24"/>
          <w:szCs w:val="24"/>
          <w:lang w:val="en-NZ"/>
        </w:rPr>
        <w:fldChar w:fldCharType="begin" w:fldLock="1"/>
      </w:r>
      <w:r w:rsidR="00394178" w:rsidRPr="00011E8F">
        <w:rPr>
          <w:rFonts w:ascii="Book Antiqua" w:hAnsi="Book Antiqua"/>
          <w:color w:val="000000" w:themeColor="text1"/>
          <w:sz w:val="24"/>
          <w:szCs w:val="24"/>
          <w:lang w:val="en-US"/>
        </w:rPr>
        <w:instrText>ADDIN CSL_CITATION {"citationItems":[{"id":"ITEM-1","itemData":{"author":[{"dropping-particle":"","family":"la Plaza Llamas","given":"Roberto","non-dropping-particle":"de","parse-names":false,"suffix":""}],"container-title":"Available from: https://www.educacion.gob.es/teseo/mostrarRef.do?ref=444441","id":"ITEM-1","issued":{"date-parts":[["0"]]},"title":"Validación y aplicabilidad clínica del Comprehensive Complication Index en una población de pacientes intervenidos en un servicio de cirugía general y del aparato digestivo. Estudio prospectivo. Thesis, University of Alcalá. 2018.","type":"paper-conference"},"uris":["http://www.mendeley.com/documents/?uuid=166d889f-01e9-4f36-b128-ce7d0bdeacca"]}],"mendeley":{"formattedCitation":"&lt;sup&gt;[10]&lt;/sup&gt;","plainTextFormattedCitation":"[10]","previouslyFormattedCitation":"&lt;sup&gt;[10]&lt;/sup&gt;"},"properties":{"noteIndex":0},"schema":"https://github.com/citation-style-language/schema/raw/master/csl-citation.json"}</w:instrText>
      </w:r>
      <w:r w:rsidRPr="00011E8F">
        <w:rPr>
          <w:rFonts w:ascii="Book Antiqua" w:hAnsi="Book Antiqua"/>
          <w:color w:val="000000" w:themeColor="text1"/>
          <w:sz w:val="24"/>
          <w:szCs w:val="24"/>
          <w:lang w:val="en-NZ"/>
        </w:rPr>
        <w:fldChar w:fldCharType="separate"/>
      </w:r>
      <w:r w:rsidR="00394178" w:rsidRPr="00011E8F">
        <w:rPr>
          <w:rFonts w:ascii="Book Antiqua" w:hAnsi="Book Antiqua"/>
          <w:noProof/>
          <w:color w:val="000000" w:themeColor="text1"/>
          <w:sz w:val="24"/>
          <w:szCs w:val="24"/>
          <w:vertAlign w:val="superscript"/>
          <w:lang w:val="en-US"/>
        </w:rPr>
        <w:t>[10]</w:t>
      </w:r>
      <w:r w:rsidRPr="00011E8F">
        <w:rPr>
          <w:rFonts w:ascii="Book Antiqua" w:hAnsi="Book Antiqua"/>
          <w:color w:val="000000" w:themeColor="text1"/>
          <w:sz w:val="24"/>
          <w:szCs w:val="24"/>
          <w:lang w:val="en-NZ"/>
        </w:rPr>
        <w:fldChar w:fldCharType="end"/>
      </w:r>
      <w:r w:rsidRPr="00011E8F">
        <w:rPr>
          <w:rFonts w:ascii="Book Antiqua" w:hAnsi="Book Antiqua"/>
          <w:color w:val="000000" w:themeColor="text1"/>
          <w:sz w:val="24"/>
          <w:szCs w:val="24"/>
          <w:lang w:val="en-US"/>
        </w:rPr>
        <w:t>.</w:t>
      </w:r>
    </w:p>
    <w:p w14:paraId="35822B45" w14:textId="4EEE17A9" w:rsidR="001917A0" w:rsidRPr="00011E8F" w:rsidRDefault="001917A0" w:rsidP="00FC61F7">
      <w:pPr>
        <w:snapToGrid w:val="0"/>
        <w:spacing w:after="0" w:line="360" w:lineRule="auto"/>
        <w:ind w:right="565" w:firstLineChars="100" w:firstLine="240"/>
        <w:jc w:val="both"/>
        <w:rPr>
          <w:rFonts w:ascii="Book Antiqua" w:hAnsi="Book Antiqua"/>
          <w:color w:val="000000" w:themeColor="text1"/>
          <w:sz w:val="24"/>
          <w:szCs w:val="24"/>
          <w:lang w:val="en-NZ"/>
        </w:rPr>
      </w:pPr>
      <w:r w:rsidRPr="00011E8F">
        <w:rPr>
          <w:rFonts w:ascii="Book Antiqua" w:hAnsi="Book Antiqua"/>
          <w:color w:val="000000" w:themeColor="text1"/>
          <w:sz w:val="24"/>
          <w:szCs w:val="24"/>
          <w:lang w:val="en-US"/>
        </w:rPr>
        <w:t xml:space="preserve">Patel </w:t>
      </w:r>
      <w:r w:rsidRPr="00011E8F">
        <w:rPr>
          <w:rFonts w:ascii="Book Antiqua" w:hAnsi="Book Antiqua"/>
          <w:i/>
          <w:iCs/>
          <w:color w:val="000000" w:themeColor="text1"/>
          <w:sz w:val="24"/>
          <w:szCs w:val="24"/>
          <w:lang w:val="en-US"/>
        </w:rPr>
        <w:t>et al</w:t>
      </w:r>
      <w:r w:rsidRPr="00011E8F">
        <w:rPr>
          <w:rFonts w:ascii="Book Antiqua" w:hAnsi="Book Antiqua"/>
          <w:color w:val="000000" w:themeColor="text1"/>
          <w:sz w:val="24"/>
          <w:szCs w:val="24"/>
        </w:rPr>
        <w:fldChar w:fldCharType="begin" w:fldLock="1"/>
      </w:r>
      <w:r w:rsidR="00394178" w:rsidRPr="00011E8F">
        <w:rPr>
          <w:rFonts w:ascii="Book Antiqua" w:hAnsi="Book Antiqua"/>
          <w:color w:val="000000" w:themeColor="text1"/>
          <w:sz w:val="24"/>
          <w:szCs w:val="24"/>
          <w:lang w:val="en-US"/>
        </w:rPr>
        <w:instrText>ADDIN CSL_CITATION {"citationItems":[{"id":"ITEM-1","itemData":{"DOI":"10.1007/s40258-013-0060-y","ISBN":"1179-1896 (Electronic)","ISSN":"1179-1896","PMID":"24166193","abstract":"OBJECTIVES On the basis of a systematic review, we aimed to establish the cost and drivers of cost and/or resource use of intra- and perioperative complications occurring as a result of selected major surgical procedures, as well as to understand the relationship between costs and severity of complication and, consequently, the economic burden they represent. We also assessed the clinical and economic methodologies used to derive costs and resource use across the studies with a view to providing guidance on reporting standards for these studies. METHODS We searched EMBASE, MEDLINE and Econlit (from 2002 to 2012) for study publications including resource use/cost data relating to surgical complications. RESULTS We identified 38 relevant studies on pancreatic (n = 14), urologic (n = 4), gynaecological (n = 6), thoracic (n = 13) and hepatic surgery (n = 1). All studies showed that complications lead to higher resource use and hospital costs compared with surgical procedures without complications. Costs depend on type of complication and complication severity, and are driven primarily by prolonged hospitalisation. There was considerable heterogeneity between studies with regard to patient populations, outcomes and procedures, as well as a lack of consistency and transparency of reporting of costs/resource use. Complication severity grading systems were used infrequently. CONCLUSIONS The overall conclusions of included studies are consistent: complications represent an important economic burden for health care providers. We conclude that more accurate and consistent data collection is required to serve as input for good-quality economic analyses, which in turn can inform hospital decisions on cost-efficient allocation of their limited resources.","author":[{"dropping-particle":"","family":"Patel","given":"Ajay S.","non-dropping-particle":"","parse-names":false,"suffix":""},{"dropping-particle":"","family":"Bergman","given":"Annika","non-dropping-particle":"","parse-names":false,"suffix":""},{"dropping-particle":"","family":"Moore","given":"Brigitte W.","non-dropping-particle":"","parse-names":false,"suffix":""},{"dropping-particle":"","family":"Haglund","given":"Ulf","non-dropping-particle":"","parse-names":false,"suffix":""}],"container-title":"Applied health economics and health policy","id":"ITEM-1","issue":"6","issued":{"date-parts":[["2013","12"]]},"page":"577-92","title":"The economic burden of complications occurring in major surgical procedures: a systematic review.","type":"article-journal","volume":"11"},"uris":["http://www.mendeley.com/documents/?uuid=534db7fd-7b6f-4c06-bc22-da93d14829f8","http://www.mendeley.com/documents/?uuid=b6a4f160-d618-41c9-846b-98774803e5bb"]}],"mendeley":{"formattedCitation":"&lt;sup&gt;[4]&lt;/sup&gt;","plainTextFormattedCitation":"[4]","previouslyFormattedCitation":"&lt;sup&gt;[4]&lt;/sup&gt;"},"properties":{"noteIndex":0},"schema":"https://github.com/citation-style-language/schema/raw/master/csl-citation.json"}</w:instrText>
      </w:r>
      <w:r w:rsidRPr="00011E8F">
        <w:rPr>
          <w:rFonts w:ascii="Book Antiqua" w:hAnsi="Book Antiqua"/>
          <w:color w:val="000000" w:themeColor="text1"/>
          <w:sz w:val="24"/>
          <w:szCs w:val="24"/>
        </w:rPr>
        <w:fldChar w:fldCharType="separate"/>
      </w:r>
      <w:r w:rsidRPr="00011E8F">
        <w:rPr>
          <w:rFonts w:ascii="Book Antiqua" w:hAnsi="Book Antiqua"/>
          <w:noProof/>
          <w:color w:val="000000" w:themeColor="text1"/>
          <w:sz w:val="24"/>
          <w:szCs w:val="24"/>
          <w:vertAlign w:val="superscript"/>
          <w:lang w:val="en-US"/>
        </w:rPr>
        <w:t>[4]</w:t>
      </w:r>
      <w:r w:rsidRPr="00011E8F">
        <w:rPr>
          <w:rFonts w:ascii="Book Antiqua" w:hAnsi="Book Antiqua"/>
          <w:color w:val="000000" w:themeColor="text1"/>
          <w:sz w:val="24"/>
          <w:szCs w:val="24"/>
        </w:rPr>
        <w:fldChar w:fldCharType="end"/>
      </w:r>
      <w:r w:rsidRPr="00011E8F">
        <w:rPr>
          <w:rFonts w:ascii="Book Antiqua" w:hAnsi="Book Antiqua"/>
          <w:color w:val="000000" w:themeColor="text1"/>
          <w:sz w:val="24"/>
          <w:szCs w:val="24"/>
          <w:lang w:val="en-US"/>
        </w:rPr>
        <w:t xml:space="preserve"> conducted a systematic literature review to assess the relationship between EC and the severity of complications in 38 studies that included pancreatic, hepatic, gynecological, urological and thoracic surgeries, and also </w:t>
      </w:r>
      <w:r w:rsidR="00C440B7" w:rsidRPr="00011E8F">
        <w:rPr>
          <w:rFonts w:ascii="Book Antiqua" w:hAnsi="Book Antiqua"/>
          <w:color w:val="000000" w:themeColor="text1"/>
          <w:sz w:val="24"/>
          <w:szCs w:val="24"/>
          <w:lang w:val="en-US"/>
        </w:rPr>
        <w:t>analyzed</w:t>
      </w:r>
      <w:r w:rsidRPr="00011E8F">
        <w:rPr>
          <w:rFonts w:ascii="Book Antiqua" w:hAnsi="Book Antiqua"/>
          <w:color w:val="000000" w:themeColor="text1"/>
          <w:sz w:val="24"/>
          <w:szCs w:val="24"/>
          <w:lang w:val="en-US"/>
        </w:rPr>
        <w:t xml:space="preserve"> the methodologies used. They concluded that EC depend on the type and severity of the </w:t>
      </w:r>
      <w:r w:rsidR="00C440B7" w:rsidRPr="00011E8F">
        <w:rPr>
          <w:rFonts w:ascii="Book Antiqua" w:hAnsi="Book Antiqua"/>
          <w:color w:val="000000" w:themeColor="text1"/>
          <w:sz w:val="24"/>
          <w:szCs w:val="24"/>
          <w:lang w:val="en-US"/>
        </w:rPr>
        <w:t>complication and</w:t>
      </w:r>
      <w:r w:rsidRPr="00011E8F">
        <w:rPr>
          <w:rFonts w:ascii="Book Antiqua" w:hAnsi="Book Antiqua"/>
          <w:color w:val="000000" w:themeColor="text1"/>
          <w:sz w:val="24"/>
          <w:szCs w:val="24"/>
          <w:lang w:val="en-US"/>
        </w:rPr>
        <w:t xml:space="preserve"> are due mainly to prolonged hospitalization. Many of the studies included used general or national databases rather than databases from the hospitals themselves, and all 38 studies included only payer/hospital (</w:t>
      </w:r>
      <w:r w:rsidRPr="00011E8F">
        <w:rPr>
          <w:rFonts w:ascii="Book Antiqua" w:hAnsi="Book Antiqua"/>
          <w:i/>
          <w:iCs/>
          <w:color w:val="000000" w:themeColor="text1"/>
          <w:sz w:val="24"/>
          <w:szCs w:val="24"/>
          <w:lang w:val="en-US"/>
        </w:rPr>
        <w:t>i.e.</w:t>
      </w:r>
      <w:r w:rsidRPr="00011E8F">
        <w:rPr>
          <w:rFonts w:ascii="Book Antiqua" w:hAnsi="Book Antiqua"/>
          <w:color w:val="000000" w:themeColor="text1"/>
          <w:sz w:val="24"/>
          <w:szCs w:val="24"/>
          <w:lang w:val="en-US"/>
        </w:rPr>
        <w:t>, not societal) costs. It was also observed that the studies did not tend to use classifications of complication severity</w:t>
      </w:r>
      <w:r w:rsidRPr="00011E8F">
        <w:rPr>
          <w:rFonts w:ascii="Book Antiqua" w:hAnsi="Book Antiqua"/>
          <w:color w:val="000000" w:themeColor="text1"/>
          <w:sz w:val="24"/>
          <w:szCs w:val="24"/>
        </w:rPr>
        <w:fldChar w:fldCharType="begin" w:fldLock="1"/>
      </w:r>
      <w:r w:rsidR="00394178" w:rsidRPr="00011E8F">
        <w:rPr>
          <w:rFonts w:ascii="Book Antiqua" w:hAnsi="Book Antiqua"/>
          <w:color w:val="000000" w:themeColor="text1"/>
          <w:sz w:val="24"/>
          <w:szCs w:val="24"/>
          <w:lang w:val="en-US"/>
        </w:rPr>
        <w:instrText>ADDIN CSL_CITATION {"citationItems":[{"id":"ITEM-1","itemData":{"DOI":"10.1007/s40258-013-0060-y","ISBN":"1179-1896 (Electronic)","ISSN":"1179-1896","PMID":"24166193","abstract":"OBJECTIVES On the basis of a systematic review, we aimed to establish the cost and drivers of cost and/or resource use of intra- and perioperative complications occurring as a result of selected major surgical procedures, as well as to understand the relationship between costs and severity of complication and, consequently, the economic burden they represent. We also assessed the clinical and economic methodologies used to derive costs and resource use across the studies with a view to providing guidance on reporting standards for these studies. METHODS We searched EMBASE, MEDLINE and Econlit (from 2002 to 2012) for study publications including resource use/cost data relating to surgical complications. RESULTS We identified 38 relevant studies on pancreatic (n = 14), urologic (n = 4), gynaecological (n = 6), thoracic (n = 13) and hepatic surgery (n = 1). All studies showed that complications lead to higher resource use and hospital costs compared with surgical procedures without complications. Costs depend on type of complication and complication severity, and are driven primarily by prolonged hospitalisation. There was considerable heterogeneity between studies with regard to patient populations, outcomes and procedures, as well as a lack of consistency and transparency of reporting of costs/resource use. Complication severity grading systems were used infrequently. CONCLUSIONS The overall conclusions of included studies are consistent: complications represent an important economic burden for health care providers. We conclude that more accurate and consistent data collection is required to serve as input for good-quality economic analyses, which in turn can inform hospital decisions on cost-efficient allocation of their limited resources.","author":[{"dropping-particle":"","family":"Patel","given":"Ajay S.","non-dropping-particle":"","parse-names":false,"suffix":""},{"dropping-particle":"","family":"Bergman","given":"Annika","non-dropping-particle":"","parse-names":false,"suffix":""},{"dropping-particle":"","family":"Moore","given":"Brigitte W.","non-dropping-particle":"","parse-names":false,"suffix":""},{"dropping-particle":"","family":"Haglund","given":"Ulf","non-dropping-particle":"","parse-names":false,"suffix":""}],"container-title":"Applied health economics and health policy","id":"ITEM-1","issue":"6","issued":{"date-parts":[["2013","12"]]},"page":"577-92","title":"The economic burden of complications occurring in major surgical procedures: a systematic review.","type":"article-journal","volume":"11"},"uris":["http://www.mendeley.com/documents/?uuid=b6a4f160-d618-41c9-846b-98774803e5bb","http://www.mendeley.com/documents/?uuid=534db7fd-7b6f-4c06-bc22-da93d14829f8"]}],"mendeley":{"formattedCitation":"&lt;sup&gt;[4]&lt;/sup&gt;","plainTextFormattedCitation":"[4]","previouslyFormattedCitation":"&lt;sup&gt;[4]&lt;/sup&gt;"},"properties":{"noteIndex":0},"schema":"https://github.com/citation-style-language/schema/raw/master/csl-citation.json"}</w:instrText>
      </w:r>
      <w:r w:rsidRPr="00011E8F">
        <w:rPr>
          <w:rFonts w:ascii="Book Antiqua" w:hAnsi="Book Antiqua"/>
          <w:color w:val="000000" w:themeColor="text1"/>
          <w:sz w:val="24"/>
          <w:szCs w:val="24"/>
        </w:rPr>
        <w:fldChar w:fldCharType="separate"/>
      </w:r>
      <w:r w:rsidRPr="00011E8F">
        <w:rPr>
          <w:rFonts w:ascii="Book Antiqua" w:hAnsi="Book Antiqua"/>
          <w:noProof/>
          <w:color w:val="000000" w:themeColor="text1"/>
          <w:sz w:val="24"/>
          <w:szCs w:val="24"/>
          <w:vertAlign w:val="superscript"/>
          <w:lang w:val="en-NZ"/>
        </w:rPr>
        <w:t>[4]</w:t>
      </w:r>
      <w:r w:rsidRPr="00011E8F">
        <w:rPr>
          <w:rFonts w:ascii="Book Antiqua" w:hAnsi="Book Antiqua"/>
          <w:color w:val="000000" w:themeColor="text1"/>
          <w:sz w:val="24"/>
          <w:szCs w:val="24"/>
        </w:rPr>
        <w:fldChar w:fldCharType="end"/>
      </w:r>
      <w:r w:rsidRPr="00011E8F">
        <w:rPr>
          <w:rFonts w:ascii="Book Antiqua" w:hAnsi="Book Antiqua"/>
          <w:color w:val="000000" w:themeColor="text1"/>
          <w:sz w:val="24"/>
          <w:szCs w:val="24"/>
          <w:lang w:val="en-NZ"/>
        </w:rPr>
        <w:t>.</w:t>
      </w:r>
    </w:p>
    <w:p w14:paraId="5DC2B66E" w14:textId="6F720042" w:rsidR="001917A0" w:rsidRPr="00011E8F" w:rsidRDefault="001917A0" w:rsidP="00FC61F7">
      <w:pPr>
        <w:snapToGrid w:val="0"/>
        <w:spacing w:after="0" w:line="360" w:lineRule="auto"/>
        <w:ind w:right="565" w:firstLineChars="100" w:firstLine="240"/>
        <w:jc w:val="both"/>
        <w:rPr>
          <w:rFonts w:ascii="Book Antiqua" w:hAnsi="Book Antiqua"/>
          <w:color w:val="000000" w:themeColor="text1"/>
          <w:sz w:val="24"/>
          <w:szCs w:val="24"/>
          <w:lang w:val="en-NZ"/>
        </w:rPr>
      </w:pPr>
      <w:r w:rsidRPr="00011E8F">
        <w:rPr>
          <w:rFonts w:ascii="Book Antiqua" w:hAnsi="Book Antiqua"/>
          <w:color w:val="000000" w:themeColor="text1"/>
          <w:sz w:val="24"/>
          <w:szCs w:val="24"/>
          <w:lang w:val="en-US"/>
        </w:rPr>
        <w:t>The association between PC severity and increased EC has been demonstrated in major abdominal surgery</w:t>
      </w:r>
      <w:r w:rsidRPr="00011E8F">
        <w:rPr>
          <w:rFonts w:ascii="Book Antiqua" w:hAnsi="Book Antiqua"/>
          <w:color w:val="000000" w:themeColor="text1"/>
          <w:sz w:val="24"/>
          <w:szCs w:val="24"/>
          <w:lang w:val="en-NZ"/>
        </w:rPr>
        <w:fldChar w:fldCharType="begin" w:fldLock="1"/>
      </w:r>
      <w:r w:rsidR="00394178" w:rsidRPr="00011E8F">
        <w:rPr>
          <w:rFonts w:ascii="Book Antiqua" w:hAnsi="Book Antiqua"/>
          <w:color w:val="000000" w:themeColor="text1"/>
          <w:sz w:val="24"/>
          <w:szCs w:val="24"/>
          <w:lang w:val="en-US"/>
        </w:rPr>
        <w:instrText>ADDIN CSL_CITATION {"citationItems":[{"id":"ITEM-1","itemData":{"DOI":"10.1159/000371861","ISSN":"1421-9883","PMID":"25791798","abstract":"BACKGROUND Complications after major abdominal surgery (MAS) are associated with increased morbidity and mortality. Rising costs in health care are of increasing interest and a major factor affecting hospital costs are postoperative complications. In this study, the costs associated with complications are assessed. METHODS Retrospective cohort study of 399 consecutive patients that underwent MAS. Analysis of total costs for hospital stay, complications and treatment was performed, including bootstrapping; allowing for subtraction of data with 95% confidence intervals. RESULTS For a single patient who underwent MAS the average costs, adjusted for ASA-classification and surgery type, adds up to EUR 8,584.81 (95% CI EUR 8,332.51 - EUR 8,860.81) in patients without complications. EUR 15,412.96 (95% CI EUR 14,250.22 - EUR 16,708.82) after minor complications, and EUR 29,198.23 (95% CI EUR 27,187.13 - EUR 31,295.78) after major complications (p &lt; 0.001). CONCLUSION The results provide an insight into the scope of hospital costs associated with complications. Major complications occur in 20% of patients undergoing MAS and account for 50% of the total costs of care. Implementation of a protocol aimed at early diagnosis and treatment of complications might lead to a decrease in morbidity and mortality, but also prove to be cost effective.","author":[{"dropping-particle":"","family":"Straatman","given":"Jennifer","non-dropping-particle":"","parse-names":false,"suffix":""},{"dropping-particle":"","family":"Cuesta","given":"Miguel A.","non-dropping-particle":"","parse-names":false,"suffix":""},{"dropping-particle":"","family":"Lange-de Klerk","given":"Elly S M","non-dropping-particle":"de","parse-names":false,"suffix":""},{"dropping-particle":"","family":"Peet","given":"Donald L","non-dropping-particle":"van der","parse-names":false,"suffix":""}],"container-title":"Digestive surgery","id":"ITEM-1","issue":"2","issued":{"date-parts":[["2015"]]},"page":"150-6","title":"Hospital cost-analysis of complications after major abdominal surgery.","type":"article-journal","volume":"32"},"uris":["http://www.mendeley.com/documents/?uuid=1dd9a541-d261-4ef2-9449-a3192c07420a"]},{"id":"ITEM-2","itemData":{"DOI":"10.1007/s11605-017-3479-x","ISSN":"1873-4626","PMID":"28664254","abstract":"BACKGROUND Data evaluating the financial implications of volume-based referral are lacking. This study sought to compare in-hospital costs for pancreatic surgery by annual hospital volume. METHODS Eleven thousand and eighty-one patients aged ≥18 years undergoing an elective pancreatic resection for cancer were identified using the Nationwide Inpatient Sample 2002-2011. Multivariable regression analysis was performed to compare length-of-stay (LOS), postoperative morbidity and mortality, failure-to-rescue (FTR), and inpatient costs by annual hospital volume group. RESULTS Patients undergoing surgery at high-volume hospitals (HVH) demonstrated 23% lower odds (odds ratio [OR] = 0.77, 95% confidence interval [95%CI] 0.63-0.95) of developing a postoperative complication, 59% lower odds of experiencing an LOS &gt; 14 days (OR = 0.41, 95%CI 0.34-0.50), 51% lower odds of postoperative mortality (OR = 0.49, 95%CI 0.34-0.71), and 47% lower odds of FTR (OR = 0.53, 95%CI 0.37-0.76; all p&lt;0.05). The overall mean in-hospital cost was $39,012 (SD = $15,214) with minimal differences observed across hospital volume groups. Rather, postoperative complications (no complication vs. complication $26,686 [SD = $5762] vs. $44,633 [SD = $11,637]) and FTR (rescue vs. FTR $42,413 [SD = $8481] vs. $69,546 [SD = $13,131]) were determinant of higher in-hospital costs. While this pattern was observed at all hospital volume groups, costs varied minimally between hospital volume groups after this stratification. CONCLUSIONS Annual hospital surgical volume was not associated with in-hospital costs among patients undergoing pancreatic surgery.","author":[{"dropping-particle":"","family":"Gani","given":"Faiz","non-dropping-particle":"","parse-names":false,"suffix":""},{"dropping-particle":"","family":"Johnston","given":"Fabian M","non-dropping-particle":"","parse-names":false,"suffix":""},{"dropping-particle":"","family":"Nelson-Williams","given":"Howard","non-dropping-particle":"","parse-names":false,"suffix":""},{"dropping-particle":"","family":"Cerullo","given":"Marcelo","non-dropping-particle":"","parse-names":false,"suffix":""},{"dropping-particle":"","family":"Dillhoff","given":"Mary E","non-dropping-particle":"","parse-names":false,"suffix":""},{"dropping-particle":"","family":"Schmidt","given":"Carl R","non-dropping-particle":"","parse-names":false,"suffix":""},{"dropping-particle":"","family":"Pawlik","given":"Timothy M","non-dropping-particle":"","parse-names":false,"suffix":""}],"container-title":"Journal of gastrointestinal surgery : official journal of the Society for Surgery of the Alimentary Tract","id":"ITEM-2","issue":"9","issued":{"date-parts":[["2017","9"]]},"page":"1411-1419","title":"Hospital Volume and the Costs Associated with Surgery for Pancreatic Cancer.","type":"article-journal","volume":"21"},"uris":["http://www.mendeley.com/documents/?uuid=036644e4-a87c-49a5-8d9f-533ffc5c487a","http://www.mendeley.com/documents/?uuid=dc74d1fd-7372-4426-809b-0b6706e9be45"]},{"id":"ITEM-3","itemData":{"DOI":"10.1016/j.ejso.2016.11.013","ISSN":"15322157","PMID":"28012715","abstract":"Objective The purpose of this study was to estimate the economic burden of postoperative complications after esophagectomy for cancer, in order to optimally allocate resources for quality improvement initiatives in the future. Methods A retrospective analysis of prospectively collected clinical and financial outcomes after esophageal cancer surgery in a tertiary referral center in the Netherlands was performed. Data was extracted from consecutive patients registered in the Dutch Upper GI Cancer Audit between 2011 and 2014 (n = 201). Costs were measured up to 90-days after hospital discharge and based on Time-Driven Activity-Based Costing. The additional costs were estimated using multiple linear regression models. Results The average total cost for one patient after esophagectomy was €37,581 (±31,372). The estimated costs of an esophagectomy without complications were €23,476 (±6496). Mean costs after minor (47%) and severe complications (29%) were €31,529 (±23,359) and €59,167 (±42,615) (p &lt; 0.001), respectively. The 5% most expensive patients were responsible for 20.3% of the total hospital costs assessed in this study. Patient characteristics associated with additional costs in multivariable analysis included, age &gt;70 (+€2,922, p = 0.036), female gender (+€4,357, p = 0.005), COPD (+€5,415, p = 0.002), and a history of thromboembolic events (+€6,213, p = 0.028). Complications associated with a significant increase in costs in multivariable analysis included anastomotic leakage (+€4,123, p = 0.008), cardiac complications (+€5,711, p = 0.003), chyle leakage (+€6,188, p &lt; 0.001) and postoperative bleeding (+€31,567, p &lt; 0.001). Conclusions Complications and severity of complications after esophageal surgery are associated with a substantial increase in costs. Although not all postoperative complications can be prevented, implementation of preventive measures to reduce complications could result in a considerable cost reduction and quality improvement.","author":[{"dropping-particle":"","family":"Goense","given":"L.","non-dropping-particle":"","parse-names":false,"suffix":""},{"dropping-particle":"","family":"Dijk","given":"W. A.","non-dropping-particle":"van","parse-names":false,"suffix":""},{"dropping-particle":"","family":"Govaert","given":"J. A.","non-dropping-particle":"","parse-names":false,"suffix":""},{"dropping-particle":"","family":"Rossum","given":"P. S.N.","non-dropping-particle":"van","parse-names":false,"suffix":""},{"dropping-particle":"","family":"Ruurda","given":"J. P.","non-dropping-particle":"","parse-names":false,"suffix":""},{"dropping-particle":"","family":"Hillegersberg","given":"R.","non-dropping-particle":"van","parse-names":false,"suffix":""}],"container-title":"European Journal of Surgical Oncology","id":"ITEM-3","issue":"4","issued":{"date-parts":[["2017","4"]]},"page":"696-702","title":"Hospital costs of complications after esophagectomy for cancer","type":"article-journal","volume":"43"},"uris":["http://www.mendeley.com/documents/?uuid=7f2af725-0e2f-475d-bf8a-ca7f3f665647"]},{"id":"ITEM-4","itemData":{"DOI":"10.1097/SLA.0000000000002902","ISSN":"1528-1140","PMID":"30272585","abstract":"OBJECTIVE The aim of this study was to identify a readily available, reproducible, and internationally applicable cost assessment tool for surgical procedures. SUMMARY OF BACKGROUND DATA Strong economic pressure exists worldwide to slow down the rising of health care costs. Postoperative morbidity significantly impacts on cost in surgical patients. The comprehensive complication index (CCI), reflecting overall postoperative morbidity, may therefore serve as a new marker for cost. METHODS Postoperative complications and total costs from a single tertiary center were prospectively collected (2014 to 2016) up to 3 months after surgery for a variety of abdominal procedures (n = 1388). CCI was used to quantify overall postoperative morbidity. Pearson correlation coefficient (rpears) was calculated for cost and CCI. For cost prediction, a linear regression model based on CCI, age, and type of surgery was developed and validated in an international cohort of patients. RESULTS We found a high correlation between CCI and overall cost (rpears = 0.75) with the strongest correlation for more complex procedures. The prediction model performed very well (R = 0.82); each 10-point increase in CCI corresponded to a 14% increase to the baseline cost. Additional 12% of baseline cost must be added for patients older than 50 years, or 24% for those over 70 years. The validation cohorts showed a good match of predicted and observed cost. CONCLUSION Overall postoperative morbidity correlates highly with cost. The CCI together with the type of surgery and patient age is a novel and reliable predictor of expenses in surgical patients. This finding may enable objective cost comparisons among centers, procedures, or over time obviating the need to look at complex country-specific cost calculations (www.assessurgery.com).","author":[{"dropping-particle":"","family":"Staiger","given":"Roxane D","non-dropping-particle":"","parse-names":false,"suffix":""},{"dropping-particle":"","family":"Cimino","given":"Matteo","non-dropping-particle":"","parse-names":false,"suffix":""},{"dropping-particle":"","family":"Javed","given":"Ammar","non-dropping-particle":"","parse-names":false,"suffix":""},{"dropping-particle":"","family":"Biondo","given":"Sebastiano","non-dropping-particle":"","parse-names":false,"suffix":""},{"dropping-particle":"","family":"Fondevila","given":"Constantino","non-dropping-particle":"","parse-names":false,"suffix":""},{"dropping-particle":"","family":"Périnel","given":"Julie","non-dropping-particle":"","parse-names":false,"suffix":""},{"dropping-particle":"","family":"Aragão","given":"Ana Carolina","non-dropping-particle":"","parse-names":false,"suffix":""},{"dropping-particle":"","family":"Torzilli","given":"Guido","non-dropping-particle":"","parse-names":false,"suffix":""},{"dropping-particle":"","family":"Wolfgang","given":"Christopher","non-dropping-particle":"","parse-names":false,"suffix":""},{"dropping-particle":"","family":"Adham","given":"Mustapha","non-dropping-particle":"","parse-names":false,"suffix":""},{"dropping-particle":"","family":"Pinto-Marques","given":"Hugo","non-dropping-particle":"","parse-names":false,"suffix":""},{"dropping-particle":"","family":"Dutkowski","given":"Philipp","non-dropping-particle":"","parse-names":false,"suffix":""},{"dropping-particle":"","family":"Puhan","given":"Milo A","non-dropping-particle":"","parse-names":false,"suffix":""},{"dropping-particle":"","family":"Clavien","given":"Pierre-Alain","non-dropping-particle":"","parse-names":false,"suffix":""}],"container-title":"Annals of surgery","id":"ITEM-4","issue":"5","issued":{"date-parts":[["2018","11"]]},"page":"784-791","title":"The Comprehensive Complication Index (CCI®) is a Novel Cost Assessment Tool for Surgical Procedures.","type":"article-journal","volume":"268"},"uris":["http://www.mendeley.com/documents/?uuid=d76c5ab8-6ec0-4db1-8f56-66a4601f8c46"]},{"id":"ITEM-5","itemData":{"DOI":"10.1097/SLA.0b013e31821d4a43","ISBN":"1528-1140 (Electronic)\\r0003-4932 (Linking)","ISSN":"1528-1140","PMID":"21562405","abstract":"OBJECTIVE To assess the impact of postoperative complications on full in-hospital costs per case. BACKGROUND Rising expenses for complex medical procedures combined with constrained resources represent a major challenge. The severity of postoperative complications reflects surgical outcomes. The magnitude of the cost created by negative outcomes is unclear. PATIENTS AND METHODS Morbidity of 1200 consecutive patients undergoing major surgery from 2005 to 2008 in a tertiary, high-volume center was assessed by a validated, complication score system. Full in-hospital costs were collected for each patient. Statistical analysis was performed using a multivariate linear regression model adjusted for potential confounders. RESULTS This study population included 393 complex liver/bile duct surgeries, 110 major pancreas operations, 389 colon resections, and 308 Roux-en-Y gastric bypasses. The overall 30-day mortality rate was 1.8%, whereas morbidity was 53.8%. Patients with an uneventful course had mean costs per case of US$ 27,946 (SD US$ 15,106). Costs increased dramatically with the severity of postoperative complications and reached the mean costs of US$ 159,345 (SD US$ 151,191) for grade IV complications. This increase in costs, up to 5 times the cost of a similar operation without complications, was observed for all types of investigated procedures, although the magnitude of the increase varied, with the highest costs in patients undergoing pancreas surgery. CONCLUSION This study demonstrates the dramatic impact of postoperative complications on full in-hospital costs per case and that complications are the strongest indicator of costs. Furthermore, the study highlights a relevant savings capacity for major surgical procedures, and supports all efforts to lower negative events in the postoperative course.","author":[{"dropping-particle":"","family":"Vonlanthen","given":"René","non-dropping-particle":"","parse-names":false,"suffix":""},{"dropping-particle":"","family":"Slankamenac","given":"Ksenija","non-dropping-particle":"","parse-names":false,"suffix":""},{"dropping-particle":"","family":"Breitenstein","given":"Stefan","non-dropping-particle":"","parse-names":false,"suffix":""},{"dropping-particle":"","family":"Puhan","given":"Milo a.","non-dropping-particle":"","parse-names":false,"suffix":""},{"dropping-particle":"","family":"Muller","given":"Markus K.","non-dropping-particle":"","parse-names":false,"suffix":""},{"dropping-particle":"","family":"Hahnloser","given":"Dieter","non-dropping-particle":"","parse-names":false,"suffix":""},{"dropping-particle":"","family":"Hauri","given":"Dimitri","non-dropping-particle":"","parse-names":false,"suffix":""},{"dropping-particle":"","family":"Graf","given":"Rolf","non-dropping-particle":"","parse-names":false,"suffix":""},{"dropping-particle":"","family":"Clavien","given":"Pierre-Alain","non-dropping-particle":"","parse-names":false,"suffix":""}],"container-title":"Annals of surgery","id":"ITEM-5","issue":"6","issued":{"date-parts":[["2011","12"]]},"page":"907-13","title":"The impact of complications on costs of major surgical procedures: a cost analysis of 1200 patients.","type":"article-journal","volume":"254"},"uris":["http://www.mendeley.com/documents/?uuid=b9e5444d-b621-499a-8e78-e0675d58ca57"]}],"mendeley":{"formattedCitation":"&lt;sup&gt;[6,11–14]&lt;/sup&gt;","plainTextFormattedCitation":"[6,11–14]","previouslyFormattedCitation":"&lt;sup&gt;[6,11–14]&lt;/sup&gt;"},"properties":{"noteIndex":0},"schema":"https://github.com/citation-style-language/schema/raw/master/csl-citation.json"}</w:instrText>
      </w:r>
      <w:r w:rsidRPr="00011E8F">
        <w:rPr>
          <w:rFonts w:ascii="Book Antiqua" w:hAnsi="Book Antiqua"/>
          <w:color w:val="000000" w:themeColor="text1"/>
          <w:sz w:val="24"/>
          <w:szCs w:val="24"/>
          <w:lang w:val="en-NZ"/>
        </w:rPr>
        <w:fldChar w:fldCharType="separate"/>
      </w:r>
      <w:r w:rsidR="00394178" w:rsidRPr="00011E8F">
        <w:rPr>
          <w:rFonts w:ascii="Book Antiqua" w:hAnsi="Book Antiqua"/>
          <w:noProof/>
          <w:color w:val="000000" w:themeColor="text1"/>
          <w:sz w:val="24"/>
          <w:szCs w:val="24"/>
          <w:vertAlign w:val="superscript"/>
          <w:lang w:val="en-US"/>
        </w:rPr>
        <w:t>[6,11</w:t>
      </w:r>
      <w:r w:rsidR="00054898">
        <w:rPr>
          <w:rFonts w:ascii="Book Antiqua" w:hAnsi="Book Antiqua"/>
          <w:noProof/>
          <w:color w:val="000000" w:themeColor="text1"/>
          <w:sz w:val="24"/>
          <w:szCs w:val="24"/>
          <w:vertAlign w:val="superscript"/>
          <w:lang w:val="en-US"/>
        </w:rPr>
        <w:t>-</w:t>
      </w:r>
      <w:r w:rsidR="00394178" w:rsidRPr="00011E8F">
        <w:rPr>
          <w:rFonts w:ascii="Book Antiqua" w:hAnsi="Book Antiqua"/>
          <w:noProof/>
          <w:color w:val="000000" w:themeColor="text1"/>
          <w:sz w:val="24"/>
          <w:szCs w:val="24"/>
          <w:vertAlign w:val="superscript"/>
          <w:lang w:val="en-US"/>
        </w:rPr>
        <w:t>14]</w:t>
      </w:r>
      <w:r w:rsidRPr="00011E8F">
        <w:rPr>
          <w:rFonts w:ascii="Book Antiqua" w:hAnsi="Book Antiqua"/>
          <w:color w:val="000000" w:themeColor="text1"/>
          <w:sz w:val="24"/>
          <w:szCs w:val="24"/>
          <w:lang w:val="en-NZ"/>
        </w:rPr>
        <w:fldChar w:fldCharType="end"/>
      </w:r>
      <w:r w:rsidRPr="00011E8F">
        <w:rPr>
          <w:rFonts w:ascii="Book Antiqua" w:hAnsi="Book Antiqua"/>
          <w:color w:val="000000" w:themeColor="text1"/>
          <w:sz w:val="24"/>
          <w:szCs w:val="24"/>
          <w:lang w:val="en-NZ"/>
        </w:rPr>
        <w:t>,</w:t>
      </w:r>
      <w:r w:rsidRPr="00011E8F">
        <w:rPr>
          <w:rFonts w:ascii="Book Antiqua" w:hAnsi="Book Antiqua"/>
          <w:color w:val="000000" w:themeColor="text1"/>
          <w:sz w:val="24"/>
          <w:szCs w:val="24"/>
          <w:lang w:val="en-US"/>
        </w:rPr>
        <w:t xml:space="preserve"> and in another study of all procedures performed at a surgery service</w:t>
      </w:r>
      <w:r w:rsidRPr="00011E8F">
        <w:rPr>
          <w:rFonts w:ascii="Book Antiqua" w:hAnsi="Book Antiqua"/>
          <w:color w:val="000000" w:themeColor="text1"/>
          <w:sz w:val="24"/>
          <w:szCs w:val="24"/>
          <w:lang w:val="en-NZ"/>
        </w:rPr>
        <w:fldChar w:fldCharType="begin" w:fldLock="1"/>
      </w:r>
      <w:r w:rsidR="00DB5656" w:rsidRPr="00011E8F">
        <w:rPr>
          <w:rFonts w:ascii="Book Antiqua" w:hAnsi="Book Antiqua"/>
          <w:color w:val="000000" w:themeColor="text1"/>
          <w:sz w:val="24"/>
          <w:szCs w:val="24"/>
          <w:lang w:val="en-US"/>
        </w:rPr>
        <w:instrText>ADDIN CSL_CITATION {"citationItems":[{"id":"ITEM-1","itemData":{"DOI":"10.1097/SLA.0000000000003308","ISSN":"1528-1140","PMID":"30985367","abstract":"OBJECTIVE To validate the Comprehensive Complication Index (CCI) via an assessment of its relation to postoperative costs. BACKGROUND The CCI summarizes all the postoperative complications graded by the Clavien-Dindo classification (CDC) on a numerical scale. Its relation to hospital costs has not been validated to date. METHODS Prospective observational cohort study, including all patients undergoing surgery at a general surgery service during the 1-year study period. All complications graded with the CDC and CCI and related to the initial admission, or until discharge if the patient was readmitted within 90 days of surgery, were included. The surgeries were classified according to their Operative Severity Score (OSS) and in 4 groups of homogeneous surgeries. All postoperative costs were recorded. RESULTS In all, 1850 patients were included, of whom 513 presented complications (27.7%). The CDC and the CCI were moderately to strongly correlated with overall postoperative costs (OPCs) in all OSS groups (rs = 0.444-0.810 vs 0.445-0.820; P &lt; 0.001), homogeneous surgeries (rs = 0.364-0.802 vs 0.364-0.813; P &lt; 0.001), prolongation of postoperative stay (rs = 0.802 vs 0.830; P &lt; 0.001), and initial operating room costs (rs = 0.448 vs 0.451; P &lt; 0.001). This correlation was higher in emergency surgery. With higher CDC grades, the OPC tended to increase an upward trend. In the multivariate analysis, CDC, CCI, age, and duration of surgery were all associated with OPC (P &lt; 0.001). CONCLUSIONS In our environment, the CCI presented associations with OPC. This demonstration of its economic validity enhances its clinical validity.","author":[{"dropping-particle":"","family":"la Plaza Llamas","given":"Roberto","non-dropping-particle":"de","parse-names":false,"suffix":""},{"dropping-particle":"","family":"Hidalgo Vega","given":"Álvaro","non-dropping-particle":"","parse-names":false,"suffix":""},{"dropping-particle":"","family":"Latorre Fragua","given":"Raquel A","non-dropping-particle":"","parse-names":false,"suffix":""},{"dropping-particle":"","family":"López Marcano","given":"Aylhín J","non-dropping-particle":"","parse-names":false,"suffix":""},{"dropping-particle":"","family":"Medina Velasco","given":"Aníbal A","non-dropping-particle":"","parse-names":false,"suffix":""},{"dropping-particle":"","family":"Díaz Candelas","given":"Daniel A","non-dropping-particle":"","parse-names":false,"suffix":""},{"dropping-particle":"","family":"García Gil","given":"José M","non-dropping-particle":"","parse-names":false,"suffix":""},{"dropping-particle":"","family":"Ramia Ángel","given":"José M","non-dropping-particle":"","parse-names":false,"suffix":""}],"container-title":"Annals of surgery","id":"ITEM-1","issued":{"date-parts":[["2019","4","9"]]},"page":"1","title":"The Cost of Postoperative Complications and Economic Validation of the Comprehensive Complication Index: Prospective Study.","type":"article-journal"},"uris":["http://www.mendeley.com/documents/?uuid=bb2a3eea-9923-4685-b9a0-03b6af015fd2"]}],"mendeley":{"formattedCitation":"&lt;sup&gt;[15]&lt;/sup&gt;","plainTextFormattedCitation":"[15]","previouslyFormattedCitation":"&lt;sup&gt;[15]&lt;/sup&gt;"},"properties":{"noteIndex":0},"schema":"https://github.com/citation-style-language/schema/raw/master/csl-citation.json"}</w:instrText>
      </w:r>
      <w:r w:rsidRPr="00011E8F">
        <w:rPr>
          <w:rFonts w:ascii="Book Antiqua" w:hAnsi="Book Antiqua"/>
          <w:color w:val="000000" w:themeColor="text1"/>
          <w:sz w:val="24"/>
          <w:szCs w:val="24"/>
          <w:lang w:val="en-NZ"/>
        </w:rPr>
        <w:fldChar w:fldCharType="separate"/>
      </w:r>
      <w:r w:rsidRPr="00011E8F">
        <w:rPr>
          <w:rFonts w:ascii="Book Antiqua" w:hAnsi="Book Antiqua"/>
          <w:noProof/>
          <w:color w:val="000000" w:themeColor="text1"/>
          <w:sz w:val="24"/>
          <w:szCs w:val="24"/>
          <w:vertAlign w:val="superscript"/>
          <w:lang w:val="en-NZ"/>
        </w:rPr>
        <w:t>[15]</w:t>
      </w:r>
      <w:r w:rsidRPr="00011E8F">
        <w:rPr>
          <w:rFonts w:ascii="Book Antiqua" w:hAnsi="Book Antiqua"/>
          <w:color w:val="000000" w:themeColor="text1"/>
          <w:sz w:val="24"/>
          <w:szCs w:val="24"/>
          <w:lang w:val="en-NZ"/>
        </w:rPr>
        <w:fldChar w:fldCharType="end"/>
      </w:r>
      <w:r w:rsidRPr="00011E8F">
        <w:rPr>
          <w:rFonts w:ascii="Book Antiqua" w:hAnsi="Book Antiqua"/>
          <w:color w:val="000000" w:themeColor="text1"/>
          <w:sz w:val="24"/>
          <w:szCs w:val="24"/>
          <w:lang w:val="en-NZ"/>
        </w:rPr>
        <w:t xml:space="preserve">. </w:t>
      </w:r>
      <w:r w:rsidRPr="00011E8F">
        <w:rPr>
          <w:rFonts w:ascii="Book Antiqua" w:hAnsi="Book Antiqua"/>
          <w:color w:val="000000" w:themeColor="text1"/>
          <w:sz w:val="24"/>
          <w:szCs w:val="24"/>
          <w:lang w:val="en-US"/>
        </w:rPr>
        <w:t>In the latter study for example, even the presence of mild CDC grade 1 complications was found to double postoperative costs from the hospital perspective after cholecystectomy</w:t>
      </w:r>
      <w:r w:rsidRPr="00011E8F">
        <w:rPr>
          <w:rFonts w:ascii="Book Antiqua" w:hAnsi="Book Antiqua"/>
          <w:color w:val="000000" w:themeColor="text1"/>
          <w:sz w:val="24"/>
          <w:szCs w:val="24"/>
          <w:lang w:val="en-NZ"/>
        </w:rPr>
        <w:fldChar w:fldCharType="begin" w:fldLock="1"/>
      </w:r>
      <w:r w:rsidR="00DB5656" w:rsidRPr="00011E8F">
        <w:rPr>
          <w:rFonts w:ascii="Book Antiqua" w:hAnsi="Book Antiqua"/>
          <w:color w:val="000000" w:themeColor="text1"/>
          <w:sz w:val="24"/>
          <w:szCs w:val="24"/>
          <w:lang w:val="en-US"/>
        </w:rPr>
        <w:instrText>ADDIN CSL_CITATION {"citationItems":[{"id":"ITEM-1","itemData":{"DOI":"10.1097/SLA.0000000000003308","ISSN":"1528-1140","PMID":"30985367","abstract":"OBJECTIVE To validate the Comprehensive Complication Index (CCI) via an assessment of its relation to postoperative costs. BACKGROUND The CCI summarizes all the postoperative complications graded by the Clavien-Dindo classification (CDC) on a numerical scale. Its relation to hospital costs has not been validated to date. METHODS Prospective observational cohort study, including all patients undergoing surgery at a general surgery service during the 1-year study period. All complications graded with the CDC and CCI and related to the initial admission, or until discharge if the patient was readmitted within 90 days of surgery, were included. The surgeries were classified according to their Operative Severity Score (OSS) and in 4 groups of homogeneous surgeries. All postoperative costs were recorded. RESULTS In all, 1850 patients were included, of whom 513 presented complications (27.7%). The CDC and the CCI were moderately to strongly correlated with overall postoperative costs (OPCs) in all OSS groups (rs = 0.444-0.810 vs 0.445-0.820; P &lt; 0.001), homogeneous surgeries (rs = 0.364-0.802 vs 0.364-0.813; P &lt; 0.001), prolongation of postoperative stay (rs = 0.802 vs 0.830; P &lt; 0.001), and initial operating room costs (rs = 0.448 vs 0.451; P &lt; 0.001). This correlation was higher in emergency surgery. With higher CDC grades, the OPC tended to increase an upward trend. In the multivariate analysis, CDC, CCI, age, and duration of surgery were all associated with OPC (P &lt; 0.001). CONCLUSIONS In our environment, the CCI presented associations with OPC. This demonstration of its economic validity enhances its clinical validity.","author":[{"dropping-particle":"","family":"la Plaza Llamas","given":"Roberto","non-dropping-particle":"de","parse-names":false,"suffix":""},{"dropping-particle":"","family":"Hidalgo Vega","given":"Álvaro","non-dropping-particle":"","parse-names":false,"suffix":""},{"dropping-particle":"","family":"Latorre Fragua","given":"Raquel A","non-dropping-particle":"","parse-names":false,"suffix":""},{"dropping-particle":"","family":"López Marcano","given":"Aylhín J","non-dropping-particle":"","parse-names":false,"suffix":""},{"dropping-particle":"","family":"Medina Velasco","given":"Aníbal A","non-dropping-particle":"","parse-names":false,"suffix":""},{"dropping-particle":"","family":"Díaz Candelas","given":"Daniel A","non-dropping-particle":"","parse-names":false,"suffix":""},{"dropping-particle":"","family":"García Gil","given":"José M","non-dropping-particle":"","parse-names":false,"suffix":""},{"dropping-particle":"","family":"Ramia Ángel","given":"José M","non-dropping-particle":"","parse-names":false,"suffix":""}],"container-title":"Annals of surgery","id":"ITEM-1","issued":{"date-parts":[["2019","4","9"]]},"page":"1","title":"The Cost of Postoperative Complications and Economic Validation of the Comprehensive Complication Index: Prospective Study.","type":"article-journal"},"uris":["http://www.mendeley.com/documents/?uuid=bb2a3eea-9923-4685-b9a0-03b6af015fd2"]}],"mendeley":{"formattedCitation":"&lt;sup&gt;[15]&lt;/sup&gt;","plainTextFormattedCitation":"[15]","previouslyFormattedCitation":"&lt;sup&gt;[15]&lt;/sup&gt;"},"properties":{"noteIndex":0},"schema":"https://github.com/citation-style-language/schema/raw/master/csl-citation.json"}</w:instrText>
      </w:r>
      <w:r w:rsidRPr="00011E8F">
        <w:rPr>
          <w:rFonts w:ascii="Book Antiqua" w:hAnsi="Book Antiqua"/>
          <w:color w:val="000000" w:themeColor="text1"/>
          <w:sz w:val="24"/>
          <w:szCs w:val="24"/>
          <w:lang w:val="en-NZ"/>
        </w:rPr>
        <w:fldChar w:fldCharType="separate"/>
      </w:r>
      <w:r w:rsidRPr="00011E8F">
        <w:rPr>
          <w:rFonts w:ascii="Book Antiqua" w:hAnsi="Book Antiqua"/>
          <w:noProof/>
          <w:color w:val="000000" w:themeColor="text1"/>
          <w:sz w:val="24"/>
          <w:szCs w:val="24"/>
          <w:vertAlign w:val="superscript"/>
          <w:lang w:val="en-NZ"/>
        </w:rPr>
        <w:t>[15]</w:t>
      </w:r>
      <w:r w:rsidRPr="00011E8F">
        <w:rPr>
          <w:rFonts w:ascii="Book Antiqua" w:hAnsi="Book Antiqua"/>
          <w:color w:val="000000" w:themeColor="text1"/>
          <w:sz w:val="24"/>
          <w:szCs w:val="24"/>
          <w:lang w:val="en-NZ"/>
        </w:rPr>
        <w:fldChar w:fldCharType="end"/>
      </w:r>
      <w:r w:rsidRPr="00011E8F">
        <w:rPr>
          <w:rFonts w:ascii="Book Antiqua" w:hAnsi="Book Antiqua"/>
          <w:color w:val="000000" w:themeColor="text1"/>
          <w:sz w:val="24"/>
          <w:szCs w:val="24"/>
          <w:lang w:val="en-NZ"/>
        </w:rPr>
        <w:t>.</w:t>
      </w:r>
    </w:p>
    <w:p w14:paraId="11DD74ED" w14:textId="1F0E889C" w:rsidR="001917A0" w:rsidRPr="00011E8F" w:rsidRDefault="001917A0" w:rsidP="00FC61F7">
      <w:pPr>
        <w:snapToGrid w:val="0"/>
        <w:spacing w:after="0" w:line="360" w:lineRule="auto"/>
        <w:ind w:right="565" w:firstLineChars="100" w:firstLine="240"/>
        <w:jc w:val="both"/>
        <w:rPr>
          <w:rFonts w:ascii="Book Antiqua" w:hAnsi="Book Antiqua"/>
          <w:color w:val="000000" w:themeColor="text1"/>
          <w:sz w:val="24"/>
          <w:szCs w:val="24"/>
          <w:lang w:val="en-US"/>
        </w:rPr>
      </w:pPr>
      <w:r w:rsidRPr="00011E8F">
        <w:rPr>
          <w:rFonts w:ascii="Book Antiqua" w:hAnsi="Book Antiqua"/>
          <w:color w:val="000000" w:themeColor="text1"/>
          <w:sz w:val="24"/>
          <w:szCs w:val="24"/>
          <w:lang w:val="en-US"/>
        </w:rPr>
        <w:t>In some cases it has been observed that complications are profitable for hospitals</w:t>
      </w:r>
      <w:r w:rsidRPr="00011E8F">
        <w:rPr>
          <w:rFonts w:ascii="Book Antiqua" w:hAnsi="Book Antiqua"/>
          <w:b/>
          <w:bCs/>
          <w:color w:val="000000" w:themeColor="text1"/>
          <w:sz w:val="24"/>
          <w:szCs w:val="24"/>
          <w:lang w:val="en-NZ"/>
        </w:rPr>
        <w:fldChar w:fldCharType="begin" w:fldLock="1"/>
      </w:r>
      <w:r w:rsidR="00394178" w:rsidRPr="00011E8F">
        <w:rPr>
          <w:rFonts w:ascii="Book Antiqua" w:hAnsi="Book Antiqua"/>
          <w:b/>
          <w:bCs/>
          <w:color w:val="000000" w:themeColor="text1"/>
          <w:sz w:val="24"/>
          <w:szCs w:val="24"/>
          <w:lang w:val="en-US"/>
        </w:rPr>
        <w:instrText>ADDIN CSL_CITATION {"citationItems":[{"id":"ITEM-1","itemData":{"DOI":"10.1377/hlthaff.2011.0605","ISBN":"0278-2715","ISSN":"1544-5208","PMID":"23077139","abstract":"Reducing the complications that patients experience following surgery has garnered renewed attention from the medical and policy community. Reducing surgical complications is, foremost, critically important for patients. Moreover, in a competitive environment increasingly characterized by transparency of outcomes, the surgical complication rate is an important measure of hospital performance that could strongly influence choices of care and care sites made by patients and payers. However, programs to achieve such improvements can reduce hospital revenues, as reimbursements to treat patients for complications decrease. In this article we examine the business case for hospitals' consideration of programs to reduce surgical complications. We found that if a hospital's surgical inpatient volume is not growing, such a program results in negative cash flow. We also found that if a hospital's surgical volume is growing, and if the hospital can sufficiently reduce the average length-of-stay for surgical patients without complications, the cash flow could be positive. We recommend that hospitals with limited growth prospects that are nonetheless contemplating a surgical complication reduction program establish agreements with payers to share in any savings generated by the program.","author":[{"dropping-particle":"","family":"Krupka","given":"Dan C.","non-dropping-particle":"","parse-names":false,"suffix":""},{"dropping-particle":"","family":"Sandberg","given":"Warren S.","non-dropping-particle":"","parse-names":false,"suffix":""},{"dropping-particle":"","family":"Weeks","given":"William B.","non-dropping-particle":"","parse-names":false,"suffix":""}],"container-title":"Health affairs (Project Hope)","id":"ITEM-1","issue":"11","issued":{"date-parts":[["2012","11"]]},"page":"2571-8","title":"The impact on hospitals of reducing surgical complications suggests many will need shared savings programs with payers.","type":"article-journal","volume":"31"},"uris":["http://www.mendeley.com/documents/?uuid=d5383007-8f89-461a-983b-8bd6d6d965ad","http://www.mendeley.com/documents/?uuid=57b3ed46-6519-4451-b14d-8722678cb65e"]},{"id":"ITEM-2","itemData":{"DOI":"10.1001/jama.2013.2773","ISSN":"1538-3598","PMID":"23592104","abstract":"IMPORTANCE The effect of surgical complications on hospital finances is unclear. OBJECTIVE To determine the relationship between major surgical complications and per-encounter hospital costs and revenues by payer type. DESIGN, SETTING, AND PARTICIPANTS Retrospective analysis of administrative data for all inpatient surgical discharges during 2010 from a nonprofit 12-hospital system in the southern United States. Discharges were categorized by principal procedure and occurrence of 1 or more postsurgical complications, using International Classification of Diseases, Ninth Revision, diagnosis and procedure codes. Nine common surgical procedures and 10 major complications across 4 payer types were analyzed. Hospital costs and revenue at discharge were obtained from hospital accounting systems and classified by payer type. MAIN OUTCOMES AND MEASURES Hospital costs, revenues, and contribution margin (defined as revenue minus variable expenses) were compared for patients with and without surgical complications according to payer type. RESULTS Of 34,256 surgical discharges, 1820 patients (5.3%; 95% CI, 4.4%-6.4%) experienced 1 or more postsurgical complications. Compared with absence of complications, complications were associated with a $39,017 (95% CI, $20,069-$50,394; P &lt; .001) higher contribution margin per patient with private insurance ($55,953 vs $16,936) and a $1749 (95% CI, $976-$3287; P &lt; .001) higher contribution margin per patient with Medicare ($3629 vs $1880). For this hospital system in which private insurers covered 40% of patients (13,544), Medicare covered 45% (15,406), Medicaid covered 4% (1336), and self-payment covered 6% (2202), occurrence of complications was associated with an $8084 (95% CI, $4903-$9740; P &lt; .001) higher contribution margin per patient ($15,726 vs $7642) and with a $7435 lower per-patient total margin (95% CI, $5103-$10,507; P &lt; .001) ($1013 vs -$6422). CONCLUSIONS AND RELEVANCE In this hospital system, the occurrence of postsurgical complications was associated with a higher per-encounter hospital contribution margin for patients covered by Medicare and private insurance but a lower one for patients covered by Medicaid and who self-paid. Depending on payer mix, many hospitals have the potential for adverse near-term financial consequences for decreasing postsurgical complications.","author":[{"dropping-particle":"","family":"Eappen","given":"Sunil","non-dropping-particle":"","parse-names":false,"suffix":""},{"dropping-particle":"","family":"Lane","given":"Bennett H","non-dropping-particle":"","parse-names":false,"suffix":""},{"dropping-particle":"","family":"Rosenberg","given":"Barry","non-dropping-particle":"","parse-names":false,"suffix":""},{"dropping-particle":"","family":"Lipsitz","given":"Stuart A","non-dropping-particle":"","parse-names":false,"suffix":""},{"dropping-particle":"","family":"Sadoff","given":"David","non-dropping-particle":"","parse-names":false,"suffix":""},{"dropping-particle":"","family":"Matheson","given":"Dave","non-dropping-particle":"","parse-names":false,"suffix":""},{"dropping-particle":"","family":"Berry","given":"William R","non-dropping-particle":"","parse-names":false,"suffix":""},{"dropping-particle":"","family":"Lester","given":"Mark","non-dropping-particle":"","parse-names":false,"suffix":""},{"dropping-particle":"","family":"Gawande","given":"Atul A","non-dropping-particle":"","parse-names":false,"suffix":""}],"container-title":"JAMA","id":"ITEM-2","issue":"15","issued":{"date-parts":[["2013","4"]]},"page":"1599-606","title":"Relationship between occurrence of surgical complications and hospital finances.","type":"article-journal","volume":"309"},"uris":["http://www.mendeley.com/documents/?uuid=f97b3302-0b30-4bd7-bd7d-8c058c6f920a","http://www.mendeley.com/documents/?uuid=94fcc88f-3b87-477a-80fc-96911919520f"]}],"mendeley":{"formattedCitation":"&lt;sup&gt;[16,17]&lt;/sup&gt;","plainTextFormattedCitation":"[16,17]","previouslyFormattedCitation":"&lt;sup&gt;[16,17]&lt;/sup&gt;"},"properties":{"noteIndex":0},"schema":"https://github.com/citation-style-language/schema/raw/master/csl-citation.json"}</w:instrText>
      </w:r>
      <w:r w:rsidRPr="00011E8F">
        <w:rPr>
          <w:rFonts w:ascii="Book Antiqua" w:hAnsi="Book Antiqua"/>
          <w:b/>
          <w:bCs/>
          <w:color w:val="000000" w:themeColor="text1"/>
          <w:sz w:val="24"/>
          <w:szCs w:val="24"/>
          <w:lang w:val="en-NZ"/>
        </w:rPr>
        <w:fldChar w:fldCharType="separate"/>
      </w:r>
      <w:r w:rsidRPr="00011E8F">
        <w:rPr>
          <w:rFonts w:ascii="Book Antiqua" w:hAnsi="Book Antiqua"/>
          <w:bCs/>
          <w:noProof/>
          <w:color w:val="000000" w:themeColor="text1"/>
          <w:sz w:val="24"/>
          <w:szCs w:val="24"/>
          <w:vertAlign w:val="superscript"/>
          <w:lang w:val="en-NZ"/>
        </w:rPr>
        <w:t>[16,17]</w:t>
      </w:r>
      <w:r w:rsidRPr="00011E8F">
        <w:rPr>
          <w:rFonts w:ascii="Book Antiqua" w:hAnsi="Book Antiqua"/>
          <w:b/>
          <w:bCs/>
          <w:color w:val="000000" w:themeColor="text1"/>
          <w:sz w:val="24"/>
          <w:szCs w:val="24"/>
          <w:lang w:val="en-NZ"/>
        </w:rPr>
        <w:fldChar w:fldCharType="end"/>
      </w:r>
      <w:r w:rsidRPr="00011E8F">
        <w:rPr>
          <w:rFonts w:ascii="Book Antiqua" w:hAnsi="Book Antiqua"/>
          <w:color w:val="000000" w:themeColor="text1"/>
          <w:sz w:val="24"/>
          <w:szCs w:val="24"/>
          <w:lang w:val="en-NZ"/>
        </w:rPr>
        <w:t xml:space="preserve">. </w:t>
      </w:r>
      <w:r w:rsidRPr="00011E8F">
        <w:rPr>
          <w:rFonts w:ascii="Book Antiqua" w:hAnsi="Book Antiqua"/>
          <w:color w:val="000000" w:themeColor="text1"/>
          <w:sz w:val="24"/>
          <w:szCs w:val="24"/>
          <w:lang w:val="en-US"/>
        </w:rPr>
        <w:t>This is because the payment system rewards the volume of services provided to patients, rather than the quality of the patient’s clinical outcome</w:t>
      </w:r>
      <w:r w:rsidRPr="00011E8F">
        <w:rPr>
          <w:rFonts w:ascii="Book Antiqua" w:hAnsi="Book Antiqua"/>
          <w:color w:val="000000" w:themeColor="text1"/>
          <w:sz w:val="24"/>
          <w:szCs w:val="24"/>
          <w:lang w:val="en-NZ"/>
        </w:rPr>
        <w:fldChar w:fldCharType="begin" w:fldLock="1"/>
      </w:r>
      <w:r w:rsidR="00394178" w:rsidRPr="00011E8F">
        <w:rPr>
          <w:rFonts w:ascii="Book Antiqua" w:hAnsi="Book Antiqua"/>
          <w:color w:val="000000" w:themeColor="text1"/>
          <w:sz w:val="24"/>
          <w:szCs w:val="24"/>
          <w:lang w:val="en-US"/>
        </w:rPr>
        <w:instrText>ADDIN CSL_CITATION {"citationItems":[{"id":"ITEM-1","itemData":{"DOI":"10.1001/jama.2013.3451","ISSN":"1538-3598","PMID":"23592109","author":[{"dropping-particle":"","family":"Reinhardt","given":"Uwe E","non-dropping-particle":"","parse-names":false,"suffix":""}],"container-title":"JAMA","id":"ITEM-1","issue":"15","issued":{"date-parts":[["2013","4"]]},"page":"1634-5","title":"Making surgical complications pay.","type":"article-journal","volume":"309"},"uris":["http://www.mendeley.com/documents/?uuid=5ff1e21f-74b4-4cfc-ac33-edbc62c01544","http://www.mendeley.com/documents/?uuid=fef73379-f2da-4651-bdf5-374fa8bbfc87"]}],"mendeley":{"formattedCitation":"&lt;sup&gt;[18]&lt;/sup&gt;","plainTextFormattedCitation":"[18]","previouslyFormattedCitation":"&lt;sup&gt;[18]&lt;/sup&gt;"},"properties":{"noteIndex":0},"schema":"https://github.com/citation-style-language/schema/raw/master/csl-citation.json"}</w:instrText>
      </w:r>
      <w:r w:rsidRPr="00011E8F">
        <w:rPr>
          <w:rFonts w:ascii="Book Antiqua" w:hAnsi="Book Antiqua"/>
          <w:color w:val="000000" w:themeColor="text1"/>
          <w:sz w:val="24"/>
          <w:szCs w:val="24"/>
          <w:lang w:val="en-NZ"/>
        </w:rPr>
        <w:fldChar w:fldCharType="separate"/>
      </w:r>
      <w:r w:rsidRPr="00011E8F">
        <w:rPr>
          <w:rFonts w:ascii="Book Antiqua" w:hAnsi="Book Antiqua"/>
          <w:noProof/>
          <w:color w:val="000000" w:themeColor="text1"/>
          <w:sz w:val="24"/>
          <w:szCs w:val="24"/>
          <w:vertAlign w:val="superscript"/>
          <w:lang w:val="en-US"/>
        </w:rPr>
        <w:t>[18]</w:t>
      </w:r>
      <w:r w:rsidRPr="00011E8F">
        <w:rPr>
          <w:rFonts w:ascii="Book Antiqua" w:hAnsi="Book Antiqua"/>
          <w:color w:val="000000" w:themeColor="text1"/>
          <w:sz w:val="24"/>
          <w:szCs w:val="24"/>
          <w:lang w:val="en-NZ"/>
        </w:rPr>
        <w:fldChar w:fldCharType="end"/>
      </w:r>
      <w:r w:rsidRPr="00011E8F">
        <w:rPr>
          <w:rFonts w:ascii="Book Antiqua" w:hAnsi="Book Antiqua"/>
          <w:color w:val="000000" w:themeColor="text1"/>
          <w:sz w:val="24"/>
          <w:szCs w:val="24"/>
          <w:lang w:val="en-US"/>
        </w:rPr>
        <w:t>.</w:t>
      </w:r>
    </w:p>
    <w:p w14:paraId="0B9B96D3" w14:textId="77777777" w:rsidR="00C440B7" w:rsidRPr="00011E8F" w:rsidRDefault="00C440B7" w:rsidP="00FC61F7">
      <w:pPr>
        <w:snapToGrid w:val="0"/>
        <w:spacing w:after="0" w:line="360" w:lineRule="auto"/>
        <w:ind w:right="565" w:firstLineChars="100" w:firstLine="240"/>
        <w:jc w:val="both"/>
        <w:rPr>
          <w:rFonts w:ascii="Book Antiqua" w:hAnsi="Book Antiqua"/>
          <w:color w:val="000000" w:themeColor="text1"/>
          <w:sz w:val="24"/>
          <w:szCs w:val="24"/>
          <w:lang w:val="en-US"/>
        </w:rPr>
      </w:pPr>
    </w:p>
    <w:p w14:paraId="77DB6F34" w14:textId="26867EE2" w:rsidR="001917A0" w:rsidRPr="00011E8F" w:rsidRDefault="001917A0" w:rsidP="00FC61F7">
      <w:pPr>
        <w:snapToGrid w:val="0"/>
        <w:spacing w:after="0" w:line="360" w:lineRule="auto"/>
        <w:ind w:right="565"/>
        <w:jc w:val="both"/>
        <w:rPr>
          <w:rFonts w:ascii="Book Antiqua" w:hAnsi="Book Antiqua"/>
          <w:b/>
          <w:bCs/>
          <w:color w:val="000000" w:themeColor="text1"/>
          <w:sz w:val="24"/>
          <w:szCs w:val="24"/>
          <w:u w:val="single"/>
          <w:lang w:val="en-US"/>
        </w:rPr>
      </w:pPr>
      <w:r w:rsidRPr="00011E8F">
        <w:rPr>
          <w:rFonts w:ascii="Book Antiqua" w:hAnsi="Book Antiqua"/>
          <w:b/>
          <w:bCs/>
          <w:color w:val="000000" w:themeColor="text1"/>
          <w:sz w:val="24"/>
          <w:szCs w:val="24"/>
          <w:u w:val="single"/>
          <w:lang w:val="en-US"/>
        </w:rPr>
        <w:t xml:space="preserve">ISSUES TO CONSIDER IN THE ANALYSIS OF </w:t>
      </w:r>
      <w:r w:rsidR="00C440B7" w:rsidRPr="00011E8F">
        <w:rPr>
          <w:rFonts w:ascii="Book Antiqua" w:hAnsi="Book Antiqua"/>
          <w:b/>
          <w:bCs/>
          <w:color w:val="000000" w:themeColor="text1"/>
          <w:sz w:val="24"/>
          <w:szCs w:val="24"/>
          <w:u w:val="single"/>
          <w:lang w:val="en-US"/>
        </w:rPr>
        <w:t>EC</w:t>
      </w:r>
      <w:r w:rsidRPr="00011E8F">
        <w:rPr>
          <w:rFonts w:ascii="Book Antiqua" w:hAnsi="Book Antiqua"/>
          <w:b/>
          <w:bCs/>
          <w:color w:val="000000" w:themeColor="text1"/>
          <w:sz w:val="24"/>
          <w:szCs w:val="24"/>
          <w:u w:val="single"/>
          <w:lang w:val="en-US"/>
        </w:rPr>
        <w:t xml:space="preserve"> ASSOCIATED WITH </w:t>
      </w:r>
      <w:r w:rsidR="00C440B7" w:rsidRPr="00011E8F">
        <w:rPr>
          <w:rFonts w:ascii="Book Antiqua" w:hAnsi="Book Antiqua"/>
          <w:b/>
          <w:bCs/>
          <w:color w:val="000000" w:themeColor="text1"/>
          <w:sz w:val="24"/>
          <w:szCs w:val="24"/>
          <w:u w:val="single"/>
          <w:lang w:val="en-US"/>
        </w:rPr>
        <w:t>PC</w:t>
      </w:r>
    </w:p>
    <w:p w14:paraId="08BEA18A" w14:textId="7AA458B8" w:rsidR="001917A0" w:rsidRPr="00011E8F" w:rsidRDefault="001917A0" w:rsidP="00FC61F7">
      <w:pPr>
        <w:snapToGrid w:val="0"/>
        <w:spacing w:after="0" w:line="360" w:lineRule="auto"/>
        <w:ind w:right="565"/>
        <w:jc w:val="both"/>
        <w:rPr>
          <w:rFonts w:ascii="Book Antiqua" w:hAnsi="Book Antiqua"/>
          <w:color w:val="000000" w:themeColor="text1"/>
          <w:sz w:val="24"/>
          <w:szCs w:val="24"/>
          <w:lang w:val="en-US"/>
        </w:rPr>
      </w:pPr>
      <w:r w:rsidRPr="00011E8F">
        <w:rPr>
          <w:rFonts w:ascii="Book Antiqua" w:hAnsi="Book Antiqua"/>
          <w:color w:val="000000" w:themeColor="text1"/>
          <w:sz w:val="24"/>
          <w:szCs w:val="24"/>
          <w:lang w:val="en-US"/>
        </w:rPr>
        <w:t>To determine the EC related to PC, we must:</w:t>
      </w:r>
      <w:r w:rsidR="00C440B7" w:rsidRPr="00011E8F">
        <w:rPr>
          <w:rFonts w:ascii="Book Antiqua" w:hAnsi="Book Antiqua"/>
          <w:color w:val="000000" w:themeColor="text1"/>
          <w:sz w:val="24"/>
          <w:szCs w:val="24"/>
          <w:lang w:val="en-US" w:eastAsia="zh-CN"/>
        </w:rPr>
        <w:t xml:space="preserve"> (</w:t>
      </w:r>
      <w:r w:rsidRPr="00011E8F">
        <w:rPr>
          <w:rFonts w:ascii="Book Antiqua" w:hAnsi="Book Antiqua"/>
          <w:color w:val="000000" w:themeColor="text1"/>
          <w:sz w:val="24"/>
          <w:szCs w:val="24"/>
          <w:lang w:val="en-US"/>
        </w:rPr>
        <w:t>1</w:t>
      </w:r>
      <w:r w:rsidR="00C440B7" w:rsidRPr="00011E8F">
        <w:rPr>
          <w:rFonts w:ascii="Book Antiqua" w:hAnsi="Book Antiqua"/>
          <w:color w:val="000000" w:themeColor="text1"/>
          <w:sz w:val="24"/>
          <w:szCs w:val="24"/>
          <w:lang w:val="en-US"/>
        </w:rPr>
        <w:t>)</w:t>
      </w:r>
      <w:r w:rsidRPr="00011E8F">
        <w:rPr>
          <w:rFonts w:ascii="Book Antiqua" w:hAnsi="Book Antiqua"/>
          <w:color w:val="000000" w:themeColor="text1"/>
          <w:sz w:val="24"/>
          <w:szCs w:val="24"/>
          <w:lang w:val="en-US"/>
        </w:rPr>
        <w:t xml:space="preserve"> Quantify and register all PC and the patients affected</w:t>
      </w:r>
      <w:r w:rsidR="00C440B7" w:rsidRPr="00011E8F">
        <w:rPr>
          <w:rFonts w:ascii="Book Antiqua" w:hAnsi="Book Antiqua"/>
          <w:color w:val="000000" w:themeColor="text1"/>
          <w:sz w:val="24"/>
          <w:szCs w:val="24"/>
          <w:lang w:val="en-US"/>
        </w:rPr>
        <w:t>; (</w:t>
      </w:r>
      <w:r w:rsidRPr="00011E8F">
        <w:rPr>
          <w:rFonts w:ascii="Book Antiqua" w:hAnsi="Book Antiqua"/>
          <w:color w:val="000000" w:themeColor="text1"/>
          <w:sz w:val="24"/>
          <w:szCs w:val="24"/>
          <w:lang w:val="en-US"/>
        </w:rPr>
        <w:t>2</w:t>
      </w:r>
      <w:r w:rsidR="00C440B7" w:rsidRPr="00011E8F">
        <w:rPr>
          <w:rFonts w:ascii="Book Antiqua" w:hAnsi="Book Antiqua"/>
          <w:color w:val="000000" w:themeColor="text1"/>
          <w:sz w:val="24"/>
          <w:szCs w:val="24"/>
          <w:lang w:val="en-US"/>
        </w:rPr>
        <w:t>)</w:t>
      </w:r>
      <w:r w:rsidRPr="00011E8F">
        <w:rPr>
          <w:rFonts w:ascii="Book Antiqua" w:hAnsi="Book Antiqua"/>
          <w:color w:val="000000" w:themeColor="text1"/>
          <w:sz w:val="24"/>
          <w:szCs w:val="24"/>
          <w:lang w:val="en-US"/>
        </w:rPr>
        <w:t xml:space="preserve"> Identify and quantify all postoperative EC</w:t>
      </w:r>
      <w:r w:rsidR="00C440B7" w:rsidRPr="00011E8F">
        <w:rPr>
          <w:rFonts w:ascii="Book Antiqua" w:hAnsi="Book Antiqua"/>
          <w:color w:val="000000" w:themeColor="text1"/>
          <w:sz w:val="24"/>
          <w:szCs w:val="24"/>
          <w:lang w:val="en-US"/>
        </w:rPr>
        <w:t>; and (</w:t>
      </w:r>
      <w:r w:rsidRPr="00011E8F">
        <w:rPr>
          <w:rFonts w:ascii="Book Antiqua" w:hAnsi="Book Antiqua"/>
          <w:color w:val="000000" w:themeColor="text1"/>
          <w:sz w:val="24"/>
          <w:szCs w:val="24"/>
          <w:lang w:val="en-US"/>
        </w:rPr>
        <w:t>3</w:t>
      </w:r>
      <w:r w:rsidR="00C440B7" w:rsidRPr="00011E8F">
        <w:rPr>
          <w:rFonts w:ascii="Book Antiqua" w:hAnsi="Book Antiqua"/>
          <w:color w:val="000000" w:themeColor="text1"/>
          <w:sz w:val="24"/>
          <w:szCs w:val="24"/>
          <w:lang w:val="en-US"/>
        </w:rPr>
        <w:t>)</w:t>
      </w:r>
      <w:r w:rsidRPr="00011E8F">
        <w:rPr>
          <w:rFonts w:ascii="Book Antiqua" w:hAnsi="Book Antiqua"/>
          <w:color w:val="000000" w:themeColor="text1"/>
          <w:sz w:val="24"/>
          <w:szCs w:val="24"/>
          <w:lang w:val="en-US"/>
        </w:rPr>
        <w:t xml:space="preserve"> Assess the difference in costs between complicated and non-complicated patients.</w:t>
      </w:r>
    </w:p>
    <w:p w14:paraId="1447E954" w14:textId="0DEC8967" w:rsidR="001917A0" w:rsidRPr="00011E8F" w:rsidRDefault="001917A0" w:rsidP="00FC61F7">
      <w:pPr>
        <w:snapToGrid w:val="0"/>
        <w:spacing w:after="0" w:line="360" w:lineRule="auto"/>
        <w:ind w:right="565"/>
        <w:jc w:val="both"/>
        <w:rPr>
          <w:rFonts w:ascii="Book Antiqua" w:hAnsi="Book Antiqua"/>
          <w:color w:val="000000" w:themeColor="text1"/>
          <w:sz w:val="24"/>
          <w:szCs w:val="24"/>
          <w:lang w:val="en-US"/>
        </w:rPr>
      </w:pPr>
      <w:r w:rsidRPr="00011E8F">
        <w:rPr>
          <w:rFonts w:ascii="Book Antiqua" w:hAnsi="Book Antiqua"/>
          <w:color w:val="000000" w:themeColor="text1"/>
          <w:sz w:val="24"/>
          <w:szCs w:val="24"/>
          <w:lang w:val="en-US"/>
        </w:rPr>
        <w:t>Let us now look at these three points in more detail.</w:t>
      </w:r>
    </w:p>
    <w:p w14:paraId="465FF6E1" w14:textId="77777777" w:rsidR="00C440B7" w:rsidRPr="00011E8F" w:rsidRDefault="00C440B7" w:rsidP="00FC61F7">
      <w:pPr>
        <w:snapToGrid w:val="0"/>
        <w:spacing w:after="0" w:line="360" w:lineRule="auto"/>
        <w:ind w:right="565"/>
        <w:jc w:val="both"/>
        <w:rPr>
          <w:rFonts w:ascii="Book Antiqua" w:hAnsi="Book Antiqua"/>
          <w:color w:val="000000" w:themeColor="text1"/>
          <w:sz w:val="24"/>
          <w:szCs w:val="24"/>
          <w:lang w:val="en-US"/>
        </w:rPr>
      </w:pPr>
    </w:p>
    <w:p w14:paraId="25CEE5DA" w14:textId="3FB60574" w:rsidR="001917A0" w:rsidRPr="00011E8F" w:rsidRDefault="001917A0" w:rsidP="00FC61F7">
      <w:pPr>
        <w:snapToGrid w:val="0"/>
        <w:spacing w:after="0" w:line="360" w:lineRule="auto"/>
        <w:ind w:right="565"/>
        <w:jc w:val="both"/>
        <w:rPr>
          <w:rFonts w:ascii="Book Antiqua" w:hAnsi="Book Antiqua"/>
          <w:b/>
          <w:i/>
          <w:iCs/>
          <w:color w:val="000000" w:themeColor="text1"/>
          <w:sz w:val="24"/>
          <w:szCs w:val="24"/>
          <w:lang w:val="en-US"/>
        </w:rPr>
      </w:pPr>
      <w:r w:rsidRPr="00011E8F">
        <w:rPr>
          <w:rFonts w:ascii="Book Antiqua" w:hAnsi="Book Antiqua"/>
          <w:b/>
          <w:i/>
          <w:iCs/>
          <w:color w:val="000000" w:themeColor="text1"/>
          <w:sz w:val="24"/>
          <w:szCs w:val="24"/>
          <w:lang w:val="en-US"/>
        </w:rPr>
        <w:t>Quantification, registration and classification of all PC</w:t>
      </w:r>
    </w:p>
    <w:p w14:paraId="4359DB91" w14:textId="7F9F6E68" w:rsidR="001917A0" w:rsidRPr="00011E8F" w:rsidRDefault="001917A0" w:rsidP="00FC61F7">
      <w:pPr>
        <w:snapToGrid w:val="0"/>
        <w:spacing w:after="0" w:line="360" w:lineRule="auto"/>
        <w:ind w:right="565"/>
        <w:jc w:val="both"/>
        <w:rPr>
          <w:rFonts w:ascii="Book Antiqua" w:hAnsi="Book Antiqua"/>
          <w:color w:val="000000" w:themeColor="text1"/>
          <w:sz w:val="24"/>
          <w:szCs w:val="24"/>
          <w:lang w:val="en-US"/>
        </w:rPr>
      </w:pPr>
      <w:r w:rsidRPr="00011E8F">
        <w:rPr>
          <w:rFonts w:ascii="Book Antiqua" w:hAnsi="Book Antiqua"/>
          <w:color w:val="000000" w:themeColor="text1"/>
          <w:sz w:val="24"/>
          <w:szCs w:val="24"/>
          <w:lang w:val="en-US"/>
        </w:rPr>
        <w:t>The first step is to determine what we mean by PC. We agree with the definition of the CDC, which considers a complication to be any negative event occurring during hospitalization</w:t>
      </w:r>
      <w:r w:rsidRPr="00011E8F">
        <w:rPr>
          <w:rFonts w:ascii="Book Antiqua" w:hAnsi="Book Antiqua"/>
          <w:color w:val="000000" w:themeColor="text1"/>
          <w:sz w:val="24"/>
          <w:szCs w:val="24"/>
          <w:lang w:val="en-NZ"/>
        </w:rPr>
        <w:fldChar w:fldCharType="begin" w:fldLock="1"/>
      </w:r>
      <w:r w:rsidR="00394178" w:rsidRPr="00011E8F">
        <w:rPr>
          <w:rFonts w:ascii="Book Antiqua" w:hAnsi="Book Antiqua"/>
          <w:color w:val="000000" w:themeColor="text1"/>
          <w:sz w:val="24"/>
          <w:szCs w:val="24"/>
          <w:lang w:val="en-US"/>
        </w:rPr>
        <w:instrText>ADDIN CSL_CITATION {"citationItems":[{"id":"ITEM-1","itemData":{"DOI":"10.1097/01.sla.0000133083.54934.ae","ISBN":"0003-4932","ISSN":"0003-4932","PMID":"15273542","abstract":"Objective: Although quality assessment is gaining increasing attention, there is still no consensus on how to define and grade postoperative complications. This shortcoming hampers comparison of outcome data among different centers and therapies and over time. Patients and Methods: A classification of complications published by one of the authors in 1992 was critically re-evaluated and modified to increase its accuracy and its acceptability in the surgical community. Modifications mainly focused on the manner of reporting life-threatening and permanently disabling complications. The new grading system still mostly relies on the therapy used to treat the complication. The classification was tested in a cohort of 6336 patients who underwent elective general surgery at our institution. The reproducibility and personal judgment of the classification were evaluated through an international survey with 2 questionnaires sent to 10 surgical centers worldwide. Results: The new ranking system significantly correlated with complexity of surgery (P &lt; 0.0001) as well as with the length of the hospital stay (P &lt; 0.0001). A total of 144 surgeons from 10 different centers around the world and at different levels of training returned the survey. Ninety percent of the case presentations were correctly graded. The classification was considered to be simple (92% of the respondents), reproducible (91%), logical (92%), useful (90%), and comprehensive (89%). The answers of both questionnaires were not dependent on the origin of the reply and the level of training of the surgeons. Conclusions: The new complication classification appears reliable and may represent a compelling tool for quality assessment in surgery in all parts of the world.","author":[{"dropping-particle":"","family":"Dindo","given":"Daniel","non-dropping-particle":"","parse-names":false,"suffix":""},{"dropping-particle":"","family":"Demartines","given":"Nicolas","non-dropping-particle":"","parse-names":false,"suffix":""},{"dropping-particle":"","family":"Clavien","given":"Pierre-Alain","non-dropping-particle":"","parse-names":false,"suffix":""}],"container-title":"Annals of surgery","id":"ITEM-1","issue":"2","issued":{"date-parts":[["2004"]]},"page":"205-213","title":"Classification of Surgical Complications","type":"article-journal","volume":"240"},"uris":["http://www.mendeley.com/documents/?uuid=ccb9e4d3-f93e-463d-a7a2-b810c02e83e8"]},{"id":"ITEM-2","itemData":{"ISBN":"0039-6060 (Print)\\r0039-6060 (Linking)","ISSN":"0039-6060","PMID":"1598671","abstract":"Lack of uniform reporting of negative outcomes makes interpretation of surgical literature difficult. We attempt to define and classify negative outcomes by differentiating complications, sequelae, and failures. Complications and sequelae result from procedures, adding new problems to the underlying disease. However, complications are unexpected events not intrinsic to the procedure, whereas sequelae are inherent to the procedure. Failures are events in which the purpose of the procedure is not fulfilled. We propose a classification of complications based on four grades: Grade I complications are alterations from the ideal postoperative course, non-life-threatening, and with no lasting disability. Complications of this grade necessitate only bedside procedures and do not significantly extend hospital stay. Grade II complications are potentially life-threatening but without residual disability. Within grade II complications a subdivision is made according to the requirement for invasive procedures. Grade III complications are those with residual disability, including organ resection or persistence of life-threatening conditions. Finally, grade IV complications are deaths as a result of complications. To illustrate the relevance of the classification, we reviewed 650 cases of elective cholecystectomy. Risk factors for development of complications were determined, and the classification was also used to analyze the value of a modified APACHE II as a preoperative prognostic score. Both supported the relevance of the proposed classification. The advantages of such a classification are (1) increased uniformity in reporting results, (2) the ability to compare results of two distinct time periods in a single center, (3) the ability to compare results of surgery between different centers, (4) the ability to compare results of surgical versus nonsurgical measures, (5) the ability to perform adequate metaanalysis, (6) the ability to identify objective preoperative risk factors, and (7) the ability to establish preoperative prognostic scores.","author":[{"dropping-particle":"","family":"Clavien","given":"P A","non-dropping-particle":"","parse-names":false,"suffix":""},{"dropping-particle":"","family":"Sanabria","given":"J R","non-dropping-particle":"","parse-names":false,"suffix":""},{"dropping-particle":"","family":"Strasberg","given":"S M","non-dropping-particle":"","parse-names":false,"suffix":""}],"container-title":"Surgery","id":"ITEM-2","issue":"5","issued":{"date-parts":[["1992","5"]]},"page":"518-526","title":"Proposed classification of complications of surgery with examples of utility in cholecystectomy.","type":"article-journal","volume":"111"},"uris":["http://www.mendeley.com/documents/?uuid=7f85c65b-da20-4a8b-871c-2488611e18f1"]},{"id":"ITEM-3","itemData":{"DOI":"10.1097/SLA.0b013e3181b13ca2","ISBN":"1528-1140 (Electronic)\\r0003-4932 (Linking)","ISSN":"0003-4932","PMID":"19638912","abstract":"BACKGROUND AND AIMS: The lack of consensus on how to define and grade adverse postoperative events has greatly hampered the evaluation of surgical procedures. A new classification of complications, initiated in 1992, was updated 5 years ago. It is based on the type of therapy needed to correct the complication. The principle of the classification was to be simple, reproducible, flexible, and applicable irrespective of the cultural background. The aim of the current study was to critically evaluate this classification from the perspective of its use in the literature, by assessing interobserver variability in grading complex complication scenarios and to correlate the classification grades with patients', nurses', and doctors' perception. MATERIAL AND METHODS: Reports from the literature using the classification system were systematically analyzed. Next, 11 scenarios illustrating difficult cases were prepared to develop a consensus on how to rank the various complications. Third, 7 centers from different continents, having routinely used the classification, independently assessed the 11 scenarios. An agreement analysis was performed to test the accuracy and reliability of the classification. Finally, the perception of the severity was tested in patients, nurses, and physicians by presenting 30 scenarios, each illustrating a specific grade of complication. RESULTS: We noted a dramatic increase in the use of the classification in many fields of surgery. About half of the studies used the contracted form, whereas the rest used the full range of grading. Two-thirds of the publications avoided subjective terms such as minor or major complications. The study of 11 difficult cases among various centers revealed a high degree of agreement in identifying and ranking complications (89% agreement), and enabled a better definition of unclear situations. Each grade of complications significantly correlated with the perception by patients, nurses, and physicians (P &lt; 0.05, Kruskal-Wallis test). CONCLUSIONS: This 5-year evaluation provides strong evidence that the classification is valid and applicable worldwide in many fields of surgery. No modification in the general principle of classification is warranted in view of the use in ongoing publications and trials. Subjective, inaccurate, or confusing terms such as \"minor or major\" should be removed from the surgical literature.","author":[{"dropping-particle":"","family":"Clavien","given":"Pierre a","non-dropping-particle":"","parse-names":false,"suffix":""},{"dropping-particle":"","family":"Barkun","given":"Jeffrey","non-dropping-particle":"","parse-names":false,"suffix":""},{"dropping-particle":"","family":"Oliveira","given":"Michelle L","non-dropping-particle":"de","parse-names":false,"suffix":""},{"dropping-particle":"","family":"Vauthey","given":"Jean Nicolas","non-dropping-particle":"","parse-names":false,"suffix":""},{"dropping-particle":"","family":"Dindo","given":"Daniel","non-dropping-particle":"","parse-names":false,"suffix":""},{"dropping-particle":"","family":"Schulick","given":"Richard D","non-dropping-particle":"","parse-names":false,"suffix":""},{"dropping-particle":"","family":"Santibañes","given":"Eduardo","non-dropping-particle":"de","parse-names":false,"suffix":""},{"dropping-particle":"","family":"Pekolj","given":"Juan","non-dropping-particle":"","parse-names":false,"suffix":""},{"dropping-particle":"","family":"Slankamenac","given":"Ksenija","non-dropping-particle":"","parse-names":false,"suffix":""},{"dropping-particle":"","family":"Bassi","given":"Claudio","non-dropping-particle":"","parse-names":false,"suffix":""},{"dropping-particle":"","family":"Graf","given":"Rolf","non-dropping-particle":"","parse-names":false,"suffix":""},{"dropping-particle":"","family":"Vonlanthen","given":"René","non-dropping-particle":"","parse-names":false,"suffix":""},{"dropping-particle":"","family":"Padbury","given":"Robert","non-dropping-particle":"","parse-names":false,"suffix":""},{"dropping-particle":"","family":"Cameron","given":"John L","non-dropping-particle":"","parse-names":false,"suffix":""},{"dropping-particle":"","family":"Makuuchi","given":"Masatoshi","non-dropping-particle":"","parse-names":false,"suffix":""}],"container-title":"Annals of surgery","id":"ITEM-3","issue":"2","issued":{"date-parts":[["2009"]]},"page":"187-196","title":"The Clavien-Dindo classification of surgical complications: five-year experience.","type":"article-journal","volume":"250"},"uris":["http://www.mendeley.com/documents/?uuid=fa2a4fbb-956f-4052-834a-ca594c1c9405"]},{"id":"ITEM-4","itemData":{"DOI":"10.1097/SLA.0000000000002839","ISSN":"1528-1140","PMID":"30303875","abstract":"OBJECTIVE Using clinical outcomes, to validate the comprehensive complication index (CCI) as a measure of postoperative morbidity in all patients undergoing surgery at a general surgery department. BACKGROUND The Clavien-Dindo classification (CDC) is the most widely used system to assess postoperative morbidity. The CCI is a numerical scale based on the CDC. Once validated, it could be used universally to establish and compare the real postoperative complications of each surgical procedure. METHODS Observational prospective cohort study. All patients who underwent surgery during the 1-year study period were included. All the complications graded with the CDC and related to the initial admission, or until discharge if the patient was readmitted within 90 days of surgery, were included. Surgical procedures were classified according to the operative severity score (OSS) as minor, moderate, major, or major+. The clinical validation of the CCI was performed by assessing its correlation with 4 different clinical outcomes. RESULTS A total of 1850 patients were included: 513 (27.7%) presented complications and 101 (5.46%) were readmitted. In the multivariate analysis, the CCI and CDC were associated with postoperative stay, prolongation of postoperative stay, readmission, and disability in all OSS groups (P &lt; 0.001). The CCI was superior to the CDC in all models except for prolongation of stay for OSS moderate and major+. CONCLUSIONS The CCI can be applied in all the procedures carried out at general surgery departments. It is able to determine the morbidity and allows the comparison of the outcomes at different services.","author":[{"dropping-particle":"","family":"la Plaza Llamas","given":"Roberto","non-dropping-particle":"de","parse-names":false,"suffix":""},{"dropping-particle":"","family":"Ramia Ángel","given":"José Manuel","non-dropping-particle":"","parse-names":false,"suffix":""},{"dropping-particle":"","family":"Bellón","given":"Juan M","non-dropping-particle":"","parse-names":false,"suffix":""},{"dropping-particle":"","family":"Arteaga Peralta","given":"Vladimir","non-dropping-particle":"","parse-names":false,"suffix":""},{"dropping-particle":"","family":"García Amador","given":"Cristina","non-dropping-particle":"","parse-names":false,"suffix":""},{"dropping-particle":"","family":"López Marcano","given":"Aylhín Joana","non-dropping-particle":"","parse-names":false,"suffix":""},{"dropping-particle":"","family":"Medina Velasco","given":"Aníbal Armando","non-dropping-particle":"","parse-names":false,"suffix":""},{"dropping-particle":"","family":"González Sierra","given":"Begoña","non-dropping-particle":"","parse-names":false,"suffix":""},{"dropping-particle":"","family":"Manuel Vázquez","given":"Alba","non-dropping-particle":"","parse-names":false,"suffix":""}],"container-title":"Annals of surgery","id":"ITEM-4","issue":"5","issued":{"date-parts":[["2018","11"]]},"page":"838-844","title":"Clinical Validation of the Comprehensive Complication Index as a Measure of Postoperative Morbidity at a Surgical Department: A Prospective Study.","type":"article-journal","volume":"268"},"uris":["http://www.mendeley.com/documents/?uuid=8104cf42-2103-44e1-b29e-3a1a366ec607","http://www.mendeley.com/documents/?uuid=af7334d4-f730-41ef-813b-9a708dd320a5"]}],"mendeley":{"formattedCitation":"&lt;sup&gt;[5,19–21]&lt;/sup&gt;","plainTextFormattedCitation":"[5,19–21]","previouslyFormattedCitation":"&lt;sup&gt;[5,19–21]&lt;/sup&gt;"},"properties":{"noteIndex":0},"schema":"https://github.com/citation-style-language/schema/raw/master/csl-citation.json"}</w:instrText>
      </w:r>
      <w:r w:rsidRPr="00011E8F">
        <w:rPr>
          <w:rFonts w:ascii="Book Antiqua" w:hAnsi="Book Antiqua"/>
          <w:color w:val="000000" w:themeColor="text1"/>
          <w:sz w:val="24"/>
          <w:szCs w:val="24"/>
          <w:lang w:val="en-NZ"/>
        </w:rPr>
        <w:fldChar w:fldCharType="separate"/>
      </w:r>
      <w:r w:rsidRPr="00011E8F">
        <w:rPr>
          <w:rFonts w:ascii="Book Antiqua" w:hAnsi="Book Antiqua"/>
          <w:noProof/>
          <w:color w:val="000000" w:themeColor="text1"/>
          <w:sz w:val="24"/>
          <w:szCs w:val="24"/>
          <w:vertAlign w:val="superscript"/>
          <w:lang w:val="en-US"/>
        </w:rPr>
        <w:t>[5,19</w:t>
      </w:r>
      <w:r w:rsidR="00054898">
        <w:rPr>
          <w:rFonts w:ascii="Book Antiqua" w:hAnsi="Book Antiqua"/>
          <w:noProof/>
          <w:color w:val="000000" w:themeColor="text1"/>
          <w:sz w:val="24"/>
          <w:szCs w:val="24"/>
          <w:vertAlign w:val="superscript"/>
          <w:lang w:val="en-US"/>
        </w:rPr>
        <w:t>-</w:t>
      </w:r>
      <w:r w:rsidRPr="00011E8F">
        <w:rPr>
          <w:rFonts w:ascii="Book Antiqua" w:hAnsi="Book Antiqua"/>
          <w:noProof/>
          <w:color w:val="000000" w:themeColor="text1"/>
          <w:sz w:val="24"/>
          <w:szCs w:val="24"/>
          <w:vertAlign w:val="superscript"/>
          <w:lang w:val="en-US"/>
        </w:rPr>
        <w:t>21]</w:t>
      </w:r>
      <w:r w:rsidRPr="00011E8F">
        <w:rPr>
          <w:rFonts w:ascii="Book Antiqua" w:hAnsi="Book Antiqua"/>
          <w:color w:val="000000" w:themeColor="text1"/>
          <w:sz w:val="24"/>
          <w:szCs w:val="24"/>
          <w:lang w:val="en-NZ"/>
        </w:rPr>
        <w:fldChar w:fldCharType="end"/>
      </w:r>
      <w:r w:rsidRPr="00011E8F">
        <w:rPr>
          <w:rFonts w:ascii="Book Antiqua" w:hAnsi="Book Antiqua"/>
          <w:color w:val="000000" w:themeColor="text1"/>
          <w:sz w:val="24"/>
          <w:szCs w:val="24"/>
          <w:lang w:val="en-NZ"/>
        </w:rPr>
        <w:t xml:space="preserve">, </w:t>
      </w:r>
      <w:r w:rsidRPr="00011E8F">
        <w:rPr>
          <w:rFonts w:ascii="Book Antiqua" w:hAnsi="Book Antiqua"/>
          <w:color w:val="000000" w:themeColor="text1"/>
          <w:sz w:val="24"/>
          <w:szCs w:val="24"/>
          <w:lang w:val="en-US"/>
        </w:rPr>
        <w:t>even if it is asymptomatic or only remotely related to the initial surgical procedure</w:t>
      </w:r>
      <w:r w:rsidR="00394178" w:rsidRPr="00011E8F">
        <w:rPr>
          <w:rFonts w:ascii="Book Antiqua" w:hAnsi="Book Antiqua"/>
          <w:color w:val="000000" w:themeColor="text1"/>
          <w:sz w:val="24"/>
          <w:szCs w:val="24"/>
          <w:lang w:val="en-US"/>
        </w:rPr>
        <w:fldChar w:fldCharType="begin" w:fldLock="1"/>
      </w:r>
      <w:r w:rsidR="00DB5656" w:rsidRPr="00011E8F">
        <w:rPr>
          <w:rFonts w:ascii="Book Antiqua" w:hAnsi="Book Antiqua"/>
          <w:color w:val="000000" w:themeColor="text1"/>
          <w:sz w:val="24"/>
          <w:szCs w:val="24"/>
          <w:lang w:val="en-US"/>
        </w:rPr>
        <w:instrText>ADDIN CSL_CITATION {"citationItems":[{"id":"ITEM-1","itemData":{"DOI":"10.1097/SLA.0000000000002839","ISSN":"1528-1140","PMID":"30303875","abstract":"OBJECTIVE Using clinical outcomes, to validate the comprehensive complication index (CCI) as a measure of postoperative morbidity in all patients undergoing surgery at a general surgery department. BACKGROUND The Clavien-Dindo classification (CDC) is the most widely used system to assess postoperative morbidity. The CCI is a numerical scale based on the CDC. Once validated, it could be used universally to establish and compare the real postoperative complications of each surgical procedure. METHODS Observational prospective cohort study. All patients who underwent surgery during the 1-year study period were included. All the complications graded with the CDC and related to the initial admission, or until discharge if the patient was readmitted within 90 days of surgery, were included. Surgical procedures were classified according to the operative severity score (OSS) as minor, moderate, major, or major+. The clinical validation of the CCI was performed by assessing its correlation with 4 different clinical outcomes. RESULTS A total of 1850 patients were included: 513 (27.7%) presented complications and 101 (5.46%) were readmitted. In the multivariate analysis, the CCI and CDC were associated with postoperative stay, prolongation of postoperative stay, readmission, and disability in all OSS groups (P &lt; 0.001). The CCI was superior to the CDC in all models except for prolongation of stay for OSS moderate and major+. CONCLUSIONS The CCI can be applied in all the procedures carried out at general surgery departments. It is able to determine the morbidity and allows the comparison of the outcomes at different services.","author":[{"dropping-particle":"","family":"la Plaza Llamas","given":"Roberto","non-dropping-particle":"de","parse-names":false,"suffix":""},{"dropping-particle":"","family":"Ramia Ángel","given":"José Manuel","non-dropping-particle":"","parse-names":false,"suffix":""},{"dropping-particle":"","family":"Bellón","given":"Juan M","non-dropping-particle":"","parse-names":false,"suffix":""},{"dropping-particle":"","family":"Arteaga Peralta","given":"Vladimir","non-dropping-particle":"","parse-names":false,"suffix":""},{"dropping-particle":"","family":"García Amador","given":"Cristina","non-dropping-particle":"","parse-names":false,"suffix":""},{"dropping-particle":"","family":"López Marcano","given":"Aylhín Joana","non-dropping-particle":"","parse-names":false,"suffix":""},{"dropping-particle":"","family":"Medina Velasco","given":"Aníbal Armando","non-dropping-particle":"","parse-names":false,"suffix":""},{"dropping-particle":"","family":"González Sierra","given":"Begoña","non-dropping-particle":"","parse-names":false,"suffix":""},{"dropping-particle":"","family":"Manuel Vázquez","given":"Alba","non-dropping-particle":"","parse-names":false,"suffix":""}],"container-title":"Annals of surgery","id":"ITEM-1","issue":"5","issued":{"date-parts":[["2018","11"]]},"page":"838-844","title":"Clinical Validation of the Comprehensive Complication Index as a Measure of Postoperative Morbidity at a Surgical Department: A Prospective Study.","type":"article-journal","volume":"268"},"uris":["http://www.mendeley.com/documents/?uuid=af7334d4-f730-41ef-813b-9a708dd320a5"]},{"id":"ITEM-2","itemData":{"DOI":"10.1097/SLA.0000000000003308","ISSN":"1528-1140","PMID":"30985367","abstract":"OBJECTIVE To validate the Comprehensive Complication Index (CCI) via an assessment of its relation to postoperative costs. BACKGROUND The CCI summarizes all the postoperative complications graded by the Clavien-Dindo classification (CDC) on a numerical scale. Its relation to hospital costs has not been validated to date. METHODS Prospective observational cohort study, including all patients undergoing surgery at a general surgery service during the 1-year study period. All complications graded with the CDC and CCI and related to the initial admission, or until discharge if the patient was readmitted within 90 days of surgery, were included. The surgeries were classified according to their Operative Severity Score (OSS) and in 4 groups of homogeneous surgeries. All postoperative costs were recorded. RESULTS In all, 1850 patients were included, of whom 513 presented complications (27.7%). The CDC and the CCI were moderately to strongly correlated with overall postoperative costs (OPCs) in all OSS groups (rs = 0.444-0.810 vs 0.445-0.820; P &lt; 0.001), homogeneous surgeries (rs = 0.364-0.802 vs 0.364-0.813; P &lt; 0.001), prolongation of postoperative stay (rs = 0.802 vs 0.830; P &lt; 0.001), and initial operating room costs (rs = 0.448 vs 0.451; P &lt; 0.001). This correlation was higher in emergency surgery. With higher CDC grades, the OPC tended to increase an upward trend. In the multivariate analysis, CDC, CCI, age, and duration of surgery were all associated with OPC (P &lt; 0.001). CONCLUSIONS In our environment, the CCI presented associations with OPC. This demonstration of its economic validity enhances its clinical validity.","author":[{"dropping-particle":"","family":"la Plaza Llamas","given":"Roberto","non-dropping-particle":"de","parse-names":false,"suffix":""},{"dropping-particle":"","family":"Hidalgo Vega","given":"Álvaro","non-dropping-particle":"","parse-names":false,"suffix":""},{"dropping-particle":"","family":"Latorre Fragua","given":"Raquel A","non-dropping-particle":"","parse-names":false,"suffix":""},{"dropping-particle":"","family":"López Marcano","given":"Aylhín J","non-dropping-particle":"","parse-names":false,"suffix":""},{"dropping-particle":"","family":"Medina Velasco","given":"Aníbal A","non-dropping-particle":"","parse-names":false,"suffix":""},{"dropping-particle":"","family":"Díaz Candelas","given":"Daniel A","non-dropping-particle":"","parse-names":false,"suffix":""},{"dropping-particle":"","family":"García Gil","given":"José M","non-dropping-particle":"","parse-names":false,"suffix":""},{"dropping-particle":"","family":"Ramia Ángel","given":"José M","non-dropping-particle":"","parse-names":false,"suffix":""}],"container-title":"Annals of surgery","id":"ITEM-2","issued":{"date-parts":[["2019","4","9"]]},"page":"1","title":"The Cost of Postoperative Complications and Economic Validation of the Comprehensive Complication Index: Prospective Study.","type":"article-journal"},"uris":["http://www.mendeley.com/documents/?uuid=bb2a3eea-9923-4685-b9a0-03b6af015fd2"]}],"mendeley":{"formattedCitation":"&lt;sup&gt;[5,15]&lt;/sup&gt;","plainTextFormattedCitation":"[5,15]","previouslyFormattedCitation":"&lt;sup&gt;[5,15]&lt;/sup&gt;"},"properties":{"noteIndex":0},"schema":"https://github.com/citation-style-language/schema/raw/master/csl-citation.json"}</w:instrText>
      </w:r>
      <w:r w:rsidR="00394178" w:rsidRPr="00011E8F">
        <w:rPr>
          <w:rFonts w:ascii="Book Antiqua" w:hAnsi="Book Antiqua"/>
          <w:color w:val="000000" w:themeColor="text1"/>
          <w:sz w:val="24"/>
          <w:szCs w:val="24"/>
          <w:lang w:val="en-US"/>
        </w:rPr>
        <w:fldChar w:fldCharType="separate"/>
      </w:r>
      <w:r w:rsidR="00394178" w:rsidRPr="00011E8F">
        <w:rPr>
          <w:rFonts w:ascii="Book Antiqua" w:hAnsi="Book Antiqua"/>
          <w:noProof/>
          <w:color w:val="000000" w:themeColor="text1"/>
          <w:sz w:val="24"/>
          <w:szCs w:val="24"/>
          <w:vertAlign w:val="superscript"/>
          <w:lang w:val="en-US"/>
        </w:rPr>
        <w:t>[5,15]</w:t>
      </w:r>
      <w:r w:rsidR="00394178" w:rsidRPr="00011E8F">
        <w:rPr>
          <w:rFonts w:ascii="Book Antiqua" w:hAnsi="Book Antiqua"/>
          <w:color w:val="000000" w:themeColor="text1"/>
          <w:sz w:val="24"/>
          <w:szCs w:val="24"/>
          <w:lang w:val="en-US"/>
        </w:rPr>
        <w:fldChar w:fldCharType="end"/>
      </w:r>
      <w:r w:rsidRPr="00011E8F">
        <w:rPr>
          <w:rFonts w:ascii="Book Antiqua" w:hAnsi="Book Antiqua"/>
          <w:color w:val="000000" w:themeColor="text1"/>
          <w:sz w:val="24"/>
          <w:szCs w:val="24"/>
          <w:lang w:val="en-US"/>
        </w:rPr>
        <w:t>. This classification is intended to avoid subjectivity and to ensure that all observers apply the same criteria. This fact entails a series of important consequences:</w:t>
      </w:r>
      <w:r w:rsidR="00C440B7" w:rsidRPr="00011E8F">
        <w:rPr>
          <w:rFonts w:ascii="Book Antiqua" w:hAnsi="Book Antiqua"/>
          <w:color w:val="000000" w:themeColor="text1"/>
          <w:sz w:val="24"/>
          <w:szCs w:val="24"/>
          <w:lang w:val="en-US"/>
        </w:rPr>
        <w:t xml:space="preserve"> (1)</w:t>
      </w:r>
      <w:r w:rsidRPr="00011E8F">
        <w:rPr>
          <w:rFonts w:ascii="Book Antiqua" w:hAnsi="Book Antiqua"/>
          <w:color w:val="000000" w:themeColor="text1"/>
          <w:sz w:val="24"/>
          <w:szCs w:val="24"/>
          <w:lang w:val="en-US"/>
        </w:rPr>
        <w:t xml:space="preserve"> Postoperative patients who have had complications may be classified as uncomplicated:</w:t>
      </w:r>
      <w:r w:rsidR="00C440B7" w:rsidRPr="00011E8F">
        <w:rPr>
          <w:rFonts w:ascii="Book Antiqua" w:hAnsi="Book Antiqua"/>
          <w:color w:val="000000" w:themeColor="text1"/>
          <w:sz w:val="24"/>
          <w:szCs w:val="24"/>
          <w:lang w:val="en-US"/>
        </w:rPr>
        <w:t xml:space="preserve"> (A) </w:t>
      </w:r>
      <w:r w:rsidRPr="00011E8F">
        <w:rPr>
          <w:rFonts w:ascii="Book Antiqua" w:hAnsi="Book Antiqua"/>
          <w:color w:val="000000" w:themeColor="text1"/>
          <w:sz w:val="24"/>
          <w:szCs w:val="24"/>
          <w:lang w:val="en-US"/>
        </w:rPr>
        <w:t xml:space="preserve">In this case PC-related EC may be attributed to the mean or median costs of patients without complications. This overestimates the costs of patients without </w:t>
      </w:r>
      <w:r w:rsidR="00C440B7" w:rsidRPr="00011E8F">
        <w:rPr>
          <w:rFonts w:ascii="Book Antiqua" w:hAnsi="Book Antiqua"/>
          <w:color w:val="000000" w:themeColor="text1"/>
          <w:sz w:val="24"/>
          <w:szCs w:val="24"/>
          <w:lang w:val="en-US"/>
        </w:rPr>
        <w:t>complications and</w:t>
      </w:r>
      <w:r w:rsidRPr="00011E8F">
        <w:rPr>
          <w:rFonts w:ascii="Book Antiqua" w:hAnsi="Book Antiqua"/>
          <w:color w:val="000000" w:themeColor="text1"/>
          <w:sz w:val="24"/>
          <w:szCs w:val="24"/>
          <w:lang w:val="en-US"/>
        </w:rPr>
        <w:t xml:space="preserve"> brings down the mean EC of patients with complications included in the non-complicated group</w:t>
      </w:r>
      <w:r w:rsidR="00C440B7" w:rsidRPr="00011E8F">
        <w:rPr>
          <w:rFonts w:ascii="Book Antiqua" w:hAnsi="Book Antiqua"/>
          <w:color w:val="000000" w:themeColor="text1"/>
          <w:sz w:val="24"/>
          <w:szCs w:val="24"/>
          <w:lang w:val="en-US"/>
        </w:rPr>
        <w:t xml:space="preserve">; (B) </w:t>
      </w:r>
      <w:r w:rsidRPr="00011E8F">
        <w:rPr>
          <w:rFonts w:ascii="Book Antiqua" w:hAnsi="Book Antiqua"/>
          <w:color w:val="000000" w:themeColor="text1"/>
          <w:sz w:val="24"/>
          <w:szCs w:val="24"/>
          <w:lang w:val="en-US"/>
        </w:rPr>
        <w:t>Patients with complications who are wrongly classified as non-complicated do not appear in the PC group (these complications are usually minor). This misclassification pushes up the mean or median costs estimated for particular procedures associated with PC, and erroneously underestimates the total cost of patients with complications</w:t>
      </w:r>
      <w:r w:rsidR="00C440B7" w:rsidRPr="00011E8F">
        <w:rPr>
          <w:rFonts w:ascii="Book Antiqua" w:hAnsi="Book Antiqua"/>
          <w:color w:val="000000" w:themeColor="text1"/>
          <w:sz w:val="24"/>
          <w:szCs w:val="24"/>
          <w:lang w:val="en-US"/>
        </w:rPr>
        <w:t xml:space="preserve">; and (2) </w:t>
      </w:r>
      <w:r w:rsidRPr="00011E8F">
        <w:rPr>
          <w:rFonts w:ascii="Book Antiqua" w:hAnsi="Book Antiqua"/>
          <w:color w:val="000000" w:themeColor="text1"/>
          <w:sz w:val="24"/>
          <w:szCs w:val="24"/>
          <w:lang w:val="en-US"/>
        </w:rPr>
        <w:t xml:space="preserve">This leads to errors of classification of diagnosis-related groups (DRG). DRG classify patients who have similar clinical characteristics and similar treatment costs. The purpose of their use is to relate a hospital’s case load to the demand for resources and the costs incurred. Therefore, if a surgery service has a more complex case load according to DRG (as is the case when complications are recorded), this means that the hospital is treating patients who need more hospital resources and, by extension, represent a higher economic outlay. Failure to record all PC would have grave economic consequences for the management unit responsible for </w:t>
      </w:r>
      <w:r w:rsidRPr="00011E8F">
        <w:rPr>
          <w:rFonts w:ascii="Book Antiqua" w:hAnsi="Book Antiqua"/>
          <w:color w:val="000000" w:themeColor="text1"/>
          <w:sz w:val="24"/>
          <w:szCs w:val="24"/>
          <w:lang w:val="en-US"/>
        </w:rPr>
        <w:lastRenderedPageBreak/>
        <w:t>patient care because it would be assigned fewer resources (</w:t>
      </w:r>
      <w:r w:rsidRPr="00011E8F">
        <w:rPr>
          <w:rFonts w:ascii="Book Antiqua" w:hAnsi="Book Antiqua"/>
          <w:i/>
          <w:iCs/>
          <w:color w:val="000000" w:themeColor="text1"/>
          <w:sz w:val="24"/>
          <w:szCs w:val="24"/>
          <w:lang w:val="en-US"/>
        </w:rPr>
        <w:t>i.e.</w:t>
      </w:r>
      <w:r w:rsidRPr="00011E8F">
        <w:rPr>
          <w:rFonts w:ascii="Book Antiqua" w:hAnsi="Book Antiqua"/>
          <w:color w:val="000000" w:themeColor="text1"/>
          <w:sz w:val="24"/>
          <w:szCs w:val="24"/>
          <w:lang w:val="en-US"/>
        </w:rPr>
        <w:t>, the amount corresponding to non-complex DRG).</w:t>
      </w:r>
    </w:p>
    <w:p w14:paraId="69492C34" w14:textId="13F5802D" w:rsidR="001917A0" w:rsidRPr="00011E8F" w:rsidRDefault="001917A0" w:rsidP="00FC61F7">
      <w:pPr>
        <w:snapToGrid w:val="0"/>
        <w:spacing w:after="0" w:line="360" w:lineRule="auto"/>
        <w:ind w:right="565" w:firstLineChars="100" w:firstLine="240"/>
        <w:jc w:val="both"/>
        <w:rPr>
          <w:rFonts w:ascii="Book Antiqua" w:hAnsi="Book Antiqua"/>
          <w:color w:val="000000" w:themeColor="text1"/>
          <w:sz w:val="24"/>
          <w:szCs w:val="24"/>
          <w:lang w:val="en-US"/>
        </w:rPr>
      </w:pPr>
      <w:r w:rsidRPr="00011E8F">
        <w:rPr>
          <w:rFonts w:ascii="Book Antiqua" w:hAnsi="Book Antiqua"/>
          <w:color w:val="000000" w:themeColor="text1"/>
          <w:sz w:val="24"/>
          <w:szCs w:val="24"/>
          <w:lang w:val="en-US"/>
        </w:rPr>
        <w:t>Secondly, PC must be recorded thoroughly. To achieve this, physicians must be formally obliged to prospectively document all complications affecting the patient during or after surgery. But this does not usually occur. In order to record all PC, researchers must evaluate the medical and (above all) the nursing logs and, if possible, specific complications forms in the electronic medical record</w:t>
      </w:r>
      <w:r w:rsidRPr="00011E8F">
        <w:rPr>
          <w:rFonts w:ascii="Book Antiqua" w:hAnsi="Book Antiqua"/>
          <w:color w:val="000000" w:themeColor="text1"/>
          <w:sz w:val="24"/>
          <w:szCs w:val="24"/>
        </w:rPr>
        <w:fldChar w:fldCharType="begin" w:fldLock="1"/>
      </w:r>
      <w:r w:rsidRPr="00011E8F">
        <w:rPr>
          <w:rFonts w:ascii="Book Antiqua" w:hAnsi="Book Antiqua"/>
          <w:color w:val="000000" w:themeColor="text1"/>
          <w:sz w:val="24"/>
          <w:szCs w:val="24"/>
          <w:lang w:val="en-US"/>
        </w:rPr>
        <w:instrText>ADDIN CSL_CITATION {"citationItems":[{"id":"ITEM-1","itemData":{"DOI":"10.1097/SLA.0000000000002839","ISSN":"1528-1140","PMID":"30303875","abstract":"OBJECTIVE Using clinical outcomes, to validate the comprehensive complication index (CCI) as a measure of postoperative morbidity in all patients undergoing surgery at a general surgery department. BACKGROUND The Clavien-Dindo classification (CDC) is the most widely used system to assess postoperative morbidity. The CCI is a numerical scale based on the CDC. Once validated, it could be used universally to establish and compare the real postoperative complications of each surgical procedure. METHODS Observational prospective cohort study. All patients who underwent surgery during the 1-year study period were included. All the complications graded with the CDC and related to the initial admission, or until discharge if the patient was readmitted within 90 days of surgery, were included. Surgical procedures were classified according to the operative severity score (OSS) as minor, moderate, major, or major+. The clinical validation of the CCI was performed by assessing its correlation with 4 different clinical outcomes. RESULTS A total of 1850 patients were included: 513 (27.7%) presented complications and 101 (5.46%) were readmitted. In the multivariate analysis, the CCI and CDC were associated with postoperative stay, prolongation of postoperative stay, readmission, and disability in all OSS groups (P &lt; 0.001). The CCI was superior to the CDC in all models except for prolongation of stay for OSS moderate and major+. CONCLUSIONS The CCI can be applied in all the procedures carried out at general surgery departments. It is able to determine the morbidity and allows the comparison of the outcomes at different services.","author":[{"dropping-particle":"","family":"la Plaza Llamas","given":"Roberto","non-dropping-particle":"de","parse-names":false,"suffix":""},{"dropping-particle":"","family":"Ramia Ángel","given":"José Manuel","non-dropping-particle":"","parse-names":false,"suffix":""},{"dropping-particle":"","family":"Bellón","given":"Juan M","non-dropping-particle":"","parse-names":false,"suffix":""},{"dropping-particle":"","family":"Arteaga Peralta","given":"Vladimir","non-dropping-particle":"","parse-names":false,"suffix":""},{"dropping-particle":"","family":"García Amador","given":"Cristina","non-dropping-particle":"","parse-names":false,"suffix":""},{"dropping-particle":"","family":"López Marcano","given":"Aylhín Joana","non-dropping-particle":"","parse-names":false,"suffix":""},{"dropping-particle":"","family":"Medina Velasco","given":"Aníbal Armando","non-dropping-particle":"","parse-names":false,"suffix":""},{"dropping-particle":"","family":"González Sierra","given":"Begoña","non-dropping-particle":"","parse-names":false,"suffix":""},{"dropping-particle":"","family":"Manuel Vázquez","given":"Alba","non-dropping-particle":"","parse-names":false,"suffix":""}],"container-title":"Annals of surgery","id":"ITEM-1","issue":"5","issued":{"date-parts":[["2018","11"]]},"page":"838-844","title":"Clinical Validation of the Comprehensive Complication Index as a Measure of Postoperative Morbidity at a Surgical Department: A Prospective Study.","type":"article-journal","volume":"268"},"uris":["http://www.mendeley.com/documents/?uuid=af7334d4-f730-41ef-813b-9a708dd320a5","http://www.mendeley.com/documents/?uuid=8104cf42-2103-44e1-b29e-3a1a366ec607"]}],"mendeley":{"formattedCitation":"&lt;sup&gt;[5]&lt;/sup&gt;","plainTextFormattedCitation":"[5]","previouslyFormattedCitation":"&lt;sup&gt;[5]&lt;/sup&gt;"},"properties":{"noteIndex":0},"schema":"https://github.com/citation-style-language/schema/raw/master/csl-citation.json"}</w:instrText>
      </w:r>
      <w:r w:rsidRPr="00011E8F">
        <w:rPr>
          <w:rFonts w:ascii="Book Antiqua" w:hAnsi="Book Antiqua"/>
          <w:color w:val="000000" w:themeColor="text1"/>
          <w:sz w:val="24"/>
          <w:szCs w:val="24"/>
        </w:rPr>
        <w:fldChar w:fldCharType="separate"/>
      </w:r>
      <w:r w:rsidRPr="00011E8F">
        <w:rPr>
          <w:rFonts w:ascii="Book Antiqua" w:hAnsi="Book Antiqua"/>
          <w:noProof/>
          <w:color w:val="000000" w:themeColor="text1"/>
          <w:sz w:val="24"/>
          <w:szCs w:val="24"/>
          <w:vertAlign w:val="superscript"/>
          <w:lang w:val="en-US"/>
        </w:rPr>
        <w:t>[5]</w:t>
      </w:r>
      <w:r w:rsidRPr="00011E8F">
        <w:rPr>
          <w:rFonts w:ascii="Book Antiqua" w:hAnsi="Book Antiqua"/>
          <w:color w:val="000000" w:themeColor="text1"/>
          <w:sz w:val="24"/>
          <w:szCs w:val="24"/>
        </w:rPr>
        <w:fldChar w:fldCharType="end"/>
      </w:r>
      <w:r w:rsidRPr="00011E8F">
        <w:rPr>
          <w:rFonts w:ascii="Book Antiqua" w:hAnsi="Book Antiqua"/>
          <w:color w:val="000000" w:themeColor="text1"/>
          <w:sz w:val="24"/>
          <w:szCs w:val="24"/>
          <w:lang w:val="en-US"/>
        </w:rPr>
        <w:t>. An external audit is mandatory: the health authorities have an essential role to play here.</w:t>
      </w:r>
    </w:p>
    <w:p w14:paraId="3731C1A0" w14:textId="4A466A08" w:rsidR="001917A0" w:rsidRPr="00011E8F" w:rsidRDefault="001917A0" w:rsidP="00FC61F7">
      <w:pPr>
        <w:snapToGrid w:val="0"/>
        <w:spacing w:after="0" w:line="360" w:lineRule="auto"/>
        <w:ind w:right="565" w:firstLineChars="100" w:firstLine="240"/>
        <w:jc w:val="both"/>
        <w:rPr>
          <w:rFonts w:ascii="Book Antiqua" w:hAnsi="Book Antiqua"/>
          <w:color w:val="000000" w:themeColor="text1"/>
          <w:sz w:val="24"/>
          <w:szCs w:val="24"/>
          <w:lang w:val="en-US"/>
        </w:rPr>
      </w:pPr>
      <w:r w:rsidRPr="00011E8F">
        <w:rPr>
          <w:rFonts w:ascii="Book Antiqua" w:hAnsi="Book Antiqua"/>
          <w:color w:val="000000" w:themeColor="text1"/>
          <w:sz w:val="24"/>
          <w:szCs w:val="24"/>
          <w:lang w:val="en-US"/>
        </w:rPr>
        <w:t>Thirdly, PC must be classified according to a severity or complexity system. We recommend the CDC, published in 2004</w:t>
      </w:r>
      <w:r w:rsidR="00394178" w:rsidRPr="00011E8F">
        <w:rPr>
          <w:rFonts w:ascii="Book Antiqua" w:hAnsi="Book Antiqua"/>
          <w:color w:val="000000" w:themeColor="text1"/>
          <w:sz w:val="24"/>
          <w:szCs w:val="24"/>
          <w:lang w:val="en-US"/>
        </w:rPr>
        <w:fldChar w:fldCharType="begin" w:fldLock="1"/>
      </w:r>
      <w:r w:rsidR="00E60DEC" w:rsidRPr="00011E8F">
        <w:rPr>
          <w:rFonts w:ascii="Book Antiqua" w:hAnsi="Book Antiqua"/>
          <w:color w:val="000000" w:themeColor="text1"/>
          <w:sz w:val="24"/>
          <w:szCs w:val="24"/>
          <w:lang w:val="en-US"/>
        </w:rPr>
        <w:instrText>ADDIN CSL_CITATION {"citationItems":[{"id":"ITEM-1","itemData":{"DOI":"10.1097/01.sla.0000133083.54934.ae","ISBN":"0003-4932","ISSN":"0003-4932","PMID":"15273542","abstract":"Objective: Although quality assessment is gaining increasing attention, there is still no consensus on how to define and grade postoperative complications. This shortcoming hampers comparison of outcome data among different centers and therapies and over time. Patients and Methods: A classification of complications published by one of the authors in 1992 was critically re-evaluated and modified to increase its accuracy and its acceptability in the surgical community. Modifications mainly focused on the manner of reporting life-threatening and permanently disabling complications. The new grading system still mostly relies on the therapy used to treat the complication. The classification was tested in a cohort of 6336 patients who underwent elective general surgery at our institution. The reproducibility and personal judgment of the classification were evaluated through an international survey with 2 questionnaires sent to 10 surgical centers worldwide. Results: The new ranking system significantly correlated with complexity of surgery (P &lt; 0.0001) as well as with the length of the hospital stay (P &lt; 0.0001). A total of 144 surgeons from 10 different centers around the world and at different levels of training returned the survey. Ninety percent of the case presentations were correctly graded. The classification was considered to be simple (92% of the respondents), reproducible (91%), logical (92%), useful (90%), and comprehensive (89%). The answers of both questionnaires were not dependent on the origin of the reply and the level of training of the surgeons. Conclusions: The new complication classification appears reliable and may represent a compelling tool for quality assessment in surgery in all parts of the world.","author":[{"dropping-particle":"","family":"Dindo","given":"Daniel","non-dropping-particle":"","parse-names":false,"suffix":""},{"dropping-particle":"","family":"Demartines","given":"Nicolas","non-dropping-particle":"","parse-names":false,"suffix":""},{"dropping-particle":"","family":"Clavien","given":"Pierre-Alain","non-dropping-particle":"","parse-names":false,"suffix":""}],"container-title":"Annals of surgery","id":"ITEM-1","issue":"2","issued":{"date-parts":[["2004"]]},"page":"205-213","title":"Classification of Surgical Complications","type":"article-journal","volume":"240"},"uris":["http://www.mendeley.com/documents/?uuid=ccb9e4d3-f93e-463d-a7a2-b810c02e83e8"]}],"mendeley":{"formattedCitation":"&lt;sup&gt;[19]&lt;/sup&gt;","plainTextFormattedCitation":"[19]","previouslyFormattedCitation":"&lt;sup&gt;[19]&lt;/sup&gt;"},"properties":{"noteIndex":0},"schema":"https://github.com/citation-style-language/schema/raw/master/csl-citation.json"}</w:instrText>
      </w:r>
      <w:r w:rsidR="00394178" w:rsidRPr="00011E8F">
        <w:rPr>
          <w:rFonts w:ascii="Book Antiqua" w:hAnsi="Book Antiqua"/>
          <w:color w:val="000000" w:themeColor="text1"/>
          <w:sz w:val="24"/>
          <w:szCs w:val="24"/>
          <w:lang w:val="en-US"/>
        </w:rPr>
        <w:fldChar w:fldCharType="separate"/>
      </w:r>
      <w:r w:rsidR="00394178" w:rsidRPr="00011E8F">
        <w:rPr>
          <w:rFonts w:ascii="Book Antiqua" w:hAnsi="Book Antiqua"/>
          <w:noProof/>
          <w:color w:val="000000" w:themeColor="text1"/>
          <w:sz w:val="24"/>
          <w:szCs w:val="24"/>
          <w:vertAlign w:val="superscript"/>
          <w:lang w:val="en-US"/>
        </w:rPr>
        <w:t>[19]</w:t>
      </w:r>
      <w:r w:rsidR="00394178" w:rsidRPr="00011E8F">
        <w:rPr>
          <w:rFonts w:ascii="Book Antiqua" w:hAnsi="Book Antiqua"/>
          <w:color w:val="000000" w:themeColor="text1"/>
          <w:sz w:val="24"/>
          <w:szCs w:val="24"/>
          <w:lang w:val="en-US"/>
        </w:rPr>
        <w:fldChar w:fldCharType="end"/>
      </w:r>
      <w:r w:rsidRPr="00011E8F">
        <w:rPr>
          <w:rFonts w:ascii="Book Antiqua" w:hAnsi="Book Antiqua"/>
          <w:color w:val="000000" w:themeColor="text1"/>
          <w:sz w:val="24"/>
          <w:szCs w:val="24"/>
          <w:lang w:val="en-US"/>
        </w:rPr>
        <w:t xml:space="preserve">. This classification system is the most used worldwide, and the article in which it was described currently has </w:t>
      </w:r>
      <w:r w:rsidR="00E60DEC" w:rsidRPr="00011E8F">
        <w:rPr>
          <w:rFonts w:ascii="Book Antiqua" w:hAnsi="Book Antiqua"/>
          <w:color w:val="000000" w:themeColor="text1"/>
          <w:sz w:val="24"/>
          <w:szCs w:val="24"/>
          <w:lang w:val="en-US"/>
        </w:rPr>
        <w:t>12318</w:t>
      </w:r>
      <w:r w:rsidRPr="00011E8F">
        <w:rPr>
          <w:rFonts w:ascii="Book Antiqua" w:hAnsi="Book Antiqua"/>
          <w:color w:val="000000" w:themeColor="text1"/>
          <w:sz w:val="24"/>
          <w:szCs w:val="24"/>
          <w:lang w:val="en-US"/>
        </w:rPr>
        <w:t xml:space="preserve"> citations</w:t>
      </w:r>
      <w:r w:rsidRPr="00011E8F">
        <w:rPr>
          <w:rFonts w:ascii="Book Antiqua" w:hAnsi="Book Antiqua"/>
          <w:color w:val="000000" w:themeColor="text1"/>
          <w:sz w:val="24"/>
          <w:szCs w:val="24"/>
          <w:lang w:val="en-US"/>
        </w:rPr>
        <w:fldChar w:fldCharType="begin" w:fldLock="1"/>
      </w:r>
      <w:r w:rsidR="00E60DEC" w:rsidRPr="00011E8F">
        <w:rPr>
          <w:rFonts w:ascii="Book Antiqua" w:hAnsi="Book Antiqua"/>
          <w:color w:val="000000" w:themeColor="text1"/>
          <w:sz w:val="24"/>
          <w:szCs w:val="24"/>
          <w:lang w:val="en-US"/>
        </w:rPr>
        <w:instrText>ADDIN CSL_CITATION {"citationItems":[{"id":"ITEM-1","itemData":{"URL":"https://wolterskluwer.altmetric.com/details/4800046/citations","accessed":{"date-parts":[["2019","12","27"]]},"container-title":"Wolters Kluwer, Article Metrics","id":"ITEM-1","issued":{"date-parts":[["0"]]},"title":"Classification of Surgical Complications Overview of attention for article published in Annals of Surgery, August 2004","type":"webpage"},"uris":["http://www.mendeley.com/documents/?uuid=edc46e4f-3cc4-468e-8ed2-7f38f3df89f3","http://www.mendeley.com/documents/?uuid=e2db22ee-02d3-4eb2-9a1a-2f9525b1a15b"]}],"mendeley":{"formattedCitation":"&lt;sup&gt;[22]&lt;/sup&gt;","plainTextFormattedCitation":"[22]","previouslyFormattedCitation":"&lt;sup&gt;[22]&lt;/sup&gt;"},"properties":{"noteIndex":0},"schema":"https://github.com/citation-style-language/schema/raw/master/csl-citation.json"}</w:instrText>
      </w:r>
      <w:r w:rsidRPr="00011E8F">
        <w:rPr>
          <w:rFonts w:ascii="Book Antiqua" w:hAnsi="Book Antiqua"/>
          <w:color w:val="000000" w:themeColor="text1"/>
          <w:sz w:val="24"/>
          <w:szCs w:val="24"/>
          <w:lang w:val="en-US"/>
        </w:rPr>
        <w:fldChar w:fldCharType="separate"/>
      </w:r>
      <w:r w:rsidRPr="00011E8F">
        <w:rPr>
          <w:rFonts w:ascii="Book Antiqua" w:hAnsi="Book Antiqua"/>
          <w:noProof/>
          <w:color w:val="000000" w:themeColor="text1"/>
          <w:sz w:val="24"/>
          <w:szCs w:val="24"/>
          <w:vertAlign w:val="superscript"/>
          <w:lang w:val="en-US"/>
        </w:rPr>
        <w:t>[22]</w:t>
      </w:r>
      <w:r w:rsidRPr="00011E8F">
        <w:rPr>
          <w:rFonts w:ascii="Book Antiqua" w:hAnsi="Book Antiqua"/>
          <w:color w:val="000000" w:themeColor="text1"/>
          <w:sz w:val="24"/>
          <w:szCs w:val="24"/>
          <w:lang w:val="en-US"/>
        </w:rPr>
        <w:fldChar w:fldCharType="end"/>
      </w:r>
      <w:r w:rsidRPr="00011E8F">
        <w:rPr>
          <w:rFonts w:ascii="Book Antiqua" w:hAnsi="Book Antiqua"/>
          <w:color w:val="000000" w:themeColor="text1"/>
          <w:sz w:val="24"/>
          <w:szCs w:val="24"/>
          <w:lang w:val="en-US"/>
        </w:rPr>
        <w:t>. The problem with the CDC is that it categorizes the entire postoperative period according to the most serious complication. This means that patients with two or more adverse events are underrepresented, and it has been demonstrated that between 44 and 51.5% of patients with morbidity at general surgery services have two or more complications</w:t>
      </w:r>
      <w:r w:rsidRPr="00011E8F">
        <w:rPr>
          <w:rFonts w:ascii="Book Antiqua" w:hAnsi="Book Antiqua"/>
          <w:color w:val="000000" w:themeColor="text1"/>
          <w:sz w:val="24"/>
          <w:szCs w:val="24"/>
        </w:rPr>
        <w:fldChar w:fldCharType="begin" w:fldLock="1"/>
      </w:r>
      <w:r w:rsidR="00394178" w:rsidRPr="00011E8F">
        <w:rPr>
          <w:rFonts w:ascii="Book Antiqua" w:hAnsi="Book Antiqua"/>
          <w:color w:val="000000" w:themeColor="text1"/>
          <w:sz w:val="24"/>
          <w:szCs w:val="24"/>
          <w:lang w:val="en-US"/>
        </w:rPr>
        <w:instrText>ADDIN CSL_CITATION {"citationItems":[{"id":"ITEM-1","itemData":{"DOI":"10.1097/SLA.0000000000002132","ISSN":"15281140","PMID":"28486288","abstract":"OBJECTIVE To explore the added value of the comprehensive complication index (CCI) to standard assessment of postoperative morbidity, and to clarify potential controversies for its application. BACKGROUND The CCI was introduced about 3 years ago as a novel metric of postoperative morbidity, integrating in a single formula all complications by severity, ranging from 0 (uneventful course) to 100 (death). It remains unclear, how often the CCI adds to standard reporting of complications and how to apply it in complex postoperative courses. METHODS CCI data were prospectively collected over a 1-year period at our institution. The proportion of patients with more than 1 complication and the severity of those complications were assessed to determine the additional value of the CCI compared to the Clavien-Dindo classification. Complex and controversial cases were presented to 90 surgeons worldwide to achieve consensus in weighing each postoperative event. Descriptive statistics were used to evaluate agreement among surgeons and to suggest solutions for consistent use of the CCI. RESULTS Complications were identified in 24% (290/1212) of the general surgical population. Of those, 44% (127/290) developed more than 1 complication by the time of discharge, and thereby CCI added information to the standard grading system of complications. Information gained by the CCI increased with the complexity of surgery and observation time. CONCLUSIONS The CCI adds information on postoperative morbidity in almost half of the patients developing complications, with particular value following extensive surgery and longer postoperative observation up to 3 months. Each single complication, independently of their inter-connection, should be included in the CCI calculation to best mirror the patients' postoperative morbidity.","author":[{"dropping-particle":"","family":"Clavien","given":"Pierre Alain","non-dropping-particle":"","parse-names":false,"suffix":""},{"dropping-particle":"","family":"Vetter","given":"Diana","non-dropping-particle":"","parse-names":false,"suffix":""},{"dropping-particle":"","family":"Staiger","given":"Roxane D","non-dropping-particle":"","parse-names":false,"suffix":""},{"dropping-particle":"","family":"Slankamenac","given":"Ksenija","non-dropping-particle":"","parse-names":false,"suffix":""},{"dropping-particle":"","family":"Mehra","given":"Tarun","non-dropping-particle":"","parse-names":false,"suffix":""},{"dropping-particle":"","family":"Graf","given":"Rolf","non-dropping-particle":"","parse-names":false,"suffix":""},{"dropping-particle":"","family":"Puhan","given":"Milo Alan","non-dropping-particle":"","parse-names":false,"suffix":""}],"container-title":"Annals of Surgery","id":"ITEM-1","issue":"6","issued":{"date-parts":[["2017","6"]]},"page":"1045-1050","title":"The comprehensive complication index (CCI ®): Added value and clinical perspectives 3 years \"down the line\"","type":"article-journal","volume":"265"},"uris":["http://www.mendeley.com/documents/?uuid=ba8ef10f-4811-42ff-8546-0f3da4e6bc41"]},{"id":"ITEM-2","itemData":{"DOI":"10.1097/SLA.0000000000002839","ISSN":"1528-1140","PMID":"30303875","abstract":"OBJECTIVE Using clinical outcomes, to validate the comprehensive complication index (CCI) as a measure of postoperative morbidity in all patients undergoing surgery at a general surgery department. BACKGROUND The Clavien-Dindo classification (CDC) is the most widely used system to assess postoperative morbidity. The CCI is a numerical scale based on the CDC. Once validated, it could be used universally to establish and compare the real postoperative complications of each surgical procedure. METHODS Observational prospective cohort study. All patients who underwent surgery during the 1-year study period were included. All the complications graded with the CDC and related to the initial admission, or until discharge if the patient was readmitted within 90 days of surgery, were included. Surgical procedures were classified according to the operative severity score (OSS) as minor, moderate, major, or major+. The clinical validation of the CCI was performed by assessing its correlation with 4 different clinical outcomes. RESULTS A total of 1850 patients were included: 513 (27.7%) presented complications and 101 (5.46%) were readmitted. In the multivariate analysis, the CCI and CDC were associated with postoperative stay, prolongation of postoperative stay, readmission, and disability in all OSS groups (P &lt; 0.001). The CCI was superior to the CDC in all models except for prolongation of stay for OSS moderate and major+. CONCLUSIONS The CCI can be applied in all the procedures carried out at general surgery departments. It is able to determine the morbidity and allows the comparison of the outcomes at different services.","author":[{"dropping-particle":"","family":"la Plaza Llamas","given":"Roberto","non-dropping-particle":"de","parse-names":false,"suffix":""},{"dropping-particle":"","family":"Ramia Ángel","given":"José Manuel","non-dropping-particle":"","parse-names":false,"suffix":""},{"dropping-particle":"","family":"Bellón","given":"Juan M","non-dropping-particle":"","parse-names":false,"suffix":""},{"dropping-particle":"","family":"Arteaga Peralta","given":"Vladimir","non-dropping-particle":"","parse-names":false,"suffix":""},{"dropping-particle":"","family":"García Amador","given":"Cristina","non-dropping-particle":"","parse-names":false,"suffix":""},{"dropping-particle":"","family":"López Marcano","given":"Aylhín Joana","non-dropping-particle":"","parse-names":false,"suffix":""},{"dropping-particle":"","family":"Medina Velasco","given":"Aníbal Armando","non-dropping-particle":"","parse-names":false,"suffix":""},{"dropping-particle":"","family":"González Sierra","given":"Begoña","non-dropping-particle":"","parse-names":false,"suffix":""},{"dropping-particle":"","family":"Manuel Vázquez","given":"Alba","non-dropping-particle":"","parse-names":false,"suffix":""}],"container-title":"Annals of surgery","id":"ITEM-2","issue":"5","issued":{"date-parts":[["2018","11"]]},"page":"838-844","title":"Clinical Validation of the Comprehensive Complication Index as a Measure of Postoperative Morbidity at a Surgical Department: A Prospective Study.","type":"article-journal","volume":"268"},"uris":["http://www.mendeley.com/documents/?uuid=af7334d4-f730-41ef-813b-9a708dd320a5","http://www.mendeley.com/documents/?uuid=8104cf42-2103-44e1-b29e-3a1a366ec607"]}],"mendeley":{"formattedCitation":"&lt;sup&gt;[5,23]&lt;/sup&gt;","plainTextFormattedCitation":"[5,23]","previouslyFormattedCitation":"&lt;sup&gt;[5,23]&lt;/sup&gt;"},"properties":{"noteIndex":0},"schema":"https://github.com/citation-style-language/schema/raw/master/csl-citation.json"}</w:instrText>
      </w:r>
      <w:r w:rsidRPr="00011E8F">
        <w:rPr>
          <w:rFonts w:ascii="Book Antiqua" w:hAnsi="Book Antiqua"/>
          <w:color w:val="000000" w:themeColor="text1"/>
          <w:sz w:val="24"/>
          <w:szCs w:val="24"/>
        </w:rPr>
        <w:fldChar w:fldCharType="separate"/>
      </w:r>
      <w:r w:rsidRPr="00011E8F">
        <w:rPr>
          <w:rFonts w:ascii="Book Antiqua" w:hAnsi="Book Antiqua"/>
          <w:noProof/>
          <w:color w:val="000000" w:themeColor="text1"/>
          <w:sz w:val="24"/>
          <w:szCs w:val="24"/>
          <w:vertAlign w:val="superscript"/>
          <w:lang w:val="en-US"/>
        </w:rPr>
        <w:t>[5,23]</w:t>
      </w:r>
      <w:r w:rsidRPr="00011E8F">
        <w:rPr>
          <w:rFonts w:ascii="Book Antiqua" w:hAnsi="Book Antiqua"/>
          <w:color w:val="000000" w:themeColor="text1"/>
          <w:sz w:val="24"/>
          <w:szCs w:val="24"/>
        </w:rPr>
        <w:fldChar w:fldCharType="end"/>
      </w:r>
      <w:r w:rsidRPr="00011E8F">
        <w:rPr>
          <w:rFonts w:ascii="Book Antiqua" w:hAnsi="Book Antiqua"/>
          <w:color w:val="000000" w:themeColor="text1"/>
          <w:sz w:val="24"/>
          <w:szCs w:val="24"/>
          <w:lang w:val="en-US"/>
        </w:rPr>
        <w:t xml:space="preserve">. To overcome this problem, in 2013 </w:t>
      </w:r>
      <w:proofErr w:type="spellStart"/>
      <w:r w:rsidRPr="00011E8F">
        <w:rPr>
          <w:rFonts w:ascii="Book Antiqua" w:hAnsi="Book Antiqua"/>
          <w:color w:val="000000" w:themeColor="text1"/>
          <w:sz w:val="24"/>
          <w:szCs w:val="24"/>
          <w:lang w:val="en-US"/>
        </w:rPr>
        <w:t>Slankamenac</w:t>
      </w:r>
      <w:proofErr w:type="spellEnd"/>
      <w:r w:rsidRPr="00011E8F">
        <w:rPr>
          <w:rFonts w:ascii="Book Antiqua" w:hAnsi="Book Antiqua"/>
          <w:color w:val="000000" w:themeColor="text1"/>
          <w:sz w:val="24"/>
          <w:szCs w:val="24"/>
          <w:lang w:val="en-US"/>
        </w:rPr>
        <w:t xml:space="preserve"> </w:t>
      </w:r>
      <w:r w:rsidRPr="00011E8F">
        <w:rPr>
          <w:rFonts w:ascii="Book Antiqua" w:hAnsi="Book Antiqua"/>
          <w:i/>
          <w:iCs/>
          <w:color w:val="000000" w:themeColor="text1"/>
          <w:sz w:val="24"/>
          <w:szCs w:val="24"/>
          <w:lang w:val="en-US"/>
        </w:rPr>
        <w:t>et al</w:t>
      </w:r>
      <w:r w:rsidR="00C440B7" w:rsidRPr="00011E8F">
        <w:rPr>
          <w:rFonts w:ascii="Book Antiqua" w:hAnsi="Book Antiqua"/>
          <w:color w:val="000000" w:themeColor="text1"/>
          <w:sz w:val="24"/>
          <w:szCs w:val="24"/>
        </w:rPr>
        <w:fldChar w:fldCharType="begin" w:fldLock="1"/>
      </w:r>
      <w:r w:rsidR="00C440B7" w:rsidRPr="00011E8F">
        <w:rPr>
          <w:rFonts w:ascii="Book Antiqua" w:hAnsi="Book Antiqua"/>
          <w:color w:val="000000" w:themeColor="text1"/>
          <w:sz w:val="24"/>
          <w:szCs w:val="24"/>
          <w:lang w:val="en-US"/>
        </w:rPr>
        <w:instrText>ADDIN CSL_CITATION {"citationItems":[{"id":"ITEM-1","itemData":{"DOI":"10.1097/SLA.0b013e318296c732","ISSN":"1528-1140","PMID":"23728278","abstract":"OBJECTIVE To develop and validate a comprehensive complication index (CCI) that integrates all events with their respective severity. BACKGROUND Reporting of surgical complications is inconsistent and often incomplete. Most studies fail to provide information about the severity of complications, or inform only on the most severe event, ignoring events of lesser severity. METHODS We used an established classification of complications, adopting methods from operation risk index analysis in marketing research to develop a formula that considers all complications that may occur in a patient. The weights of each grade of complication, defined as median reference values, were obtained from 472 participants, who rated 30 different complications. Validation to assess sensitivity to treatment effects and validity of the CCI was performed by 4 different approaches, based on 1299 patients. RESULTS The CCI is calculated as the sum of all complications that are weighted for their severity (multiplication of the median reference values from patients and physicians). The final formula yields a continuous scale to rank the severity of any combination of complications from 0 to 100 in a single patient. The CCI was highly sensitive in detecting treatment effect differences in the context of a randomized trial (effect size detected by CCI vs conventional standardized morbidity outcomes). It also showed a negative correlation with postoperative health status (r = -0.24, P = 0.002), and high correlation with the results of patient-rated single and multiple complications on conjoint analysis (r = 0.94, P &lt; 0.001). CONCLUSIONS The CCI summarizes all postoperative complications and is more sensitive than existing morbidity endpoints. It may serve as a standardized and widely applicable primary endpoint in surgical trials and other interventional fields of medicine. The CCI can be readily computed on the basis of tabulated complications according to the Clavien-Dindo classification (available at www.assessurgery.com).","author":[{"dropping-particle":"","family":"Slankamenac","given":"Ksenija","non-dropping-particle":"","parse-names":false,"suffix":""},{"dropping-particle":"","family":"Graf","given":"Rolf","non-dropping-particle":"","parse-names":false,"suffix":""},{"dropping-particle":"","family":"Barkun","given":"Jeffrey","non-dropping-particle":"","parse-names":false,"suffix":""},{"dropping-particle":"","family":"Puhan","given":"Milo A","non-dropping-particle":"","parse-names":false,"suffix":""},{"dropping-particle":"","family":"Clavien","given":"Pierre-Alain","non-dropping-particle":"","parse-names":false,"suffix":""}],"container-title":"Annals of surgery","id":"ITEM-1","issue":"1","issued":{"date-parts":[["2013","7"]]},"page":"1-7","title":"The comprehensive complication index: a novel continuous scale to measure surgical morbidity.","type":"article-journal","volume":"258"},"uris":["http://www.mendeley.com/documents/?uuid=4a596cde-0a48-4ae3-a146-1b80ad34a345"]}],"mendeley":{"formattedCitation":"&lt;sup&gt;[24]&lt;/sup&gt;","plainTextFormattedCitation":"[24]","previouslyFormattedCitation":"&lt;sup&gt;[24]&lt;/sup&gt;"},"properties":{"noteIndex":0},"schema":"https://github.com/citation-style-language/schema/raw/master/csl-citation.json"}</w:instrText>
      </w:r>
      <w:r w:rsidR="00C440B7" w:rsidRPr="00011E8F">
        <w:rPr>
          <w:rFonts w:ascii="Book Antiqua" w:hAnsi="Book Antiqua"/>
          <w:color w:val="000000" w:themeColor="text1"/>
          <w:sz w:val="24"/>
          <w:szCs w:val="24"/>
        </w:rPr>
        <w:fldChar w:fldCharType="separate"/>
      </w:r>
      <w:r w:rsidR="00C440B7" w:rsidRPr="00011E8F">
        <w:rPr>
          <w:rFonts w:ascii="Book Antiqua" w:hAnsi="Book Antiqua"/>
          <w:noProof/>
          <w:color w:val="000000" w:themeColor="text1"/>
          <w:sz w:val="24"/>
          <w:szCs w:val="24"/>
          <w:vertAlign w:val="superscript"/>
          <w:lang w:val="en-US"/>
        </w:rPr>
        <w:t>[24]</w:t>
      </w:r>
      <w:r w:rsidR="00C440B7" w:rsidRPr="00011E8F">
        <w:rPr>
          <w:rFonts w:ascii="Book Antiqua" w:hAnsi="Book Antiqua"/>
          <w:color w:val="000000" w:themeColor="text1"/>
          <w:sz w:val="24"/>
          <w:szCs w:val="24"/>
        </w:rPr>
        <w:fldChar w:fldCharType="end"/>
      </w:r>
      <w:r w:rsidRPr="00011E8F">
        <w:rPr>
          <w:rFonts w:ascii="Book Antiqua" w:hAnsi="Book Antiqua"/>
          <w:color w:val="000000" w:themeColor="text1"/>
          <w:sz w:val="24"/>
          <w:szCs w:val="24"/>
          <w:lang w:val="en-US"/>
        </w:rPr>
        <w:t xml:space="preserve"> developed a score that takes into account all the PC classified according to the CDC and summarizes them on a scale between 0 (without complications) and 100 (patient death). This scale, called the </w:t>
      </w:r>
      <w:r w:rsidR="00C440B7" w:rsidRPr="00011E8F">
        <w:rPr>
          <w:rFonts w:ascii="Book Antiqua" w:hAnsi="Book Antiqua"/>
          <w:color w:val="000000" w:themeColor="text1"/>
          <w:sz w:val="24"/>
          <w:szCs w:val="24"/>
          <w:lang w:val="en-US"/>
        </w:rPr>
        <w:t>comprehensive complication index</w:t>
      </w:r>
      <w:r w:rsidRPr="00011E8F">
        <w:rPr>
          <w:rFonts w:ascii="Book Antiqua" w:hAnsi="Book Antiqua"/>
          <w:color w:val="000000" w:themeColor="text1"/>
          <w:sz w:val="24"/>
          <w:szCs w:val="24"/>
          <w:lang w:val="en-US"/>
        </w:rPr>
        <w:t xml:space="preserve"> (CCI), has been validated both clinically</w:t>
      </w:r>
      <w:r w:rsidRPr="00011E8F">
        <w:rPr>
          <w:rFonts w:ascii="Book Antiqua" w:hAnsi="Book Antiqua"/>
          <w:color w:val="000000" w:themeColor="text1"/>
          <w:sz w:val="24"/>
          <w:szCs w:val="24"/>
          <w:lang w:val="en-US"/>
        </w:rPr>
        <w:fldChar w:fldCharType="begin" w:fldLock="1"/>
      </w:r>
      <w:r w:rsidRPr="00011E8F">
        <w:rPr>
          <w:rFonts w:ascii="Book Antiqua" w:hAnsi="Book Antiqua"/>
          <w:color w:val="000000" w:themeColor="text1"/>
          <w:sz w:val="24"/>
          <w:szCs w:val="24"/>
          <w:lang w:val="en-US"/>
        </w:rPr>
        <w:instrText>ADDIN CSL_CITATION {"citationItems":[{"id":"ITEM-1","itemData":{"DOI":"10.1097/SLA.0000000000002839","ISSN":"1528-1140","PMID":"30303875","abstract":"OBJECTIVE Using clinical outcomes, to validate the comprehensive complication index (CCI) as a measure of postoperative morbidity in all patients undergoing surgery at a general surgery department. BACKGROUND The Clavien-Dindo classification (CDC) is the most widely used system to assess postoperative morbidity. The CCI is a numerical scale based on the CDC. Once validated, it could be used universally to establish and compare the real postoperative complications of each surgical procedure. METHODS Observational prospective cohort study. All patients who underwent surgery during the 1-year study period were included. All the complications graded with the CDC and related to the initial admission, or until discharge if the patient was readmitted within 90 days of surgery, were included. Surgical procedures were classified according to the operative severity score (OSS) as minor, moderate, major, or major+. The clinical validation of the CCI was performed by assessing its correlation with 4 different clinical outcomes. RESULTS A total of 1850 patients were included: 513 (27.7%) presented complications and 101 (5.46%) were readmitted. In the multivariate analysis, the CCI and CDC were associated with postoperative stay, prolongation of postoperat</w:instrText>
      </w:r>
      <w:r w:rsidRPr="00011E8F">
        <w:rPr>
          <w:rFonts w:ascii="Book Antiqua" w:hAnsi="Book Antiqua"/>
          <w:color w:val="000000" w:themeColor="text1"/>
          <w:sz w:val="24"/>
          <w:szCs w:val="24"/>
        </w:rPr>
        <w:instrText>ive stay, readmission, and disability in all OSS groups (P &lt; 0.001). The CCI was superior to the CDC in all models except for prolongation of stay for OSS moderate and major+. CONCLUSIONS The CCI can be applied in all the procedures carried out at general surgery departments. It is able to determine the morbidity and allows the comparison of the outcomes at different services.","author":[{"dropping-particle":"","family":"la Plaza Llamas","given":"Roberto","non-dropping-particle":"de","parse-names":false,"suffix":""},{"dropping-particle":"","family":"Ramia Ángel","given":"José Manuel","non-dropping-particle":"","parse-names":false,"suffix":""},{"dropping-particle":"","family":"Bellón","given":"Juan M","non-dropping-particle":"","parse-names":false,"suffix":""},{"dropping-particle":"","family":"Arteaga Peralta","given":"Vladimir","non-dropping-particle":"","parse-names":false,"suffix":""},{"dropping-particle":"","family":"García Amador","given":"Cristina","non-dropping-particle":"","parse-names":false,"suffix":""},{"dropping-particle":"","family":"López Marcano","given":"Aylhín Joana","non-dropping-particle":"","parse-names":false,"suffix":""},{"dropping-particle":"","family":"Medina Velasco","given":"Aníbal Armando","non-dropping-particle":"","parse-names":false,"suffix":""},{"dropping-particle":"","family":"González Sierra","given":"Begoña","non-dropping-particle":"","parse-names":false,"suffix":""},{"dropping-particle":"","family":"Manuel Vázquez","given":"Alba","non-dropping-particle":"","parse-names":false,"suffix":""}],"container-title":"Annals of surgery","id":"ITEM-1","issue":"5","issued":{"date-parts":[["2018","11"]]},"page":"838-844","title":"Clinical Validation of the Comprehensive Complication Index as a Measure of Postoperative Morbidity at a Surgical Department: A Prospective Study.","type":"article-journal","volume":"268"},"uris":["http://www.mendeley.com/documents/?uuid=af7334d4-f730-41ef-813b-9a708dd320a5","http://www.mendeley.com/documents/?uuid=8104cf42-2103-44e1-b29e-3a1a366ec607"]}],"mendeley":{"formattedCitation":"&lt;sup&gt;[5]&lt;/sup&gt;","plainTextFormattedCitation":"[5]","previouslyFormattedCitation":"&lt;sup&gt;[5]&lt;/sup&gt;"},"properties":{"noteIndex":0},"schema":"https://github.com/citation-style-language/schema/raw/master/csl-citation.json"}</w:instrText>
      </w:r>
      <w:r w:rsidRPr="00011E8F">
        <w:rPr>
          <w:rFonts w:ascii="Book Antiqua" w:hAnsi="Book Antiqua"/>
          <w:color w:val="000000" w:themeColor="text1"/>
          <w:sz w:val="24"/>
          <w:szCs w:val="24"/>
          <w:lang w:val="en-US"/>
        </w:rPr>
        <w:fldChar w:fldCharType="separate"/>
      </w:r>
      <w:r w:rsidRPr="00011E8F">
        <w:rPr>
          <w:rFonts w:ascii="Book Antiqua" w:hAnsi="Book Antiqua"/>
          <w:noProof/>
          <w:color w:val="000000" w:themeColor="text1"/>
          <w:sz w:val="24"/>
          <w:szCs w:val="24"/>
          <w:vertAlign w:val="superscript"/>
          <w:lang w:val="en-US"/>
        </w:rPr>
        <w:t>[5]</w:t>
      </w:r>
      <w:r w:rsidRPr="00011E8F">
        <w:rPr>
          <w:rFonts w:ascii="Book Antiqua" w:hAnsi="Book Antiqua"/>
          <w:color w:val="000000" w:themeColor="text1"/>
          <w:sz w:val="24"/>
          <w:szCs w:val="24"/>
          <w:lang w:val="en-US"/>
        </w:rPr>
        <w:fldChar w:fldCharType="end"/>
      </w:r>
      <w:r w:rsidRPr="00011E8F">
        <w:rPr>
          <w:rFonts w:ascii="Book Antiqua" w:hAnsi="Book Antiqua"/>
          <w:color w:val="000000" w:themeColor="text1"/>
          <w:sz w:val="24"/>
          <w:szCs w:val="24"/>
          <w:lang w:val="en-US"/>
        </w:rPr>
        <w:t xml:space="preserve"> and from an economic perspective</w:t>
      </w:r>
      <w:r w:rsidRPr="00011E8F">
        <w:rPr>
          <w:rFonts w:ascii="Book Antiqua" w:hAnsi="Book Antiqua"/>
          <w:color w:val="000000" w:themeColor="text1"/>
          <w:sz w:val="24"/>
          <w:szCs w:val="24"/>
          <w:lang w:val="en-US"/>
        </w:rPr>
        <w:fldChar w:fldCharType="begin" w:fldLock="1"/>
      </w:r>
      <w:r w:rsidR="00DB5656" w:rsidRPr="00011E8F">
        <w:rPr>
          <w:rFonts w:ascii="Book Antiqua" w:hAnsi="Book Antiqua"/>
          <w:color w:val="000000" w:themeColor="text1"/>
          <w:sz w:val="24"/>
          <w:szCs w:val="24"/>
          <w:lang w:val="en-US"/>
        </w:rPr>
        <w:instrText>ADDIN CSL_CITATION {"citationItems":[{"id":"ITEM-1","itemData":{"DOI":"10.1097/SLA.0000000000002902","ISSN":"1528-1140","PMID":"30272585","abstract":"OBJECTIVE The aim of this study was to identify a readily available, reproducible, and internationally applicable cost assessment tool for surgical procedures. SUMMARY OF BACKGROUND DATA Strong economic pressure exists worldwide to slow down the rising of health care costs. Postoperative morbidity significantly impacts on cost in surgical patients. The comprehensive complication index (CCI), reflecting overall postoperative morbidity, may therefore serve as a new marker for cost. METHODS Postoperative complications and total costs from a single tertiary center were prospectively collected (2014 to 2016) up to 3 months after surgery for a variety of abdominal procedures (n = 1388). CCI was used to quantify overall postoperative morbidity. Pearson correlation coefficient (rpears) was calculated for cost and CCI. For cost prediction, a linear regression model based on CCI, age, and type of surgery was developed and validated in an international cohort of patients. RESULTS We found a high correlation between CCI and overall cost (rpears = 0.75) with the strongest correlation for more complex procedures. The prediction model performed very well (R = 0.82); each 10-point increase in CCI corresponded to a 14% increase to the baseline cost. Additional 12% of baseline cost must be added for patients older than 50 years, or 24% for those over 70 years. The validation cohorts showed a good match of predicted and observed cost. CONCLUSION Overall postoperative morbidity correlates highly with cost. The CCI together with the type of surgery and patient age is a novel and reliable predictor of expenses in surgical patients. This finding may enable objective cost comparisons among centers, procedures, or over time obviating the need to look at complex country-specific cost calculations (www.assessurgery.com).","author":[{"dropping-particle":"","family":"Staiger","given":"Roxane D","non-dropping-particle":"","parse-names":false,"suffix":""},{"dropping-particle":"","family":"Cimino","given":"Matteo","non-dropping-particle":"","parse-names":false,"suffix":""},{"dropping-particle":"","family":"Javed","given":"Ammar","non-dropping-particle":"","parse-names":false,"suffix":""},{"dropping-particle":"","family":"Biondo","given":"Sebastiano","non-dropping-particle":"","parse-names":false,"suffix":""},{"dropping-particle":"","family":"Fondevila","given":"Constantino","non-dropping-particle":"","parse-names":false,"suffix":""},{"dropping-particle":"","family":"Périnel","given":"Julie","non-dropping-particle":"","parse-names":false,"suffix":""},{"dropping-particle":"","family":"Aragão","given":"Ana Carolina","non-dropping-particle":"","parse-names":false,"suffix":""},{"dropping-particle":"","family":"Torzilli","given":"Guido","non-dropping-particle":"","parse-names":false,"suffix":""},{"dropping-particle":"","family":"Wolfgang","given":"Christopher","non-dropping-particle":"","parse-names":false,"suffix":""},{"dropping-particle":"","family":"Adham","given":"Mustapha","non-dropping-particle":"","parse-names":false,"suffix":""},{"dropping-particle":"","family":"Pinto-Marques","given":"Hugo","non-dropping-particle":"","parse-names":false,"suffix":""},{"dropping-particle":"","family":"Dutkowski","given":"Philipp","non-dropping-particle":"","parse-names":false,"suffix":""},{"dropping-particle":"","family":"Puhan","given":"Milo A","non-dropping-particle":"","parse-names":false,"suffix":""},{"dropping-particle":"","family":"Clavien","given":"Pierre-Alain","non-dropping-particle":"","parse-names":false,"suffix":""}],"container-title":"Annals of surgery","id":"ITEM-1","issue":"5","issued":{"date-parts":[["2018","11"]]},"page":"784-791","title":"The Comprehensive Complication Index (CCI®) is a Novel Cost Assessment Tool for Surgical Procedures.","type":"article-journal","volume":"268"},"uris":["http://www.mendeley.com/documents/?uuid=ed8df5b2-2993-4cec-81a5-5e596aacac6e","http://www.mendeley.com/documents/?uuid=d76c5ab8-6ec0-4db1-8f56-66a4601f8c46"]},{"id":"ITEM-2","itemData":{"DOI":"10.1097/SLA.0000000000003308","ISSN":"1528-1140","PMID":"30985367","abstract":"OBJECTIVE To validate the Comprehensive Complication Index (CCI) via an assessment of its relation to postoperative costs. BACKGROUND The CCI summarizes all the postoperative complications graded by the Clavien-Dindo classification (CDC) on a numerical scale. Its relation to hospital costs has not been validated to date. METHODS Prospective observational cohort study, including all patients undergoing surgery at a general surgery service during the 1-year study period. All complications graded with the CDC and CCI and related to the initial admission, or until discharge if the patient was readmitted within 90 days of surgery, were included. The surgeries were classified according to their Operative Severity Score (OSS) and in 4 groups of homogeneous surgeries. All postoperative costs were recorded. RESULTS In all, 1850 patients were included, of whom 513 presented complications (27.7%). The CDC and the CCI were moderately to strongly correlated with overall postoperative costs (OPCs) in all OSS groups (rs = 0.444-0.810 vs 0.445-0.820; P &lt; 0.001), homogeneous surgeries (rs = 0.364-0.802 vs 0.364-0.813; P &lt; 0.001), prolongation of postoperative stay (rs = 0.802 vs 0.830; P &lt; 0.001), and initial operating room costs (rs = 0.448 vs 0.451; P &lt; 0.001). This correlation was higher in emergency surgery. With higher CDC grades, the OPC tended to increase an upward trend. In the multivariate analysis, CDC, CCI, age, and duration of surgery were all associated with OPC (P &lt; 0.001). CONCLUSIONS In our environment, the CCI presented associations with OPC. This demonstration of its economic validity enhances its clinical validity.","author":[{"dropping-particle":"","family":"la Plaza Llamas","given":"Roberto","non-dropping-particle":"de","parse-names":false,"suffix":""},{"dropping-particle":"","family":"Hidalgo Vega","given":"Álvaro","non-dropping-particle":"","parse-names":false,"suffix":""},{"dropping-particle":"","family":"Latorre Fragua","given":"Raquel A","non-dropping-particle":"","parse-names":false,"suffix":""},{"dropping-particle":"","family":"López Marcano","given":"Aylhín J","non-dropping-particle":"","parse-names":false,"suffix":""},{"dropping-particle":"","family":"Medina Velasco","given":"Aníbal A","non-dropping-particle":"","parse-names":false,"suffix":""},{"dropping-particle":"","family":"Díaz Candelas","given":"Daniel A","non-dropping-particle":"","parse-names":false,"suffix":""},{"dropping-particle":"","family":"García Gil","given":"José M","non-dropping-particle":"","parse-names":false,"suffix":""},{"dropping-particle":"","family":"Ramia Ángel","given":"José M","non-dropping-particle":"","parse-names":false,"suffix":""}],"container-title":"Annals of surgery","id":"ITEM-2","issued":{"date-parts":[["2019","4","9"]]},"page":"1","title":"The Cost of Postoperative Complications and Economic Validation of the Comprehensive Complication Index: Prospective Study.","type":"article-journal"},"uris":["http://www.mendeley.com/documents/?uuid=bb2a3eea-9923-4685-b9a0-03b6af015fd2","http://www.mendeley.com/documents/?uuid=d97596ed-9158-4c83-9968-12ecde8562df"]}],"mendeley":{"formattedCitation":"&lt;sup&gt;[14,15]&lt;/sup&gt;","plainTextFormattedCitation":"[14,15]","previouslyFormattedCitation":"&lt;sup&gt;[14,15]&lt;/sup&gt;"},"properties":{"noteIndex":0},"schema":"https://github.com/citation-style-language/schema/raw/master/csl-citation.json"}</w:instrText>
      </w:r>
      <w:r w:rsidRPr="00011E8F">
        <w:rPr>
          <w:rFonts w:ascii="Book Antiqua" w:hAnsi="Book Antiqua"/>
          <w:color w:val="000000" w:themeColor="text1"/>
          <w:sz w:val="24"/>
          <w:szCs w:val="24"/>
          <w:lang w:val="en-US"/>
        </w:rPr>
        <w:fldChar w:fldCharType="separate"/>
      </w:r>
      <w:r w:rsidRPr="00011E8F">
        <w:rPr>
          <w:rFonts w:ascii="Book Antiqua" w:hAnsi="Book Antiqua"/>
          <w:noProof/>
          <w:color w:val="000000" w:themeColor="text1"/>
          <w:sz w:val="24"/>
          <w:szCs w:val="24"/>
          <w:vertAlign w:val="superscript"/>
          <w:lang w:val="en-US"/>
        </w:rPr>
        <w:t>[14,15]</w:t>
      </w:r>
      <w:r w:rsidRPr="00011E8F">
        <w:rPr>
          <w:rFonts w:ascii="Book Antiqua" w:hAnsi="Book Antiqua"/>
          <w:color w:val="000000" w:themeColor="text1"/>
          <w:sz w:val="24"/>
          <w:szCs w:val="24"/>
          <w:lang w:val="en-US"/>
        </w:rPr>
        <w:fldChar w:fldCharType="end"/>
      </w:r>
      <w:r w:rsidRPr="00011E8F">
        <w:rPr>
          <w:rFonts w:ascii="Book Antiqua" w:hAnsi="Book Antiqua"/>
          <w:color w:val="000000" w:themeColor="text1"/>
          <w:sz w:val="24"/>
          <w:szCs w:val="24"/>
          <w:lang w:val="en-US"/>
        </w:rPr>
        <w:t>.</w:t>
      </w:r>
    </w:p>
    <w:p w14:paraId="0ADDDED6" w14:textId="4061976A" w:rsidR="001917A0" w:rsidRPr="00011E8F" w:rsidRDefault="001917A0" w:rsidP="00FC61F7">
      <w:pPr>
        <w:snapToGrid w:val="0"/>
        <w:spacing w:after="0" w:line="360" w:lineRule="auto"/>
        <w:ind w:right="565" w:firstLineChars="100" w:firstLine="240"/>
        <w:jc w:val="both"/>
        <w:rPr>
          <w:rFonts w:ascii="Book Antiqua" w:hAnsi="Book Antiqua"/>
          <w:color w:val="000000" w:themeColor="text1"/>
          <w:sz w:val="24"/>
          <w:szCs w:val="24"/>
          <w:lang w:val="en-US"/>
        </w:rPr>
      </w:pPr>
      <w:r w:rsidRPr="00011E8F">
        <w:rPr>
          <w:rFonts w:ascii="Book Antiqua" w:hAnsi="Book Antiqua"/>
          <w:bCs/>
          <w:color w:val="000000" w:themeColor="text1"/>
          <w:sz w:val="24"/>
          <w:szCs w:val="24"/>
          <w:lang w:val="en-US"/>
        </w:rPr>
        <w:t xml:space="preserve">It would be reasonable to include intraoperative complications in the calculation of EC. In a systematic review of abdominal surgery, </w:t>
      </w:r>
      <w:proofErr w:type="spellStart"/>
      <w:r w:rsidRPr="00011E8F">
        <w:rPr>
          <w:rFonts w:ascii="Book Antiqua" w:hAnsi="Book Antiqua"/>
          <w:bCs/>
          <w:color w:val="000000" w:themeColor="text1"/>
          <w:sz w:val="24"/>
          <w:szCs w:val="24"/>
          <w:lang w:val="en-US"/>
        </w:rPr>
        <w:t>Garbens</w:t>
      </w:r>
      <w:proofErr w:type="spellEnd"/>
      <w:r w:rsidRPr="00011E8F">
        <w:rPr>
          <w:rFonts w:ascii="Book Antiqua" w:hAnsi="Book Antiqua"/>
          <w:bCs/>
          <w:color w:val="000000" w:themeColor="text1"/>
          <w:sz w:val="24"/>
          <w:szCs w:val="24"/>
          <w:lang w:val="en-US"/>
        </w:rPr>
        <w:t xml:space="preserve"> </w:t>
      </w:r>
      <w:r w:rsidRPr="00011E8F">
        <w:rPr>
          <w:rFonts w:ascii="Book Antiqua" w:hAnsi="Book Antiqua"/>
          <w:bCs/>
          <w:i/>
          <w:iCs/>
          <w:color w:val="000000" w:themeColor="text1"/>
          <w:sz w:val="24"/>
          <w:szCs w:val="24"/>
          <w:lang w:val="en-US"/>
        </w:rPr>
        <w:t>et al</w:t>
      </w:r>
      <w:r w:rsidR="00C440B7" w:rsidRPr="00011E8F">
        <w:rPr>
          <w:rFonts w:ascii="Book Antiqua" w:hAnsi="Book Antiqua"/>
          <w:color w:val="000000" w:themeColor="text1"/>
          <w:sz w:val="24"/>
          <w:szCs w:val="24"/>
        </w:rPr>
        <w:fldChar w:fldCharType="begin" w:fldLock="1"/>
      </w:r>
      <w:r w:rsidR="00C440B7" w:rsidRPr="00011E8F">
        <w:rPr>
          <w:rFonts w:ascii="Book Antiqua" w:hAnsi="Book Antiqua"/>
          <w:color w:val="000000" w:themeColor="text1"/>
          <w:sz w:val="24"/>
          <w:szCs w:val="24"/>
          <w:lang w:val="en-US"/>
        </w:rPr>
        <w:instrText>ADDIN CSL_CITATION {"citationItems":[{"id":"ITEM-1","itemData":{"DOI":"10.1016/j.amjsurg.2017.06.025","ISSN":"1879-1883","PMID":"28709625","abstract":"BACKGROUND The assessment of intra-operative adverse events (iAEs) is a vastly under researched area with the potential to provide new methods on how to improve patient outcomes and hospital costs. Our objective was to determine the relationship between iAEs and total hospital costs in abdominal and pelvic surgery. DATA SOURCES We used the Preferred Reporting Items for Systematic Reviews and Meta-Analyses (PRISMA) framework. Embase, MEDLINE and EBM Reviews online databases were searched to identify all studies that reported iAE rates and total hospital costs. We then analyzed the costing approach used in each article using the Drummond tool and evaluated articles quality using the GRADE method. CONCLUSIONS In total, 1709 unique references were identified through our literature search. After review, 23 were included. All studies that reported iAE rates and cost as the primary outcome found that iAEs significantly increased total hospital costs. We identified a relationship between iAEs and increased hospital costs. Future studies need to be performed to further evaluate the relationship between iAEs and cost as current studies are of low quality.","author":[{"dropping-particle":"","family":"Garbens","given":"A","non-dropping-particle":"","parse-names":false,"suffix":""},{"dropping-particle":"","family":"Goldenberg","given":"M","non-dropping-particle":"","parse-names":false,"suffix":""},{"dropping-particle":"","family":"Wallis","given":"C J D","non-dropping-particle":"","parse-names":false,"suffix":""},{"dropping-particle":"","family":"Tricco","given":"A","non-dropping-particle":"","parse-names":false,"suffix":""},{"dropping-particle":"","family":"Grantcharov","given":"T P","non-dropping-particle":"","parse-names":false,"suffix":""}],"container-title":"American journal of surgery","id":"ITEM-1","issue":"1","issued":{"date-parts":[["2018","1"]]},"page":"163-170","title":"The cost of intraoperative adverse events in abdominal and pelvic surgery: A systematic review.","type":"article-journal","volume":"215"},"uris":["http://www.mendeley.com/documents/?uuid=31379f57-e4a0-4bb9-9b96-37b1e405c467","http://www.mendeley.com/documents/?uuid=b124999f-63d6-4bf1-99bd-26ac3adfcdb8"]}],"mendeley":{"formattedCitation":"&lt;sup&gt;[25]&lt;/sup&gt;","plainTextFormattedCitation":"[25]","previouslyFormattedCitation":"&lt;sup&gt;[25]&lt;/sup&gt;"},"properties":{"noteIndex":0},"schema":"https://github.com/citation-style-language/schema/raw/master/csl-citation.json"}</w:instrText>
      </w:r>
      <w:r w:rsidR="00C440B7" w:rsidRPr="00011E8F">
        <w:rPr>
          <w:rFonts w:ascii="Book Antiqua" w:hAnsi="Book Antiqua"/>
          <w:color w:val="000000" w:themeColor="text1"/>
          <w:sz w:val="24"/>
          <w:szCs w:val="24"/>
        </w:rPr>
        <w:fldChar w:fldCharType="separate"/>
      </w:r>
      <w:r w:rsidR="00C440B7" w:rsidRPr="00011E8F">
        <w:rPr>
          <w:rFonts w:ascii="Book Antiqua" w:hAnsi="Book Antiqua"/>
          <w:noProof/>
          <w:color w:val="000000" w:themeColor="text1"/>
          <w:sz w:val="24"/>
          <w:szCs w:val="24"/>
          <w:vertAlign w:val="superscript"/>
          <w:lang w:val="en-US"/>
        </w:rPr>
        <w:t>[25]</w:t>
      </w:r>
      <w:r w:rsidR="00C440B7" w:rsidRPr="00011E8F">
        <w:rPr>
          <w:rFonts w:ascii="Book Antiqua" w:hAnsi="Book Antiqua"/>
          <w:color w:val="000000" w:themeColor="text1"/>
          <w:sz w:val="24"/>
          <w:szCs w:val="24"/>
        </w:rPr>
        <w:fldChar w:fldCharType="end"/>
      </w:r>
      <w:r w:rsidRPr="00011E8F">
        <w:rPr>
          <w:rFonts w:ascii="Book Antiqua" w:hAnsi="Book Antiqua"/>
          <w:bCs/>
          <w:color w:val="000000" w:themeColor="text1"/>
          <w:sz w:val="24"/>
          <w:szCs w:val="24"/>
          <w:lang w:val="en-US"/>
        </w:rPr>
        <w:t xml:space="preserve"> observed that intraoperative adverse events significantly increased the total EC, although the studies were of poor quality</w:t>
      </w:r>
      <w:r w:rsidRPr="00011E8F">
        <w:rPr>
          <w:rFonts w:ascii="Book Antiqua" w:hAnsi="Book Antiqua"/>
          <w:color w:val="000000" w:themeColor="text1"/>
          <w:sz w:val="24"/>
          <w:szCs w:val="24"/>
          <w:lang w:val="en-US"/>
        </w:rPr>
        <w:t>. However, despite the fact that a clinical classification of these complications has been published</w:t>
      </w:r>
      <w:r w:rsidRPr="00011E8F">
        <w:rPr>
          <w:rFonts w:ascii="Book Antiqua" w:hAnsi="Book Antiqua"/>
          <w:color w:val="000000" w:themeColor="text1"/>
          <w:sz w:val="24"/>
          <w:szCs w:val="24"/>
        </w:rPr>
        <w:fldChar w:fldCharType="begin" w:fldLock="1"/>
      </w:r>
      <w:r w:rsidR="00394178" w:rsidRPr="00011E8F">
        <w:rPr>
          <w:rFonts w:ascii="Book Antiqua" w:hAnsi="Book Antiqua"/>
          <w:color w:val="000000" w:themeColor="text1"/>
          <w:sz w:val="24"/>
          <w:szCs w:val="24"/>
          <w:lang w:val="en-US"/>
        </w:rPr>
        <w:instrText>ADDIN CSL_CITATION {"citationItems":[{"id":"ITEM-1","itemData":{"DOI":"10.1007/s00268-015-3003-y","ISSN":"1432-2323","PMID":"25665678","abstract":"BACKGROUND Standardized reporting of intraoperative adverse events is important to enhance transparency. To the best of our knowledge, there is no validated definition and classification of intraoperative complications. METHODS We conducted a two-round Delphi study to develop a definition and classification of intraoperative complications. Experts were contacted by email and sent a link to the online questionnaire. In a pilot study, two independent raters applied the definition and classification in a sample of 60 surgical interventions of low, intermediate, and high complexity and evaluated practicability. Interrater agreement of the classification was determined (raw categorical agreement, weighted kappa, and intraclass correlation). RESULTS In the Delphi study, 40 of 52 experts (77 % return rate) from 14 countries took part in each round. The Delphi study resulted in a comprehensive definition of intraoperative complications as any deviation from the ideal intraoperative course occurring between skin incision and skin closure. The classification foresees four grades depending on the need for treatment (no need, grade I; need for treatment, grade II) and the severity of the complication (life-threatening/permanent disability, grade III; death, grade IV). The pilot study showed good practicability (6 on a 7-point scale) and a high raw agreement of 87 %, a weighted kappa of 0.83 [95 % confidence interval (CI) 0.73-0.94] and an intraclass correlation coefficient of 0.83 (95 % CI 0.73-0.90). CONCLUSIONS While the Delphi process enabled to develop definitions and classification of intraoperative complications by severity, further research including a multicentre international full-scale validation needs to be conducted with the ultimate goal to contribute to standardized reporting in surgical practice and research.","author":[{"dropping-particle":"","family":"Rosenthal","given":"Rachel","non-dropping-particle":"","parse-names":false,"suffix":""},{"dropping-particle":"","family":"Hoffmann","given":"Henry","non-dropping-particle":"","parse-names":false,"suffix":""},{"dropping-particle":"","family":"Clavien","given":"Pierre-Alain","non-dropping-particle":"","parse-names":false,"suffix":""},{"dropping-particle":"","family":"Bucher","given":"Heiner C","non-dropping-particle":"","parse-names":false,"suffix":""},{"dropping-particle":"","family":"Dell-Kuster","given":"Salome","non-dropping-particle":"","parse-names":false,"suffix":""}],"container-title":"World journal of surgery","id":"ITEM-1","issue":"7","issued":{"date-parts":[["2015","7"]]},"page":"1663-71","title":"Definition and Classification of Intraoperative Complications (CLASSIC): Delphi Study and Pilot Evaluation.","type":"article-journal","volume":"39"},"uris":["http://www.mendeley.com/documents/?uuid=9b41f7b6-ed3f-4521-b2af-fb60fe46fffd","http://www.mendeley.com/documents/?uuid=5d9fd49c-cc12-465c-9d2f-68c4647c3997"]}],"mendeley":{"formattedCitation":"&lt;sup&gt;[26]&lt;/sup&gt;","plainTextFormattedCitation":"[26]","previouslyFormattedCitation":"&lt;sup&gt;[26]&lt;/sup&gt;"},"properties":{"noteIndex":0},"schema":"https://github.com/citation-style-language/schema/raw/master/csl-citation.json"}</w:instrText>
      </w:r>
      <w:r w:rsidRPr="00011E8F">
        <w:rPr>
          <w:rFonts w:ascii="Book Antiqua" w:hAnsi="Book Antiqua"/>
          <w:color w:val="000000" w:themeColor="text1"/>
          <w:sz w:val="24"/>
          <w:szCs w:val="24"/>
        </w:rPr>
        <w:fldChar w:fldCharType="separate"/>
      </w:r>
      <w:r w:rsidRPr="00011E8F">
        <w:rPr>
          <w:rFonts w:ascii="Book Antiqua" w:hAnsi="Book Antiqua"/>
          <w:noProof/>
          <w:color w:val="000000" w:themeColor="text1"/>
          <w:sz w:val="24"/>
          <w:szCs w:val="24"/>
          <w:vertAlign w:val="superscript"/>
          <w:lang w:val="en-US"/>
        </w:rPr>
        <w:t>[26]</w:t>
      </w:r>
      <w:r w:rsidRPr="00011E8F">
        <w:rPr>
          <w:rFonts w:ascii="Book Antiqua" w:hAnsi="Book Antiqua"/>
          <w:color w:val="000000" w:themeColor="text1"/>
          <w:sz w:val="24"/>
          <w:szCs w:val="24"/>
        </w:rPr>
        <w:fldChar w:fldCharType="end"/>
      </w:r>
      <w:r w:rsidRPr="00011E8F">
        <w:rPr>
          <w:rFonts w:ascii="Book Antiqua" w:hAnsi="Book Antiqua"/>
          <w:color w:val="000000" w:themeColor="text1"/>
          <w:sz w:val="24"/>
          <w:szCs w:val="24"/>
          <w:lang w:val="en-US"/>
        </w:rPr>
        <w:t xml:space="preserve">, these events can only be reported by the surgical team; the surgeons may be fearful of the damage to their reputation of an audit (or its legal consequences) and may be tempted to conceal the complication. This means that there may be major differences and biases in the evaluation of clinical and economic results between </w:t>
      </w:r>
      <w:r w:rsidRPr="00011E8F">
        <w:rPr>
          <w:rFonts w:ascii="Book Antiqua" w:hAnsi="Book Antiqua"/>
          <w:color w:val="000000" w:themeColor="text1"/>
          <w:sz w:val="24"/>
          <w:szCs w:val="24"/>
          <w:lang w:val="en-US"/>
        </w:rPr>
        <w:lastRenderedPageBreak/>
        <w:t xml:space="preserve">different surgery services. In addition, even if they are not taken into account, most of the intraoperative complications that affect </w:t>
      </w:r>
      <w:r w:rsidR="00C440B7" w:rsidRPr="00011E8F">
        <w:rPr>
          <w:rFonts w:ascii="Book Antiqua" w:hAnsi="Book Antiqua"/>
          <w:color w:val="000000" w:themeColor="text1"/>
          <w:sz w:val="24"/>
          <w:szCs w:val="24"/>
          <w:lang w:val="en-US"/>
        </w:rPr>
        <w:t>EC</w:t>
      </w:r>
      <w:r w:rsidRPr="00011E8F">
        <w:rPr>
          <w:rFonts w:ascii="Book Antiqua" w:hAnsi="Book Antiqua"/>
          <w:color w:val="000000" w:themeColor="text1"/>
          <w:sz w:val="24"/>
          <w:szCs w:val="24"/>
          <w:lang w:val="en-US"/>
        </w:rPr>
        <w:t xml:space="preserve"> would be detected during the postoperative period. In any case sensitivity studies might shed further light on this matter.</w:t>
      </w:r>
    </w:p>
    <w:p w14:paraId="4E84B737" w14:textId="77777777" w:rsidR="00C440B7" w:rsidRPr="00011E8F" w:rsidRDefault="00C440B7" w:rsidP="00FC61F7">
      <w:pPr>
        <w:snapToGrid w:val="0"/>
        <w:spacing w:after="0" w:line="360" w:lineRule="auto"/>
        <w:ind w:right="565" w:firstLineChars="100" w:firstLine="240"/>
        <w:jc w:val="both"/>
        <w:rPr>
          <w:rFonts w:ascii="Book Antiqua" w:hAnsi="Book Antiqua"/>
          <w:color w:val="000000" w:themeColor="text1"/>
          <w:sz w:val="24"/>
          <w:szCs w:val="24"/>
          <w:lang w:val="en-US"/>
        </w:rPr>
      </w:pPr>
    </w:p>
    <w:p w14:paraId="7CBA64B2" w14:textId="2A143E4A" w:rsidR="001917A0" w:rsidRPr="00011E8F" w:rsidRDefault="001917A0" w:rsidP="00FC61F7">
      <w:pPr>
        <w:snapToGrid w:val="0"/>
        <w:spacing w:after="0" w:line="360" w:lineRule="auto"/>
        <w:ind w:right="565"/>
        <w:jc w:val="both"/>
        <w:rPr>
          <w:rFonts w:ascii="Book Antiqua" w:hAnsi="Book Antiqua"/>
          <w:b/>
          <w:i/>
          <w:iCs/>
          <w:color w:val="000000" w:themeColor="text1"/>
          <w:sz w:val="24"/>
          <w:szCs w:val="24"/>
          <w:lang w:val="en-US"/>
        </w:rPr>
      </w:pPr>
      <w:r w:rsidRPr="00011E8F">
        <w:rPr>
          <w:rFonts w:ascii="Book Antiqua" w:hAnsi="Book Antiqua"/>
          <w:b/>
          <w:i/>
          <w:iCs/>
          <w:color w:val="000000" w:themeColor="text1"/>
          <w:sz w:val="24"/>
          <w:szCs w:val="24"/>
          <w:lang w:val="en-US"/>
        </w:rPr>
        <w:t xml:space="preserve">Identification and quantification of all postoperative </w:t>
      </w:r>
      <w:r w:rsidR="00C440B7" w:rsidRPr="00011E8F">
        <w:rPr>
          <w:rFonts w:ascii="Book Antiqua" w:hAnsi="Book Antiqua"/>
          <w:b/>
          <w:i/>
          <w:iCs/>
          <w:color w:val="000000" w:themeColor="text1"/>
          <w:sz w:val="24"/>
          <w:szCs w:val="24"/>
          <w:lang w:val="en-US"/>
        </w:rPr>
        <w:t>EC</w:t>
      </w:r>
    </w:p>
    <w:p w14:paraId="15B60045" w14:textId="0F8E5B04" w:rsidR="001917A0" w:rsidRPr="00011E8F" w:rsidRDefault="001917A0" w:rsidP="00FC61F7">
      <w:pPr>
        <w:snapToGrid w:val="0"/>
        <w:spacing w:after="0" w:line="360" w:lineRule="auto"/>
        <w:ind w:right="565"/>
        <w:jc w:val="both"/>
        <w:rPr>
          <w:rFonts w:ascii="Book Antiqua" w:hAnsi="Book Antiqua"/>
          <w:color w:val="000000" w:themeColor="text1"/>
          <w:sz w:val="24"/>
          <w:szCs w:val="24"/>
          <w:lang w:val="en-US"/>
        </w:rPr>
      </w:pPr>
      <w:r w:rsidRPr="00011E8F">
        <w:rPr>
          <w:rFonts w:ascii="Book Antiqua" w:hAnsi="Book Antiqua"/>
          <w:color w:val="000000" w:themeColor="text1"/>
          <w:sz w:val="24"/>
          <w:szCs w:val="24"/>
          <w:lang w:val="en-US"/>
        </w:rPr>
        <w:t>The economic evaluation of PC may be performed from a variety of perspectives, depending on who is responsible for paying for them and the intended use of the results of the analysis. Different perspectives will consider different costs and time periods. Examples of these perspectives are the patient, the institution (</w:t>
      </w:r>
      <w:r w:rsidRPr="00011E8F">
        <w:rPr>
          <w:rFonts w:ascii="Book Antiqua" w:hAnsi="Book Antiqua"/>
          <w:i/>
          <w:iCs/>
          <w:color w:val="000000" w:themeColor="text1"/>
          <w:sz w:val="24"/>
          <w:szCs w:val="24"/>
          <w:lang w:val="en-US"/>
        </w:rPr>
        <w:t>e.g.</w:t>
      </w:r>
      <w:r w:rsidRPr="00011E8F">
        <w:rPr>
          <w:rFonts w:ascii="Book Antiqua" w:hAnsi="Book Antiqua"/>
          <w:color w:val="000000" w:themeColor="text1"/>
          <w:sz w:val="24"/>
          <w:szCs w:val="24"/>
          <w:lang w:val="en-US"/>
        </w:rPr>
        <w:t>, the hospital), the target group for specific services (</w:t>
      </w:r>
      <w:r w:rsidRPr="00011E8F">
        <w:rPr>
          <w:rFonts w:ascii="Book Antiqua" w:hAnsi="Book Antiqua"/>
          <w:i/>
          <w:iCs/>
          <w:color w:val="000000" w:themeColor="text1"/>
          <w:sz w:val="24"/>
          <w:szCs w:val="24"/>
          <w:lang w:val="en-US"/>
        </w:rPr>
        <w:t>e.g.</w:t>
      </w:r>
      <w:r w:rsidRPr="00011E8F">
        <w:rPr>
          <w:rFonts w:ascii="Book Antiqua" w:hAnsi="Book Antiqua"/>
          <w:color w:val="000000" w:themeColor="text1"/>
          <w:sz w:val="24"/>
          <w:szCs w:val="24"/>
          <w:lang w:val="en-US"/>
        </w:rPr>
        <w:t>, rehabilitation), the public health service, the public sector, or the sum of all these perspectives (</w:t>
      </w:r>
      <w:r w:rsidRPr="00011E8F">
        <w:rPr>
          <w:rFonts w:ascii="Book Antiqua" w:hAnsi="Book Antiqua"/>
          <w:i/>
          <w:iCs/>
          <w:color w:val="000000" w:themeColor="text1"/>
          <w:sz w:val="24"/>
          <w:szCs w:val="24"/>
          <w:lang w:val="en-US"/>
        </w:rPr>
        <w:t>i.e.</w:t>
      </w:r>
      <w:r w:rsidRPr="00011E8F">
        <w:rPr>
          <w:rFonts w:ascii="Book Antiqua" w:hAnsi="Book Antiqua"/>
          <w:color w:val="000000" w:themeColor="text1"/>
          <w:sz w:val="24"/>
          <w:szCs w:val="24"/>
          <w:lang w:val="en-US"/>
        </w:rPr>
        <w:t>, the social perspective</w:t>
      </w:r>
      <w:r w:rsidRPr="00011E8F">
        <w:rPr>
          <w:rFonts w:ascii="Book Antiqua" w:hAnsi="Book Antiqua"/>
          <w:bCs/>
          <w:color w:val="000000" w:themeColor="text1"/>
          <w:sz w:val="24"/>
          <w:szCs w:val="24"/>
          <w:lang w:val="en-US"/>
        </w:rPr>
        <w:t>)</w:t>
      </w:r>
      <w:r w:rsidRPr="00011E8F">
        <w:rPr>
          <w:rFonts w:ascii="Book Antiqua" w:hAnsi="Book Antiqua"/>
          <w:bCs/>
          <w:color w:val="000000" w:themeColor="text1"/>
          <w:sz w:val="24"/>
          <w:szCs w:val="24"/>
          <w:lang w:val="en-NZ"/>
        </w:rPr>
        <w:fldChar w:fldCharType="begin" w:fldLock="1"/>
      </w:r>
      <w:r w:rsidR="00394178" w:rsidRPr="00011E8F">
        <w:rPr>
          <w:rFonts w:ascii="Book Antiqua" w:hAnsi="Book Antiqua"/>
          <w:bCs/>
          <w:color w:val="000000" w:themeColor="text1"/>
          <w:sz w:val="24"/>
          <w:szCs w:val="24"/>
          <w:lang w:val="en-US"/>
        </w:rPr>
        <w:instrText>ADDIN CSL_CITATION {"citationItems":[{"id":"ITEM-1","itemData":{"ISBN":"0198529457","author":[{"dropping-particle":"","family":"Drummond","given":"Michael F","non-dropping-particle":"","parse-names":false,"suffix":""},{"dropping-particle":"","family":"Sculpher","given":"Mark J","non-dropping-particle":"","parse-names":false,"suffix":""},{"dropping-particle":"","family":"Claxton","given":"Karl","non-dropping-particle":"","parse-names":false,"suffix":""},{"dropping-particle":"","family":"Stoddart","given":"Greg L","non-dropping-particle":"","parse-names":false,"suffix":""},{"dropping-particle":"","family":"Torrance","given":"George W","non-dropping-particle":"","parse-names":false,"suffix":""}],"edition":"4th","editor":[{"dropping-particle":"","family":"Oxford University Press","given":"","non-dropping-particle":"","parse-names":false,"suffix":""}],"id":"ITEM-1","issued":{"date-parts":[["2015"]]},"publisher":"Oxford University Press","publisher-place":"Oxford","title":"Methods for the economic evaluation of health care programmes","type":"book"},"uris":["http://www.mendeley.com/documents/?uuid=1e6ddb4d-54f5-4c40-92ef-1ad3ec23a857","http://www.mendeley.com/documents/?uuid=144eca6a-170d-46cd-8b96-a07f3ebb5330"]}],"mendeley":{"formattedCitation":"&lt;sup&gt;[27]&lt;/sup&gt;","plainTextFormattedCitation":"[27]","previouslyFormattedCitation":"&lt;sup&gt;[27]&lt;/sup&gt;"},"properties":{"noteIndex":0},"schema":"https://github.com/citation-style-language/schema/raw/master/csl-citation.json"}</w:instrText>
      </w:r>
      <w:r w:rsidRPr="00011E8F">
        <w:rPr>
          <w:rFonts w:ascii="Book Antiqua" w:hAnsi="Book Antiqua"/>
          <w:bCs/>
          <w:color w:val="000000" w:themeColor="text1"/>
          <w:sz w:val="24"/>
          <w:szCs w:val="24"/>
          <w:lang w:val="en-NZ"/>
        </w:rPr>
        <w:fldChar w:fldCharType="separate"/>
      </w:r>
      <w:r w:rsidRPr="00011E8F">
        <w:rPr>
          <w:rFonts w:ascii="Book Antiqua" w:hAnsi="Book Antiqua"/>
          <w:bCs/>
          <w:noProof/>
          <w:color w:val="000000" w:themeColor="text1"/>
          <w:sz w:val="24"/>
          <w:szCs w:val="24"/>
          <w:vertAlign w:val="superscript"/>
          <w:lang w:val="en-US"/>
        </w:rPr>
        <w:t>[27]</w:t>
      </w:r>
      <w:r w:rsidRPr="00011E8F">
        <w:rPr>
          <w:rFonts w:ascii="Book Antiqua" w:hAnsi="Book Antiqua"/>
          <w:bCs/>
          <w:color w:val="000000" w:themeColor="text1"/>
          <w:sz w:val="24"/>
          <w:szCs w:val="24"/>
          <w:lang w:val="en-NZ"/>
        </w:rPr>
        <w:fldChar w:fldCharType="end"/>
      </w:r>
      <w:r w:rsidRPr="00011E8F">
        <w:rPr>
          <w:rFonts w:ascii="Book Antiqua" w:hAnsi="Book Antiqua"/>
          <w:bCs/>
          <w:color w:val="000000" w:themeColor="text1"/>
          <w:sz w:val="24"/>
          <w:szCs w:val="24"/>
          <w:lang w:val="en-US"/>
        </w:rPr>
        <w:t>.</w:t>
      </w:r>
      <w:r w:rsidRPr="00011E8F">
        <w:rPr>
          <w:rFonts w:ascii="Book Antiqua" w:hAnsi="Book Antiqua"/>
          <w:color w:val="000000" w:themeColor="text1"/>
          <w:sz w:val="24"/>
          <w:szCs w:val="24"/>
          <w:lang w:val="en-US"/>
        </w:rPr>
        <w:t xml:space="preserve"> </w:t>
      </w:r>
    </w:p>
    <w:p w14:paraId="0235176F" w14:textId="6E599397" w:rsidR="001917A0" w:rsidRPr="00011E8F" w:rsidRDefault="00C440B7" w:rsidP="00FC61F7">
      <w:pPr>
        <w:snapToGrid w:val="0"/>
        <w:spacing w:after="0" w:line="360" w:lineRule="auto"/>
        <w:ind w:right="565" w:firstLineChars="100" w:firstLine="240"/>
        <w:jc w:val="both"/>
        <w:rPr>
          <w:rFonts w:ascii="Book Antiqua" w:hAnsi="Book Antiqua"/>
          <w:iCs/>
          <w:color w:val="000000" w:themeColor="text1"/>
          <w:sz w:val="24"/>
          <w:szCs w:val="24"/>
          <w:lang w:val="en-US"/>
        </w:rPr>
      </w:pPr>
      <w:r w:rsidRPr="00011E8F">
        <w:rPr>
          <w:rFonts w:ascii="Book Antiqua" w:hAnsi="Book Antiqua"/>
          <w:color w:val="000000" w:themeColor="text1"/>
          <w:sz w:val="24"/>
          <w:szCs w:val="24"/>
          <w:lang w:val="en-US"/>
        </w:rPr>
        <w:t>EC</w:t>
      </w:r>
      <w:r w:rsidR="001917A0" w:rsidRPr="00011E8F">
        <w:rPr>
          <w:rFonts w:ascii="Book Antiqua" w:hAnsi="Book Antiqua"/>
          <w:color w:val="000000" w:themeColor="text1"/>
          <w:sz w:val="24"/>
          <w:szCs w:val="24"/>
          <w:lang w:val="en-US"/>
        </w:rPr>
        <w:t>s are not distributed equally across the hospital stay. Taheri et al concluded that approximately 40% of variable costs are incurred during the first three days of admission. A reduction in length of stay of up to one full day at the end of admission reduces the total cost of care on average by 3% or less</w:t>
      </w:r>
      <w:r w:rsidR="001917A0" w:rsidRPr="00011E8F">
        <w:rPr>
          <w:rFonts w:ascii="Book Antiqua" w:hAnsi="Book Antiqua"/>
          <w:color w:val="000000" w:themeColor="text1"/>
          <w:sz w:val="24"/>
          <w:szCs w:val="24"/>
          <w:lang w:val="en-NZ"/>
        </w:rPr>
        <w:fldChar w:fldCharType="begin" w:fldLock="1"/>
      </w:r>
      <w:r w:rsidR="00394178" w:rsidRPr="00011E8F">
        <w:rPr>
          <w:rFonts w:ascii="Book Antiqua" w:hAnsi="Book Antiqua"/>
          <w:color w:val="000000" w:themeColor="text1"/>
          <w:sz w:val="24"/>
          <w:szCs w:val="24"/>
          <w:lang w:val="en-US"/>
        </w:rPr>
        <w:instrText>ADDIN CSL_CITATION {"citationItems":[{"id":"ITEM-1","itemData":{"DOI":"10.1016/s1072-7515(00)00352-5","ISSN":"1072-7515","PMID":"10945354","abstract":"BACKGROUND Hospital cost containment, cost reduction, and alternative care delivery systems continue to preoccupy health care providers, payers, employers, and policy makers throughout the United States. The universal metric for gauging the success of these efforts is hospital length of stay (LOS). Reducing the LOS purportedly yields large cost savings. The purpose of this study is to assess precisely how much hospitals save by shortening LOS. STUDY DESIGN We reviewed the cost-accounting records of all surviving patients (n = 12,365) discharged from our academic medical center during fiscal year 1998 with LOS of 4 days or more. Actual costs were identified through the University of Michigan cost-accounting system. Individual patient costs were broken out on a daily basis and then decomposed further into variable direct, fixed direct, and indirect categories. The population was analyzed by determining the incremental resource cost of the last full day of stay versus the total cost for the entire stay. The data were also stratified by LOS and by surgical costs. An analysis of all trauma patients was then performed on all patients discharged from the hospital's adult level I trauma center (n = 665). Costs were determined on specific days, including admission day, each ICU day, day of discharge from the ICU, and each of the last 2 days before the discharge day. RESULTS The incremental costs incurred by patients on their last full day of hospital stay were $420 per day on average, or just 2.4% of the $17,734 mean total cost of stay for all 12,365 patients. Mean end-of-stay costs represented only a slightly higher percentage of total costs when LOS was short (e.g., 6.8% for patients with LOS of 4 days). Even when the data were stratified to focus on patients without major operations, the $432 average last-day variable direct cost was only 3.4% of the $12,631 average total cost of care. A focus on the trauma center helps to explain this phenomenon. For our trauma center, variable direct costs accounted for 42% of the mean total cost per patient of $22,067. The remaining 58% was hospital overhead (fixed and indirect costs). The median variable direct cost on the first day of admission is $1,246, and the median variable direct cost on discharge is $304. Approximately 40% of the variable costs are incurred during the first 3 days of admission. CONCLUSIONS For most patients, the costs directly attributable to the last day of a hospital stay are an economically ins…","author":[{"dropping-particle":"","family":"Taheri","given":"P A","non-dropping-particle":"","parse-names":false,"suffix":""},{"dropping-particle":"","family":"Butz","given":"D A","non-dropping-particle":"","parse-names":false,"suffix":""},{"dropping-particle":"","family":"Greenfield","given":"L J","non-dropping-particle":"","parse-names":false,"suffix":""}],"container-title":"Journal of the American College of Surgeons","id":"ITEM-1","issue":"2","issued":{"date-parts":[["2000","8"]]},"page":"123-30","title":"Length of stay has minimal impact on the cost of hospital admission.","type":"article-journal","volume":"191"},"uris":["http://www.mendeley.com/documents/?uuid=6b10d5d8-dcc5-4824-9b9b-111edce3bbdf"]}],"mendeley":{"formattedCitation":"&lt;sup&gt;[28]&lt;/sup&gt;","plainTextFormattedCitation":"[28]","previouslyFormattedCitation":"&lt;sup&gt;[28]&lt;/sup&gt;"},"properties":{"noteIndex":0},"schema":"https://github.com/citation-style-language/schema/raw/master/csl-citation.json"}</w:instrText>
      </w:r>
      <w:r w:rsidR="001917A0" w:rsidRPr="00011E8F">
        <w:rPr>
          <w:rFonts w:ascii="Book Antiqua" w:hAnsi="Book Antiqua"/>
          <w:color w:val="000000" w:themeColor="text1"/>
          <w:sz w:val="24"/>
          <w:szCs w:val="24"/>
          <w:lang w:val="en-NZ"/>
        </w:rPr>
        <w:fldChar w:fldCharType="separate"/>
      </w:r>
      <w:r w:rsidR="001917A0" w:rsidRPr="00011E8F">
        <w:rPr>
          <w:rFonts w:ascii="Book Antiqua" w:hAnsi="Book Antiqua"/>
          <w:noProof/>
          <w:color w:val="000000" w:themeColor="text1"/>
          <w:sz w:val="24"/>
          <w:szCs w:val="24"/>
          <w:vertAlign w:val="superscript"/>
          <w:lang w:val="en-NZ"/>
        </w:rPr>
        <w:t>[28]</w:t>
      </w:r>
      <w:r w:rsidR="001917A0" w:rsidRPr="00011E8F">
        <w:rPr>
          <w:rFonts w:ascii="Book Antiqua" w:hAnsi="Book Antiqua"/>
          <w:color w:val="000000" w:themeColor="text1"/>
          <w:sz w:val="24"/>
          <w:szCs w:val="24"/>
          <w:lang w:val="en-NZ"/>
        </w:rPr>
        <w:fldChar w:fldCharType="end"/>
      </w:r>
      <w:r w:rsidR="001917A0" w:rsidRPr="00011E8F">
        <w:rPr>
          <w:rFonts w:ascii="Book Antiqua" w:hAnsi="Book Antiqua"/>
          <w:color w:val="000000" w:themeColor="text1"/>
          <w:sz w:val="24"/>
          <w:szCs w:val="24"/>
          <w:lang w:val="en-NZ"/>
        </w:rPr>
        <w:t xml:space="preserve">. </w:t>
      </w:r>
      <w:r w:rsidR="001917A0" w:rsidRPr="00011E8F">
        <w:rPr>
          <w:rFonts w:ascii="Book Antiqua" w:hAnsi="Book Antiqua"/>
          <w:iCs/>
          <w:color w:val="000000" w:themeColor="text1"/>
          <w:sz w:val="24"/>
          <w:szCs w:val="24"/>
          <w:lang w:val="en-US"/>
        </w:rPr>
        <w:t>Obviously, the occurrence of PC would change this trend.</w:t>
      </w:r>
    </w:p>
    <w:p w14:paraId="49D0B1EC" w14:textId="3D11754B" w:rsidR="001917A0" w:rsidRPr="00011E8F" w:rsidRDefault="001917A0" w:rsidP="00FC61F7">
      <w:pPr>
        <w:snapToGrid w:val="0"/>
        <w:spacing w:after="0" w:line="360" w:lineRule="auto"/>
        <w:ind w:right="565" w:firstLineChars="100" w:firstLine="240"/>
        <w:jc w:val="both"/>
        <w:rPr>
          <w:rFonts w:ascii="Book Antiqua" w:hAnsi="Book Antiqua"/>
          <w:iCs/>
          <w:color w:val="000000" w:themeColor="text1"/>
          <w:sz w:val="24"/>
          <w:szCs w:val="24"/>
          <w:lang w:val="en-US"/>
        </w:rPr>
      </w:pPr>
      <w:r w:rsidRPr="00011E8F">
        <w:rPr>
          <w:rFonts w:ascii="Book Antiqua" w:hAnsi="Book Antiqua"/>
          <w:iCs/>
          <w:color w:val="000000" w:themeColor="text1"/>
          <w:sz w:val="24"/>
          <w:szCs w:val="24"/>
          <w:lang w:val="en-US"/>
        </w:rPr>
        <w:t xml:space="preserve">It seems reasonable to assess EC until a specific time after patient discharge. Frequently, part of the costs of the care is transferred to the outpatient setting, in particular in patients who are discharged early. So, how long after the operation should EC be assessed? Ideally, all PC should be considered until the patient recovers from the consequences: imagine a patient with a brain injury that leads to a definite tetraplegia. So, in the </w:t>
      </w:r>
      <w:r w:rsidR="00C440B7" w:rsidRPr="00011E8F">
        <w:rPr>
          <w:rFonts w:ascii="Book Antiqua" w:hAnsi="Book Antiqua"/>
          <w:iCs/>
          <w:color w:val="000000" w:themeColor="text1"/>
          <w:sz w:val="24"/>
          <w:szCs w:val="24"/>
          <w:lang w:val="en-US"/>
        </w:rPr>
        <w:t>best-case</w:t>
      </w:r>
      <w:r w:rsidRPr="00011E8F">
        <w:rPr>
          <w:rFonts w:ascii="Book Antiqua" w:hAnsi="Book Antiqua"/>
          <w:iCs/>
          <w:color w:val="000000" w:themeColor="text1"/>
          <w:sz w:val="24"/>
          <w:szCs w:val="24"/>
          <w:lang w:val="en-US"/>
        </w:rPr>
        <w:t xml:space="preserve"> scenario, all EC should be considered throughout the patient's life, although this may be impossible to achieve.</w:t>
      </w:r>
    </w:p>
    <w:p w14:paraId="66469834" w14:textId="0A2A775F" w:rsidR="001917A0" w:rsidRPr="00011E8F" w:rsidRDefault="001917A0" w:rsidP="00FC61F7">
      <w:pPr>
        <w:snapToGrid w:val="0"/>
        <w:spacing w:after="0" w:line="360" w:lineRule="auto"/>
        <w:ind w:right="565" w:firstLineChars="100" w:firstLine="240"/>
        <w:jc w:val="both"/>
        <w:rPr>
          <w:rFonts w:ascii="Book Antiqua" w:hAnsi="Book Antiqua"/>
          <w:color w:val="000000" w:themeColor="text1"/>
          <w:sz w:val="24"/>
          <w:szCs w:val="24"/>
          <w:lang w:val="en-US"/>
        </w:rPr>
      </w:pPr>
      <w:r w:rsidRPr="00011E8F">
        <w:rPr>
          <w:rFonts w:ascii="Book Antiqua" w:hAnsi="Book Antiqua"/>
          <w:iCs/>
          <w:color w:val="000000" w:themeColor="text1"/>
          <w:sz w:val="24"/>
          <w:szCs w:val="24"/>
          <w:lang w:val="en-US"/>
        </w:rPr>
        <w:t xml:space="preserve">As noted by </w:t>
      </w:r>
      <w:r w:rsidRPr="00011E8F">
        <w:rPr>
          <w:rFonts w:ascii="Book Antiqua" w:hAnsi="Book Antiqua"/>
          <w:color w:val="000000" w:themeColor="text1"/>
          <w:sz w:val="24"/>
          <w:szCs w:val="24"/>
          <w:lang w:val="en-US"/>
        </w:rPr>
        <w:t xml:space="preserve">Drummond </w:t>
      </w:r>
      <w:r w:rsidRPr="00011E8F">
        <w:rPr>
          <w:rFonts w:ascii="Book Antiqua" w:hAnsi="Book Antiqua"/>
          <w:i/>
          <w:iCs/>
          <w:color w:val="000000" w:themeColor="text1"/>
          <w:sz w:val="24"/>
          <w:szCs w:val="24"/>
          <w:lang w:val="en-US"/>
        </w:rPr>
        <w:t>et al</w:t>
      </w:r>
      <w:r w:rsidRPr="00011E8F">
        <w:rPr>
          <w:rFonts w:ascii="Book Antiqua" w:hAnsi="Book Antiqua"/>
          <w:color w:val="000000" w:themeColor="text1"/>
          <w:sz w:val="24"/>
          <w:szCs w:val="24"/>
          <w:lang w:val="en-NZ"/>
        </w:rPr>
        <w:fldChar w:fldCharType="begin" w:fldLock="1"/>
      </w:r>
      <w:r w:rsidR="00394178" w:rsidRPr="00011E8F">
        <w:rPr>
          <w:rFonts w:ascii="Book Antiqua" w:hAnsi="Book Antiqua"/>
          <w:color w:val="000000" w:themeColor="text1"/>
          <w:sz w:val="24"/>
          <w:szCs w:val="24"/>
          <w:lang w:val="en-US"/>
        </w:rPr>
        <w:instrText>ADDIN CSL_CITATION {"citationItems":[{"id":"ITEM-1","itemData":{"ISBN":"0198529457","author":[{"dropping-particle":"","family":"Drummond","given":"Michael F","non-dropping-particle":"","parse-names":false,"suffix":""},{"dropping-particle":"","family":"Sculpher","given":"Mark J","non-dropping-particle":"","parse-names":false,"suffix":""},{"dropping-particle":"","family":"Claxton","given":"Karl","non-dropping-particle":"","parse-names":false,"suffix":""},{"dropping-particle":"","family":"Stoddart","given":"Greg L","non-dropping-particle":"","parse-names":false,"suffix":""},{"dropping-particle":"","family":"Torrance","given":"George W","non-dropping-particle":"","parse-names":false,"suffix":""}],"edition":"4th","editor":[{"dropping-particle":"","family":"Oxford University Press","given":"","non-dropping-particle":"","parse-names":false,"suffix":""}],"id":"ITEM-1","issued":{"date-parts":[["2015"]]},"publisher":"Oxford University Press","publisher-place":"Oxford","title":"Methods for the economic evaluation of health care programmes","type":"book"},"uris":["http://www.mendeley.com/documents/?uuid=144eca6a-170d-46cd-8b96-a07f3ebb5330","http://www.mendeley.com/documents/?uuid=1e6ddb4d-54f5-4c40-92ef-1ad3ec23a857"]}],"mendeley":{"formattedCitation":"&lt;sup&gt;[27]&lt;/sup&gt;","plainTextFormattedCitation":"[27]","previouslyFormattedCitation":"&lt;sup&gt;[27]&lt;/sup&gt;"},"properties":{"noteIndex":0},"schema":"https://github.com/citation-style-language/schema/raw/master/csl-citation.json"}</w:instrText>
      </w:r>
      <w:r w:rsidRPr="00011E8F">
        <w:rPr>
          <w:rFonts w:ascii="Book Antiqua" w:hAnsi="Book Antiqua"/>
          <w:color w:val="000000" w:themeColor="text1"/>
          <w:sz w:val="24"/>
          <w:szCs w:val="24"/>
          <w:lang w:val="en-NZ"/>
        </w:rPr>
        <w:fldChar w:fldCharType="separate"/>
      </w:r>
      <w:r w:rsidRPr="00011E8F">
        <w:rPr>
          <w:rFonts w:ascii="Book Antiqua" w:hAnsi="Book Antiqua"/>
          <w:noProof/>
          <w:color w:val="000000" w:themeColor="text1"/>
          <w:sz w:val="24"/>
          <w:szCs w:val="24"/>
          <w:vertAlign w:val="superscript"/>
          <w:lang w:val="en-US"/>
        </w:rPr>
        <w:t>[27]</w:t>
      </w:r>
      <w:r w:rsidRPr="00011E8F">
        <w:rPr>
          <w:rFonts w:ascii="Book Antiqua" w:hAnsi="Book Antiqua"/>
          <w:color w:val="000000" w:themeColor="text1"/>
          <w:sz w:val="24"/>
          <w:szCs w:val="24"/>
          <w:lang w:val="en-NZ"/>
        </w:rPr>
        <w:fldChar w:fldCharType="end"/>
      </w:r>
      <w:r w:rsidRPr="00011E8F">
        <w:rPr>
          <w:rFonts w:ascii="Book Antiqua" w:hAnsi="Book Antiqua"/>
          <w:color w:val="000000" w:themeColor="text1"/>
          <w:sz w:val="24"/>
          <w:szCs w:val="24"/>
          <w:lang w:val="en-US"/>
        </w:rPr>
        <w:t xml:space="preserve"> in other economic evaluations, the follow-up time depends on the perspective applied. From the hospital's perspective, we think that the time period should be a minimum of 90 d, or preferably when the patient is able to return to work or their normal activities. However, in the case of certain PC such as a reconstruction of the intestine after an anastomosis dehiscence, this period could be lengthened. If the calculation is made from the </w:t>
      </w:r>
      <w:r w:rsidRPr="00011E8F">
        <w:rPr>
          <w:rFonts w:ascii="Book Antiqua" w:hAnsi="Book Antiqua"/>
          <w:color w:val="000000" w:themeColor="text1"/>
          <w:sz w:val="24"/>
          <w:szCs w:val="24"/>
          <w:lang w:val="en-US"/>
        </w:rPr>
        <w:lastRenderedPageBreak/>
        <w:t>perspective of other health agencies, the follow-up period might be for example one year, while from the perspective of the patient and/or family it might be considerably longer, even the entire lifetime</w:t>
      </w:r>
      <w:r w:rsidRPr="00011E8F">
        <w:rPr>
          <w:rFonts w:ascii="Book Antiqua" w:hAnsi="Book Antiqua"/>
          <w:color w:val="000000" w:themeColor="text1"/>
          <w:sz w:val="24"/>
          <w:szCs w:val="24"/>
          <w:lang w:val="en-NZ"/>
        </w:rPr>
        <w:fldChar w:fldCharType="begin" w:fldLock="1"/>
      </w:r>
      <w:r w:rsidR="00394178" w:rsidRPr="00011E8F">
        <w:rPr>
          <w:rFonts w:ascii="Book Antiqua" w:hAnsi="Book Antiqua"/>
          <w:color w:val="000000" w:themeColor="text1"/>
          <w:sz w:val="24"/>
          <w:szCs w:val="24"/>
          <w:lang w:val="en-US"/>
        </w:rPr>
        <w:instrText>ADDIN CSL_CITATION {"citationItems":[{"id":"ITEM-1","itemData":{"ISBN":"0198529457","author":[{"dropping-particle":"","family":"Drummond","given":"Michael F","non-dropping-particle":"","parse-names":false,"suffix":""},{"dropping-particle":"","family":"Sculpher","given":"Mark J","non-dropping-particle":"","parse-names":false,"suffix":""},{"dropping-particle":"","family":"Claxton","given":"Karl","non-dropping-particle":"","parse-names":false,"suffix":""},{"dropping-particle":"","family":"Stoddart","given":"Greg L","non-dropping-particle":"","parse-names":false,"suffix":""},{"dropping-particle":"","family":"Torrance","given":"George W","non-dropping-particle":"","parse-names":false,"suffix":""}],"edition":"4th","editor":[{"dropping-particle":"","family":"Oxford University Press","given":"","non-dropping-particle":"","parse-names":false,"suffix":""}],"id":"ITEM-1","issued":{"date-parts":[["2015"]]},"publisher":"Oxford University Press","publisher-place":"Oxford","title":"Methods for the economic evaluation of health care programmes","type":"book"},"uris":["http://www.mendeley.com/documents/?uuid=144eca6a-170d-46cd-8b96-a07f3ebb5330","http://www.mendeley.com/documents/?uuid=1e6ddb4d-54f5-4c40-92ef-1ad3ec23a857"]}],"mendeley":{"formattedCitation":"&lt;sup&gt;[27]&lt;/sup&gt;","plainTextFormattedCitation":"[27]","previouslyFormattedCitation":"&lt;sup&gt;[27]&lt;/sup&gt;"},"properties":{"noteIndex":0},"schema":"https://github.com/citation-style-language/schema/raw/master/csl-citation.json"}</w:instrText>
      </w:r>
      <w:r w:rsidRPr="00011E8F">
        <w:rPr>
          <w:rFonts w:ascii="Book Antiqua" w:hAnsi="Book Antiqua"/>
          <w:color w:val="000000" w:themeColor="text1"/>
          <w:sz w:val="24"/>
          <w:szCs w:val="24"/>
          <w:lang w:val="en-NZ"/>
        </w:rPr>
        <w:fldChar w:fldCharType="separate"/>
      </w:r>
      <w:r w:rsidRPr="00011E8F">
        <w:rPr>
          <w:rFonts w:ascii="Book Antiqua" w:hAnsi="Book Antiqua"/>
          <w:noProof/>
          <w:color w:val="000000" w:themeColor="text1"/>
          <w:sz w:val="24"/>
          <w:szCs w:val="24"/>
          <w:vertAlign w:val="superscript"/>
          <w:lang w:val="en-US"/>
        </w:rPr>
        <w:t>[27]</w:t>
      </w:r>
      <w:r w:rsidRPr="00011E8F">
        <w:rPr>
          <w:rFonts w:ascii="Book Antiqua" w:hAnsi="Book Antiqua"/>
          <w:color w:val="000000" w:themeColor="text1"/>
          <w:sz w:val="24"/>
          <w:szCs w:val="24"/>
          <w:lang w:val="en-NZ"/>
        </w:rPr>
        <w:fldChar w:fldCharType="end"/>
      </w:r>
      <w:r w:rsidRPr="00011E8F">
        <w:rPr>
          <w:rFonts w:ascii="Book Antiqua" w:hAnsi="Book Antiqua"/>
          <w:color w:val="000000" w:themeColor="text1"/>
          <w:sz w:val="24"/>
          <w:szCs w:val="24"/>
          <w:lang w:val="en-US"/>
        </w:rPr>
        <w:t xml:space="preserve">. </w:t>
      </w:r>
      <w:r w:rsidR="00C440B7" w:rsidRPr="00011E8F">
        <w:rPr>
          <w:rFonts w:ascii="Book Antiqua" w:hAnsi="Book Antiqua"/>
          <w:color w:val="000000" w:themeColor="text1"/>
          <w:sz w:val="24"/>
          <w:szCs w:val="24"/>
          <w:lang w:val="en-US"/>
        </w:rPr>
        <w:t>So,</w:t>
      </w:r>
      <w:r w:rsidRPr="00011E8F">
        <w:rPr>
          <w:rFonts w:ascii="Book Antiqua" w:hAnsi="Book Antiqua"/>
          <w:color w:val="000000" w:themeColor="text1"/>
          <w:sz w:val="24"/>
          <w:szCs w:val="24"/>
          <w:lang w:val="en-US"/>
        </w:rPr>
        <w:t xml:space="preserve"> the study should indicate the follow-up time used and why.</w:t>
      </w:r>
    </w:p>
    <w:p w14:paraId="3D4A0232" w14:textId="77777777" w:rsidR="001917A0" w:rsidRPr="00011E8F" w:rsidRDefault="001917A0" w:rsidP="00FC61F7">
      <w:pPr>
        <w:snapToGrid w:val="0"/>
        <w:spacing w:after="0" w:line="360" w:lineRule="auto"/>
        <w:ind w:right="565" w:firstLineChars="100" w:firstLine="240"/>
        <w:jc w:val="both"/>
        <w:rPr>
          <w:rFonts w:ascii="Book Antiqua" w:hAnsi="Book Antiqua"/>
          <w:color w:val="000000" w:themeColor="text1"/>
          <w:sz w:val="24"/>
          <w:szCs w:val="24"/>
          <w:lang w:val="en-US"/>
        </w:rPr>
      </w:pPr>
      <w:r w:rsidRPr="00011E8F">
        <w:rPr>
          <w:rFonts w:ascii="Book Antiqua" w:hAnsi="Book Antiqua"/>
          <w:color w:val="000000" w:themeColor="text1"/>
          <w:sz w:val="24"/>
          <w:szCs w:val="24"/>
          <w:lang w:val="en-US"/>
        </w:rPr>
        <w:t>Table 1 summarizes the different EC included in the literature which we believe should be taken into account in the economic evaluation of PC.</w:t>
      </w:r>
    </w:p>
    <w:p w14:paraId="507564DD" w14:textId="6D04002F" w:rsidR="001917A0" w:rsidRPr="00011E8F" w:rsidRDefault="001917A0" w:rsidP="00FC61F7">
      <w:pPr>
        <w:snapToGrid w:val="0"/>
        <w:spacing w:after="0" w:line="360" w:lineRule="auto"/>
        <w:ind w:right="565" w:firstLineChars="100" w:firstLine="240"/>
        <w:jc w:val="both"/>
        <w:rPr>
          <w:rFonts w:ascii="Book Antiqua" w:hAnsi="Book Antiqua"/>
          <w:bCs/>
          <w:color w:val="000000" w:themeColor="text1"/>
          <w:sz w:val="24"/>
          <w:szCs w:val="24"/>
          <w:lang w:val="en-US"/>
        </w:rPr>
      </w:pPr>
      <w:r w:rsidRPr="00011E8F">
        <w:rPr>
          <w:rFonts w:ascii="Book Antiqua" w:hAnsi="Book Antiqua"/>
          <w:color w:val="000000" w:themeColor="text1"/>
          <w:sz w:val="24"/>
          <w:szCs w:val="24"/>
          <w:lang w:val="en-US"/>
        </w:rPr>
        <w:t>Given that most evaluations of PC-related EC have been carried out from the perspective of the hospital</w:t>
      </w:r>
      <w:r w:rsidRPr="00011E8F">
        <w:rPr>
          <w:rFonts w:ascii="Book Antiqua" w:hAnsi="Book Antiqua"/>
          <w:bCs/>
          <w:color w:val="000000" w:themeColor="text1"/>
          <w:sz w:val="24"/>
          <w:szCs w:val="24"/>
        </w:rPr>
        <w:fldChar w:fldCharType="begin" w:fldLock="1"/>
      </w:r>
      <w:r w:rsidR="00394178" w:rsidRPr="00011E8F">
        <w:rPr>
          <w:rFonts w:ascii="Book Antiqua" w:hAnsi="Book Antiqua"/>
          <w:bCs/>
          <w:color w:val="000000" w:themeColor="text1"/>
          <w:sz w:val="24"/>
          <w:szCs w:val="24"/>
          <w:lang w:val="en-US"/>
        </w:rPr>
        <w:instrText>ADDIN CSL_CITATION {"citationItems":[{"id":"ITEM-1","itemData":{"DOI":"10.1007/s40258-013-0060-y","ISBN":"1179-1896 (Electronic)","ISSN":"1179-1896","PMID":"24166193","abstract":"OBJECTIVES On the basis of a systematic review, we aimed to establish the cost and drivers of cost and/or resource use of intra- and perioperative complications occurring as a result of selected major surgical procedures, as well as to understand the relationship between costs and severity of complication and, consequently, the economic burden they represent. We also assessed the clinical and economic methodologies used to derive costs and resource use across the studies with a view to providing guidance on reporting standards for these studies. METHODS We searched EMBASE, MEDLINE and Econlit (from 2002 to 2012) for study publications including resource use/cost data relating to surgical complications. RESULTS We identified 38 relevant studies on pancreatic (n = 14), urologic (n = 4), gynaecological (n = 6), thoracic (n = 13) and hepatic surgery (n = 1). All studies showed that complications lead to higher resource use and hospital costs compared with surgical procedures without complications. Costs depend on type of complication and complication severity, and are driven primarily by prolonged hospitalisation. There was considerable heterogeneity between studies with regard to patient populations, outcomes and procedures, as well as a lack of consistency and transparency of reporting of costs/resource use. Complication severity grading systems were used infrequently. CONCLUSIONS The overall conclusions of included studies are consistent: complications represent an important economic burden for health care providers. We conclude that more accurate and consistent data collection is required to serve as input for good-quality economic analyses, which in turn can inform hospital decisions on cost-efficient allocation of their limited resources.","author":[{"dropping-particle":"","family":"Patel","given":"Ajay S.","non-dropping-particle":"","parse-names":false,"suffix":""},{"dropping-particle":"","family":"Bergman","given":"Annika","non-dropping-particle":"","parse-names":false,"suffix":""},{"dropping-particle":"","family":"Moore","given":"Brigitte W.","non-dropping-particle":"","parse-names":false,"suffix":""},{"dropping-particle":"","family":"Haglund","given":"Ulf","non-dropping-particle":"","parse-names":false,"suffix":""}],"container-title":"Applied health economics and health policy","id":"ITEM-1","issue":"6","issued":{"date-parts":[["2013","12"]]},"page":"577-92","title":"The economic burden of complications occurring in major surgical procedures: a systematic review.","type":"article-journal","volume":"11"},"uris":["http://www.mendeley.com/documents/?uuid=b6a4f160-d618-41c9-846b-98774803e5bb"]}],"mendeley":{"formattedCitation":"&lt;sup&gt;[4]&lt;/sup&gt;","plainTextFormattedCitation":"[4]","previouslyFormattedCitation":"&lt;sup&gt;[4]&lt;/sup&gt;"},"properties":{"noteIndex":0},"schema":"https://github.com/citation-style-language/schema/raw/master/csl-citation.json"}</w:instrText>
      </w:r>
      <w:r w:rsidRPr="00011E8F">
        <w:rPr>
          <w:rFonts w:ascii="Book Antiqua" w:hAnsi="Book Antiqua"/>
          <w:bCs/>
          <w:color w:val="000000" w:themeColor="text1"/>
          <w:sz w:val="24"/>
          <w:szCs w:val="24"/>
        </w:rPr>
        <w:fldChar w:fldCharType="separate"/>
      </w:r>
      <w:r w:rsidRPr="00011E8F">
        <w:rPr>
          <w:rFonts w:ascii="Book Antiqua" w:hAnsi="Book Antiqua"/>
          <w:bCs/>
          <w:noProof/>
          <w:color w:val="000000" w:themeColor="text1"/>
          <w:sz w:val="24"/>
          <w:szCs w:val="24"/>
          <w:vertAlign w:val="superscript"/>
          <w:lang w:val="en-US"/>
        </w:rPr>
        <w:t>[4]</w:t>
      </w:r>
      <w:r w:rsidRPr="00011E8F">
        <w:rPr>
          <w:rFonts w:ascii="Book Antiqua" w:hAnsi="Book Antiqua"/>
          <w:bCs/>
          <w:color w:val="000000" w:themeColor="text1"/>
          <w:sz w:val="24"/>
          <w:szCs w:val="24"/>
        </w:rPr>
        <w:fldChar w:fldCharType="end"/>
      </w:r>
      <w:r w:rsidRPr="00011E8F">
        <w:rPr>
          <w:rFonts w:ascii="Book Antiqua" w:hAnsi="Book Antiqua"/>
          <w:bCs/>
          <w:color w:val="000000" w:themeColor="text1"/>
          <w:sz w:val="24"/>
          <w:szCs w:val="24"/>
          <w:lang w:val="en-US"/>
        </w:rPr>
        <w:t xml:space="preserve">, we would like to make some recommendations. It has been argued that taking </w:t>
      </w:r>
      <w:r w:rsidR="00C440B7" w:rsidRPr="00011E8F">
        <w:rPr>
          <w:rFonts w:ascii="Book Antiqua" w:hAnsi="Book Antiqua"/>
          <w:bCs/>
          <w:color w:val="000000" w:themeColor="text1"/>
          <w:sz w:val="24"/>
          <w:szCs w:val="24"/>
          <w:lang w:val="en-US"/>
        </w:rPr>
        <w:t>micro costs</w:t>
      </w:r>
      <w:r w:rsidRPr="00011E8F">
        <w:rPr>
          <w:rFonts w:ascii="Book Antiqua" w:hAnsi="Book Antiqua"/>
          <w:bCs/>
          <w:color w:val="000000" w:themeColor="text1"/>
          <w:sz w:val="24"/>
          <w:szCs w:val="24"/>
          <w:lang w:val="en-US"/>
        </w:rPr>
        <w:t xml:space="preserve"> into account (</w:t>
      </w:r>
      <w:r w:rsidRPr="00011E8F">
        <w:rPr>
          <w:rFonts w:ascii="Book Antiqua" w:hAnsi="Book Antiqua"/>
          <w:bCs/>
          <w:i/>
          <w:iCs/>
          <w:color w:val="000000" w:themeColor="text1"/>
          <w:sz w:val="24"/>
          <w:szCs w:val="24"/>
          <w:lang w:val="en-US"/>
        </w:rPr>
        <w:t>i.e.</w:t>
      </w:r>
      <w:r w:rsidRPr="00011E8F">
        <w:rPr>
          <w:rFonts w:ascii="Book Antiqua" w:hAnsi="Book Antiqua"/>
          <w:bCs/>
          <w:color w:val="000000" w:themeColor="text1"/>
          <w:sz w:val="24"/>
          <w:szCs w:val="24"/>
          <w:lang w:val="en-US"/>
        </w:rPr>
        <w:t>, each component of the resources used per patient)</w:t>
      </w:r>
      <w:r w:rsidRPr="00011E8F">
        <w:rPr>
          <w:rFonts w:ascii="Book Antiqua" w:hAnsi="Book Antiqua"/>
          <w:bCs/>
          <w:color w:val="000000" w:themeColor="text1"/>
          <w:sz w:val="24"/>
          <w:szCs w:val="24"/>
        </w:rPr>
        <w:fldChar w:fldCharType="begin" w:fldLock="1"/>
      </w:r>
      <w:r w:rsidR="00394178" w:rsidRPr="00011E8F">
        <w:rPr>
          <w:rFonts w:ascii="Book Antiqua" w:hAnsi="Book Antiqua"/>
          <w:bCs/>
          <w:color w:val="000000" w:themeColor="text1"/>
          <w:sz w:val="24"/>
          <w:szCs w:val="24"/>
          <w:lang w:val="en-US"/>
        </w:rPr>
        <w:instrText>ADDIN CSL_CITATION {"citationItems":[{"id":"ITEM-1","itemData":{"ISBN":"0198529457","author":[{"dropping-particle":"","family":"Drummond","given":"Michael F","non-dropping-particle":"","parse-names":false,"suffix":""},{"dropping-particle":"","family":"Sculpher","given":"Mark J","non-dropping-particle":"","parse-names":false,"suffix":""},{"dropping-particle":"","family":"Claxton","given":"Karl","non-dropping-particle":"","parse-names":false,"suffix":""},{"dropping-particle":"","family":"Stoddart","given":"Greg L","non-dropping-particle":"","parse-names":false,"suffix":""},{"dropping-particle":"","family":"Torrance","given":"George W","non-dropping-particle":"","parse-names":false,"suffix":""}],"edition":"4th","editor":[{"dropping-particle":"","family":"Oxford University Press","given":"","non-dropping-particle":"","parse-names":false,"suffix":""}],"id":"ITEM-1","issued":{"date-parts":[["2015"]]},"publisher":"Oxford University Press","publisher-place":"Oxford","title":"Methods for the economic evaluation of health care programmes","type":"book"},"uris":["http://www.mendeley.com/documents/?uuid=144eca6a-170d-46cd-8b96-a07f3ebb5330","http://www.mendeley.com/documents/?uuid=1e6ddb4d-54f5-4c40-92ef-1ad3ec23a857"]}],"mendeley":{"formattedCitation":"&lt;sup&gt;[27]&lt;/sup&gt;","plainTextFormattedCitation":"[27]","previouslyFormattedCitation":"&lt;sup&gt;[27]&lt;/sup&gt;"},"properties":{"noteIndex":0},"schema":"https://github.com/citation-style-language/schema/raw/master/csl-citation.json"}</w:instrText>
      </w:r>
      <w:r w:rsidRPr="00011E8F">
        <w:rPr>
          <w:rFonts w:ascii="Book Antiqua" w:hAnsi="Book Antiqua"/>
          <w:bCs/>
          <w:color w:val="000000" w:themeColor="text1"/>
          <w:sz w:val="24"/>
          <w:szCs w:val="24"/>
        </w:rPr>
        <w:fldChar w:fldCharType="separate"/>
      </w:r>
      <w:r w:rsidRPr="00011E8F">
        <w:rPr>
          <w:rFonts w:ascii="Book Antiqua" w:hAnsi="Book Antiqua"/>
          <w:bCs/>
          <w:noProof/>
          <w:color w:val="000000" w:themeColor="text1"/>
          <w:sz w:val="24"/>
          <w:szCs w:val="24"/>
          <w:vertAlign w:val="superscript"/>
          <w:lang w:val="en-US"/>
        </w:rPr>
        <w:t>[27]</w:t>
      </w:r>
      <w:r w:rsidRPr="00011E8F">
        <w:rPr>
          <w:rFonts w:ascii="Book Antiqua" w:hAnsi="Book Antiqua"/>
          <w:bCs/>
          <w:color w:val="000000" w:themeColor="text1"/>
          <w:sz w:val="24"/>
          <w:szCs w:val="24"/>
        </w:rPr>
        <w:fldChar w:fldCharType="end"/>
      </w:r>
      <w:r w:rsidRPr="00011E8F">
        <w:rPr>
          <w:rFonts w:ascii="Book Antiqua" w:hAnsi="Book Antiqua"/>
          <w:bCs/>
          <w:color w:val="000000" w:themeColor="text1"/>
          <w:sz w:val="24"/>
          <w:szCs w:val="24"/>
          <w:lang w:val="en-US"/>
        </w:rPr>
        <w:t xml:space="preserve"> is expensive. We do not share this view; with the electronic medical record, the investment for determining these costs is minimal but these costs are still assigned equally, independently of the individual cost. Some examples are:</w:t>
      </w:r>
      <w:r w:rsidR="00C440B7" w:rsidRPr="00011E8F">
        <w:rPr>
          <w:rFonts w:ascii="Book Antiqua" w:hAnsi="Book Antiqua"/>
          <w:bCs/>
          <w:color w:val="000000" w:themeColor="text1"/>
          <w:sz w:val="24"/>
          <w:szCs w:val="24"/>
          <w:lang w:val="en-US" w:eastAsia="zh-CN"/>
        </w:rPr>
        <w:t xml:space="preserve"> (1) </w:t>
      </w:r>
      <w:r w:rsidRPr="00011E8F">
        <w:rPr>
          <w:rFonts w:ascii="Book Antiqua" w:hAnsi="Book Antiqua"/>
          <w:bCs/>
          <w:color w:val="000000" w:themeColor="text1"/>
          <w:sz w:val="24"/>
          <w:szCs w:val="24"/>
          <w:lang w:val="en-US"/>
        </w:rPr>
        <w:t>The pharmacy costs associated with each patient are recorded electronically at almost all hospitals</w:t>
      </w:r>
      <w:r w:rsidR="00C440B7" w:rsidRPr="00011E8F">
        <w:rPr>
          <w:rFonts w:ascii="Book Antiqua" w:hAnsi="Book Antiqua"/>
          <w:bCs/>
          <w:color w:val="000000" w:themeColor="text1"/>
          <w:sz w:val="24"/>
          <w:szCs w:val="24"/>
          <w:lang w:val="en-US"/>
        </w:rPr>
        <w:t>; (2)</w:t>
      </w:r>
      <w:r w:rsidRPr="00011E8F">
        <w:rPr>
          <w:rFonts w:ascii="Book Antiqua" w:hAnsi="Book Antiqua"/>
          <w:bCs/>
          <w:color w:val="000000" w:themeColor="text1"/>
          <w:sz w:val="24"/>
          <w:szCs w:val="24"/>
          <w:lang w:val="en-US"/>
        </w:rPr>
        <w:t xml:space="preserve"> The cost of consumables used during surgical interventions (sutures, gauze, </w:t>
      </w:r>
      <w:proofErr w:type="spellStart"/>
      <w:r w:rsidRPr="00011E8F">
        <w:rPr>
          <w:rFonts w:ascii="Book Antiqua" w:hAnsi="Book Antiqua"/>
          <w:bCs/>
          <w:color w:val="000000" w:themeColor="text1"/>
          <w:sz w:val="24"/>
          <w:szCs w:val="24"/>
          <w:lang w:val="en-US"/>
        </w:rPr>
        <w:t>endostaplers</w:t>
      </w:r>
      <w:proofErr w:type="spellEnd"/>
      <w:r w:rsidRPr="00011E8F">
        <w:rPr>
          <w:rFonts w:ascii="Book Antiqua" w:hAnsi="Book Antiqua"/>
          <w:bCs/>
          <w:color w:val="000000" w:themeColor="text1"/>
          <w:sz w:val="24"/>
          <w:szCs w:val="24"/>
          <w:lang w:val="en-US"/>
        </w:rPr>
        <w:t xml:space="preserve">, meshes) is very easy to calculate using a barcode reader and to incorporate </w:t>
      </w:r>
      <w:r w:rsidR="00E60DEC" w:rsidRPr="00011E8F">
        <w:rPr>
          <w:rFonts w:ascii="Book Antiqua" w:hAnsi="Book Antiqua"/>
          <w:bCs/>
          <w:color w:val="000000" w:themeColor="text1"/>
          <w:sz w:val="24"/>
          <w:szCs w:val="24"/>
          <w:lang w:val="en-US"/>
        </w:rPr>
        <w:t>i</w:t>
      </w:r>
      <w:r w:rsidRPr="00011E8F">
        <w:rPr>
          <w:rFonts w:ascii="Book Antiqua" w:hAnsi="Book Antiqua"/>
          <w:bCs/>
          <w:color w:val="000000" w:themeColor="text1"/>
          <w:sz w:val="24"/>
          <w:szCs w:val="24"/>
          <w:lang w:val="en-US"/>
        </w:rPr>
        <w:t>nto the medical record. In advanced surgery this EC is very high. However, operating room EC are usually assessed according to the time taken, regardless of the intervention, and not according to the material consumed</w:t>
      </w:r>
      <w:r w:rsidR="00C440B7" w:rsidRPr="00011E8F">
        <w:rPr>
          <w:rFonts w:ascii="Book Antiqua" w:hAnsi="Book Antiqua"/>
          <w:bCs/>
          <w:color w:val="000000" w:themeColor="text1"/>
          <w:sz w:val="24"/>
          <w:szCs w:val="24"/>
          <w:lang w:val="en-US"/>
        </w:rPr>
        <w:t xml:space="preserve">; and (3) </w:t>
      </w:r>
      <w:r w:rsidRPr="00011E8F">
        <w:rPr>
          <w:rFonts w:ascii="Book Antiqua" w:hAnsi="Book Antiqua"/>
          <w:bCs/>
          <w:color w:val="000000" w:themeColor="text1"/>
          <w:sz w:val="24"/>
          <w:szCs w:val="24"/>
          <w:lang w:val="en-US"/>
        </w:rPr>
        <w:t>The cost of diagnostic tests, if they are assigned a unit cost. Consumables should also be individualized.</w:t>
      </w:r>
    </w:p>
    <w:p w14:paraId="42AB4F59" w14:textId="133248DC" w:rsidR="001917A0" w:rsidRPr="00011E8F" w:rsidRDefault="001917A0" w:rsidP="00FC61F7">
      <w:pPr>
        <w:snapToGrid w:val="0"/>
        <w:spacing w:after="0" w:line="360" w:lineRule="auto"/>
        <w:ind w:right="565" w:firstLineChars="100" w:firstLine="240"/>
        <w:jc w:val="both"/>
        <w:rPr>
          <w:rFonts w:ascii="Book Antiqua" w:hAnsi="Book Antiqua"/>
          <w:bCs/>
          <w:color w:val="000000" w:themeColor="text1"/>
          <w:sz w:val="24"/>
          <w:szCs w:val="24"/>
          <w:lang w:val="en-US"/>
        </w:rPr>
      </w:pPr>
      <w:r w:rsidRPr="00011E8F">
        <w:rPr>
          <w:rFonts w:ascii="Book Antiqua" w:hAnsi="Book Antiqua"/>
          <w:bCs/>
          <w:color w:val="000000" w:themeColor="text1"/>
          <w:sz w:val="24"/>
          <w:szCs w:val="24"/>
          <w:lang w:val="en-US"/>
        </w:rPr>
        <w:t xml:space="preserve">Specific measurement of each patient’s use of these resources is essential to distinguish between the costs of patients with and without </w:t>
      </w:r>
      <w:r w:rsidR="00C440B7" w:rsidRPr="00011E8F">
        <w:rPr>
          <w:rFonts w:ascii="Book Antiqua" w:hAnsi="Book Antiqua"/>
          <w:bCs/>
          <w:color w:val="000000" w:themeColor="text1"/>
          <w:sz w:val="24"/>
          <w:szCs w:val="24"/>
          <w:lang w:val="en-US"/>
        </w:rPr>
        <w:t>PC</w:t>
      </w:r>
      <w:r w:rsidRPr="00011E8F">
        <w:rPr>
          <w:rFonts w:ascii="Book Antiqua" w:hAnsi="Book Antiqua"/>
          <w:bCs/>
          <w:color w:val="000000" w:themeColor="text1"/>
          <w:sz w:val="24"/>
          <w:szCs w:val="24"/>
          <w:lang w:val="en-US"/>
        </w:rPr>
        <w:t>. Not taking them into account creates an obvious bias</w:t>
      </w:r>
      <w:r w:rsidRPr="00011E8F">
        <w:rPr>
          <w:rFonts w:ascii="Book Antiqua" w:hAnsi="Book Antiqua"/>
          <w:bCs/>
          <w:color w:val="000000" w:themeColor="text1"/>
          <w:sz w:val="24"/>
          <w:szCs w:val="24"/>
        </w:rPr>
        <w:fldChar w:fldCharType="begin" w:fldLock="1"/>
      </w:r>
      <w:r w:rsidR="00DB5656" w:rsidRPr="00011E8F">
        <w:rPr>
          <w:rFonts w:ascii="Book Antiqua" w:hAnsi="Book Antiqua"/>
          <w:bCs/>
          <w:color w:val="000000" w:themeColor="text1"/>
          <w:sz w:val="24"/>
          <w:szCs w:val="24"/>
          <w:lang w:val="en-US"/>
        </w:rPr>
        <w:instrText>ADDIN CSL_CITATION {"citationItems":[{"id":"ITEM-1","itemData":{"DOI":"10.1097/SLA.0000000000003308","ISSN":"1528-1140","PMID":"30985367","abstract":"OBJECTIVE To validate the Comprehensive Complication Index (CCI) via an assessment of its relation to postoperative costs. BACKGROUND The CCI summarizes all the postoperative complications graded by the Clavien-Dindo classification (CDC) on a numerical scale. Its relation to hospital costs has not been validated to date. METHODS Prospective observational cohort study, including all patients undergoing surgery at a general surgery service during the 1-year study period. All complications graded with the CDC and CCI and related to the initial admission, or until discharge if the patient was readmitted within 90 days of surgery, were included. The surgeries were classified according to their Operative Severity Score (OSS) and in 4 groups of homogeneous surgeries. All postoperative costs were recorded. RESULTS In all, 1850 patients were included, of whom 513 presented complications (27.7%). The CDC and the CCI were moderately to strongly correlated with overall postoperative costs (OPCs) in all OSS groups (rs = 0.444-0.810 vs 0.445-0.820; P &lt; 0.001), homogeneous surgeries (rs = 0.364-0.802 vs 0.364-0.813; P &lt; 0.001), prolongation of postoperative stay (rs = 0.802 vs 0.830; P &lt; 0.001), and initial operating room costs (rs = 0.448 vs 0.451; P &lt; 0.001). This correlation was higher in emergency surgery. With higher CDC grades, the OPC tended to increase an upward trend. In the multivariate analysis, CDC, CCI, age, and duration of surgery were all associated with OPC (P &lt; 0.001). CONCLUSIONS In our environment, the CCI presented associations with OPC. This demonstration of its economic validity enhances its clinical validity.","author":[{"dropping-particle":"","family":"la Plaza Llamas","given":"Roberto","non-dropping-particle":"de","parse-names":false,"suffix":""},{"dropping-particle":"","family":"Hidalgo Vega","given":"Álvaro","non-dropping-particle":"","parse-names":false,"suffix":""},{"dropping-particle":"","family":"Latorre Fragua","given":"Raquel A","non-dropping-particle":"","parse-names":false,"suffix":""},{"dropping-particle":"","family":"López Marcano","given":"Aylhín J","non-dropping-particle":"","parse-names":false,"suffix":""},{"dropping-particle":"","family":"Medina Velasco","given":"Aníbal A","non-dropping-particle":"","parse-names":false,"suffix":""},{"dropping-particle":"","family":"Díaz Candelas","given":"Daniel A","non-dropping-particle":"","parse-names":false,"suffix":""},{"dropping-particle":"","family":"García Gil","given":"José M","non-dropping-particle":"","parse-names":false,"suffix":""},{"dropping-particle":"","family":"Ramia Ángel","given":"José M","non-dropping-particle":"","parse-names":false,"suffix":""}],"container-title":"Annals of surgery","id":"ITEM-1","issued":{"date-parts":[["2019","4","9"]]},"page":"1","title":"The Cost of Postoperative Complications and Economic Validation of the Comprehensive Complication Index: Prospective Study.","type":"article-journal"},"uris":["http://www.mendeley.com/documents/?uuid=bb2a3eea-9923-4685-b9a0-03b6af015fd2"]}],"mendeley":{"formattedCitation":"&lt;sup&gt;[15]&lt;/sup&gt;","plainTextFormattedCitation":"[15]","previouslyFormattedCitation":"&lt;sup&gt;[15]&lt;/sup&gt;"},"properties":{"noteIndex":0},"schema":"https://github.com/citation-style-language/schema/raw/master/csl-citation.json"}</w:instrText>
      </w:r>
      <w:r w:rsidRPr="00011E8F">
        <w:rPr>
          <w:rFonts w:ascii="Book Antiqua" w:hAnsi="Book Antiqua"/>
          <w:bCs/>
          <w:color w:val="000000" w:themeColor="text1"/>
          <w:sz w:val="24"/>
          <w:szCs w:val="24"/>
        </w:rPr>
        <w:fldChar w:fldCharType="separate"/>
      </w:r>
      <w:r w:rsidRPr="00011E8F">
        <w:rPr>
          <w:rFonts w:ascii="Book Antiqua" w:hAnsi="Book Antiqua"/>
          <w:bCs/>
          <w:noProof/>
          <w:color w:val="000000" w:themeColor="text1"/>
          <w:sz w:val="24"/>
          <w:szCs w:val="24"/>
          <w:vertAlign w:val="superscript"/>
          <w:lang w:val="en-US"/>
        </w:rPr>
        <w:t>[15]</w:t>
      </w:r>
      <w:r w:rsidRPr="00011E8F">
        <w:rPr>
          <w:rFonts w:ascii="Book Antiqua" w:hAnsi="Book Antiqua"/>
          <w:bCs/>
          <w:color w:val="000000" w:themeColor="text1"/>
          <w:sz w:val="24"/>
          <w:szCs w:val="24"/>
        </w:rPr>
        <w:fldChar w:fldCharType="end"/>
      </w:r>
      <w:r w:rsidRPr="00011E8F">
        <w:rPr>
          <w:rFonts w:ascii="Book Antiqua" w:hAnsi="Book Antiqua"/>
          <w:bCs/>
          <w:color w:val="000000" w:themeColor="text1"/>
          <w:sz w:val="24"/>
          <w:szCs w:val="24"/>
          <w:lang w:val="en-US"/>
        </w:rPr>
        <w:t>. In addition, we believe that the practice of adjusted the number of stays by DRG is inappropriate</w:t>
      </w:r>
      <w:r w:rsidRPr="00011E8F">
        <w:rPr>
          <w:rFonts w:ascii="Book Antiqua" w:hAnsi="Book Antiqua"/>
          <w:bCs/>
          <w:color w:val="000000" w:themeColor="text1"/>
          <w:sz w:val="24"/>
          <w:szCs w:val="24"/>
        </w:rPr>
        <w:fldChar w:fldCharType="begin" w:fldLock="1"/>
      </w:r>
      <w:r w:rsidR="00394178" w:rsidRPr="00011E8F">
        <w:rPr>
          <w:rFonts w:ascii="Book Antiqua" w:hAnsi="Book Antiqua"/>
          <w:bCs/>
          <w:color w:val="000000" w:themeColor="text1"/>
          <w:sz w:val="24"/>
          <w:szCs w:val="24"/>
          <w:lang w:val="en-US"/>
        </w:rPr>
        <w:instrText>ADDIN CSL_CITATION {"citationItems":[{"id":"ITEM-1","itemData":{"DOI":"10.1016/j.ciresp.2019.04.009","ISSN":"1578-147X","PMID":"31103195","author":[{"dropping-particle":"","family":"la Plaza Llamas","given":"Roberto","non-dropping-particle":"de","parse-names":false,"suffix":""},{"dropping-particle":"","family":"Gemio Del Rey","given":"Ignacio Antonio","non-dropping-particle":"","parse-names":false,"suffix":""},{"dropping-particle":"","family":"Ramia","given":"José Manuel","non-dropping-particle":"","parse-names":false,"suffix":""}],"container-title":"Cirugia espanola","id":"ITEM-1","issue":"7","issued":{"date-parts":[["0"]]},"page":"420-421","title":"Discrepancies in the analysis of frequency, type of complications and costs of outlying patients in general and digestive surgery.","type":"article-journal","volume":"97"},"uris":["http://www.mendeley.com/documents/?uuid=5edcd1df-6e86-4d5b-81a8-23e745a36603","http://www.mendeley.com/documents/?uuid=09d5c4e2-cc53-4c9e-b21f-913950592cab"]}],"mendeley":{"formattedCitation":"&lt;sup&gt;[29]&lt;/sup&gt;","plainTextFormattedCitation":"[29]","previouslyFormattedCitation":"&lt;sup&gt;[29]&lt;/sup&gt;"},"properties":{"noteIndex":0},"schema":"https://github.com/citation-style-language/schema/raw/master/csl-citation.json"}</w:instrText>
      </w:r>
      <w:r w:rsidRPr="00011E8F">
        <w:rPr>
          <w:rFonts w:ascii="Book Antiqua" w:hAnsi="Book Antiqua"/>
          <w:bCs/>
          <w:color w:val="000000" w:themeColor="text1"/>
          <w:sz w:val="24"/>
          <w:szCs w:val="24"/>
        </w:rPr>
        <w:fldChar w:fldCharType="separate"/>
      </w:r>
      <w:r w:rsidRPr="00011E8F">
        <w:rPr>
          <w:rFonts w:ascii="Book Antiqua" w:hAnsi="Book Antiqua"/>
          <w:bCs/>
          <w:noProof/>
          <w:color w:val="000000" w:themeColor="text1"/>
          <w:sz w:val="24"/>
          <w:szCs w:val="24"/>
          <w:vertAlign w:val="superscript"/>
          <w:lang w:val="en-US"/>
        </w:rPr>
        <w:t>[29]</w:t>
      </w:r>
      <w:r w:rsidRPr="00011E8F">
        <w:rPr>
          <w:rFonts w:ascii="Book Antiqua" w:hAnsi="Book Antiqua"/>
          <w:bCs/>
          <w:color w:val="000000" w:themeColor="text1"/>
          <w:sz w:val="24"/>
          <w:szCs w:val="24"/>
        </w:rPr>
        <w:fldChar w:fldCharType="end"/>
      </w:r>
      <w:r w:rsidRPr="00011E8F">
        <w:rPr>
          <w:rFonts w:ascii="Book Antiqua" w:hAnsi="Book Antiqua"/>
          <w:bCs/>
          <w:color w:val="000000" w:themeColor="text1"/>
          <w:sz w:val="24"/>
          <w:szCs w:val="24"/>
          <w:lang w:val="en-US"/>
        </w:rPr>
        <w:t>.</w:t>
      </w:r>
    </w:p>
    <w:p w14:paraId="410FD3BC" w14:textId="77777777" w:rsidR="001917A0" w:rsidRPr="00011E8F" w:rsidRDefault="001917A0" w:rsidP="00FC61F7">
      <w:pPr>
        <w:snapToGrid w:val="0"/>
        <w:spacing w:after="0" w:line="360" w:lineRule="auto"/>
        <w:ind w:right="565" w:firstLineChars="100" w:firstLine="240"/>
        <w:jc w:val="both"/>
        <w:rPr>
          <w:rFonts w:ascii="Book Antiqua" w:hAnsi="Book Antiqua"/>
          <w:color w:val="000000" w:themeColor="text1"/>
          <w:sz w:val="24"/>
          <w:szCs w:val="24"/>
          <w:lang w:val="en-US"/>
        </w:rPr>
      </w:pPr>
      <w:r w:rsidRPr="00011E8F">
        <w:rPr>
          <w:rFonts w:ascii="Book Antiqua" w:hAnsi="Book Antiqua"/>
          <w:color w:val="000000" w:themeColor="text1"/>
          <w:sz w:val="24"/>
          <w:szCs w:val="24"/>
          <w:lang w:val="en-US"/>
        </w:rPr>
        <w:t>Since the economic evaluation of PC involves the comparison of two clinical evolutions, any costs that are common to both do not need to be quantified; we are interested only in differential costs and results, rather than totals. Any preoperative EC, including the EC of the initial or index surgery or PC caused by postoperative cancer treatments, should be excluded from the analysis.</w:t>
      </w:r>
    </w:p>
    <w:p w14:paraId="173ABB4D" w14:textId="78E59891" w:rsidR="001917A0" w:rsidRPr="00011E8F" w:rsidRDefault="001917A0" w:rsidP="00FC61F7">
      <w:pPr>
        <w:snapToGrid w:val="0"/>
        <w:spacing w:after="0" w:line="360" w:lineRule="auto"/>
        <w:ind w:right="565" w:firstLineChars="100" w:firstLine="240"/>
        <w:jc w:val="both"/>
        <w:rPr>
          <w:rFonts w:ascii="Book Antiqua" w:hAnsi="Book Antiqua"/>
          <w:color w:val="000000" w:themeColor="text1"/>
          <w:sz w:val="24"/>
          <w:szCs w:val="24"/>
          <w:lang w:val="en-US"/>
        </w:rPr>
      </w:pPr>
      <w:r w:rsidRPr="00011E8F">
        <w:rPr>
          <w:rFonts w:ascii="Book Antiqua" w:hAnsi="Book Antiqua"/>
          <w:color w:val="000000" w:themeColor="text1"/>
          <w:sz w:val="24"/>
          <w:szCs w:val="24"/>
          <w:lang w:val="en-US"/>
        </w:rPr>
        <w:t xml:space="preserve">To determine the cost of PC related to a specific procedure, the operations compared should be as similar as possible in terms of complexity and the patients </w:t>
      </w:r>
      <w:r w:rsidRPr="00011E8F">
        <w:rPr>
          <w:rFonts w:ascii="Book Antiqua" w:hAnsi="Book Antiqua"/>
          <w:color w:val="000000" w:themeColor="text1"/>
          <w:sz w:val="24"/>
          <w:szCs w:val="24"/>
          <w:lang w:val="en-US"/>
        </w:rPr>
        <w:lastRenderedPageBreak/>
        <w:t xml:space="preserve">compared should also be similar in terms of severity. The use of the </w:t>
      </w:r>
      <w:proofErr w:type="spellStart"/>
      <w:r w:rsidRPr="00011E8F">
        <w:rPr>
          <w:rFonts w:ascii="Book Antiqua" w:hAnsi="Book Antiqua"/>
          <w:color w:val="000000" w:themeColor="text1"/>
          <w:sz w:val="24"/>
          <w:szCs w:val="24"/>
          <w:lang w:val="en-US"/>
        </w:rPr>
        <w:t>Charlson</w:t>
      </w:r>
      <w:proofErr w:type="spellEnd"/>
      <w:r w:rsidRPr="00011E8F">
        <w:rPr>
          <w:rFonts w:ascii="Book Antiqua" w:hAnsi="Book Antiqua"/>
          <w:color w:val="000000" w:themeColor="text1"/>
          <w:sz w:val="24"/>
          <w:szCs w:val="24"/>
          <w:lang w:val="en-US"/>
        </w:rPr>
        <w:t xml:space="preserve"> morbidity scale can be particularly useful</w:t>
      </w:r>
      <w:r w:rsidRPr="00011E8F">
        <w:rPr>
          <w:rFonts w:ascii="Book Antiqua" w:hAnsi="Book Antiqua"/>
          <w:color w:val="000000" w:themeColor="text1"/>
          <w:sz w:val="24"/>
          <w:szCs w:val="24"/>
        </w:rPr>
        <w:fldChar w:fldCharType="begin" w:fldLock="1"/>
      </w:r>
      <w:r w:rsidR="00394178" w:rsidRPr="00011E8F">
        <w:rPr>
          <w:rFonts w:ascii="Book Antiqua" w:hAnsi="Book Antiqua"/>
          <w:color w:val="000000" w:themeColor="text1"/>
          <w:sz w:val="24"/>
          <w:szCs w:val="24"/>
          <w:lang w:val="en-US"/>
        </w:rPr>
        <w:instrText>ADDIN CSL_CITATION {"citationItems":[{"id":"ITEM-1","itemData":{"ISSN":"0021-9681","PMID":"3558716","abstract":"The objective of this study was to develop a prospectively applicable method for classifying comorbid conditions which might alter the risk of mortality for use in longitudinal studies. A weighted index that takes into account the number and the seriousness of comorbid disease was developed in a cohort of 559 medical patients. The 1-yr mortality rates for the different scores were: \"0\", 12% (181); \"1-2\", 26% (225); \"3-4\", 52% (71); and \"greater than or equal to 5\", 85% (82). The index was tested for its ability to predict risk of death from comorbid disease in the second cohort of 685 patients during a 10-yr follow-up. The percent of patients who died of comorbid disease for the different scores were: \"0\", 8% (588); \"1\", 25% (54); \"2\", 48% (25); \"greater than or equal to 3\", 59% (18). With each increased level of the comorbidity index, there were stepwise increases in the cumulative mortality attributable to comorbid disease (log rank chi 2 = 165; p less than 0.0001). In this longer follow-up, age was also a predictor of mortality (p less than 0.001). The new index performed similarly to a previous system devised by Kaplan and Feinstein. The method of classifying comorbidity provides a simple, readily applicable and valid method of estimating risk of death from comorbid disease for use in longitudinal studies. Further work in larger populations is still required to refine the approach because the number of patients with any given condition in this study was relatively small.","author":[{"dropping-particle":"","family":"Charlson","given":"M E","non-dropping-particle":"","parse-names":false,"suffix":""},{"dropping-particle":"","family":"Pompei","given":"P","non-dropping-particle":"","parse-names":false,"suffix":""},{"dropping-particle":"","family":"Ales","given":"K L","non-dropping-particle":"","parse-names":false,"suffix":""},{"dropping-particle":"","family":"MacKenzie","given":"C R","non-dropping-particle":"","parse-names":false,"suffix":""}],"container-title":"Journal of chronic diseases","id":"ITEM-1","issue":"5","issued":{"date-parts":[["1987"]]},"page":"373-83","title":"A new method of classifying prognostic comorbidity in longitudinal studies: development and validation.","type":"article-journal","volume":"40"},"uris":["http://www.mendeley.com/documents/?uuid=eae4ecbf-11f5-4615-a37c-8f9efa6a9f76"]}],"mendeley":{"formattedCitation":"&lt;sup&gt;[30]&lt;/sup&gt;","plainTextFormattedCitation":"[30]","previouslyFormattedCitation":"&lt;sup&gt;[30]&lt;/sup&gt;"},"properties":{"noteIndex":0},"schema":"https://github.com/citation-style-language/schema/raw/master/csl-citation.json"}</w:instrText>
      </w:r>
      <w:r w:rsidRPr="00011E8F">
        <w:rPr>
          <w:rFonts w:ascii="Book Antiqua" w:hAnsi="Book Antiqua"/>
          <w:color w:val="000000" w:themeColor="text1"/>
          <w:sz w:val="24"/>
          <w:szCs w:val="24"/>
        </w:rPr>
        <w:fldChar w:fldCharType="separate"/>
      </w:r>
      <w:r w:rsidRPr="00011E8F">
        <w:rPr>
          <w:rFonts w:ascii="Book Antiqua" w:hAnsi="Book Antiqua"/>
          <w:noProof/>
          <w:color w:val="000000" w:themeColor="text1"/>
          <w:sz w:val="24"/>
          <w:szCs w:val="24"/>
          <w:vertAlign w:val="superscript"/>
          <w:lang w:val="en-US"/>
        </w:rPr>
        <w:t>[30]</w:t>
      </w:r>
      <w:r w:rsidRPr="00011E8F">
        <w:rPr>
          <w:rFonts w:ascii="Book Antiqua" w:hAnsi="Book Antiqua"/>
          <w:color w:val="000000" w:themeColor="text1"/>
          <w:sz w:val="24"/>
          <w:szCs w:val="24"/>
        </w:rPr>
        <w:fldChar w:fldCharType="end"/>
      </w:r>
      <w:r w:rsidRPr="00011E8F">
        <w:rPr>
          <w:rFonts w:ascii="Book Antiqua" w:hAnsi="Book Antiqua"/>
          <w:color w:val="000000" w:themeColor="text1"/>
          <w:sz w:val="24"/>
          <w:szCs w:val="24"/>
          <w:lang w:val="en-US"/>
        </w:rPr>
        <w:t xml:space="preserve">. </w:t>
      </w:r>
    </w:p>
    <w:p w14:paraId="433030F2" w14:textId="77777777" w:rsidR="001917A0" w:rsidRPr="00011E8F" w:rsidRDefault="001917A0" w:rsidP="00FC61F7">
      <w:pPr>
        <w:snapToGrid w:val="0"/>
        <w:spacing w:after="0" w:line="360" w:lineRule="auto"/>
        <w:ind w:right="565" w:firstLineChars="100" w:firstLine="240"/>
        <w:jc w:val="both"/>
        <w:rPr>
          <w:rFonts w:ascii="Book Antiqua" w:hAnsi="Book Antiqua"/>
          <w:color w:val="000000" w:themeColor="text1"/>
          <w:sz w:val="24"/>
          <w:szCs w:val="24"/>
          <w:lang w:val="en-US"/>
        </w:rPr>
      </w:pPr>
      <w:r w:rsidRPr="00011E8F">
        <w:rPr>
          <w:rFonts w:ascii="Book Antiqua" w:hAnsi="Book Antiqua"/>
          <w:color w:val="000000" w:themeColor="text1"/>
          <w:sz w:val="24"/>
          <w:szCs w:val="24"/>
          <w:lang w:val="en-US"/>
        </w:rPr>
        <w:t>Table 2 describes the recommendations to be followed in the assessment of EC associated with PC and the data we think should be described in the economic study.</w:t>
      </w:r>
    </w:p>
    <w:p w14:paraId="1D61A0F5" w14:textId="77777777" w:rsidR="00C440B7" w:rsidRPr="00011E8F" w:rsidRDefault="00C440B7" w:rsidP="00FC61F7">
      <w:pPr>
        <w:snapToGrid w:val="0"/>
        <w:spacing w:after="0" w:line="360" w:lineRule="auto"/>
        <w:ind w:right="565"/>
        <w:jc w:val="both"/>
        <w:rPr>
          <w:rFonts w:ascii="Book Antiqua" w:hAnsi="Book Antiqua"/>
          <w:b/>
          <w:color w:val="000000" w:themeColor="text1"/>
          <w:sz w:val="24"/>
          <w:szCs w:val="24"/>
          <w:lang w:val="en-US"/>
        </w:rPr>
      </w:pPr>
    </w:p>
    <w:p w14:paraId="2AD281B1" w14:textId="456898F1" w:rsidR="001917A0" w:rsidRPr="00011E8F" w:rsidRDefault="001917A0" w:rsidP="00FC61F7">
      <w:pPr>
        <w:snapToGrid w:val="0"/>
        <w:spacing w:after="0" w:line="360" w:lineRule="auto"/>
        <w:ind w:right="565"/>
        <w:jc w:val="both"/>
        <w:rPr>
          <w:rFonts w:ascii="Book Antiqua" w:hAnsi="Book Antiqua"/>
          <w:b/>
          <w:i/>
          <w:iCs/>
          <w:color w:val="000000" w:themeColor="text1"/>
          <w:sz w:val="24"/>
          <w:szCs w:val="24"/>
          <w:lang w:val="en-US"/>
        </w:rPr>
      </w:pPr>
      <w:r w:rsidRPr="00011E8F">
        <w:rPr>
          <w:rFonts w:ascii="Book Antiqua" w:hAnsi="Book Antiqua"/>
          <w:b/>
          <w:i/>
          <w:iCs/>
          <w:color w:val="000000" w:themeColor="text1"/>
          <w:sz w:val="24"/>
          <w:szCs w:val="24"/>
          <w:lang w:val="en-US"/>
        </w:rPr>
        <w:t>Assessment of the differences in costs between complicated and non-complicated patients</w:t>
      </w:r>
    </w:p>
    <w:p w14:paraId="68C62B9B" w14:textId="2AD31F79" w:rsidR="001917A0" w:rsidRPr="00011E8F" w:rsidRDefault="001917A0" w:rsidP="00FC61F7">
      <w:pPr>
        <w:snapToGrid w:val="0"/>
        <w:spacing w:after="0" w:line="360" w:lineRule="auto"/>
        <w:ind w:right="565"/>
        <w:jc w:val="both"/>
        <w:rPr>
          <w:rFonts w:ascii="Book Antiqua" w:hAnsi="Book Antiqua"/>
          <w:color w:val="000000" w:themeColor="text1"/>
          <w:sz w:val="24"/>
          <w:szCs w:val="24"/>
          <w:lang w:val="en-US"/>
        </w:rPr>
      </w:pPr>
      <w:r w:rsidRPr="00011E8F">
        <w:rPr>
          <w:rFonts w:ascii="Book Antiqua" w:hAnsi="Book Antiqua"/>
          <w:color w:val="000000" w:themeColor="text1"/>
          <w:sz w:val="24"/>
          <w:szCs w:val="24"/>
          <w:lang w:val="en-US"/>
        </w:rPr>
        <w:t>Finally, to determine the EC of PC, the postoperative EC of patients with PC should be subtracted the postoperative EC of patients without PC. That is, costs in patients with and without complications should be compared. If the PC are classified according to the CDC and/or the CCI we can calculate the costs associated with each grade of the CDC or score on the CCI in any patient</w:t>
      </w:r>
      <w:r w:rsidRPr="00011E8F">
        <w:rPr>
          <w:rFonts w:ascii="Book Antiqua" w:hAnsi="Book Antiqua"/>
          <w:color w:val="000000" w:themeColor="text1"/>
          <w:sz w:val="24"/>
          <w:szCs w:val="24"/>
        </w:rPr>
        <w:fldChar w:fldCharType="begin" w:fldLock="1"/>
      </w:r>
      <w:r w:rsidR="00DB5656" w:rsidRPr="00011E8F">
        <w:rPr>
          <w:rFonts w:ascii="Book Antiqua" w:hAnsi="Book Antiqua"/>
          <w:color w:val="000000" w:themeColor="text1"/>
          <w:sz w:val="24"/>
          <w:szCs w:val="24"/>
          <w:lang w:val="en-US"/>
        </w:rPr>
        <w:instrText>ADDIN CSL_CITATION {"citationItems":[{"id":"ITEM-1","itemData":{"DOI":"10.1097/SLA.0000000000003308","ISSN":"1528-1140","PMID":"30985367","abstract":"OBJECTIVE To validate the Comprehensive Complication Index (CCI) via an assessment of its relation to postoperative costs. BACKGROUND The CCI summarizes all the postoperative complications graded by the Clavien-Dindo classification (CDC) on a numerical scale. Its relation to hospital costs has not been validated to date. METHODS Prospective observational cohort study, including all patients undergoing surgery at a general surgery service during the 1-year study period. All complications graded with the CDC and CCI and related to the initial admission, or until discharge if the patient was readmitted within 90 days of surgery, were included. The surgeries were classified according to their Operative Severity Score (OSS) and in 4 groups of homogeneous surgeries. All postoperative costs were recorded. RESULTS In all, 1850 patients were included, of whom 513 presented complications (27.7%). The CDC and the CCI were moderately to strongly correlated with overall postoperative costs (OPCs) in all OSS groups (rs = 0.444-0.810 vs 0.445-0.820; P &lt; 0.001), homogeneous surgeries (rs = 0.364-0.802 vs 0.364-0.813; P &lt; 0.001), prolongation of postoperative stay (rs = 0.802 vs 0.830; P &lt; 0.001), and initial operating room costs (rs = 0.448 vs 0.451; P &lt; 0.001). This correlation was higher in emergency surgery. With higher CDC grades, the OPC tended to increase an upward trend. In the multivariate analysis, CDC, CCI, age, and duration of surgery were all associated with OPC (P &lt; 0.001). CONCLUSIONS In our environment, the CCI presented associations with OPC. This demonstration of its economic validity enhances its clinical validity.","author":[{"dropping-particle":"","family":"la Plaza Llamas","given":"Roberto","non-dropping-particle":"de","parse-names":false,"suffix":""},{"dropping-particle":"","family":"Hidalgo Vega","given":"Álvaro","non-dropping-particle":"","parse-names":false,"suffix":""},{"dropping-particle":"","family":"Latorre Fragua","given":"Raquel A","non-dropping-particle":"","parse-names":false,"suffix":""},{"dropping-particle":"","family":"López Marcano","given":"Aylhín J","non-dropping-particle":"","parse-names":false,"suffix":""},{"dropping-particle":"","family":"Medina Velasco","given":"Aníbal A","non-dropping-particle":"","parse-names":false,"suffix":""},{"dropping-particle":"","family":"Díaz Candelas","given":"Daniel A","non-dropping-particle":"","parse-names":false,"suffix":""},{"dropping-particle":"","family":"García Gil","given":"José M","non-dropping-particle":"","parse-names":false,"suffix":""},{"dropping-particle":"","family":"Ramia Ángel","given":"José M","non-dropping-particle":"","parse-names":false,"suffix":""}],"container-title":"Annals of surgery","id":"ITEM-1","issued":{"date-parts":[["2019","4","9"]]},"page":"1","title":"The Cost of Postoperative Complications and Economic Validation of the Comprehensive Complication Index: Prospective Study.","type":"article-journal"},"uris":["http://www.mendeley.com/documents/?uuid=bb2a3eea-9923-4685-b9a0-03b6af015fd2"]}],"mendeley":{"formattedCitation":"&lt;sup&gt;[15]&lt;/sup&gt;","plainTextFormattedCitation":"[15]","previouslyFormattedCitation":"&lt;sup&gt;[15]&lt;/sup&gt;"},"properties":{"noteIndex":0},"schema":"https://github.com/citation-style-language/schema/raw/master/csl-citation.json"}</w:instrText>
      </w:r>
      <w:r w:rsidRPr="00011E8F">
        <w:rPr>
          <w:rFonts w:ascii="Book Antiqua" w:hAnsi="Book Antiqua"/>
          <w:color w:val="000000" w:themeColor="text1"/>
          <w:sz w:val="24"/>
          <w:szCs w:val="24"/>
        </w:rPr>
        <w:fldChar w:fldCharType="separate"/>
      </w:r>
      <w:r w:rsidRPr="00011E8F">
        <w:rPr>
          <w:rFonts w:ascii="Book Antiqua" w:hAnsi="Book Antiqua"/>
          <w:noProof/>
          <w:color w:val="000000" w:themeColor="text1"/>
          <w:sz w:val="24"/>
          <w:szCs w:val="24"/>
          <w:vertAlign w:val="superscript"/>
          <w:lang w:val="en-US"/>
        </w:rPr>
        <w:t>[15]</w:t>
      </w:r>
      <w:r w:rsidRPr="00011E8F">
        <w:rPr>
          <w:rFonts w:ascii="Book Antiqua" w:hAnsi="Book Antiqua"/>
          <w:color w:val="000000" w:themeColor="text1"/>
          <w:sz w:val="24"/>
          <w:szCs w:val="24"/>
        </w:rPr>
        <w:fldChar w:fldCharType="end"/>
      </w:r>
      <w:r w:rsidRPr="00011E8F">
        <w:rPr>
          <w:rFonts w:ascii="Book Antiqua" w:hAnsi="Book Antiqua"/>
          <w:color w:val="000000" w:themeColor="text1"/>
          <w:sz w:val="24"/>
          <w:szCs w:val="24"/>
          <w:lang w:val="en-US"/>
        </w:rPr>
        <w:t>.</w:t>
      </w:r>
    </w:p>
    <w:p w14:paraId="5F00EB58" w14:textId="77777777" w:rsidR="00C440B7" w:rsidRPr="00011E8F" w:rsidRDefault="00C440B7" w:rsidP="00FC61F7">
      <w:pPr>
        <w:snapToGrid w:val="0"/>
        <w:spacing w:after="0" w:line="360" w:lineRule="auto"/>
        <w:ind w:right="565"/>
        <w:jc w:val="both"/>
        <w:rPr>
          <w:rFonts w:ascii="Book Antiqua" w:hAnsi="Book Antiqua"/>
          <w:color w:val="000000" w:themeColor="text1"/>
          <w:sz w:val="24"/>
          <w:szCs w:val="24"/>
          <w:lang w:val="en-US"/>
        </w:rPr>
      </w:pPr>
    </w:p>
    <w:p w14:paraId="1583BE04" w14:textId="77777777" w:rsidR="001917A0" w:rsidRPr="00011E8F" w:rsidRDefault="001917A0" w:rsidP="00FC61F7">
      <w:pPr>
        <w:snapToGrid w:val="0"/>
        <w:spacing w:after="0" w:line="360" w:lineRule="auto"/>
        <w:ind w:right="565"/>
        <w:jc w:val="both"/>
        <w:rPr>
          <w:rFonts w:ascii="Book Antiqua" w:hAnsi="Book Antiqua"/>
          <w:color w:val="000000" w:themeColor="text1"/>
          <w:sz w:val="24"/>
          <w:szCs w:val="24"/>
          <w:u w:val="single"/>
          <w:lang w:val="en-US"/>
        </w:rPr>
      </w:pPr>
      <w:r w:rsidRPr="00011E8F">
        <w:rPr>
          <w:rFonts w:ascii="Book Antiqua" w:hAnsi="Book Antiqua"/>
          <w:b/>
          <w:bCs/>
          <w:color w:val="000000" w:themeColor="text1"/>
          <w:sz w:val="24"/>
          <w:szCs w:val="24"/>
          <w:u w:val="single"/>
          <w:lang w:val="en-US"/>
        </w:rPr>
        <w:t>DISCUSSION</w:t>
      </w:r>
    </w:p>
    <w:p w14:paraId="7A1D57B9" w14:textId="03B3AD12" w:rsidR="001917A0" w:rsidRPr="00011E8F" w:rsidRDefault="001917A0" w:rsidP="00FC61F7">
      <w:pPr>
        <w:snapToGrid w:val="0"/>
        <w:spacing w:after="0" w:line="360" w:lineRule="auto"/>
        <w:ind w:right="565"/>
        <w:jc w:val="both"/>
        <w:rPr>
          <w:rFonts w:ascii="Book Antiqua" w:hAnsi="Book Antiqua"/>
          <w:color w:val="000000" w:themeColor="text1"/>
          <w:sz w:val="24"/>
          <w:szCs w:val="24"/>
          <w:lang w:val="en-US"/>
        </w:rPr>
      </w:pPr>
      <w:r w:rsidRPr="00011E8F">
        <w:rPr>
          <w:rFonts w:ascii="Book Antiqua" w:hAnsi="Book Antiqua"/>
          <w:color w:val="000000" w:themeColor="text1"/>
          <w:sz w:val="24"/>
          <w:szCs w:val="24"/>
          <w:lang w:val="en-US"/>
        </w:rPr>
        <w:t>We believe that studies of EC associated with PC should ideally take into account the costs described in Table 1 and the recommendations and clarifications in Table 2. Researchers should specify the ones they use. Some principles have been previously published in the CHEERS statement</w:t>
      </w:r>
      <w:r w:rsidRPr="00011E8F">
        <w:rPr>
          <w:rFonts w:ascii="Book Antiqua" w:hAnsi="Book Antiqua" w:cs="Times New Roman"/>
          <w:noProof/>
          <w:color w:val="000000" w:themeColor="text1"/>
          <w:sz w:val="24"/>
          <w:szCs w:val="24"/>
        </w:rPr>
        <w:fldChar w:fldCharType="begin" w:fldLock="1"/>
      </w:r>
      <w:r w:rsidR="00394178" w:rsidRPr="00011E8F">
        <w:rPr>
          <w:rFonts w:ascii="Book Antiqua" w:hAnsi="Book Antiqua" w:cs="Times New Roman"/>
          <w:noProof/>
          <w:color w:val="000000" w:themeColor="text1"/>
          <w:sz w:val="24"/>
          <w:szCs w:val="24"/>
          <w:lang w:val="en-US"/>
        </w:rPr>
        <w:instrText>ADDIN CSL_CITATION {"citationItems":[{"id":"ITEM-1","itemData":{"DOI":"10.1016/j.jval.2013.02.010","ISSN":"1524-4733","PMID":"23538200","abstract":"Economic evaluations of health interventions pose a particular challenge for reporting. There is also a need to consolidate and update existing guidelines and promote their use in a user friendly manner. The Consolidated Health Economic Evaluation Reporting Standards (CHEERS) statement is an attempt to consolidate and update previous health economic evaluation guidelines efforts into one current, useful reporting guidance. The primary audiences for the CHEERS statement are researchers reporting economic evaluations and the editors and peer reviewers assessing them for publication. The need for new reporting guidance was identified by a survey of medical editors. A list of possible items based on a systematic review was created. A two round, modified Delphi panel consisting of representatives from academia, clinical practice, industry, government, and the editorial community was conducted. Out of 44 candidate items, 24 items and accompanying recommendations were developed. The recommendations are contained in a user friendly, 24 item checklist. A copy of the statement, accompanying checklist, and this report can be found on the ISPOR Health Economic Evaluations Publication Guidelines Task Force website: (www.ispor.org/TaskForces/EconomicPubGuidelines.asp). We hope CHEERS will lead to better reporting, and ultimately, better health decisions. To facilitate dissemination and uptake, the CHEERS statement is being co-published across 10 health economics and medical journals. We encourage other journals and groups, to endorse CHEERS. The author team plans to review the checklist for an update in five years.","author":[{"dropping-particle":"","family":"Husereau","given":"Don","non-dropping-particle":"","parse-names":false,"suffix":""},{"dropping-particle":"","family":"Drummond","given":"Michael","non-dropping-particle":"","parse-names":false,"suffix":""},{"dropping-particle":"","family":"Petrou","given":"Stavros","non-dropping-particle":"","parse-names":false,"suffix":""},{"dropping-particle":"","family":"Carswell","given":"Chris","non-dropping-particle":"","parse-names":false,"suffix":""},{"dropping-particle":"","family":"Moher","given":"David","non-dropping-particle":"","parse-names":false,"suffix":""},{"dropping-particle":"","family":"Greenberg","given":"Dan","non-dropping-particle":"","parse-names":false,"suffix":""},{"dropping-particle":"","family":"Augustovski","given":"Federico","non-dropping-particle":"","parse-names":false,"suffix":""},{"dropping-particle":"","family":"Briggs","given":"Andrew H","non-dropping-particle":"","parse-names":false,"suffix":""},{"dropping-particle":"","family":"Mauskopf","given":"Josephine","non-dropping-particle":"","parse-names":false,"suffix":""},{"dropping-particle":"","family":"Loder","given":"Elizabeth","non-dropping-particle":"","parse-names":false,"suffix":""},{"dropping-particle":"","family":"CHEERS Task Force","given":"","non-dropping-particle":"","parse-names":false,"suffix":""}],"container-title":"Value in health : the journal of the International Society for Pharmacoeconomics and Outcomes Research","id":"ITEM-1","issue":"2","issued":{"date-parts":[["0"]]},"page":"e1-5","title":"Consolidated Health Economic Evaluation Reporting Standards (CHEERS) statement.","type":"article-journal","volume":"16"},"uris":["http://www.mendeley.com/documents/?uuid=be638f0c-10ce-4055-9fc7-94493cd26cad","http://www.mendeley.com/documents/?uuid=74539fb3-53c8-4827-a89e-966e6f7d1da3"]}],"mendeley":{"formattedCitation":"&lt;sup&gt;[31]&lt;/sup&gt;","plainTextFormattedCitation":"[31]","previouslyFormattedCitation":"&lt;sup&gt;[31]&lt;/sup&gt;"},"properties":{"noteIndex":0},"schema":"https://github.com/citation-style-language/schema/raw/master/csl-citation.json"}</w:instrText>
      </w:r>
      <w:r w:rsidRPr="00011E8F">
        <w:rPr>
          <w:rFonts w:ascii="Book Antiqua" w:hAnsi="Book Antiqua" w:cs="Times New Roman"/>
          <w:noProof/>
          <w:color w:val="000000" w:themeColor="text1"/>
          <w:sz w:val="24"/>
          <w:szCs w:val="24"/>
        </w:rPr>
        <w:fldChar w:fldCharType="separate"/>
      </w:r>
      <w:r w:rsidRPr="00011E8F">
        <w:rPr>
          <w:rFonts w:ascii="Book Antiqua" w:hAnsi="Book Antiqua" w:cs="Times New Roman"/>
          <w:noProof/>
          <w:color w:val="000000" w:themeColor="text1"/>
          <w:sz w:val="24"/>
          <w:szCs w:val="24"/>
          <w:vertAlign w:val="superscript"/>
          <w:lang w:val="en-US"/>
        </w:rPr>
        <w:t>[31]</w:t>
      </w:r>
      <w:r w:rsidRPr="00011E8F">
        <w:rPr>
          <w:rFonts w:ascii="Book Antiqua" w:hAnsi="Book Antiqua" w:cs="Times New Roman"/>
          <w:noProof/>
          <w:color w:val="000000" w:themeColor="text1"/>
          <w:sz w:val="24"/>
          <w:szCs w:val="24"/>
        </w:rPr>
        <w:fldChar w:fldCharType="end"/>
      </w:r>
      <w:r w:rsidRPr="00011E8F">
        <w:rPr>
          <w:rFonts w:ascii="Book Antiqua" w:hAnsi="Book Antiqua" w:cs="Times New Roman"/>
          <w:noProof/>
          <w:color w:val="000000" w:themeColor="text1"/>
          <w:sz w:val="24"/>
          <w:szCs w:val="24"/>
          <w:lang w:val="en-US"/>
        </w:rPr>
        <w:t>.</w:t>
      </w:r>
    </w:p>
    <w:p w14:paraId="52BB3DDB" w14:textId="5593BC86" w:rsidR="001917A0" w:rsidRPr="00011E8F" w:rsidRDefault="001917A0" w:rsidP="00FC61F7">
      <w:pPr>
        <w:snapToGrid w:val="0"/>
        <w:spacing w:after="0" w:line="360" w:lineRule="auto"/>
        <w:ind w:right="565" w:firstLineChars="100" w:firstLine="240"/>
        <w:jc w:val="both"/>
        <w:rPr>
          <w:rFonts w:ascii="Book Antiqua" w:hAnsi="Book Antiqua"/>
          <w:color w:val="000000" w:themeColor="text1"/>
          <w:sz w:val="24"/>
          <w:szCs w:val="24"/>
          <w:lang w:val="en-US"/>
        </w:rPr>
      </w:pPr>
      <w:r w:rsidRPr="00011E8F">
        <w:rPr>
          <w:rFonts w:ascii="Book Antiqua" w:hAnsi="Book Antiqua"/>
          <w:color w:val="000000" w:themeColor="text1"/>
          <w:sz w:val="24"/>
          <w:szCs w:val="24"/>
          <w:lang w:val="en-US"/>
        </w:rPr>
        <w:t xml:space="preserve">In the </w:t>
      </w:r>
      <w:r w:rsidR="00C440B7" w:rsidRPr="00011E8F">
        <w:rPr>
          <w:rFonts w:ascii="Book Antiqua" w:hAnsi="Book Antiqua"/>
          <w:color w:val="000000" w:themeColor="text1"/>
          <w:sz w:val="24"/>
          <w:szCs w:val="24"/>
          <w:lang w:val="en-US"/>
        </w:rPr>
        <w:t>best-case</w:t>
      </w:r>
      <w:r w:rsidRPr="00011E8F">
        <w:rPr>
          <w:rFonts w:ascii="Book Antiqua" w:hAnsi="Book Antiqua"/>
          <w:color w:val="000000" w:themeColor="text1"/>
          <w:sz w:val="24"/>
          <w:szCs w:val="24"/>
          <w:lang w:val="en-US"/>
        </w:rPr>
        <w:t xml:space="preserve"> scenario, it would be possible to compare PC and their associated EC in different surgical procedures and in different hospitals at regional or global level. This would indicate the specific problems of each service and procedure, allow the introduction of improvements, and determine quality and efficiency benchmark services. But for this to be possible, care must be taken to measure the same phenomenon with the same tools: that is, assessing the complexity of the procedure and the severity of the patient, the concept of complication, the classification system, the evaluation perspective, the level of the hospital, and so on (</w:t>
      </w:r>
      <w:r w:rsidR="00C440B7" w:rsidRPr="00011E8F">
        <w:rPr>
          <w:rFonts w:ascii="Book Antiqua" w:hAnsi="Book Antiqua"/>
          <w:color w:val="000000" w:themeColor="text1"/>
          <w:sz w:val="24"/>
          <w:szCs w:val="24"/>
          <w:lang w:val="en-US"/>
        </w:rPr>
        <w:t xml:space="preserve">Table </w:t>
      </w:r>
      <w:r w:rsidRPr="00011E8F">
        <w:rPr>
          <w:rFonts w:ascii="Book Antiqua" w:hAnsi="Book Antiqua"/>
          <w:color w:val="000000" w:themeColor="text1"/>
          <w:sz w:val="24"/>
          <w:szCs w:val="24"/>
          <w:lang w:val="en-US"/>
        </w:rPr>
        <w:t>2).</w:t>
      </w:r>
    </w:p>
    <w:p w14:paraId="7440D8E4" w14:textId="15B0149D" w:rsidR="001917A0" w:rsidRPr="00011E8F" w:rsidRDefault="001917A0" w:rsidP="00FC61F7">
      <w:pPr>
        <w:snapToGrid w:val="0"/>
        <w:spacing w:after="0" w:line="360" w:lineRule="auto"/>
        <w:ind w:right="565" w:firstLineChars="100" w:firstLine="240"/>
        <w:jc w:val="both"/>
        <w:rPr>
          <w:rFonts w:ascii="Book Antiqua" w:hAnsi="Book Antiqua"/>
          <w:color w:val="000000" w:themeColor="text1"/>
          <w:sz w:val="24"/>
          <w:szCs w:val="24"/>
          <w:lang w:val="en-US"/>
        </w:rPr>
      </w:pPr>
      <w:r w:rsidRPr="00011E8F">
        <w:rPr>
          <w:rFonts w:ascii="Book Antiqua" w:hAnsi="Book Antiqua"/>
          <w:color w:val="000000" w:themeColor="text1"/>
          <w:sz w:val="24"/>
          <w:szCs w:val="24"/>
          <w:lang w:val="en-US"/>
        </w:rPr>
        <w:t xml:space="preserve">Once the PC associated with a surgical procedure at a particular service have been identified, the introduction of a protocol aimed to allow early diagnosis and </w:t>
      </w:r>
      <w:r w:rsidRPr="00011E8F">
        <w:rPr>
          <w:rFonts w:ascii="Book Antiqua" w:hAnsi="Book Antiqua"/>
          <w:color w:val="000000" w:themeColor="text1"/>
          <w:sz w:val="24"/>
          <w:szCs w:val="24"/>
          <w:lang w:val="en-US"/>
        </w:rPr>
        <w:lastRenderedPageBreak/>
        <w:t>treatment of complications can help bring down morbidity and mortality rates and can also prove cost-effective</w:t>
      </w:r>
      <w:r w:rsidRPr="00011E8F">
        <w:rPr>
          <w:rFonts w:ascii="Book Antiqua" w:hAnsi="Book Antiqua"/>
          <w:color w:val="000000" w:themeColor="text1"/>
          <w:sz w:val="24"/>
          <w:szCs w:val="24"/>
          <w:lang w:val="en-NZ"/>
        </w:rPr>
        <w:fldChar w:fldCharType="begin" w:fldLock="1"/>
      </w:r>
      <w:r w:rsidR="00394178" w:rsidRPr="00011E8F">
        <w:rPr>
          <w:rFonts w:ascii="Book Antiqua" w:hAnsi="Book Antiqua"/>
          <w:color w:val="000000" w:themeColor="text1"/>
          <w:sz w:val="24"/>
          <w:szCs w:val="24"/>
          <w:lang w:val="en-US"/>
        </w:rPr>
        <w:instrText>ADDIN CSL_CITATION {"citationItems":[{"id":"ITEM-1","itemData":{"DOI":"10.1159/000371861","ISSN":"1421-9883","PMID":"25791798","abstract":"BACKGROUND Complications after major abdominal surgery (MAS) are associated with increased morbidity and mortality. Rising costs in health care are of increasing interest and a major factor affecting hospital costs are postoperative complications. In this study, the costs associated with complications are assessed. METHODS Retrospective cohort study of 399 consecutive patients that underwent MAS. Analysis of total costs for hospital stay, complications and treatment was performed, including bootstrapping; allowing for subtraction of data with 95% confidence intervals. RESULTS For a single patient who underwent MAS the average costs, adjusted for ASA-classification and surgery type, adds up to EUR 8,584.81 (95% CI EUR 8,332.51 - EUR 8,860.81) in patients without complications. EUR 15,412.96 (95% CI EUR 14,250.22 - EUR 16,708.82) after minor complications, and EUR 29,198.23 (95% CI EUR 27,187.13 - EUR 31,295.78) after major complications (p &lt; 0.001). CONCLUSION The results provide an insight into the scope of hospital costs associated with complications. Major complications occur in 20% of patients undergoing MAS and account for 50% of the total costs of care. Implementation of a protocol aimed at early diagnosis and treatment of complications might lead to a decrease in morbidity and mortality, but also prove to be cost effective.","author":[{"dropping-particle":"","family":"Straatman","given":"Jennifer","non-dropping-particle":"","parse-names":false,"suffix":""},{"dropping-particle":"","family":"Cuesta","given":"Miguel A.","non-dropping-particle":"","parse-names":false,"suffix":""},{"dropping-particle":"","family":"Lange-de Klerk","given":"Elly S M","non-dropping-particle":"de","parse-names":false,"suffix":""},{"dropping-particle":"","family":"Peet","given":"Donald L","non-dropping-particle":"van der","parse-names":false,"suffix":""}],"container-title":"Digestive surgery","id":"ITEM-1","issue":"2","issued":{"date-parts":[["2015"]]},"page":"150-6","title":"Hospital cost-analysis of complications after major abdominal surgery.","type":"article-journal","volume":"32"},"uris":["http://www.mendeley.com/documents/?uuid=1dd9a541-d261-4ef2-9449-a3192c07420a"]}],"mendeley":{"formattedCitation":"&lt;sup&gt;[11]&lt;/sup&gt;","plainTextFormattedCitation":"[11]","previouslyFormattedCitation":"&lt;sup&gt;[11]&lt;/sup&gt;"},"properties":{"noteIndex":0},"schema":"https://github.com/citation-style-language/schema/raw/master/csl-citation.json"}</w:instrText>
      </w:r>
      <w:r w:rsidRPr="00011E8F">
        <w:rPr>
          <w:rFonts w:ascii="Book Antiqua" w:hAnsi="Book Antiqua"/>
          <w:color w:val="000000" w:themeColor="text1"/>
          <w:sz w:val="24"/>
          <w:szCs w:val="24"/>
          <w:lang w:val="en-NZ"/>
        </w:rPr>
        <w:fldChar w:fldCharType="separate"/>
      </w:r>
      <w:r w:rsidR="00394178" w:rsidRPr="00011E8F">
        <w:rPr>
          <w:rFonts w:ascii="Book Antiqua" w:hAnsi="Book Antiqua"/>
          <w:noProof/>
          <w:color w:val="000000" w:themeColor="text1"/>
          <w:sz w:val="24"/>
          <w:szCs w:val="24"/>
          <w:vertAlign w:val="superscript"/>
          <w:lang w:val="en-US"/>
        </w:rPr>
        <w:t>[11]</w:t>
      </w:r>
      <w:r w:rsidRPr="00011E8F">
        <w:rPr>
          <w:rFonts w:ascii="Book Antiqua" w:hAnsi="Book Antiqua"/>
          <w:color w:val="000000" w:themeColor="text1"/>
          <w:sz w:val="24"/>
          <w:szCs w:val="24"/>
          <w:lang w:val="en-NZ"/>
        </w:rPr>
        <w:fldChar w:fldCharType="end"/>
      </w:r>
      <w:r w:rsidRPr="00011E8F">
        <w:rPr>
          <w:rFonts w:ascii="Book Antiqua" w:hAnsi="Book Antiqua"/>
          <w:color w:val="000000" w:themeColor="text1"/>
          <w:sz w:val="24"/>
          <w:szCs w:val="24"/>
          <w:lang w:val="en-US"/>
        </w:rPr>
        <w:t>.</w:t>
      </w:r>
    </w:p>
    <w:p w14:paraId="76CD96F7" w14:textId="41827FB2" w:rsidR="001917A0" w:rsidRPr="00011E8F" w:rsidRDefault="001917A0" w:rsidP="00FC61F7">
      <w:pPr>
        <w:snapToGrid w:val="0"/>
        <w:spacing w:after="0" w:line="360" w:lineRule="auto"/>
        <w:ind w:right="565" w:firstLineChars="100" w:firstLine="240"/>
        <w:jc w:val="both"/>
        <w:rPr>
          <w:rFonts w:ascii="Book Antiqua" w:hAnsi="Book Antiqua"/>
          <w:bCs/>
          <w:color w:val="000000" w:themeColor="text1"/>
          <w:sz w:val="24"/>
          <w:szCs w:val="24"/>
          <w:lang w:val="en-US"/>
        </w:rPr>
      </w:pPr>
      <w:r w:rsidRPr="00011E8F">
        <w:rPr>
          <w:rFonts w:ascii="Book Antiqua" w:hAnsi="Book Antiqua"/>
          <w:bCs/>
          <w:color w:val="000000" w:themeColor="text1"/>
          <w:sz w:val="24"/>
          <w:szCs w:val="24"/>
          <w:lang w:val="en-US"/>
        </w:rPr>
        <w:t>Obviously, without access to results expressed as real and audited PC of the various surgical interventions, it is impossible to consider the centralization of complex surgical procedures or the accreditation of surgical units or of training courses</w:t>
      </w:r>
      <w:r w:rsidRPr="00011E8F">
        <w:rPr>
          <w:rFonts w:ascii="Book Antiqua" w:hAnsi="Book Antiqua"/>
          <w:bCs/>
          <w:color w:val="000000" w:themeColor="text1"/>
          <w:sz w:val="24"/>
          <w:szCs w:val="24"/>
        </w:rPr>
        <w:fldChar w:fldCharType="begin" w:fldLock="1"/>
      </w:r>
      <w:r w:rsidR="00394178" w:rsidRPr="00011E8F">
        <w:rPr>
          <w:rFonts w:ascii="Book Antiqua" w:hAnsi="Book Antiqua"/>
          <w:bCs/>
          <w:color w:val="000000" w:themeColor="text1"/>
          <w:sz w:val="24"/>
          <w:szCs w:val="24"/>
          <w:lang w:val="en-US"/>
        </w:rPr>
        <w:instrText>ADDIN CSL_CITATION {"citationItems":[{"id":"ITEM-1","itemData":{"DOI":"10.1016/j.ciresp.2019.06.007","ISSN":"1578-147X","PMID":"31362837","author":[{"dropping-particle":"","family":"la Plaza Llamas","given":"Roberto","non-dropping-particle":"de","parse-names":false,"suffix":""},{"dropping-particle":"","family":"García Gil","given":"José Manuel","non-dropping-particle":"","parse-names":false,"suffix":""},{"dropping-particle":"","family":"Ramia Ángel","given":"José Manuel","non-dropping-particle":"","parse-names":false,"suffix":""}],"container-title":"Cirugia espanola","id":"ITEM-1","issue":"10","issued":{"date-parts":[["2019","12"]]},"page":"609-611","title":"Standardizing the treatment of esophagogastric junction tumors: Centralization, registries and surgical training.","type":"article-journal","volume":"97"},"uris":["http://www.mendeley.com/documents/?uuid=967de3ea-247d-4761-a30e-cc4f31ed1241","http://www.mendeley.com/documents/?uuid=1975719d-035f-486b-857e-e91747810e55"]}],"mendeley":{"formattedCitation":"&lt;sup&gt;[3]&lt;/sup&gt;","plainTextFormattedCitation":"[3]","previouslyFormattedCitation":"&lt;sup&gt;[3]&lt;/sup&gt;"},"properties":{"noteIndex":0},"schema":"https://github.com/citation-style-language/schema/raw/master/csl-citation.json"}</w:instrText>
      </w:r>
      <w:r w:rsidRPr="00011E8F">
        <w:rPr>
          <w:rFonts w:ascii="Book Antiqua" w:hAnsi="Book Antiqua"/>
          <w:bCs/>
          <w:color w:val="000000" w:themeColor="text1"/>
          <w:sz w:val="24"/>
          <w:szCs w:val="24"/>
        </w:rPr>
        <w:fldChar w:fldCharType="separate"/>
      </w:r>
      <w:r w:rsidRPr="00011E8F">
        <w:rPr>
          <w:rFonts w:ascii="Book Antiqua" w:hAnsi="Book Antiqua"/>
          <w:bCs/>
          <w:noProof/>
          <w:color w:val="000000" w:themeColor="text1"/>
          <w:sz w:val="24"/>
          <w:szCs w:val="24"/>
          <w:vertAlign w:val="superscript"/>
          <w:lang w:val="en-US"/>
        </w:rPr>
        <w:t>[3]</w:t>
      </w:r>
      <w:r w:rsidRPr="00011E8F">
        <w:rPr>
          <w:rFonts w:ascii="Book Antiqua" w:hAnsi="Book Antiqua"/>
          <w:bCs/>
          <w:color w:val="000000" w:themeColor="text1"/>
          <w:sz w:val="24"/>
          <w:szCs w:val="24"/>
        </w:rPr>
        <w:fldChar w:fldCharType="end"/>
      </w:r>
      <w:r w:rsidRPr="00011E8F">
        <w:rPr>
          <w:rFonts w:ascii="Book Antiqua" w:hAnsi="Book Antiqua"/>
          <w:bCs/>
          <w:color w:val="000000" w:themeColor="text1"/>
          <w:sz w:val="24"/>
          <w:szCs w:val="24"/>
          <w:lang w:val="en-US"/>
        </w:rPr>
        <w:t>. When these results are available, efficiency studies can be performed.</w:t>
      </w:r>
    </w:p>
    <w:p w14:paraId="4825708D" w14:textId="77777777" w:rsidR="001917A0" w:rsidRPr="00011E8F" w:rsidRDefault="001917A0" w:rsidP="00FC61F7">
      <w:pPr>
        <w:snapToGrid w:val="0"/>
        <w:spacing w:after="0" w:line="360" w:lineRule="auto"/>
        <w:ind w:right="565" w:firstLineChars="100" w:firstLine="240"/>
        <w:jc w:val="both"/>
        <w:rPr>
          <w:rFonts w:ascii="Book Antiqua" w:hAnsi="Book Antiqua"/>
          <w:color w:val="000000" w:themeColor="text1"/>
          <w:sz w:val="24"/>
          <w:szCs w:val="24"/>
          <w:lang w:val="en-NZ"/>
        </w:rPr>
      </w:pPr>
      <w:r w:rsidRPr="00011E8F">
        <w:rPr>
          <w:rFonts w:ascii="Book Antiqua" w:hAnsi="Book Antiqua"/>
          <w:bCs/>
          <w:color w:val="000000" w:themeColor="text1"/>
          <w:sz w:val="24"/>
          <w:szCs w:val="24"/>
          <w:lang w:val="en-US"/>
        </w:rPr>
        <w:t>The training of surgeons is essential for reducing PC. Higher costs have been associated with surgeons who have performed fewer interventions</w:t>
      </w:r>
      <w:r w:rsidRPr="00011E8F">
        <w:rPr>
          <w:rFonts w:ascii="Book Antiqua" w:hAnsi="Book Antiqua"/>
          <w:color w:val="000000" w:themeColor="text1"/>
          <w:sz w:val="24"/>
          <w:szCs w:val="24"/>
        </w:rPr>
        <w:fldChar w:fldCharType="begin" w:fldLock="1"/>
      </w:r>
      <w:r w:rsidRPr="00011E8F">
        <w:rPr>
          <w:rFonts w:ascii="Book Antiqua" w:hAnsi="Book Antiqua"/>
          <w:color w:val="000000" w:themeColor="text1"/>
          <w:sz w:val="24"/>
          <w:szCs w:val="24"/>
          <w:lang w:val="en-US"/>
        </w:rPr>
        <w:instrText>ADDIN CSL_CITATION {"citationItems":[{"id":"ITEM-1","itemData":{"DOI":"10.1097/AOG.0b013e318248f7a8","ISSN":"1873-233X","PMID":"22433333","abstract":"OBJECTIVE To estimate the influence of surgical volume on outcome and resource utilization for laparoscopic hysterectomy for benign indications. METHODS Patients who underwent laparoscopic hysterectomy from 2000 to 2010 and recorded in a commercial database were analyzed. Patients were stratified into tertiles according to the number of procedures performed by their surgeons and at their hospital. The influence of surgeon and hospital volume on perioperative morbidity and resource utilization was examined using multivariable regression models. RESULTS A total of 124,615 patients were identified. The overall complication rate decreased from 6.2% for low-volume surgeons to 4.2% for high-volume surgeons (P&lt;.001). Patients operated on by high-volume surgeons were 25% (risk ratios [RRs] 0.75, 95% confidence interval [CI] 0.68-0.82) less likely to experience a complication. In multivariable models intraoperative complications, surgical-site complications, medical complications, prolonged hospitalization, and transfusion rates were lower for high-volume surgeons. Overall morbidity was 5.8% for women treated at low-volume hospitals compared with 4.7% at high-volume centers (P&lt;.001). Women treated at high-volume centers were 18% (RR 0.82, 95% CI 0.75-0.90) less likely to experience a complication. Procedure costs for high-volume surgeons were $867 lower than for low-volume surgeons, and treatment at a high-volume center reduced costs by $966 per procedure. CONCLUSION Performance of laparoscopic hysterectomy by high-volume surgeons and at high-volume hospitals is associated with modest reductions in morbidity and lower costs. LEVEL OF EVIDENCE II.","author":[{"dropping-particle":"","family":"Wallenstein","given":"Michelle R","non-dropping-particle":"","parse-names":false,"suffix":""},{"dropping-particle":"V","family":"Ananth","given":"Cande","non-dropping-particle":"","parse-names":false,"suffix":""},{"dropping-particle":"","family":"Kim","given":"Jin Hee","non-dropping-particle":"","parse-names":false,"suffix":""},{"dropping-particle":"","family":"Burke","given":"William M","non-dropping-particle":"","parse-names":false,"suffix":""},{"dropping-particle":"","family":"Hershman","given":"Dawn L","non-dropping-particle":"","parse-names":false,"suffix":""},{"dropping-particle":"","family":"Lewin","given":"Sharyn N","non-dropping-particle":"","parse-names":false,"suffix":""},{"dropping-particle":"","family":"Neugut","given":"Alfred I","non-dropping-particle":"","parse-names":false,"suffix":""},{"dropping-particle":"","family":"Lu","given":"Yu-Shiang","non-dropping-particle":"","parse-names":false,"suffix":""},{"dropping-particle":"","family":"Herzog","given":"Thomas J","no</w:instrText>
      </w:r>
      <w:r w:rsidRPr="00011E8F">
        <w:rPr>
          <w:rFonts w:ascii="Book Antiqua" w:hAnsi="Book Antiqua"/>
          <w:color w:val="000000" w:themeColor="text1"/>
          <w:sz w:val="24"/>
          <w:szCs w:val="24"/>
          <w:lang w:val="en-NZ"/>
        </w:rPr>
        <w:instrText>n-</w:instrText>
      </w:r>
      <w:r w:rsidRPr="00011E8F">
        <w:rPr>
          <w:rFonts w:ascii="Book Antiqua" w:hAnsi="Book Antiqua"/>
          <w:color w:val="000000" w:themeColor="text1"/>
          <w:sz w:val="24"/>
          <w:szCs w:val="24"/>
        </w:rPr>
        <w:instrText>dropping-particle":"","parse-names":false,"suffix":""},{"dropping-particle":"","family":"Wright","given":"Jason D","non-dropping-particle":"","parse-names":false,"suffix":""}],"container-title":"Obstetrics and gynecology","id":"ITEM-1","issue":"4","issued":{"date-parts":[["2012","4"]]},"page":"709-16","title":"Effect of surgical volume on outcomes for laparoscopic hysterectomy for benign indications.","type":"article-journal","volume":"119"},"uris":["http://www.mendeley.com/documents/?uuid=277ce6b7-8d8b-4a32-a488-b841fcc28928","http://www.mendeley.com/documents/?uuid=c617a481-3fa8-44e4-a377-e6123b8f83d8"]},{"id":"ITEM-2","itemData":{"DOI":"10.1245/s10434-011-2090-8","ISSN":"1534-4681","PMID":"21989660","abstract":"PURPOSE The volume of surgical procedures performed by hospitals and surgeons has a strong influence on outcomes for a number of surgeries. We examined the influence of surgeon and hospital case volume on morbidity, mortality, and resource utilization for women with endometrial cancer undergoing laparoscopic hysterectomy. METHODS Perspective, a nationwide inpatient database developed to measure utilization and quality, was used to examine women with endometrial cancer who underwent laparoscopic hysterectomy with or without lymphadenectomy from 2000 to 2010. Perioperative morbidity, mortality, and cost were compared using Chi-square tests and multivariable generalized estimating equations. RESULTS A total of 4,137 patients were identified. The overall complication rate was 9.8% for low-volume vs. 10.4% for high-volume surgeons [multivariable odds ratio (OR) = 0.71; 95% confidence interval (CI), 0.41-1.22]. The rates of intraoperative complications, surgical-site complications, medical complications, transfusion, and reoperation were similar for patients treated by low- and high-volume surgeons (p &gt; 0.05 for all). The adjusted estimate for hospital cost for patients treated by high- compared with low-volume surgeons was 219 USD (95% CI, -790 to 1,228 USD). The odds ratio for any complication in high- compared with low-volume hospitals was 1.24 (95% CI, 0.78-1.96). The average cost for patients treated in high- compared with low-volume facilities was -815 USD (95% CI, -1,641 to 11 USD). Neither physician nor hospital volume had a statistically significant effect on perioperative mortality. CONCLUSION Laparoscopic hysterectomy for endometrial cancer is well tolerated and associated with an acceptable morbidity profile. Surgeon and hospital volume appear to have little effect on perioperative morbidity, mortality, and resource utilization.","author":[{"dropping-particle":"","family":"Wright","given":"Jason D","non-dropping-particle":"","parse-names":false,"suffix":""},{"dropping-particle":"","family":"Hershman","given":"Dawn L","non-dropping-particle":"","parse-names":false,"suffix":""},{"dropping-particle":"","family":"Burke","given":"William M","non-dropping-particle":"","parse-names":false,"suffix":""},{"dropping-particle":"","family":"Lu","given":"Yu-Shiang","non-dropping-particle":"","parse-names":false,"suffix":""},{"dropping-particle":"","family":"Neugut","given":"Alfred I","non-dropping-particle":"","parse-names":false,"suffix":""},{"dropping-particle":"","family":"Lewin","given":"Sharyn N","non-dropping-particle":"","parse-names":false,"suffix":""},{"dropping-particle":"","family":"Herzog","given":"Thomas J","non-dropping-particle":"","parse-names":false,"suffix":""}],"container-title":"Annals of surgical oncology","id":"ITEM-2","issue":"3","issued":{"date-parts":[["2012","3"]]},"page":"948-58","title":"Influence of surgical volume on outcome for laparoscopic hysterectomy for endometrial cancer.","type":"article-journal","volume":"19"},"uris":["http://www.mendeley.com/documents/?uuid=b6b82419-664c-44f6-9fef-b3c4b30c548d","http://www.mendeley.com/documents/?uuid=33d56c28-9980-4049-b223-c015bc32abf2"]}],"mendeley":{"formattedCitation":"&lt;sup&gt;[32,33]&lt;/sup&gt;","plainTextFormattedCitation":"[32,33]","previouslyFormattedCitation":"&lt;sup&gt;[32,33]&lt;/sup&gt;"},"properties":{"noteIndex":0},"schema":"https://github.com/citation-style-language/schema/raw/master/csl-citation.json"}</w:instrText>
      </w:r>
      <w:r w:rsidRPr="00011E8F">
        <w:rPr>
          <w:rFonts w:ascii="Book Antiqua" w:hAnsi="Book Antiqua"/>
          <w:color w:val="000000" w:themeColor="text1"/>
          <w:sz w:val="24"/>
          <w:szCs w:val="24"/>
        </w:rPr>
        <w:fldChar w:fldCharType="separate"/>
      </w:r>
      <w:r w:rsidRPr="00011E8F">
        <w:rPr>
          <w:rFonts w:ascii="Book Antiqua" w:hAnsi="Book Antiqua"/>
          <w:noProof/>
          <w:color w:val="000000" w:themeColor="text1"/>
          <w:sz w:val="24"/>
          <w:szCs w:val="24"/>
          <w:vertAlign w:val="superscript"/>
        </w:rPr>
        <w:t>[32,33]</w:t>
      </w:r>
      <w:r w:rsidRPr="00011E8F">
        <w:rPr>
          <w:rFonts w:ascii="Book Antiqua" w:hAnsi="Book Antiqua"/>
          <w:color w:val="000000" w:themeColor="text1"/>
          <w:sz w:val="24"/>
          <w:szCs w:val="24"/>
        </w:rPr>
        <w:fldChar w:fldCharType="end"/>
      </w:r>
      <w:r w:rsidRPr="00011E8F">
        <w:rPr>
          <w:rFonts w:ascii="Book Antiqua" w:hAnsi="Book Antiqua"/>
          <w:color w:val="000000" w:themeColor="text1"/>
          <w:sz w:val="24"/>
          <w:szCs w:val="24"/>
        </w:rPr>
        <w:t xml:space="preserve"> and a higher number of intraoperative complications</w:t>
      </w:r>
      <w:r w:rsidRPr="00011E8F">
        <w:rPr>
          <w:rFonts w:ascii="Book Antiqua" w:hAnsi="Book Antiqua"/>
          <w:color w:val="000000" w:themeColor="text1"/>
          <w:sz w:val="24"/>
          <w:szCs w:val="24"/>
        </w:rPr>
        <w:fldChar w:fldCharType="begin" w:fldLock="1"/>
      </w:r>
      <w:r w:rsidRPr="00011E8F">
        <w:rPr>
          <w:rFonts w:ascii="Book Antiqua" w:hAnsi="Book Antiqua"/>
          <w:color w:val="000000" w:themeColor="text1"/>
          <w:sz w:val="24"/>
          <w:szCs w:val="24"/>
        </w:rPr>
        <w:instrText>ADDIN CSL_CITATION {"citationItems":[{"id":"ITEM-1","itemData":{"DOI":"10.1097/AOG.0b013e318248f7a8","ISSN":"1873-233X","PMID":"22433333","abstract":"OBJECTIVE To estimate the influence of surgical volume on outcome and resource utilization for laparoscopic hysterectomy for benign indications. METHODS Patients who underwent laparoscopic hysterectomy from 2000 to 2010 and recorded in a commercial database were analyzed. Patients were stratified into tertiles according to the number of procedures performed by their surgeons and at their hospital. The influence of surgeon and hospital volume on perioperative morbidity and resource utilization was examined using multivariable regression models. RESULTS A total of 124,615 patients were identified. The overall complication rate decreased from 6.2% for low-volume surgeons to 4.2% for high-volume surgeons (P&lt;.001). Patients operated on by high-volume surgeons were 25% (risk ratios [RRs] 0.75, 95% confidence interval [CI] 0.68-0.82) less likely to experience a complication. In multivariable models intraoperative complications, surgical-site complications, medical complications, prolonged hospitalization, and transfusion rates were lower for high-volume surgeons. Overall morbidity was 5.8% for women treated at low-volume hospitals compared with 4.7% at high-volume centers (P&lt;.001). Women treated at high-volume centers were 18% (RR 0.82, 95% CI 0.75-0.90) less likely to experience a complication. Procedure costs for high-volume surgeons were $867 lower than for low-volume surgeons, and treatment at a high-volume center reduced costs by $966 per procedure. CONCLUSION Performance of laparoscopic hysterectomy by high-volume surgeons and at high-volume hospitals is associated with modest reductions in morbidity and lower costs. LEVEL OF EVIDENCE II.","author":[{"dropping-particle":"","family":"Wallenstein","given":"Michelle R","non-dropping-particle":"","parse-names":false,"suffix":""},{"dropping-particle":"V","family":"Ananth","given":"Cande","non-dropping-particle":"","parse-names":false,"suffix":""},{"dropping-particle":"","family":"Kim","given":"Jin Hee","non-dropping-particle":"","parse-names":false,"suffix":""},{"dropping-particle":"","family":"Bur</w:instrText>
      </w:r>
      <w:r w:rsidRPr="00011E8F">
        <w:rPr>
          <w:rFonts w:ascii="Book Antiqua" w:hAnsi="Book Antiqua"/>
          <w:color w:val="000000" w:themeColor="text1"/>
          <w:sz w:val="24"/>
          <w:szCs w:val="24"/>
          <w:lang w:val="en-US"/>
        </w:rPr>
        <w:instrText>ke","given":"William M","non-dropping-particle":"","parse-names":false,"suffix":""},{"dropping-particle":"","family":"Hershman","given":"Dawn L","non-dropping-particle":"","parse-names":false,"suffix":""},{"dropping-particle":"","family":"Lewin","given":"Sharyn N","non-dropping-particle":"","parse-names":false,"suffix":""},{"dropping-particle":"","family":"Neugut","given":"Alfred I","non-dropping-particle":"","parse-names":false,"suffix":""},{"dropping-particle":"","family":"Lu","given":"Yu-Shiang","non-dropping-particle":"","parse-names":false,"suffix":""},{"dropping-particle":"","family":"Herzog","given":"Thomas J","non-dropping-particle":"","parse-names":false,"suffix":""},{"dropping-particle":"","family":"Wright","given":"Jason D","non-dropping-particle":"","parse-names":false,"suffix":""}],"container-title":"Obstetrics and gynecology","id":"ITEM-1","issue":"4","issued":{"date-parts":[["2012","4"]]},"page":"709-16","title":"Effect of surgical volume on outcomes for laparoscopic hysterectomy for benign indications.","type":"article-journal","volume":"119"},"uris":["http://www.mendeley.com/documents/?uuid=c617a481-3fa8-44e4-a377-e6123b8f83d8","http://www.mendeley.com/documents/?uuid=277ce6b7-8d8b-4a32-a488-b841fcc28928"]}],"mendeley":{"formattedCitation":"&lt;sup&gt;[32]&lt;/sup&gt;","plainTextFormattedCitation":"[32]","previouslyFormattedCitation":"&lt;sup&gt;[32]&lt;/sup&gt;"},"properties":{"noteIndex":0},"schema":"https://github.com/citation-style-language/schema/raw/master/csl-citation.json"}</w:instrText>
      </w:r>
      <w:r w:rsidRPr="00011E8F">
        <w:rPr>
          <w:rFonts w:ascii="Book Antiqua" w:hAnsi="Book Antiqua"/>
          <w:color w:val="000000" w:themeColor="text1"/>
          <w:sz w:val="24"/>
          <w:szCs w:val="24"/>
        </w:rPr>
        <w:fldChar w:fldCharType="separate"/>
      </w:r>
      <w:r w:rsidRPr="00011E8F">
        <w:rPr>
          <w:rFonts w:ascii="Book Antiqua" w:hAnsi="Book Antiqua"/>
          <w:noProof/>
          <w:color w:val="000000" w:themeColor="text1"/>
          <w:sz w:val="24"/>
          <w:szCs w:val="24"/>
          <w:vertAlign w:val="superscript"/>
          <w:lang w:val="en-NZ"/>
        </w:rPr>
        <w:t>[32]</w:t>
      </w:r>
      <w:r w:rsidRPr="00011E8F">
        <w:rPr>
          <w:rFonts w:ascii="Book Antiqua" w:hAnsi="Book Antiqua"/>
          <w:color w:val="000000" w:themeColor="text1"/>
          <w:sz w:val="24"/>
          <w:szCs w:val="24"/>
        </w:rPr>
        <w:fldChar w:fldCharType="end"/>
      </w:r>
      <w:r w:rsidRPr="00011E8F">
        <w:rPr>
          <w:rFonts w:ascii="Book Antiqua" w:hAnsi="Book Antiqua"/>
          <w:color w:val="000000" w:themeColor="text1"/>
          <w:sz w:val="24"/>
          <w:szCs w:val="24"/>
          <w:lang w:val="en-NZ"/>
        </w:rPr>
        <w:t>.</w:t>
      </w:r>
    </w:p>
    <w:p w14:paraId="5F5B9D93" w14:textId="3A89F097" w:rsidR="001917A0" w:rsidRPr="00011E8F" w:rsidRDefault="001917A0" w:rsidP="00FC61F7">
      <w:pPr>
        <w:snapToGrid w:val="0"/>
        <w:spacing w:after="0" w:line="360" w:lineRule="auto"/>
        <w:ind w:right="565" w:firstLineChars="100" w:firstLine="240"/>
        <w:jc w:val="both"/>
        <w:rPr>
          <w:rFonts w:ascii="Book Antiqua" w:hAnsi="Book Antiqua"/>
          <w:color w:val="000000" w:themeColor="text1"/>
          <w:sz w:val="24"/>
          <w:szCs w:val="24"/>
          <w:lang w:val="en-US"/>
        </w:rPr>
      </w:pPr>
      <w:r w:rsidRPr="00011E8F">
        <w:rPr>
          <w:rFonts w:ascii="Book Antiqua" w:hAnsi="Book Antiqua"/>
          <w:color w:val="000000" w:themeColor="text1"/>
          <w:sz w:val="24"/>
          <w:szCs w:val="24"/>
          <w:lang w:val="en-US"/>
        </w:rPr>
        <w:t>Outside the public health structure, the payment system in place may reward the volume of services provided to the patient rather than the patient’s clinical outcome. Despite its obvious flaws, many hospitals have used this system for a long time</w:t>
      </w:r>
      <w:r w:rsidRPr="00011E8F">
        <w:rPr>
          <w:rFonts w:ascii="Book Antiqua" w:hAnsi="Book Antiqua"/>
          <w:color w:val="000000" w:themeColor="text1"/>
          <w:sz w:val="24"/>
          <w:szCs w:val="24"/>
        </w:rPr>
        <w:fldChar w:fldCharType="begin" w:fldLock="1"/>
      </w:r>
      <w:r w:rsidR="00394178" w:rsidRPr="00011E8F">
        <w:rPr>
          <w:rFonts w:ascii="Book Antiqua" w:hAnsi="Book Antiqua"/>
          <w:color w:val="000000" w:themeColor="text1"/>
          <w:sz w:val="24"/>
          <w:szCs w:val="24"/>
          <w:lang w:val="en-US"/>
        </w:rPr>
        <w:instrText>ADDIN CSL_CITATION {"citationItems":[{"id":"ITEM-1","itemData":{"DOI":"10.1001/jama.2013.3451","ISSN":"1538-3598","PMID":"23592109","author":[{"dropping-particle":"","family":"Reinhardt","given":"Uwe E","non-dropping-particle":"","parse-names":false,"suffix":""}],"container-title":"JAMA","id":"ITEM-1","issue":"15","issued":{"date-parts":[["2013","4"]]},"page":"1634-5","title":"Making surgical complications pay.","type":"article-journal","volume":"309"},"uris":["http://www.mendeley.com/documents/?uuid=fef73379-f2da-4651-bdf5-374fa8bbfc87","http://www.mendeley.com/documents/?uuid=5ff1e21f-74b4-4cfc-ac33-edbc62c01544"]}],"mendeley":{"formattedCitation":"&lt;sup&gt;[18]&lt;/sup&gt;","plainTextFormattedCitation":"[18]","previouslyFormattedCitation":"&lt;sup&gt;[18]&lt;/sup&gt;"},"properties":{"noteIndex":0},"schema":"https://github.com/citation-style-language/schema/raw/master/csl-citation.json"}</w:instrText>
      </w:r>
      <w:r w:rsidRPr="00011E8F">
        <w:rPr>
          <w:rFonts w:ascii="Book Antiqua" w:hAnsi="Book Antiqua"/>
          <w:color w:val="000000" w:themeColor="text1"/>
          <w:sz w:val="24"/>
          <w:szCs w:val="24"/>
        </w:rPr>
        <w:fldChar w:fldCharType="separate"/>
      </w:r>
      <w:r w:rsidRPr="00011E8F">
        <w:rPr>
          <w:rFonts w:ascii="Book Antiqua" w:hAnsi="Book Antiqua"/>
          <w:noProof/>
          <w:color w:val="000000" w:themeColor="text1"/>
          <w:sz w:val="24"/>
          <w:szCs w:val="24"/>
          <w:vertAlign w:val="superscript"/>
          <w:lang w:val="en-US"/>
        </w:rPr>
        <w:t>[18]</w:t>
      </w:r>
      <w:r w:rsidRPr="00011E8F">
        <w:rPr>
          <w:rFonts w:ascii="Book Antiqua" w:hAnsi="Book Antiqua"/>
          <w:color w:val="000000" w:themeColor="text1"/>
          <w:sz w:val="24"/>
          <w:szCs w:val="24"/>
        </w:rPr>
        <w:fldChar w:fldCharType="end"/>
      </w:r>
      <w:r w:rsidRPr="00011E8F">
        <w:rPr>
          <w:rFonts w:ascii="Book Antiqua" w:hAnsi="Book Antiqua"/>
          <w:color w:val="000000" w:themeColor="text1"/>
          <w:sz w:val="24"/>
          <w:szCs w:val="24"/>
          <w:lang w:val="en-US"/>
        </w:rPr>
        <w:t>. Unfortunately, today there are no economic or social incentives to reduce PC, and the reporting of the results of surgery services all over the world continues to lack transparency. In fact, it is astonishing that in the year 2019 so little should be known about a basic quality outcome of surgical services such as PC. It is an insult to science, patients and society as a whole.</w:t>
      </w:r>
    </w:p>
    <w:p w14:paraId="58B8EDC3" w14:textId="582D1944" w:rsidR="001917A0" w:rsidRPr="00011E8F" w:rsidRDefault="001917A0" w:rsidP="00FC61F7">
      <w:pPr>
        <w:snapToGrid w:val="0"/>
        <w:spacing w:after="0" w:line="360" w:lineRule="auto"/>
        <w:ind w:right="565" w:firstLineChars="100" w:firstLine="240"/>
        <w:jc w:val="both"/>
        <w:rPr>
          <w:rFonts w:ascii="Book Antiqua" w:hAnsi="Book Antiqua"/>
          <w:bCs/>
          <w:color w:val="000000" w:themeColor="text1"/>
          <w:sz w:val="24"/>
          <w:szCs w:val="24"/>
          <w:lang w:val="en-NZ"/>
        </w:rPr>
      </w:pPr>
      <w:r w:rsidRPr="00011E8F">
        <w:rPr>
          <w:rFonts w:ascii="Book Antiqua" w:hAnsi="Book Antiqua"/>
          <w:color w:val="000000" w:themeColor="text1"/>
          <w:sz w:val="24"/>
          <w:szCs w:val="24"/>
          <w:lang w:val="en-US"/>
        </w:rPr>
        <w:t>We believe that PC at all surgery services should be audited in an objective and impartial manner by an external assessor. The health authorities would be able to carry out this process quickly and cheaply; using the electronic medical record, the assessment can be carried out in an average of 5 to 10 min per patient</w:t>
      </w:r>
      <w:r w:rsidRPr="00011E8F">
        <w:rPr>
          <w:rFonts w:ascii="Book Antiqua" w:hAnsi="Book Antiqua"/>
          <w:color w:val="000000" w:themeColor="text1"/>
          <w:sz w:val="24"/>
          <w:szCs w:val="24"/>
        </w:rPr>
        <w:fldChar w:fldCharType="begin" w:fldLock="1"/>
      </w:r>
      <w:r w:rsidR="00394178" w:rsidRPr="00011E8F">
        <w:rPr>
          <w:rFonts w:ascii="Book Antiqua" w:hAnsi="Book Antiqua"/>
          <w:color w:val="000000" w:themeColor="text1"/>
          <w:sz w:val="24"/>
          <w:szCs w:val="24"/>
          <w:lang w:val="en-US"/>
        </w:rPr>
        <w:instrText>ADDIN CSL_CITATION {"citationItems":[{"id":"ITEM-1","itemData":{"DOI":"10.3748/wjg.v25.i23.2833","ISSN":"2219-2840","PMID":"31249442","abstract":"Postoperative complications represent a basic quality indicator for measuring outcomes at surgical units. At present, however, they are not systematically measured in all surgical procedures. A more accurate assessment of their impact could help to evaluate the real morbidity associated with different surgical interventions, establish measures for improvement, increase efficiency and identify benchmarking services. The Clavien-Dindo Classification is the most widely used system worldwide for assessing postoperative complications. However, the postoperative period is summarized by the most serious complication without taking into account others of lesser magnitude. Recently, two new scoring systems have emerged, the Comprehensive Complication Index and the Complication Severity Score, which include all postoperative complications and quantify them from 0 (no complications) to 100 (patient's death), These allow the comparison of results. It is important to train surgical staff to report and classify complications and to record 90-d morbidity rates in all patients. Comparisons with other services must take into account patient comorbidities and the complexity of the particular surgical procedure. To avoid subjectivity and bias, external audits are necessary. In addition, ensuring transparency in the reporting of the results is an urgent obligation.","author":[{"dropping-particle":"","family":"la Plaza Llamas","given":"Roberto","non-dropping-particle":"De","parse-names":false,"suffix":""},{"dropping-particle":"","family":"Ramia","given":"José M.","non-dropping-particle":"","parse-names":false,"suffix":""}],"container-title":"World journal of gastroenterology","id":"ITEM-1","issue":"23","issued":{"date-parts":[["2019","6"]]},"page":"2833-2838","title":"Postoperative complications in gastrointestinal surgery: A \"hidden\" basic quality indicator.","type":"article-journal","volume":"25"},"uris":["http://www.mendeley.com/documents/?uuid=5e97b60c-cf52-41fd-babd-e13ffe8816cf"]}],"mendeley":{"formattedCitation":"&lt;sup&gt;[2]&lt;/sup&gt;","plainTextFormattedCitation":"[2]","previouslyFormattedCitation":"&lt;sup&gt;[2]&lt;/sup&gt;"},"properties":{"noteIndex":0},"schema":"https://github.com/citation-style-language/schema/raw/master/csl-citation.json"}</w:instrText>
      </w:r>
      <w:r w:rsidRPr="00011E8F">
        <w:rPr>
          <w:rFonts w:ascii="Book Antiqua" w:hAnsi="Book Antiqua"/>
          <w:color w:val="000000" w:themeColor="text1"/>
          <w:sz w:val="24"/>
          <w:szCs w:val="24"/>
        </w:rPr>
        <w:fldChar w:fldCharType="separate"/>
      </w:r>
      <w:r w:rsidRPr="00011E8F">
        <w:rPr>
          <w:rFonts w:ascii="Book Antiqua" w:hAnsi="Book Antiqua"/>
          <w:noProof/>
          <w:color w:val="000000" w:themeColor="text1"/>
          <w:sz w:val="24"/>
          <w:szCs w:val="24"/>
          <w:vertAlign w:val="superscript"/>
          <w:lang w:val="en-US"/>
        </w:rPr>
        <w:t>[2]</w:t>
      </w:r>
      <w:r w:rsidRPr="00011E8F">
        <w:rPr>
          <w:rFonts w:ascii="Book Antiqua" w:hAnsi="Book Antiqua"/>
          <w:color w:val="000000" w:themeColor="text1"/>
          <w:sz w:val="24"/>
          <w:szCs w:val="24"/>
        </w:rPr>
        <w:fldChar w:fldCharType="end"/>
      </w:r>
      <w:r w:rsidRPr="00011E8F">
        <w:rPr>
          <w:rFonts w:ascii="Book Antiqua" w:hAnsi="Book Antiqua"/>
          <w:color w:val="000000" w:themeColor="text1"/>
          <w:sz w:val="24"/>
          <w:szCs w:val="24"/>
          <w:lang w:val="en-US"/>
        </w:rPr>
        <w:t>. The audit should be maintained over a period of time and should be performed in all patients, not random samples. The audit of the results of the services is also likely to improve surgeons' practices due to the Hawthorne effect, though the mechanisms of this effect and its magnitudes need to be elucidated</w:t>
      </w:r>
      <w:r w:rsidRPr="00011E8F">
        <w:rPr>
          <w:rFonts w:ascii="Book Antiqua" w:hAnsi="Book Antiqua"/>
          <w:b/>
          <w:color w:val="000000" w:themeColor="text1"/>
          <w:sz w:val="24"/>
          <w:szCs w:val="24"/>
          <w:lang w:val="en-NZ"/>
        </w:rPr>
        <w:fldChar w:fldCharType="begin" w:fldLock="1"/>
      </w:r>
      <w:r w:rsidR="00394178" w:rsidRPr="00011E8F">
        <w:rPr>
          <w:rFonts w:ascii="Book Antiqua" w:hAnsi="Book Antiqua"/>
          <w:b/>
          <w:color w:val="000000" w:themeColor="text1"/>
          <w:sz w:val="24"/>
          <w:szCs w:val="24"/>
          <w:lang w:val="en-US"/>
        </w:rPr>
        <w:instrText>ADDIN CSL_CITATION {"citationItems":[{"id":"ITEM-1","itemData":{"DOI":"10.1016/j.jclinepi.2013.08.015","ISSN":"1878-5921","PMID":"24275499","abstract":"OBJECTIVES This study aims to (1) elucidate whether the Hawthorne effect exists, (2) explore under what conditions, and (3) estimate the size of any such effect. STUDY DESIGN AND SETTING This systematic review summarizes and evaluates the strength of available evidence on the Hawthorne effect. An inclusive definition of any form of research artifact on behavior using this label, and without cointerventions, was adopted. RESULTS Nineteen purposively designed studies were included, providing quantitative data on the size of the effect in eight randomized controlled trials, five quasiexperimental studies, and six observational evaluations of reporting on one's behavior by answering questions or being directly observed and being aware of being studied. Although all but one study was undertaken within health sciences, study methods, contexts, and findings were highly heterogeneous. Most studies reported some evidence of an effect, although significant biases are judged likely because of the complexity of the evaluation object. CONCLUSION Consequences of research participation for behaviors being investigated do exist, although little can be securely known about the conditions under which they operate, their mechanisms of effects, or their magnitudes. New concepts are needed to guide empirical studies.","author":[{"dropping-particle":"","family":"McCambridge","given":"Jim","non-dropping-particle":"","parse-names":false,"suffix":""},{"dropping-particle":"","family":"Witton","given":"John","non-dropping-particle":"","parse-names":false,"suffix":""},{"dropping-particle":"","family":"Elbourne","given":"Diana R","non-dropping-particle":"","parse-names":false,"suffix":""}],"container-title":"Journal of clinical epidemiology","id":"ITEM-1","issue":"3","issued":{"date-parts":[["2014","3"]]},"page":"267-77","title":"Systematic review of the Hawthorne effect: new concepts are needed to study research participation effects.","type":"article-journal","volume":"67"},"uris":["http://www.mendeley.com/documents/?uuid=e15ed096-61fc-4f72-9e50-202c84d181a7","http://www.mendeley.com/documents/?uuid=d9bf0947-012c-42ee-add2-b88648ff7c08"]}],"mendeley":{"formattedCitation":"&lt;sup&gt;[34]&lt;/sup&gt;","plainTextFormattedCitation":"[34]","previouslyFormattedCitation":"&lt;sup&gt;[34]&lt;/sup&gt;"},"properties":{"noteIndex":0},"schema":"https://github.com/citation-style-language/schema/raw/master/csl-citation.json"}</w:instrText>
      </w:r>
      <w:r w:rsidRPr="00011E8F">
        <w:rPr>
          <w:rFonts w:ascii="Book Antiqua" w:hAnsi="Book Antiqua"/>
          <w:b/>
          <w:color w:val="000000" w:themeColor="text1"/>
          <w:sz w:val="24"/>
          <w:szCs w:val="24"/>
          <w:lang w:val="en-NZ"/>
        </w:rPr>
        <w:fldChar w:fldCharType="separate"/>
      </w:r>
      <w:r w:rsidRPr="00011E8F">
        <w:rPr>
          <w:rFonts w:ascii="Book Antiqua" w:hAnsi="Book Antiqua"/>
          <w:noProof/>
          <w:color w:val="000000" w:themeColor="text1"/>
          <w:sz w:val="24"/>
          <w:szCs w:val="24"/>
          <w:vertAlign w:val="superscript"/>
          <w:lang w:val="en-NZ"/>
        </w:rPr>
        <w:t>[34]</w:t>
      </w:r>
      <w:r w:rsidRPr="00011E8F">
        <w:rPr>
          <w:rFonts w:ascii="Book Antiqua" w:hAnsi="Book Antiqua"/>
          <w:b/>
          <w:color w:val="000000" w:themeColor="text1"/>
          <w:sz w:val="24"/>
          <w:szCs w:val="24"/>
          <w:lang w:val="en-NZ"/>
        </w:rPr>
        <w:fldChar w:fldCharType="end"/>
      </w:r>
      <w:r w:rsidRPr="00011E8F">
        <w:rPr>
          <w:rFonts w:ascii="Book Antiqua" w:hAnsi="Book Antiqua"/>
          <w:bCs/>
          <w:color w:val="000000" w:themeColor="text1"/>
          <w:sz w:val="24"/>
          <w:szCs w:val="24"/>
          <w:lang w:val="en-NZ"/>
        </w:rPr>
        <w:t>.</w:t>
      </w:r>
    </w:p>
    <w:p w14:paraId="4986381E" w14:textId="552F2F93" w:rsidR="001917A0" w:rsidRPr="00011E8F" w:rsidRDefault="001917A0" w:rsidP="00FC61F7">
      <w:pPr>
        <w:snapToGrid w:val="0"/>
        <w:spacing w:after="0" w:line="360" w:lineRule="auto"/>
        <w:ind w:right="565" w:firstLineChars="100" w:firstLine="240"/>
        <w:jc w:val="both"/>
        <w:rPr>
          <w:rFonts w:ascii="Book Antiqua" w:hAnsi="Book Antiqua"/>
          <w:bCs/>
          <w:color w:val="000000" w:themeColor="text1"/>
          <w:sz w:val="24"/>
          <w:szCs w:val="24"/>
          <w:lang w:val="en-US"/>
        </w:rPr>
      </w:pPr>
      <w:r w:rsidRPr="00011E8F">
        <w:rPr>
          <w:rFonts w:ascii="Book Antiqua" w:hAnsi="Book Antiqua"/>
          <w:bCs/>
          <w:color w:val="000000" w:themeColor="text1"/>
          <w:sz w:val="24"/>
          <w:szCs w:val="24"/>
          <w:lang w:val="en-US"/>
        </w:rPr>
        <w:t xml:space="preserve">The audit can enumerate the complications associated with each surgical procedure and measure their severity, thus identifying the areas where investment in interventions and improvements is most necessary to raise quality and reduce EC. Patients must be informed of the possible outcomes of the operation they are to undergo. The results available at present are unreliable, since they are based on evaluations made by surgeons at the service. This practice </w:t>
      </w:r>
      <w:r w:rsidRPr="00011E8F">
        <w:rPr>
          <w:rFonts w:ascii="Book Antiqua" w:hAnsi="Book Antiqua"/>
          <w:bCs/>
          <w:color w:val="000000" w:themeColor="text1"/>
          <w:sz w:val="24"/>
          <w:szCs w:val="24"/>
          <w:lang w:val="en-US"/>
        </w:rPr>
        <w:lastRenderedPageBreak/>
        <w:t>underestimates the number of PC, for many reasons: the fact that the better the recording system, the worse the results; the surgeon’s sensation of personal failure; the fear of comparison with other surgeons and/or services; the fear that complex processes will be centralized, and so on. The responsibility for the fact that this audit of all surgical procedures has not been carried out so far in any surgery service in the world lies with the surgeons and the health authorities. Thorough and accurate data on the occurrence of PC will help to bring down their incidence and obviously the EC as well. In addition, it is a mandatory measure to ensure transparency.</w:t>
      </w:r>
    </w:p>
    <w:p w14:paraId="0E410D7F" w14:textId="77777777" w:rsidR="00C440B7" w:rsidRPr="00011E8F" w:rsidRDefault="00C440B7" w:rsidP="00F85B66">
      <w:pPr>
        <w:snapToGrid w:val="0"/>
        <w:spacing w:after="0" w:line="360" w:lineRule="auto"/>
        <w:ind w:right="565"/>
        <w:jc w:val="both"/>
        <w:rPr>
          <w:rFonts w:ascii="Book Antiqua" w:hAnsi="Book Antiqua"/>
          <w:bCs/>
          <w:color w:val="000000" w:themeColor="text1"/>
          <w:sz w:val="24"/>
          <w:szCs w:val="24"/>
          <w:lang w:val="en-US"/>
        </w:rPr>
      </w:pPr>
    </w:p>
    <w:p w14:paraId="3D23AE6A" w14:textId="7F43DBCC" w:rsidR="001917A0" w:rsidRPr="00011E8F" w:rsidRDefault="00F85B66" w:rsidP="00FC61F7">
      <w:pPr>
        <w:snapToGrid w:val="0"/>
        <w:spacing w:after="0" w:line="360" w:lineRule="auto"/>
        <w:ind w:right="565"/>
        <w:jc w:val="both"/>
        <w:rPr>
          <w:rFonts w:ascii="Book Antiqua" w:hAnsi="Book Antiqua"/>
          <w:b/>
          <w:bCs/>
          <w:color w:val="000000" w:themeColor="text1"/>
          <w:sz w:val="24"/>
          <w:szCs w:val="24"/>
          <w:u w:val="single"/>
          <w:lang w:val="en-US"/>
        </w:rPr>
      </w:pPr>
      <w:r>
        <w:rPr>
          <w:rFonts w:ascii="Book Antiqua" w:hAnsi="Book Antiqua"/>
          <w:b/>
          <w:bCs/>
          <w:color w:val="000000" w:themeColor="text1"/>
          <w:sz w:val="24"/>
          <w:szCs w:val="24"/>
          <w:u w:val="single"/>
          <w:lang w:val="en-US"/>
        </w:rPr>
        <w:t>CONCLUSION</w:t>
      </w:r>
    </w:p>
    <w:p w14:paraId="1CE6F858" w14:textId="77777777" w:rsidR="001917A0" w:rsidRPr="00011E8F" w:rsidRDefault="001917A0" w:rsidP="00FC61F7">
      <w:pPr>
        <w:snapToGrid w:val="0"/>
        <w:spacing w:after="0" w:line="360" w:lineRule="auto"/>
        <w:ind w:right="565"/>
        <w:jc w:val="both"/>
        <w:rPr>
          <w:rFonts w:ascii="Book Antiqua" w:hAnsi="Book Antiqua"/>
          <w:bCs/>
          <w:color w:val="000000" w:themeColor="text1"/>
          <w:sz w:val="24"/>
          <w:szCs w:val="24"/>
          <w:lang w:val="en-US"/>
        </w:rPr>
      </w:pPr>
      <w:r w:rsidRPr="00011E8F">
        <w:rPr>
          <w:rFonts w:ascii="Book Antiqua" w:hAnsi="Book Antiqua"/>
          <w:bCs/>
          <w:color w:val="000000" w:themeColor="text1"/>
          <w:sz w:val="24"/>
          <w:szCs w:val="24"/>
          <w:lang w:val="en-US"/>
        </w:rPr>
        <w:t xml:space="preserve">First of all, all the PC that are associated with a particular surgical procedure must be objectively determined. This is the responsibility of the surgical community and forms part of its commitment towards its patients, society, and science as a whole. Simply recording all PC is likely to reduce their incidence, improve quality and significantly lower EC. The information obtained would help to identify the surgical techniques and clinical management practices with the best postoperative results, to implement preventive measures in order to reduce PC and select the benchmarking services that should take charge of training. Currently, surgical training is not led by the services with the best clinical results. The EC saved can be reinvested in health and/or social areas. Complications should be audited externally and impartially by the health authorities, and in a universal, permanent manner in all surgical patients. Hospitals with the best results should be rewarded economically and not according to a payment system that may </w:t>
      </w:r>
      <w:proofErr w:type="spellStart"/>
      <w:r w:rsidRPr="00011E8F">
        <w:rPr>
          <w:rFonts w:ascii="Book Antiqua" w:hAnsi="Book Antiqua"/>
          <w:bCs/>
          <w:color w:val="000000" w:themeColor="text1"/>
          <w:sz w:val="24"/>
          <w:szCs w:val="24"/>
          <w:lang w:val="en-US"/>
        </w:rPr>
        <w:t>favour</w:t>
      </w:r>
      <w:proofErr w:type="spellEnd"/>
      <w:r w:rsidRPr="00011E8F">
        <w:rPr>
          <w:rFonts w:ascii="Book Antiqua" w:hAnsi="Book Antiqua"/>
          <w:bCs/>
          <w:color w:val="000000" w:themeColor="text1"/>
          <w:sz w:val="24"/>
          <w:szCs w:val="24"/>
          <w:lang w:val="en-US"/>
        </w:rPr>
        <w:t xml:space="preserve"> poor outcomes. This payment would only be justified in </w:t>
      </w:r>
      <w:proofErr w:type="spellStart"/>
      <w:r w:rsidRPr="00011E8F">
        <w:rPr>
          <w:rFonts w:ascii="Book Antiqua" w:hAnsi="Book Antiqua"/>
          <w:bCs/>
          <w:color w:val="000000" w:themeColor="text1"/>
          <w:sz w:val="24"/>
          <w:szCs w:val="24"/>
          <w:lang w:val="en-US"/>
        </w:rPr>
        <w:t>centres</w:t>
      </w:r>
      <w:proofErr w:type="spellEnd"/>
      <w:r w:rsidRPr="00011E8F">
        <w:rPr>
          <w:rFonts w:ascii="Book Antiqua" w:hAnsi="Book Antiqua"/>
          <w:bCs/>
          <w:color w:val="000000" w:themeColor="text1"/>
          <w:sz w:val="24"/>
          <w:szCs w:val="24"/>
          <w:lang w:val="en-US"/>
        </w:rPr>
        <w:t xml:space="preserve"> of proven quality.</w:t>
      </w:r>
    </w:p>
    <w:p w14:paraId="63D207A8" w14:textId="203EB0BF" w:rsidR="001917A0" w:rsidRPr="00011E8F" w:rsidRDefault="00C440B7" w:rsidP="00FC61F7">
      <w:pPr>
        <w:snapToGrid w:val="0"/>
        <w:spacing w:after="0" w:line="360" w:lineRule="auto"/>
        <w:ind w:right="565" w:firstLineChars="100" w:firstLine="240"/>
        <w:jc w:val="both"/>
        <w:rPr>
          <w:rFonts w:ascii="Book Antiqua" w:hAnsi="Book Antiqua"/>
          <w:bCs/>
          <w:color w:val="000000" w:themeColor="text1"/>
          <w:sz w:val="24"/>
          <w:szCs w:val="24"/>
          <w:lang w:val="en-US"/>
        </w:rPr>
      </w:pPr>
      <w:r w:rsidRPr="00011E8F">
        <w:rPr>
          <w:rFonts w:ascii="Book Antiqua" w:hAnsi="Book Antiqua"/>
          <w:bCs/>
          <w:color w:val="000000" w:themeColor="text1"/>
          <w:sz w:val="24"/>
          <w:szCs w:val="24"/>
          <w:lang w:val="en-US"/>
        </w:rPr>
        <w:t>EC</w:t>
      </w:r>
      <w:r w:rsidR="001917A0" w:rsidRPr="00011E8F">
        <w:rPr>
          <w:rFonts w:ascii="Book Antiqua" w:hAnsi="Book Antiqua"/>
          <w:bCs/>
          <w:color w:val="000000" w:themeColor="text1"/>
          <w:sz w:val="24"/>
          <w:szCs w:val="24"/>
          <w:lang w:val="en-US"/>
        </w:rPr>
        <w:t>s associated with PC should also be reported in a standardized way</w:t>
      </w:r>
      <w:r w:rsidR="001917A0" w:rsidRPr="00011E8F">
        <w:rPr>
          <w:rFonts w:ascii="Book Antiqua" w:hAnsi="Book Antiqua"/>
          <w:bCs/>
          <w:color w:val="000000" w:themeColor="text1"/>
          <w:sz w:val="24"/>
          <w:szCs w:val="24"/>
        </w:rPr>
        <w:fldChar w:fldCharType="begin" w:fldLock="1"/>
      </w:r>
      <w:r w:rsidR="00394178" w:rsidRPr="00011E8F">
        <w:rPr>
          <w:rFonts w:ascii="Book Antiqua" w:hAnsi="Book Antiqua"/>
          <w:bCs/>
          <w:color w:val="000000" w:themeColor="text1"/>
          <w:sz w:val="24"/>
          <w:szCs w:val="24"/>
          <w:lang w:val="en-US"/>
        </w:rPr>
        <w:instrText>ADDIN CSL_CITATION {"citationItems":[{"id":"ITEM-1","itemData":{"DOI":"10.1016/j.jval.2013.02.010","ISSN":"1524-4733","PMID":"23538200","abstract":"Economic evaluations of health interventions pose a particular challenge for reporting. There is also a need to consolidate and update existing guidelines and promote their use in a user friendly manner. The Consolidated Health Economic Evaluation Reporting Standards (CHEERS) statement is an attempt to consolidate and update previous health economic evaluation guidelines efforts into one current, useful reporting guidance. The primary audiences for the CHEERS statement are researchers reporting economic evaluations and the editors and peer reviewers assessing them for publication. The need for new reporting guidance was identified by a survey of medical editors. A list of possible items based on a systematic review was created. A two round, modified Delphi panel consisting of representatives from academia, clinical practice, industry, government, and the editorial community was conducted. Out of 44 candidate items, 24 items and accompanying recommendations were developed. The recommendations are contained in a user friendly, 24 item checklist. A copy of the statement, accompanying checklist, and this report can be found on the ISPOR Health Economic Evaluations Publication Guidelines Task Force website: (www.ispor.org/TaskForces/EconomicPubGuidelines.asp). We hope CHEERS will lead to better reporting, and ultimately, better health decisions. To facilitate dissemination and uptake, the CHEERS statement is being co-published across 10 health economics and medical journals. We encourage other journals and groups, to endorse CHEERS. The author team plans to review the checklist for an update in five years.","author":[{"dropping-particle":"","family":"Husereau","given":"Don","non-dropping-particle":"","parse-names":false,"suffix":""},{"dropping-particle":"","family":"Drummond","given":"Michael","non-dropping-particle":"","parse-names":false,"suffix":""},{"dropping-particle":"","family":"Petrou","given":"Stavros","non-dropping-particle":"","parse-names":false,"suffix":""},{"dropping-particle":"","family":"Carswell","given":"Chris","non-dropping-particle":"","parse-names":false,"suffix":""},{"dropping-particle":"","family":"Moher","given":"David","non-dropping-particle":"","parse-names":false,"suffix":""},{"dropping-particle":"","family":"Greenberg","given":"Dan","non-dropping-particle":"","parse-names":false,"suffix":""},{"dropping-particle":"","family":"Augustovski","given":"Federico","non-dropping-particle":"","parse-names":false,"suffix":""},{"dropping-particle":"","family":"Briggs","given":"Andrew H","non-dropping-particle":"","parse-names":false,"suffix":""},{"dropping-particle":"","family":"Mauskopf","given":"Josephine","non-dropping-particle":"","parse-names":false,"suffix":""},{"dropping-particle":"","family":"Loder","given":"Elizabeth","non-dropping-particle":"","parse-names":false,"suffix":""},{"dropping-particle":"","family":"CHEERS Task Force","given":"","non-dropping-particle":"","parse-names":false,"suffix":""}],"container-title":"Value in health : the journal of the International Society for Pharmacoeconomics and Outcomes Research","id":"ITEM-1","issue":"2","issued":{"date-parts":[["0"]]},"page":"e1-5","title":"Consolidated Health Economic Evaluation Reporting Standards (CHEERS) statement.","type":"article-journal","volume":"16"},"uris":["http://www.mendeley.com/documents/?uuid=74539fb3-53c8-4827-a89e-966e6f7d1da3","http://www.mendeley.com/documents/?uuid=be638f0c-10ce-4055-9fc7-94493cd26cad"]}],"mendeley":{"formattedCitation":"&lt;sup&gt;[31]&lt;/sup&gt;","plainTextFormattedCitation":"[31]","previouslyFormattedCitation":"&lt;sup&gt;[31]&lt;/sup&gt;"},"properties":{"noteIndex":0},"schema":"https://github.com/citation-style-language/schema/raw/master/csl-citation.json"}</w:instrText>
      </w:r>
      <w:r w:rsidR="001917A0" w:rsidRPr="00011E8F">
        <w:rPr>
          <w:rFonts w:ascii="Book Antiqua" w:hAnsi="Book Antiqua"/>
          <w:bCs/>
          <w:color w:val="000000" w:themeColor="text1"/>
          <w:sz w:val="24"/>
          <w:szCs w:val="24"/>
        </w:rPr>
        <w:fldChar w:fldCharType="separate"/>
      </w:r>
      <w:r w:rsidR="001917A0" w:rsidRPr="00011E8F">
        <w:rPr>
          <w:rFonts w:ascii="Book Antiqua" w:hAnsi="Book Antiqua"/>
          <w:bCs/>
          <w:noProof/>
          <w:color w:val="000000" w:themeColor="text1"/>
          <w:sz w:val="24"/>
          <w:szCs w:val="24"/>
          <w:vertAlign w:val="superscript"/>
          <w:lang w:val="en-US"/>
        </w:rPr>
        <w:t>[31]</w:t>
      </w:r>
      <w:r w:rsidR="001917A0" w:rsidRPr="00011E8F">
        <w:rPr>
          <w:rFonts w:ascii="Book Antiqua" w:hAnsi="Book Antiqua"/>
          <w:bCs/>
          <w:color w:val="000000" w:themeColor="text1"/>
          <w:sz w:val="24"/>
          <w:szCs w:val="24"/>
        </w:rPr>
        <w:fldChar w:fldCharType="end"/>
      </w:r>
      <w:r w:rsidR="001917A0" w:rsidRPr="00011E8F">
        <w:rPr>
          <w:rFonts w:ascii="Book Antiqua" w:hAnsi="Book Antiqua"/>
          <w:bCs/>
          <w:color w:val="000000" w:themeColor="text1"/>
          <w:sz w:val="24"/>
          <w:szCs w:val="24"/>
          <w:lang w:val="en-US"/>
        </w:rPr>
        <w:t xml:space="preserve">. Appropriate and accurate methods should be used to track the use of resources and to estimate EC. Accounting must be accurate and detailed. Although the most frequently used perspective is that of the hospital, health authorities and health managers should bear in mind that EC associated with PC are much </w:t>
      </w:r>
      <w:r w:rsidR="001917A0" w:rsidRPr="00011E8F">
        <w:rPr>
          <w:rFonts w:ascii="Book Antiqua" w:hAnsi="Book Antiqua"/>
          <w:bCs/>
          <w:color w:val="000000" w:themeColor="text1"/>
          <w:sz w:val="24"/>
          <w:szCs w:val="24"/>
          <w:lang w:val="en-US"/>
        </w:rPr>
        <w:lastRenderedPageBreak/>
        <w:t>higher than the published figures, if the estimation includes future direct EC, non-health-related EC and indirect EC which have major repercussions for society and for patients.</w:t>
      </w:r>
    </w:p>
    <w:p w14:paraId="4468587B" w14:textId="16197CB6" w:rsidR="00215BBC" w:rsidRPr="00011E8F" w:rsidRDefault="001917A0" w:rsidP="00FC61F7">
      <w:pPr>
        <w:snapToGrid w:val="0"/>
        <w:spacing w:after="0" w:line="360" w:lineRule="auto"/>
        <w:ind w:right="565" w:firstLineChars="100" w:firstLine="240"/>
        <w:jc w:val="both"/>
        <w:rPr>
          <w:rFonts w:ascii="Book Antiqua" w:hAnsi="Book Antiqua"/>
          <w:b/>
          <w:color w:val="000000" w:themeColor="text1"/>
          <w:sz w:val="24"/>
          <w:szCs w:val="24"/>
          <w:lang w:val="en-NZ"/>
        </w:rPr>
      </w:pPr>
      <w:r w:rsidRPr="00011E8F">
        <w:rPr>
          <w:rFonts w:ascii="Book Antiqua" w:hAnsi="Book Antiqua"/>
          <w:bCs/>
          <w:color w:val="000000" w:themeColor="text1"/>
          <w:sz w:val="24"/>
          <w:szCs w:val="24"/>
          <w:lang w:val="en-US"/>
        </w:rPr>
        <w:t xml:space="preserve">Specifically, we think that recording and auditing of PC is likely will become the measure of the greatest impact on healthcare transparency, quality of care and the reduction of </w:t>
      </w:r>
      <w:r w:rsidR="00C440B7" w:rsidRPr="00011E8F">
        <w:rPr>
          <w:rFonts w:ascii="Book Antiqua" w:hAnsi="Book Antiqua"/>
          <w:bCs/>
          <w:color w:val="000000" w:themeColor="text1"/>
          <w:sz w:val="24"/>
          <w:szCs w:val="24"/>
          <w:lang w:val="en-US"/>
        </w:rPr>
        <w:t>EC</w:t>
      </w:r>
      <w:r w:rsidRPr="00011E8F">
        <w:rPr>
          <w:rFonts w:ascii="Book Antiqua" w:hAnsi="Book Antiqua"/>
          <w:bCs/>
          <w:color w:val="000000" w:themeColor="text1"/>
          <w:sz w:val="24"/>
          <w:szCs w:val="24"/>
          <w:lang w:val="en-US"/>
        </w:rPr>
        <w:t>s in the coming decades.</w:t>
      </w:r>
    </w:p>
    <w:p w14:paraId="6AD2054A" w14:textId="77777777" w:rsidR="00C440B7" w:rsidRPr="00011E8F" w:rsidRDefault="00C440B7" w:rsidP="00FC61F7">
      <w:pPr>
        <w:snapToGrid w:val="0"/>
        <w:spacing w:after="0" w:line="360" w:lineRule="auto"/>
        <w:ind w:right="565" w:firstLineChars="100" w:firstLine="240"/>
        <w:jc w:val="both"/>
        <w:rPr>
          <w:rFonts w:ascii="Book Antiqua" w:hAnsi="Book Antiqua"/>
          <w:bCs/>
          <w:color w:val="000000" w:themeColor="text1"/>
          <w:sz w:val="24"/>
          <w:szCs w:val="24"/>
          <w:lang w:val="en-US"/>
        </w:rPr>
      </w:pPr>
    </w:p>
    <w:p w14:paraId="7F8C4473" w14:textId="77777777" w:rsidR="00011E8F" w:rsidRPr="00011E8F" w:rsidRDefault="00011E8F" w:rsidP="00011E8F">
      <w:pPr>
        <w:spacing w:after="0" w:line="360" w:lineRule="auto"/>
        <w:jc w:val="both"/>
        <w:rPr>
          <w:rFonts w:ascii="Book Antiqua" w:hAnsi="Book Antiqua" w:cs="Arial"/>
          <w:b/>
          <w:bCs/>
          <w:color w:val="000000" w:themeColor="text1"/>
          <w:sz w:val="24"/>
          <w:szCs w:val="24"/>
          <w:lang w:eastAsia="zh-CN"/>
        </w:rPr>
      </w:pPr>
      <w:r w:rsidRPr="00011E8F">
        <w:rPr>
          <w:rFonts w:ascii="Book Antiqua" w:hAnsi="Book Antiqua" w:cs="Arial"/>
          <w:b/>
          <w:bCs/>
          <w:color w:val="000000" w:themeColor="text1"/>
          <w:sz w:val="24"/>
          <w:szCs w:val="24"/>
          <w:lang w:eastAsia="zh-CN"/>
        </w:rPr>
        <w:t xml:space="preserve">REFERENCES </w:t>
      </w:r>
    </w:p>
    <w:p w14:paraId="1C860E0D" w14:textId="42C19505" w:rsidR="00675B56" w:rsidRPr="00011E8F" w:rsidRDefault="00675B56" w:rsidP="00FC61F7">
      <w:pPr>
        <w:snapToGrid w:val="0"/>
        <w:spacing w:after="0" w:line="360" w:lineRule="auto"/>
        <w:jc w:val="both"/>
        <w:rPr>
          <w:rFonts w:ascii="Book Antiqua" w:hAnsi="Book Antiqua"/>
          <w:color w:val="000000" w:themeColor="text1"/>
          <w:sz w:val="24"/>
          <w:szCs w:val="24"/>
        </w:rPr>
      </w:pPr>
      <w:r w:rsidRPr="00011E8F">
        <w:rPr>
          <w:rFonts w:ascii="Book Antiqua" w:hAnsi="Book Antiqua"/>
          <w:color w:val="000000" w:themeColor="text1"/>
          <w:sz w:val="24"/>
          <w:szCs w:val="24"/>
          <w:highlight w:val="yellow"/>
        </w:rPr>
        <w:t xml:space="preserve">1 </w:t>
      </w:r>
      <w:bookmarkStart w:id="8" w:name="OLE_LINK1"/>
      <w:bookmarkStart w:id="9" w:name="OLE_LINK2"/>
      <w:r w:rsidRPr="00011E8F">
        <w:rPr>
          <w:rFonts w:ascii="Book Antiqua" w:hAnsi="Book Antiqua"/>
          <w:color w:val="000000" w:themeColor="text1"/>
          <w:sz w:val="24"/>
          <w:szCs w:val="24"/>
          <w:highlight w:val="yellow"/>
        </w:rPr>
        <w:t xml:space="preserve">Health expenditure as a percentage of </w:t>
      </w:r>
      <w:r w:rsidR="001969E5" w:rsidRPr="00011E8F">
        <w:rPr>
          <w:rFonts w:ascii="Book Antiqua" w:hAnsi="Book Antiqua"/>
          <w:color w:val="000000" w:themeColor="text1"/>
          <w:sz w:val="24"/>
          <w:szCs w:val="24"/>
          <w:highlight w:val="yellow"/>
        </w:rPr>
        <w:t>gross domestic product in selected countries in 2018.</w:t>
      </w:r>
      <w:r w:rsidRPr="00011E8F">
        <w:rPr>
          <w:rFonts w:ascii="Book Antiqua" w:hAnsi="Book Antiqua"/>
          <w:color w:val="000000" w:themeColor="text1"/>
          <w:sz w:val="24"/>
          <w:szCs w:val="24"/>
          <w:highlight w:val="yellow"/>
        </w:rPr>
        <w:t xml:space="preserve"> Statista.</w:t>
      </w:r>
      <w:r w:rsidR="008179C1" w:rsidRPr="00011E8F">
        <w:rPr>
          <w:rFonts w:ascii="Book Antiqua" w:hAnsi="Book Antiqua"/>
          <w:color w:val="000000" w:themeColor="text1"/>
          <w:sz w:val="24"/>
          <w:szCs w:val="24"/>
          <w:highlight w:val="yellow"/>
        </w:rPr>
        <w:t xml:space="preserve"> Available from: </w:t>
      </w:r>
      <w:r w:rsidR="00BA136A">
        <w:rPr>
          <w:rFonts w:ascii="Book Antiqua" w:hAnsi="Book Antiqua"/>
          <w:color w:val="000000" w:themeColor="text1"/>
          <w:sz w:val="24"/>
          <w:szCs w:val="24"/>
          <w:highlight w:val="yellow"/>
        </w:rPr>
        <w:fldChar w:fldCharType="begin"/>
      </w:r>
      <w:r w:rsidR="00BA136A">
        <w:rPr>
          <w:rFonts w:ascii="Book Antiqua" w:hAnsi="Book Antiqua"/>
          <w:color w:val="000000" w:themeColor="text1"/>
          <w:sz w:val="24"/>
          <w:szCs w:val="24"/>
          <w:highlight w:val="yellow"/>
        </w:rPr>
        <w:instrText xml:space="preserve"> HYPERLINK "</w:instrText>
      </w:r>
      <w:r w:rsidR="00BA136A" w:rsidRPr="00011E8F">
        <w:rPr>
          <w:rFonts w:ascii="Book Antiqua" w:hAnsi="Book Antiqua"/>
          <w:color w:val="000000" w:themeColor="text1"/>
          <w:sz w:val="24"/>
          <w:szCs w:val="24"/>
          <w:highlight w:val="yellow"/>
        </w:rPr>
        <w:instrText>https://www.statista.com/statistics/268826/health-expenditure-as-gdp-percentage-in-oecd-countries/</w:instrText>
      </w:r>
      <w:r w:rsidR="00BA136A">
        <w:rPr>
          <w:rFonts w:ascii="Book Antiqua" w:hAnsi="Book Antiqua"/>
          <w:color w:val="000000" w:themeColor="text1"/>
          <w:sz w:val="24"/>
          <w:szCs w:val="24"/>
          <w:highlight w:val="yellow"/>
        </w:rPr>
        <w:instrText xml:space="preserve">" </w:instrText>
      </w:r>
      <w:r w:rsidR="00BA136A">
        <w:rPr>
          <w:rFonts w:ascii="Book Antiqua" w:hAnsi="Book Antiqua"/>
          <w:color w:val="000000" w:themeColor="text1"/>
          <w:sz w:val="24"/>
          <w:szCs w:val="24"/>
          <w:highlight w:val="yellow"/>
        </w:rPr>
        <w:fldChar w:fldCharType="separate"/>
      </w:r>
      <w:r w:rsidR="00BA136A" w:rsidRPr="00D976DB">
        <w:rPr>
          <w:rStyle w:val="af1"/>
          <w:rFonts w:ascii="Book Antiqua" w:hAnsi="Book Antiqua"/>
          <w:sz w:val="24"/>
          <w:szCs w:val="24"/>
          <w:highlight w:val="yellow"/>
        </w:rPr>
        <w:t>https://www.statista.com/statistics/268826/health-expenditure-as-gdp-percentage-in-oecd-countries/</w:t>
      </w:r>
      <w:r w:rsidR="00BA136A">
        <w:rPr>
          <w:rFonts w:ascii="Book Antiqua" w:hAnsi="Book Antiqua"/>
          <w:color w:val="000000" w:themeColor="text1"/>
          <w:sz w:val="24"/>
          <w:szCs w:val="24"/>
          <w:highlight w:val="yellow"/>
        </w:rPr>
        <w:fldChar w:fldCharType="end"/>
      </w:r>
      <w:r w:rsidR="00BA136A">
        <w:rPr>
          <w:rFonts w:ascii="Book Antiqua" w:hAnsi="Book Antiqua"/>
          <w:color w:val="000000" w:themeColor="text1"/>
          <w:sz w:val="24"/>
          <w:szCs w:val="24"/>
        </w:rPr>
        <w:t xml:space="preserve"> </w:t>
      </w:r>
      <w:bookmarkEnd w:id="8"/>
      <w:bookmarkEnd w:id="9"/>
    </w:p>
    <w:p w14:paraId="5DD5CE54" w14:textId="77777777" w:rsidR="00675B56" w:rsidRPr="00011E8F" w:rsidRDefault="00675B56" w:rsidP="00FC61F7">
      <w:pPr>
        <w:snapToGrid w:val="0"/>
        <w:spacing w:after="0" w:line="360" w:lineRule="auto"/>
        <w:jc w:val="both"/>
        <w:rPr>
          <w:rFonts w:ascii="Book Antiqua" w:hAnsi="Book Antiqua"/>
          <w:color w:val="000000" w:themeColor="text1"/>
          <w:sz w:val="24"/>
          <w:szCs w:val="24"/>
        </w:rPr>
      </w:pPr>
      <w:r w:rsidRPr="00011E8F">
        <w:rPr>
          <w:rFonts w:ascii="Book Antiqua" w:hAnsi="Book Antiqua"/>
          <w:color w:val="000000" w:themeColor="text1"/>
          <w:sz w:val="24"/>
          <w:szCs w:val="24"/>
        </w:rPr>
        <w:t xml:space="preserve">2 </w:t>
      </w:r>
      <w:r w:rsidRPr="00011E8F">
        <w:rPr>
          <w:rFonts w:ascii="Book Antiqua" w:hAnsi="Book Antiqua"/>
          <w:b/>
          <w:color w:val="000000" w:themeColor="text1"/>
          <w:sz w:val="24"/>
          <w:szCs w:val="24"/>
        </w:rPr>
        <w:t>De la Plaza Llamas R</w:t>
      </w:r>
      <w:r w:rsidRPr="00011E8F">
        <w:rPr>
          <w:rFonts w:ascii="Book Antiqua" w:hAnsi="Book Antiqua"/>
          <w:color w:val="000000" w:themeColor="text1"/>
          <w:sz w:val="24"/>
          <w:szCs w:val="24"/>
        </w:rPr>
        <w:t xml:space="preserve">, Ramia JM. Postoperative complications in gastrointestinal surgery: A "hidden" basic quality indicator. </w:t>
      </w:r>
      <w:r w:rsidRPr="00011E8F">
        <w:rPr>
          <w:rFonts w:ascii="Book Antiqua" w:hAnsi="Book Antiqua"/>
          <w:i/>
          <w:color w:val="000000" w:themeColor="text1"/>
          <w:sz w:val="24"/>
          <w:szCs w:val="24"/>
        </w:rPr>
        <w:t>World J Gastroenterol</w:t>
      </w:r>
      <w:r w:rsidRPr="00011E8F">
        <w:rPr>
          <w:rFonts w:ascii="Book Antiqua" w:hAnsi="Book Antiqua"/>
          <w:color w:val="000000" w:themeColor="text1"/>
          <w:sz w:val="24"/>
          <w:szCs w:val="24"/>
        </w:rPr>
        <w:t xml:space="preserve"> 2019; </w:t>
      </w:r>
      <w:r w:rsidRPr="00011E8F">
        <w:rPr>
          <w:rFonts w:ascii="Book Antiqua" w:hAnsi="Book Antiqua"/>
          <w:b/>
          <w:color w:val="000000" w:themeColor="text1"/>
          <w:sz w:val="24"/>
          <w:szCs w:val="24"/>
        </w:rPr>
        <w:t>25</w:t>
      </w:r>
      <w:r w:rsidRPr="00011E8F">
        <w:rPr>
          <w:rFonts w:ascii="Book Antiqua" w:hAnsi="Book Antiqua"/>
          <w:color w:val="000000" w:themeColor="text1"/>
          <w:sz w:val="24"/>
          <w:szCs w:val="24"/>
        </w:rPr>
        <w:t>: 2833-2838 [PMID: 31249442 DOI: 10.3748/wjg.v25.i23.2833]</w:t>
      </w:r>
    </w:p>
    <w:p w14:paraId="6E5962E6" w14:textId="77777777" w:rsidR="00675B56" w:rsidRPr="00011E8F" w:rsidRDefault="00675B56" w:rsidP="00FC61F7">
      <w:pPr>
        <w:snapToGrid w:val="0"/>
        <w:spacing w:after="0" w:line="360" w:lineRule="auto"/>
        <w:jc w:val="both"/>
        <w:rPr>
          <w:rFonts w:ascii="Book Antiqua" w:hAnsi="Book Antiqua"/>
          <w:color w:val="000000" w:themeColor="text1"/>
          <w:sz w:val="24"/>
          <w:szCs w:val="24"/>
        </w:rPr>
      </w:pPr>
      <w:r w:rsidRPr="00011E8F">
        <w:rPr>
          <w:rFonts w:ascii="Book Antiqua" w:hAnsi="Book Antiqua"/>
          <w:color w:val="000000" w:themeColor="text1"/>
          <w:sz w:val="24"/>
          <w:szCs w:val="24"/>
        </w:rPr>
        <w:t xml:space="preserve">3 </w:t>
      </w:r>
      <w:r w:rsidRPr="00011E8F">
        <w:rPr>
          <w:rFonts w:ascii="Book Antiqua" w:hAnsi="Book Antiqua"/>
          <w:b/>
          <w:color w:val="000000" w:themeColor="text1"/>
          <w:sz w:val="24"/>
          <w:szCs w:val="24"/>
        </w:rPr>
        <w:t>de la Plaza Llamas R</w:t>
      </w:r>
      <w:r w:rsidRPr="00011E8F">
        <w:rPr>
          <w:rFonts w:ascii="Book Antiqua" w:hAnsi="Book Antiqua"/>
          <w:color w:val="000000" w:themeColor="text1"/>
          <w:sz w:val="24"/>
          <w:szCs w:val="24"/>
        </w:rPr>
        <w:t xml:space="preserve">, García Gil JM, Ramia Ángel JM. Standardizing the treatment of esophagogastric junction tumors: Centralization, registries and surgical training. </w:t>
      </w:r>
      <w:r w:rsidRPr="00011E8F">
        <w:rPr>
          <w:rFonts w:ascii="Book Antiqua" w:hAnsi="Book Antiqua"/>
          <w:i/>
          <w:color w:val="000000" w:themeColor="text1"/>
          <w:sz w:val="24"/>
          <w:szCs w:val="24"/>
        </w:rPr>
        <w:t>Cir Esp</w:t>
      </w:r>
      <w:r w:rsidRPr="00011E8F">
        <w:rPr>
          <w:rFonts w:ascii="Book Antiqua" w:hAnsi="Book Antiqua"/>
          <w:color w:val="000000" w:themeColor="text1"/>
          <w:sz w:val="24"/>
          <w:szCs w:val="24"/>
        </w:rPr>
        <w:t xml:space="preserve"> 2019; </w:t>
      </w:r>
      <w:r w:rsidRPr="00011E8F">
        <w:rPr>
          <w:rFonts w:ascii="Book Antiqua" w:hAnsi="Book Antiqua"/>
          <w:b/>
          <w:color w:val="000000" w:themeColor="text1"/>
          <w:sz w:val="24"/>
          <w:szCs w:val="24"/>
        </w:rPr>
        <w:t>97</w:t>
      </w:r>
      <w:r w:rsidRPr="00011E8F">
        <w:rPr>
          <w:rFonts w:ascii="Book Antiqua" w:hAnsi="Book Antiqua"/>
          <w:color w:val="000000" w:themeColor="text1"/>
          <w:sz w:val="24"/>
          <w:szCs w:val="24"/>
        </w:rPr>
        <w:t>: 609-611 [PMID: 31362837 DOI: 10.1016/j.ciresp.2019.06.007]</w:t>
      </w:r>
    </w:p>
    <w:p w14:paraId="76341174" w14:textId="77777777" w:rsidR="00675B56" w:rsidRPr="00011E8F" w:rsidRDefault="00675B56" w:rsidP="00FC61F7">
      <w:pPr>
        <w:snapToGrid w:val="0"/>
        <w:spacing w:after="0" w:line="360" w:lineRule="auto"/>
        <w:jc w:val="both"/>
        <w:rPr>
          <w:rFonts w:ascii="Book Antiqua" w:hAnsi="Book Antiqua"/>
          <w:color w:val="000000" w:themeColor="text1"/>
          <w:sz w:val="24"/>
          <w:szCs w:val="24"/>
        </w:rPr>
      </w:pPr>
      <w:r w:rsidRPr="00011E8F">
        <w:rPr>
          <w:rFonts w:ascii="Book Antiqua" w:hAnsi="Book Antiqua"/>
          <w:color w:val="000000" w:themeColor="text1"/>
          <w:sz w:val="24"/>
          <w:szCs w:val="24"/>
        </w:rPr>
        <w:t xml:space="preserve">4 </w:t>
      </w:r>
      <w:r w:rsidRPr="00011E8F">
        <w:rPr>
          <w:rFonts w:ascii="Book Antiqua" w:hAnsi="Book Antiqua"/>
          <w:b/>
          <w:color w:val="000000" w:themeColor="text1"/>
          <w:sz w:val="24"/>
          <w:szCs w:val="24"/>
        </w:rPr>
        <w:t>Patel AS</w:t>
      </w:r>
      <w:r w:rsidRPr="00011E8F">
        <w:rPr>
          <w:rFonts w:ascii="Book Antiqua" w:hAnsi="Book Antiqua"/>
          <w:color w:val="000000" w:themeColor="text1"/>
          <w:sz w:val="24"/>
          <w:szCs w:val="24"/>
        </w:rPr>
        <w:t xml:space="preserve">, Bergman A, Moore BW, Haglund U. The economic burden of complications occurring in major surgical procedures: a systematic review. </w:t>
      </w:r>
      <w:r w:rsidRPr="00011E8F">
        <w:rPr>
          <w:rFonts w:ascii="Book Antiqua" w:hAnsi="Book Antiqua"/>
          <w:i/>
          <w:color w:val="000000" w:themeColor="text1"/>
          <w:sz w:val="24"/>
          <w:szCs w:val="24"/>
        </w:rPr>
        <w:t>Appl Health Econ Health Policy</w:t>
      </w:r>
      <w:r w:rsidRPr="00011E8F">
        <w:rPr>
          <w:rFonts w:ascii="Book Antiqua" w:hAnsi="Book Antiqua"/>
          <w:color w:val="000000" w:themeColor="text1"/>
          <w:sz w:val="24"/>
          <w:szCs w:val="24"/>
        </w:rPr>
        <w:t xml:space="preserve"> 2013; </w:t>
      </w:r>
      <w:r w:rsidRPr="00011E8F">
        <w:rPr>
          <w:rFonts w:ascii="Book Antiqua" w:hAnsi="Book Antiqua"/>
          <w:b/>
          <w:color w:val="000000" w:themeColor="text1"/>
          <w:sz w:val="24"/>
          <w:szCs w:val="24"/>
        </w:rPr>
        <w:t>11</w:t>
      </w:r>
      <w:r w:rsidRPr="00011E8F">
        <w:rPr>
          <w:rFonts w:ascii="Book Antiqua" w:hAnsi="Book Antiqua"/>
          <w:color w:val="000000" w:themeColor="text1"/>
          <w:sz w:val="24"/>
          <w:szCs w:val="24"/>
        </w:rPr>
        <w:t>: 577-592 [PMID: 24166193 DOI: 10.1007/s40258-013-0060-y]</w:t>
      </w:r>
    </w:p>
    <w:p w14:paraId="468E91BE" w14:textId="77777777" w:rsidR="00675B56" w:rsidRPr="00011E8F" w:rsidRDefault="00675B56" w:rsidP="00FC61F7">
      <w:pPr>
        <w:snapToGrid w:val="0"/>
        <w:spacing w:after="0" w:line="360" w:lineRule="auto"/>
        <w:jc w:val="both"/>
        <w:rPr>
          <w:rFonts w:ascii="Book Antiqua" w:hAnsi="Book Antiqua"/>
          <w:color w:val="000000" w:themeColor="text1"/>
          <w:sz w:val="24"/>
          <w:szCs w:val="24"/>
        </w:rPr>
      </w:pPr>
      <w:r w:rsidRPr="00011E8F">
        <w:rPr>
          <w:rFonts w:ascii="Book Antiqua" w:hAnsi="Book Antiqua"/>
          <w:color w:val="000000" w:themeColor="text1"/>
          <w:sz w:val="24"/>
          <w:szCs w:val="24"/>
        </w:rPr>
        <w:t xml:space="preserve">5 </w:t>
      </w:r>
      <w:r w:rsidRPr="00011E8F">
        <w:rPr>
          <w:rFonts w:ascii="Book Antiqua" w:hAnsi="Book Antiqua"/>
          <w:b/>
          <w:color w:val="000000" w:themeColor="text1"/>
          <w:sz w:val="24"/>
          <w:szCs w:val="24"/>
        </w:rPr>
        <w:t>de la Plaza Llamas R</w:t>
      </w:r>
      <w:r w:rsidRPr="00011E8F">
        <w:rPr>
          <w:rFonts w:ascii="Book Antiqua" w:hAnsi="Book Antiqua"/>
          <w:color w:val="000000" w:themeColor="text1"/>
          <w:sz w:val="24"/>
          <w:szCs w:val="24"/>
        </w:rPr>
        <w:t xml:space="preserve">, Ramia Ángel JM, Bellón JM, Arteaga Peralta V, García Amador C, López Marcano AJ, Medina Velasco AA, González Sierra B, Manuel Vázquez A. Clinical Validation of the Comprehensive Complication Index as a Measure of Postoperative Morbidity at a Surgical Department: A Prospective Study. </w:t>
      </w:r>
      <w:r w:rsidRPr="00011E8F">
        <w:rPr>
          <w:rFonts w:ascii="Book Antiqua" w:hAnsi="Book Antiqua"/>
          <w:i/>
          <w:color w:val="000000" w:themeColor="text1"/>
          <w:sz w:val="24"/>
          <w:szCs w:val="24"/>
        </w:rPr>
        <w:t>Ann Surg</w:t>
      </w:r>
      <w:r w:rsidRPr="00011E8F">
        <w:rPr>
          <w:rFonts w:ascii="Book Antiqua" w:hAnsi="Book Antiqua"/>
          <w:color w:val="000000" w:themeColor="text1"/>
          <w:sz w:val="24"/>
          <w:szCs w:val="24"/>
        </w:rPr>
        <w:t xml:space="preserve"> 2018; </w:t>
      </w:r>
      <w:r w:rsidRPr="00011E8F">
        <w:rPr>
          <w:rFonts w:ascii="Book Antiqua" w:hAnsi="Book Antiqua"/>
          <w:b/>
          <w:color w:val="000000" w:themeColor="text1"/>
          <w:sz w:val="24"/>
          <w:szCs w:val="24"/>
        </w:rPr>
        <w:t>268</w:t>
      </w:r>
      <w:r w:rsidRPr="00011E8F">
        <w:rPr>
          <w:rFonts w:ascii="Book Antiqua" w:hAnsi="Book Antiqua"/>
          <w:color w:val="000000" w:themeColor="text1"/>
          <w:sz w:val="24"/>
          <w:szCs w:val="24"/>
        </w:rPr>
        <w:t>: 838-844 [PMID: 30303875 DOI: 10.1097/SLA.0000000000002839]</w:t>
      </w:r>
    </w:p>
    <w:p w14:paraId="6679F093" w14:textId="77777777" w:rsidR="00675B56" w:rsidRPr="00011E8F" w:rsidRDefault="00675B56" w:rsidP="00FC61F7">
      <w:pPr>
        <w:snapToGrid w:val="0"/>
        <w:spacing w:after="0" w:line="360" w:lineRule="auto"/>
        <w:jc w:val="both"/>
        <w:rPr>
          <w:rFonts w:ascii="Book Antiqua" w:hAnsi="Book Antiqua"/>
          <w:color w:val="000000" w:themeColor="text1"/>
          <w:sz w:val="24"/>
          <w:szCs w:val="24"/>
        </w:rPr>
      </w:pPr>
      <w:r w:rsidRPr="00011E8F">
        <w:rPr>
          <w:rFonts w:ascii="Book Antiqua" w:hAnsi="Book Antiqua"/>
          <w:color w:val="000000" w:themeColor="text1"/>
          <w:sz w:val="24"/>
          <w:szCs w:val="24"/>
        </w:rPr>
        <w:t xml:space="preserve">6 </w:t>
      </w:r>
      <w:r w:rsidRPr="00011E8F">
        <w:rPr>
          <w:rFonts w:ascii="Book Antiqua" w:hAnsi="Book Antiqua"/>
          <w:b/>
          <w:color w:val="000000" w:themeColor="text1"/>
          <w:sz w:val="24"/>
          <w:szCs w:val="24"/>
        </w:rPr>
        <w:t>Vonlanthen R</w:t>
      </w:r>
      <w:r w:rsidRPr="00011E8F">
        <w:rPr>
          <w:rFonts w:ascii="Book Antiqua" w:hAnsi="Book Antiqua"/>
          <w:color w:val="000000" w:themeColor="text1"/>
          <w:sz w:val="24"/>
          <w:szCs w:val="24"/>
        </w:rPr>
        <w:t xml:space="preserve">, Slankamenac K, Breitenstein S, Puhan MA, Muller MK, Hahnloser D, Hauri D, Graf R, Clavien PA. The impact of complications on costs of major surgical procedures: a cost analysis of 1200 patients. </w:t>
      </w:r>
      <w:r w:rsidRPr="00011E8F">
        <w:rPr>
          <w:rFonts w:ascii="Book Antiqua" w:hAnsi="Book Antiqua"/>
          <w:i/>
          <w:color w:val="000000" w:themeColor="text1"/>
          <w:sz w:val="24"/>
          <w:szCs w:val="24"/>
        </w:rPr>
        <w:t>Ann Surg</w:t>
      </w:r>
      <w:r w:rsidRPr="00011E8F">
        <w:rPr>
          <w:rFonts w:ascii="Book Antiqua" w:hAnsi="Book Antiqua"/>
          <w:color w:val="000000" w:themeColor="text1"/>
          <w:sz w:val="24"/>
          <w:szCs w:val="24"/>
        </w:rPr>
        <w:t xml:space="preserve"> 2011; </w:t>
      </w:r>
      <w:r w:rsidRPr="00011E8F">
        <w:rPr>
          <w:rFonts w:ascii="Book Antiqua" w:hAnsi="Book Antiqua"/>
          <w:b/>
          <w:color w:val="000000" w:themeColor="text1"/>
          <w:sz w:val="24"/>
          <w:szCs w:val="24"/>
        </w:rPr>
        <w:t>254</w:t>
      </w:r>
      <w:r w:rsidRPr="00011E8F">
        <w:rPr>
          <w:rFonts w:ascii="Book Antiqua" w:hAnsi="Book Antiqua"/>
          <w:color w:val="000000" w:themeColor="text1"/>
          <w:sz w:val="24"/>
          <w:szCs w:val="24"/>
        </w:rPr>
        <w:t>: 907-913 [PMID: 21562405 DOI: 10.1097/SLA.0b013e31821d4a43]</w:t>
      </w:r>
    </w:p>
    <w:p w14:paraId="6F0F2D56" w14:textId="77777777" w:rsidR="00675B56" w:rsidRPr="00011E8F" w:rsidRDefault="00675B56" w:rsidP="00FC61F7">
      <w:pPr>
        <w:snapToGrid w:val="0"/>
        <w:spacing w:after="0" w:line="360" w:lineRule="auto"/>
        <w:jc w:val="both"/>
        <w:rPr>
          <w:rFonts w:ascii="Book Antiqua" w:hAnsi="Book Antiqua"/>
          <w:color w:val="000000" w:themeColor="text1"/>
          <w:sz w:val="24"/>
          <w:szCs w:val="24"/>
        </w:rPr>
      </w:pPr>
      <w:r w:rsidRPr="00011E8F">
        <w:rPr>
          <w:rFonts w:ascii="Book Antiqua" w:hAnsi="Book Antiqua"/>
          <w:color w:val="000000" w:themeColor="text1"/>
          <w:sz w:val="24"/>
          <w:szCs w:val="24"/>
        </w:rPr>
        <w:lastRenderedPageBreak/>
        <w:t xml:space="preserve">7 </w:t>
      </w:r>
      <w:r w:rsidRPr="00011E8F">
        <w:rPr>
          <w:rFonts w:ascii="Book Antiqua" w:hAnsi="Book Antiqua"/>
          <w:b/>
          <w:color w:val="000000" w:themeColor="text1"/>
          <w:sz w:val="24"/>
          <w:szCs w:val="24"/>
        </w:rPr>
        <w:t>Sullivan E</w:t>
      </w:r>
      <w:r w:rsidRPr="00011E8F">
        <w:rPr>
          <w:rFonts w:ascii="Book Antiqua" w:hAnsi="Book Antiqua"/>
          <w:color w:val="000000" w:themeColor="text1"/>
          <w:sz w:val="24"/>
          <w:szCs w:val="24"/>
        </w:rPr>
        <w:t xml:space="preserve">, Gupta A, Cook CH. Cost and Consequences of Surgical Site Infections: A Call to Arms. </w:t>
      </w:r>
      <w:r w:rsidRPr="00011E8F">
        <w:rPr>
          <w:rFonts w:ascii="Book Antiqua" w:hAnsi="Book Antiqua"/>
          <w:i/>
          <w:color w:val="000000" w:themeColor="text1"/>
          <w:sz w:val="24"/>
          <w:szCs w:val="24"/>
        </w:rPr>
        <w:t>Surg Infect (Larchmt)</w:t>
      </w:r>
      <w:r w:rsidRPr="00011E8F">
        <w:rPr>
          <w:rFonts w:ascii="Book Antiqua" w:hAnsi="Book Antiqua"/>
          <w:color w:val="000000" w:themeColor="text1"/>
          <w:sz w:val="24"/>
          <w:szCs w:val="24"/>
        </w:rPr>
        <w:t xml:space="preserve"> 2017; </w:t>
      </w:r>
      <w:r w:rsidRPr="00011E8F">
        <w:rPr>
          <w:rFonts w:ascii="Book Antiqua" w:hAnsi="Book Antiqua"/>
          <w:b/>
          <w:color w:val="000000" w:themeColor="text1"/>
          <w:sz w:val="24"/>
          <w:szCs w:val="24"/>
        </w:rPr>
        <w:t>18</w:t>
      </w:r>
      <w:r w:rsidRPr="00011E8F">
        <w:rPr>
          <w:rFonts w:ascii="Book Antiqua" w:hAnsi="Book Antiqua"/>
          <w:color w:val="000000" w:themeColor="text1"/>
          <w:sz w:val="24"/>
          <w:szCs w:val="24"/>
        </w:rPr>
        <w:t>: 451-454 [PMID: 28402728 DOI: 10.1089/sur.2017.072]</w:t>
      </w:r>
    </w:p>
    <w:p w14:paraId="344B38B3" w14:textId="77777777" w:rsidR="00675B56" w:rsidRPr="00011E8F" w:rsidRDefault="00675B56" w:rsidP="00FC61F7">
      <w:pPr>
        <w:snapToGrid w:val="0"/>
        <w:spacing w:after="0" w:line="360" w:lineRule="auto"/>
        <w:jc w:val="both"/>
        <w:rPr>
          <w:rFonts w:ascii="Book Antiqua" w:hAnsi="Book Antiqua"/>
          <w:color w:val="000000" w:themeColor="text1"/>
          <w:sz w:val="24"/>
          <w:szCs w:val="24"/>
        </w:rPr>
      </w:pPr>
      <w:r w:rsidRPr="00011E8F">
        <w:rPr>
          <w:rFonts w:ascii="Book Antiqua" w:hAnsi="Book Antiqua"/>
          <w:color w:val="000000" w:themeColor="text1"/>
          <w:sz w:val="24"/>
          <w:szCs w:val="24"/>
        </w:rPr>
        <w:t xml:space="preserve">8 </w:t>
      </w:r>
      <w:r w:rsidRPr="00011E8F">
        <w:rPr>
          <w:rFonts w:ascii="Book Antiqua" w:hAnsi="Book Antiqua"/>
          <w:b/>
          <w:color w:val="000000" w:themeColor="text1"/>
          <w:sz w:val="24"/>
          <w:szCs w:val="24"/>
        </w:rPr>
        <w:t>Delgado-Rodríguez M</w:t>
      </w:r>
      <w:r w:rsidRPr="00011E8F">
        <w:rPr>
          <w:rFonts w:ascii="Book Antiqua" w:hAnsi="Book Antiqua"/>
          <w:color w:val="000000" w:themeColor="text1"/>
          <w:sz w:val="24"/>
          <w:szCs w:val="24"/>
        </w:rPr>
        <w:t xml:space="preserve">, Gómez-Ortega A, Sillero-Arenas M, Llorca J. Epidemiology of surgical-site infections diagnosed after hospital discharge: a prospective cohort study. </w:t>
      </w:r>
      <w:r w:rsidRPr="00011E8F">
        <w:rPr>
          <w:rFonts w:ascii="Book Antiqua" w:hAnsi="Book Antiqua"/>
          <w:i/>
          <w:color w:val="000000" w:themeColor="text1"/>
          <w:sz w:val="24"/>
          <w:szCs w:val="24"/>
        </w:rPr>
        <w:t>Infect Control Hosp Epidemiol</w:t>
      </w:r>
      <w:r w:rsidRPr="00011E8F">
        <w:rPr>
          <w:rFonts w:ascii="Book Antiqua" w:hAnsi="Book Antiqua"/>
          <w:color w:val="000000" w:themeColor="text1"/>
          <w:sz w:val="24"/>
          <w:szCs w:val="24"/>
        </w:rPr>
        <w:t xml:space="preserve"> 2001; </w:t>
      </w:r>
      <w:r w:rsidRPr="00011E8F">
        <w:rPr>
          <w:rFonts w:ascii="Book Antiqua" w:hAnsi="Book Antiqua"/>
          <w:b/>
          <w:color w:val="000000" w:themeColor="text1"/>
          <w:sz w:val="24"/>
          <w:szCs w:val="24"/>
        </w:rPr>
        <w:t>22</w:t>
      </w:r>
      <w:r w:rsidRPr="00011E8F">
        <w:rPr>
          <w:rFonts w:ascii="Book Antiqua" w:hAnsi="Book Antiqua"/>
          <w:color w:val="000000" w:themeColor="text1"/>
          <w:sz w:val="24"/>
          <w:szCs w:val="24"/>
        </w:rPr>
        <w:t>: 24-30 [PMID: 11198018 DOI: 10.1086/501820]</w:t>
      </w:r>
    </w:p>
    <w:p w14:paraId="44CAF9A1" w14:textId="77777777" w:rsidR="00675B56" w:rsidRPr="00011E8F" w:rsidRDefault="00675B56" w:rsidP="00FC61F7">
      <w:pPr>
        <w:snapToGrid w:val="0"/>
        <w:spacing w:after="0" w:line="360" w:lineRule="auto"/>
        <w:jc w:val="both"/>
        <w:rPr>
          <w:rFonts w:ascii="Book Antiqua" w:hAnsi="Book Antiqua"/>
          <w:color w:val="000000" w:themeColor="text1"/>
          <w:sz w:val="24"/>
          <w:szCs w:val="24"/>
        </w:rPr>
      </w:pPr>
      <w:r w:rsidRPr="00011E8F">
        <w:rPr>
          <w:rFonts w:ascii="Book Antiqua" w:hAnsi="Book Antiqua"/>
          <w:color w:val="000000" w:themeColor="text1"/>
          <w:sz w:val="24"/>
          <w:szCs w:val="24"/>
        </w:rPr>
        <w:t xml:space="preserve">9 </w:t>
      </w:r>
      <w:r w:rsidRPr="00011E8F">
        <w:rPr>
          <w:rFonts w:ascii="Book Antiqua" w:hAnsi="Book Antiqua"/>
          <w:b/>
          <w:color w:val="000000" w:themeColor="text1"/>
          <w:sz w:val="24"/>
          <w:szCs w:val="24"/>
        </w:rPr>
        <w:t>Daneman N</w:t>
      </w:r>
      <w:r w:rsidRPr="00011E8F">
        <w:rPr>
          <w:rFonts w:ascii="Book Antiqua" w:hAnsi="Book Antiqua"/>
          <w:color w:val="000000" w:themeColor="text1"/>
          <w:sz w:val="24"/>
          <w:szCs w:val="24"/>
        </w:rPr>
        <w:t xml:space="preserve">, Lu H, Redelmeier DA. Discharge after discharge: predicting surgical site infections after patients leave hospital. </w:t>
      </w:r>
      <w:r w:rsidRPr="00011E8F">
        <w:rPr>
          <w:rFonts w:ascii="Book Antiqua" w:hAnsi="Book Antiqua"/>
          <w:i/>
          <w:color w:val="000000" w:themeColor="text1"/>
          <w:sz w:val="24"/>
          <w:szCs w:val="24"/>
        </w:rPr>
        <w:t>J Hosp Infect</w:t>
      </w:r>
      <w:r w:rsidRPr="00011E8F">
        <w:rPr>
          <w:rFonts w:ascii="Book Antiqua" w:hAnsi="Book Antiqua"/>
          <w:color w:val="000000" w:themeColor="text1"/>
          <w:sz w:val="24"/>
          <w:szCs w:val="24"/>
        </w:rPr>
        <w:t xml:space="preserve"> 2010; </w:t>
      </w:r>
      <w:r w:rsidRPr="00011E8F">
        <w:rPr>
          <w:rFonts w:ascii="Book Antiqua" w:hAnsi="Book Antiqua"/>
          <w:b/>
          <w:color w:val="000000" w:themeColor="text1"/>
          <w:sz w:val="24"/>
          <w:szCs w:val="24"/>
        </w:rPr>
        <w:t>75</w:t>
      </w:r>
      <w:r w:rsidRPr="00011E8F">
        <w:rPr>
          <w:rFonts w:ascii="Book Antiqua" w:hAnsi="Book Antiqua"/>
          <w:color w:val="000000" w:themeColor="text1"/>
          <w:sz w:val="24"/>
          <w:szCs w:val="24"/>
        </w:rPr>
        <w:t>: 188-194 [PMID: 20435375 DOI: 10.1016/j.jhin.2010.01.029]</w:t>
      </w:r>
    </w:p>
    <w:p w14:paraId="39D75DB8" w14:textId="0E2D2EF9" w:rsidR="00675B56" w:rsidRPr="00011E8F" w:rsidRDefault="00675B56" w:rsidP="00FC61F7">
      <w:pPr>
        <w:snapToGrid w:val="0"/>
        <w:spacing w:after="0" w:line="360" w:lineRule="auto"/>
        <w:jc w:val="both"/>
        <w:rPr>
          <w:rFonts w:ascii="Book Antiqua" w:hAnsi="Book Antiqua"/>
          <w:color w:val="000000" w:themeColor="text1"/>
          <w:sz w:val="24"/>
          <w:szCs w:val="24"/>
        </w:rPr>
      </w:pPr>
      <w:r w:rsidRPr="00011E8F">
        <w:rPr>
          <w:rFonts w:ascii="Book Antiqua" w:hAnsi="Book Antiqua"/>
          <w:color w:val="000000" w:themeColor="text1"/>
          <w:sz w:val="24"/>
          <w:szCs w:val="24"/>
          <w:highlight w:val="yellow"/>
        </w:rPr>
        <w:t xml:space="preserve">10 </w:t>
      </w:r>
      <w:r w:rsidRPr="00011E8F">
        <w:rPr>
          <w:rFonts w:ascii="Book Antiqua" w:hAnsi="Book Antiqua"/>
          <w:b/>
          <w:color w:val="000000" w:themeColor="text1"/>
          <w:sz w:val="24"/>
          <w:szCs w:val="24"/>
          <w:highlight w:val="yellow"/>
        </w:rPr>
        <w:t>de la Plaza Llamas R.</w:t>
      </w:r>
      <w:r w:rsidRPr="00011E8F">
        <w:rPr>
          <w:rFonts w:ascii="Book Antiqua" w:hAnsi="Book Antiqua"/>
          <w:bCs/>
          <w:color w:val="000000" w:themeColor="text1"/>
          <w:sz w:val="24"/>
          <w:szCs w:val="24"/>
          <w:highlight w:val="yellow"/>
        </w:rPr>
        <w:t xml:space="preserve"> Validación y aplicabilidad clínica del Comprehensive Complication Index en una población de pacientes intervenidos en un servicio de cirugía general y del aparato digestivo. Estudio prospectivo. Thesis, </w:t>
      </w:r>
      <w:r w:rsidRPr="00011E8F">
        <w:rPr>
          <w:rFonts w:ascii="Book Antiqua" w:hAnsi="Book Antiqua"/>
          <w:color w:val="000000" w:themeColor="text1"/>
          <w:sz w:val="24"/>
          <w:szCs w:val="24"/>
          <w:highlight w:val="yellow"/>
        </w:rPr>
        <w:t xml:space="preserve">University of Alcalá. 2018. Available from: </w:t>
      </w:r>
      <w:r w:rsidR="00BA136A">
        <w:rPr>
          <w:rFonts w:ascii="Book Antiqua" w:hAnsi="Book Antiqua"/>
          <w:color w:val="000000" w:themeColor="text1"/>
          <w:sz w:val="24"/>
          <w:szCs w:val="24"/>
          <w:highlight w:val="yellow"/>
        </w:rPr>
        <w:fldChar w:fldCharType="begin"/>
      </w:r>
      <w:r w:rsidR="00BA136A">
        <w:rPr>
          <w:rFonts w:ascii="Book Antiqua" w:hAnsi="Book Antiqua"/>
          <w:color w:val="000000" w:themeColor="text1"/>
          <w:sz w:val="24"/>
          <w:szCs w:val="24"/>
          <w:highlight w:val="yellow"/>
        </w:rPr>
        <w:instrText xml:space="preserve"> HYPERLINK "</w:instrText>
      </w:r>
      <w:r w:rsidR="00BA136A" w:rsidRPr="00011E8F">
        <w:rPr>
          <w:rFonts w:ascii="Book Antiqua" w:hAnsi="Book Antiqua"/>
          <w:color w:val="000000" w:themeColor="text1"/>
          <w:sz w:val="24"/>
          <w:szCs w:val="24"/>
          <w:highlight w:val="yellow"/>
        </w:rPr>
        <w:instrText>https://www.educacion.gob.es/teseo/mostrarRef.do?ref=444441</w:instrText>
      </w:r>
      <w:r w:rsidR="00BA136A">
        <w:rPr>
          <w:rFonts w:ascii="Book Antiqua" w:hAnsi="Book Antiqua"/>
          <w:color w:val="000000" w:themeColor="text1"/>
          <w:sz w:val="24"/>
          <w:szCs w:val="24"/>
          <w:highlight w:val="yellow"/>
        </w:rPr>
        <w:instrText xml:space="preserve">" </w:instrText>
      </w:r>
      <w:r w:rsidR="00BA136A">
        <w:rPr>
          <w:rFonts w:ascii="Book Antiqua" w:hAnsi="Book Antiqua"/>
          <w:color w:val="000000" w:themeColor="text1"/>
          <w:sz w:val="24"/>
          <w:szCs w:val="24"/>
          <w:highlight w:val="yellow"/>
        </w:rPr>
        <w:fldChar w:fldCharType="separate"/>
      </w:r>
      <w:r w:rsidR="00BA136A" w:rsidRPr="00D976DB">
        <w:rPr>
          <w:rStyle w:val="af1"/>
          <w:rFonts w:ascii="Book Antiqua" w:hAnsi="Book Antiqua"/>
          <w:sz w:val="24"/>
          <w:szCs w:val="24"/>
          <w:highlight w:val="yellow"/>
        </w:rPr>
        <w:t>https://www.educacion.gob.es/teseo/mostrarRef.do?ref=444441</w:t>
      </w:r>
      <w:r w:rsidR="00BA136A">
        <w:rPr>
          <w:rFonts w:ascii="Book Antiqua" w:hAnsi="Book Antiqua"/>
          <w:color w:val="000000" w:themeColor="text1"/>
          <w:sz w:val="24"/>
          <w:szCs w:val="24"/>
          <w:highlight w:val="yellow"/>
        </w:rPr>
        <w:fldChar w:fldCharType="end"/>
      </w:r>
      <w:r w:rsidR="00BA136A">
        <w:rPr>
          <w:rFonts w:ascii="Book Antiqua" w:hAnsi="Book Antiqua"/>
          <w:color w:val="000000" w:themeColor="text1"/>
          <w:sz w:val="24"/>
          <w:szCs w:val="24"/>
        </w:rPr>
        <w:t xml:space="preserve"> </w:t>
      </w:r>
    </w:p>
    <w:p w14:paraId="16333995" w14:textId="77777777" w:rsidR="00675B56" w:rsidRPr="00011E8F" w:rsidRDefault="00675B56" w:rsidP="00FC61F7">
      <w:pPr>
        <w:snapToGrid w:val="0"/>
        <w:spacing w:after="0" w:line="360" w:lineRule="auto"/>
        <w:jc w:val="both"/>
        <w:rPr>
          <w:rFonts w:ascii="Book Antiqua" w:hAnsi="Book Antiqua"/>
          <w:color w:val="000000" w:themeColor="text1"/>
          <w:sz w:val="24"/>
          <w:szCs w:val="24"/>
        </w:rPr>
      </w:pPr>
      <w:r w:rsidRPr="00011E8F">
        <w:rPr>
          <w:rFonts w:ascii="Book Antiqua" w:hAnsi="Book Antiqua"/>
          <w:color w:val="000000" w:themeColor="text1"/>
          <w:sz w:val="24"/>
          <w:szCs w:val="24"/>
        </w:rPr>
        <w:t xml:space="preserve">11 </w:t>
      </w:r>
      <w:r w:rsidRPr="00011E8F">
        <w:rPr>
          <w:rFonts w:ascii="Book Antiqua" w:hAnsi="Book Antiqua"/>
          <w:b/>
          <w:color w:val="000000" w:themeColor="text1"/>
          <w:sz w:val="24"/>
          <w:szCs w:val="24"/>
        </w:rPr>
        <w:t>Straatman J</w:t>
      </w:r>
      <w:r w:rsidRPr="00011E8F">
        <w:rPr>
          <w:rFonts w:ascii="Book Antiqua" w:hAnsi="Book Antiqua"/>
          <w:color w:val="000000" w:themeColor="text1"/>
          <w:sz w:val="24"/>
          <w:szCs w:val="24"/>
        </w:rPr>
        <w:t xml:space="preserve">, Cuesta MA, de Lange-de Klerk ES, van der Peet DL. Hospital cost-analysis of complications after major abdominal surgery. </w:t>
      </w:r>
      <w:r w:rsidRPr="00011E8F">
        <w:rPr>
          <w:rFonts w:ascii="Book Antiqua" w:hAnsi="Book Antiqua"/>
          <w:i/>
          <w:color w:val="000000" w:themeColor="text1"/>
          <w:sz w:val="24"/>
          <w:szCs w:val="24"/>
        </w:rPr>
        <w:t>Dig Surg</w:t>
      </w:r>
      <w:r w:rsidRPr="00011E8F">
        <w:rPr>
          <w:rFonts w:ascii="Book Antiqua" w:hAnsi="Book Antiqua"/>
          <w:color w:val="000000" w:themeColor="text1"/>
          <w:sz w:val="24"/>
          <w:szCs w:val="24"/>
        </w:rPr>
        <w:t xml:space="preserve"> 2015; </w:t>
      </w:r>
      <w:r w:rsidRPr="00011E8F">
        <w:rPr>
          <w:rFonts w:ascii="Book Antiqua" w:hAnsi="Book Antiqua"/>
          <w:b/>
          <w:color w:val="000000" w:themeColor="text1"/>
          <w:sz w:val="24"/>
          <w:szCs w:val="24"/>
        </w:rPr>
        <w:t>32</w:t>
      </w:r>
      <w:r w:rsidRPr="00011E8F">
        <w:rPr>
          <w:rFonts w:ascii="Book Antiqua" w:hAnsi="Book Antiqua"/>
          <w:color w:val="000000" w:themeColor="text1"/>
          <w:sz w:val="24"/>
          <w:szCs w:val="24"/>
        </w:rPr>
        <w:t>: 150-156 [PMID: 25791798 DOI: 10.1159/000371861]</w:t>
      </w:r>
    </w:p>
    <w:p w14:paraId="4634C585" w14:textId="77777777" w:rsidR="00675B56" w:rsidRPr="00011E8F" w:rsidRDefault="00675B56" w:rsidP="00FC61F7">
      <w:pPr>
        <w:snapToGrid w:val="0"/>
        <w:spacing w:after="0" w:line="360" w:lineRule="auto"/>
        <w:jc w:val="both"/>
        <w:rPr>
          <w:rFonts w:ascii="Book Antiqua" w:hAnsi="Book Antiqua"/>
          <w:color w:val="000000" w:themeColor="text1"/>
          <w:sz w:val="24"/>
          <w:szCs w:val="24"/>
        </w:rPr>
      </w:pPr>
      <w:r w:rsidRPr="00011E8F">
        <w:rPr>
          <w:rFonts w:ascii="Book Antiqua" w:hAnsi="Book Antiqua"/>
          <w:color w:val="000000" w:themeColor="text1"/>
          <w:sz w:val="24"/>
          <w:szCs w:val="24"/>
        </w:rPr>
        <w:t xml:space="preserve">12 </w:t>
      </w:r>
      <w:r w:rsidRPr="00011E8F">
        <w:rPr>
          <w:rFonts w:ascii="Book Antiqua" w:hAnsi="Book Antiqua"/>
          <w:b/>
          <w:color w:val="000000" w:themeColor="text1"/>
          <w:sz w:val="24"/>
          <w:szCs w:val="24"/>
        </w:rPr>
        <w:t>Gani F</w:t>
      </w:r>
      <w:r w:rsidRPr="00011E8F">
        <w:rPr>
          <w:rFonts w:ascii="Book Antiqua" w:hAnsi="Book Antiqua"/>
          <w:color w:val="000000" w:themeColor="text1"/>
          <w:sz w:val="24"/>
          <w:szCs w:val="24"/>
        </w:rPr>
        <w:t xml:space="preserve">, Johnston FM, Nelson-Williams H, Cerullo M, Dillhoff ME, Schmidt CR, Pawlik TM. Hospital Volume and the Costs Associated with Surgery for Pancreatic Cancer. </w:t>
      </w:r>
      <w:r w:rsidRPr="00011E8F">
        <w:rPr>
          <w:rFonts w:ascii="Book Antiqua" w:hAnsi="Book Antiqua"/>
          <w:i/>
          <w:color w:val="000000" w:themeColor="text1"/>
          <w:sz w:val="24"/>
          <w:szCs w:val="24"/>
        </w:rPr>
        <w:t>J Gastrointest Surg</w:t>
      </w:r>
      <w:r w:rsidRPr="00011E8F">
        <w:rPr>
          <w:rFonts w:ascii="Book Antiqua" w:hAnsi="Book Antiqua"/>
          <w:color w:val="000000" w:themeColor="text1"/>
          <w:sz w:val="24"/>
          <w:szCs w:val="24"/>
        </w:rPr>
        <w:t xml:space="preserve"> 2017; </w:t>
      </w:r>
      <w:r w:rsidRPr="00011E8F">
        <w:rPr>
          <w:rFonts w:ascii="Book Antiqua" w:hAnsi="Book Antiqua"/>
          <w:b/>
          <w:color w:val="000000" w:themeColor="text1"/>
          <w:sz w:val="24"/>
          <w:szCs w:val="24"/>
        </w:rPr>
        <w:t>21</w:t>
      </w:r>
      <w:r w:rsidRPr="00011E8F">
        <w:rPr>
          <w:rFonts w:ascii="Book Antiqua" w:hAnsi="Book Antiqua"/>
          <w:color w:val="000000" w:themeColor="text1"/>
          <w:sz w:val="24"/>
          <w:szCs w:val="24"/>
        </w:rPr>
        <w:t>: 1411-1419 [PMID: 28664254 DOI: 10.1007/s11605-017-3479-x]</w:t>
      </w:r>
    </w:p>
    <w:p w14:paraId="718A6897" w14:textId="77777777" w:rsidR="00675B56" w:rsidRPr="00011E8F" w:rsidRDefault="00675B56" w:rsidP="00FC61F7">
      <w:pPr>
        <w:snapToGrid w:val="0"/>
        <w:spacing w:after="0" w:line="360" w:lineRule="auto"/>
        <w:jc w:val="both"/>
        <w:rPr>
          <w:rFonts w:ascii="Book Antiqua" w:hAnsi="Book Antiqua"/>
          <w:color w:val="000000" w:themeColor="text1"/>
          <w:sz w:val="24"/>
          <w:szCs w:val="24"/>
        </w:rPr>
      </w:pPr>
      <w:r w:rsidRPr="00011E8F">
        <w:rPr>
          <w:rFonts w:ascii="Book Antiqua" w:hAnsi="Book Antiqua"/>
          <w:color w:val="000000" w:themeColor="text1"/>
          <w:sz w:val="24"/>
          <w:szCs w:val="24"/>
        </w:rPr>
        <w:t xml:space="preserve">13 </w:t>
      </w:r>
      <w:r w:rsidRPr="00011E8F">
        <w:rPr>
          <w:rFonts w:ascii="Book Antiqua" w:hAnsi="Book Antiqua"/>
          <w:b/>
          <w:color w:val="000000" w:themeColor="text1"/>
          <w:sz w:val="24"/>
          <w:szCs w:val="24"/>
        </w:rPr>
        <w:t>Goense L</w:t>
      </w:r>
      <w:r w:rsidRPr="00011E8F">
        <w:rPr>
          <w:rFonts w:ascii="Book Antiqua" w:hAnsi="Book Antiqua"/>
          <w:color w:val="000000" w:themeColor="text1"/>
          <w:sz w:val="24"/>
          <w:szCs w:val="24"/>
        </w:rPr>
        <w:t xml:space="preserve">, van Dijk WA, Govaert JA, van Rossum PS, Ruurda JP, van Hillegersberg R. Hospital costs of complications after esophagectomy for cancer. </w:t>
      </w:r>
      <w:r w:rsidRPr="00011E8F">
        <w:rPr>
          <w:rFonts w:ascii="Book Antiqua" w:hAnsi="Book Antiqua"/>
          <w:i/>
          <w:color w:val="000000" w:themeColor="text1"/>
          <w:sz w:val="24"/>
          <w:szCs w:val="24"/>
        </w:rPr>
        <w:t>Eur J Surg Oncol</w:t>
      </w:r>
      <w:r w:rsidRPr="00011E8F">
        <w:rPr>
          <w:rFonts w:ascii="Book Antiqua" w:hAnsi="Book Antiqua"/>
          <w:color w:val="000000" w:themeColor="text1"/>
          <w:sz w:val="24"/>
          <w:szCs w:val="24"/>
        </w:rPr>
        <w:t xml:space="preserve"> 2017; </w:t>
      </w:r>
      <w:r w:rsidRPr="00011E8F">
        <w:rPr>
          <w:rFonts w:ascii="Book Antiqua" w:hAnsi="Book Antiqua"/>
          <w:b/>
          <w:color w:val="000000" w:themeColor="text1"/>
          <w:sz w:val="24"/>
          <w:szCs w:val="24"/>
        </w:rPr>
        <w:t>43</w:t>
      </w:r>
      <w:r w:rsidRPr="00011E8F">
        <w:rPr>
          <w:rFonts w:ascii="Book Antiqua" w:hAnsi="Book Antiqua"/>
          <w:color w:val="000000" w:themeColor="text1"/>
          <w:sz w:val="24"/>
          <w:szCs w:val="24"/>
        </w:rPr>
        <w:t>: 696-702 [PMID: 28012715 DOI: 10.1016/j.ejso.2016.11.013]</w:t>
      </w:r>
    </w:p>
    <w:p w14:paraId="65DB4A8F" w14:textId="77777777" w:rsidR="00675B56" w:rsidRPr="00011E8F" w:rsidRDefault="00675B56" w:rsidP="00FC61F7">
      <w:pPr>
        <w:snapToGrid w:val="0"/>
        <w:spacing w:after="0" w:line="360" w:lineRule="auto"/>
        <w:jc w:val="both"/>
        <w:rPr>
          <w:rFonts w:ascii="Book Antiqua" w:hAnsi="Book Antiqua"/>
          <w:color w:val="000000" w:themeColor="text1"/>
          <w:sz w:val="24"/>
          <w:szCs w:val="24"/>
        </w:rPr>
      </w:pPr>
      <w:r w:rsidRPr="00011E8F">
        <w:rPr>
          <w:rFonts w:ascii="Book Antiqua" w:hAnsi="Book Antiqua"/>
          <w:color w:val="000000" w:themeColor="text1"/>
          <w:sz w:val="24"/>
          <w:szCs w:val="24"/>
        </w:rPr>
        <w:t xml:space="preserve">14 </w:t>
      </w:r>
      <w:r w:rsidRPr="00011E8F">
        <w:rPr>
          <w:rFonts w:ascii="Book Antiqua" w:hAnsi="Book Antiqua"/>
          <w:b/>
          <w:color w:val="000000" w:themeColor="text1"/>
          <w:sz w:val="24"/>
          <w:szCs w:val="24"/>
        </w:rPr>
        <w:t>Staiger RD</w:t>
      </w:r>
      <w:r w:rsidRPr="00011E8F">
        <w:rPr>
          <w:rFonts w:ascii="Book Antiqua" w:hAnsi="Book Antiqua"/>
          <w:color w:val="000000" w:themeColor="text1"/>
          <w:sz w:val="24"/>
          <w:szCs w:val="24"/>
        </w:rPr>
        <w:t xml:space="preserve">, Cimino M, Javed A, Biondo S, Fondevila C, Périnel J, Aragão AC, Torzilli G, Wolfgang C, Adham M, Pinto-Marques H, Dutkowski P, Puhan MA, Clavien PA. The Comprehensive Complication Index (CCI®) is a Novel Cost Assessment Tool for Surgical Procedures. </w:t>
      </w:r>
      <w:r w:rsidRPr="00011E8F">
        <w:rPr>
          <w:rFonts w:ascii="Book Antiqua" w:hAnsi="Book Antiqua"/>
          <w:i/>
          <w:color w:val="000000" w:themeColor="text1"/>
          <w:sz w:val="24"/>
          <w:szCs w:val="24"/>
        </w:rPr>
        <w:t>Ann Surg</w:t>
      </w:r>
      <w:r w:rsidRPr="00011E8F">
        <w:rPr>
          <w:rFonts w:ascii="Book Antiqua" w:hAnsi="Book Antiqua"/>
          <w:color w:val="000000" w:themeColor="text1"/>
          <w:sz w:val="24"/>
          <w:szCs w:val="24"/>
        </w:rPr>
        <w:t xml:space="preserve"> 2018; </w:t>
      </w:r>
      <w:r w:rsidRPr="00011E8F">
        <w:rPr>
          <w:rFonts w:ascii="Book Antiqua" w:hAnsi="Book Antiqua"/>
          <w:b/>
          <w:color w:val="000000" w:themeColor="text1"/>
          <w:sz w:val="24"/>
          <w:szCs w:val="24"/>
        </w:rPr>
        <w:t>268</w:t>
      </w:r>
      <w:r w:rsidRPr="00011E8F">
        <w:rPr>
          <w:rFonts w:ascii="Book Antiqua" w:hAnsi="Book Antiqua"/>
          <w:color w:val="000000" w:themeColor="text1"/>
          <w:sz w:val="24"/>
          <w:szCs w:val="24"/>
        </w:rPr>
        <w:t>: 784-791 [PMID: 30272585 DOI: 10.1097/SLA.0000000000002902]</w:t>
      </w:r>
    </w:p>
    <w:p w14:paraId="28C84AC2" w14:textId="49E9C1C1" w:rsidR="00675B56" w:rsidRPr="00011E8F" w:rsidRDefault="00675B56" w:rsidP="00FC61F7">
      <w:pPr>
        <w:snapToGrid w:val="0"/>
        <w:spacing w:after="0" w:line="360" w:lineRule="auto"/>
        <w:jc w:val="both"/>
        <w:rPr>
          <w:rFonts w:ascii="Book Antiqua" w:hAnsi="Book Antiqua"/>
          <w:color w:val="000000" w:themeColor="text1"/>
          <w:sz w:val="24"/>
          <w:szCs w:val="24"/>
        </w:rPr>
      </w:pPr>
      <w:r w:rsidRPr="00011E8F">
        <w:rPr>
          <w:rFonts w:ascii="Book Antiqua" w:hAnsi="Book Antiqua"/>
          <w:color w:val="000000" w:themeColor="text1"/>
          <w:sz w:val="24"/>
          <w:szCs w:val="24"/>
        </w:rPr>
        <w:lastRenderedPageBreak/>
        <w:t xml:space="preserve">15 </w:t>
      </w:r>
      <w:r w:rsidRPr="00011E8F">
        <w:rPr>
          <w:rFonts w:ascii="Book Antiqua" w:hAnsi="Book Antiqua"/>
          <w:b/>
          <w:color w:val="000000" w:themeColor="text1"/>
          <w:sz w:val="24"/>
          <w:szCs w:val="24"/>
        </w:rPr>
        <w:t>de la Plaza Llamas R</w:t>
      </w:r>
      <w:r w:rsidRPr="00011E8F">
        <w:rPr>
          <w:rFonts w:ascii="Book Antiqua" w:hAnsi="Book Antiqua"/>
          <w:color w:val="000000" w:themeColor="text1"/>
          <w:sz w:val="24"/>
          <w:szCs w:val="24"/>
        </w:rPr>
        <w:t xml:space="preserve">, Hidalgo Vega Á, Latorre Fragua RA, López Marcano AJ, Medina Velasco AA, Díaz Candelas DA, García Gil JM, Ramia Ángel JM. The Cost of Postoperative Complications and Economic Validation of the Comprehensive Complication Index: Prospective Study. </w:t>
      </w:r>
      <w:r w:rsidRPr="00011E8F">
        <w:rPr>
          <w:rFonts w:ascii="Book Antiqua" w:hAnsi="Book Antiqua"/>
          <w:i/>
          <w:color w:val="000000" w:themeColor="text1"/>
          <w:sz w:val="24"/>
          <w:szCs w:val="24"/>
        </w:rPr>
        <w:t>Ann Surg</w:t>
      </w:r>
      <w:r w:rsidRPr="00011E8F">
        <w:rPr>
          <w:rFonts w:ascii="Book Antiqua" w:hAnsi="Book Antiqua"/>
          <w:color w:val="000000" w:themeColor="text1"/>
          <w:sz w:val="24"/>
          <w:szCs w:val="24"/>
        </w:rPr>
        <w:t xml:space="preserve"> 2019 [PMID: 30985367 DOI: 10.1097/SLA.0000000000003308]</w:t>
      </w:r>
    </w:p>
    <w:p w14:paraId="26E8C327" w14:textId="77777777" w:rsidR="00675B56" w:rsidRPr="00011E8F" w:rsidRDefault="00675B56" w:rsidP="00FC61F7">
      <w:pPr>
        <w:snapToGrid w:val="0"/>
        <w:spacing w:after="0" w:line="360" w:lineRule="auto"/>
        <w:jc w:val="both"/>
        <w:rPr>
          <w:rFonts w:ascii="Book Antiqua" w:hAnsi="Book Antiqua"/>
          <w:color w:val="000000" w:themeColor="text1"/>
          <w:sz w:val="24"/>
          <w:szCs w:val="24"/>
        </w:rPr>
      </w:pPr>
      <w:r w:rsidRPr="00011E8F">
        <w:rPr>
          <w:rFonts w:ascii="Book Antiqua" w:hAnsi="Book Antiqua"/>
          <w:color w:val="000000" w:themeColor="text1"/>
          <w:sz w:val="24"/>
          <w:szCs w:val="24"/>
        </w:rPr>
        <w:t xml:space="preserve">16 </w:t>
      </w:r>
      <w:r w:rsidRPr="00011E8F">
        <w:rPr>
          <w:rFonts w:ascii="Book Antiqua" w:hAnsi="Book Antiqua"/>
          <w:b/>
          <w:color w:val="000000" w:themeColor="text1"/>
          <w:sz w:val="24"/>
          <w:szCs w:val="24"/>
        </w:rPr>
        <w:t>Krupka DC</w:t>
      </w:r>
      <w:r w:rsidRPr="00011E8F">
        <w:rPr>
          <w:rFonts w:ascii="Book Antiqua" w:hAnsi="Book Antiqua"/>
          <w:color w:val="000000" w:themeColor="text1"/>
          <w:sz w:val="24"/>
          <w:szCs w:val="24"/>
        </w:rPr>
        <w:t xml:space="preserve">, Sandberg WS, Weeks WB. The impact on hospitals of reducing surgical complications suggests many will need shared savings programs with payers. </w:t>
      </w:r>
      <w:r w:rsidRPr="00011E8F">
        <w:rPr>
          <w:rFonts w:ascii="Book Antiqua" w:hAnsi="Book Antiqua"/>
          <w:i/>
          <w:color w:val="000000" w:themeColor="text1"/>
          <w:sz w:val="24"/>
          <w:szCs w:val="24"/>
        </w:rPr>
        <w:t>Health Aff (Millwood)</w:t>
      </w:r>
      <w:r w:rsidRPr="00011E8F">
        <w:rPr>
          <w:rFonts w:ascii="Book Antiqua" w:hAnsi="Book Antiqua"/>
          <w:color w:val="000000" w:themeColor="text1"/>
          <w:sz w:val="24"/>
          <w:szCs w:val="24"/>
        </w:rPr>
        <w:t xml:space="preserve"> 2012; </w:t>
      </w:r>
      <w:r w:rsidRPr="00011E8F">
        <w:rPr>
          <w:rFonts w:ascii="Book Antiqua" w:hAnsi="Book Antiqua"/>
          <w:b/>
          <w:color w:val="000000" w:themeColor="text1"/>
          <w:sz w:val="24"/>
          <w:szCs w:val="24"/>
        </w:rPr>
        <w:t>31</w:t>
      </w:r>
      <w:r w:rsidRPr="00011E8F">
        <w:rPr>
          <w:rFonts w:ascii="Book Antiqua" w:hAnsi="Book Antiqua"/>
          <w:color w:val="000000" w:themeColor="text1"/>
          <w:sz w:val="24"/>
          <w:szCs w:val="24"/>
        </w:rPr>
        <w:t>: 2571-2578 [PMID: 23077139 DOI: 10.1377/hlthaff.2011.0605]</w:t>
      </w:r>
    </w:p>
    <w:p w14:paraId="4A937E5E" w14:textId="77777777" w:rsidR="00675B56" w:rsidRPr="00011E8F" w:rsidRDefault="00675B56" w:rsidP="00FC61F7">
      <w:pPr>
        <w:snapToGrid w:val="0"/>
        <w:spacing w:after="0" w:line="360" w:lineRule="auto"/>
        <w:jc w:val="both"/>
        <w:rPr>
          <w:rFonts w:ascii="Book Antiqua" w:hAnsi="Book Antiqua"/>
          <w:color w:val="000000" w:themeColor="text1"/>
          <w:sz w:val="24"/>
          <w:szCs w:val="24"/>
        </w:rPr>
      </w:pPr>
      <w:r w:rsidRPr="00011E8F">
        <w:rPr>
          <w:rFonts w:ascii="Book Antiqua" w:hAnsi="Book Antiqua"/>
          <w:color w:val="000000" w:themeColor="text1"/>
          <w:sz w:val="24"/>
          <w:szCs w:val="24"/>
        </w:rPr>
        <w:t xml:space="preserve">17 </w:t>
      </w:r>
      <w:r w:rsidRPr="00011E8F">
        <w:rPr>
          <w:rFonts w:ascii="Book Antiqua" w:hAnsi="Book Antiqua"/>
          <w:b/>
          <w:color w:val="000000" w:themeColor="text1"/>
          <w:sz w:val="24"/>
          <w:szCs w:val="24"/>
        </w:rPr>
        <w:t>Eappen S</w:t>
      </w:r>
      <w:r w:rsidRPr="00011E8F">
        <w:rPr>
          <w:rFonts w:ascii="Book Antiqua" w:hAnsi="Book Antiqua"/>
          <w:color w:val="000000" w:themeColor="text1"/>
          <w:sz w:val="24"/>
          <w:szCs w:val="24"/>
        </w:rPr>
        <w:t xml:space="preserve">, Lane BH, Rosenberg B, Lipsitz SA, Sadoff D, Matheson D, Berry WR, Lester M, Gawande AA. Relationship between occurrence of surgical complications and hospital finances. </w:t>
      </w:r>
      <w:r w:rsidRPr="00011E8F">
        <w:rPr>
          <w:rFonts w:ascii="Book Antiqua" w:hAnsi="Book Antiqua"/>
          <w:i/>
          <w:color w:val="000000" w:themeColor="text1"/>
          <w:sz w:val="24"/>
          <w:szCs w:val="24"/>
        </w:rPr>
        <w:t>JAMA</w:t>
      </w:r>
      <w:r w:rsidRPr="00011E8F">
        <w:rPr>
          <w:rFonts w:ascii="Book Antiqua" w:hAnsi="Book Antiqua"/>
          <w:color w:val="000000" w:themeColor="text1"/>
          <w:sz w:val="24"/>
          <w:szCs w:val="24"/>
        </w:rPr>
        <w:t xml:space="preserve"> 2013; </w:t>
      </w:r>
      <w:r w:rsidRPr="00011E8F">
        <w:rPr>
          <w:rFonts w:ascii="Book Antiqua" w:hAnsi="Book Antiqua"/>
          <w:b/>
          <w:color w:val="000000" w:themeColor="text1"/>
          <w:sz w:val="24"/>
          <w:szCs w:val="24"/>
        </w:rPr>
        <w:t>309</w:t>
      </w:r>
      <w:r w:rsidRPr="00011E8F">
        <w:rPr>
          <w:rFonts w:ascii="Book Antiqua" w:hAnsi="Book Antiqua"/>
          <w:color w:val="000000" w:themeColor="text1"/>
          <w:sz w:val="24"/>
          <w:szCs w:val="24"/>
        </w:rPr>
        <w:t>: 1599-1606 [PMID: 23592104 DOI: 10.1001/jama.2013.2773]</w:t>
      </w:r>
    </w:p>
    <w:p w14:paraId="1763B5C4" w14:textId="77777777" w:rsidR="00675B56" w:rsidRPr="00011E8F" w:rsidRDefault="00675B56" w:rsidP="00FC61F7">
      <w:pPr>
        <w:snapToGrid w:val="0"/>
        <w:spacing w:after="0" w:line="360" w:lineRule="auto"/>
        <w:jc w:val="both"/>
        <w:rPr>
          <w:rFonts w:ascii="Book Antiqua" w:hAnsi="Book Antiqua"/>
          <w:color w:val="000000" w:themeColor="text1"/>
          <w:sz w:val="24"/>
          <w:szCs w:val="24"/>
        </w:rPr>
      </w:pPr>
      <w:r w:rsidRPr="00011E8F">
        <w:rPr>
          <w:rFonts w:ascii="Book Antiqua" w:hAnsi="Book Antiqua"/>
          <w:color w:val="000000" w:themeColor="text1"/>
          <w:sz w:val="24"/>
          <w:szCs w:val="24"/>
        </w:rPr>
        <w:t xml:space="preserve">18 </w:t>
      </w:r>
      <w:r w:rsidRPr="00011E8F">
        <w:rPr>
          <w:rFonts w:ascii="Book Antiqua" w:hAnsi="Book Antiqua"/>
          <w:b/>
          <w:color w:val="000000" w:themeColor="text1"/>
          <w:sz w:val="24"/>
          <w:szCs w:val="24"/>
        </w:rPr>
        <w:t>Reinhardt UE</w:t>
      </w:r>
      <w:r w:rsidRPr="00011E8F">
        <w:rPr>
          <w:rFonts w:ascii="Book Antiqua" w:hAnsi="Book Antiqua"/>
          <w:color w:val="000000" w:themeColor="text1"/>
          <w:sz w:val="24"/>
          <w:szCs w:val="24"/>
        </w:rPr>
        <w:t xml:space="preserve">. Making surgical complications pay. </w:t>
      </w:r>
      <w:r w:rsidRPr="00011E8F">
        <w:rPr>
          <w:rFonts w:ascii="Book Antiqua" w:hAnsi="Book Antiqua"/>
          <w:i/>
          <w:color w:val="000000" w:themeColor="text1"/>
          <w:sz w:val="24"/>
          <w:szCs w:val="24"/>
        </w:rPr>
        <w:t>JAMA</w:t>
      </w:r>
      <w:r w:rsidRPr="00011E8F">
        <w:rPr>
          <w:rFonts w:ascii="Book Antiqua" w:hAnsi="Book Antiqua"/>
          <w:color w:val="000000" w:themeColor="text1"/>
          <w:sz w:val="24"/>
          <w:szCs w:val="24"/>
        </w:rPr>
        <w:t xml:space="preserve"> 2013; </w:t>
      </w:r>
      <w:r w:rsidRPr="00011E8F">
        <w:rPr>
          <w:rFonts w:ascii="Book Antiqua" w:hAnsi="Book Antiqua"/>
          <w:b/>
          <w:color w:val="000000" w:themeColor="text1"/>
          <w:sz w:val="24"/>
          <w:szCs w:val="24"/>
        </w:rPr>
        <w:t>309</w:t>
      </w:r>
      <w:r w:rsidRPr="00011E8F">
        <w:rPr>
          <w:rFonts w:ascii="Book Antiqua" w:hAnsi="Book Antiqua"/>
          <w:color w:val="000000" w:themeColor="text1"/>
          <w:sz w:val="24"/>
          <w:szCs w:val="24"/>
        </w:rPr>
        <w:t>: 1634-1635 [PMID: 23592109 DOI: 10.1001/jama.2013.3451]</w:t>
      </w:r>
    </w:p>
    <w:p w14:paraId="6740DCF8" w14:textId="77777777" w:rsidR="00675B56" w:rsidRPr="00011E8F" w:rsidRDefault="00675B56" w:rsidP="00FC61F7">
      <w:pPr>
        <w:snapToGrid w:val="0"/>
        <w:spacing w:after="0" w:line="360" w:lineRule="auto"/>
        <w:jc w:val="both"/>
        <w:rPr>
          <w:rFonts w:ascii="Book Antiqua" w:hAnsi="Book Antiqua"/>
          <w:color w:val="000000" w:themeColor="text1"/>
          <w:sz w:val="24"/>
          <w:szCs w:val="24"/>
        </w:rPr>
      </w:pPr>
      <w:r w:rsidRPr="00011E8F">
        <w:rPr>
          <w:rFonts w:ascii="Book Antiqua" w:hAnsi="Book Antiqua"/>
          <w:color w:val="000000" w:themeColor="text1"/>
          <w:sz w:val="24"/>
          <w:szCs w:val="24"/>
        </w:rPr>
        <w:t xml:space="preserve">19 </w:t>
      </w:r>
      <w:r w:rsidRPr="00011E8F">
        <w:rPr>
          <w:rFonts w:ascii="Book Antiqua" w:hAnsi="Book Antiqua"/>
          <w:b/>
          <w:color w:val="000000" w:themeColor="text1"/>
          <w:sz w:val="24"/>
          <w:szCs w:val="24"/>
        </w:rPr>
        <w:t>Dindo D</w:t>
      </w:r>
      <w:r w:rsidRPr="00011E8F">
        <w:rPr>
          <w:rFonts w:ascii="Book Antiqua" w:hAnsi="Book Antiqua"/>
          <w:color w:val="000000" w:themeColor="text1"/>
          <w:sz w:val="24"/>
          <w:szCs w:val="24"/>
        </w:rPr>
        <w:t xml:space="preserve">, Demartines N, Clavien PA. Classification of surgical complications: a new proposal with evaluation in a cohort of 6336 patients and results of a survey. </w:t>
      </w:r>
      <w:r w:rsidRPr="00011E8F">
        <w:rPr>
          <w:rFonts w:ascii="Book Antiqua" w:hAnsi="Book Antiqua"/>
          <w:i/>
          <w:color w:val="000000" w:themeColor="text1"/>
          <w:sz w:val="24"/>
          <w:szCs w:val="24"/>
        </w:rPr>
        <w:t>Ann Surg</w:t>
      </w:r>
      <w:r w:rsidRPr="00011E8F">
        <w:rPr>
          <w:rFonts w:ascii="Book Antiqua" w:hAnsi="Book Antiqua"/>
          <w:color w:val="000000" w:themeColor="text1"/>
          <w:sz w:val="24"/>
          <w:szCs w:val="24"/>
        </w:rPr>
        <w:t xml:space="preserve"> 2004; </w:t>
      </w:r>
      <w:r w:rsidRPr="00011E8F">
        <w:rPr>
          <w:rFonts w:ascii="Book Antiqua" w:hAnsi="Book Antiqua"/>
          <w:b/>
          <w:color w:val="000000" w:themeColor="text1"/>
          <w:sz w:val="24"/>
          <w:szCs w:val="24"/>
        </w:rPr>
        <w:t>240</w:t>
      </w:r>
      <w:r w:rsidRPr="00011E8F">
        <w:rPr>
          <w:rFonts w:ascii="Book Antiqua" w:hAnsi="Book Antiqua"/>
          <w:color w:val="000000" w:themeColor="text1"/>
          <w:sz w:val="24"/>
          <w:szCs w:val="24"/>
        </w:rPr>
        <w:t>: 205-213 [PMID: 15273542 DOI: 10.1097/01.sla.0000133083.54934.ae]</w:t>
      </w:r>
    </w:p>
    <w:p w14:paraId="3E69FBD9" w14:textId="77777777" w:rsidR="00675B56" w:rsidRPr="00011E8F" w:rsidRDefault="00675B56" w:rsidP="00FC61F7">
      <w:pPr>
        <w:snapToGrid w:val="0"/>
        <w:spacing w:after="0" w:line="360" w:lineRule="auto"/>
        <w:jc w:val="both"/>
        <w:rPr>
          <w:rFonts w:ascii="Book Antiqua" w:hAnsi="Book Antiqua"/>
          <w:color w:val="000000" w:themeColor="text1"/>
          <w:sz w:val="24"/>
          <w:szCs w:val="24"/>
        </w:rPr>
      </w:pPr>
      <w:r w:rsidRPr="00011E8F">
        <w:rPr>
          <w:rFonts w:ascii="Book Antiqua" w:hAnsi="Book Antiqua"/>
          <w:color w:val="000000" w:themeColor="text1"/>
          <w:sz w:val="24"/>
          <w:szCs w:val="24"/>
        </w:rPr>
        <w:t xml:space="preserve">20 </w:t>
      </w:r>
      <w:r w:rsidRPr="00011E8F">
        <w:rPr>
          <w:rFonts w:ascii="Book Antiqua" w:hAnsi="Book Antiqua"/>
          <w:b/>
          <w:color w:val="000000" w:themeColor="text1"/>
          <w:sz w:val="24"/>
          <w:szCs w:val="24"/>
        </w:rPr>
        <w:t>Clavien PA</w:t>
      </w:r>
      <w:r w:rsidRPr="00011E8F">
        <w:rPr>
          <w:rFonts w:ascii="Book Antiqua" w:hAnsi="Book Antiqua"/>
          <w:color w:val="000000" w:themeColor="text1"/>
          <w:sz w:val="24"/>
          <w:szCs w:val="24"/>
        </w:rPr>
        <w:t xml:space="preserve">, Sanabria JR, Strasberg SM. Proposed classification of complications of surgery with examples of utility in cholecystectomy. </w:t>
      </w:r>
      <w:r w:rsidRPr="00011E8F">
        <w:rPr>
          <w:rFonts w:ascii="Book Antiqua" w:hAnsi="Book Antiqua"/>
          <w:i/>
          <w:color w:val="000000" w:themeColor="text1"/>
          <w:sz w:val="24"/>
          <w:szCs w:val="24"/>
        </w:rPr>
        <w:t>Surgery</w:t>
      </w:r>
      <w:r w:rsidRPr="00011E8F">
        <w:rPr>
          <w:rFonts w:ascii="Book Antiqua" w:hAnsi="Book Antiqua"/>
          <w:color w:val="000000" w:themeColor="text1"/>
          <w:sz w:val="24"/>
          <w:szCs w:val="24"/>
        </w:rPr>
        <w:t xml:space="preserve"> 1992; </w:t>
      </w:r>
      <w:r w:rsidRPr="00011E8F">
        <w:rPr>
          <w:rFonts w:ascii="Book Antiqua" w:hAnsi="Book Antiqua"/>
          <w:b/>
          <w:color w:val="000000" w:themeColor="text1"/>
          <w:sz w:val="24"/>
          <w:szCs w:val="24"/>
        </w:rPr>
        <w:t>111</w:t>
      </w:r>
      <w:r w:rsidRPr="00011E8F">
        <w:rPr>
          <w:rFonts w:ascii="Book Antiqua" w:hAnsi="Book Antiqua"/>
          <w:color w:val="000000" w:themeColor="text1"/>
          <w:sz w:val="24"/>
          <w:szCs w:val="24"/>
        </w:rPr>
        <w:t>: 518-526 [PMID: 1598671]</w:t>
      </w:r>
    </w:p>
    <w:p w14:paraId="02EF80F0" w14:textId="77777777" w:rsidR="00675B56" w:rsidRPr="00011E8F" w:rsidRDefault="00675B56" w:rsidP="00FC61F7">
      <w:pPr>
        <w:snapToGrid w:val="0"/>
        <w:spacing w:after="0" w:line="360" w:lineRule="auto"/>
        <w:jc w:val="both"/>
        <w:rPr>
          <w:rFonts w:ascii="Book Antiqua" w:hAnsi="Book Antiqua"/>
          <w:color w:val="000000" w:themeColor="text1"/>
          <w:sz w:val="24"/>
          <w:szCs w:val="24"/>
        </w:rPr>
      </w:pPr>
      <w:r w:rsidRPr="00011E8F">
        <w:rPr>
          <w:rFonts w:ascii="Book Antiqua" w:hAnsi="Book Antiqua"/>
          <w:color w:val="000000" w:themeColor="text1"/>
          <w:sz w:val="24"/>
          <w:szCs w:val="24"/>
        </w:rPr>
        <w:t xml:space="preserve">21 </w:t>
      </w:r>
      <w:r w:rsidRPr="00011E8F">
        <w:rPr>
          <w:rFonts w:ascii="Book Antiqua" w:hAnsi="Book Antiqua"/>
          <w:b/>
          <w:color w:val="000000" w:themeColor="text1"/>
          <w:sz w:val="24"/>
          <w:szCs w:val="24"/>
        </w:rPr>
        <w:t>Clavien PA</w:t>
      </w:r>
      <w:r w:rsidRPr="00011E8F">
        <w:rPr>
          <w:rFonts w:ascii="Book Antiqua" w:hAnsi="Book Antiqua"/>
          <w:color w:val="000000" w:themeColor="text1"/>
          <w:sz w:val="24"/>
          <w:szCs w:val="24"/>
        </w:rPr>
        <w:t xml:space="preserve">, Barkun J, de Oliveira ML, Vauthey JN, Dindo D, Schulick RD, de Santibañes E, Pekolj J, Slankamenac K, Bassi C, Graf R, Vonlanthen R, Padbury R, Cameron JL, Makuuchi M. The Clavien-Dindo classification of surgical complications: five-year experience. </w:t>
      </w:r>
      <w:r w:rsidRPr="00011E8F">
        <w:rPr>
          <w:rFonts w:ascii="Book Antiqua" w:hAnsi="Book Antiqua"/>
          <w:i/>
          <w:color w:val="000000" w:themeColor="text1"/>
          <w:sz w:val="24"/>
          <w:szCs w:val="24"/>
        </w:rPr>
        <w:t>Ann Surg</w:t>
      </w:r>
      <w:r w:rsidRPr="00011E8F">
        <w:rPr>
          <w:rFonts w:ascii="Book Antiqua" w:hAnsi="Book Antiqua"/>
          <w:color w:val="000000" w:themeColor="text1"/>
          <w:sz w:val="24"/>
          <w:szCs w:val="24"/>
        </w:rPr>
        <w:t xml:space="preserve"> 2009; </w:t>
      </w:r>
      <w:r w:rsidRPr="00011E8F">
        <w:rPr>
          <w:rFonts w:ascii="Book Antiqua" w:hAnsi="Book Antiqua"/>
          <w:b/>
          <w:color w:val="000000" w:themeColor="text1"/>
          <w:sz w:val="24"/>
          <w:szCs w:val="24"/>
        </w:rPr>
        <w:t>250</w:t>
      </w:r>
      <w:r w:rsidRPr="00011E8F">
        <w:rPr>
          <w:rFonts w:ascii="Book Antiqua" w:hAnsi="Book Antiqua"/>
          <w:color w:val="000000" w:themeColor="text1"/>
          <w:sz w:val="24"/>
          <w:szCs w:val="24"/>
        </w:rPr>
        <w:t>: 187-196 [PMID: 19638912 DOI: 10.1097/SLA.0b013e3181b13ca2]</w:t>
      </w:r>
    </w:p>
    <w:p w14:paraId="39322724" w14:textId="44CA1F66" w:rsidR="00675B56" w:rsidRPr="00011E8F" w:rsidRDefault="00675B56" w:rsidP="00FC61F7">
      <w:pPr>
        <w:snapToGrid w:val="0"/>
        <w:spacing w:after="0" w:line="360" w:lineRule="auto"/>
        <w:jc w:val="both"/>
        <w:rPr>
          <w:rFonts w:ascii="Book Antiqua" w:hAnsi="Book Antiqua"/>
          <w:color w:val="000000" w:themeColor="text1"/>
          <w:sz w:val="24"/>
          <w:szCs w:val="24"/>
        </w:rPr>
      </w:pPr>
      <w:r w:rsidRPr="00011E8F">
        <w:rPr>
          <w:rFonts w:ascii="Book Antiqua" w:hAnsi="Book Antiqua"/>
          <w:color w:val="000000" w:themeColor="text1"/>
          <w:sz w:val="24"/>
          <w:szCs w:val="24"/>
          <w:highlight w:val="yellow"/>
        </w:rPr>
        <w:t xml:space="preserve">22 </w:t>
      </w:r>
      <w:r w:rsidRPr="00011E8F">
        <w:rPr>
          <w:rFonts w:ascii="Book Antiqua" w:hAnsi="Book Antiqua"/>
          <w:bCs/>
          <w:color w:val="000000" w:themeColor="text1"/>
          <w:sz w:val="24"/>
          <w:szCs w:val="24"/>
          <w:highlight w:val="yellow"/>
        </w:rPr>
        <w:t>Classification of Surgical Complications Overview of attention for article published in Annals of Surgery,</w:t>
      </w:r>
      <w:r w:rsidRPr="00011E8F">
        <w:rPr>
          <w:rFonts w:ascii="Book Antiqua" w:hAnsi="Book Antiqua"/>
          <w:color w:val="000000" w:themeColor="text1"/>
          <w:sz w:val="24"/>
          <w:szCs w:val="24"/>
          <w:highlight w:val="yellow"/>
        </w:rPr>
        <w:t xml:space="preserve"> August 2004. Wolters Kluwer, Artic. Metrics [cited 2019 Dec 27]</w:t>
      </w:r>
      <w:r w:rsidR="008179C1" w:rsidRPr="00011E8F">
        <w:rPr>
          <w:rFonts w:ascii="Book Antiqua" w:hAnsi="Book Antiqua"/>
          <w:color w:val="000000" w:themeColor="text1"/>
          <w:sz w:val="24"/>
          <w:szCs w:val="24"/>
          <w:highlight w:val="yellow"/>
          <w:lang w:eastAsia="zh-CN"/>
        </w:rPr>
        <w:t>.</w:t>
      </w:r>
      <w:r w:rsidR="00FC61F7" w:rsidRPr="00011E8F">
        <w:rPr>
          <w:rFonts w:ascii="Book Antiqua" w:hAnsi="Book Antiqua"/>
          <w:color w:val="000000" w:themeColor="text1"/>
          <w:sz w:val="24"/>
          <w:szCs w:val="24"/>
          <w:highlight w:val="yellow"/>
        </w:rPr>
        <w:t xml:space="preserve"> </w:t>
      </w:r>
      <w:r w:rsidRPr="00011E8F">
        <w:rPr>
          <w:rFonts w:ascii="Book Antiqua" w:hAnsi="Book Antiqua"/>
          <w:color w:val="000000" w:themeColor="text1"/>
          <w:sz w:val="24"/>
          <w:szCs w:val="24"/>
          <w:highlight w:val="yellow"/>
        </w:rPr>
        <w:t xml:space="preserve">Available from: </w:t>
      </w:r>
      <w:r w:rsidR="00BA136A">
        <w:rPr>
          <w:rFonts w:ascii="Book Antiqua" w:hAnsi="Book Antiqua"/>
          <w:color w:val="000000" w:themeColor="text1"/>
          <w:sz w:val="24"/>
          <w:szCs w:val="24"/>
          <w:highlight w:val="yellow"/>
        </w:rPr>
        <w:fldChar w:fldCharType="begin"/>
      </w:r>
      <w:r w:rsidR="00BA136A">
        <w:rPr>
          <w:rFonts w:ascii="Book Antiqua" w:hAnsi="Book Antiqua"/>
          <w:color w:val="000000" w:themeColor="text1"/>
          <w:sz w:val="24"/>
          <w:szCs w:val="24"/>
          <w:highlight w:val="yellow"/>
        </w:rPr>
        <w:instrText xml:space="preserve"> HYPERLINK "</w:instrText>
      </w:r>
      <w:r w:rsidR="00BA136A" w:rsidRPr="00011E8F">
        <w:rPr>
          <w:rFonts w:ascii="Book Antiqua" w:hAnsi="Book Antiqua"/>
          <w:color w:val="000000" w:themeColor="text1"/>
          <w:sz w:val="24"/>
          <w:szCs w:val="24"/>
          <w:highlight w:val="yellow"/>
        </w:rPr>
        <w:instrText>https://wolterskluwer.altmetric.com/details/4800046/citations</w:instrText>
      </w:r>
      <w:r w:rsidR="00BA136A">
        <w:rPr>
          <w:rFonts w:ascii="Book Antiqua" w:hAnsi="Book Antiqua"/>
          <w:color w:val="000000" w:themeColor="text1"/>
          <w:sz w:val="24"/>
          <w:szCs w:val="24"/>
          <w:highlight w:val="yellow"/>
        </w:rPr>
        <w:instrText xml:space="preserve">" </w:instrText>
      </w:r>
      <w:r w:rsidR="00BA136A">
        <w:rPr>
          <w:rFonts w:ascii="Book Antiqua" w:hAnsi="Book Antiqua"/>
          <w:color w:val="000000" w:themeColor="text1"/>
          <w:sz w:val="24"/>
          <w:szCs w:val="24"/>
          <w:highlight w:val="yellow"/>
        </w:rPr>
        <w:fldChar w:fldCharType="separate"/>
      </w:r>
      <w:r w:rsidR="00BA136A" w:rsidRPr="00D976DB">
        <w:rPr>
          <w:rStyle w:val="af1"/>
          <w:rFonts w:ascii="Book Antiqua" w:hAnsi="Book Antiqua"/>
          <w:sz w:val="24"/>
          <w:szCs w:val="24"/>
          <w:highlight w:val="yellow"/>
        </w:rPr>
        <w:t>https://wolterskluwer.altmetric.com/details/4800046/citations</w:t>
      </w:r>
      <w:r w:rsidR="00BA136A">
        <w:rPr>
          <w:rFonts w:ascii="Book Antiqua" w:hAnsi="Book Antiqua"/>
          <w:color w:val="000000" w:themeColor="text1"/>
          <w:sz w:val="24"/>
          <w:szCs w:val="24"/>
          <w:highlight w:val="yellow"/>
        </w:rPr>
        <w:fldChar w:fldCharType="end"/>
      </w:r>
      <w:r w:rsidR="00BA136A">
        <w:rPr>
          <w:rFonts w:ascii="Book Antiqua" w:hAnsi="Book Antiqua"/>
          <w:color w:val="000000" w:themeColor="text1"/>
          <w:sz w:val="24"/>
          <w:szCs w:val="24"/>
        </w:rPr>
        <w:t xml:space="preserve"> </w:t>
      </w:r>
    </w:p>
    <w:p w14:paraId="54147382" w14:textId="77777777" w:rsidR="00675B56" w:rsidRPr="00011E8F" w:rsidRDefault="00675B56" w:rsidP="00FC61F7">
      <w:pPr>
        <w:snapToGrid w:val="0"/>
        <w:spacing w:after="0" w:line="360" w:lineRule="auto"/>
        <w:jc w:val="both"/>
        <w:rPr>
          <w:rFonts w:ascii="Book Antiqua" w:hAnsi="Book Antiqua"/>
          <w:color w:val="000000" w:themeColor="text1"/>
          <w:sz w:val="24"/>
          <w:szCs w:val="24"/>
        </w:rPr>
      </w:pPr>
      <w:r w:rsidRPr="00011E8F">
        <w:rPr>
          <w:rFonts w:ascii="Book Antiqua" w:hAnsi="Book Antiqua"/>
          <w:color w:val="000000" w:themeColor="text1"/>
          <w:sz w:val="24"/>
          <w:szCs w:val="24"/>
        </w:rPr>
        <w:t xml:space="preserve">23 </w:t>
      </w:r>
      <w:r w:rsidRPr="00011E8F">
        <w:rPr>
          <w:rFonts w:ascii="Book Antiqua" w:hAnsi="Book Antiqua"/>
          <w:b/>
          <w:color w:val="000000" w:themeColor="text1"/>
          <w:sz w:val="24"/>
          <w:szCs w:val="24"/>
        </w:rPr>
        <w:t>Clavien PA</w:t>
      </w:r>
      <w:r w:rsidRPr="00011E8F">
        <w:rPr>
          <w:rFonts w:ascii="Book Antiqua" w:hAnsi="Book Antiqua"/>
          <w:color w:val="000000" w:themeColor="text1"/>
          <w:sz w:val="24"/>
          <w:szCs w:val="24"/>
        </w:rPr>
        <w:t xml:space="preserve">, Vetter D, Staiger RD, Slankamenac K, Mehra T, Graf R, Puhan MA. The Comprehensive Complication Index (CCI®): Added Value and Clinical </w:t>
      </w:r>
      <w:r w:rsidRPr="00011E8F">
        <w:rPr>
          <w:rFonts w:ascii="Book Antiqua" w:hAnsi="Book Antiqua"/>
          <w:color w:val="000000" w:themeColor="text1"/>
          <w:sz w:val="24"/>
          <w:szCs w:val="24"/>
        </w:rPr>
        <w:lastRenderedPageBreak/>
        <w:t xml:space="preserve">Perspectives 3 Years "Down the Line". </w:t>
      </w:r>
      <w:r w:rsidRPr="00011E8F">
        <w:rPr>
          <w:rFonts w:ascii="Book Antiqua" w:hAnsi="Book Antiqua"/>
          <w:i/>
          <w:color w:val="000000" w:themeColor="text1"/>
          <w:sz w:val="24"/>
          <w:szCs w:val="24"/>
        </w:rPr>
        <w:t>Ann Surg</w:t>
      </w:r>
      <w:r w:rsidRPr="00011E8F">
        <w:rPr>
          <w:rFonts w:ascii="Book Antiqua" w:hAnsi="Book Antiqua"/>
          <w:color w:val="000000" w:themeColor="text1"/>
          <w:sz w:val="24"/>
          <w:szCs w:val="24"/>
        </w:rPr>
        <w:t xml:space="preserve"> 2017; </w:t>
      </w:r>
      <w:r w:rsidRPr="00011E8F">
        <w:rPr>
          <w:rFonts w:ascii="Book Antiqua" w:hAnsi="Book Antiqua"/>
          <w:b/>
          <w:color w:val="000000" w:themeColor="text1"/>
          <w:sz w:val="24"/>
          <w:szCs w:val="24"/>
        </w:rPr>
        <w:t>265</w:t>
      </w:r>
      <w:r w:rsidRPr="00011E8F">
        <w:rPr>
          <w:rFonts w:ascii="Book Antiqua" w:hAnsi="Book Antiqua"/>
          <w:color w:val="000000" w:themeColor="text1"/>
          <w:sz w:val="24"/>
          <w:szCs w:val="24"/>
        </w:rPr>
        <w:t>: 1045-1050 [PMID: 28486288 DOI: 10.1097/SLA.0000000000002132]</w:t>
      </w:r>
    </w:p>
    <w:p w14:paraId="2FA0347E" w14:textId="77777777" w:rsidR="00675B56" w:rsidRPr="00011E8F" w:rsidRDefault="00675B56" w:rsidP="00FC61F7">
      <w:pPr>
        <w:snapToGrid w:val="0"/>
        <w:spacing w:after="0" w:line="360" w:lineRule="auto"/>
        <w:jc w:val="both"/>
        <w:rPr>
          <w:rFonts w:ascii="Book Antiqua" w:hAnsi="Book Antiqua"/>
          <w:color w:val="000000" w:themeColor="text1"/>
          <w:sz w:val="24"/>
          <w:szCs w:val="24"/>
        </w:rPr>
      </w:pPr>
      <w:r w:rsidRPr="00011E8F">
        <w:rPr>
          <w:rFonts w:ascii="Book Antiqua" w:hAnsi="Book Antiqua"/>
          <w:color w:val="000000" w:themeColor="text1"/>
          <w:sz w:val="24"/>
          <w:szCs w:val="24"/>
        </w:rPr>
        <w:t xml:space="preserve">24 </w:t>
      </w:r>
      <w:r w:rsidRPr="00011E8F">
        <w:rPr>
          <w:rFonts w:ascii="Book Antiqua" w:hAnsi="Book Antiqua"/>
          <w:b/>
          <w:color w:val="000000" w:themeColor="text1"/>
          <w:sz w:val="24"/>
          <w:szCs w:val="24"/>
        </w:rPr>
        <w:t>Slankamenac K</w:t>
      </w:r>
      <w:r w:rsidRPr="00011E8F">
        <w:rPr>
          <w:rFonts w:ascii="Book Antiqua" w:hAnsi="Book Antiqua"/>
          <w:color w:val="000000" w:themeColor="text1"/>
          <w:sz w:val="24"/>
          <w:szCs w:val="24"/>
        </w:rPr>
        <w:t xml:space="preserve">, Graf R, Barkun J, Puhan MA, Clavien PA. The comprehensive complication index: a novel continuous scale to measure surgical morbidity. </w:t>
      </w:r>
      <w:r w:rsidRPr="00011E8F">
        <w:rPr>
          <w:rFonts w:ascii="Book Antiqua" w:hAnsi="Book Antiqua"/>
          <w:i/>
          <w:color w:val="000000" w:themeColor="text1"/>
          <w:sz w:val="24"/>
          <w:szCs w:val="24"/>
        </w:rPr>
        <w:t>Ann Surg</w:t>
      </w:r>
      <w:r w:rsidRPr="00011E8F">
        <w:rPr>
          <w:rFonts w:ascii="Book Antiqua" w:hAnsi="Book Antiqua"/>
          <w:color w:val="000000" w:themeColor="text1"/>
          <w:sz w:val="24"/>
          <w:szCs w:val="24"/>
        </w:rPr>
        <w:t xml:space="preserve"> 2013; </w:t>
      </w:r>
      <w:r w:rsidRPr="00011E8F">
        <w:rPr>
          <w:rFonts w:ascii="Book Antiqua" w:hAnsi="Book Antiqua"/>
          <w:b/>
          <w:color w:val="000000" w:themeColor="text1"/>
          <w:sz w:val="24"/>
          <w:szCs w:val="24"/>
        </w:rPr>
        <w:t>258</w:t>
      </w:r>
      <w:r w:rsidRPr="00011E8F">
        <w:rPr>
          <w:rFonts w:ascii="Book Antiqua" w:hAnsi="Book Antiqua"/>
          <w:color w:val="000000" w:themeColor="text1"/>
          <w:sz w:val="24"/>
          <w:szCs w:val="24"/>
        </w:rPr>
        <w:t>: 1-7 [PMID: 23728278 DOI: 10.1097/SLA.0b013e318296c732]</w:t>
      </w:r>
    </w:p>
    <w:p w14:paraId="300A9FB0" w14:textId="77777777" w:rsidR="00675B56" w:rsidRPr="00011E8F" w:rsidRDefault="00675B56" w:rsidP="00FC61F7">
      <w:pPr>
        <w:snapToGrid w:val="0"/>
        <w:spacing w:after="0" w:line="360" w:lineRule="auto"/>
        <w:jc w:val="both"/>
        <w:rPr>
          <w:rFonts w:ascii="Book Antiqua" w:hAnsi="Book Antiqua"/>
          <w:color w:val="000000" w:themeColor="text1"/>
          <w:sz w:val="24"/>
          <w:szCs w:val="24"/>
        </w:rPr>
      </w:pPr>
      <w:r w:rsidRPr="00011E8F">
        <w:rPr>
          <w:rFonts w:ascii="Book Antiqua" w:hAnsi="Book Antiqua"/>
          <w:color w:val="000000" w:themeColor="text1"/>
          <w:sz w:val="24"/>
          <w:szCs w:val="24"/>
        </w:rPr>
        <w:t xml:space="preserve">25 </w:t>
      </w:r>
      <w:r w:rsidRPr="00011E8F">
        <w:rPr>
          <w:rFonts w:ascii="Book Antiqua" w:hAnsi="Book Antiqua"/>
          <w:b/>
          <w:color w:val="000000" w:themeColor="text1"/>
          <w:sz w:val="24"/>
          <w:szCs w:val="24"/>
        </w:rPr>
        <w:t>Garbens A</w:t>
      </w:r>
      <w:r w:rsidRPr="00011E8F">
        <w:rPr>
          <w:rFonts w:ascii="Book Antiqua" w:hAnsi="Book Antiqua"/>
          <w:color w:val="000000" w:themeColor="text1"/>
          <w:sz w:val="24"/>
          <w:szCs w:val="24"/>
        </w:rPr>
        <w:t xml:space="preserve">, Goldenberg M, Wallis CJD, Tricco A, Grantcharov TP. The cost of intraoperative adverse events in abdominal and pelvic surgery: A systematic review. </w:t>
      </w:r>
      <w:r w:rsidRPr="00011E8F">
        <w:rPr>
          <w:rFonts w:ascii="Book Antiqua" w:hAnsi="Book Antiqua"/>
          <w:i/>
          <w:color w:val="000000" w:themeColor="text1"/>
          <w:sz w:val="24"/>
          <w:szCs w:val="24"/>
        </w:rPr>
        <w:t>Am J Surg</w:t>
      </w:r>
      <w:r w:rsidRPr="00011E8F">
        <w:rPr>
          <w:rFonts w:ascii="Book Antiqua" w:hAnsi="Book Antiqua"/>
          <w:color w:val="000000" w:themeColor="text1"/>
          <w:sz w:val="24"/>
          <w:szCs w:val="24"/>
        </w:rPr>
        <w:t xml:space="preserve"> 2018; </w:t>
      </w:r>
      <w:r w:rsidRPr="00011E8F">
        <w:rPr>
          <w:rFonts w:ascii="Book Antiqua" w:hAnsi="Book Antiqua"/>
          <w:b/>
          <w:color w:val="000000" w:themeColor="text1"/>
          <w:sz w:val="24"/>
          <w:szCs w:val="24"/>
        </w:rPr>
        <w:t>215</w:t>
      </w:r>
      <w:r w:rsidRPr="00011E8F">
        <w:rPr>
          <w:rFonts w:ascii="Book Antiqua" w:hAnsi="Book Antiqua"/>
          <w:color w:val="000000" w:themeColor="text1"/>
          <w:sz w:val="24"/>
          <w:szCs w:val="24"/>
        </w:rPr>
        <w:t>: 163-170 [PMID: 28709625 DOI: 10.1016/j.amjsurg.2017.06.025]</w:t>
      </w:r>
    </w:p>
    <w:p w14:paraId="229CFB94" w14:textId="77777777" w:rsidR="00675B56" w:rsidRPr="00011E8F" w:rsidRDefault="00675B56" w:rsidP="00FC61F7">
      <w:pPr>
        <w:snapToGrid w:val="0"/>
        <w:spacing w:after="0" w:line="360" w:lineRule="auto"/>
        <w:jc w:val="both"/>
        <w:rPr>
          <w:rFonts w:ascii="Book Antiqua" w:hAnsi="Book Antiqua"/>
          <w:color w:val="000000" w:themeColor="text1"/>
          <w:sz w:val="24"/>
          <w:szCs w:val="24"/>
        </w:rPr>
      </w:pPr>
      <w:r w:rsidRPr="00011E8F">
        <w:rPr>
          <w:rFonts w:ascii="Book Antiqua" w:hAnsi="Book Antiqua"/>
          <w:color w:val="000000" w:themeColor="text1"/>
          <w:sz w:val="24"/>
          <w:szCs w:val="24"/>
        </w:rPr>
        <w:t xml:space="preserve">26 </w:t>
      </w:r>
      <w:r w:rsidRPr="00011E8F">
        <w:rPr>
          <w:rFonts w:ascii="Book Antiqua" w:hAnsi="Book Antiqua"/>
          <w:b/>
          <w:color w:val="000000" w:themeColor="text1"/>
          <w:sz w:val="24"/>
          <w:szCs w:val="24"/>
        </w:rPr>
        <w:t>Rosenthal R</w:t>
      </w:r>
      <w:r w:rsidRPr="00011E8F">
        <w:rPr>
          <w:rFonts w:ascii="Book Antiqua" w:hAnsi="Book Antiqua"/>
          <w:color w:val="000000" w:themeColor="text1"/>
          <w:sz w:val="24"/>
          <w:szCs w:val="24"/>
        </w:rPr>
        <w:t xml:space="preserve">, Hoffmann H, Clavien PA, Bucher HC, Dell-Kuster S. Definition and Classification of Intraoperative Complications (CLASSIC): Delphi Study and Pilot Evaluation. </w:t>
      </w:r>
      <w:r w:rsidRPr="00011E8F">
        <w:rPr>
          <w:rFonts w:ascii="Book Antiqua" w:hAnsi="Book Antiqua"/>
          <w:i/>
          <w:color w:val="000000" w:themeColor="text1"/>
          <w:sz w:val="24"/>
          <w:szCs w:val="24"/>
        </w:rPr>
        <w:t>World J Surg</w:t>
      </w:r>
      <w:r w:rsidRPr="00011E8F">
        <w:rPr>
          <w:rFonts w:ascii="Book Antiqua" w:hAnsi="Book Antiqua"/>
          <w:color w:val="000000" w:themeColor="text1"/>
          <w:sz w:val="24"/>
          <w:szCs w:val="24"/>
        </w:rPr>
        <w:t xml:space="preserve"> 2015; </w:t>
      </w:r>
      <w:r w:rsidRPr="00011E8F">
        <w:rPr>
          <w:rFonts w:ascii="Book Antiqua" w:hAnsi="Book Antiqua"/>
          <w:b/>
          <w:color w:val="000000" w:themeColor="text1"/>
          <w:sz w:val="24"/>
          <w:szCs w:val="24"/>
        </w:rPr>
        <w:t>39</w:t>
      </w:r>
      <w:r w:rsidRPr="00011E8F">
        <w:rPr>
          <w:rFonts w:ascii="Book Antiqua" w:hAnsi="Book Antiqua"/>
          <w:color w:val="000000" w:themeColor="text1"/>
          <w:sz w:val="24"/>
          <w:szCs w:val="24"/>
        </w:rPr>
        <w:t>: 1663-1671 [PMID: 25665678 DOI: 10.1007/s00268-015-3003-y]</w:t>
      </w:r>
    </w:p>
    <w:p w14:paraId="7B6C3208" w14:textId="3500350B" w:rsidR="00675B56" w:rsidRPr="00011E8F" w:rsidRDefault="00675B56" w:rsidP="00FC61F7">
      <w:pPr>
        <w:snapToGrid w:val="0"/>
        <w:spacing w:after="0" w:line="360" w:lineRule="auto"/>
        <w:jc w:val="both"/>
        <w:rPr>
          <w:rFonts w:ascii="Book Antiqua" w:hAnsi="Book Antiqua"/>
          <w:color w:val="000000" w:themeColor="text1"/>
          <w:sz w:val="24"/>
          <w:szCs w:val="24"/>
        </w:rPr>
      </w:pPr>
      <w:r w:rsidRPr="00011E8F">
        <w:rPr>
          <w:rFonts w:ascii="Book Antiqua" w:hAnsi="Book Antiqua"/>
          <w:color w:val="000000" w:themeColor="text1"/>
          <w:sz w:val="24"/>
          <w:szCs w:val="24"/>
          <w:highlight w:val="yellow"/>
        </w:rPr>
        <w:t xml:space="preserve">27 </w:t>
      </w:r>
      <w:r w:rsidRPr="00011E8F">
        <w:rPr>
          <w:rFonts w:ascii="Book Antiqua" w:hAnsi="Book Antiqua"/>
          <w:b/>
          <w:color w:val="000000" w:themeColor="text1"/>
          <w:sz w:val="24"/>
          <w:szCs w:val="24"/>
          <w:highlight w:val="yellow"/>
        </w:rPr>
        <w:t>Drummond MF,</w:t>
      </w:r>
      <w:r w:rsidRPr="00011E8F">
        <w:rPr>
          <w:rFonts w:ascii="Book Antiqua" w:hAnsi="Book Antiqua"/>
          <w:color w:val="000000" w:themeColor="text1"/>
          <w:sz w:val="24"/>
          <w:szCs w:val="24"/>
          <w:highlight w:val="yellow"/>
        </w:rPr>
        <w:t xml:space="preserve"> Sculpher MJ, Claxton K, Stoddart GL, Torrance GW. Methods for the economic evaluation of health care programmes. 4th ed. Oxford: Oxford University Press; 2015</w:t>
      </w:r>
    </w:p>
    <w:p w14:paraId="00C851E0" w14:textId="77777777" w:rsidR="00675B56" w:rsidRPr="00011E8F" w:rsidRDefault="00675B56" w:rsidP="00FC61F7">
      <w:pPr>
        <w:snapToGrid w:val="0"/>
        <w:spacing w:after="0" w:line="360" w:lineRule="auto"/>
        <w:jc w:val="both"/>
        <w:rPr>
          <w:rFonts w:ascii="Book Antiqua" w:hAnsi="Book Antiqua"/>
          <w:color w:val="000000" w:themeColor="text1"/>
          <w:sz w:val="24"/>
          <w:szCs w:val="24"/>
        </w:rPr>
      </w:pPr>
      <w:r w:rsidRPr="00011E8F">
        <w:rPr>
          <w:rFonts w:ascii="Book Antiqua" w:hAnsi="Book Antiqua"/>
          <w:color w:val="000000" w:themeColor="text1"/>
          <w:sz w:val="24"/>
          <w:szCs w:val="24"/>
        </w:rPr>
        <w:t xml:space="preserve">28 </w:t>
      </w:r>
      <w:r w:rsidRPr="00011E8F">
        <w:rPr>
          <w:rFonts w:ascii="Book Antiqua" w:hAnsi="Book Antiqua"/>
          <w:b/>
          <w:color w:val="000000" w:themeColor="text1"/>
          <w:sz w:val="24"/>
          <w:szCs w:val="24"/>
        </w:rPr>
        <w:t>Taheri PA</w:t>
      </w:r>
      <w:r w:rsidRPr="00011E8F">
        <w:rPr>
          <w:rFonts w:ascii="Book Antiqua" w:hAnsi="Book Antiqua"/>
          <w:color w:val="000000" w:themeColor="text1"/>
          <w:sz w:val="24"/>
          <w:szCs w:val="24"/>
        </w:rPr>
        <w:t xml:space="preserve">, Butz DA, Greenfield LJ. Length of stay has minimal impact on the cost of hospital admission. </w:t>
      </w:r>
      <w:r w:rsidRPr="00011E8F">
        <w:rPr>
          <w:rFonts w:ascii="Book Antiqua" w:hAnsi="Book Antiqua"/>
          <w:i/>
          <w:color w:val="000000" w:themeColor="text1"/>
          <w:sz w:val="24"/>
          <w:szCs w:val="24"/>
        </w:rPr>
        <w:t>J Am Coll Surg</w:t>
      </w:r>
      <w:r w:rsidRPr="00011E8F">
        <w:rPr>
          <w:rFonts w:ascii="Book Antiqua" w:hAnsi="Book Antiqua"/>
          <w:color w:val="000000" w:themeColor="text1"/>
          <w:sz w:val="24"/>
          <w:szCs w:val="24"/>
        </w:rPr>
        <w:t xml:space="preserve"> 2000; </w:t>
      </w:r>
      <w:r w:rsidRPr="00011E8F">
        <w:rPr>
          <w:rFonts w:ascii="Book Antiqua" w:hAnsi="Book Antiqua"/>
          <w:b/>
          <w:color w:val="000000" w:themeColor="text1"/>
          <w:sz w:val="24"/>
          <w:szCs w:val="24"/>
        </w:rPr>
        <w:t>191</w:t>
      </w:r>
      <w:r w:rsidRPr="00011E8F">
        <w:rPr>
          <w:rFonts w:ascii="Book Antiqua" w:hAnsi="Book Antiqua"/>
          <w:color w:val="000000" w:themeColor="text1"/>
          <w:sz w:val="24"/>
          <w:szCs w:val="24"/>
        </w:rPr>
        <w:t>: 123-130 [PMID: 10945354 DOI: 10.1016/s1072-7515(00)00352-5]</w:t>
      </w:r>
    </w:p>
    <w:p w14:paraId="1FF9A052" w14:textId="77777777" w:rsidR="00675B56" w:rsidRPr="00011E8F" w:rsidRDefault="00675B56" w:rsidP="00FC61F7">
      <w:pPr>
        <w:snapToGrid w:val="0"/>
        <w:spacing w:after="0" w:line="360" w:lineRule="auto"/>
        <w:jc w:val="both"/>
        <w:rPr>
          <w:rFonts w:ascii="Book Antiqua" w:hAnsi="Book Antiqua"/>
          <w:color w:val="000000" w:themeColor="text1"/>
          <w:sz w:val="24"/>
          <w:szCs w:val="24"/>
        </w:rPr>
      </w:pPr>
      <w:r w:rsidRPr="00011E8F">
        <w:rPr>
          <w:rFonts w:ascii="Book Antiqua" w:hAnsi="Book Antiqua"/>
          <w:color w:val="000000" w:themeColor="text1"/>
          <w:sz w:val="24"/>
          <w:szCs w:val="24"/>
        </w:rPr>
        <w:t xml:space="preserve">29 </w:t>
      </w:r>
      <w:r w:rsidRPr="00011E8F">
        <w:rPr>
          <w:rFonts w:ascii="Book Antiqua" w:hAnsi="Book Antiqua"/>
          <w:b/>
          <w:color w:val="000000" w:themeColor="text1"/>
          <w:sz w:val="24"/>
          <w:szCs w:val="24"/>
        </w:rPr>
        <w:t>de la Plaza Llamas R</w:t>
      </w:r>
      <w:r w:rsidRPr="00011E8F">
        <w:rPr>
          <w:rFonts w:ascii="Book Antiqua" w:hAnsi="Book Antiqua"/>
          <w:color w:val="000000" w:themeColor="text1"/>
          <w:sz w:val="24"/>
          <w:szCs w:val="24"/>
        </w:rPr>
        <w:t xml:space="preserve">, Gemio Del Rey IA, Ramia JM. Discrepancies in the analysis of frequency, type of complications and costs of outlying patients in general and digestive surgery. </w:t>
      </w:r>
      <w:r w:rsidRPr="00011E8F">
        <w:rPr>
          <w:rFonts w:ascii="Book Antiqua" w:hAnsi="Book Antiqua"/>
          <w:i/>
          <w:color w:val="000000" w:themeColor="text1"/>
          <w:sz w:val="24"/>
          <w:szCs w:val="24"/>
        </w:rPr>
        <w:t>Cir Esp</w:t>
      </w:r>
      <w:r w:rsidRPr="00011E8F">
        <w:rPr>
          <w:rFonts w:ascii="Book Antiqua" w:hAnsi="Book Antiqua"/>
          <w:color w:val="000000" w:themeColor="text1"/>
          <w:sz w:val="24"/>
          <w:szCs w:val="24"/>
        </w:rPr>
        <w:t xml:space="preserve"> 2019; </w:t>
      </w:r>
      <w:r w:rsidRPr="00011E8F">
        <w:rPr>
          <w:rFonts w:ascii="Book Antiqua" w:hAnsi="Book Antiqua"/>
          <w:b/>
          <w:color w:val="000000" w:themeColor="text1"/>
          <w:sz w:val="24"/>
          <w:szCs w:val="24"/>
        </w:rPr>
        <w:t>97</w:t>
      </w:r>
      <w:r w:rsidRPr="00011E8F">
        <w:rPr>
          <w:rFonts w:ascii="Book Antiqua" w:hAnsi="Book Antiqua"/>
          <w:color w:val="000000" w:themeColor="text1"/>
          <w:sz w:val="24"/>
          <w:szCs w:val="24"/>
        </w:rPr>
        <w:t>: 420-421 [PMID: 31103195 DOI: 10.1016/j.ciresp.2019.04.009]</w:t>
      </w:r>
    </w:p>
    <w:p w14:paraId="46882821" w14:textId="77777777" w:rsidR="00675B56" w:rsidRPr="00011E8F" w:rsidRDefault="00675B56" w:rsidP="00FC61F7">
      <w:pPr>
        <w:snapToGrid w:val="0"/>
        <w:spacing w:after="0" w:line="360" w:lineRule="auto"/>
        <w:jc w:val="both"/>
        <w:rPr>
          <w:rFonts w:ascii="Book Antiqua" w:hAnsi="Book Antiqua"/>
          <w:color w:val="000000" w:themeColor="text1"/>
          <w:sz w:val="24"/>
          <w:szCs w:val="24"/>
        </w:rPr>
      </w:pPr>
      <w:r w:rsidRPr="00011E8F">
        <w:rPr>
          <w:rFonts w:ascii="Book Antiqua" w:hAnsi="Book Antiqua"/>
          <w:color w:val="000000" w:themeColor="text1"/>
          <w:sz w:val="24"/>
          <w:szCs w:val="24"/>
        </w:rPr>
        <w:t xml:space="preserve">30 </w:t>
      </w:r>
      <w:r w:rsidRPr="00011E8F">
        <w:rPr>
          <w:rFonts w:ascii="Book Antiqua" w:hAnsi="Book Antiqua"/>
          <w:b/>
          <w:color w:val="000000" w:themeColor="text1"/>
          <w:sz w:val="24"/>
          <w:szCs w:val="24"/>
        </w:rPr>
        <w:t>Charlson ME</w:t>
      </w:r>
      <w:r w:rsidRPr="00011E8F">
        <w:rPr>
          <w:rFonts w:ascii="Book Antiqua" w:hAnsi="Book Antiqua"/>
          <w:color w:val="000000" w:themeColor="text1"/>
          <w:sz w:val="24"/>
          <w:szCs w:val="24"/>
        </w:rPr>
        <w:t xml:space="preserve">, Pompei P, Ales KL, MacKenzie CR. A new method of classifying prognostic comorbidity in longitudinal studies: development and validation. </w:t>
      </w:r>
      <w:r w:rsidRPr="00011E8F">
        <w:rPr>
          <w:rFonts w:ascii="Book Antiqua" w:hAnsi="Book Antiqua"/>
          <w:i/>
          <w:color w:val="000000" w:themeColor="text1"/>
          <w:sz w:val="24"/>
          <w:szCs w:val="24"/>
        </w:rPr>
        <w:t>J Chronic Dis</w:t>
      </w:r>
      <w:r w:rsidRPr="00011E8F">
        <w:rPr>
          <w:rFonts w:ascii="Book Antiqua" w:hAnsi="Book Antiqua"/>
          <w:color w:val="000000" w:themeColor="text1"/>
          <w:sz w:val="24"/>
          <w:szCs w:val="24"/>
        </w:rPr>
        <w:t xml:space="preserve"> 1987; </w:t>
      </w:r>
      <w:r w:rsidRPr="00011E8F">
        <w:rPr>
          <w:rFonts w:ascii="Book Antiqua" w:hAnsi="Book Antiqua"/>
          <w:b/>
          <w:color w:val="000000" w:themeColor="text1"/>
          <w:sz w:val="24"/>
          <w:szCs w:val="24"/>
        </w:rPr>
        <w:t>40</w:t>
      </w:r>
      <w:r w:rsidRPr="00011E8F">
        <w:rPr>
          <w:rFonts w:ascii="Book Antiqua" w:hAnsi="Book Antiqua"/>
          <w:color w:val="000000" w:themeColor="text1"/>
          <w:sz w:val="24"/>
          <w:szCs w:val="24"/>
        </w:rPr>
        <w:t>: 373-383 [PMID: 3558716]</w:t>
      </w:r>
    </w:p>
    <w:p w14:paraId="7078641F" w14:textId="77777777" w:rsidR="00675B56" w:rsidRPr="00011E8F" w:rsidRDefault="00675B56" w:rsidP="00FC61F7">
      <w:pPr>
        <w:snapToGrid w:val="0"/>
        <w:spacing w:after="0" w:line="360" w:lineRule="auto"/>
        <w:jc w:val="both"/>
        <w:rPr>
          <w:rFonts w:ascii="Book Antiqua" w:hAnsi="Book Antiqua"/>
          <w:color w:val="000000" w:themeColor="text1"/>
          <w:sz w:val="24"/>
          <w:szCs w:val="24"/>
        </w:rPr>
      </w:pPr>
      <w:r w:rsidRPr="00011E8F">
        <w:rPr>
          <w:rFonts w:ascii="Book Antiqua" w:hAnsi="Book Antiqua"/>
          <w:color w:val="000000" w:themeColor="text1"/>
          <w:sz w:val="24"/>
          <w:szCs w:val="24"/>
        </w:rPr>
        <w:t xml:space="preserve">31 </w:t>
      </w:r>
      <w:r w:rsidRPr="00011E8F">
        <w:rPr>
          <w:rFonts w:ascii="Book Antiqua" w:hAnsi="Book Antiqua"/>
          <w:b/>
          <w:color w:val="000000" w:themeColor="text1"/>
          <w:sz w:val="24"/>
          <w:szCs w:val="24"/>
        </w:rPr>
        <w:t>Husereau D</w:t>
      </w:r>
      <w:r w:rsidRPr="00011E8F">
        <w:rPr>
          <w:rFonts w:ascii="Book Antiqua" w:hAnsi="Book Antiqua"/>
          <w:color w:val="000000" w:themeColor="text1"/>
          <w:sz w:val="24"/>
          <w:szCs w:val="24"/>
        </w:rPr>
        <w:t xml:space="preserve">, Drummond M, Petrou S, Carswell C, Moher D, Greenberg D, Augustovski F, Briggs AH, Mauskopf J, Loder E; CHEERS Task Force. Consolidated Health Economic Evaluation Reporting Standards (CHEERS) statement. </w:t>
      </w:r>
      <w:r w:rsidRPr="00011E8F">
        <w:rPr>
          <w:rFonts w:ascii="Book Antiqua" w:hAnsi="Book Antiqua"/>
          <w:i/>
          <w:color w:val="000000" w:themeColor="text1"/>
          <w:sz w:val="24"/>
          <w:szCs w:val="24"/>
        </w:rPr>
        <w:t>Value Health</w:t>
      </w:r>
      <w:r w:rsidRPr="00011E8F">
        <w:rPr>
          <w:rFonts w:ascii="Book Antiqua" w:hAnsi="Book Antiqua"/>
          <w:color w:val="000000" w:themeColor="text1"/>
          <w:sz w:val="24"/>
          <w:szCs w:val="24"/>
        </w:rPr>
        <w:t xml:space="preserve"> 2013; </w:t>
      </w:r>
      <w:r w:rsidRPr="00011E8F">
        <w:rPr>
          <w:rFonts w:ascii="Book Antiqua" w:hAnsi="Book Antiqua"/>
          <w:b/>
          <w:color w:val="000000" w:themeColor="text1"/>
          <w:sz w:val="24"/>
          <w:szCs w:val="24"/>
        </w:rPr>
        <w:t>16</w:t>
      </w:r>
      <w:r w:rsidRPr="00011E8F">
        <w:rPr>
          <w:rFonts w:ascii="Book Antiqua" w:hAnsi="Book Antiqua"/>
          <w:color w:val="000000" w:themeColor="text1"/>
          <w:sz w:val="24"/>
          <w:szCs w:val="24"/>
        </w:rPr>
        <w:t>: e1-e5 [PMID: 23538200 DOI: 10.1016/j.jval.2013.02.010]</w:t>
      </w:r>
    </w:p>
    <w:p w14:paraId="55A5F198" w14:textId="77777777" w:rsidR="00675B56" w:rsidRPr="00011E8F" w:rsidRDefault="00675B56" w:rsidP="00FC61F7">
      <w:pPr>
        <w:snapToGrid w:val="0"/>
        <w:spacing w:after="0" w:line="360" w:lineRule="auto"/>
        <w:jc w:val="both"/>
        <w:rPr>
          <w:rFonts w:ascii="Book Antiqua" w:hAnsi="Book Antiqua"/>
          <w:color w:val="000000" w:themeColor="text1"/>
          <w:sz w:val="24"/>
          <w:szCs w:val="24"/>
        </w:rPr>
      </w:pPr>
      <w:r w:rsidRPr="00011E8F">
        <w:rPr>
          <w:rFonts w:ascii="Book Antiqua" w:hAnsi="Book Antiqua"/>
          <w:color w:val="000000" w:themeColor="text1"/>
          <w:sz w:val="24"/>
          <w:szCs w:val="24"/>
        </w:rPr>
        <w:t xml:space="preserve">32 </w:t>
      </w:r>
      <w:r w:rsidRPr="00011E8F">
        <w:rPr>
          <w:rFonts w:ascii="Book Antiqua" w:hAnsi="Book Antiqua"/>
          <w:b/>
          <w:color w:val="000000" w:themeColor="text1"/>
          <w:sz w:val="24"/>
          <w:szCs w:val="24"/>
        </w:rPr>
        <w:t>Wallenstein MR</w:t>
      </w:r>
      <w:r w:rsidRPr="00011E8F">
        <w:rPr>
          <w:rFonts w:ascii="Book Antiqua" w:hAnsi="Book Antiqua"/>
          <w:color w:val="000000" w:themeColor="text1"/>
          <w:sz w:val="24"/>
          <w:szCs w:val="24"/>
        </w:rPr>
        <w:t xml:space="preserve">, Ananth CV, Kim JH, Burke WM, Hershman DL, Lewin SN, Neugut AI, Lu YS, Herzog TJ, Wright JD. Effect of surgical volume on outcomes for </w:t>
      </w:r>
      <w:r w:rsidRPr="00011E8F">
        <w:rPr>
          <w:rFonts w:ascii="Book Antiqua" w:hAnsi="Book Antiqua"/>
          <w:color w:val="000000" w:themeColor="text1"/>
          <w:sz w:val="24"/>
          <w:szCs w:val="24"/>
        </w:rPr>
        <w:lastRenderedPageBreak/>
        <w:t xml:space="preserve">laparoscopic hysterectomy for benign indications. </w:t>
      </w:r>
      <w:r w:rsidRPr="00011E8F">
        <w:rPr>
          <w:rFonts w:ascii="Book Antiqua" w:hAnsi="Book Antiqua"/>
          <w:i/>
          <w:color w:val="000000" w:themeColor="text1"/>
          <w:sz w:val="24"/>
          <w:szCs w:val="24"/>
        </w:rPr>
        <w:t>Obstet Gynecol</w:t>
      </w:r>
      <w:r w:rsidRPr="00011E8F">
        <w:rPr>
          <w:rFonts w:ascii="Book Antiqua" w:hAnsi="Book Antiqua"/>
          <w:color w:val="000000" w:themeColor="text1"/>
          <w:sz w:val="24"/>
          <w:szCs w:val="24"/>
        </w:rPr>
        <w:t xml:space="preserve"> 2012; </w:t>
      </w:r>
      <w:r w:rsidRPr="00011E8F">
        <w:rPr>
          <w:rFonts w:ascii="Book Antiqua" w:hAnsi="Book Antiqua"/>
          <w:b/>
          <w:color w:val="000000" w:themeColor="text1"/>
          <w:sz w:val="24"/>
          <w:szCs w:val="24"/>
        </w:rPr>
        <w:t>119</w:t>
      </w:r>
      <w:r w:rsidRPr="00011E8F">
        <w:rPr>
          <w:rFonts w:ascii="Book Antiqua" w:hAnsi="Book Antiqua"/>
          <w:color w:val="000000" w:themeColor="text1"/>
          <w:sz w:val="24"/>
          <w:szCs w:val="24"/>
        </w:rPr>
        <w:t>: 709-716 [PMID: 22433333 DOI: 10.1097/AOG.0b013e318248f7a8]</w:t>
      </w:r>
    </w:p>
    <w:p w14:paraId="5A3249A1" w14:textId="77777777" w:rsidR="00675B56" w:rsidRPr="00011E8F" w:rsidRDefault="00675B56" w:rsidP="00FC61F7">
      <w:pPr>
        <w:snapToGrid w:val="0"/>
        <w:spacing w:after="0" w:line="360" w:lineRule="auto"/>
        <w:jc w:val="both"/>
        <w:rPr>
          <w:rFonts w:ascii="Book Antiqua" w:hAnsi="Book Antiqua"/>
          <w:color w:val="000000" w:themeColor="text1"/>
          <w:sz w:val="24"/>
          <w:szCs w:val="24"/>
        </w:rPr>
      </w:pPr>
      <w:r w:rsidRPr="00011E8F">
        <w:rPr>
          <w:rFonts w:ascii="Book Antiqua" w:hAnsi="Book Antiqua"/>
          <w:color w:val="000000" w:themeColor="text1"/>
          <w:sz w:val="24"/>
          <w:szCs w:val="24"/>
        </w:rPr>
        <w:t xml:space="preserve">33 </w:t>
      </w:r>
      <w:r w:rsidRPr="00011E8F">
        <w:rPr>
          <w:rFonts w:ascii="Book Antiqua" w:hAnsi="Book Antiqua"/>
          <w:b/>
          <w:color w:val="000000" w:themeColor="text1"/>
          <w:sz w:val="24"/>
          <w:szCs w:val="24"/>
        </w:rPr>
        <w:t>Wright JD</w:t>
      </w:r>
      <w:r w:rsidRPr="00011E8F">
        <w:rPr>
          <w:rFonts w:ascii="Book Antiqua" w:hAnsi="Book Antiqua"/>
          <w:color w:val="000000" w:themeColor="text1"/>
          <w:sz w:val="24"/>
          <w:szCs w:val="24"/>
        </w:rPr>
        <w:t xml:space="preserve">, Hershman DL, Burke WM, Lu YS, Neugut AI, Lewin SN, Herzog TJ. Influence of surgical volume on outcome for laparoscopic hysterectomy for endometrial cancer. </w:t>
      </w:r>
      <w:r w:rsidRPr="00011E8F">
        <w:rPr>
          <w:rFonts w:ascii="Book Antiqua" w:hAnsi="Book Antiqua"/>
          <w:i/>
          <w:color w:val="000000" w:themeColor="text1"/>
          <w:sz w:val="24"/>
          <w:szCs w:val="24"/>
        </w:rPr>
        <w:t>Ann Surg Oncol</w:t>
      </w:r>
      <w:r w:rsidRPr="00011E8F">
        <w:rPr>
          <w:rFonts w:ascii="Book Antiqua" w:hAnsi="Book Antiqua"/>
          <w:color w:val="000000" w:themeColor="text1"/>
          <w:sz w:val="24"/>
          <w:szCs w:val="24"/>
        </w:rPr>
        <w:t xml:space="preserve"> 2012; </w:t>
      </w:r>
      <w:r w:rsidRPr="00011E8F">
        <w:rPr>
          <w:rFonts w:ascii="Book Antiqua" w:hAnsi="Book Antiqua"/>
          <w:b/>
          <w:color w:val="000000" w:themeColor="text1"/>
          <w:sz w:val="24"/>
          <w:szCs w:val="24"/>
        </w:rPr>
        <w:t>19</w:t>
      </w:r>
      <w:r w:rsidRPr="00011E8F">
        <w:rPr>
          <w:rFonts w:ascii="Book Antiqua" w:hAnsi="Book Antiqua"/>
          <w:color w:val="000000" w:themeColor="text1"/>
          <w:sz w:val="24"/>
          <w:szCs w:val="24"/>
        </w:rPr>
        <w:t>: 948-958 [PMID: 21989660 DOI: 10.1245/s10434-011-2090-8]</w:t>
      </w:r>
    </w:p>
    <w:p w14:paraId="5ED68FA7" w14:textId="60A5016A" w:rsidR="00124163" w:rsidRPr="00011E8F" w:rsidRDefault="00675B56" w:rsidP="00FC61F7">
      <w:pPr>
        <w:snapToGrid w:val="0"/>
        <w:spacing w:after="0" w:line="360" w:lineRule="auto"/>
        <w:jc w:val="both"/>
        <w:rPr>
          <w:rFonts w:ascii="Book Antiqua" w:hAnsi="Book Antiqua"/>
          <w:color w:val="000000" w:themeColor="text1"/>
          <w:sz w:val="24"/>
          <w:szCs w:val="24"/>
        </w:rPr>
      </w:pPr>
      <w:r w:rsidRPr="00011E8F">
        <w:rPr>
          <w:rFonts w:ascii="Book Antiqua" w:hAnsi="Book Antiqua"/>
          <w:color w:val="000000" w:themeColor="text1"/>
          <w:sz w:val="24"/>
          <w:szCs w:val="24"/>
        </w:rPr>
        <w:t xml:space="preserve">34 </w:t>
      </w:r>
      <w:r w:rsidRPr="00011E8F">
        <w:rPr>
          <w:rFonts w:ascii="Book Antiqua" w:hAnsi="Book Antiqua"/>
          <w:b/>
          <w:color w:val="000000" w:themeColor="text1"/>
          <w:sz w:val="24"/>
          <w:szCs w:val="24"/>
        </w:rPr>
        <w:t>McCambridge J</w:t>
      </w:r>
      <w:r w:rsidRPr="00011E8F">
        <w:rPr>
          <w:rFonts w:ascii="Book Antiqua" w:hAnsi="Book Antiqua"/>
          <w:color w:val="000000" w:themeColor="text1"/>
          <w:sz w:val="24"/>
          <w:szCs w:val="24"/>
        </w:rPr>
        <w:t xml:space="preserve">, Witton J, Elbourne DR. Systematic review of the Hawthorne effect: new concepts are needed to study research participation effects. </w:t>
      </w:r>
      <w:r w:rsidRPr="00011E8F">
        <w:rPr>
          <w:rFonts w:ascii="Book Antiqua" w:hAnsi="Book Antiqua"/>
          <w:i/>
          <w:color w:val="000000" w:themeColor="text1"/>
          <w:sz w:val="24"/>
          <w:szCs w:val="24"/>
        </w:rPr>
        <w:t>J Clin Epidemiol</w:t>
      </w:r>
      <w:r w:rsidRPr="00011E8F">
        <w:rPr>
          <w:rFonts w:ascii="Book Antiqua" w:hAnsi="Book Antiqua"/>
          <w:color w:val="000000" w:themeColor="text1"/>
          <w:sz w:val="24"/>
          <w:szCs w:val="24"/>
        </w:rPr>
        <w:t xml:space="preserve"> 2014; </w:t>
      </w:r>
      <w:r w:rsidRPr="00011E8F">
        <w:rPr>
          <w:rFonts w:ascii="Book Antiqua" w:hAnsi="Book Antiqua"/>
          <w:b/>
          <w:color w:val="000000" w:themeColor="text1"/>
          <w:sz w:val="24"/>
          <w:szCs w:val="24"/>
        </w:rPr>
        <w:t>67</w:t>
      </w:r>
      <w:r w:rsidRPr="00011E8F">
        <w:rPr>
          <w:rFonts w:ascii="Book Antiqua" w:hAnsi="Book Antiqua"/>
          <w:color w:val="000000" w:themeColor="text1"/>
          <w:sz w:val="24"/>
          <w:szCs w:val="24"/>
        </w:rPr>
        <w:t>: 267-277 [PMID: 24275499 DOI: 10.1016/j.jclinepi.2013.08.015]</w:t>
      </w:r>
    </w:p>
    <w:p w14:paraId="3BA0D489" w14:textId="77777777" w:rsidR="00124163" w:rsidRPr="00011E8F" w:rsidRDefault="00124163" w:rsidP="00FC61F7">
      <w:pPr>
        <w:snapToGrid w:val="0"/>
        <w:spacing w:after="0" w:line="360" w:lineRule="auto"/>
        <w:jc w:val="both"/>
        <w:rPr>
          <w:rFonts w:ascii="Book Antiqua" w:hAnsi="Book Antiqua"/>
          <w:color w:val="000000" w:themeColor="text1"/>
          <w:sz w:val="24"/>
          <w:szCs w:val="24"/>
          <w:lang w:val="en-NZ"/>
        </w:rPr>
      </w:pPr>
      <w:r w:rsidRPr="00011E8F">
        <w:rPr>
          <w:rFonts w:ascii="Book Antiqua" w:hAnsi="Book Antiqua"/>
          <w:color w:val="000000" w:themeColor="text1"/>
          <w:sz w:val="24"/>
          <w:szCs w:val="24"/>
          <w:lang w:val="en-NZ"/>
        </w:rPr>
        <w:br w:type="page"/>
      </w:r>
    </w:p>
    <w:p w14:paraId="4341AB3A" w14:textId="77777777" w:rsidR="00011E8F" w:rsidRPr="00011E8F" w:rsidRDefault="00011E8F" w:rsidP="00011E8F">
      <w:pPr>
        <w:adjustRightInd w:val="0"/>
        <w:snapToGrid w:val="0"/>
        <w:spacing w:after="0" w:line="360" w:lineRule="auto"/>
        <w:jc w:val="both"/>
        <w:rPr>
          <w:rFonts w:ascii="Book Antiqua" w:hAnsi="Book Antiqua"/>
          <w:b/>
          <w:color w:val="000000" w:themeColor="text1"/>
          <w:sz w:val="24"/>
          <w:szCs w:val="24"/>
          <w:lang w:eastAsia="zh-CN"/>
        </w:rPr>
      </w:pPr>
      <w:r w:rsidRPr="00011E8F">
        <w:rPr>
          <w:rFonts w:ascii="Book Antiqua" w:hAnsi="Book Antiqua"/>
          <w:b/>
          <w:color w:val="000000" w:themeColor="text1"/>
          <w:sz w:val="24"/>
          <w:szCs w:val="24"/>
        </w:rPr>
        <w:lastRenderedPageBreak/>
        <w:t>Footnotes</w:t>
      </w:r>
    </w:p>
    <w:p w14:paraId="7146D57E" w14:textId="02AF086F" w:rsidR="00011E8F" w:rsidRPr="00011E8F" w:rsidRDefault="00011E8F" w:rsidP="00011E8F">
      <w:pPr>
        <w:snapToGrid w:val="0"/>
        <w:spacing w:after="0" w:line="360" w:lineRule="auto"/>
        <w:jc w:val="both"/>
        <w:rPr>
          <w:rFonts w:ascii="Book Antiqua" w:hAnsi="Book Antiqua"/>
          <w:color w:val="000000" w:themeColor="text1"/>
          <w:sz w:val="24"/>
          <w:szCs w:val="24"/>
          <w:lang w:val="en-NZ"/>
        </w:rPr>
      </w:pPr>
      <w:r w:rsidRPr="00011E8F">
        <w:rPr>
          <w:rFonts w:ascii="Book Antiqua" w:hAnsi="Book Antiqua" w:cs="Arial"/>
          <w:b/>
          <w:color w:val="000000" w:themeColor="text1"/>
          <w:sz w:val="24"/>
          <w:szCs w:val="24"/>
        </w:rPr>
        <w:t>Conflict-of-interest statement:</w:t>
      </w:r>
      <w:r w:rsidRPr="00011E8F">
        <w:rPr>
          <w:rFonts w:ascii="Book Antiqua" w:hAnsi="Book Antiqua"/>
          <w:color w:val="000000" w:themeColor="text1"/>
          <w:sz w:val="24"/>
          <w:szCs w:val="24"/>
          <w:lang w:val="en-NZ"/>
        </w:rPr>
        <w:t xml:space="preserve"> The authors have no conflict of interest to declare.</w:t>
      </w:r>
    </w:p>
    <w:p w14:paraId="45793EA1" w14:textId="77777777" w:rsidR="00011E8F" w:rsidRPr="00011E8F" w:rsidRDefault="00011E8F" w:rsidP="00011E8F">
      <w:pPr>
        <w:snapToGrid w:val="0"/>
        <w:spacing w:after="0" w:line="360" w:lineRule="auto"/>
        <w:jc w:val="both"/>
        <w:rPr>
          <w:rFonts w:ascii="Book Antiqua" w:hAnsi="Book Antiqua"/>
          <w:b/>
          <w:color w:val="000000" w:themeColor="text1"/>
          <w:sz w:val="24"/>
          <w:szCs w:val="24"/>
          <w:lang w:val="en-NZ"/>
        </w:rPr>
      </w:pPr>
    </w:p>
    <w:p w14:paraId="27FE18C2" w14:textId="77777777" w:rsidR="00011E8F" w:rsidRPr="00011E8F" w:rsidRDefault="00011E8F" w:rsidP="00011E8F">
      <w:pPr>
        <w:spacing w:after="0" w:line="360" w:lineRule="auto"/>
        <w:jc w:val="both"/>
        <w:rPr>
          <w:rFonts w:ascii="Book Antiqua" w:hAnsi="Book Antiqua" w:cs="宋体"/>
          <w:color w:val="000000" w:themeColor="text1"/>
          <w:sz w:val="24"/>
          <w:szCs w:val="24"/>
          <w:lang w:eastAsia="zh-CN"/>
        </w:rPr>
      </w:pPr>
      <w:bookmarkStart w:id="10" w:name="OLE_LINK8"/>
      <w:bookmarkStart w:id="11" w:name="OLE_LINK9"/>
      <w:bookmarkStart w:id="12" w:name="OLE_LINK899"/>
      <w:bookmarkStart w:id="13" w:name="OLE_LINK902"/>
      <w:r w:rsidRPr="00011E8F">
        <w:rPr>
          <w:rFonts w:ascii="Book Antiqua" w:hAnsi="Book Antiqua"/>
          <w:b/>
          <w:color w:val="000000" w:themeColor="text1"/>
          <w:sz w:val="24"/>
          <w:szCs w:val="24"/>
        </w:rPr>
        <w:t>Open-Access:</w:t>
      </w:r>
      <w:r w:rsidRPr="00011E8F">
        <w:rPr>
          <w:rFonts w:ascii="Book Antiqua" w:hAnsi="Book Antiqua"/>
          <w:color w:val="000000" w:themeColor="text1"/>
          <w:sz w:val="24"/>
          <w:szCs w:val="24"/>
        </w:rPr>
        <w:t xml:space="preserve"> 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0"/>
    <w:bookmarkEnd w:id="11"/>
    <w:bookmarkEnd w:id="12"/>
    <w:bookmarkEnd w:id="13"/>
    <w:p w14:paraId="5A088BBD" w14:textId="77777777" w:rsidR="00011E8F" w:rsidRPr="00011E8F" w:rsidRDefault="00011E8F" w:rsidP="00011E8F">
      <w:pPr>
        <w:spacing w:after="0" w:line="360" w:lineRule="auto"/>
        <w:jc w:val="both"/>
        <w:rPr>
          <w:rFonts w:ascii="Book Antiqua" w:hAnsi="Book Antiqua" w:cs="Arial"/>
          <w:color w:val="000000" w:themeColor="text1"/>
          <w:sz w:val="24"/>
          <w:szCs w:val="24"/>
        </w:rPr>
      </w:pPr>
    </w:p>
    <w:p w14:paraId="14E5B385" w14:textId="77777777" w:rsidR="00011E8F" w:rsidRPr="00011E8F" w:rsidRDefault="00011E8F" w:rsidP="00011E8F">
      <w:pPr>
        <w:spacing w:after="0" w:line="360" w:lineRule="auto"/>
        <w:jc w:val="both"/>
        <w:rPr>
          <w:rFonts w:ascii="Book Antiqua" w:hAnsi="Book Antiqua" w:cs="Arial"/>
          <w:color w:val="000000" w:themeColor="text1"/>
          <w:sz w:val="24"/>
          <w:szCs w:val="24"/>
          <w:lang w:eastAsia="zh-CN"/>
        </w:rPr>
      </w:pPr>
      <w:r w:rsidRPr="00011E8F">
        <w:rPr>
          <w:rFonts w:ascii="Book Antiqua" w:hAnsi="Book Antiqua" w:cs="Arial"/>
          <w:b/>
          <w:bCs/>
          <w:color w:val="000000" w:themeColor="text1"/>
          <w:sz w:val="24"/>
          <w:szCs w:val="24"/>
          <w:lang w:eastAsia="zh-CN"/>
        </w:rPr>
        <w:t>Manuscript source:</w:t>
      </w:r>
      <w:r w:rsidRPr="00011E8F">
        <w:rPr>
          <w:rFonts w:ascii="Book Antiqua" w:hAnsi="Book Antiqua" w:cs="Arial"/>
          <w:color w:val="000000" w:themeColor="text1"/>
          <w:sz w:val="24"/>
          <w:szCs w:val="24"/>
          <w:lang w:eastAsia="zh-CN"/>
        </w:rPr>
        <w:t xml:space="preserve"> Invited manuscript</w:t>
      </w:r>
    </w:p>
    <w:p w14:paraId="4B24B155" w14:textId="77777777" w:rsidR="00011E8F" w:rsidRPr="00011E8F" w:rsidRDefault="00011E8F" w:rsidP="00011E8F">
      <w:pPr>
        <w:spacing w:after="0" w:line="360" w:lineRule="auto"/>
        <w:jc w:val="both"/>
        <w:rPr>
          <w:rFonts w:ascii="Book Antiqua" w:hAnsi="Book Antiqua" w:cs="Arial"/>
          <w:color w:val="000000" w:themeColor="text1"/>
          <w:sz w:val="24"/>
          <w:szCs w:val="24"/>
          <w:lang w:eastAsia="zh-CN"/>
        </w:rPr>
      </w:pPr>
    </w:p>
    <w:p w14:paraId="0D0FD6AF" w14:textId="23193526" w:rsidR="00011E8F" w:rsidRPr="00011E8F" w:rsidRDefault="00011E8F" w:rsidP="00011E8F">
      <w:pPr>
        <w:widowControl w:val="0"/>
        <w:spacing w:after="0" w:line="360" w:lineRule="auto"/>
        <w:jc w:val="both"/>
        <w:rPr>
          <w:rFonts w:ascii="Book Antiqua" w:hAnsi="Book Antiqua" w:cs="Times New Roman"/>
          <w:bCs/>
          <w:color w:val="000000" w:themeColor="text1"/>
          <w:kern w:val="2"/>
          <w:sz w:val="24"/>
          <w:szCs w:val="24"/>
          <w:lang w:eastAsia="zh-CN"/>
        </w:rPr>
      </w:pPr>
      <w:r w:rsidRPr="00011E8F">
        <w:rPr>
          <w:rFonts w:ascii="Book Antiqua" w:hAnsi="Book Antiqua" w:cs="Times New Roman"/>
          <w:b/>
          <w:color w:val="000000" w:themeColor="text1"/>
          <w:kern w:val="2"/>
          <w:sz w:val="24"/>
          <w:szCs w:val="24"/>
          <w:lang w:eastAsia="zh-CN"/>
        </w:rPr>
        <w:t xml:space="preserve">Peer-review started: </w:t>
      </w:r>
      <w:r w:rsidRPr="00011E8F">
        <w:rPr>
          <w:rFonts w:ascii="Book Antiqua" w:hAnsi="Book Antiqua" w:cs="Times New Roman"/>
          <w:bCs/>
          <w:color w:val="000000" w:themeColor="text1"/>
          <w:kern w:val="2"/>
          <w:sz w:val="24"/>
          <w:szCs w:val="24"/>
          <w:lang w:eastAsia="zh-CN"/>
        </w:rPr>
        <w:t>December 27, 2019</w:t>
      </w:r>
    </w:p>
    <w:p w14:paraId="33ABB17F" w14:textId="0B1FAC65" w:rsidR="00011E8F" w:rsidRPr="00011E8F" w:rsidRDefault="00011E8F" w:rsidP="00011E8F">
      <w:pPr>
        <w:widowControl w:val="0"/>
        <w:spacing w:after="0" w:line="360" w:lineRule="auto"/>
        <w:jc w:val="both"/>
        <w:rPr>
          <w:rFonts w:ascii="Book Antiqua" w:hAnsi="Book Antiqua" w:cs="Times New Roman"/>
          <w:bCs/>
          <w:color w:val="000000" w:themeColor="text1"/>
          <w:kern w:val="2"/>
          <w:sz w:val="24"/>
          <w:szCs w:val="24"/>
          <w:lang w:eastAsia="zh-CN"/>
        </w:rPr>
      </w:pPr>
      <w:r w:rsidRPr="00011E8F">
        <w:rPr>
          <w:rFonts w:ascii="Book Antiqua" w:hAnsi="Book Antiqua" w:cs="Times New Roman"/>
          <w:b/>
          <w:color w:val="000000" w:themeColor="text1"/>
          <w:kern w:val="2"/>
          <w:sz w:val="24"/>
          <w:szCs w:val="24"/>
          <w:lang w:eastAsia="zh-CN"/>
        </w:rPr>
        <w:t xml:space="preserve">First decision: </w:t>
      </w:r>
      <w:r w:rsidRPr="00011E8F">
        <w:rPr>
          <w:rFonts w:ascii="Book Antiqua" w:hAnsi="Book Antiqua" w:cs="Times New Roman"/>
          <w:bCs/>
          <w:color w:val="000000" w:themeColor="text1"/>
          <w:kern w:val="2"/>
          <w:sz w:val="24"/>
          <w:szCs w:val="24"/>
          <w:lang w:eastAsia="zh-CN"/>
        </w:rPr>
        <w:t>March 27, 2020</w:t>
      </w:r>
    </w:p>
    <w:p w14:paraId="5CC51845" w14:textId="77777777" w:rsidR="00011E8F" w:rsidRPr="00011E8F" w:rsidRDefault="00011E8F" w:rsidP="00011E8F">
      <w:pPr>
        <w:widowControl w:val="0"/>
        <w:spacing w:after="0" w:line="360" w:lineRule="auto"/>
        <w:jc w:val="both"/>
        <w:rPr>
          <w:rFonts w:ascii="Book Antiqua" w:hAnsi="Book Antiqua" w:cs="Times New Roman"/>
          <w:b/>
          <w:color w:val="000000" w:themeColor="text1"/>
          <w:kern w:val="2"/>
          <w:sz w:val="24"/>
          <w:szCs w:val="24"/>
          <w:lang w:eastAsia="zh-CN"/>
        </w:rPr>
      </w:pPr>
      <w:r w:rsidRPr="00011E8F">
        <w:rPr>
          <w:rFonts w:ascii="Book Antiqua" w:hAnsi="Book Antiqua" w:cs="Times New Roman"/>
          <w:b/>
          <w:color w:val="000000" w:themeColor="text1"/>
          <w:kern w:val="2"/>
          <w:sz w:val="24"/>
          <w:szCs w:val="24"/>
          <w:lang w:eastAsia="zh-CN"/>
        </w:rPr>
        <w:t>Article in press:</w:t>
      </w:r>
    </w:p>
    <w:p w14:paraId="104105AE" w14:textId="77777777" w:rsidR="00011E8F" w:rsidRPr="00011E8F" w:rsidRDefault="00011E8F" w:rsidP="00011E8F">
      <w:pPr>
        <w:widowControl w:val="0"/>
        <w:spacing w:after="0" w:line="360" w:lineRule="auto"/>
        <w:jc w:val="both"/>
        <w:rPr>
          <w:rFonts w:ascii="Book Antiqua" w:hAnsi="Book Antiqua" w:cs="Times New Roman"/>
          <w:b/>
          <w:color w:val="000000" w:themeColor="text1"/>
          <w:kern w:val="2"/>
          <w:sz w:val="24"/>
          <w:szCs w:val="24"/>
          <w:lang w:eastAsia="zh-CN"/>
        </w:rPr>
      </w:pPr>
    </w:p>
    <w:p w14:paraId="2983AC4B" w14:textId="77777777" w:rsidR="00011E8F" w:rsidRPr="00011E8F" w:rsidRDefault="00011E8F" w:rsidP="00011E8F">
      <w:pPr>
        <w:spacing w:after="0" w:line="360" w:lineRule="auto"/>
        <w:rPr>
          <w:rFonts w:ascii="Book Antiqua" w:eastAsia="微软雅黑" w:hAnsi="Book Antiqua" w:cs="宋体"/>
          <w:color w:val="000000" w:themeColor="text1"/>
          <w:sz w:val="24"/>
          <w:szCs w:val="24"/>
          <w:lang w:eastAsia="zh-CN"/>
        </w:rPr>
      </w:pPr>
      <w:bookmarkStart w:id="14" w:name="OLE_LINK287"/>
      <w:bookmarkStart w:id="15" w:name="OLE_LINK288"/>
      <w:bookmarkStart w:id="16" w:name="OLE_LINK70"/>
      <w:bookmarkStart w:id="17" w:name="OLE_LINK110"/>
      <w:bookmarkStart w:id="18" w:name="OLE_LINK109"/>
      <w:bookmarkStart w:id="19" w:name="OLE_LINK138"/>
      <w:bookmarkStart w:id="20" w:name="OLE_LINK72"/>
      <w:bookmarkStart w:id="21" w:name="OLE_LINK116"/>
      <w:bookmarkStart w:id="22" w:name="OLE_LINK95"/>
      <w:bookmarkStart w:id="23" w:name="OLE_LINK118"/>
      <w:bookmarkStart w:id="24" w:name="OLE_LINK198"/>
      <w:bookmarkStart w:id="25" w:name="OLE_LINK154"/>
      <w:bookmarkStart w:id="26" w:name="OLE_LINK251"/>
      <w:bookmarkStart w:id="27" w:name="OLE_LINK167"/>
      <w:bookmarkStart w:id="28" w:name="OLE_LINK126"/>
      <w:bookmarkStart w:id="29" w:name="OLE_LINK234"/>
      <w:bookmarkStart w:id="30" w:name="OLE_LINK157"/>
      <w:bookmarkStart w:id="31" w:name="OLE_LINK187"/>
      <w:bookmarkStart w:id="32" w:name="OLE_LINK204"/>
      <w:bookmarkStart w:id="33" w:name="OLE_LINK255"/>
      <w:bookmarkStart w:id="34" w:name="OLE_LINK229"/>
      <w:bookmarkStart w:id="35" w:name="OLE_LINK268"/>
      <w:bookmarkStart w:id="36" w:name="OLE_LINK310"/>
      <w:bookmarkStart w:id="37" w:name="OLE_LINK338"/>
      <w:bookmarkStart w:id="38" w:name="OLE_LINK340"/>
      <w:bookmarkStart w:id="39" w:name="OLE_LINK264"/>
      <w:bookmarkStart w:id="40" w:name="OLE_LINK345"/>
      <w:bookmarkStart w:id="41" w:name="OLE_LINK256"/>
      <w:bookmarkStart w:id="42" w:name="OLE_LINK299"/>
      <w:bookmarkStart w:id="43" w:name="OLE_LINK265"/>
      <w:bookmarkStart w:id="44" w:name="OLE_LINK254"/>
      <w:bookmarkStart w:id="45" w:name="OLE_LINK357"/>
      <w:bookmarkStart w:id="46" w:name="OLE_LINK382"/>
      <w:bookmarkStart w:id="47" w:name="OLE_LINK333"/>
      <w:bookmarkStart w:id="48" w:name="OLE_LINK334"/>
      <w:bookmarkStart w:id="49" w:name="OLE_LINK400"/>
      <w:bookmarkStart w:id="50" w:name="OLE_LINK365"/>
      <w:bookmarkStart w:id="51" w:name="OLE_LINK467"/>
      <w:bookmarkStart w:id="52" w:name="OLE_LINK399"/>
      <w:bookmarkStart w:id="53" w:name="OLE_LINK443"/>
      <w:bookmarkStart w:id="54" w:name="OLE_LINK372"/>
      <w:bookmarkStart w:id="55" w:name="OLE_LINK425"/>
      <w:bookmarkStart w:id="56" w:name="OLE_LINK450"/>
      <w:bookmarkStart w:id="57" w:name="OLE_LINK402"/>
      <w:bookmarkStart w:id="58" w:name="OLE_LINK385"/>
      <w:bookmarkStart w:id="59" w:name="OLE_LINK396"/>
      <w:bookmarkStart w:id="60" w:name="OLE_LINK436"/>
      <w:bookmarkStart w:id="61" w:name="OLE_LINK421"/>
      <w:bookmarkStart w:id="62" w:name="OLE_LINK426"/>
      <w:bookmarkStart w:id="63" w:name="OLE_LINK456"/>
      <w:bookmarkStart w:id="64" w:name="OLE_LINK505"/>
      <w:bookmarkStart w:id="65" w:name="OLE_LINK490"/>
      <w:bookmarkStart w:id="66" w:name="OLE_LINK531"/>
      <w:bookmarkStart w:id="67" w:name="OLE_LINK460"/>
      <w:bookmarkStart w:id="68" w:name="OLE_LINK463"/>
      <w:bookmarkStart w:id="69" w:name="OLE_LINK487"/>
      <w:bookmarkStart w:id="70" w:name="OLE_LINK515"/>
      <w:bookmarkStart w:id="71" w:name="OLE_LINK509"/>
      <w:bookmarkStart w:id="72" w:name="OLE_LINK538"/>
      <w:bookmarkStart w:id="73" w:name="OLE_LINK606"/>
      <w:bookmarkStart w:id="74" w:name="OLE_LINK662"/>
      <w:bookmarkStart w:id="75" w:name="OLE_LINK663"/>
      <w:bookmarkStart w:id="76" w:name="OLE_LINK738"/>
      <w:bookmarkStart w:id="77" w:name="OLE_LINK666"/>
      <w:bookmarkStart w:id="78" w:name="OLE_LINK667"/>
      <w:bookmarkStart w:id="79" w:name="OLE_LINK672"/>
      <w:bookmarkStart w:id="80" w:name="OLE_LINK727"/>
      <w:bookmarkStart w:id="81" w:name="OLE_LINK703"/>
      <w:bookmarkStart w:id="82" w:name="OLE_LINK765"/>
      <w:bookmarkStart w:id="83" w:name="OLE_LINK724"/>
      <w:bookmarkStart w:id="84" w:name="OLE_LINK771"/>
      <w:bookmarkStart w:id="85" w:name="OLE_LINK879"/>
      <w:bookmarkStart w:id="86" w:name="OLE_LINK903"/>
      <w:bookmarkStart w:id="87" w:name="OLE_LINK880"/>
      <w:bookmarkStart w:id="88" w:name="OLE_LINK944"/>
      <w:bookmarkStart w:id="89" w:name="OLE_LINK881"/>
      <w:bookmarkStart w:id="90" w:name="OLE_LINK882"/>
      <w:bookmarkStart w:id="91" w:name="OLE_LINK883"/>
      <w:bookmarkStart w:id="92" w:name="OLE_LINK884"/>
      <w:bookmarkStart w:id="93" w:name="OLE_LINK907"/>
      <w:bookmarkStart w:id="94" w:name="OLE_LINK941"/>
      <w:bookmarkStart w:id="95" w:name="OLE_LINK886"/>
      <w:bookmarkStart w:id="96" w:name="OLE_LINK887"/>
      <w:bookmarkStart w:id="97" w:name="OLE_LINK918"/>
      <w:bookmarkStart w:id="98" w:name="OLE_LINK894"/>
      <w:bookmarkStart w:id="99" w:name="OLE_LINK953"/>
      <w:bookmarkStart w:id="100" w:name="OLE_LINK954"/>
      <w:bookmarkStart w:id="101" w:name="OLE_LINK977"/>
      <w:bookmarkStart w:id="102" w:name="OLE_LINK978"/>
      <w:bookmarkStart w:id="103" w:name="OLE_LINK1034"/>
      <w:bookmarkStart w:id="104" w:name="OLE_LINK991"/>
      <w:bookmarkStart w:id="105" w:name="OLE_LINK1013"/>
      <w:bookmarkStart w:id="106" w:name="OLE_LINK1022"/>
      <w:bookmarkStart w:id="107" w:name="OLE_LINK1030"/>
      <w:bookmarkStart w:id="108" w:name="OLE_LINK1063"/>
      <w:bookmarkStart w:id="109" w:name="OLE_LINK1009"/>
      <w:bookmarkStart w:id="110" w:name="OLE_LINK1064"/>
      <w:bookmarkStart w:id="111" w:name="OLE_LINK1035"/>
      <w:r w:rsidRPr="00011E8F">
        <w:rPr>
          <w:rFonts w:ascii="Book Antiqua" w:hAnsi="Book Antiqua" w:cs="宋体"/>
          <w:b/>
          <w:color w:val="000000" w:themeColor="text1"/>
          <w:sz w:val="24"/>
          <w:szCs w:val="24"/>
          <w:lang w:eastAsia="zh-CN"/>
        </w:rPr>
        <w:t xml:space="preserve">Specialty type: </w:t>
      </w:r>
      <w:r w:rsidRPr="00011E8F">
        <w:rPr>
          <w:rFonts w:ascii="Book Antiqua" w:eastAsia="微软雅黑" w:hAnsi="Book Antiqua" w:cs="宋体"/>
          <w:color w:val="000000" w:themeColor="text1"/>
          <w:sz w:val="24"/>
          <w:szCs w:val="24"/>
          <w:lang w:eastAsia="zh-CN"/>
        </w:rPr>
        <w:t>Gastroenterology and hepatology</w:t>
      </w:r>
    </w:p>
    <w:p w14:paraId="3B75890C" w14:textId="0CB498F0" w:rsidR="00011E8F" w:rsidRPr="00011E8F" w:rsidRDefault="00011E8F" w:rsidP="00011E8F">
      <w:pPr>
        <w:spacing w:after="0" w:line="360" w:lineRule="auto"/>
        <w:rPr>
          <w:rFonts w:ascii="Book Antiqua" w:hAnsi="Book Antiqua" w:cs="宋体"/>
          <w:color w:val="000000" w:themeColor="text1"/>
          <w:sz w:val="24"/>
          <w:szCs w:val="24"/>
          <w:lang w:eastAsia="zh-CN"/>
        </w:rPr>
      </w:pPr>
      <w:r w:rsidRPr="00011E8F">
        <w:rPr>
          <w:rFonts w:ascii="Book Antiqua" w:hAnsi="Book Antiqua" w:cs="宋体"/>
          <w:b/>
          <w:color w:val="000000" w:themeColor="text1"/>
          <w:sz w:val="24"/>
          <w:szCs w:val="24"/>
          <w:lang w:eastAsia="zh-CN"/>
        </w:rPr>
        <w:t xml:space="preserve">Country of origin: </w:t>
      </w:r>
      <w:r w:rsidRPr="00011E8F">
        <w:rPr>
          <w:rFonts w:ascii="Book Antiqua" w:hAnsi="Book Antiqua" w:cs="宋体"/>
          <w:color w:val="000000" w:themeColor="text1"/>
          <w:sz w:val="24"/>
          <w:szCs w:val="24"/>
          <w:lang w:eastAsia="zh-CN"/>
        </w:rPr>
        <w:t>Spain</w:t>
      </w:r>
    </w:p>
    <w:p w14:paraId="271755FF" w14:textId="77777777" w:rsidR="00011E8F" w:rsidRPr="00011E8F" w:rsidRDefault="00011E8F" w:rsidP="00011E8F">
      <w:pPr>
        <w:spacing w:after="0" w:line="360" w:lineRule="auto"/>
        <w:rPr>
          <w:rFonts w:ascii="Book Antiqua" w:hAnsi="Book Antiqua" w:cs="宋体"/>
          <w:b/>
          <w:color w:val="000000" w:themeColor="text1"/>
          <w:sz w:val="24"/>
          <w:szCs w:val="24"/>
          <w:lang w:eastAsia="zh-CN"/>
        </w:rPr>
      </w:pPr>
      <w:r w:rsidRPr="00011E8F">
        <w:rPr>
          <w:rFonts w:ascii="Book Antiqua" w:hAnsi="Book Antiqua" w:cs="宋体"/>
          <w:b/>
          <w:color w:val="000000" w:themeColor="text1"/>
          <w:sz w:val="24"/>
          <w:szCs w:val="24"/>
          <w:lang w:eastAsia="zh-CN"/>
        </w:rPr>
        <w:t>Peer-review report classification</w:t>
      </w:r>
    </w:p>
    <w:p w14:paraId="454AD9CC" w14:textId="075BE72A" w:rsidR="00011E8F" w:rsidRPr="00011E8F" w:rsidRDefault="00011E8F" w:rsidP="00011E8F">
      <w:pPr>
        <w:spacing w:after="0" w:line="360" w:lineRule="auto"/>
        <w:rPr>
          <w:rFonts w:ascii="Book Antiqua" w:hAnsi="Book Antiqua" w:cs="宋体"/>
          <w:color w:val="000000" w:themeColor="text1"/>
          <w:sz w:val="24"/>
          <w:szCs w:val="24"/>
          <w:lang w:eastAsia="zh-CN"/>
        </w:rPr>
      </w:pPr>
      <w:r w:rsidRPr="00011E8F">
        <w:rPr>
          <w:rFonts w:ascii="Book Antiqua" w:hAnsi="Book Antiqua" w:cs="宋体"/>
          <w:color w:val="000000" w:themeColor="text1"/>
          <w:sz w:val="24"/>
          <w:szCs w:val="24"/>
          <w:lang w:eastAsia="zh-CN"/>
        </w:rPr>
        <w:t>Grade A (Excellent): A</w:t>
      </w:r>
    </w:p>
    <w:p w14:paraId="63924FDB" w14:textId="7CB99A1A" w:rsidR="00011E8F" w:rsidRPr="00011E8F" w:rsidRDefault="00011E8F" w:rsidP="00011E8F">
      <w:pPr>
        <w:spacing w:after="0" w:line="360" w:lineRule="auto"/>
        <w:rPr>
          <w:rFonts w:ascii="Book Antiqua" w:hAnsi="Book Antiqua" w:cs="宋体"/>
          <w:color w:val="000000" w:themeColor="text1"/>
          <w:sz w:val="24"/>
          <w:szCs w:val="24"/>
          <w:lang w:eastAsia="zh-CN"/>
        </w:rPr>
      </w:pPr>
      <w:r w:rsidRPr="00011E8F">
        <w:rPr>
          <w:rFonts w:ascii="Book Antiqua" w:hAnsi="Book Antiqua" w:cs="宋体"/>
          <w:color w:val="000000" w:themeColor="text1"/>
          <w:sz w:val="24"/>
          <w:szCs w:val="24"/>
          <w:lang w:eastAsia="zh-CN"/>
        </w:rPr>
        <w:t>Grade B (Very good): B, B, B</w:t>
      </w:r>
    </w:p>
    <w:p w14:paraId="7F0E8236" w14:textId="7759E01D" w:rsidR="00011E8F" w:rsidRPr="00011E8F" w:rsidRDefault="00011E8F" w:rsidP="00011E8F">
      <w:pPr>
        <w:spacing w:after="0" w:line="360" w:lineRule="auto"/>
        <w:rPr>
          <w:rFonts w:ascii="Book Antiqua" w:hAnsi="Book Antiqua" w:cs="宋体"/>
          <w:color w:val="000000" w:themeColor="text1"/>
          <w:sz w:val="24"/>
          <w:szCs w:val="24"/>
          <w:lang w:eastAsia="zh-CN"/>
        </w:rPr>
      </w:pPr>
      <w:r w:rsidRPr="00011E8F">
        <w:rPr>
          <w:rFonts w:ascii="Book Antiqua" w:hAnsi="Book Antiqua" w:cs="宋体"/>
          <w:color w:val="000000" w:themeColor="text1"/>
          <w:sz w:val="24"/>
          <w:szCs w:val="24"/>
          <w:lang w:eastAsia="zh-CN"/>
        </w:rPr>
        <w:t>Grade C (Good): 0</w:t>
      </w:r>
    </w:p>
    <w:p w14:paraId="6AA642E8" w14:textId="4DF79E5D" w:rsidR="00011E8F" w:rsidRPr="00011E8F" w:rsidRDefault="00011E8F" w:rsidP="00011E8F">
      <w:pPr>
        <w:spacing w:after="0" w:line="360" w:lineRule="auto"/>
        <w:rPr>
          <w:rFonts w:ascii="Book Antiqua" w:hAnsi="Book Antiqua" w:cs="宋体"/>
          <w:color w:val="000000" w:themeColor="text1"/>
          <w:sz w:val="24"/>
          <w:szCs w:val="24"/>
          <w:lang w:eastAsia="zh-CN"/>
        </w:rPr>
      </w:pPr>
      <w:r w:rsidRPr="00011E8F">
        <w:rPr>
          <w:rFonts w:ascii="Book Antiqua" w:hAnsi="Book Antiqua" w:cs="宋体"/>
          <w:color w:val="000000" w:themeColor="text1"/>
          <w:sz w:val="24"/>
          <w:szCs w:val="24"/>
          <w:lang w:eastAsia="zh-CN"/>
        </w:rPr>
        <w:t>Grade D (Fair): 0</w:t>
      </w:r>
    </w:p>
    <w:p w14:paraId="0761B0B3" w14:textId="77777777" w:rsidR="00011E8F" w:rsidRPr="00011E8F" w:rsidRDefault="00011E8F" w:rsidP="00011E8F">
      <w:pPr>
        <w:widowControl w:val="0"/>
        <w:spacing w:after="0" w:line="360" w:lineRule="auto"/>
        <w:jc w:val="both"/>
        <w:rPr>
          <w:rFonts w:ascii="Book Antiqua" w:eastAsia="等线" w:hAnsi="Book Antiqua" w:cs="Times New Roman"/>
          <w:color w:val="000000" w:themeColor="text1"/>
          <w:kern w:val="2"/>
          <w:sz w:val="24"/>
          <w:szCs w:val="24"/>
          <w:lang w:eastAsia="zh-CN"/>
        </w:rPr>
      </w:pPr>
      <w:r w:rsidRPr="00011E8F">
        <w:rPr>
          <w:rFonts w:ascii="Book Antiqua" w:hAnsi="Book Antiqua" w:cs="宋体"/>
          <w:color w:val="000000" w:themeColor="text1"/>
          <w:sz w:val="24"/>
          <w:szCs w:val="24"/>
          <w:lang w:eastAsia="zh-CN"/>
        </w:rPr>
        <w:t>Grade E (Poor): 0</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14:paraId="49C48484" w14:textId="77777777" w:rsidR="00011E8F" w:rsidRPr="00011E8F" w:rsidRDefault="00011E8F" w:rsidP="00011E8F">
      <w:pPr>
        <w:widowControl w:val="0"/>
        <w:spacing w:after="0" w:line="360" w:lineRule="auto"/>
        <w:jc w:val="both"/>
        <w:rPr>
          <w:rFonts w:ascii="Book Antiqua" w:eastAsia="等线" w:hAnsi="Book Antiqua" w:cs="Times New Roman"/>
          <w:color w:val="000000" w:themeColor="text1"/>
          <w:kern w:val="2"/>
          <w:sz w:val="24"/>
          <w:szCs w:val="24"/>
          <w:lang w:eastAsia="zh-CN"/>
        </w:rPr>
      </w:pPr>
    </w:p>
    <w:p w14:paraId="131C8C5B" w14:textId="540A6B66" w:rsidR="00011E8F" w:rsidRPr="00011E8F" w:rsidRDefault="00011E8F" w:rsidP="00011E8F">
      <w:pPr>
        <w:rPr>
          <w:rFonts w:ascii="Book Antiqua" w:eastAsia="宋体" w:hAnsi="Book Antiqua" w:cs="宋体"/>
          <w:color w:val="000000" w:themeColor="text1"/>
          <w:sz w:val="24"/>
          <w:szCs w:val="24"/>
          <w:lang w:val="en-US" w:eastAsia="zh-CN"/>
        </w:rPr>
      </w:pPr>
      <w:bookmarkStart w:id="112" w:name="OLE_LINK139"/>
      <w:bookmarkStart w:id="113" w:name="OLE_LINK140"/>
      <w:r w:rsidRPr="00011E8F">
        <w:rPr>
          <w:rFonts w:ascii="Book Antiqua" w:hAnsi="Book Antiqua" w:cs="Times New Roman"/>
          <w:b/>
          <w:bCs/>
          <w:color w:val="000000" w:themeColor="text1"/>
          <w:kern w:val="2"/>
          <w:sz w:val="24"/>
          <w:szCs w:val="24"/>
          <w:lang w:eastAsia="zh-CN"/>
        </w:rPr>
        <w:t>P-Reviewer:</w:t>
      </w:r>
      <w:r w:rsidRPr="00011E8F">
        <w:rPr>
          <w:rFonts w:ascii="Book Antiqua" w:hAnsi="Book Antiqua" w:cs="Times New Roman"/>
          <w:bCs/>
          <w:color w:val="000000" w:themeColor="text1"/>
          <w:kern w:val="2"/>
          <w:sz w:val="24"/>
          <w:szCs w:val="24"/>
          <w:lang w:eastAsia="zh-CN"/>
        </w:rPr>
        <w:t xml:space="preserve"> Chiu KW, </w:t>
      </w:r>
      <w:proofErr w:type="spellStart"/>
      <w:r w:rsidRPr="00011E8F">
        <w:rPr>
          <w:rFonts w:ascii="Book Antiqua" w:eastAsia="宋体" w:hAnsi="Book Antiqua" w:cs="宋体"/>
          <w:color w:val="000000" w:themeColor="text1"/>
          <w:sz w:val="24"/>
          <w:szCs w:val="24"/>
          <w:shd w:val="clear" w:color="auto" w:fill="FFFFFF"/>
          <w:lang w:val="en-US" w:eastAsia="zh-CN"/>
        </w:rPr>
        <w:t>Kayaalp</w:t>
      </w:r>
      <w:proofErr w:type="spellEnd"/>
      <w:r w:rsidRPr="00011E8F">
        <w:rPr>
          <w:rFonts w:ascii="Book Antiqua" w:eastAsia="宋体" w:hAnsi="Book Antiqua" w:cs="宋体"/>
          <w:color w:val="000000" w:themeColor="text1"/>
          <w:sz w:val="24"/>
          <w:szCs w:val="24"/>
          <w:lang w:val="en-US" w:eastAsia="zh-CN"/>
        </w:rPr>
        <w:t xml:space="preserve"> C, </w:t>
      </w:r>
      <w:proofErr w:type="spellStart"/>
      <w:r w:rsidRPr="00011E8F">
        <w:rPr>
          <w:rFonts w:ascii="Book Antiqua" w:eastAsia="宋体" w:hAnsi="Book Antiqua" w:cs="宋体"/>
          <w:color w:val="000000" w:themeColor="text1"/>
          <w:sz w:val="24"/>
          <w:szCs w:val="24"/>
          <w:shd w:val="clear" w:color="auto" w:fill="FFFFFF"/>
          <w:lang w:val="en-US" w:eastAsia="zh-CN"/>
        </w:rPr>
        <w:t>Niu</w:t>
      </w:r>
      <w:proofErr w:type="spellEnd"/>
      <w:r w:rsidRPr="00011E8F">
        <w:rPr>
          <w:rFonts w:ascii="Book Antiqua" w:eastAsia="宋体" w:hAnsi="Book Antiqua" w:cs="宋体"/>
          <w:color w:val="000000" w:themeColor="text1"/>
          <w:sz w:val="24"/>
          <w:szCs w:val="24"/>
          <w:lang w:val="en-US" w:eastAsia="zh-CN"/>
        </w:rPr>
        <w:t xml:space="preserve"> ZS, </w:t>
      </w:r>
      <w:proofErr w:type="spellStart"/>
      <w:r w:rsidRPr="00011E8F">
        <w:rPr>
          <w:rFonts w:ascii="Book Antiqua" w:eastAsia="宋体" w:hAnsi="Book Antiqua" w:cs="宋体"/>
          <w:color w:val="000000" w:themeColor="text1"/>
          <w:sz w:val="24"/>
          <w:szCs w:val="24"/>
          <w:shd w:val="clear" w:color="auto" w:fill="FFFFFF"/>
          <w:lang w:val="en-US" w:eastAsia="zh-CN"/>
        </w:rPr>
        <w:t>Slomiany</w:t>
      </w:r>
      <w:proofErr w:type="spellEnd"/>
      <w:r w:rsidRPr="00011E8F">
        <w:rPr>
          <w:rFonts w:ascii="Book Antiqua" w:eastAsia="宋体" w:hAnsi="Book Antiqua" w:cs="宋体"/>
          <w:color w:val="000000" w:themeColor="text1"/>
          <w:sz w:val="24"/>
          <w:szCs w:val="24"/>
          <w:lang w:val="en-US" w:eastAsia="zh-CN"/>
        </w:rPr>
        <w:t xml:space="preserve"> BL </w:t>
      </w:r>
      <w:r w:rsidRPr="00011E8F">
        <w:rPr>
          <w:rFonts w:ascii="Book Antiqua" w:hAnsi="Book Antiqua" w:cs="Times New Roman"/>
          <w:b/>
          <w:bCs/>
          <w:color w:val="000000" w:themeColor="text1"/>
          <w:kern w:val="2"/>
          <w:sz w:val="24"/>
          <w:szCs w:val="24"/>
          <w:lang w:eastAsia="zh-CN"/>
        </w:rPr>
        <w:t>S-Editor:</w:t>
      </w:r>
      <w:r w:rsidRPr="00011E8F">
        <w:rPr>
          <w:rFonts w:ascii="Book Antiqua" w:hAnsi="Book Antiqua" w:cs="Times New Roman"/>
          <w:color w:val="000000" w:themeColor="text1"/>
          <w:kern w:val="2"/>
          <w:sz w:val="24"/>
          <w:szCs w:val="24"/>
          <w:lang w:eastAsia="zh-CN"/>
        </w:rPr>
        <w:t xml:space="preserve"> Dou Y </w:t>
      </w:r>
      <w:r w:rsidRPr="00011E8F">
        <w:rPr>
          <w:rFonts w:ascii="Book Antiqua" w:hAnsi="Book Antiqua" w:cs="Times New Roman"/>
          <w:b/>
          <w:bCs/>
          <w:color w:val="000000" w:themeColor="text1"/>
          <w:kern w:val="2"/>
          <w:sz w:val="24"/>
          <w:szCs w:val="24"/>
          <w:lang w:eastAsia="zh-CN"/>
        </w:rPr>
        <w:t>L-Editor:</w:t>
      </w:r>
      <w:r w:rsidRPr="00011E8F">
        <w:rPr>
          <w:rFonts w:ascii="Book Antiqua" w:hAnsi="Book Antiqua" w:cs="Times New Roman"/>
          <w:color w:val="000000" w:themeColor="text1"/>
          <w:kern w:val="2"/>
          <w:sz w:val="24"/>
          <w:szCs w:val="24"/>
          <w:lang w:eastAsia="zh-CN"/>
        </w:rPr>
        <w:t xml:space="preserve"> </w:t>
      </w:r>
      <w:r w:rsidRPr="00011E8F">
        <w:rPr>
          <w:rFonts w:ascii="Book Antiqua" w:hAnsi="Book Antiqua" w:cs="Times New Roman"/>
          <w:b/>
          <w:bCs/>
          <w:color w:val="000000" w:themeColor="text1"/>
          <w:kern w:val="2"/>
          <w:sz w:val="24"/>
          <w:szCs w:val="24"/>
          <w:lang w:eastAsia="zh-CN"/>
        </w:rPr>
        <w:t>E-Editor:</w:t>
      </w:r>
      <w:bookmarkEnd w:id="112"/>
      <w:bookmarkEnd w:id="113"/>
      <w:r w:rsidRPr="00011E8F">
        <w:rPr>
          <w:rFonts w:ascii="Book Antiqua" w:hAnsi="Book Antiqua"/>
          <w:b/>
          <w:color w:val="000000" w:themeColor="text1"/>
          <w:sz w:val="24"/>
          <w:szCs w:val="24"/>
        </w:rPr>
        <w:t xml:space="preserve"> </w:t>
      </w:r>
    </w:p>
    <w:p w14:paraId="64A9EA09" w14:textId="77777777" w:rsidR="00011E8F" w:rsidRPr="00011E8F" w:rsidRDefault="00011E8F">
      <w:pPr>
        <w:rPr>
          <w:rFonts w:ascii="Book Antiqua" w:hAnsi="Book Antiqua"/>
          <w:b/>
          <w:bCs/>
          <w:color w:val="000000" w:themeColor="text1"/>
          <w:sz w:val="24"/>
          <w:szCs w:val="24"/>
          <w:lang w:val="en-US"/>
        </w:rPr>
      </w:pPr>
      <w:r w:rsidRPr="00011E8F">
        <w:rPr>
          <w:rFonts w:ascii="Book Antiqua" w:hAnsi="Book Antiqua"/>
          <w:b/>
          <w:bCs/>
          <w:color w:val="000000" w:themeColor="text1"/>
          <w:sz w:val="24"/>
          <w:szCs w:val="24"/>
          <w:lang w:val="en-US"/>
        </w:rPr>
        <w:br w:type="page"/>
      </w:r>
    </w:p>
    <w:p w14:paraId="24ED9DEA" w14:textId="49412EB6" w:rsidR="00124163" w:rsidRPr="00011E8F" w:rsidRDefault="00124163" w:rsidP="00FC61F7">
      <w:pPr>
        <w:snapToGrid w:val="0"/>
        <w:spacing w:after="0" w:line="360" w:lineRule="auto"/>
        <w:jc w:val="both"/>
        <w:rPr>
          <w:rFonts w:ascii="Book Antiqua" w:hAnsi="Book Antiqua"/>
          <w:b/>
          <w:bCs/>
          <w:color w:val="000000" w:themeColor="text1"/>
          <w:sz w:val="24"/>
          <w:szCs w:val="24"/>
          <w:lang w:val="en-US"/>
        </w:rPr>
      </w:pPr>
      <w:r w:rsidRPr="00011E8F">
        <w:rPr>
          <w:rFonts w:ascii="Book Antiqua" w:hAnsi="Book Antiqua"/>
          <w:b/>
          <w:bCs/>
          <w:color w:val="000000" w:themeColor="text1"/>
          <w:sz w:val="24"/>
          <w:szCs w:val="24"/>
          <w:lang w:val="en-US"/>
        </w:rPr>
        <w:lastRenderedPageBreak/>
        <w:t>Table 1 Types of costs to consider in the economic evaluation of postoperative complications</w:t>
      </w:r>
    </w:p>
    <w:tbl>
      <w:tblPr>
        <w:tblStyle w:val="ab"/>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0"/>
      </w:tblGrid>
      <w:tr w:rsidR="00011E8F" w:rsidRPr="00011E8F" w14:paraId="23C8402A" w14:textId="77777777" w:rsidTr="00FC61F7">
        <w:tc>
          <w:tcPr>
            <w:tcW w:w="9060" w:type="dxa"/>
            <w:tcBorders>
              <w:top w:val="single" w:sz="4" w:space="0" w:color="auto"/>
              <w:bottom w:val="single" w:sz="4" w:space="0" w:color="auto"/>
            </w:tcBorders>
          </w:tcPr>
          <w:p w14:paraId="4ACFDFC4" w14:textId="372DA33E" w:rsidR="00124163" w:rsidRPr="00011E8F" w:rsidRDefault="00675B56" w:rsidP="00FC61F7">
            <w:pPr>
              <w:snapToGrid w:val="0"/>
              <w:spacing w:line="360" w:lineRule="auto"/>
              <w:jc w:val="both"/>
              <w:rPr>
                <w:rFonts w:ascii="Book Antiqua" w:hAnsi="Book Antiqua"/>
                <w:b/>
                <w:bCs/>
                <w:color w:val="000000" w:themeColor="text1"/>
                <w:sz w:val="24"/>
                <w:szCs w:val="24"/>
              </w:rPr>
            </w:pPr>
            <w:r w:rsidRPr="00011E8F">
              <w:rPr>
                <w:rFonts w:ascii="Book Antiqua" w:hAnsi="Book Antiqua"/>
                <w:b/>
                <w:bCs/>
                <w:color w:val="000000" w:themeColor="text1"/>
                <w:sz w:val="24"/>
                <w:szCs w:val="24"/>
                <w:lang w:val="en-US"/>
              </w:rPr>
              <w:t xml:space="preserve">Direct </w:t>
            </w:r>
            <w:r w:rsidRPr="00011E8F">
              <w:rPr>
                <w:rFonts w:ascii="Book Antiqua" w:hAnsi="Book Antiqua"/>
                <w:b/>
                <w:bCs/>
                <w:color w:val="000000" w:themeColor="text1"/>
                <w:sz w:val="24"/>
                <w:szCs w:val="24"/>
              </w:rPr>
              <w:t>costs</w:t>
            </w:r>
          </w:p>
        </w:tc>
      </w:tr>
      <w:tr w:rsidR="00011E8F" w:rsidRPr="00011E8F" w14:paraId="76B5907E" w14:textId="77777777" w:rsidTr="00FC61F7">
        <w:tc>
          <w:tcPr>
            <w:tcW w:w="9060" w:type="dxa"/>
            <w:tcBorders>
              <w:top w:val="single" w:sz="4" w:space="0" w:color="auto"/>
            </w:tcBorders>
          </w:tcPr>
          <w:p w14:paraId="54525C8E" w14:textId="4B74F445" w:rsidR="00124163" w:rsidRPr="00011E8F" w:rsidRDefault="00675B56" w:rsidP="00FC61F7">
            <w:pPr>
              <w:snapToGrid w:val="0"/>
              <w:spacing w:line="360" w:lineRule="auto"/>
              <w:jc w:val="both"/>
              <w:rPr>
                <w:rFonts w:ascii="Book Antiqua" w:hAnsi="Book Antiqua"/>
                <w:color w:val="000000" w:themeColor="text1"/>
                <w:sz w:val="24"/>
                <w:szCs w:val="24"/>
              </w:rPr>
            </w:pPr>
            <w:r w:rsidRPr="00011E8F">
              <w:rPr>
                <w:rFonts w:ascii="Book Antiqua" w:hAnsi="Book Antiqua"/>
                <w:color w:val="000000" w:themeColor="text1"/>
                <w:sz w:val="24"/>
                <w:szCs w:val="24"/>
              </w:rPr>
              <w:t>Health-related</w:t>
            </w:r>
          </w:p>
        </w:tc>
      </w:tr>
      <w:tr w:rsidR="00011E8F" w:rsidRPr="00011E8F" w14:paraId="6264060C" w14:textId="77777777" w:rsidTr="00FC61F7">
        <w:tc>
          <w:tcPr>
            <w:tcW w:w="9060" w:type="dxa"/>
          </w:tcPr>
          <w:p w14:paraId="2E753AF8" w14:textId="77777777" w:rsidR="00124163" w:rsidRPr="00011E8F" w:rsidRDefault="00124163" w:rsidP="00FC61F7">
            <w:pPr>
              <w:pStyle w:val="a3"/>
              <w:snapToGrid w:val="0"/>
              <w:spacing w:line="360" w:lineRule="auto"/>
              <w:contextualSpacing w:val="0"/>
              <w:jc w:val="both"/>
              <w:rPr>
                <w:rFonts w:ascii="Book Antiqua" w:hAnsi="Book Antiqua"/>
                <w:color w:val="000000" w:themeColor="text1"/>
                <w:sz w:val="24"/>
                <w:szCs w:val="24"/>
                <w:lang w:val="en-US"/>
              </w:rPr>
            </w:pPr>
            <w:r w:rsidRPr="00011E8F">
              <w:rPr>
                <w:rFonts w:ascii="Book Antiqua" w:hAnsi="Book Antiqua"/>
                <w:color w:val="000000" w:themeColor="text1"/>
                <w:sz w:val="24"/>
                <w:szCs w:val="24"/>
                <w:lang w:val="en-US"/>
              </w:rPr>
              <w:t>Postoperative resources used/consumed by the patient during hospitalization:</w:t>
            </w:r>
          </w:p>
        </w:tc>
      </w:tr>
      <w:tr w:rsidR="00011E8F" w:rsidRPr="00011E8F" w14:paraId="309C87B5" w14:textId="77777777" w:rsidTr="00FC61F7">
        <w:tc>
          <w:tcPr>
            <w:tcW w:w="9060" w:type="dxa"/>
          </w:tcPr>
          <w:p w14:paraId="3248DEEA" w14:textId="77777777" w:rsidR="00124163" w:rsidRPr="00011E8F" w:rsidRDefault="00124163" w:rsidP="00FC61F7">
            <w:pPr>
              <w:pStyle w:val="a3"/>
              <w:snapToGrid w:val="0"/>
              <w:spacing w:line="360" w:lineRule="auto"/>
              <w:ind w:left="1440"/>
              <w:contextualSpacing w:val="0"/>
              <w:jc w:val="both"/>
              <w:rPr>
                <w:rFonts w:ascii="Book Antiqua" w:hAnsi="Book Antiqua"/>
                <w:color w:val="000000" w:themeColor="text1"/>
                <w:sz w:val="24"/>
                <w:szCs w:val="24"/>
                <w:lang w:val="en-US"/>
              </w:rPr>
            </w:pPr>
            <w:r w:rsidRPr="00011E8F">
              <w:rPr>
                <w:rFonts w:ascii="Book Antiqua" w:hAnsi="Book Antiqua"/>
                <w:color w:val="000000" w:themeColor="text1"/>
                <w:sz w:val="24"/>
                <w:szCs w:val="24"/>
                <w:lang w:val="en-US"/>
              </w:rPr>
              <w:t xml:space="preserve">Shared or overhead costs. Financing of administrative infrastructure and fixed installations. Resources used by different services: administration, records, electricity, heating, laundry, </w:t>
            </w:r>
            <w:r w:rsidRPr="00011E8F">
              <w:rPr>
                <w:rFonts w:ascii="Book Antiqua" w:hAnsi="Book Antiqua"/>
                <w:i/>
                <w:iCs/>
                <w:color w:val="000000" w:themeColor="text1"/>
                <w:sz w:val="24"/>
                <w:szCs w:val="24"/>
                <w:lang w:val="en-US"/>
              </w:rPr>
              <w:t>etc</w:t>
            </w:r>
            <w:r w:rsidRPr="00011E8F">
              <w:rPr>
                <w:rFonts w:ascii="Book Antiqua" w:hAnsi="Book Antiqua"/>
                <w:color w:val="000000" w:themeColor="text1"/>
                <w:sz w:val="24"/>
                <w:szCs w:val="24"/>
                <w:lang w:val="en-US"/>
              </w:rPr>
              <w:t xml:space="preserve">. </w:t>
            </w:r>
          </w:p>
        </w:tc>
      </w:tr>
      <w:tr w:rsidR="00011E8F" w:rsidRPr="00011E8F" w14:paraId="590B0597" w14:textId="77777777" w:rsidTr="00FC61F7">
        <w:tc>
          <w:tcPr>
            <w:tcW w:w="9060" w:type="dxa"/>
          </w:tcPr>
          <w:p w14:paraId="000EF649" w14:textId="756C47EC" w:rsidR="00124163" w:rsidRPr="00011E8F" w:rsidRDefault="00124163" w:rsidP="00FC61F7">
            <w:pPr>
              <w:pStyle w:val="a3"/>
              <w:snapToGrid w:val="0"/>
              <w:spacing w:line="360" w:lineRule="auto"/>
              <w:ind w:left="1440"/>
              <w:contextualSpacing w:val="0"/>
              <w:jc w:val="both"/>
              <w:rPr>
                <w:rFonts w:ascii="Book Antiqua" w:hAnsi="Book Antiqua"/>
                <w:color w:val="000000" w:themeColor="text1"/>
                <w:sz w:val="24"/>
                <w:szCs w:val="24"/>
              </w:rPr>
            </w:pPr>
            <w:r w:rsidRPr="00011E8F">
              <w:rPr>
                <w:rFonts w:ascii="Book Antiqua" w:hAnsi="Book Antiqua"/>
                <w:color w:val="000000" w:themeColor="text1"/>
                <w:sz w:val="24"/>
                <w:szCs w:val="24"/>
              </w:rPr>
              <w:t>Central services: documentation, computer services…</w:t>
            </w:r>
          </w:p>
        </w:tc>
      </w:tr>
      <w:tr w:rsidR="00011E8F" w:rsidRPr="00011E8F" w14:paraId="0567497B" w14:textId="77777777" w:rsidTr="00FC61F7">
        <w:tc>
          <w:tcPr>
            <w:tcW w:w="9060" w:type="dxa"/>
          </w:tcPr>
          <w:p w14:paraId="16E25F1B" w14:textId="77777777" w:rsidR="00124163" w:rsidRPr="00011E8F" w:rsidRDefault="00124163" w:rsidP="00FC61F7">
            <w:pPr>
              <w:pStyle w:val="a3"/>
              <w:snapToGrid w:val="0"/>
              <w:spacing w:line="360" w:lineRule="auto"/>
              <w:ind w:left="1440"/>
              <w:contextualSpacing w:val="0"/>
              <w:jc w:val="both"/>
              <w:rPr>
                <w:rFonts w:ascii="Book Antiqua" w:hAnsi="Book Antiqua"/>
                <w:color w:val="000000" w:themeColor="text1"/>
                <w:sz w:val="24"/>
                <w:szCs w:val="24"/>
              </w:rPr>
            </w:pPr>
            <w:r w:rsidRPr="00011E8F">
              <w:rPr>
                <w:rFonts w:ascii="Book Antiqua" w:hAnsi="Book Antiqua"/>
                <w:color w:val="000000" w:themeColor="text1"/>
                <w:sz w:val="24"/>
                <w:szCs w:val="24"/>
              </w:rPr>
              <w:t>Installations and catering.</w:t>
            </w:r>
          </w:p>
        </w:tc>
      </w:tr>
      <w:tr w:rsidR="00011E8F" w:rsidRPr="00011E8F" w14:paraId="0BB632B3" w14:textId="77777777" w:rsidTr="00FC61F7">
        <w:tc>
          <w:tcPr>
            <w:tcW w:w="9060" w:type="dxa"/>
          </w:tcPr>
          <w:p w14:paraId="667AAFC6" w14:textId="77777777" w:rsidR="00124163" w:rsidRPr="00011E8F" w:rsidRDefault="00124163" w:rsidP="00FC61F7">
            <w:pPr>
              <w:pStyle w:val="a3"/>
              <w:snapToGrid w:val="0"/>
              <w:spacing w:line="360" w:lineRule="auto"/>
              <w:ind w:left="1440"/>
              <w:contextualSpacing w:val="0"/>
              <w:jc w:val="both"/>
              <w:rPr>
                <w:rFonts w:ascii="Book Antiqua" w:hAnsi="Book Antiqua"/>
                <w:color w:val="000000" w:themeColor="text1"/>
                <w:sz w:val="24"/>
                <w:szCs w:val="24"/>
                <w:lang w:val="en-US"/>
              </w:rPr>
            </w:pPr>
            <w:r w:rsidRPr="00011E8F">
              <w:rPr>
                <w:rFonts w:ascii="Book Antiqua" w:hAnsi="Book Antiqua"/>
                <w:color w:val="000000" w:themeColor="text1"/>
                <w:sz w:val="24"/>
                <w:szCs w:val="24"/>
                <w:lang w:val="en-US"/>
              </w:rPr>
              <w:t>Health and non-health staff: nurses, doctors, ancillary staff from the surgery service...</w:t>
            </w:r>
          </w:p>
        </w:tc>
      </w:tr>
      <w:tr w:rsidR="00011E8F" w:rsidRPr="00011E8F" w14:paraId="573D8EB8" w14:textId="77777777" w:rsidTr="00FC61F7">
        <w:tc>
          <w:tcPr>
            <w:tcW w:w="9060" w:type="dxa"/>
          </w:tcPr>
          <w:p w14:paraId="67C3A27D" w14:textId="77777777" w:rsidR="00124163" w:rsidRPr="00011E8F" w:rsidRDefault="00124163" w:rsidP="00FC61F7">
            <w:pPr>
              <w:pStyle w:val="a3"/>
              <w:snapToGrid w:val="0"/>
              <w:spacing w:line="360" w:lineRule="auto"/>
              <w:ind w:left="1440"/>
              <w:contextualSpacing w:val="0"/>
              <w:jc w:val="both"/>
              <w:rPr>
                <w:rFonts w:ascii="Book Antiqua" w:hAnsi="Book Antiqua"/>
                <w:color w:val="000000" w:themeColor="text1"/>
                <w:sz w:val="24"/>
                <w:szCs w:val="24"/>
                <w:lang w:val="en-US"/>
              </w:rPr>
            </w:pPr>
            <w:r w:rsidRPr="00011E8F">
              <w:rPr>
                <w:rFonts w:ascii="Book Antiqua" w:hAnsi="Book Antiqua"/>
                <w:color w:val="000000" w:themeColor="text1"/>
                <w:sz w:val="24"/>
                <w:szCs w:val="24"/>
                <w:lang w:val="en-US"/>
              </w:rPr>
              <w:t>Use of other surgical and medical services at the hospital.</w:t>
            </w:r>
          </w:p>
        </w:tc>
      </w:tr>
      <w:tr w:rsidR="00011E8F" w:rsidRPr="00011E8F" w14:paraId="5C78E033" w14:textId="77777777" w:rsidTr="00FC61F7">
        <w:tc>
          <w:tcPr>
            <w:tcW w:w="9060" w:type="dxa"/>
          </w:tcPr>
          <w:p w14:paraId="6F99059A" w14:textId="43E59D9C" w:rsidR="00124163" w:rsidRPr="00011E8F" w:rsidRDefault="00124163" w:rsidP="00FC61F7">
            <w:pPr>
              <w:pStyle w:val="a3"/>
              <w:snapToGrid w:val="0"/>
              <w:spacing w:line="360" w:lineRule="auto"/>
              <w:ind w:left="1440"/>
              <w:contextualSpacing w:val="0"/>
              <w:jc w:val="both"/>
              <w:rPr>
                <w:rFonts w:ascii="Book Antiqua" w:hAnsi="Book Antiqua"/>
                <w:color w:val="000000" w:themeColor="text1"/>
                <w:sz w:val="24"/>
                <w:szCs w:val="24"/>
                <w:lang w:val="en-US"/>
              </w:rPr>
            </w:pPr>
            <w:r w:rsidRPr="00011E8F">
              <w:rPr>
                <w:rFonts w:ascii="Book Antiqua" w:hAnsi="Book Antiqua"/>
                <w:color w:val="000000" w:themeColor="text1"/>
                <w:sz w:val="24"/>
                <w:szCs w:val="24"/>
                <w:lang w:val="en-US"/>
              </w:rPr>
              <w:t>Diagnostic procedures: laboratory, radiological and endoscopic examinations, pathology studies…</w:t>
            </w:r>
          </w:p>
        </w:tc>
      </w:tr>
      <w:tr w:rsidR="00011E8F" w:rsidRPr="00011E8F" w14:paraId="792318CB" w14:textId="77777777" w:rsidTr="00FC61F7">
        <w:tc>
          <w:tcPr>
            <w:tcW w:w="9060" w:type="dxa"/>
          </w:tcPr>
          <w:p w14:paraId="243DFD17" w14:textId="77777777" w:rsidR="00124163" w:rsidRPr="00011E8F" w:rsidRDefault="00124163" w:rsidP="00FC61F7">
            <w:pPr>
              <w:pStyle w:val="a3"/>
              <w:snapToGrid w:val="0"/>
              <w:spacing w:line="360" w:lineRule="auto"/>
              <w:ind w:left="1440"/>
              <w:contextualSpacing w:val="0"/>
              <w:jc w:val="both"/>
              <w:rPr>
                <w:rFonts w:ascii="Book Antiqua" w:hAnsi="Book Antiqua"/>
                <w:color w:val="000000" w:themeColor="text1"/>
                <w:sz w:val="24"/>
                <w:szCs w:val="24"/>
              </w:rPr>
            </w:pPr>
            <w:r w:rsidRPr="00011E8F">
              <w:rPr>
                <w:rFonts w:ascii="Book Antiqua" w:hAnsi="Book Antiqua"/>
                <w:color w:val="000000" w:themeColor="text1"/>
                <w:sz w:val="24"/>
                <w:szCs w:val="24"/>
              </w:rPr>
              <w:t>Pharmacy.</w:t>
            </w:r>
          </w:p>
        </w:tc>
      </w:tr>
      <w:tr w:rsidR="00011E8F" w:rsidRPr="00011E8F" w14:paraId="58CE76A5" w14:textId="77777777" w:rsidTr="00FC61F7">
        <w:tc>
          <w:tcPr>
            <w:tcW w:w="9060" w:type="dxa"/>
          </w:tcPr>
          <w:p w14:paraId="527B21DA" w14:textId="77777777" w:rsidR="00124163" w:rsidRPr="00011E8F" w:rsidRDefault="00124163" w:rsidP="00FC61F7">
            <w:pPr>
              <w:pStyle w:val="a3"/>
              <w:snapToGrid w:val="0"/>
              <w:spacing w:line="360" w:lineRule="auto"/>
              <w:ind w:left="1440"/>
              <w:contextualSpacing w:val="0"/>
              <w:jc w:val="both"/>
              <w:rPr>
                <w:rFonts w:ascii="Book Antiqua" w:hAnsi="Book Antiqua"/>
                <w:color w:val="000000" w:themeColor="text1"/>
                <w:sz w:val="24"/>
                <w:szCs w:val="24"/>
                <w:lang w:val="en-US"/>
              </w:rPr>
            </w:pPr>
            <w:r w:rsidRPr="00011E8F">
              <w:rPr>
                <w:rFonts w:ascii="Book Antiqua" w:hAnsi="Book Antiqua"/>
                <w:color w:val="000000" w:themeColor="text1"/>
                <w:sz w:val="24"/>
                <w:szCs w:val="24"/>
                <w:lang w:val="en-US"/>
              </w:rPr>
              <w:t>Surgical, endoscopic and radiological procedures. Ideally, recording of consumables for each procedure.</w:t>
            </w:r>
          </w:p>
        </w:tc>
      </w:tr>
      <w:tr w:rsidR="00011E8F" w:rsidRPr="00011E8F" w14:paraId="3DE16B8F" w14:textId="77777777" w:rsidTr="00FC61F7">
        <w:tc>
          <w:tcPr>
            <w:tcW w:w="9060" w:type="dxa"/>
          </w:tcPr>
          <w:p w14:paraId="03AA789A" w14:textId="77777777" w:rsidR="00124163" w:rsidRPr="00011E8F" w:rsidRDefault="00124163" w:rsidP="00FC61F7">
            <w:pPr>
              <w:pStyle w:val="a3"/>
              <w:snapToGrid w:val="0"/>
              <w:spacing w:line="360" w:lineRule="auto"/>
              <w:ind w:left="1440"/>
              <w:contextualSpacing w:val="0"/>
              <w:jc w:val="both"/>
              <w:rPr>
                <w:rFonts w:ascii="Book Antiqua" w:hAnsi="Book Antiqua"/>
                <w:color w:val="000000" w:themeColor="text1"/>
                <w:sz w:val="24"/>
                <w:szCs w:val="24"/>
              </w:rPr>
            </w:pPr>
            <w:r w:rsidRPr="00011E8F">
              <w:rPr>
                <w:rFonts w:ascii="Book Antiqua" w:hAnsi="Book Antiqua"/>
                <w:color w:val="000000" w:themeColor="text1"/>
                <w:sz w:val="24"/>
                <w:szCs w:val="24"/>
              </w:rPr>
              <w:t>Dressing materials.</w:t>
            </w:r>
          </w:p>
        </w:tc>
      </w:tr>
      <w:tr w:rsidR="00011E8F" w:rsidRPr="00011E8F" w14:paraId="655E36F5" w14:textId="77777777" w:rsidTr="00FC61F7">
        <w:tc>
          <w:tcPr>
            <w:tcW w:w="9060" w:type="dxa"/>
          </w:tcPr>
          <w:p w14:paraId="0BE82EF5" w14:textId="77777777" w:rsidR="00124163" w:rsidRPr="00011E8F" w:rsidRDefault="00124163" w:rsidP="00FC61F7">
            <w:pPr>
              <w:pStyle w:val="a3"/>
              <w:snapToGrid w:val="0"/>
              <w:spacing w:line="360" w:lineRule="auto"/>
              <w:contextualSpacing w:val="0"/>
              <w:jc w:val="both"/>
              <w:rPr>
                <w:rFonts w:ascii="Book Antiqua" w:hAnsi="Book Antiqua"/>
                <w:color w:val="000000" w:themeColor="text1"/>
                <w:sz w:val="24"/>
                <w:szCs w:val="24"/>
                <w:lang w:val="en-US"/>
              </w:rPr>
            </w:pPr>
            <w:r w:rsidRPr="00011E8F">
              <w:rPr>
                <w:rFonts w:ascii="Book Antiqua" w:hAnsi="Book Antiqua"/>
                <w:color w:val="000000" w:themeColor="text1"/>
                <w:sz w:val="24"/>
                <w:szCs w:val="24"/>
                <w:lang w:val="en-US"/>
              </w:rPr>
              <w:t>Future postoperative costs related to the surgery performed and the postoperative complications arising:</w:t>
            </w:r>
          </w:p>
        </w:tc>
      </w:tr>
      <w:tr w:rsidR="00011E8F" w:rsidRPr="00011E8F" w14:paraId="47FFF3A6" w14:textId="77777777" w:rsidTr="00FC61F7">
        <w:tc>
          <w:tcPr>
            <w:tcW w:w="9060" w:type="dxa"/>
          </w:tcPr>
          <w:p w14:paraId="6A6F398E" w14:textId="77777777" w:rsidR="00124163" w:rsidRPr="00011E8F" w:rsidRDefault="00124163" w:rsidP="00FC61F7">
            <w:pPr>
              <w:pStyle w:val="a3"/>
              <w:snapToGrid w:val="0"/>
              <w:spacing w:line="360" w:lineRule="auto"/>
              <w:ind w:left="1440"/>
              <w:contextualSpacing w:val="0"/>
              <w:jc w:val="both"/>
              <w:rPr>
                <w:rFonts w:ascii="Book Antiqua" w:hAnsi="Book Antiqua"/>
                <w:color w:val="000000" w:themeColor="text1"/>
                <w:sz w:val="24"/>
                <w:szCs w:val="24"/>
                <w:lang w:val="en-US"/>
              </w:rPr>
            </w:pPr>
            <w:r w:rsidRPr="00011E8F">
              <w:rPr>
                <w:rFonts w:ascii="Book Antiqua" w:hAnsi="Book Antiqua"/>
                <w:color w:val="000000" w:themeColor="text1"/>
                <w:sz w:val="24"/>
                <w:szCs w:val="24"/>
                <w:lang w:val="en-US"/>
              </w:rPr>
              <w:t>Primary care and hospital visits.</w:t>
            </w:r>
          </w:p>
        </w:tc>
      </w:tr>
      <w:tr w:rsidR="00011E8F" w:rsidRPr="00011E8F" w14:paraId="5A9AB2D0" w14:textId="77777777" w:rsidTr="00FC61F7">
        <w:tc>
          <w:tcPr>
            <w:tcW w:w="9060" w:type="dxa"/>
          </w:tcPr>
          <w:p w14:paraId="4132F2D5" w14:textId="77777777" w:rsidR="00124163" w:rsidRPr="00011E8F" w:rsidRDefault="00124163" w:rsidP="00FC61F7">
            <w:pPr>
              <w:pStyle w:val="a3"/>
              <w:snapToGrid w:val="0"/>
              <w:spacing w:line="360" w:lineRule="auto"/>
              <w:ind w:left="1440"/>
              <w:contextualSpacing w:val="0"/>
              <w:jc w:val="both"/>
              <w:rPr>
                <w:rFonts w:ascii="Book Antiqua" w:hAnsi="Book Antiqua"/>
                <w:color w:val="000000" w:themeColor="text1"/>
                <w:sz w:val="24"/>
                <w:szCs w:val="24"/>
              </w:rPr>
            </w:pPr>
            <w:r w:rsidRPr="00011E8F">
              <w:rPr>
                <w:rFonts w:ascii="Book Antiqua" w:hAnsi="Book Antiqua"/>
                <w:color w:val="000000" w:themeColor="text1"/>
                <w:sz w:val="24"/>
                <w:szCs w:val="24"/>
              </w:rPr>
              <w:t>Rehabilitation.</w:t>
            </w:r>
          </w:p>
        </w:tc>
      </w:tr>
      <w:tr w:rsidR="00011E8F" w:rsidRPr="00011E8F" w14:paraId="2CA05299" w14:textId="77777777" w:rsidTr="00FC61F7">
        <w:tc>
          <w:tcPr>
            <w:tcW w:w="9060" w:type="dxa"/>
          </w:tcPr>
          <w:p w14:paraId="7BCAC2CE" w14:textId="5ADC37E5" w:rsidR="00124163" w:rsidRPr="00011E8F" w:rsidRDefault="00124163" w:rsidP="00FC61F7">
            <w:pPr>
              <w:pStyle w:val="a3"/>
              <w:snapToGrid w:val="0"/>
              <w:spacing w:line="360" w:lineRule="auto"/>
              <w:ind w:left="1440"/>
              <w:contextualSpacing w:val="0"/>
              <w:jc w:val="both"/>
              <w:rPr>
                <w:rFonts w:ascii="Book Antiqua" w:hAnsi="Book Antiqua"/>
                <w:color w:val="000000" w:themeColor="text1"/>
                <w:sz w:val="24"/>
                <w:szCs w:val="24"/>
                <w:lang w:val="en-US"/>
              </w:rPr>
            </w:pPr>
            <w:r w:rsidRPr="00011E8F">
              <w:rPr>
                <w:rFonts w:ascii="Book Antiqua" w:hAnsi="Book Antiqua"/>
                <w:color w:val="000000" w:themeColor="text1"/>
                <w:sz w:val="24"/>
                <w:szCs w:val="24"/>
                <w:lang w:val="en-US"/>
              </w:rPr>
              <w:t>Diagnostic procedures: analytical, radiological and endoscopic examinations...</w:t>
            </w:r>
          </w:p>
        </w:tc>
      </w:tr>
      <w:tr w:rsidR="00011E8F" w:rsidRPr="00011E8F" w14:paraId="564824FF" w14:textId="77777777" w:rsidTr="00FC61F7">
        <w:tc>
          <w:tcPr>
            <w:tcW w:w="9060" w:type="dxa"/>
          </w:tcPr>
          <w:p w14:paraId="1D8D7181" w14:textId="77777777" w:rsidR="00124163" w:rsidRPr="00011E8F" w:rsidRDefault="00124163" w:rsidP="00FC61F7">
            <w:pPr>
              <w:pStyle w:val="a3"/>
              <w:snapToGrid w:val="0"/>
              <w:spacing w:line="360" w:lineRule="auto"/>
              <w:ind w:left="1440"/>
              <w:contextualSpacing w:val="0"/>
              <w:jc w:val="both"/>
              <w:rPr>
                <w:rFonts w:ascii="Book Antiqua" w:hAnsi="Book Antiqua"/>
                <w:color w:val="000000" w:themeColor="text1"/>
                <w:sz w:val="24"/>
                <w:szCs w:val="24"/>
              </w:rPr>
            </w:pPr>
            <w:r w:rsidRPr="00011E8F">
              <w:rPr>
                <w:rFonts w:ascii="Book Antiqua" w:hAnsi="Book Antiqua"/>
                <w:color w:val="000000" w:themeColor="text1"/>
                <w:sz w:val="24"/>
                <w:szCs w:val="24"/>
              </w:rPr>
              <w:t xml:space="preserve">Pharmacy. </w:t>
            </w:r>
          </w:p>
        </w:tc>
      </w:tr>
      <w:tr w:rsidR="00011E8F" w:rsidRPr="00011E8F" w14:paraId="7293FC54" w14:textId="77777777" w:rsidTr="00FC61F7">
        <w:tc>
          <w:tcPr>
            <w:tcW w:w="9060" w:type="dxa"/>
          </w:tcPr>
          <w:p w14:paraId="28C04140" w14:textId="77777777" w:rsidR="00124163" w:rsidRPr="00011E8F" w:rsidRDefault="00124163" w:rsidP="00FC61F7">
            <w:pPr>
              <w:pStyle w:val="a3"/>
              <w:snapToGrid w:val="0"/>
              <w:spacing w:line="360" w:lineRule="auto"/>
              <w:ind w:left="1440"/>
              <w:contextualSpacing w:val="0"/>
              <w:jc w:val="both"/>
              <w:rPr>
                <w:rFonts w:ascii="Book Antiqua" w:hAnsi="Book Antiqua"/>
                <w:color w:val="000000" w:themeColor="text1"/>
                <w:sz w:val="24"/>
                <w:szCs w:val="24"/>
                <w:lang w:val="en-US"/>
              </w:rPr>
            </w:pPr>
            <w:r w:rsidRPr="00011E8F">
              <w:rPr>
                <w:rFonts w:ascii="Book Antiqua" w:hAnsi="Book Antiqua"/>
                <w:color w:val="000000" w:themeColor="text1"/>
                <w:sz w:val="24"/>
                <w:szCs w:val="24"/>
                <w:lang w:val="en-US"/>
              </w:rPr>
              <w:t>Readmissions associated with the surgery, however remote the relation.</w:t>
            </w:r>
          </w:p>
        </w:tc>
      </w:tr>
      <w:tr w:rsidR="00011E8F" w:rsidRPr="00011E8F" w14:paraId="79738FEB" w14:textId="77777777" w:rsidTr="00FC61F7">
        <w:tc>
          <w:tcPr>
            <w:tcW w:w="9060" w:type="dxa"/>
          </w:tcPr>
          <w:p w14:paraId="324418AE" w14:textId="77777777" w:rsidR="00124163" w:rsidRPr="00011E8F" w:rsidRDefault="00124163" w:rsidP="00FC61F7">
            <w:pPr>
              <w:pStyle w:val="a3"/>
              <w:snapToGrid w:val="0"/>
              <w:spacing w:line="360" w:lineRule="auto"/>
              <w:ind w:left="1440"/>
              <w:contextualSpacing w:val="0"/>
              <w:jc w:val="both"/>
              <w:rPr>
                <w:rFonts w:ascii="Book Antiqua" w:hAnsi="Book Antiqua"/>
                <w:color w:val="000000" w:themeColor="text1"/>
                <w:sz w:val="24"/>
                <w:szCs w:val="24"/>
                <w:lang w:val="en-US"/>
              </w:rPr>
            </w:pPr>
            <w:r w:rsidRPr="00011E8F">
              <w:rPr>
                <w:rFonts w:ascii="Book Antiqua" w:hAnsi="Book Antiqua"/>
                <w:color w:val="000000" w:themeColor="text1"/>
                <w:sz w:val="24"/>
                <w:szCs w:val="24"/>
                <w:lang w:val="en-US"/>
              </w:rPr>
              <w:t xml:space="preserve">Care </w:t>
            </w:r>
            <w:proofErr w:type="spellStart"/>
            <w:r w:rsidRPr="00011E8F">
              <w:rPr>
                <w:rFonts w:ascii="Book Antiqua" w:hAnsi="Book Antiqua"/>
                <w:color w:val="000000" w:themeColor="text1"/>
                <w:sz w:val="24"/>
                <w:szCs w:val="24"/>
                <w:lang w:val="en-US"/>
              </w:rPr>
              <w:t>centres</w:t>
            </w:r>
            <w:proofErr w:type="spellEnd"/>
            <w:r w:rsidRPr="00011E8F">
              <w:rPr>
                <w:rFonts w:ascii="Book Antiqua" w:hAnsi="Book Antiqua"/>
                <w:color w:val="000000" w:themeColor="text1"/>
                <w:sz w:val="24"/>
                <w:szCs w:val="24"/>
                <w:lang w:val="en-US"/>
              </w:rPr>
              <w:t xml:space="preserve"> (for example, rehabilitation, </w:t>
            </w:r>
            <w:proofErr w:type="spellStart"/>
            <w:r w:rsidRPr="00011E8F">
              <w:rPr>
                <w:rFonts w:ascii="Book Antiqua" w:hAnsi="Book Antiqua"/>
                <w:color w:val="000000" w:themeColor="text1"/>
                <w:sz w:val="24"/>
                <w:szCs w:val="24"/>
                <w:lang w:val="en-US"/>
              </w:rPr>
              <w:t>convalecence</w:t>
            </w:r>
            <w:proofErr w:type="spellEnd"/>
            <w:r w:rsidRPr="00011E8F">
              <w:rPr>
                <w:rFonts w:ascii="Book Antiqua" w:hAnsi="Book Antiqua"/>
                <w:color w:val="000000" w:themeColor="text1"/>
                <w:sz w:val="24"/>
                <w:szCs w:val="24"/>
                <w:lang w:val="en-US"/>
              </w:rPr>
              <w:t xml:space="preserve"> or other long-term care </w:t>
            </w:r>
            <w:proofErr w:type="spellStart"/>
            <w:r w:rsidRPr="00011E8F">
              <w:rPr>
                <w:rFonts w:ascii="Book Antiqua" w:hAnsi="Book Antiqua"/>
                <w:color w:val="000000" w:themeColor="text1"/>
                <w:sz w:val="24"/>
                <w:szCs w:val="24"/>
                <w:lang w:val="en-US"/>
              </w:rPr>
              <w:t>centres</w:t>
            </w:r>
            <w:proofErr w:type="spellEnd"/>
            <w:r w:rsidRPr="00011E8F">
              <w:rPr>
                <w:rFonts w:ascii="Book Antiqua" w:hAnsi="Book Antiqua"/>
                <w:color w:val="000000" w:themeColor="text1"/>
                <w:sz w:val="24"/>
                <w:szCs w:val="24"/>
                <w:lang w:val="en-US"/>
              </w:rPr>
              <w:t xml:space="preserve">) </w:t>
            </w:r>
          </w:p>
        </w:tc>
      </w:tr>
      <w:tr w:rsidR="00011E8F" w:rsidRPr="00011E8F" w14:paraId="7E9E17E9" w14:textId="77777777" w:rsidTr="00FC61F7">
        <w:tc>
          <w:tcPr>
            <w:tcW w:w="9060" w:type="dxa"/>
          </w:tcPr>
          <w:p w14:paraId="616519DD" w14:textId="77777777" w:rsidR="00124163" w:rsidRPr="00011E8F" w:rsidRDefault="00124163" w:rsidP="00FC61F7">
            <w:pPr>
              <w:pStyle w:val="a3"/>
              <w:snapToGrid w:val="0"/>
              <w:spacing w:line="360" w:lineRule="auto"/>
              <w:ind w:left="1440"/>
              <w:contextualSpacing w:val="0"/>
              <w:jc w:val="both"/>
              <w:rPr>
                <w:rFonts w:ascii="Book Antiqua" w:hAnsi="Book Antiqua"/>
                <w:color w:val="000000" w:themeColor="text1"/>
                <w:sz w:val="24"/>
                <w:szCs w:val="24"/>
              </w:rPr>
            </w:pPr>
            <w:r w:rsidRPr="00011E8F">
              <w:rPr>
                <w:rFonts w:ascii="Book Antiqua" w:hAnsi="Book Antiqua"/>
                <w:color w:val="000000" w:themeColor="text1"/>
                <w:sz w:val="24"/>
                <w:szCs w:val="24"/>
              </w:rPr>
              <w:lastRenderedPageBreak/>
              <w:t>Health transport: ambulances.</w:t>
            </w:r>
          </w:p>
        </w:tc>
      </w:tr>
      <w:tr w:rsidR="00011E8F" w:rsidRPr="00011E8F" w14:paraId="62190B67" w14:textId="77777777" w:rsidTr="00FC61F7">
        <w:tc>
          <w:tcPr>
            <w:tcW w:w="9060" w:type="dxa"/>
          </w:tcPr>
          <w:p w14:paraId="120843AD" w14:textId="73B828AC" w:rsidR="00124163" w:rsidRPr="00011E8F" w:rsidRDefault="00124163" w:rsidP="00FC61F7">
            <w:pPr>
              <w:pStyle w:val="a3"/>
              <w:snapToGrid w:val="0"/>
              <w:spacing w:line="360" w:lineRule="auto"/>
              <w:ind w:left="1440"/>
              <w:contextualSpacing w:val="0"/>
              <w:jc w:val="both"/>
              <w:rPr>
                <w:rFonts w:ascii="Book Antiqua" w:hAnsi="Book Antiqua"/>
                <w:color w:val="000000" w:themeColor="text1"/>
                <w:sz w:val="24"/>
                <w:szCs w:val="24"/>
              </w:rPr>
            </w:pPr>
            <w:r w:rsidRPr="00011E8F">
              <w:rPr>
                <w:rFonts w:ascii="Book Antiqua" w:hAnsi="Book Antiqua"/>
                <w:color w:val="000000" w:themeColor="text1"/>
                <w:sz w:val="24"/>
                <w:szCs w:val="24"/>
              </w:rPr>
              <w:t>Prostheses, wheelchaires…</w:t>
            </w:r>
          </w:p>
        </w:tc>
      </w:tr>
      <w:tr w:rsidR="00011E8F" w:rsidRPr="00011E8F" w14:paraId="61AADEBD" w14:textId="77777777" w:rsidTr="00FC61F7">
        <w:tc>
          <w:tcPr>
            <w:tcW w:w="9060" w:type="dxa"/>
          </w:tcPr>
          <w:p w14:paraId="75D75A29" w14:textId="5488DD53" w:rsidR="00124163" w:rsidRPr="00011E8F" w:rsidRDefault="00675B56" w:rsidP="00FC61F7">
            <w:pPr>
              <w:snapToGrid w:val="0"/>
              <w:spacing w:line="360" w:lineRule="auto"/>
              <w:jc w:val="both"/>
              <w:rPr>
                <w:rFonts w:ascii="Book Antiqua" w:hAnsi="Book Antiqua"/>
                <w:color w:val="000000" w:themeColor="text1"/>
                <w:sz w:val="24"/>
                <w:szCs w:val="24"/>
              </w:rPr>
            </w:pPr>
            <w:r w:rsidRPr="00011E8F">
              <w:rPr>
                <w:rFonts w:ascii="Book Antiqua" w:hAnsi="Book Antiqua"/>
                <w:color w:val="000000" w:themeColor="text1"/>
                <w:sz w:val="24"/>
                <w:szCs w:val="24"/>
              </w:rPr>
              <w:t>Non-health-related</w:t>
            </w:r>
          </w:p>
        </w:tc>
      </w:tr>
      <w:tr w:rsidR="00011E8F" w:rsidRPr="00011E8F" w14:paraId="0E7CF539" w14:textId="77777777" w:rsidTr="00FC61F7">
        <w:tc>
          <w:tcPr>
            <w:tcW w:w="9060" w:type="dxa"/>
          </w:tcPr>
          <w:p w14:paraId="732FDEA2" w14:textId="77777777" w:rsidR="00124163" w:rsidRPr="00011E8F" w:rsidRDefault="00124163" w:rsidP="00FC61F7">
            <w:pPr>
              <w:pStyle w:val="a3"/>
              <w:snapToGrid w:val="0"/>
              <w:spacing w:line="360" w:lineRule="auto"/>
              <w:contextualSpacing w:val="0"/>
              <w:jc w:val="both"/>
              <w:rPr>
                <w:rFonts w:ascii="Book Antiqua" w:hAnsi="Book Antiqua"/>
                <w:color w:val="000000" w:themeColor="text1"/>
                <w:sz w:val="24"/>
                <w:szCs w:val="24"/>
              </w:rPr>
            </w:pPr>
            <w:r w:rsidRPr="00011E8F">
              <w:rPr>
                <w:rFonts w:ascii="Book Antiqua" w:hAnsi="Book Antiqua"/>
                <w:color w:val="000000" w:themeColor="text1"/>
                <w:sz w:val="24"/>
                <w:szCs w:val="24"/>
              </w:rPr>
              <w:t>Monetary:</w:t>
            </w:r>
          </w:p>
        </w:tc>
      </w:tr>
      <w:tr w:rsidR="00011E8F" w:rsidRPr="00011E8F" w14:paraId="085B18F4" w14:textId="77777777" w:rsidTr="00FC61F7">
        <w:tc>
          <w:tcPr>
            <w:tcW w:w="9060" w:type="dxa"/>
          </w:tcPr>
          <w:p w14:paraId="6AD855A9" w14:textId="05B6FA10" w:rsidR="00124163" w:rsidRPr="00011E8F" w:rsidRDefault="00124163" w:rsidP="00FC61F7">
            <w:pPr>
              <w:pStyle w:val="a3"/>
              <w:snapToGrid w:val="0"/>
              <w:spacing w:line="360" w:lineRule="auto"/>
              <w:ind w:left="1434"/>
              <w:contextualSpacing w:val="0"/>
              <w:jc w:val="both"/>
              <w:rPr>
                <w:rFonts w:ascii="Book Antiqua" w:hAnsi="Book Antiqua"/>
                <w:color w:val="000000" w:themeColor="text1"/>
                <w:sz w:val="24"/>
                <w:szCs w:val="24"/>
                <w:lang w:val="en-US"/>
              </w:rPr>
            </w:pPr>
            <w:r w:rsidRPr="00011E8F">
              <w:rPr>
                <w:rFonts w:ascii="Book Antiqua" w:hAnsi="Book Antiqua"/>
                <w:color w:val="000000" w:themeColor="text1"/>
                <w:sz w:val="24"/>
                <w:szCs w:val="24"/>
                <w:lang w:val="en-US"/>
              </w:rPr>
              <w:t>Social services: home care, notification systems…</w:t>
            </w:r>
          </w:p>
        </w:tc>
      </w:tr>
      <w:tr w:rsidR="00011E8F" w:rsidRPr="00011E8F" w14:paraId="02F3EC18" w14:textId="77777777" w:rsidTr="00FC61F7">
        <w:tc>
          <w:tcPr>
            <w:tcW w:w="9060" w:type="dxa"/>
          </w:tcPr>
          <w:p w14:paraId="29D8F320" w14:textId="77777777" w:rsidR="00124163" w:rsidRPr="00011E8F" w:rsidRDefault="00124163" w:rsidP="00FC61F7">
            <w:pPr>
              <w:pStyle w:val="a3"/>
              <w:snapToGrid w:val="0"/>
              <w:spacing w:line="360" w:lineRule="auto"/>
              <w:ind w:left="1440"/>
              <w:contextualSpacing w:val="0"/>
              <w:jc w:val="both"/>
              <w:rPr>
                <w:rFonts w:ascii="Book Antiqua" w:hAnsi="Book Antiqua"/>
                <w:color w:val="000000" w:themeColor="text1"/>
                <w:sz w:val="24"/>
                <w:szCs w:val="24"/>
                <w:lang w:val="en-US"/>
              </w:rPr>
            </w:pPr>
            <w:r w:rsidRPr="00011E8F">
              <w:rPr>
                <w:rFonts w:ascii="Book Antiqua" w:hAnsi="Book Antiqua"/>
                <w:color w:val="000000" w:themeColor="text1"/>
                <w:sz w:val="24"/>
                <w:szCs w:val="24"/>
                <w:lang w:val="en-US"/>
              </w:rPr>
              <w:t>Time taken to receive medical care.</w:t>
            </w:r>
          </w:p>
        </w:tc>
      </w:tr>
      <w:tr w:rsidR="00011E8F" w:rsidRPr="00011E8F" w14:paraId="5555FFDB" w14:textId="77777777" w:rsidTr="00FC61F7">
        <w:tc>
          <w:tcPr>
            <w:tcW w:w="9060" w:type="dxa"/>
          </w:tcPr>
          <w:p w14:paraId="62B5038C" w14:textId="77777777" w:rsidR="00124163" w:rsidRPr="00011E8F" w:rsidRDefault="00124163" w:rsidP="00FC61F7">
            <w:pPr>
              <w:pStyle w:val="a3"/>
              <w:snapToGrid w:val="0"/>
              <w:spacing w:line="360" w:lineRule="auto"/>
              <w:ind w:left="1440"/>
              <w:contextualSpacing w:val="0"/>
              <w:jc w:val="both"/>
              <w:rPr>
                <w:rFonts w:ascii="Book Antiqua" w:hAnsi="Book Antiqua"/>
                <w:color w:val="000000" w:themeColor="text1"/>
                <w:sz w:val="24"/>
                <w:szCs w:val="24"/>
                <w:lang w:val="en-US"/>
              </w:rPr>
            </w:pPr>
            <w:r w:rsidRPr="00011E8F">
              <w:rPr>
                <w:rFonts w:ascii="Book Antiqua" w:hAnsi="Book Antiqua"/>
                <w:color w:val="000000" w:themeColor="text1"/>
                <w:sz w:val="24"/>
                <w:szCs w:val="24"/>
                <w:lang w:val="en-US"/>
              </w:rPr>
              <w:t>Transport costs incurred by patients and families.</w:t>
            </w:r>
          </w:p>
        </w:tc>
      </w:tr>
      <w:tr w:rsidR="00011E8F" w:rsidRPr="00011E8F" w14:paraId="024A804E" w14:textId="77777777" w:rsidTr="00FC61F7">
        <w:tc>
          <w:tcPr>
            <w:tcW w:w="9060" w:type="dxa"/>
          </w:tcPr>
          <w:p w14:paraId="5F4557E9" w14:textId="77777777" w:rsidR="00124163" w:rsidRPr="00011E8F" w:rsidRDefault="00124163" w:rsidP="00FC61F7">
            <w:pPr>
              <w:pStyle w:val="a3"/>
              <w:snapToGrid w:val="0"/>
              <w:spacing w:line="360" w:lineRule="auto"/>
              <w:ind w:left="1440"/>
              <w:contextualSpacing w:val="0"/>
              <w:jc w:val="both"/>
              <w:rPr>
                <w:rFonts w:ascii="Book Antiqua" w:hAnsi="Book Antiqua"/>
                <w:color w:val="000000" w:themeColor="text1"/>
                <w:sz w:val="24"/>
                <w:szCs w:val="24"/>
              </w:rPr>
            </w:pPr>
            <w:r w:rsidRPr="00011E8F">
              <w:rPr>
                <w:rFonts w:ascii="Book Antiqua" w:hAnsi="Book Antiqua"/>
                <w:color w:val="000000" w:themeColor="text1"/>
                <w:sz w:val="24"/>
                <w:szCs w:val="24"/>
              </w:rPr>
              <w:t>Care for patient’s dependents.</w:t>
            </w:r>
          </w:p>
        </w:tc>
      </w:tr>
      <w:tr w:rsidR="00011E8F" w:rsidRPr="00011E8F" w14:paraId="60B53D58" w14:textId="77777777" w:rsidTr="00FC61F7">
        <w:tc>
          <w:tcPr>
            <w:tcW w:w="9060" w:type="dxa"/>
          </w:tcPr>
          <w:p w14:paraId="7F28F112" w14:textId="4580B353" w:rsidR="00124163" w:rsidRPr="00011E8F" w:rsidRDefault="00124163" w:rsidP="00FC61F7">
            <w:pPr>
              <w:pStyle w:val="a3"/>
              <w:snapToGrid w:val="0"/>
              <w:spacing w:line="360" w:lineRule="auto"/>
              <w:ind w:left="1440"/>
              <w:contextualSpacing w:val="0"/>
              <w:jc w:val="both"/>
              <w:rPr>
                <w:rFonts w:ascii="Book Antiqua" w:hAnsi="Book Antiqua"/>
                <w:color w:val="000000" w:themeColor="text1"/>
                <w:sz w:val="24"/>
                <w:szCs w:val="24"/>
                <w:lang w:val="en-US"/>
              </w:rPr>
            </w:pPr>
            <w:r w:rsidRPr="00011E8F">
              <w:rPr>
                <w:rFonts w:ascii="Book Antiqua" w:hAnsi="Book Antiqua"/>
                <w:color w:val="000000" w:themeColor="text1"/>
                <w:sz w:val="24"/>
                <w:szCs w:val="24"/>
                <w:lang w:val="en-US"/>
              </w:rPr>
              <w:t>Adaptation of the home, vehicles…</w:t>
            </w:r>
          </w:p>
        </w:tc>
      </w:tr>
      <w:tr w:rsidR="00011E8F" w:rsidRPr="00011E8F" w14:paraId="139A1ADA" w14:textId="77777777" w:rsidTr="00FC61F7">
        <w:tc>
          <w:tcPr>
            <w:tcW w:w="9060" w:type="dxa"/>
          </w:tcPr>
          <w:p w14:paraId="23FF48D7" w14:textId="77777777" w:rsidR="00124163" w:rsidRPr="00011E8F" w:rsidRDefault="00124163" w:rsidP="00FC61F7">
            <w:pPr>
              <w:pStyle w:val="a3"/>
              <w:snapToGrid w:val="0"/>
              <w:spacing w:line="360" w:lineRule="auto"/>
              <w:contextualSpacing w:val="0"/>
              <w:jc w:val="both"/>
              <w:rPr>
                <w:rFonts w:ascii="Book Antiqua" w:hAnsi="Book Antiqua"/>
                <w:color w:val="000000" w:themeColor="text1"/>
                <w:sz w:val="24"/>
                <w:szCs w:val="24"/>
              </w:rPr>
            </w:pPr>
            <w:r w:rsidRPr="00011E8F">
              <w:rPr>
                <w:rFonts w:ascii="Book Antiqua" w:hAnsi="Book Antiqua"/>
                <w:color w:val="000000" w:themeColor="text1"/>
                <w:sz w:val="24"/>
                <w:szCs w:val="24"/>
              </w:rPr>
              <w:t>Non-monetary (opportunity cost):</w:t>
            </w:r>
          </w:p>
        </w:tc>
      </w:tr>
      <w:tr w:rsidR="00011E8F" w:rsidRPr="00011E8F" w14:paraId="481C0D42" w14:textId="77777777" w:rsidTr="00FC61F7">
        <w:tc>
          <w:tcPr>
            <w:tcW w:w="9060" w:type="dxa"/>
          </w:tcPr>
          <w:p w14:paraId="1A04E042" w14:textId="77777777" w:rsidR="00124163" w:rsidRPr="00011E8F" w:rsidRDefault="00124163" w:rsidP="00FC61F7">
            <w:pPr>
              <w:pStyle w:val="a3"/>
              <w:snapToGrid w:val="0"/>
              <w:spacing w:line="360" w:lineRule="auto"/>
              <w:ind w:left="1440"/>
              <w:contextualSpacing w:val="0"/>
              <w:jc w:val="both"/>
              <w:rPr>
                <w:rFonts w:ascii="Book Antiqua" w:hAnsi="Book Antiqua"/>
                <w:color w:val="000000" w:themeColor="text1"/>
                <w:sz w:val="24"/>
                <w:szCs w:val="24"/>
                <w:lang w:val="en-US"/>
              </w:rPr>
            </w:pPr>
            <w:r w:rsidRPr="00011E8F">
              <w:rPr>
                <w:rFonts w:ascii="Book Antiqua" w:hAnsi="Book Antiqua"/>
                <w:color w:val="000000" w:themeColor="text1"/>
                <w:sz w:val="24"/>
                <w:szCs w:val="24"/>
                <w:lang w:val="en-US"/>
              </w:rPr>
              <w:t>Time taken by the patient, families and friends in care of the illness.</w:t>
            </w:r>
          </w:p>
        </w:tc>
      </w:tr>
      <w:tr w:rsidR="00011E8F" w:rsidRPr="00011E8F" w14:paraId="5710D922" w14:textId="77777777" w:rsidTr="00FC61F7">
        <w:tc>
          <w:tcPr>
            <w:tcW w:w="9060" w:type="dxa"/>
          </w:tcPr>
          <w:p w14:paraId="7735692D" w14:textId="260E8D7A" w:rsidR="00124163" w:rsidRPr="00011E8F" w:rsidRDefault="00675B56" w:rsidP="00FC61F7">
            <w:pPr>
              <w:snapToGrid w:val="0"/>
              <w:spacing w:line="360" w:lineRule="auto"/>
              <w:jc w:val="both"/>
              <w:rPr>
                <w:rFonts w:ascii="Book Antiqua" w:hAnsi="Book Antiqua"/>
                <w:color w:val="000000" w:themeColor="text1"/>
                <w:sz w:val="24"/>
                <w:szCs w:val="24"/>
              </w:rPr>
            </w:pPr>
            <w:r w:rsidRPr="00011E8F">
              <w:rPr>
                <w:rFonts w:ascii="Book Antiqua" w:hAnsi="Book Antiqua"/>
                <w:color w:val="000000" w:themeColor="text1"/>
                <w:sz w:val="24"/>
                <w:szCs w:val="24"/>
              </w:rPr>
              <w:t>Indirect costs</w:t>
            </w:r>
          </w:p>
        </w:tc>
      </w:tr>
      <w:tr w:rsidR="00011E8F" w:rsidRPr="00011E8F" w14:paraId="510DD0C7" w14:textId="77777777" w:rsidTr="00FC61F7">
        <w:tc>
          <w:tcPr>
            <w:tcW w:w="9060" w:type="dxa"/>
          </w:tcPr>
          <w:p w14:paraId="3C66DBDF" w14:textId="77777777" w:rsidR="00124163" w:rsidRPr="00011E8F" w:rsidRDefault="00124163" w:rsidP="00FC61F7">
            <w:pPr>
              <w:pStyle w:val="a3"/>
              <w:snapToGrid w:val="0"/>
              <w:spacing w:line="360" w:lineRule="auto"/>
              <w:contextualSpacing w:val="0"/>
              <w:jc w:val="both"/>
              <w:rPr>
                <w:rFonts w:ascii="Book Antiqua" w:hAnsi="Book Antiqua"/>
                <w:color w:val="000000" w:themeColor="text1"/>
                <w:sz w:val="24"/>
                <w:szCs w:val="24"/>
                <w:lang w:val="en-US"/>
              </w:rPr>
            </w:pPr>
            <w:r w:rsidRPr="00011E8F">
              <w:rPr>
                <w:rFonts w:ascii="Book Antiqua" w:hAnsi="Book Antiqua"/>
                <w:color w:val="000000" w:themeColor="text1"/>
                <w:sz w:val="24"/>
                <w:szCs w:val="24"/>
                <w:lang w:val="en-US"/>
              </w:rPr>
              <w:t>Productivity lost by patients (those in employment):</w:t>
            </w:r>
          </w:p>
        </w:tc>
      </w:tr>
      <w:tr w:rsidR="00011E8F" w:rsidRPr="00011E8F" w14:paraId="5776DF85" w14:textId="77777777" w:rsidTr="00FC61F7">
        <w:tc>
          <w:tcPr>
            <w:tcW w:w="9060" w:type="dxa"/>
          </w:tcPr>
          <w:p w14:paraId="1A0F492C" w14:textId="77777777" w:rsidR="00124163" w:rsidRPr="00011E8F" w:rsidRDefault="00124163" w:rsidP="00FC61F7">
            <w:pPr>
              <w:pStyle w:val="a3"/>
              <w:snapToGrid w:val="0"/>
              <w:spacing w:line="360" w:lineRule="auto"/>
              <w:ind w:left="1440"/>
              <w:contextualSpacing w:val="0"/>
              <w:jc w:val="both"/>
              <w:rPr>
                <w:rFonts w:ascii="Book Antiqua" w:hAnsi="Book Antiqua"/>
                <w:color w:val="000000" w:themeColor="text1"/>
                <w:sz w:val="24"/>
                <w:szCs w:val="24"/>
                <w:lang w:val="en-US"/>
              </w:rPr>
            </w:pPr>
            <w:r w:rsidRPr="00011E8F">
              <w:rPr>
                <w:rFonts w:ascii="Book Antiqua" w:hAnsi="Book Antiqua"/>
                <w:color w:val="000000" w:themeColor="text1"/>
                <w:sz w:val="24"/>
                <w:szCs w:val="24"/>
                <w:lang w:val="en-US"/>
              </w:rPr>
              <w:t>Temporary or definitive incapacity for work.</w:t>
            </w:r>
          </w:p>
        </w:tc>
      </w:tr>
      <w:tr w:rsidR="00011E8F" w:rsidRPr="00011E8F" w14:paraId="25587B8C" w14:textId="77777777" w:rsidTr="00FC61F7">
        <w:tc>
          <w:tcPr>
            <w:tcW w:w="9060" w:type="dxa"/>
          </w:tcPr>
          <w:p w14:paraId="0669D68C" w14:textId="77777777" w:rsidR="00124163" w:rsidRPr="00011E8F" w:rsidRDefault="00124163" w:rsidP="00FC61F7">
            <w:pPr>
              <w:pStyle w:val="a3"/>
              <w:snapToGrid w:val="0"/>
              <w:spacing w:line="360" w:lineRule="auto"/>
              <w:ind w:left="1440"/>
              <w:contextualSpacing w:val="0"/>
              <w:jc w:val="both"/>
              <w:rPr>
                <w:rFonts w:ascii="Book Antiqua" w:hAnsi="Book Antiqua"/>
                <w:color w:val="000000" w:themeColor="text1"/>
                <w:sz w:val="24"/>
                <w:szCs w:val="24"/>
              </w:rPr>
            </w:pPr>
            <w:r w:rsidRPr="00011E8F">
              <w:rPr>
                <w:rFonts w:ascii="Book Antiqua" w:hAnsi="Book Antiqua"/>
                <w:color w:val="000000" w:themeColor="text1"/>
                <w:sz w:val="24"/>
                <w:szCs w:val="24"/>
              </w:rPr>
              <w:t>Readaptation in the workplace.</w:t>
            </w:r>
          </w:p>
        </w:tc>
      </w:tr>
      <w:tr w:rsidR="00011E8F" w:rsidRPr="00011E8F" w14:paraId="643D1233" w14:textId="77777777" w:rsidTr="00FC61F7">
        <w:tc>
          <w:tcPr>
            <w:tcW w:w="9060" w:type="dxa"/>
          </w:tcPr>
          <w:p w14:paraId="4E8876A9" w14:textId="77777777" w:rsidR="00124163" w:rsidRPr="00011E8F" w:rsidRDefault="00124163" w:rsidP="00FC61F7">
            <w:pPr>
              <w:pStyle w:val="a3"/>
              <w:snapToGrid w:val="0"/>
              <w:spacing w:line="360" w:lineRule="auto"/>
              <w:ind w:left="1440"/>
              <w:contextualSpacing w:val="0"/>
              <w:jc w:val="both"/>
              <w:rPr>
                <w:rFonts w:ascii="Book Antiqua" w:hAnsi="Book Antiqua"/>
                <w:color w:val="000000" w:themeColor="text1"/>
                <w:sz w:val="24"/>
                <w:szCs w:val="24"/>
              </w:rPr>
            </w:pPr>
            <w:r w:rsidRPr="00011E8F">
              <w:rPr>
                <w:rFonts w:ascii="Book Antiqua" w:hAnsi="Book Antiqua"/>
                <w:color w:val="000000" w:themeColor="text1"/>
                <w:sz w:val="24"/>
                <w:szCs w:val="24"/>
              </w:rPr>
              <w:t>Death.</w:t>
            </w:r>
          </w:p>
        </w:tc>
      </w:tr>
      <w:tr w:rsidR="00011E8F" w:rsidRPr="00011E8F" w14:paraId="386622D1" w14:textId="77777777" w:rsidTr="00FC61F7">
        <w:tc>
          <w:tcPr>
            <w:tcW w:w="9060" w:type="dxa"/>
          </w:tcPr>
          <w:p w14:paraId="15F02272" w14:textId="77777777" w:rsidR="00124163" w:rsidRPr="00011E8F" w:rsidRDefault="00124163" w:rsidP="00FC61F7">
            <w:pPr>
              <w:pStyle w:val="a3"/>
              <w:snapToGrid w:val="0"/>
              <w:spacing w:line="360" w:lineRule="auto"/>
              <w:contextualSpacing w:val="0"/>
              <w:jc w:val="both"/>
              <w:rPr>
                <w:rFonts w:ascii="Book Antiqua" w:hAnsi="Book Antiqua"/>
                <w:color w:val="000000" w:themeColor="text1"/>
                <w:sz w:val="24"/>
                <w:szCs w:val="24"/>
                <w:lang w:val="en-US"/>
              </w:rPr>
            </w:pPr>
            <w:r w:rsidRPr="00011E8F">
              <w:rPr>
                <w:rFonts w:ascii="Book Antiqua" w:hAnsi="Book Antiqua"/>
                <w:color w:val="000000" w:themeColor="text1"/>
                <w:sz w:val="24"/>
                <w:szCs w:val="24"/>
                <w:lang w:val="en-US"/>
              </w:rPr>
              <w:t>Productivity lost by family members (those in employment):</w:t>
            </w:r>
          </w:p>
        </w:tc>
      </w:tr>
      <w:tr w:rsidR="00011E8F" w:rsidRPr="00011E8F" w14:paraId="139DDC00" w14:textId="77777777" w:rsidTr="00FC61F7">
        <w:tc>
          <w:tcPr>
            <w:tcW w:w="9060" w:type="dxa"/>
          </w:tcPr>
          <w:p w14:paraId="415276A1" w14:textId="77777777" w:rsidR="00124163" w:rsidRPr="00011E8F" w:rsidRDefault="00124163" w:rsidP="00FC61F7">
            <w:pPr>
              <w:pStyle w:val="a3"/>
              <w:snapToGrid w:val="0"/>
              <w:spacing w:line="360" w:lineRule="auto"/>
              <w:ind w:left="1428"/>
              <w:contextualSpacing w:val="0"/>
              <w:jc w:val="both"/>
              <w:rPr>
                <w:rFonts w:ascii="Book Antiqua" w:hAnsi="Book Antiqua"/>
                <w:color w:val="000000" w:themeColor="text1"/>
                <w:sz w:val="24"/>
                <w:szCs w:val="24"/>
              </w:rPr>
            </w:pPr>
            <w:r w:rsidRPr="00011E8F">
              <w:rPr>
                <w:rFonts w:ascii="Book Antiqua" w:hAnsi="Book Antiqua"/>
                <w:color w:val="000000" w:themeColor="text1"/>
                <w:sz w:val="24"/>
                <w:szCs w:val="24"/>
              </w:rPr>
              <w:t>Paid time off work.</w:t>
            </w:r>
          </w:p>
        </w:tc>
      </w:tr>
      <w:tr w:rsidR="00011E8F" w:rsidRPr="00011E8F" w14:paraId="6B9FAF78" w14:textId="77777777" w:rsidTr="00FC61F7">
        <w:tc>
          <w:tcPr>
            <w:tcW w:w="9060" w:type="dxa"/>
          </w:tcPr>
          <w:p w14:paraId="2A0DB9DA" w14:textId="77777777" w:rsidR="00124163" w:rsidRPr="00011E8F" w:rsidRDefault="00124163" w:rsidP="00FC61F7">
            <w:pPr>
              <w:pStyle w:val="a3"/>
              <w:snapToGrid w:val="0"/>
              <w:spacing w:line="360" w:lineRule="auto"/>
              <w:ind w:left="1428"/>
              <w:contextualSpacing w:val="0"/>
              <w:jc w:val="both"/>
              <w:rPr>
                <w:rFonts w:ascii="Book Antiqua" w:hAnsi="Book Antiqua"/>
                <w:color w:val="000000" w:themeColor="text1"/>
                <w:sz w:val="24"/>
                <w:szCs w:val="24"/>
                <w:lang w:val="en-US"/>
              </w:rPr>
            </w:pPr>
            <w:r w:rsidRPr="00011E8F">
              <w:rPr>
                <w:rFonts w:ascii="Book Antiqua" w:hAnsi="Book Antiqua"/>
                <w:color w:val="000000" w:themeColor="text1"/>
                <w:sz w:val="24"/>
                <w:szCs w:val="24"/>
                <w:lang w:val="en-US"/>
              </w:rPr>
              <w:t>Non-paid time off work.</w:t>
            </w:r>
          </w:p>
        </w:tc>
      </w:tr>
      <w:tr w:rsidR="00011E8F" w:rsidRPr="00011E8F" w14:paraId="4C724787" w14:textId="77777777" w:rsidTr="00FC61F7">
        <w:tc>
          <w:tcPr>
            <w:tcW w:w="9060" w:type="dxa"/>
          </w:tcPr>
          <w:p w14:paraId="74C5343F" w14:textId="6776C7E5" w:rsidR="00281FD8" w:rsidRPr="00011E8F" w:rsidRDefault="00D75070" w:rsidP="00FC61F7">
            <w:pPr>
              <w:pStyle w:val="a3"/>
              <w:snapToGrid w:val="0"/>
              <w:spacing w:line="360" w:lineRule="auto"/>
              <w:contextualSpacing w:val="0"/>
              <w:jc w:val="both"/>
              <w:rPr>
                <w:rFonts w:ascii="Book Antiqua" w:hAnsi="Book Antiqua"/>
                <w:color w:val="000000" w:themeColor="text1"/>
                <w:sz w:val="24"/>
                <w:szCs w:val="24"/>
                <w:lang w:val="en-US"/>
              </w:rPr>
            </w:pPr>
            <w:r w:rsidRPr="00011E8F">
              <w:rPr>
                <w:rFonts w:ascii="Book Antiqua" w:hAnsi="Book Antiqua"/>
                <w:color w:val="000000" w:themeColor="text1"/>
                <w:sz w:val="24"/>
                <w:szCs w:val="24"/>
                <w:lang w:val="en-US"/>
              </w:rPr>
              <w:t>Associated with the legal issues that may occur.</w:t>
            </w:r>
          </w:p>
        </w:tc>
      </w:tr>
    </w:tbl>
    <w:p w14:paraId="7F84F06E" w14:textId="77777777" w:rsidR="00124163" w:rsidRPr="00011E8F" w:rsidRDefault="00124163" w:rsidP="00FC61F7">
      <w:pPr>
        <w:snapToGrid w:val="0"/>
        <w:spacing w:after="0" w:line="360" w:lineRule="auto"/>
        <w:jc w:val="both"/>
        <w:rPr>
          <w:rFonts w:ascii="Book Antiqua" w:hAnsi="Book Antiqua"/>
          <w:color w:val="000000" w:themeColor="text1"/>
          <w:sz w:val="24"/>
          <w:szCs w:val="24"/>
        </w:rPr>
      </w:pPr>
    </w:p>
    <w:p w14:paraId="5A6386DD" w14:textId="22B490F6" w:rsidR="00124163" w:rsidRPr="00011E8F" w:rsidRDefault="00124163" w:rsidP="00FC61F7">
      <w:pPr>
        <w:snapToGrid w:val="0"/>
        <w:spacing w:after="0" w:line="360" w:lineRule="auto"/>
        <w:jc w:val="both"/>
        <w:rPr>
          <w:rFonts w:ascii="Book Antiqua" w:hAnsi="Book Antiqua"/>
          <w:color w:val="000000" w:themeColor="text1"/>
          <w:sz w:val="24"/>
          <w:szCs w:val="24"/>
          <w:lang w:val="en-US"/>
        </w:rPr>
      </w:pPr>
      <w:r w:rsidRPr="00011E8F">
        <w:rPr>
          <w:rFonts w:ascii="Book Antiqua" w:hAnsi="Book Antiqua"/>
          <w:color w:val="000000" w:themeColor="text1"/>
          <w:sz w:val="24"/>
          <w:szCs w:val="24"/>
          <w:lang w:val="en-US"/>
        </w:rPr>
        <w:br w:type="page"/>
      </w:r>
    </w:p>
    <w:p w14:paraId="3F1E5A8D" w14:textId="114D2957" w:rsidR="00124163" w:rsidRPr="00011E8F" w:rsidRDefault="00124163" w:rsidP="00FC61F7">
      <w:pPr>
        <w:snapToGrid w:val="0"/>
        <w:spacing w:after="0" w:line="360" w:lineRule="auto"/>
        <w:jc w:val="both"/>
        <w:rPr>
          <w:rFonts w:ascii="Book Antiqua" w:hAnsi="Book Antiqua"/>
          <w:b/>
          <w:bCs/>
          <w:color w:val="000000" w:themeColor="text1"/>
          <w:sz w:val="24"/>
          <w:szCs w:val="24"/>
          <w:lang w:val="en-NZ"/>
        </w:rPr>
      </w:pPr>
      <w:r w:rsidRPr="00011E8F">
        <w:rPr>
          <w:rFonts w:ascii="Book Antiqua" w:hAnsi="Book Antiqua"/>
          <w:b/>
          <w:bCs/>
          <w:color w:val="000000" w:themeColor="text1"/>
          <w:sz w:val="24"/>
          <w:szCs w:val="24"/>
          <w:lang w:val="en-NZ"/>
        </w:rPr>
        <w:lastRenderedPageBreak/>
        <w:t>Table 2 Recommendations for the economic evaluations of costs associated with postoperative complications of surgical procedures</w:t>
      </w:r>
    </w:p>
    <w:tbl>
      <w:tblPr>
        <w:tblStyle w:val="ab"/>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7789"/>
      </w:tblGrid>
      <w:tr w:rsidR="00011E8F" w:rsidRPr="00011E8F" w14:paraId="1E6BD670" w14:textId="77777777" w:rsidTr="00675B56">
        <w:tc>
          <w:tcPr>
            <w:tcW w:w="1271" w:type="dxa"/>
            <w:tcBorders>
              <w:top w:val="single" w:sz="4" w:space="0" w:color="auto"/>
              <w:bottom w:val="single" w:sz="4" w:space="0" w:color="auto"/>
            </w:tcBorders>
          </w:tcPr>
          <w:p w14:paraId="6049B23D" w14:textId="0856D2A1" w:rsidR="00675B56" w:rsidRPr="00011E8F" w:rsidRDefault="00675B56" w:rsidP="00FC61F7">
            <w:pPr>
              <w:snapToGrid w:val="0"/>
              <w:spacing w:line="360" w:lineRule="auto"/>
              <w:jc w:val="both"/>
              <w:rPr>
                <w:rFonts w:ascii="Book Antiqua" w:hAnsi="Book Antiqua"/>
                <w:b/>
                <w:bCs/>
                <w:color w:val="000000" w:themeColor="text1"/>
                <w:sz w:val="24"/>
                <w:szCs w:val="24"/>
                <w:lang w:val="en-NZ"/>
              </w:rPr>
            </w:pPr>
            <w:r w:rsidRPr="00011E8F">
              <w:rPr>
                <w:rFonts w:ascii="Book Antiqua" w:hAnsi="Book Antiqua"/>
                <w:b/>
                <w:bCs/>
                <w:color w:val="000000" w:themeColor="text1"/>
                <w:sz w:val="24"/>
                <w:szCs w:val="24"/>
                <w:lang w:val="en-NZ" w:eastAsia="zh-CN"/>
              </w:rPr>
              <w:t>No.</w:t>
            </w:r>
          </w:p>
        </w:tc>
        <w:tc>
          <w:tcPr>
            <w:tcW w:w="7789" w:type="dxa"/>
            <w:tcBorders>
              <w:top w:val="single" w:sz="4" w:space="0" w:color="auto"/>
              <w:bottom w:val="single" w:sz="4" w:space="0" w:color="auto"/>
            </w:tcBorders>
          </w:tcPr>
          <w:p w14:paraId="0A84A99E" w14:textId="13034C8C" w:rsidR="00675B56" w:rsidRPr="00011E8F" w:rsidRDefault="00675B56" w:rsidP="00FC61F7">
            <w:pPr>
              <w:snapToGrid w:val="0"/>
              <w:spacing w:line="360" w:lineRule="auto"/>
              <w:jc w:val="both"/>
              <w:rPr>
                <w:rFonts w:ascii="Book Antiqua" w:hAnsi="Book Antiqua"/>
                <w:b/>
                <w:bCs/>
                <w:color w:val="000000" w:themeColor="text1"/>
                <w:sz w:val="24"/>
                <w:szCs w:val="24"/>
                <w:lang w:val="en-NZ"/>
              </w:rPr>
            </w:pPr>
            <w:r w:rsidRPr="00011E8F">
              <w:rPr>
                <w:rFonts w:ascii="Book Antiqua" w:hAnsi="Book Antiqua"/>
                <w:b/>
                <w:bCs/>
                <w:color w:val="000000" w:themeColor="text1"/>
                <w:sz w:val="24"/>
                <w:szCs w:val="24"/>
                <w:lang w:val="en-NZ"/>
              </w:rPr>
              <w:t>Data to be described in the economic study</w:t>
            </w:r>
          </w:p>
        </w:tc>
      </w:tr>
      <w:tr w:rsidR="00011E8F" w:rsidRPr="00011E8F" w14:paraId="116055CA" w14:textId="77777777" w:rsidTr="00675B56">
        <w:tc>
          <w:tcPr>
            <w:tcW w:w="1271" w:type="dxa"/>
            <w:tcBorders>
              <w:top w:val="single" w:sz="4" w:space="0" w:color="auto"/>
            </w:tcBorders>
          </w:tcPr>
          <w:p w14:paraId="2A0E3778" w14:textId="182BD5B3" w:rsidR="00124163" w:rsidRPr="00011E8F" w:rsidRDefault="00675B56" w:rsidP="00FC61F7">
            <w:pPr>
              <w:snapToGrid w:val="0"/>
              <w:spacing w:line="360" w:lineRule="auto"/>
              <w:jc w:val="both"/>
              <w:rPr>
                <w:rFonts w:ascii="Book Antiqua" w:hAnsi="Book Antiqua"/>
                <w:color w:val="000000" w:themeColor="text1"/>
                <w:sz w:val="24"/>
                <w:szCs w:val="24"/>
                <w:lang w:val="en-NZ" w:eastAsia="zh-CN"/>
              </w:rPr>
            </w:pPr>
            <w:r w:rsidRPr="00011E8F">
              <w:rPr>
                <w:rFonts w:ascii="Book Antiqua" w:hAnsi="Book Antiqua"/>
                <w:color w:val="000000" w:themeColor="text1"/>
                <w:sz w:val="24"/>
                <w:szCs w:val="24"/>
                <w:lang w:val="en-NZ" w:eastAsia="zh-CN"/>
              </w:rPr>
              <w:t>1</w:t>
            </w:r>
          </w:p>
        </w:tc>
        <w:tc>
          <w:tcPr>
            <w:tcW w:w="7789" w:type="dxa"/>
            <w:tcBorders>
              <w:top w:val="single" w:sz="4" w:space="0" w:color="auto"/>
            </w:tcBorders>
          </w:tcPr>
          <w:p w14:paraId="7E72B395" w14:textId="7626F5BD" w:rsidR="00124163" w:rsidRPr="00011E8F" w:rsidRDefault="00124163" w:rsidP="00FC61F7">
            <w:pPr>
              <w:snapToGrid w:val="0"/>
              <w:spacing w:line="360" w:lineRule="auto"/>
              <w:jc w:val="both"/>
              <w:rPr>
                <w:rFonts w:ascii="Book Antiqua" w:hAnsi="Book Antiqua"/>
                <w:color w:val="000000" w:themeColor="text1"/>
                <w:sz w:val="24"/>
                <w:szCs w:val="24"/>
              </w:rPr>
            </w:pPr>
            <w:r w:rsidRPr="00011E8F">
              <w:rPr>
                <w:rFonts w:ascii="Book Antiqua" w:hAnsi="Book Antiqua"/>
                <w:color w:val="000000" w:themeColor="text1"/>
                <w:sz w:val="24"/>
                <w:szCs w:val="24"/>
              </w:rPr>
              <w:t>Type of study</w:t>
            </w:r>
          </w:p>
        </w:tc>
      </w:tr>
      <w:tr w:rsidR="00011E8F" w:rsidRPr="00011E8F" w14:paraId="31AFA726" w14:textId="77777777" w:rsidTr="00675B56">
        <w:tc>
          <w:tcPr>
            <w:tcW w:w="1271" w:type="dxa"/>
          </w:tcPr>
          <w:p w14:paraId="37C7E732" w14:textId="64B1ED6C" w:rsidR="00124163" w:rsidRPr="00011E8F" w:rsidRDefault="00675B56" w:rsidP="00FC61F7">
            <w:pPr>
              <w:snapToGrid w:val="0"/>
              <w:spacing w:line="360" w:lineRule="auto"/>
              <w:jc w:val="both"/>
              <w:rPr>
                <w:rFonts w:ascii="Book Antiqua" w:hAnsi="Book Antiqua"/>
                <w:color w:val="000000" w:themeColor="text1"/>
                <w:sz w:val="24"/>
                <w:szCs w:val="24"/>
                <w:lang w:eastAsia="zh-CN"/>
              </w:rPr>
            </w:pPr>
            <w:r w:rsidRPr="00011E8F">
              <w:rPr>
                <w:rFonts w:ascii="Book Antiqua" w:hAnsi="Book Antiqua"/>
                <w:color w:val="000000" w:themeColor="text1"/>
                <w:sz w:val="24"/>
                <w:szCs w:val="24"/>
                <w:lang w:eastAsia="zh-CN"/>
              </w:rPr>
              <w:t>2</w:t>
            </w:r>
          </w:p>
        </w:tc>
        <w:tc>
          <w:tcPr>
            <w:tcW w:w="7789" w:type="dxa"/>
          </w:tcPr>
          <w:p w14:paraId="0AFD4794" w14:textId="009C580D" w:rsidR="00124163" w:rsidRPr="00011E8F" w:rsidRDefault="00124163" w:rsidP="00FC61F7">
            <w:pPr>
              <w:snapToGrid w:val="0"/>
              <w:spacing w:line="360" w:lineRule="auto"/>
              <w:jc w:val="both"/>
              <w:rPr>
                <w:rFonts w:ascii="Book Antiqua" w:hAnsi="Book Antiqua"/>
                <w:color w:val="000000" w:themeColor="text1"/>
                <w:sz w:val="24"/>
                <w:szCs w:val="24"/>
              </w:rPr>
            </w:pPr>
            <w:r w:rsidRPr="00011E8F">
              <w:rPr>
                <w:rFonts w:ascii="Book Antiqua" w:hAnsi="Book Antiqua"/>
                <w:color w:val="000000" w:themeColor="text1"/>
                <w:sz w:val="24"/>
                <w:szCs w:val="24"/>
              </w:rPr>
              <w:t>Center: particular characteristics</w:t>
            </w:r>
          </w:p>
        </w:tc>
      </w:tr>
      <w:tr w:rsidR="00011E8F" w:rsidRPr="00011E8F" w14:paraId="0C00BB07" w14:textId="77777777" w:rsidTr="00675B56">
        <w:tc>
          <w:tcPr>
            <w:tcW w:w="1271" w:type="dxa"/>
          </w:tcPr>
          <w:p w14:paraId="3AAC20FD" w14:textId="18EE2752" w:rsidR="00124163" w:rsidRPr="00011E8F" w:rsidRDefault="00675B56" w:rsidP="00FC61F7">
            <w:pPr>
              <w:snapToGrid w:val="0"/>
              <w:spacing w:line="360" w:lineRule="auto"/>
              <w:jc w:val="both"/>
              <w:rPr>
                <w:rFonts w:ascii="Book Antiqua" w:hAnsi="Book Antiqua"/>
                <w:color w:val="000000" w:themeColor="text1"/>
                <w:sz w:val="24"/>
                <w:szCs w:val="24"/>
                <w:lang w:eastAsia="zh-CN"/>
              </w:rPr>
            </w:pPr>
            <w:r w:rsidRPr="00011E8F">
              <w:rPr>
                <w:rFonts w:ascii="Book Antiqua" w:hAnsi="Book Antiqua"/>
                <w:color w:val="000000" w:themeColor="text1"/>
                <w:sz w:val="24"/>
                <w:szCs w:val="24"/>
                <w:lang w:eastAsia="zh-CN"/>
              </w:rPr>
              <w:t>3</w:t>
            </w:r>
          </w:p>
        </w:tc>
        <w:tc>
          <w:tcPr>
            <w:tcW w:w="7789" w:type="dxa"/>
          </w:tcPr>
          <w:p w14:paraId="787A6EFC" w14:textId="08EA9F40" w:rsidR="00124163" w:rsidRPr="00011E8F" w:rsidRDefault="00124163" w:rsidP="00FC61F7">
            <w:pPr>
              <w:snapToGrid w:val="0"/>
              <w:spacing w:line="360" w:lineRule="auto"/>
              <w:jc w:val="both"/>
              <w:rPr>
                <w:rFonts w:ascii="Book Antiqua" w:hAnsi="Book Antiqua"/>
                <w:color w:val="000000" w:themeColor="text1"/>
                <w:sz w:val="24"/>
                <w:szCs w:val="24"/>
                <w:lang w:val="en-NZ"/>
              </w:rPr>
            </w:pPr>
            <w:r w:rsidRPr="00011E8F">
              <w:rPr>
                <w:rFonts w:ascii="Book Antiqua" w:hAnsi="Book Antiqua"/>
                <w:color w:val="000000" w:themeColor="text1"/>
                <w:sz w:val="24"/>
                <w:szCs w:val="24"/>
                <w:lang w:val="en-NZ"/>
              </w:rPr>
              <w:t>Period of inclusion of cases</w:t>
            </w:r>
          </w:p>
        </w:tc>
      </w:tr>
      <w:tr w:rsidR="00011E8F" w:rsidRPr="00011E8F" w14:paraId="74A02FCB" w14:textId="77777777" w:rsidTr="00675B56">
        <w:tc>
          <w:tcPr>
            <w:tcW w:w="1271" w:type="dxa"/>
          </w:tcPr>
          <w:p w14:paraId="1313AA3A" w14:textId="03673B87" w:rsidR="00124163" w:rsidRPr="00011E8F" w:rsidRDefault="00675B56" w:rsidP="00FC61F7">
            <w:pPr>
              <w:snapToGrid w:val="0"/>
              <w:spacing w:line="360" w:lineRule="auto"/>
              <w:jc w:val="both"/>
              <w:rPr>
                <w:rFonts w:ascii="Book Antiqua" w:hAnsi="Book Antiqua"/>
                <w:color w:val="000000" w:themeColor="text1"/>
                <w:sz w:val="24"/>
                <w:szCs w:val="24"/>
                <w:lang w:val="en-NZ" w:eastAsia="zh-CN"/>
              </w:rPr>
            </w:pPr>
            <w:r w:rsidRPr="00011E8F">
              <w:rPr>
                <w:rFonts w:ascii="Book Antiqua" w:hAnsi="Book Antiqua"/>
                <w:color w:val="000000" w:themeColor="text1"/>
                <w:sz w:val="24"/>
                <w:szCs w:val="24"/>
                <w:lang w:val="en-NZ" w:eastAsia="zh-CN"/>
              </w:rPr>
              <w:t>4</w:t>
            </w:r>
          </w:p>
        </w:tc>
        <w:tc>
          <w:tcPr>
            <w:tcW w:w="7789" w:type="dxa"/>
          </w:tcPr>
          <w:p w14:paraId="74762CC3" w14:textId="2BEC1A64" w:rsidR="00124163" w:rsidRPr="00011E8F" w:rsidRDefault="00124163" w:rsidP="00FC61F7">
            <w:pPr>
              <w:snapToGrid w:val="0"/>
              <w:spacing w:line="360" w:lineRule="auto"/>
              <w:jc w:val="both"/>
              <w:rPr>
                <w:rFonts w:ascii="Book Antiqua" w:hAnsi="Book Antiqua"/>
                <w:color w:val="000000" w:themeColor="text1"/>
                <w:sz w:val="24"/>
                <w:szCs w:val="24"/>
                <w:lang w:val="en-NZ"/>
              </w:rPr>
            </w:pPr>
            <w:r w:rsidRPr="00011E8F">
              <w:rPr>
                <w:rFonts w:ascii="Book Antiqua" w:hAnsi="Book Antiqua"/>
                <w:color w:val="000000" w:themeColor="text1"/>
                <w:sz w:val="24"/>
                <w:szCs w:val="24"/>
                <w:lang w:val="en-NZ"/>
              </w:rPr>
              <w:t xml:space="preserve">Population and subgroups </w:t>
            </w:r>
            <w:proofErr w:type="spellStart"/>
            <w:r w:rsidRPr="00011E8F">
              <w:rPr>
                <w:rFonts w:ascii="Book Antiqua" w:hAnsi="Book Antiqua"/>
                <w:color w:val="000000" w:themeColor="text1"/>
                <w:sz w:val="24"/>
                <w:szCs w:val="24"/>
                <w:lang w:val="en-NZ"/>
              </w:rPr>
              <w:t>analyzed</w:t>
            </w:r>
            <w:proofErr w:type="spellEnd"/>
            <w:r w:rsidRPr="00011E8F">
              <w:rPr>
                <w:rFonts w:ascii="Book Antiqua" w:hAnsi="Book Antiqua"/>
                <w:color w:val="000000" w:themeColor="text1"/>
                <w:sz w:val="24"/>
                <w:szCs w:val="24"/>
                <w:lang w:val="en-NZ"/>
              </w:rPr>
              <w:t>; clarify why they were chosen</w:t>
            </w:r>
          </w:p>
        </w:tc>
      </w:tr>
      <w:tr w:rsidR="00011E8F" w:rsidRPr="00011E8F" w14:paraId="0A3B3863" w14:textId="77777777" w:rsidTr="00675B56">
        <w:tc>
          <w:tcPr>
            <w:tcW w:w="1271" w:type="dxa"/>
          </w:tcPr>
          <w:p w14:paraId="405681CC" w14:textId="2A634924" w:rsidR="00124163" w:rsidRPr="00011E8F" w:rsidRDefault="00675B56" w:rsidP="00FC61F7">
            <w:pPr>
              <w:snapToGrid w:val="0"/>
              <w:spacing w:line="360" w:lineRule="auto"/>
              <w:jc w:val="both"/>
              <w:rPr>
                <w:rFonts w:ascii="Book Antiqua" w:hAnsi="Book Antiqua"/>
                <w:color w:val="000000" w:themeColor="text1"/>
                <w:sz w:val="24"/>
                <w:szCs w:val="24"/>
                <w:lang w:val="en-NZ" w:eastAsia="zh-CN"/>
              </w:rPr>
            </w:pPr>
            <w:r w:rsidRPr="00011E8F">
              <w:rPr>
                <w:rFonts w:ascii="Book Antiqua" w:hAnsi="Book Antiqua"/>
                <w:color w:val="000000" w:themeColor="text1"/>
                <w:sz w:val="24"/>
                <w:szCs w:val="24"/>
                <w:lang w:val="en-NZ" w:eastAsia="zh-CN"/>
              </w:rPr>
              <w:t>5</w:t>
            </w:r>
          </w:p>
        </w:tc>
        <w:tc>
          <w:tcPr>
            <w:tcW w:w="7789" w:type="dxa"/>
          </w:tcPr>
          <w:p w14:paraId="51BE3D1C" w14:textId="1BBD3FE4" w:rsidR="00124163" w:rsidRPr="00011E8F" w:rsidRDefault="00124163" w:rsidP="00FC61F7">
            <w:pPr>
              <w:snapToGrid w:val="0"/>
              <w:spacing w:line="360" w:lineRule="auto"/>
              <w:jc w:val="both"/>
              <w:rPr>
                <w:rFonts w:ascii="Book Antiqua" w:hAnsi="Book Antiqua"/>
                <w:color w:val="000000" w:themeColor="text1"/>
                <w:sz w:val="24"/>
                <w:szCs w:val="24"/>
              </w:rPr>
            </w:pPr>
            <w:r w:rsidRPr="00011E8F">
              <w:rPr>
                <w:rFonts w:ascii="Book Antiqua" w:hAnsi="Book Antiqua"/>
                <w:color w:val="000000" w:themeColor="text1"/>
                <w:sz w:val="24"/>
                <w:szCs w:val="24"/>
              </w:rPr>
              <w:t>Surgical interventions considered</w:t>
            </w:r>
          </w:p>
        </w:tc>
      </w:tr>
      <w:tr w:rsidR="00011E8F" w:rsidRPr="00011E8F" w14:paraId="34A2B5C9" w14:textId="77777777" w:rsidTr="00675B56">
        <w:tc>
          <w:tcPr>
            <w:tcW w:w="1271" w:type="dxa"/>
          </w:tcPr>
          <w:p w14:paraId="1CEEDFF2" w14:textId="3DF9AC2A" w:rsidR="00124163" w:rsidRPr="00011E8F" w:rsidRDefault="00675B56" w:rsidP="00FC61F7">
            <w:pPr>
              <w:snapToGrid w:val="0"/>
              <w:spacing w:line="360" w:lineRule="auto"/>
              <w:jc w:val="both"/>
              <w:rPr>
                <w:rFonts w:ascii="Book Antiqua" w:hAnsi="Book Antiqua"/>
                <w:color w:val="000000" w:themeColor="text1"/>
                <w:sz w:val="24"/>
                <w:szCs w:val="24"/>
                <w:lang w:eastAsia="zh-CN"/>
              </w:rPr>
            </w:pPr>
            <w:r w:rsidRPr="00011E8F">
              <w:rPr>
                <w:rFonts w:ascii="Book Antiqua" w:hAnsi="Book Antiqua"/>
                <w:color w:val="000000" w:themeColor="text1"/>
                <w:sz w:val="24"/>
                <w:szCs w:val="24"/>
                <w:lang w:eastAsia="zh-CN"/>
              </w:rPr>
              <w:t>6</w:t>
            </w:r>
          </w:p>
        </w:tc>
        <w:tc>
          <w:tcPr>
            <w:tcW w:w="7789" w:type="dxa"/>
          </w:tcPr>
          <w:p w14:paraId="13120050" w14:textId="4648C995" w:rsidR="00124163" w:rsidRPr="00011E8F" w:rsidRDefault="00124163" w:rsidP="00FC61F7">
            <w:pPr>
              <w:snapToGrid w:val="0"/>
              <w:spacing w:line="360" w:lineRule="auto"/>
              <w:jc w:val="both"/>
              <w:rPr>
                <w:rFonts w:ascii="Book Antiqua" w:hAnsi="Book Antiqua"/>
                <w:color w:val="000000" w:themeColor="text1"/>
                <w:sz w:val="24"/>
                <w:szCs w:val="24"/>
                <w:lang w:val="en-NZ"/>
              </w:rPr>
            </w:pPr>
            <w:r w:rsidRPr="00011E8F">
              <w:rPr>
                <w:rFonts w:ascii="Book Antiqua" w:hAnsi="Book Antiqua"/>
                <w:color w:val="000000" w:themeColor="text1"/>
                <w:sz w:val="24"/>
                <w:szCs w:val="24"/>
                <w:lang w:val="en-NZ"/>
              </w:rPr>
              <w:t>Methods for managing the heterogeneity of the population and the surgical techniques used; clarify the possible influence of this heterogeneity on the results</w:t>
            </w:r>
          </w:p>
        </w:tc>
      </w:tr>
      <w:tr w:rsidR="00011E8F" w:rsidRPr="00011E8F" w14:paraId="57E26C7D" w14:textId="77777777" w:rsidTr="00675B56">
        <w:tc>
          <w:tcPr>
            <w:tcW w:w="1271" w:type="dxa"/>
          </w:tcPr>
          <w:p w14:paraId="6124A6C0" w14:textId="2E4EA90A" w:rsidR="00124163" w:rsidRPr="00011E8F" w:rsidRDefault="00675B56" w:rsidP="00FC61F7">
            <w:pPr>
              <w:snapToGrid w:val="0"/>
              <w:spacing w:line="360" w:lineRule="auto"/>
              <w:jc w:val="both"/>
              <w:rPr>
                <w:rFonts w:ascii="Book Antiqua" w:hAnsi="Book Antiqua"/>
                <w:color w:val="000000" w:themeColor="text1"/>
                <w:sz w:val="24"/>
                <w:szCs w:val="24"/>
                <w:lang w:val="en-NZ" w:eastAsia="zh-CN"/>
              </w:rPr>
            </w:pPr>
            <w:r w:rsidRPr="00011E8F">
              <w:rPr>
                <w:rFonts w:ascii="Book Antiqua" w:hAnsi="Book Antiqua"/>
                <w:color w:val="000000" w:themeColor="text1"/>
                <w:sz w:val="24"/>
                <w:szCs w:val="24"/>
                <w:lang w:val="en-NZ" w:eastAsia="zh-CN"/>
              </w:rPr>
              <w:t>7</w:t>
            </w:r>
          </w:p>
        </w:tc>
        <w:tc>
          <w:tcPr>
            <w:tcW w:w="7789" w:type="dxa"/>
          </w:tcPr>
          <w:p w14:paraId="561DFF92" w14:textId="77777777" w:rsidR="00124163" w:rsidRPr="00011E8F" w:rsidRDefault="00124163" w:rsidP="00FC61F7">
            <w:pPr>
              <w:snapToGrid w:val="0"/>
              <w:spacing w:line="360" w:lineRule="auto"/>
              <w:jc w:val="both"/>
              <w:rPr>
                <w:rFonts w:ascii="Book Antiqua" w:hAnsi="Book Antiqua"/>
                <w:color w:val="000000" w:themeColor="text1"/>
                <w:sz w:val="24"/>
                <w:szCs w:val="24"/>
                <w:lang w:val="en-NZ"/>
              </w:rPr>
            </w:pPr>
            <w:r w:rsidRPr="00011E8F">
              <w:rPr>
                <w:rFonts w:ascii="Book Antiqua" w:hAnsi="Book Antiqua"/>
                <w:color w:val="000000" w:themeColor="text1"/>
                <w:sz w:val="24"/>
                <w:szCs w:val="24"/>
                <w:lang w:val="en-NZ"/>
              </w:rPr>
              <w:t xml:space="preserve">If possible, describe the characteristics of the severity or complexity of patients (ASA, </w:t>
            </w:r>
            <w:proofErr w:type="spellStart"/>
            <w:r w:rsidRPr="00011E8F">
              <w:rPr>
                <w:rFonts w:ascii="Book Antiqua" w:hAnsi="Book Antiqua"/>
                <w:color w:val="000000" w:themeColor="text1"/>
                <w:sz w:val="24"/>
                <w:szCs w:val="24"/>
                <w:lang w:val="en-NZ"/>
              </w:rPr>
              <w:t>Charlson</w:t>
            </w:r>
            <w:proofErr w:type="spellEnd"/>
            <w:r w:rsidRPr="00011E8F">
              <w:rPr>
                <w:rFonts w:ascii="Book Antiqua" w:hAnsi="Book Antiqua"/>
                <w:color w:val="000000" w:themeColor="text1"/>
                <w:sz w:val="24"/>
                <w:szCs w:val="24"/>
                <w:lang w:val="en-NZ"/>
              </w:rPr>
              <w:t>, Frailty ...)</w:t>
            </w:r>
          </w:p>
        </w:tc>
      </w:tr>
      <w:tr w:rsidR="00011E8F" w:rsidRPr="00011E8F" w14:paraId="5684F088" w14:textId="77777777" w:rsidTr="00675B56">
        <w:tc>
          <w:tcPr>
            <w:tcW w:w="1271" w:type="dxa"/>
          </w:tcPr>
          <w:p w14:paraId="2468D932" w14:textId="1AB7C00C" w:rsidR="00124163" w:rsidRPr="00011E8F" w:rsidRDefault="00675B56" w:rsidP="00FC61F7">
            <w:pPr>
              <w:snapToGrid w:val="0"/>
              <w:spacing w:line="360" w:lineRule="auto"/>
              <w:jc w:val="both"/>
              <w:rPr>
                <w:rFonts w:ascii="Book Antiqua" w:hAnsi="Book Antiqua"/>
                <w:color w:val="000000" w:themeColor="text1"/>
                <w:sz w:val="24"/>
                <w:szCs w:val="24"/>
                <w:lang w:val="en-NZ" w:eastAsia="zh-CN"/>
              </w:rPr>
            </w:pPr>
            <w:r w:rsidRPr="00011E8F">
              <w:rPr>
                <w:rFonts w:ascii="Book Antiqua" w:hAnsi="Book Antiqua"/>
                <w:color w:val="000000" w:themeColor="text1"/>
                <w:sz w:val="24"/>
                <w:szCs w:val="24"/>
                <w:lang w:val="en-NZ" w:eastAsia="zh-CN"/>
              </w:rPr>
              <w:t>8</w:t>
            </w:r>
          </w:p>
        </w:tc>
        <w:tc>
          <w:tcPr>
            <w:tcW w:w="7789" w:type="dxa"/>
          </w:tcPr>
          <w:p w14:paraId="65610836" w14:textId="716A40B7" w:rsidR="00124163" w:rsidRPr="00011E8F" w:rsidRDefault="00124163" w:rsidP="00FC61F7">
            <w:pPr>
              <w:snapToGrid w:val="0"/>
              <w:spacing w:line="360" w:lineRule="auto"/>
              <w:jc w:val="both"/>
              <w:rPr>
                <w:rFonts w:ascii="Book Antiqua" w:hAnsi="Book Antiqua"/>
                <w:color w:val="000000" w:themeColor="text1"/>
                <w:sz w:val="24"/>
                <w:szCs w:val="24"/>
              </w:rPr>
            </w:pPr>
            <w:r w:rsidRPr="00011E8F">
              <w:rPr>
                <w:rFonts w:ascii="Book Antiqua" w:hAnsi="Book Antiqua"/>
                <w:color w:val="000000" w:themeColor="text1"/>
                <w:sz w:val="24"/>
                <w:szCs w:val="24"/>
              </w:rPr>
              <w:t>Patients excluded and why</w:t>
            </w:r>
          </w:p>
        </w:tc>
      </w:tr>
      <w:tr w:rsidR="00011E8F" w:rsidRPr="00011E8F" w14:paraId="7FE86155" w14:textId="77777777" w:rsidTr="00675B56">
        <w:tc>
          <w:tcPr>
            <w:tcW w:w="1271" w:type="dxa"/>
          </w:tcPr>
          <w:p w14:paraId="450C8758" w14:textId="164F56EA" w:rsidR="00124163" w:rsidRPr="00011E8F" w:rsidRDefault="00675B56" w:rsidP="00FC61F7">
            <w:pPr>
              <w:snapToGrid w:val="0"/>
              <w:spacing w:line="360" w:lineRule="auto"/>
              <w:jc w:val="both"/>
              <w:rPr>
                <w:rFonts w:ascii="Book Antiqua" w:hAnsi="Book Antiqua"/>
                <w:color w:val="000000" w:themeColor="text1"/>
                <w:sz w:val="24"/>
                <w:szCs w:val="24"/>
                <w:lang w:eastAsia="zh-CN"/>
              </w:rPr>
            </w:pPr>
            <w:r w:rsidRPr="00011E8F">
              <w:rPr>
                <w:rFonts w:ascii="Book Antiqua" w:hAnsi="Book Antiqua"/>
                <w:color w:val="000000" w:themeColor="text1"/>
                <w:sz w:val="24"/>
                <w:szCs w:val="24"/>
                <w:lang w:eastAsia="zh-CN"/>
              </w:rPr>
              <w:t>9</w:t>
            </w:r>
          </w:p>
        </w:tc>
        <w:tc>
          <w:tcPr>
            <w:tcW w:w="7789" w:type="dxa"/>
          </w:tcPr>
          <w:p w14:paraId="0CB11111" w14:textId="14419E13" w:rsidR="00124163" w:rsidRPr="00011E8F" w:rsidRDefault="00124163" w:rsidP="00FC61F7">
            <w:pPr>
              <w:snapToGrid w:val="0"/>
              <w:spacing w:line="360" w:lineRule="auto"/>
              <w:jc w:val="both"/>
              <w:rPr>
                <w:rFonts w:ascii="Book Antiqua" w:hAnsi="Book Antiqua"/>
                <w:color w:val="000000" w:themeColor="text1"/>
                <w:sz w:val="24"/>
                <w:szCs w:val="24"/>
                <w:lang w:val="en-NZ"/>
              </w:rPr>
            </w:pPr>
            <w:r w:rsidRPr="00011E8F">
              <w:rPr>
                <w:rFonts w:ascii="Book Antiqua" w:hAnsi="Book Antiqua"/>
                <w:color w:val="000000" w:themeColor="text1"/>
                <w:sz w:val="24"/>
                <w:szCs w:val="24"/>
                <w:lang w:val="en-NZ"/>
              </w:rPr>
              <w:t>Patients and procedures lost for analysis. Economic data lost. Clarify whether these can compromise the validity of the results</w:t>
            </w:r>
          </w:p>
        </w:tc>
      </w:tr>
      <w:tr w:rsidR="00011E8F" w:rsidRPr="00011E8F" w14:paraId="5A3E641D" w14:textId="77777777" w:rsidTr="00675B56">
        <w:tc>
          <w:tcPr>
            <w:tcW w:w="1271" w:type="dxa"/>
          </w:tcPr>
          <w:p w14:paraId="10EB07DF" w14:textId="57901038" w:rsidR="00124163" w:rsidRPr="00011E8F" w:rsidRDefault="00675B56" w:rsidP="00FC61F7">
            <w:pPr>
              <w:snapToGrid w:val="0"/>
              <w:spacing w:line="360" w:lineRule="auto"/>
              <w:jc w:val="both"/>
              <w:rPr>
                <w:rFonts w:ascii="Book Antiqua" w:hAnsi="Book Antiqua"/>
                <w:color w:val="000000" w:themeColor="text1"/>
                <w:sz w:val="24"/>
                <w:szCs w:val="24"/>
                <w:lang w:val="en-NZ" w:eastAsia="zh-CN"/>
              </w:rPr>
            </w:pPr>
            <w:r w:rsidRPr="00011E8F">
              <w:rPr>
                <w:rFonts w:ascii="Book Antiqua" w:hAnsi="Book Antiqua"/>
                <w:color w:val="000000" w:themeColor="text1"/>
                <w:sz w:val="24"/>
                <w:szCs w:val="24"/>
                <w:lang w:val="en-NZ" w:eastAsia="zh-CN"/>
              </w:rPr>
              <w:t>10</w:t>
            </w:r>
          </w:p>
        </w:tc>
        <w:tc>
          <w:tcPr>
            <w:tcW w:w="7789" w:type="dxa"/>
          </w:tcPr>
          <w:p w14:paraId="2399B195" w14:textId="77777777" w:rsidR="00124163" w:rsidRPr="00011E8F" w:rsidRDefault="00124163" w:rsidP="00FC61F7">
            <w:pPr>
              <w:snapToGrid w:val="0"/>
              <w:spacing w:line="360" w:lineRule="auto"/>
              <w:jc w:val="both"/>
              <w:rPr>
                <w:rFonts w:ascii="Book Antiqua" w:hAnsi="Book Antiqua"/>
                <w:color w:val="000000" w:themeColor="text1"/>
                <w:sz w:val="24"/>
                <w:szCs w:val="24"/>
              </w:rPr>
            </w:pPr>
            <w:r w:rsidRPr="00011E8F">
              <w:rPr>
                <w:rFonts w:ascii="Book Antiqua" w:hAnsi="Book Antiqua"/>
                <w:color w:val="000000" w:themeColor="text1"/>
                <w:sz w:val="24"/>
                <w:szCs w:val="24"/>
              </w:rPr>
              <w:t>Definition of complication</w:t>
            </w:r>
          </w:p>
        </w:tc>
      </w:tr>
      <w:tr w:rsidR="00011E8F" w:rsidRPr="00011E8F" w14:paraId="75F3D499" w14:textId="77777777" w:rsidTr="00675B56">
        <w:tc>
          <w:tcPr>
            <w:tcW w:w="1271" w:type="dxa"/>
          </w:tcPr>
          <w:p w14:paraId="26939536" w14:textId="28FC83EF" w:rsidR="00124163" w:rsidRPr="00011E8F" w:rsidRDefault="00675B56" w:rsidP="00FC61F7">
            <w:pPr>
              <w:snapToGrid w:val="0"/>
              <w:spacing w:line="360" w:lineRule="auto"/>
              <w:jc w:val="both"/>
              <w:rPr>
                <w:rFonts w:ascii="Book Antiqua" w:hAnsi="Book Antiqua"/>
                <w:color w:val="000000" w:themeColor="text1"/>
                <w:sz w:val="24"/>
                <w:szCs w:val="24"/>
                <w:lang w:eastAsia="zh-CN"/>
              </w:rPr>
            </w:pPr>
            <w:r w:rsidRPr="00011E8F">
              <w:rPr>
                <w:rFonts w:ascii="Book Antiqua" w:hAnsi="Book Antiqua"/>
                <w:color w:val="000000" w:themeColor="text1"/>
                <w:sz w:val="24"/>
                <w:szCs w:val="24"/>
                <w:lang w:eastAsia="zh-CN"/>
              </w:rPr>
              <w:t>11</w:t>
            </w:r>
          </w:p>
        </w:tc>
        <w:tc>
          <w:tcPr>
            <w:tcW w:w="7789" w:type="dxa"/>
          </w:tcPr>
          <w:p w14:paraId="06D008F2" w14:textId="345A0077" w:rsidR="00124163" w:rsidRPr="00011E8F" w:rsidRDefault="00124163" w:rsidP="00FC61F7">
            <w:pPr>
              <w:snapToGrid w:val="0"/>
              <w:spacing w:line="360" w:lineRule="auto"/>
              <w:jc w:val="both"/>
              <w:rPr>
                <w:rFonts w:ascii="Book Antiqua" w:hAnsi="Book Antiqua"/>
                <w:color w:val="000000" w:themeColor="text1"/>
                <w:sz w:val="24"/>
                <w:szCs w:val="24"/>
                <w:lang w:val="en-NZ"/>
              </w:rPr>
            </w:pPr>
            <w:r w:rsidRPr="00011E8F">
              <w:rPr>
                <w:rFonts w:ascii="Book Antiqua" w:hAnsi="Book Antiqua"/>
                <w:color w:val="000000" w:themeColor="text1"/>
                <w:sz w:val="24"/>
                <w:szCs w:val="24"/>
                <w:lang w:val="en-NZ"/>
              </w:rPr>
              <w:t xml:space="preserve">How complications are classified (better, </w:t>
            </w:r>
            <w:proofErr w:type="spellStart"/>
            <w:r w:rsidRPr="00011E8F">
              <w:rPr>
                <w:rFonts w:ascii="Book Antiqua" w:hAnsi="Book Antiqua"/>
                <w:color w:val="000000" w:themeColor="text1"/>
                <w:sz w:val="24"/>
                <w:szCs w:val="24"/>
                <w:lang w:val="en-NZ"/>
              </w:rPr>
              <w:t>Clavien</w:t>
            </w:r>
            <w:r w:rsidR="00C440B7" w:rsidRPr="00011E8F">
              <w:rPr>
                <w:rFonts w:ascii="Book Antiqua" w:hAnsi="Book Antiqua"/>
                <w:color w:val="000000" w:themeColor="text1"/>
                <w:sz w:val="24"/>
                <w:szCs w:val="24"/>
                <w:lang w:val="en-NZ"/>
              </w:rPr>
              <w:t>-</w:t>
            </w:r>
            <w:r w:rsidRPr="00011E8F">
              <w:rPr>
                <w:rFonts w:ascii="Book Antiqua" w:hAnsi="Book Antiqua"/>
                <w:color w:val="000000" w:themeColor="text1"/>
                <w:sz w:val="24"/>
                <w:szCs w:val="24"/>
                <w:lang w:val="en-NZ"/>
              </w:rPr>
              <w:t>Dindo</w:t>
            </w:r>
            <w:proofErr w:type="spellEnd"/>
            <w:r w:rsidRPr="00011E8F">
              <w:rPr>
                <w:rFonts w:ascii="Book Antiqua" w:hAnsi="Book Antiqua"/>
                <w:color w:val="000000" w:themeColor="text1"/>
                <w:sz w:val="24"/>
                <w:szCs w:val="24"/>
                <w:lang w:val="en-NZ"/>
              </w:rPr>
              <w:t xml:space="preserve"> classification and </w:t>
            </w:r>
            <w:r w:rsidR="00C440B7" w:rsidRPr="00011E8F">
              <w:rPr>
                <w:rFonts w:ascii="Book Antiqua" w:hAnsi="Book Antiqua"/>
                <w:color w:val="000000" w:themeColor="text1"/>
                <w:sz w:val="24"/>
                <w:szCs w:val="24"/>
                <w:lang w:val="en-NZ"/>
              </w:rPr>
              <w:t>comprehensive complication index</w:t>
            </w:r>
            <w:r w:rsidRPr="00011E8F">
              <w:rPr>
                <w:rFonts w:ascii="Book Antiqua" w:hAnsi="Book Antiqua"/>
                <w:color w:val="000000" w:themeColor="text1"/>
                <w:sz w:val="24"/>
                <w:szCs w:val="24"/>
                <w:lang w:val="en-NZ"/>
              </w:rPr>
              <w:t>)</w:t>
            </w:r>
          </w:p>
        </w:tc>
      </w:tr>
      <w:tr w:rsidR="00011E8F" w:rsidRPr="00011E8F" w14:paraId="1EFB5B19" w14:textId="77777777" w:rsidTr="00675B56">
        <w:tc>
          <w:tcPr>
            <w:tcW w:w="1271" w:type="dxa"/>
          </w:tcPr>
          <w:p w14:paraId="262FE3A0" w14:textId="07DFA3EC" w:rsidR="00124163" w:rsidRPr="00011E8F" w:rsidRDefault="00675B56" w:rsidP="00FC61F7">
            <w:pPr>
              <w:snapToGrid w:val="0"/>
              <w:spacing w:line="360" w:lineRule="auto"/>
              <w:jc w:val="both"/>
              <w:rPr>
                <w:rFonts w:ascii="Book Antiqua" w:hAnsi="Book Antiqua"/>
                <w:color w:val="000000" w:themeColor="text1"/>
                <w:sz w:val="24"/>
                <w:szCs w:val="24"/>
                <w:lang w:val="en-NZ" w:eastAsia="zh-CN"/>
              </w:rPr>
            </w:pPr>
            <w:r w:rsidRPr="00011E8F">
              <w:rPr>
                <w:rFonts w:ascii="Book Antiqua" w:hAnsi="Book Antiqua"/>
                <w:color w:val="000000" w:themeColor="text1"/>
                <w:sz w:val="24"/>
                <w:szCs w:val="24"/>
                <w:lang w:val="en-NZ" w:eastAsia="zh-CN"/>
              </w:rPr>
              <w:t>12</w:t>
            </w:r>
          </w:p>
        </w:tc>
        <w:tc>
          <w:tcPr>
            <w:tcW w:w="7789" w:type="dxa"/>
          </w:tcPr>
          <w:p w14:paraId="163C3649" w14:textId="77777777" w:rsidR="00124163" w:rsidRPr="00011E8F" w:rsidRDefault="00124163" w:rsidP="00FC61F7">
            <w:pPr>
              <w:snapToGrid w:val="0"/>
              <w:spacing w:line="360" w:lineRule="auto"/>
              <w:jc w:val="both"/>
              <w:rPr>
                <w:rFonts w:ascii="Book Antiqua" w:hAnsi="Book Antiqua"/>
                <w:color w:val="000000" w:themeColor="text1"/>
                <w:sz w:val="24"/>
                <w:szCs w:val="24"/>
                <w:lang w:val="en-NZ"/>
              </w:rPr>
            </w:pPr>
            <w:r w:rsidRPr="00011E8F">
              <w:rPr>
                <w:rFonts w:ascii="Book Antiqua" w:hAnsi="Book Antiqua"/>
                <w:color w:val="000000" w:themeColor="text1"/>
                <w:sz w:val="24"/>
                <w:szCs w:val="24"/>
                <w:lang w:val="en-NZ"/>
              </w:rPr>
              <w:t>Sources used to obtain data on the complications (specific forms, medical and nursing evolution comments)</w:t>
            </w:r>
          </w:p>
        </w:tc>
      </w:tr>
      <w:tr w:rsidR="00011E8F" w:rsidRPr="00011E8F" w14:paraId="66AEB181" w14:textId="77777777" w:rsidTr="00675B56">
        <w:tc>
          <w:tcPr>
            <w:tcW w:w="1271" w:type="dxa"/>
          </w:tcPr>
          <w:p w14:paraId="2BE299FC" w14:textId="193BFED5" w:rsidR="00124163" w:rsidRPr="00011E8F" w:rsidRDefault="00675B56" w:rsidP="00FC61F7">
            <w:pPr>
              <w:snapToGrid w:val="0"/>
              <w:spacing w:line="360" w:lineRule="auto"/>
              <w:jc w:val="both"/>
              <w:rPr>
                <w:rFonts w:ascii="Book Antiqua" w:hAnsi="Book Antiqua"/>
                <w:color w:val="000000" w:themeColor="text1"/>
                <w:sz w:val="24"/>
                <w:szCs w:val="24"/>
                <w:lang w:val="en-NZ" w:eastAsia="zh-CN"/>
              </w:rPr>
            </w:pPr>
            <w:r w:rsidRPr="00011E8F">
              <w:rPr>
                <w:rFonts w:ascii="Book Antiqua" w:hAnsi="Book Antiqua"/>
                <w:color w:val="000000" w:themeColor="text1"/>
                <w:sz w:val="24"/>
                <w:szCs w:val="24"/>
                <w:lang w:val="en-NZ" w:eastAsia="zh-CN"/>
              </w:rPr>
              <w:t>13</w:t>
            </w:r>
          </w:p>
        </w:tc>
        <w:tc>
          <w:tcPr>
            <w:tcW w:w="7789" w:type="dxa"/>
          </w:tcPr>
          <w:p w14:paraId="2F3A3276" w14:textId="0F7A3B7B" w:rsidR="00124163" w:rsidRPr="00011E8F" w:rsidRDefault="00124163" w:rsidP="00FC61F7">
            <w:pPr>
              <w:snapToGrid w:val="0"/>
              <w:spacing w:line="360" w:lineRule="auto"/>
              <w:jc w:val="both"/>
              <w:rPr>
                <w:rFonts w:ascii="Book Antiqua" w:hAnsi="Book Antiqua"/>
                <w:color w:val="000000" w:themeColor="text1"/>
                <w:sz w:val="24"/>
                <w:szCs w:val="24"/>
                <w:lang w:val="en-NZ"/>
              </w:rPr>
            </w:pPr>
            <w:r w:rsidRPr="00011E8F">
              <w:rPr>
                <w:rFonts w:ascii="Book Antiqua" w:hAnsi="Book Antiqua"/>
                <w:color w:val="000000" w:themeColor="text1"/>
                <w:sz w:val="24"/>
                <w:szCs w:val="24"/>
                <w:lang w:val="en-NZ"/>
              </w:rPr>
              <w:t>Perspective from which the economic evaluation is carried out: the patient, the specific institution (</w:t>
            </w:r>
            <w:r w:rsidRPr="00011E8F">
              <w:rPr>
                <w:rFonts w:ascii="Book Antiqua" w:hAnsi="Book Antiqua"/>
                <w:i/>
                <w:iCs/>
                <w:color w:val="000000" w:themeColor="text1"/>
                <w:sz w:val="24"/>
                <w:szCs w:val="24"/>
                <w:lang w:val="en-NZ"/>
              </w:rPr>
              <w:t>e.g.</w:t>
            </w:r>
            <w:r w:rsidRPr="00011E8F">
              <w:rPr>
                <w:rFonts w:ascii="Book Antiqua" w:hAnsi="Book Antiqua"/>
                <w:color w:val="000000" w:themeColor="text1"/>
                <w:sz w:val="24"/>
                <w:szCs w:val="24"/>
                <w:lang w:val="en-NZ"/>
              </w:rPr>
              <w:t xml:space="preserve">, the hospital), the target group for specific services </w:t>
            </w:r>
            <w:r w:rsidRPr="00011E8F">
              <w:rPr>
                <w:rFonts w:ascii="Book Antiqua" w:hAnsi="Book Antiqua"/>
                <w:i/>
                <w:iCs/>
                <w:color w:val="000000" w:themeColor="text1"/>
                <w:sz w:val="24"/>
                <w:szCs w:val="24"/>
                <w:lang w:val="en-NZ"/>
              </w:rPr>
              <w:t>e.g.</w:t>
            </w:r>
            <w:r w:rsidR="00675B56" w:rsidRPr="00011E8F">
              <w:rPr>
                <w:rFonts w:ascii="Book Antiqua" w:hAnsi="Book Antiqua"/>
                <w:color w:val="000000" w:themeColor="text1"/>
                <w:sz w:val="24"/>
                <w:szCs w:val="24"/>
                <w:lang w:val="en-NZ"/>
              </w:rPr>
              <w:t>,</w:t>
            </w:r>
            <w:r w:rsidRPr="00011E8F">
              <w:rPr>
                <w:rFonts w:ascii="Book Antiqua" w:hAnsi="Book Antiqua"/>
                <w:color w:val="000000" w:themeColor="text1"/>
                <w:sz w:val="24"/>
                <w:szCs w:val="24"/>
                <w:lang w:val="en-NZ"/>
              </w:rPr>
              <w:t xml:space="preserve"> rehabilitation), the Public Health Service, the Public Sector in general or from all perspectives (social perspective)</w:t>
            </w:r>
          </w:p>
        </w:tc>
      </w:tr>
      <w:tr w:rsidR="00011E8F" w:rsidRPr="00011E8F" w14:paraId="659E1DE4" w14:textId="77777777" w:rsidTr="00675B56">
        <w:tc>
          <w:tcPr>
            <w:tcW w:w="1271" w:type="dxa"/>
          </w:tcPr>
          <w:p w14:paraId="56DC9D7E" w14:textId="3990D38A" w:rsidR="00124163" w:rsidRPr="00011E8F" w:rsidRDefault="00675B56" w:rsidP="00FC61F7">
            <w:pPr>
              <w:snapToGrid w:val="0"/>
              <w:spacing w:line="360" w:lineRule="auto"/>
              <w:jc w:val="both"/>
              <w:rPr>
                <w:rFonts w:ascii="Book Antiqua" w:hAnsi="Book Antiqua"/>
                <w:color w:val="000000" w:themeColor="text1"/>
                <w:sz w:val="24"/>
                <w:szCs w:val="24"/>
                <w:lang w:val="en-NZ" w:eastAsia="zh-CN"/>
              </w:rPr>
            </w:pPr>
            <w:r w:rsidRPr="00011E8F">
              <w:rPr>
                <w:rFonts w:ascii="Book Antiqua" w:hAnsi="Book Antiqua"/>
                <w:color w:val="000000" w:themeColor="text1"/>
                <w:sz w:val="24"/>
                <w:szCs w:val="24"/>
                <w:lang w:val="en-NZ" w:eastAsia="zh-CN"/>
              </w:rPr>
              <w:t>14</w:t>
            </w:r>
          </w:p>
        </w:tc>
        <w:tc>
          <w:tcPr>
            <w:tcW w:w="7789" w:type="dxa"/>
          </w:tcPr>
          <w:p w14:paraId="6892DFBC" w14:textId="01094023" w:rsidR="00124163" w:rsidRPr="00011E8F" w:rsidRDefault="00124163" w:rsidP="00FC61F7">
            <w:pPr>
              <w:snapToGrid w:val="0"/>
              <w:spacing w:line="360" w:lineRule="auto"/>
              <w:jc w:val="both"/>
              <w:rPr>
                <w:rFonts w:ascii="Book Antiqua" w:hAnsi="Book Antiqua"/>
                <w:color w:val="000000" w:themeColor="text1"/>
                <w:sz w:val="24"/>
                <w:szCs w:val="24"/>
                <w:lang w:val="en-NZ"/>
              </w:rPr>
            </w:pPr>
            <w:r w:rsidRPr="00011E8F">
              <w:rPr>
                <w:rFonts w:ascii="Book Antiqua" w:hAnsi="Book Antiqua"/>
                <w:color w:val="000000" w:themeColor="text1"/>
                <w:sz w:val="24"/>
                <w:szCs w:val="24"/>
                <w:lang w:val="en-NZ"/>
              </w:rPr>
              <w:t xml:space="preserve">Health-related costs (direct and indirect), non-health-related costs (table 1). Sources used to obtain data. Specify the costs obtained </w:t>
            </w:r>
            <w:proofErr w:type="spellStart"/>
            <w:r w:rsidRPr="00011E8F">
              <w:rPr>
                <w:rFonts w:ascii="Book Antiqua" w:hAnsi="Book Antiqua"/>
                <w:i/>
                <w:iCs/>
                <w:color w:val="000000" w:themeColor="text1"/>
                <w:sz w:val="24"/>
                <w:szCs w:val="24"/>
                <w:lang w:val="en-NZ"/>
              </w:rPr>
              <w:t>en</w:t>
            </w:r>
            <w:proofErr w:type="spellEnd"/>
            <w:r w:rsidRPr="00011E8F">
              <w:rPr>
                <w:rFonts w:ascii="Book Antiqua" w:hAnsi="Book Antiqua"/>
                <w:i/>
                <w:iCs/>
                <w:color w:val="000000" w:themeColor="text1"/>
                <w:sz w:val="24"/>
                <w:szCs w:val="24"/>
                <w:lang w:val="en-NZ"/>
              </w:rPr>
              <w:t xml:space="preserve"> bloc </w:t>
            </w:r>
            <w:r w:rsidRPr="00011E8F">
              <w:rPr>
                <w:rFonts w:ascii="Book Antiqua" w:hAnsi="Book Antiqua"/>
                <w:color w:val="000000" w:themeColor="text1"/>
                <w:sz w:val="24"/>
                <w:szCs w:val="24"/>
                <w:lang w:val="en-NZ"/>
              </w:rPr>
              <w:t xml:space="preserve">(for example, general costs) those obtained in </w:t>
            </w:r>
            <w:proofErr w:type="spellStart"/>
            <w:r w:rsidRPr="00011E8F">
              <w:rPr>
                <w:rFonts w:ascii="Book Antiqua" w:hAnsi="Book Antiqua"/>
                <w:color w:val="000000" w:themeColor="text1"/>
                <w:sz w:val="24"/>
                <w:szCs w:val="24"/>
                <w:lang w:val="en-NZ"/>
              </w:rPr>
              <w:t>microcosts</w:t>
            </w:r>
            <w:proofErr w:type="spellEnd"/>
            <w:r w:rsidRPr="00011E8F">
              <w:rPr>
                <w:rFonts w:ascii="Book Antiqua" w:hAnsi="Book Antiqua"/>
                <w:color w:val="000000" w:themeColor="text1"/>
                <w:sz w:val="24"/>
                <w:szCs w:val="24"/>
                <w:lang w:val="en-NZ"/>
              </w:rPr>
              <w:t xml:space="preserve"> (radiology, pharmacy, ..). In the estimation of operating room costs, specify whether the cost of the consumable material used in each patient is individualized</w:t>
            </w:r>
          </w:p>
        </w:tc>
      </w:tr>
      <w:tr w:rsidR="00011E8F" w:rsidRPr="00011E8F" w14:paraId="06D2899B" w14:textId="77777777" w:rsidTr="00675B56">
        <w:tc>
          <w:tcPr>
            <w:tcW w:w="1271" w:type="dxa"/>
          </w:tcPr>
          <w:p w14:paraId="7DED918F" w14:textId="0056610B" w:rsidR="00124163" w:rsidRPr="00011E8F" w:rsidRDefault="00675B56" w:rsidP="00FC61F7">
            <w:pPr>
              <w:snapToGrid w:val="0"/>
              <w:spacing w:line="360" w:lineRule="auto"/>
              <w:jc w:val="both"/>
              <w:rPr>
                <w:rFonts w:ascii="Book Antiqua" w:hAnsi="Book Antiqua"/>
                <w:color w:val="000000" w:themeColor="text1"/>
                <w:sz w:val="24"/>
                <w:szCs w:val="24"/>
                <w:lang w:val="en-NZ" w:eastAsia="zh-CN"/>
              </w:rPr>
            </w:pPr>
            <w:r w:rsidRPr="00011E8F">
              <w:rPr>
                <w:rFonts w:ascii="Book Antiqua" w:hAnsi="Book Antiqua"/>
                <w:color w:val="000000" w:themeColor="text1"/>
                <w:sz w:val="24"/>
                <w:szCs w:val="24"/>
                <w:lang w:val="en-NZ" w:eastAsia="zh-CN"/>
              </w:rPr>
              <w:lastRenderedPageBreak/>
              <w:t>15</w:t>
            </w:r>
          </w:p>
        </w:tc>
        <w:tc>
          <w:tcPr>
            <w:tcW w:w="7789" w:type="dxa"/>
          </w:tcPr>
          <w:p w14:paraId="1DF62412" w14:textId="702DDCB0" w:rsidR="00124163" w:rsidRPr="00011E8F" w:rsidRDefault="00124163" w:rsidP="00FC61F7">
            <w:pPr>
              <w:snapToGrid w:val="0"/>
              <w:spacing w:line="360" w:lineRule="auto"/>
              <w:jc w:val="both"/>
              <w:rPr>
                <w:rFonts w:ascii="Book Antiqua" w:hAnsi="Book Antiqua"/>
                <w:color w:val="000000" w:themeColor="text1"/>
                <w:sz w:val="24"/>
                <w:szCs w:val="24"/>
              </w:rPr>
            </w:pPr>
            <w:r w:rsidRPr="00011E8F">
              <w:rPr>
                <w:rFonts w:ascii="Book Antiqua" w:hAnsi="Book Antiqua"/>
                <w:color w:val="000000" w:themeColor="text1"/>
                <w:sz w:val="24"/>
                <w:szCs w:val="24"/>
                <w:lang w:val="en-NZ"/>
              </w:rPr>
              <w:t xml:space="preserve">Describe the postoperative follow-up time in which complications and costs will be evaluated for each perspective and procedure. </w:t>
            </w:r>
            <w:r w:rsidRPr="00011E8F">
              <w:rPr>
                <w:rFonts w:ascii="Book Antiqua" w:hAnsi="Book Antiqua"/>
                <w:color w:val="000000" w:themeColor="text1"/>
                <w:sz w:val="24"/>
                <w:szCs w:val="24"/>
              </w:rPr>
              <w:t>From the hospital perspective, consider 90 d minimum</w:t>
            </w:r>
          </w:p>
        </w:tc>
      </w:tr>
      <w:tr w:rsidR="00011E8F" w:rsidRPr="00011E8F" w14:paraId="56E9E7DA" w14:textId="77777777" w:rsidTr="00675B56">
        <w:tc>
          <w:tcPr>
            <w:tcW w:w="1271" w:type="dxa"/>
          </w:tcPr>
          <w:p w14:paraId="55F5A239" w14:textId="77316631" w:rsidR="00124163" w:rsidRPr="00011E8F" w:rsidRDefault="00675B56" w:rsidP="00FC61F7">
            <w:pPr>
              <w:snapToGrid w:val="0"/>
              <w:spacing w:line="360" w:lineRule="auto"/>
              <w:jc w:val="both"/>
              <w:rPr>
                <w:rFonts w:ascii="Book Antiqua" w:hAnsi="Book Antiqua"/>
                <w:color w:val="000000" w:themeColor="text1"/>
                <w:sz w:val="24"/>
                <w:szCs w:val="24"/>
                <w:lang w:eastAsia="zh-CN"/>
              </w:rPr>
            </w:pPr>
            <w:r w:rsidRPr="00011E8F">
              <w:rPr>
                <w:rFonts w:ascii="Book Antiqua" w:hAnsi="Book Antiqua"/>
                <w:color w:val="000000" w:themeColor="text1"/>
                <w:sz w:val="24"/>
                <w:szCs w:val="24"/>
                <w:lang w:eastAsia="zh-CN"/>
              </w:rPr>
              <w:t>16</w:t>
            </w:r>
          </w:p>
        </w:tc>
        <w:tc>
          <w:tcPr>
            <w:tcW w:w="7789" w:type="dxa"/>
          </w:tcPr>
          <w:p w14:paraId="4B5D5746" w14:textId="2A783896" w:rsidR="00124163" w:rsidRPr="00011E8F" w:rsidRDefault="00124163" w:rsidP="00FC61F7">
            <w:pPr>
              <w:snapToGrid w:val="0"/>
              <w:spacing w:line="360" w:lineRule="auto"/>
              <w:jc w:val="both"/>
              <w:rPr>
                <w:rFonts w:ascii="Book Antiqua" w:hAnsi="Book Antiqua"/>
                <w:color w:val="000000" w:themeColor="text1"/>
                <w:sz w:val="24"/>
                <w:szCs w:val="24"/>
                <w:lang w:val="en-NZ"/>
              </w:rPr>
            </w:pPr>
            <w:r w:rsidRPr="00011E8F">
              <w:rPr>
                <w:rFonts w:ascii="Book Antiqua" w:hAnsi="Book Antiqua"/>
                <w:color w:val="000000" w:themeColor="text1"/>
                <w:sz w:val="24"/>
                <w:szCs w:val="24"/>
                <w:lang w:val="en-NZ"/>
              </w:rPr>
              <w:t>Methods for converting costs into a common monetary base and the exchange rate. If it includes more than one calendar year, specify corrections made for inflation</w:t>
            </w:r>
          </w:p>
        </w:tc>
      </w:tr>
      <w:tr w:rsidR="00011E8F" w:rsidRPr="00011E8F" w14:paraId="6E7452C3" w14:textId="77777777" w:rsidTr="00675B56">
        <w:tc>
          <w:tcPr>
            <w:tcW w:w="1271" w:type="dxa"/>
          </w:tcPr>
          <w:p w14:paraId="667084B6" w14:textId="1B646F09" w:rsidR="00124163" w:rsidRPr="00011E8F" w:rsidRDefault="00675B56" w:rsidP="00FC61F7">
            <w:pPr>
              <w:snapToGrid w:val="0"/>
              <w:spacing w:line="360" w:lineRule="auto"/>
              <w:jc w:val="both"/>
              <w:rPr>
                <w:rFonts w:ascii="Book Antiqua" w:hAnsi="Book Antiqua"/>
                <w:color w:val="000000" w:themeColor="text1"/>
                <w:sz w:val="24"/>
                <w:szCs w:val="24"/>
                <w:lang w:val="en-NZ" w:eastAsia="zh-CN"/>
              </w:rPr>
            </w:pPr>
            <w:r w:rsidRPr="00011E8F">
              <w:rPr>
                <w:rFonts w:ascii="Book Antiqua" w:hAnsi="Book Antiqua"/>
                <w:color w:val="000000" w:themeColor="text1"/>
                <w:sz w:val="24"/>
                <w:szCs w:val="24"/>
                <w:lang w:val="en-NZ" w:eastAsia="zh-CN"/>
              </w:rPr>
              <w:t>17</w:t>
            </w:r>
          </w:p>
        </w:tc>
        <w:tc>
          <w:tcPr>
            <w:tcW w:w="7789" w:type="dxa"/>
          </w:tcPr>
          <w:p w14:paraId="05A03740" w14:textId="611F94A7" w:rsidR="00124163" w:rsidRPr="00011E8F" w:rsidRDefault="00124163" w:rsidP="00FC61F7">
            <w:pPr>
              <w:snapToGrid w:val="0"/>
              <w:spacing w:line="360" w:lineRule="auto"/>
              <w:jc w:val="both"/>
              <w:rPr>
                <w:rFonts w:ascii="Book Antiqua" w:hAnsi="Book Antiqua"/>
                <w:color w:val="000000" w:themeColor="text1"/>
                <w:sz w:val="24"/>
                <w:szCs w:val="24"/>
                <w:lang w:val="en-NZ"/>
              </w:rPr>
            </w:pPr>
            <w:r w:rsidRPr="00011E8F">
              <w:rPr>
                <w:rFonts w:ascii="Book Antiqua" w:hAnsi="Book Antiqua"/>
                <w:color w:val="000000" w:themeColor="text1"/>
                <w:sz w:val="24"/>
                <w:szCs w:val="24"/>
                <w:lang w:val="en-NZ"/>
              </w:rPr>
              <w:t>Biases and limitations of the study, and measures used to reduce them</w:t>
            </w:r>
          </w:p>
        </w:tc>
      </w:tr>
      <w:tr w:rsidR="00011E8F" w:rsidRPr="00011E8F" w14:paraId="43186B97" w14:textId="77777777" w:rsidTr="00675B56">
        <w:tc>
          <w:tcPr>
            <w:tcW w:w="1271" w:type="dxa"/>
          </w:tcPr>
          <w:p w14:paraId="7F97EBBC" w14:textId="7D5899E0" w:rsidR="00124163" w:rsidRPr="00011E8F" w:rsidRDefault="00675B56" w:rsidP="00FC61F7">
            <w:pPr>
              <w:snapToGrid w:val="0"/>
              <w:spacing w:line="360" w:lineRule="auto"/>
              <w:jc w:val="both"/>
              <w:rPr>
                <w:rFonts w:ascii="Book Antiqua" w:hAnsi="Book Antiqua"/>
                <w:color w:val="000000" w:themeColor="text1"/>
                <w:sz w:val="24"/>
                <w:szCs w:val="24"/>
                <w:lang w:val="en-NZ" w:eastAsia="zh-CN"/>
              </w:rPr>
            </w:pPr>
            <w:r w:rsidRPr="00011E8F">
              <w:rPr>
                <w:rFonts w:ascii="Book Antiqua" w:hAnsi="Book Antiqua"/>
                <w:color w:val="000000" w:themeColor="text1"/>
                <w:sz w:val="24"/>
                <w:szCs w:val="24"/>
                <w:lang w:val="en-NZ" w:eastAsia="zh-CN"/>
              </w:rPr>
              <w:t>18</w:t>
            </w:r>
          </w:p>
        </w:tc>
        <w:tc>
          <w:tcPr>
            <w:tcW w:w="7789" w:type="dxa"/>
          </w:tcPr>
          <w:p w14:paraId="023B96E4" w14:textId="1396B36C" w:rsidR="00124163" w:rsidRPr="00011E8F" w:rsidRDefault="00124163" w:rsidP="00FC61F7">
            <w:pPr>
              <w:snapToGrid w:val="0"/>
              <w:spacing w:line="360" w:lineRule="auto"/>
              <w:jc w:val="both"/>
              <w:rPr>
                <w:rFonts w:ascii="Book Antiqua" w:hAnsi="Book Antiqua"/>
                <w:color w:val="000000" w:themeColor="text1"/>
                <w:sz w:val="24"/>
                <w:szCs w:val="24"/>
                <w:lang w:val="en-NZ"/>
              </w:rPr>
            </w:pPr>
            <w:r w:rsidRPr="00011E8F">
              <w:rPr>
                <w:rFonts w:ascii="Book Antiqua" w:hAnsi="Book Antiqua"/>
                <w:color w:val="000000" w:themeColor="text1"/>
                <w:sz w:val="24"/>
                <w:szCs w:val="24"/>
                <w:lang w:val="en-NZ"/>
              </w:rPr>
              <w:t>Conflict of interests of researchers. Linking researchers to the surgical service and hospital</w:t>
            </w:r>
          </w:p>
        </w:tc>
      </w:tr>
      <w:tr w:rsidR="00011E8F" w:rsidRPr="00011E8F" w14:paraId="0E505ACA" w14:textId="77777777" w:rsidTr="00675B56">
        <w:tc>
          <w:tcPr>
            <w:tcW w:w="1271" w:type="dxa"/>
          </w:tcPr>
          <w:p w14:paraId="1AE453A1" w14:textId="5E161926" w:rsidR="00124163" w:rsidRPr="00011E8F" w:rsidRDefault="00675B56" w:rsidP="00FC61F7">
            <w:pPr>
              <w:snapToGrid w:val="0"/>
              <w:spacing w:line="360" w:lineRule="auto"/>
              <w:jc w:val="both"/>
              <w:rPr>
                <w:rFonts w:ascii="Book Antiqua" w:hAnsi="Book Antiqua"/>
                <w:color w:val="000000" w:themeColor="text1"/>
                <w:sz w:val="24"/>
                <w:szCs w:val="24"/>
                <w:lang w:val="en-NZ" w:eastAsia="zh-CN"/>
              </w:rPr>
            </w:pPr>
            <w:r w:rsidRPr="00011E8F">
              <w:rPr>
                <w:rFonts w:ascii="Book Antiqua" w:hAnsi="Book Antiqua"/>
                <w:color w:val="000000" w:themeColor="text1"/>
                <w:sz w:val="24"/>
                <w:szCs w:val="24"/>
                <w:lang w:val="en-NZ" w:eastAsia="zh-CN"/>
              </w:rPr>
              <w:t>19</w:t>
            </w:r>
          </w:p>
        </w:tc>
        <w:tc>
          <w:tcPr>
            <w:tcW w:w="7789" w:type="dxa"/>
          </w:tcPr>
          <w:p w14:paraId="446914D0" w14:textId="176DE72A" w:rsidR="00124163" w:rsidRPr="00011E8F" w:rsidRDefault="00124163" w:rsidP="00FC61F7">
            <w:pPr>
              <w:snapToGrid w:val="0"/>
              <w:spacing w:line="360" w:lineRule="auto"/>
              <w:jc w:val="both"/>
              <w:rPr>
                <w:rFonts w:ascii="Book Antiqua" w:hAnsi="Book Antiqua"/>
                <w:color w:val="000000" w:themeColor="text1"/>
                <w:sz w:val="24"/>
                <w:szCs w:val="24"/>
              </w:rPr>
            </w:pPr>
            <w:r w:rsidRPr="00011E8F">
              <w:rPr>
                <w:rFonts w:ascii="Book Antiqua" w:hAnsi="Book Antiqua"/>
                <w:color w:val="000000" w:themeColor="text1"/>
                <w:sz w:val="24"/>
                <w:szCs w:val="24"/>
              </w:rPr>
              <w:t>Source of study financing</w:t>
            </w:r>
          </w:p>
        </w:tc>
      </w:tr>
    </w:tbl>
    <w:p w14:paraId="042A0377" w14:textId="77777777" w:rsidR="00DE5F8B" w:rsidRPr="00011E8F" w:rsidRDefault="00DE5F8B" w:rsidP="002A08F9">
      <w:pPr>
        <w:widowControl w:val="0"/>
        <w:autoSpaceDE w:val="0"/>
        <w:autoSpaceDN w:val="0"/>
        <w:adjustRightInd w:val="0"/>
        <w:snapToGrid w:val="0"/>
        <w:spacing w:after="0" w:line="360" w:lineRule="auto"/>
        <w:jc w:val="both"/>
        <w:rPr>
          <w:rFonts w:ascii="Book Antiqua" w:hAnsi="Book Antiqua"/>
          <w:color w:val="000000" w:themeColor="text1"/>
          <w:sz w:val="24"/>
          <w:szCs w:val="24"/>
          <w:lang w:val="en-US"/>
        </w:rPr>
      </w:pPr>
    </w:p>
    <w:sectPr w:rsidR="00DE5F8B" w:rsidRPr="00011E8F" w:rsidSect="00865103">
      <w:footerReference w:type="even"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29E5C0" w14:textId="77777777" w:rsidR="00E21E8A" w:rsidRDefault="00E21E8A" w:rsidP="00011E8F">
      <w:pPr>
        <w:spacing w:after="0" w:line="240" w:lineRule="auto"/>
      </w:pPr>
      <w:r>
        <w:separator/>
      </w:r>
    </w:p>
  </w:endnote>
  <w:endnote w:type="continuationSeparator" w:id="0">
    <w:p w14:paraId="76B5184F" w14:textId="77777777" w:rsidR="00E21E8A" w:rsidRDefault="00E21E8A" w:rsidP="00011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MS Gothic"/>
    <w:charset w:val="80"/>
    <w:family w:val="swiss"/>
    <w:pitch w:val="variable"/>
    <w:sig w:usb0="E00002FF" w:usb1="7AC7FFFF" w:usb2="00000012" w:usb3="00000000" w:csb0="0002000D" w:csb1="00000000"/>
  </w:font>
  <w:font w:name="Arial Unicode MS">
    <w:panose1 w:val="020B0604020202020204"/>
    <w:charset w:val="86"/>
    <w:family w:val="swiss"/>
    <w:pitch w:val="variable"/>
    <w:sig w:usb0="F7FFAFFF" w:usb1="E9DFFFFF" w:usb2="0000003F" w:usb3="00000000" w:csb0="003F01FF" w:csb1="00000000"/>
  </w:font>
  <w:font w:name="微软雅黑">
    <w:altName w:val="Microsoft YaHei"/>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0"/>
      </w:rPr>
      <w:id w:val="920683335"/>
      <w:docPartObj>
        <w:docPartGallery w:val="Page Numbers (Bottom of Page)"/>
        <w:docPartUnique/>
      </w:docPartObj>
    </w:sdtPr>
    <w:sdtEndPr>
      <w:rPr>
        <w:rStyle w:val="af0"/>
      </w:rPr>
    </w:sdtEndPr>
    <w:sdtContent>
      <w:p w14:paraId="11719E35" w14:textId="78121725" w:rsidR="00E62BF9" w:rsidRDefault="00E62BF9" w:rsidP="00E62BF9">
        <w:pPr>
          <w:pStyle w:val="ae"/>
          <w:framePr w:wrap="none" w:vAnchor="text" w:hAnchor="margin" w:xAlign="right" w:y="1"/>
          <w:rPr>
            <w:rStyle w:val="af0"/>
          </w:rPr>
        </w:pPr>
        <w:r>
          <w:rPr>
            <w:rStyle w:val="af0"/>
          </w:rPr>
          <w:fldChar w:fldCharType="begin"/>
        </w:r>
        <w:r>
          <w:rPr>
            <w:rStyle w:val="af0"/>
          </w:rPr>
          <w:instrText xml:space="preserve"> PAGE </w:instrText>
        </w:r>
        <w:r>
          <w:rPr>
            <w:rStyle w:val="af0"/>
          </w:rPr>
          <w:fldChar w:fldCharType="end"/>
        </w:r>
      </w:p>
    </w:sdtContent>
  </w:sdt>
  <w:p w14:paraId="1DA9AD7F" w14:textId="77777777" w:rsidR="00E62BF9" w:rsidRDefault="00E62BF9" w:rsidP="00011E8F">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15871" w14:textId="3A82B6E5" w:rsidR="00E62BF9" w:rsidRPr="00C9035D" w:rsidRDefault="00C9035D" w:rsidP="00C9035D">
    <w:pPr>
      <w:pStyle w:val="ae"/>
      <w:ind w:right="360"/>
      <w:jc w:val="right"/>
    </w:pPr>
    <w:r w:rsidRPr="00C9035D">
      <w:rPr>
        <w:rStyle w:val="af0"/>
        <w:lang w:val="zh-CN"/>
      </w:rPr>
      <w:t xml:space="preserve"> </w:t>
    </w:r>
    <w:r w:rsidRPr="00C9035D">
      <w:rPr>
        <w:rStyle w:val="af0"/>
        <w:bCs/>
      </w:rPr>
      <w:fldChar w:fldCharType="begin"/>
    </w:r>
    <w:r w:rsidRPr="00C9035D">
      <w:rPr>
        <w:rStyle w:val="af0"/>
        <w:bCs/>
      </w:rPr>
      <w:instrText>PAGE  \* Arabic  \* MERGEFORMAT</w:instrText>
    </w:r>
    <w:r w:rsidRPr="00C9035D">
      <w:rPr>
        <w:rStyle w:val="af0"/>
        <w:bCs/>
      </w:rPr>
      <w:fldChar w:fldCharType="separate"/>
    </w:r>
    <w:r w:rsidRPr="00C9035D">
      <w:rPr>
        <w:rStyle w:val="af0"/>
        <w:bCs/>
        <w:noProof/>
        <w:lang w:val="zh-CN"/>
      </w:rPr>
      <w:t>3</w:t>
    </w:r>
    <w:r w:rsidRPr="00C9035D">
      <w:rPr>
        <w:rStyle w:val="af0"/>
        <w:bCs/>
      </w:rPr>
      <w:fldChar w:fldCharType="end"/>
    </w:r>
    <w:r w:rsidRPr="00C9035D">
      <w:rPr>
        <w:rStyle w:val="af0"/>
        <w:lang w:val="zh-CN"/>
      </w:rPr>
      <w:t xml:space="preserve"> / </w:t>
    </w:r>
    <w:r w:rsidRPr="00C9035D">
      <w:rPr>
        <w:rStyle w:val="af0"/>
        <w:bCs/>
      </w:rPr>
      <w:fldChar w:fldCharType="begin"/>
    </w:r>
    <w:r w:rsidRPr="00C9035D">
      <w:rPr>
        <w:rStyle w:val="af0"/>
        <w:bCs/>
      </w:rPr>
      <w:instrText>NUMPAGES  \* Arabic  \* MERGEFORMAT</w:instrText>
    </w:r>
    <w:r w:rsidRPr="00C9035D">
      <w:rPr>
        <w:rStyle w:val="af0"/>
        <w:bCs/>
      </w:rPr>
      <w:fldChar w:fldCharType="separate"/>
    </w:r>
    <w:r w:rsidRPr="00C9035D">
      <w:rPr>
        <w:rStyle w:val="af0"/>
        <w:bCs/>
        <w:noProof/>
        <w:lang w:val="zh-CN"/>
      </w:rPr>
      <w:t>22</w:t>
    </w:r>
    <w:r w:rsidRPr="00C9035D">
      <w:rPr>
        <w:rStyle w:val="af0"/>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59BC5A" w14:textId="77777777" w:rsidR="00E21E8A" w:rsidRDefault="00E21E8A" w:rsidP="00011E8F">
      <w:pPr>
        <w:spacing w:after="0" w:line="240" w:lineRule="auto"/>
      </w:pPr>
      <w:r>
        <w:separator/>
      </w:r>
    </w:p>
  </w:footnote>
  <w:footnote w:type="continuationSeparator" w:id="0">
    <w:p w14:paraId="7704CFF2" w14:textId="77777777" w:rsidR="00E21E8A" w:rsidRDefault="00E21E8A" w:rsidP="00011E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F0B5B"/>
    <w:multiLevelType w:val="hybridMultilevel"/>
    <w:tmpl w:val="5C18793A"/>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15:restartNumberingAfterBreak="0">
    <w:nsid w:val="0A464014"/>
    <w:multiLevelType w:val="hybridMultilevel"/>
    <w:tmpl w:val="0A7EC9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BE617A4"/>
    <w:multiLevelType w:val="hybridMultilevel"/>
    <w:tmpl w:val="6C627D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C967C0A"/>
    <w:multiLevelType w:val="hybridMultilevel"/>
    <w:tmpl w:val="A3B8469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3AC5401"/>
    <w:multiLevelType w:val="hybridMultilevel"/>
    <w:tmpl w:val="C4A69096"/>
    <w:lvl w:ilvl="0" w:tplc="0C0A0003">
      <w:start w:val="1"/>
      <w:numFmt w:val="bullet"/>
      <w:lvlText w:val="o"/>
      <w:lvlJc w:val="left"/>
      <w:pPr>
        <w:ind w:left="1428" w:hanging="360"/>
      </w:pPr>
      <w:rPr>
        <w:rFonts w:ascii="Courier New" w:hAnsi="Courier New" w:cs="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 w15:restartNumberingAfterBreak="0">
    <w:nsid w:val="20CD1169"/>
    <w:multiLevelType w:val="hybridMultilevel"/>
    <w:tmpl w:val="D6529C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17B1803"/>
    <w:multiLevelType w:val="hybridMultilevel"/>
    <w:tmpl w:val="A18CFF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1892AEA"/>
    <w:multiLevelType w:val="hybridMultilevel"/>
    <w:tmpl w:val="EC36699E"/>
    <w:lvl w:ilvl="0" w:tplc="EFF88F2C">
      <w:numFmt w:val="bullet"/>
      <w:lvlText w:val="•"/>
      <w:lvlJc w:val="left"/>
      <w:pPr>
        <w:ind w:left="720" w:hanging="360"/>
      </w:pPr>
      <w:rPr>
        <w:rFonts w:ascii="Book Antiqua" w:eastAsiaTheme="minorHAnsi" w:hAnsi="Book Antiqua" w:cstheme="minorBid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15:restartNumberingAfterBreak="0">
    <w:nsid w:val="22792F36"/>
    <w:multiLevelType w:val="hybridMultilevel"/>
    <w:tmpl w:val="78C0D03C"/>
    <w:lvl w:ilvl="0" w:tplc="953ED37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3A7010B"/>
    <w:multiLevelType w:val="hybridMultilevel"/>
    <w:tmpl w:val="76CCDD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9945C16"/>
    <w:multiLevelType w:val="hybridMultilevel"/>
    <w:tmpl w:val="3AAEA6B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9BF3679"/>
    <w:multiLevelType w:val="hybridMultilevel"/>
    <w:tmpl w:val="0DC81D02"/>
    <w:lvl w:ilvl="0" w:tplc="2F02B760">
      <w:start w:val="1"/>
      <w:numFmt w:val="decimal"/>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F895F40"/>
    <w:multiLevelType w:val="hybridMultilevel"/>
    <w:tmpl w:val="87C4D7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21931F0"/>
    <w:multiLevelType w:val="hybridMultilevel"/>
    <w:tmpl w:val="0B0294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E1A25D3"/>
    <w:multiLevelType w:val="hybridMultilevel"/>
    <w:tmpl w:val="CCC8C0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2C82991"/>
    <w:multiLevelType w:val="hybridMultilevel"/>
    <w:tmpl w:val="F64A02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3014794"/>
    <w:multiLevelType w:val="hybridMultilevel"/>
    <w:tmpl w:val="CBC03BF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A61366C"/>
    <w:multiLevelType w:val="hybridMultilevel"/>
    <w:tmpl w:val="FAAC2A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32B5D4D"/>
    <w:multiLevelType w:val="hybridMultilevel"/>
    <w:tmpl w:val="35FA20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61C4A4E"/>
    <w:multiLevelType w:val="hybridMultilevel"/>
    <w:tmpl w:val="BEB25F2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F137F6A"/>
    <w:multiLevelType w:val="hybridMultilevel"/>
    <w:tmpl w:val="B5A4FA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AAB51CB"/>
    <w:multiLevelType w:val="hybridMultilevel"/>
    <w:tmpl w:val="1BD620A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2" w15:restartNumberingAfterBreak="0">
    <w:nsid w:val="7E1B1DF9"/>
    <w:multiLevelType w:val="hybridMultilevel"/>
    <w:tmpl w:val="11A0846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15"/>
  </w:num>
  <w:num w:numId="3">
    <w:abstractNumId w:val="18"/>
  </w:num>
  <w:num w:numId="4">
    <w:abstractNumId w:val="17"/>
  </w:num>
  <w:num w:numId="5">
    <w:abstractNumId w:val="20"/>
  </w:num>
  <w:num w:numId="6">
    <w:abstractNumId w:val="21"/>
  </w:num>
  <w:num w:numId="7">
    <w:abstractNumId w:val="7"/>
  </w:num>
  <w:num w:numId="8">
    <w:abstractNumId w:val="9"/>
  </w:num>
  <w:num w:numId="9">
    <w:abstractNumId w:val="2"/>
  </w:num>
  <w:num w:numId="10">
    <w:abstractNumId w:val="3"/>
  </w:num>
  <w:num w:numId="11">
    <w:abstractNumId w:val="12"/>
  </w:num>
  <w:num w:numId="12">
    <w:abstractNumId w:val="1"/>
  </w:num>
  <w:num w:numId="13">
    <w:abstractNumId w:val="10"/>
  </w:num>
  <w:num w:numId="14">
    <w:abstractNumId w:val="11"/>
  </w:num>
  <w:num w:numId="15">
    <w:abstractNumId w:val="8"/>
  </w:num>
  <w:num w:numId="16">
    <w:abstractNumId w:val="6"/>
  </w:num>
  <w:num w:numId="17">
    <w:abstractNumId w:val="16"/>
  </w:num>
  <w:num w:numId="18">
    <w:abstractNumId w:val="19"/>
  </w:num>
  <w:num w:numId="19">
    <w:abstractNumId w:val="14"/>
  </w:num>
  <w:num w:numId="20">
    <w:abstractNumId w:val="0"/>
  </w:num>
  <w:num w:numId="21">
    <w:abstractNumId w:val="4"/>
  </w:num>
  <w:num w:numId="22">
    <w:abstractNumId w:val="13"/>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103"/>
    <w:rsid w:val="000005B6"/>
    <w:rsid w:val="00000BE7"/>
    <w:rsid w:val="00005A0C"/>
    <w:rsid w:val="00007CFE"/>
    <w:rsid w:val="00007DC1"/>
    <w:rsid w:val="0001066E"/>
    <w:rsid w:val="00011E8F"/>
    <w:rsid w:val="000129B8"/>
    <w:rsid w:val="000153CE"/>
    <w:rsid w:val="00026076"/>
    <w:rsid w:val="000266B9"/>
    <w:rsid w:val="00030DEF"/>
    <w:rsid w:val="000446B0"/>
    <w:rsid w:val="00047318"/>
    <w:rsid w:val="00054898"/>
    <w:rsid w:val="000603FD"/>
    <w:rsid w:val="00061552"/>
    <w:rsid w:val="000723EA"/>
    <w:rsid w:val="00072929"/>
    <w:rsid w:val="0007297E"/>
    <w:rsid w:val="00073293"/>
    <w:rsid w:val="00083EF2"/>
    <w:rsid w:val="000A15EB"/>
    <w:rsid w:val="000A5375"/>
    <w:rsid w:val="000B01DE"/>
    <w:rsid w:val="000B2B7E"/>
    <w:rsid w:val="000C001A"/>
    <w:rsid w:val="000E226F"/>
    <w:rsid w:val="000F2FFF"/>
    <w:rsid w:val="00105404"/>
    <w:rsid w:val="00106118"/>
    <w:rsid w:val="00107B33"/>
    <w:rsid w:val="00110BA8"/>
    <w:rsid w:val="00111F76"/>
    <w:rsid w:val="00112C17"/>
    <w:rsid w:val="00114CC3"/>
    <w:rsid w:val="00116C6C"/>
    <w:rsid w:val="0012213C"/>
    <w:rsid w:val="00122520"/>
    <w:rsid w:val="00124163"/>
    <w:rsid w:val="00125B68"/>
    <w:rsid w:val="0013171D"/>
    <w:rsid w:val="001536FD"/>
    <w:rsid w:val="00153BF7"/>
    <w:rsid w:val="001671E7"/>
    <w:rsid w:val="001862C1"/>
    <w:rsid w:val="001917A0"/>
    <w:rsid w:val="00195B97"/>
    <w:rsid w:val="00196227"/>
    <w:rsid w:val="001969E5"/>
    <w:rsid w:val="001A1965"/>
    <w:rsid w:val="001A2584"/>
    <w:rsid w:val="001A4860"/>
    <w:rsid w:val="001B12AA"/>
    <w:rsid w:val="001B1DAA"/>
    <w:rsid w:val="001B3049"/>
    <w:rsid w:val="001B3D30"/>
    <w:rsid w:val="001B4097"/>
    <w:rsid w:val="001C4CEB"/>
    <w:rsid w:val="001D1B52"/>
    <w:rsid w:val="001D478E"/>
    <w:rsid w:val="001D7EA6"/>
    <w:rsid w:val="001E0A44"/>
    <w:rsid w:val="001E3F2C"/>
    <w:rsid w:val="001E413C"/>
    <w:rsid w:val="001F1033"/>
    <w:rsid w:val="001F321A"/>
    <w:rsid w:val="00202920"/>
    <w:rsid w:val="00204911"/>
    <w:rsid w:val="002063DB"/>
    <w:rsid w:val="002076DE"/>
    <w:rsid w:val="0021206C"/>
    <w:rsid w:val="0021597F"/>
    <w:rsid w:val="00215BBC"/>
    <w:rsid w:val="00220DC8"/>
    <w:rsid w:val="00221069"/>
    <w:rsid w:val="0022417B"/>
    <w:rsid w:val="00226D65"/>
    <w:rsid w:val="00231F33"/>
    <w:rsid w:val="0023473D"/>
    <w:rsid w:val="002403C6"/>
    <w:rsid w:val="00241856"/>
    <w:rsid w:val="00247769"/>
    <w:rsid w:val="002530B6"/>
    <w:rsid w:val="00256923"/>
    <w:rsid w:val="00261041"/>
    <w:rsid w:val="002636F4"/>
    <w:rsid w:val="002746D7"/>
    <w:rsid w:val="00276370"/>
    <w:rsid w:val="00276635"/>
    <w:rsid w:val="0028061C"/>
    <w:rsid w:val="00281FD8"/>
    <w:rsid w:val="0028346A"/>
    <w:rsid w:val="00290769"/>
    <w:rsid w:val="00291150"/>
    <w:rsid w:val="00291A9D"/>
    <w:rsid w:val="00297C5D"/>
    <w:rsid w:val="002A08F9"/>
    <w:rsid w:val="002A28E4"/>
    <w:rsid w:val="002A292A"/>
    <w:rsid w:val="002A351B"/>
    <w:rsid w:val="002A3E48"/>
    <w:rsid w:val="002B1B4B"/>
    <w:rsid w:val="002B6EA8"/>
    <w:rsid w:val="002C25EE"/>
    <w:rsid w:val="002C5B76"/>
    <w:rsid w:val="002C5C2C"/>
    <w:rsid w:val="002C5CFE"/>
    <w:rsid w:val="002C7E52"/>
    <w:rsid w:val="002D41F2"/>
    <w:rsid w:val="002E018B"/>
    <w:rsid w:val="002E04EF"/>
    <w:rsid w:val="002E1883"/>
    <w:rsid w:val="002E7E6F"/>
    <w:rsid w:val="002F3DF8"/>
    <w:rsid w:val="002F611E"/>
    <w:rsid w:val="0030386E"/>
    <w:rsid w:val="00303B8E"/>
    <w:rsid w:val="00304E36"/>
    <w:rsid w:val="003066FB"/>
    <w:rsid w:val="003068F7"/>
    <w:rsid w:val="00310905"/>
    <w:rsid w:val="00316904"/>
    <w:rsid w:val="00317114"/>
    <w:rsid w:val="00317C8A"/>
    <w:rsid w:val="0032363B"/>
    <w:rsid w:val="0032496C"/>
    <w:rsid w:val="00324B4B"/>
    <w:rsid w:val="0033073B"/>
    <w:rsid w:val="003321C1"/>
    <w:rsid w:val="00334A04"/>
    <w:rsid w:val="00340E91"/>
    <w:rsid w:val="00345505"/>
    <w:rsid w:val="003501A2"/>
    <w:rsid w:val="003528AC"/>
    <w:rsid w:val="003542BE"/>
    <w:rsid w:val="003604E2"/>
    <w:rsid w:val="0036075D"/>
    <w:rsid w:val="00360ED0"/>
    <w:rsid w:val="00371750"/>
    <w:rsid w:val="00377208"/>
    <w:rsid w:val="00383462"/>
    <w:rsid w:val="00383576"/>
    <w:rsid w:val="00386D52"/>
    <w:rsid w:val="00394178"/>
    <w:rsid w:val="003A2926"/>
    <w:rsid w:val="003A7A45"/>
    <w:rsid w:val="003B1888"/>
    <w:rsid w:val="003B7925"/>
    <w:rsid w:val="003D109F"/>
    <w:rsid w:val="003D259F"/>
    <w:rsid w:val="003D3119"/>
    <w:rsid w:val="003D7C98"/>
    <w:rsid w:val="003E0BC4"/>
    <w:rsid w:val="003E75AF"/>
    <w:rsid w:val="003E77A2"/>
    <w:rsid w:val="00402FB6"/>
    <w:rsid w:val="0040397A"/>
    <w:rsid w:val="0040593C"/>
    <w:rsid w:val="00411AF7"/>
    <w:rsid w:val="00411B12"/>
    <w:rsid w:val="004121BF"/>
    <w:rsid w:val="00413068"/>
    <w:rsid w:val="00417F7C"/>
    <w:rsid w:val="0042741E"/>
    <w:rsid w:val="00440F04"/>
    <w:rsid w:val="00441247"/>
    <w:rsid w:val="00442765"/>
    <w:rsid w:val="00444C56"/>
    <w:rsid w:val="0044585A"/>
    <w:rsid w:val="00446C8F"/>
    <w:rsid w:val="0044799E"/>
    <w:rsid w:val="0045057D"/>
    <w:rsid w:val="00453D88"/>
    <w:rsid w:val="004545DA"/>
    <w:rsid w:val="00454A42"/>
    <w:rsid w:val="004564FC"/>
    <w:rsid w:val="0047039F"/>
    <w:rsid w:val="00470B6D"/>
    <w:rsid w:val="00471E79"/>
    <w:rsid w:val="0047383F"/>
    <w:rsid w:val="00474877"/>
    <w:rsid w:val="00482E4F"/>
    <w:rsid w:val="0048556A"/>
    <w:rsid w:val="004856BF"/>
    <w:rsid w:val="00485CDA"/>
    <w:rsid w:val="004A6398"/>
    <w:rsid w:val="004A6AA6"/>
    <w:rsid w:val="004A7C5F"/>
    <w:rsid w:val="004B2EB3"/>
    <w:rsid w:val="004B76AE"/>
    <w:rsid w:val="004C2431"/>
    <w:rsid w:val="004C4D97"/>
    <w:rsid w:val="004D2805"/>
    <w:rsid w:val="004D5A43"/>
    <w:rsid w:val="004D6E1C"/>
    <w:rsid w:val="004E2018"/>
    <w:rsid w:val="004E5621"/>
    <w:rsid w:val="004F5C37"/>
    <w:rsid w:val="004F75BA"/>
    <w:rsid w:val="00502A27"/>
    <w:rsid w:val="0050782D"/>
    <w:rsid w:val="00507FC0"/>
    <w:rsid w:val="0051196D"/>
    <w:rsid w:val="00514316"/>
    <w:rsid w:val="00516EE7"/>
    <w:rsid w:val="00521488"/>
    <w:rsid w:val="00521C30"/>
    <w:rsid w:val="00526928"/>
    <w:rsid w:val="00526BCB"/>
    <w:rsid w:val="00527490"/>
    <w:rsid w:val="00530BE0"/>
    <w:rsid w:val="0053370D"/>
    <w:rsid w:val="005356D0"/>
    <w:rsid w:val="00536539"/>
    <w:rsid w:val="00536A9D"/>
    <w:rsid w:val="00542DA4"/>
    <w:rsid w:val="005445EA"/>
    <w:rsid w:val="005466B5"/>
    <w:rsid w:val="00551035"/>
    <w:rsid w:val="00552021"/>
    <w:rsid w:val="00553088"/>
    <w:rsid w:val="00553E9C"/>
    <w:rsid w:val="00556E1F"/>
    <w:rsid w:val="005645A8"/>
    <w:rsid w:val="00564D7B"/>
    <w:rsid w:val="0056798F"/>
    <w:rsid w:val="00572935"/>
    <w:rsid w:val="00574D1B"/>
    <w:rsid w:val="0058074C"/>
    <w:rsid w:val="005812FB"/>
    <w:rsid w:val="00591131"/>
    <w:rsid w:val="0059175B"/>
    <w:rsid w:val="005A4A22"/>
    <w:rsid w:val="005A65E5"/>
    <w:rsid w:val="005B254E"/>
    <w:rsid w:val="005B306B"/>
    <w:rsid w:val="005B36DA"/>
    <w:rsid w:val="005C61CF"/>
    <w:rsid w:val="005C68B3"/>
    <w:rsid w:val="005C6C3C"/>
    <w:rsid w:val="005C6C45"/>
    <w:rsid w:val="005C75AE"/>
    <w:rsid w:val="005D16D3"/>
    <w:rsid w:val="005D37C0"/>
    <w:rsid w:val="005D71A4"/>
    <w:rsid w:val="005E16E8"/>
    <w:rsid w:val="005E1743"/>
    <w:rsid w:val="005E2120"/>
    <w:rsid w:val="005E3A54"/>
    <w:rsid w:val="005F38FC"/>
    <w:rsid w:val="005F472C"/>
    <w:rsid w:val="005F76BA"/>
    <w:rsid w:val="0060613C"/>
    <w:rsid w:val="00607020"/>
    <w:rsid w:val="006107F6"/>
    <w:rsid w:val="00615AD6"/>
    <w:rsid w:val="006211FF"/>
    <w:rsid w:val="00622A1B"/>
    <w:rsid w:val="0062481A"/>
    <w:rsid w:val="00625ABB"/>
    <w:rsid w:val="00626516"/>
    <w:rsid w:val="00626CF7"/>
    <w:rsid w:val="00627163"/>
    <w:rsid w:val="006271D0"/>
    <w:rsid w:val="00630A19"/>
    <w:rsid w:val="00630A64"/>
    <w:rsid w:val="00631658"/>
    <w:rsid w:val="00631E98"/>
    <w:rsid w:val="00635080"/>
    <w:rsid w:val="00641336"/>
    <w:rsid w:val="00644B17"/>
    <w:rsid w:val="006479B0"/>
    <w:rsid w:val="00651B10"/>
    <w:rsid w:val="00655DD3"/>
    <w:rsid w:val="00656A30"/>
    <w:rsid w:val="006649D5"/>
    <w:rsid w:val="006725AD"/>
    <w:rsid w:val="00673D15"/>
    <w:rsid w:val="00675B56"/>
    <w:rsid w:val="006828EB"/>
    <w:rsid w:val="00682F94"/>
    <w:rsid w:val="00685D6B"/>
    <w:rsid w:val="00687A45"/>
    <w:rsid w:val="0069066B"/>
    <w:rsid w:val="00694D4A"/>
    <w:rsid w:val="00697671"/>
    <w:rsid w:val="00697A3F"/>
    <w:rsid w:val="006A1468"/>
    <w:rsid w:val="006A4AE7"/>
    <w:rsid w:val="006A7C3A"/>
    <w:rsid w:val="006B4600"/>
    <w:rsid w:val="006C140A"/>
    <w:rsid w:val="006C1EA7"/>
    <w:rsid w:val="006C48E6"/>
    <w:rsid w:val="006C7A20"/>
    <w:rsid w:val="006C7EA3"/>
    <w:rsid w:val="006D4E3C"/>
    <w:rsid w:val="006D5389"/>
    <w:rsid w:val="006E36A3"/>
    <w:rsid w:val="006E596E"/>
    <w:rsid w:val="006E5BA6"/>
    <w:rsid w:val="006E5E1A"/>
    <w:rsid w:val="006F20B5"/>
    <w:rsid w:val="006F461D"/>
    <w:rsid w:val="00701203"/>
    <w:rsid w:val="00710E7C"/>
    <w:rsid w:val="00711DA3"/>
    <w:rsid w:val="00716C89"/>
    <w:rsid w:val="00722495"/>
    <w:rsid w:val="00724A6C"/>
    <w:rsid w:val="00725CCF"/>
    <w:rsid w:val="00735CCF"/>
    <w:rsid w:val="00737AB4"/>
    <w:rsid w:val="00745343"/>
    <w:rsid w:val="00750105"/>
    <w:rsid w:val="007512AA"/>
    <w:rsid w:val="0075555F"/>
    <w:rsid w:val="00760D9A"/>
    <w:rsid w:val="00764046"/>
    <w:rsid w:val="00766183"/>
    <w:rsid w:val="007670A3"/>
    <w:rsid w:val="0077143F"/>
    <w:rsid w:val="00771B0C"/>
    <w:rsid w:val="00771E3B"/>
    <w:rsid w:val="00772E71"/>
    <w:rsid w:val="00775199"/>
    <w:rsid w:val="00775688"/>
    <w:rsid w:val="00785543"/>
    <w:rsid w:val="007907B2"/>
    <w:rsid w:val="00791270"/>
    <w:rsid w:val="007918D9"/>
    <w:rsid w:val="00792213"/>
    <w:rsid w:val="007A3D05"/>
    <w:rsid w:val="007A48D0"/>
    <w:rsid w:val="007A6061"/>
    <w:rsid w:val="007A63B9"/>
    <w:rsid w:val="007A6583"/>
    <w:rsid w:val="007A65E5"/>
    <w:rsid w:val="007B1244"/>
    <w:rsid w:val="007C0B8E"/>
    <w:rsid w:val="007C3E56"/>
    <w:rsid w:val="007C3F4C"/>
    <w:rsid w:val="007C44F1"/>
    <w:rsid w:val="007C66D2"/>
    <w:rsid w:val="007D0295"/>
    <w:rsid w:val="007D2016"/>
    <w:rsid w:val="007E12DE"/>
    <w:rsid w:val="007E3A23"/>
    <w:rsid w:val="007E4E41"/>
    <w:rsid w:val="007E503E"/>
    <w:rsid w:val="007F0977"/>
    <w:rsid w:val="007F1ADB"/>
    <w:rsid w:val="007F4B06"/>
    <w:rsid w:val="00800CBA"/>
    <w:rsid w:val="00801338"/>
    <w:rsid w:val="0080161F"/>
    <w:rsid w:val="008044CA"/>
    <w:rsid w:val="008045C8"/>
    <w:rsid w:val="008079F3"/>
    <w:rsid w:val="0081447D"/>
    <w:rsid w:val="008179C1"/>
    <w:rsid w:val="00821073"/>
    <w:rsid w:val="0082131B"/>
    <w:rsid w:val="00821B7A"/>
    <w:rsid w:val="00825C05"/>
    <w:rsid w:val="008274A0"/>
    <w:rsid w:val="00830104"/>
    <w:rsid w:val="00831E0F"/>
    <w:rsid w:val="00833749"/>
    <w:rsid w:val="00833D62"/>
    <w:rsid w:val="00833EEF"/>
    <w:rsid w:val="00837051"/>
    <w:rsid w:val="008376E3"/>
    <w:rsid w:val="00837F00"/>
    <w:rsid w:val="0084160C"/>
    <w:rsid w:val="00841C23"/>
    <w:rsid w:val="00857041"/>
    <w:rsid w:val="00857AA5"/>
    <w:rsid w:val="00863CBD"/>
    <w:rsid w:val="00865103"/>
    <w:rsid w:val="00870329"/>
    <w:rsid w:val="00887D7A"/>
    <w:rsid w:val="0089033E"/>
    <w:rsid w:val="00891E23"/>
    <w:rsid w:val="00891E58"/>
    <w:rsid w:val="00893A8A"/>
    <w:rsid w:val="008A12F6"/>
    <w:rsid w:val="008A184F"/>
    <w:rsid w:val="008A2CA7"/>
    <w:rsid w:val="008A4398"/>
    <w:rsid w:val="008B07F5"/>
    <w:rsid w:val="008B2089"/>
    <w:rsid w:val="008B35A5"/>
    <w:rsid w:val="008B3FAB"/>
    <w:rsid w:val="008C3D27"/>
    <w:rsid w:val="008C5E87"/>
    <w:rsid w:val="008C6F55"/>
    <w:rsid w:val="008C7F33"/>
    <w:rsid w:val="008D658F"/>
    <w:rsid w:val="008D7283"/>
    <w:rsid w:val="008D7DC4"/>
    <w:rsid w:val="008E0055"/>
    <w:rsid w:val="008E1D91"/>
    <w:rsid w:val="008E3330"/>
    <w:rsid w:val="008E4632"/>
    <w:rsid w:val="008E625E"/>
    <w:rsid w:val="008F08B0"/>
    <w:rsid w:val="008F1AFD"/>
    <w:rsid w:val="00905FEF"/>
    <w:rsid w:val="00921A7B"/>
    <w:rsid w:val="00933249"/>
    <w:rsid w:val="00933594"/>
    <w:rsid w:val="0093714F"/>
    <w:rsid w:val="00941569"/>
    <w:rsid w:val="009415C5"/>
    <w:rsid w:val="009431DB"/>
    <w:rsid w:val="009502A4"/>
    <w:rsid w:val="0095125A"/>
    <w:rsid w:val="00954482"/>
    <w:rsid w:val="00954768"/>
    <w:rsid w:val="009662D8"/>
    <w:rsid w:val="00971BE4"/>
    <w:rsid w:val="0097261A"/>
    <w:rsid w:val="00972D99"/>
    <w:rsid w:val="00973E33"/>
    <w:rsid w:val="0098075C"/>
    <w:rsid w:val="009949A4"/>
    <w:rsid w:val="009A10FB"/>
    <w:rsid w:val="009A5EF5"/>
    <w:rsid w:val="009A670A"/>
    <w:rsid w:val="009B0474"/>
    <w:rsid w:val="009B0EA2"/>
    <w:rsid w:val="009B1D40"/>
    <w:rsid w:val="009B2E4C"/>
    <w:rsid w:val="009B4E96"/>
    <w:rsid w:val="009B5849"/>
    <w:rsid w:val="009C1CDA"/>
    <w:rsid w:val="009C2F04"/>
    <w:rsid w:val="009C55A9"/>
    <w:rsid w:val="009C5CF1"/>
    <w:rsid w:val="009C7857"/>
    <w:rsid w:val="009C7BF4"/>
    <w:rsid w:val="009D20EF"/>
    <w:rsid w:val="009E4CDF"/>
    <w:rsid w:val="009E4CE3"/>
    <w:rsid w:val="009E6B2F"/>
    <w:rsid w:val="009E7932"/>
    <w:rsid w:val="009F03DC"/>
    <w:rsid w:val="009F3717"/>
    <w:rsid w:val="009F3801"/>
    <w:rsid w:val="009F7495"/>
    <w:rsid w:val="00A01D70"/>
    <w:rsid w:val="00A02FFE"/>
    <w:rsid w:val="00A062AD"/>
    <w:rsid w:val="00A07793"/>
    <w:rsid w:val="00A12FEB"/>
    <w:rsid w:val="00A2032A"/>
    <w:rsid w:val="00A21234"/>
    <w:rsid w:val="00A24CF1"/>
    <w:rsid w:val="00A3093F"/>
    <w:rsid w:val="00A4214F"/>
    <w:rsid w:val="00A4319C"/>
    <w:rsid w:val="00A43B8D"/>
    <w:rsid w:val="00A43E82"/>
    <w:rsid w:val="00A450F0"/>
    <w:rsid w:val="00A511FA"/>
    <w:rsid w:val="00A55D48"/>
    <w:rsid w:val="00A5622C"/>
    <w:rsid w:val="00A57271"/>
    <w:rsid w:val="00A61B04"/>
    <w:rsid w:val="00A6287C"/>
    <w:rsid w:val="00A65D40"/>
    <w:rsid w:val="00A70ACA"/>
    <w:rsid w:val="00A70F4D"/>
    <w:rsid w:val="00A713E7"/>
    <w:rsid w:val="00A726B4"/>
    <w:rsid w:val="00A7361B"/>
    <w:rsid w:val="00A75BF5"/>
    <w:rsid w:val="00A82B55"/>
    <w:rsid w:val="00A85148"/>
    <w:rsid w:val="00A85828"/>
    <w:rsid w:val="00A92A7B"/>
    <w:rsid w:val="00A9432B"/>
    <w:rsid w:val="00A95860"/>
    <w:rsid w:val="00AA1FC8"/>
    <w:rsid w:val="00AA75DE"/>
    <w:rsid w:val="00AA7F45"/>
    <w:rsid w:val="00AB0088"/>
    <w:rsid w:val="00AB4D03"/>
    <w:rsid w:val="00AB759D"/>
    <w:rsid w:val="00AC43DE"/>
    <w:rsid w:val="00AC466C"/>
    <w:rsid w:val="00AC522F"/>
    <w:rsid w:val="00AC5CB1"/>
    <w:rsid w:val="00AD0402"/>
    <w:rsid w:val="00AE3941"/>
    <w:rsid w:val="00AE47AA"/>
    <w:rsid w:val="00AE4E5C"/>
    <w:rsid w:val="00AE703D"/>
    <w:rsid w:val="00AF3FA7"/>
    <w:rsid w:val="00AF7773"/>
    <w:rsid w:val="00AF78E6"/>
    <w:rsid w:val="00B00558"/>
    <w:rsid w:val="00B02A23"/>
    <w:rsid w:val="00B03FB2"/>
    <w:rsid w:val="00B238D6"/>
    <w:rsid w:val="00B244D8"/>
    <w:rsid w:val="00B278C6"/>
    <w:rsid w:val="00B410D0"/>
    <w:rsid w:val="00B461A9"/>
    <w:rsid w:val="00B549F1"/>
    <w:rsid w:val="00B63BD9"/>
    <w:rsid w:val="00B63F3E"/>
    <w:rsid w:val="00B747C0"/>
    <w:rsid w:val="00B80B5C"/>
    <w:rsid w:val="00B92ADB"/>
    <w:rsid w:val="00B936F6"/>
    <w:rsid w:val="00B965C6"/>
    <w:rsid w:val="00BA136A"/>
    <w:rsid w:val="00BA2437"/>
    <w:rsid w:val="00BB083F"/>
    <w:rsid w:val="00BB1362"/>
    <w:rsid w:val="00BB4ADE"/>
    <w:rsid w:val="00BB610B"/>
    <w:rsid w:val="00BB6844"/>
    <w:rsid w:val="00BB7186"/>
    <w:rsid w:val="00BC1454"/>
    <w:rsid w:val="00BC50AA"/>
    <w:rsid w:val="00BD48DC"/>
    <w:rsid w:val="00BD4EB2"/>
    <w:rsid w:val="00BD78CC"/>
    <w:rsid w:val="00BD7D5F"/>
    <w:rsid w:val="00BE1226"/>
    <w:rsid w:val="00BE1F0F"/>
    <w:rsid w:val="00BE54CA"/>
    <w:rsid w:val="00BE7876"/>
    <w:rsid w:val="00BF2238"/>
    <w:rsid w:val="00BF2B08"/>
    <w:rsid w:val="00C05623"/>
    <w:rsid w:val="00C05988"/>
    <w:rsid w:val="00C06470"/>
    <w:rsid w:val="00C078C8"/>
    <w:rsid w:val="00C07EC9"/>
    <w:rsid w:val="00C105AA"/>
    <w:rsid w:val="00C17F90"/>
    <w:rsid w:val="00C21F81"/>
    <w:rsid w:val="00C22671"/>
    <w:rsid w:val="00C25B76"/>
    <w:rsid w:val="00C25F31"/>
    <w:rsid w:val="00C35878"/>
    <w:rsid w:val="00C36669"/>
    <w:rsid w:val="00C378B1"/>
    <w:rsid w:val="00C42295"/>
    <w:rsid w:val="00C440B7"/>
    <w:rsid w:val="00C45A01"/>
    <w:rsid w:val="00C46713"/>
    <w:rsid w:val="00C472EE"/>
    <w:rsid w:val="00C5361A"/>
    <w:rsid w:val="00C53A48"/>
    <w:rsid w:val="00C541E4"/>
    <w:rsid w:val="00C649BA"/>
    <w:rsid w:val="00C6591F"/>
    <w:rsid w:val="00C66A9A"/>
    <w:rsid w:val="00C75516"/>
    <w:rsid w:val="00C82B61"/>
    <w:rsid w:val="00C831E9"/>
    <w:rsid w:val="00C84302"/>
    <w:rsid w:val="00C9035D"/>
    <w:rsid w:val="00C9155E"/>
    <w:rsid w:val="00C94CF4"/>
    <w:rsid w:val="00C96493"/>
    <w:rsid w:val="00CA3917"/>
    <w:rsid w:val="00CA4E05"/>
    <w:rsid w:val="00CB220F"/>
    <w:rsid w:val="00CC74F9"/>
    <w:rsid w:val="00CD3F1F"/>
    <w:rsid w:val="00CE0C9C"/>
    <w:rsid w:val="00CE15E0"/>
    <w:rsid w:val="00CE3567"/>
    <w:rsid w:val="00CF339C"/>
    <w:rsid w:val="00CF68B8"/>
    <w:rsid w:val="00D02B13"/>
    <w:rsid w:val="00D1079C"/>
    <w:rsid w:val="00D10C64"/>
    <w:rsid w:val="00D147DD"/>
    <w:rsid w:val="00D16A2A"/>
    <w:rsid w:val="00D17570"/>
    <w:rsid w:val="00D23279"/>
    <w:rsid w:val="00D23D70"/>
    <w:rsid w:val="00D3284E"/>
    <w:rsid w:val="00D3504E"/>
    <w:rsid w:val="00D4628E"/>
    <w:rsid w:val="00D47018"/>
    <w:rsid w:val="00D47700"/>
    <w:rsid w:val="00D5122F"/>
    <w:rsid w:val="00D52DF9"/>
    <w:rsid w:val="00D54E7C"/>
    <w:rsid w:val="00D5582B"/>
    <w:rsid w:val="00D62DFD"/>
    <w:rsid w:val="00D66D75"/>
    <w:rsid w:val="00D66F37"/>
    <w:rsid w:val="00D75070"/>
    <w:rsid w:val="00D76B67"/>
    <w:rsid w:val="00D76F67"/>
    <w:rsid w:val="00D77340"/>
    <w:rsid w:val="00D9014C"/>
    <w:rsid w:val="00D93077"/>
    <w:rsid w:val="00D94631"/>
    <w:rsid w:val="00D964AF"/>
    <w:rsid w:val="00D964C8"/>
    <w:rsid w:val="00DA3D0C"/>
    <w:rsid w:val="00DB5656"/>
    <w:rsid w:val="00DC6112"/>
    <w:rsid w:val="00DC792C"/>
    <w:rsid w:val="00DD06D6"/>
    <w:rsid w:val="00DD221B"/>
    <w:rsid w:val="00DD2BE9"/>
    <w:rsid w:val="00DE3C86"/>
    <w:rsid w:val="00DE483E"/>
    <w:rsid w:val="00DE4D1B"/>
    <w:rsid w:val="00DE4D73"/>
    <w:rsid w:val="00DE5F8B"/>
    <w:rsid w:val="00DF4D37"/>
    <w:rsid w:val="00DF69EB"/>
    <w:rsid w:val="00E059FB"/>
    <w:rsid w:val="00E10AAA"/>
    <w:rsid w:val="00E11213"/>
    <w:rsid w:val="00E11277"/>
    <w:rsid w:val="00E21E8A"/>
    <w:rsid w:val="00E30691"/>
    <w:rsid w:val="00E31E3F"/>
    <w:rsid w:val="00E33029"/>
    <w:rsid w:val="00E34E24"/>
    <w:rsid w:val="00E4146E"/>
    <w:rsid w:val="00E46A4F"/>
    <w:rsid w:val="00E55278"/>
    <w:rsid w:val="00E5626C"/>
    <w:rsid w:val="00E60DEC"/>
    <w:rsid w:val="00E61AC4"/>
    <w:rsid w:val="00E62BF9"/>
    <w:rsid w:val="00E63378"/>
    <w:rsid w:val="00E63A42"/>
    <w:rsid w:val="00E74E1B"/>
    <w:rsid w:val="00E84CD0"/>
    <w:rsid w:val="00E85AA7"/>
    <w:rsid w:val="00E85C58"/>
    <w:rsid w:val="00E877AC"/>
    <w:rsid w:val="00E91A73"/>
    <w:rsid w:val="00E93A51"/>
    <w:rsid w:val="00EB6011"/>
    <w:rsid w:val="00EB63BA"/>
    <w:rsid w:val="00EB799D"/>
    <w:rsid w:val="00EC266C"/>
    <w:rsid w:val="00EC3EF0"/>
    <w:rsid w:val="00EC4441"/>
    <w:rsid w:val="00EC5676"/>
    <w:rsid w:val="00EC6469"/>
    <w:rsid w:val="00ED1BCB"/>
    <w:rsid w:val="00ED2114"/>
    <w:rsid w:val="00ED3744"/>
    <w:rsid w:val="00ED7C23"/>
    <w:rsid w:val="00EF011A"/>
    <w:rsid w:val="00EF4DCC"/>
    <w:rsid w:val="00F15876"/>
    <w:rsid w:val="00F16E91"/>
    <w:rsid w:val="00F216F3"/>
    <w:rsid w:val="00F25967"/>
    <w:rsid w:val="00F305A6"/>
    <w:rsid w:val="00F30C9B"/>
    <w:rsid w:val="00F3633B"/>
    <w:rsid w:val="00F41B60"/>
    <w:rsid w:val="00F5070D"/>
    <w:rsid w:val="00F50848"/>
    <w:rsid w:val="00F531E3"/>
    <w:rsid w:val="00F55BA9"/>
    <w:rsid w:val="00F5700E"/>
    <w:rsid w:val="00F6081D"/>
    <w:rsid w:val="00F60E31"/>
    <w:rsid w:val="00F61DBB"/>
    <w:rsid w:val="00F623F5"/>
    <w:rsid w:val="00F629F2"/>
    <w:rsid w:val="00F6320D"/>
    <w:rsid w:val="00F64E66"/>
    <w:rsid w:val="00F6632B"/>
    <w:rsid w:val="00F67FF2"/>
    <w:rsid w:val="00F733DA"/>
    <w:rsid w:val="00F81184"/>
    <w:rsid w:val="00F8173E"/>
    <w:rsid w:val="00F85B66"/>
    <w:rsid w:val="00F900B8"/>
    <w:rsid w:val="00F94E9C"/>
    <w:rsid w:val="00F957DC"/>
    <w:rsid w:val="00FA0822"/>
    <w:rsid w:val="00FA24CC"/>
    <w:rsid w:val="00FC0370"/>
    <w:rsid w:val="00FC56C2"/>
    <w:rsid w:val="00FC61F7"/>
    <w:rsid w:val="00FE70D1"/>
    <w:rsid w:val="00FF38A3"/>
    <w:rsid w:val="00FF4FF5"/>
    <w:rsid w:val="00FF63AE"/>
    <w:rsid w:val="00FF6C87"/>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395B44"/>
  <w15:docId w15:val="{FA8722ED-219D-4236-AC79-925FFA9B9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5103"/>
    <w:pPr>
      <w:ind w:left="720"/>
      <w:contextualSpacing/>
    </w:pPr>
  </w:style>
  <w:style w:type="character" w:styleId="a4">
    <w:name w:val="annotation reference"/>
    <w:basedOn w:val="a0"/>
    <w:uiPriority w:val="99"/>
    <w:semiHidden/>
    <w:unhideWhenUsed/>
    <w:rsid w:val="00BE7876"/>
    <w:rPr>
      <w:sz w:val="16"/>
      <w:szCs w:val="16"/>
    </w:rPr>
  </w:style>
  <w:style w:type="paragraph" w:styleId="a5">
    <w:name w:val="annotation text"/>
    <w:basedOn w:val="a"/>
    <w:link w:val="a6"/>
    <w:uiPriority w:val="99"/>
    <w:semiHidden/>
    <w:unhideWhenUsed/>
    <w:rsid w:val="00BE7876"/>
    <w:pPr>
      <w:spacing w:line="240" w:lineRule="auto"/>
    </w:pPr>
    <w:rPr>
      <w:sz w:val="20"/>
      <w:szCs w:val="20"/>
    </w:rPr>
  </w:style>
  <w:style w:type="character" w:customStyle="1" w:styleId="a6">
    <w:name w:val="批注文字 字符"/>
    <w:basedOn w:val="a0"/>
    <w:link w:val="a5"/>
    <w:uiPriority w:val="99"/>
    <w:semiHidden/>
    <w:rsid w:val="00BE7876"/>
    <w:rPr>
      <w:sz w:val="20"/>
      <w:szCs w:val="20"/>
    </w:rPr>
  </w:style>
  <w:style w:type="paragraph" w:styleId="a7">
    <w:name w:val="annotation subject"/>
    <w:basedOn w:val="a5"/>
    <w:next w:val="a5"/>
    <w:link w:val="a8"/>
    <w:uiPriority w:val="99"/>
    <w:semiHidden/>
    <w:unhideWhenUsed/>
    <w:rsid w:val="00BE7876"/>
    <w:rPr>
      <w:b/>
      <w:bCs/>
    </w:rPr>
  </w:style>
  <w:style w:type="character" w:customStyle="1" w:styleId="a8">
    <w:name w:val="批注主题 字符"/>
    <w:basedOn w:val="a6"/>
    <w:link w:val="a7"/>
    <w:uiPriority w:val="99"/>
    <w:semiHidden/>
    <w:rsid w:val="00BE7876"/>
    <w:rPr>
      <w:b/>
      <w:bCs/>
      <w:sz w:val="20"/>
      <w:szCs w:val="20"/>
    </w:rPr>
  </w:style>
  <w:style w:type="paragraph" w:styleId="a9">
    <w:name w:val="Balloon Text"/>
    <w:basedOn w:val="a"/>
    <w:link w:val="aa"/>
    <w:uiPriority w:val="99"/>
    <w:semiHidden/>
    <w:unhideWhenUsed/>
    <w:rsid w:val="00BE7876"/>
    <w:pPr>
      <w:spacing w:after="0" w:line="240" w:lineRule="auto"/>
    </w:pPr>
    <w:rPr>
      <w:rFonts w:ascii="Segoe UI" w:hAnsi="Segoe UI" w:cs="Segoe UI"/>
      <w:sz w:val="18"/>
      <w:szCs w:val="18"/>
    </w:rPr>
  </w:style>
  <w:style w:type="character" w:customStyle="1" w:styleId="aa">
    <w:name w:val="批注框文本 字符"/>
    <w:basedOn w:val="a0"/>
    <w:link w:val="a9"/>
    <w:uiPriority w:val="99"/>
    <w:semiHidden/>
    <w:rsid w:val="00BE7876"/>
    <w:rPr>
      <w:rFonts w:ascii="Segoe UI" w:hAnsi="Segoe UI" w:cs="Segoe UI"/>
      <w:sz w:val="18"/>
      <w:szCs w:val="18"/>
    </w:rPr>
  </w:style>
  <w:style w:type="paragraph" w:customStyle="1" w:styleId="1">
    <w:name w:val="正文1"/>
    <w:uiPriority w:val="99"/>
    <w:rsid w:val="00D147DD"/>
    <w:pPr>
      <w:spacing w:after="0" w:line="276" w:lineRule="auto"/>
    </w:pPr>
    <w:rPr>
      <w:rFonts w:ascii="Arial" w:eastAsia="宋体" w:hAnsi="Arial" w:cs="Arial"/>
      <w:color w:val="000000"/>
      <w:szCs w:val="20"/>
      <w:lang w:val="pl-PL" w:eastAsia="pl-PL"/>
    </w:rPr>
  </w:style>
  <w:style w:type="table" w:styleId="ab">
    <w:name w:val="Table Grid"/>
    <w:basedOn w:val="a1"/>
    <w:uiPriority w:val="39"/>
    <w:rsid w:val="00124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011E8F"/>
    <w:pPr>
      <w:pBdr>
        <w:bottom w:val="single" w:sz="6" w:space="1" w:color="auto"/>
      </w:pBdr>
      <w:tabs>
        <w:tab w:val="center" w:pos="4153"/>
        <w:tab w:val="right" w:pos="8306"/>
      </w:tabs>
      <w:snapToGrid w:val="0"/>
      <w:spacing w:line="240" w:lineRule="auto"/>
      <w:jc w:val="center"/>
    </w:pPr>
    <w:rPr>
      <w:sz w:val="18"/>
      <w:szCs w:val="18"/>
    </w:rPr>
  </w:style>
  <w:style w:type="character" w:customStyle="1" w:styleId="ad">
    <w:name w:val="页眉 字符"/>
    <w:basedOn w:val="a0"/>
    <w:link w:val="ac"/>
    <w:uiPriority w:val="99"/>
    <w:rsid w:val="00011E8F"/>
    <w:rPr>
      <w:sz w:val="18"/>
      <w:szCs w:val="18"/>
    </w:rPr>
  </w:style>
  <w:style w:type="paragraph" w:styleId="ae">
    <w:name w:val="footer"/>
    <w:basedOn w:val="a"/>
    <w:link w:val="af"/>
    <w:uiPriority w:val="99"/>
    <w:unhideWhenUsed/>
    <w:rsid w:val="00011E8F"/>
    <w:pPr>
      <w:tabs>
        <w:tab w:val="center" w:pos="4153"/>
        <w:tab w:val="right" w:pos="8306"/>
      </w:tabs>
      <w:snapToGrid w:val="0"/>
      <w:spacing w:line="240" w:lineRule="auto"/>
    </w:pPr>
    <w:rPr>
      <w:sz w:val="18"/>
      <w:szCs w:val="18"/>
    </w:rPr>
  </w:style>
  <w:style w:type="character" w:customStyle="1" w:styleId="af">
    <w:name w:val="页脚 字符"/>
    <w:basedOn w:val="a0"/>
    <w:link w:val="ae"/>
    <w:uiPriority w:val="99"/>
    <w:rsid w:val="00011E8F"/>
    <w:rPr>
      <w:sz w:val="18"/>
      <w:szCs w:val="18"/>
    </w:rPr>
  </w:style>
  <w:style w:type="character" w:styleId="af0">
    <w:name w:val="page number"/>
    <w:basedOn w:val="a0"/>
    <w:uiPriority w:val="99"/>
    <w:semiHidden/>
    <w:unhideWhenUsed/>
    <w:rsid w:val="00011E8F"/>
  </w:style>
  <w:style w:type="character" w:styleId="af1">
    <w:name w:val="Hyperlink"/>
    <w:basedOn w:val="a0"/>
    <w:uiPriority w:val="99"/>
    <w:unhideWhenUsed/>
    <w:rsid w:val="00BA13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089378">
      <w:bodyDiv w:val="1"/>
      <w:marLeft w:val="0"/>
      <w:marRight w:val="0"/>
      <w:marTop w:val="0"/>
      <w:marBottom w:val="0"/>
      <w:divBdr>
        <w:top w:val="none" w:sz="0" w:space="0" w:color="auto"/>
        <w:left w:val="none" w:sz="0" w:space="0" w:color="auto"/>
        <w:bottom w:val="none" w:sz="0" w:space="0" w:color="auto"/>
        <w:right w:val="none" w:sz="0" w:space="0" w:color="auto"/>
      </w:divBdr>
    </w:div>
    <w:div w:id="279654509">
      <w:bodyDiv w:val="1"/>
      <w:marLeft w:val="0"/>
      <w:marRight w:val="0"/>
      <w:marTop w:val="0"/>
      <w:marBottom w:val="0"/>
      <w:divBdr>
        <w:top w:val="none" w:sz="0" w:space="0" w:color="auto"/>
        <w:left w:val="none" w:sz="0" w:space="0" w:color="auto"/>
        <w:bottom w:val="none" w:sz="0" w:space="0" w:color="auto"/>
        <w:right w:val="none" w:sz="0" w:space="0" w:color="auto"/>
      </w:divBdr>
      <w:divsChild>
        <w:div w:id="949629272">
          <w:marLeft w:val="0"/>
          <w:marRight w:val="0"/>
          <w:marTop w:val="0"/>
          <w:marBottom w:val="0"/>
          <w:divBdr>
            <w:top w:val="none" w:sz="0" w:space="0" w:color="auto"/>
            <w:left w:val="none" w:sz="0" w:space="0" w:color="auto"/>
            <w:bottom w:val="none" w:sz="0" w:space="0" w:color="auto"/>
            <w:right w:val="none" w:sz="0" w:space="0" w:color="auto"/>
          </w:divBdr>
          <w:divsChild>
            <w:div w:id="1177572639">
              <w:marLeft w:val="0"/>
              <w:marRight w:val="0"/>
              <w:marTop w:val="0"/>
              <w:marBottom w:val="0"/>
              <w:divBdr>
                <w:top w:val="none" w:sz="0" w:space="0" w:color="auto"/>
                <w:left w:val="none" w:sz="0" w:space="0" w:color="auto"/>
                <w:bottom w:val="none" w:sz="0" w:space="0" w:color="auto"/>
                <w:right w:val="none" w:sz="0" w:space="0" w:color="auto"/>
              </w:divBdr>
              <w:divsChild>
                <w:div w:id="57360360">
                  <w:marLeft w:val="0"/>
                  <w:marRight w:val="0"/>
                  <w:marTop w:val="0"/>
                  <w:marBottom w:val="0"/>
                  <w:divBdr>
                    <w:top w:val="none" w:sz="0" w:space="0" w:color="auto"/>
                    <w:left w:val="none" w:sz="0" w:space="0" w:color="auto"/>
                    <w:bottom w:val="none" w:sz="0" w:space="0" w:color="auto"/>
                    <w:right w:val="none" w:sz="0" w:space="0" w:color="auto"/>
                  </w:divBdr>
                  <w:divsChild>
                    <w:div w:id="1924873564">
                      <w:marLeft w:val="0"/>
                      <w:marRight w:val="0"/>
                      <w:marTop w:val="0"/>
                      <w:marBottom w:val="0"/>
                      <w:divBdr>
                        <w:top w:val="none" w:sz="0" w:space="0" w:color="auto"/>
                        <w:left w:val="none" w:sz="0" w:space="0" w:color="auto"/>
                        <w:bottom w:val="none" w:sz="0" w:space="0" w:color="auto"/>
                        <w:right w:val="none" w:sz="0" w:space="0" w:color="auto"/>
                      </w:divBdr>
                      <w:divsChild>
                        <w:div w:id="360790753">
                          <w:marLeft w:val="0"/>
                          <w:marRight w:val="0"/>
                          <w:marTop w:val="0"/>
                          <w:marBottom w:val="0"/>
                          <w:divBdr>
                            <w:top w:val="none" w:sz="0" w:space="0" w:color="auto"/>
                            <w:left w:val="none" w:sz="0" w:space="0" w:color="auto"/>
                            <w:bottom w:val="none" w:sz="0" w:space="0" w:color="auto"/>
                            <w:right w:val="none" w:sz="0" w:space="0" w:color="auto"/>
                          </w:divBdr>
                          <w:divsChild>
                            <w:div w:id="47841944">
                              <w:marLeft w:val="0"/>
                              <w:marRight w:val="300"/>
                              <w:marTop w:val="180"/>
                              <w:marBottom w:val="0"/>
                              <w:divBdr>
                                <w:top w:val="none" w:sz="0" w:space="0" w:color="auto"/>
                                <w:left w:val="none" w:sz="0" w:space="0" w:color="auto"/>
                                <w:bottom w:val="none" w:sz="0" w:space="0" w:color="auto"/>
                                <w:right w:val="none" w:sz="0" w:space="0" w:color="auto"/>
                              </w:divBdr>
                              <w:divsChild>
                                <w:div w:id="24734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243897">
          <w:marLeft w:val="0"/>
          <w:marRight w:val="0"/>
          <w:marTop w:val="0"/>
          <w:marBottom w:val="0"/>
          <w:divBdr>
            <w:top w:val="none" w:sz="0" w:space="0" w:color="auto"/>
            <w:left w:val="none" w:sz="0" w:space="0" w:color="auto"/>
            <w:bottom w:val="none" w:sz="0" w:space="0" w:color="auto"/>
            <w:right w:val="none" w:sz="0" w:space="0" w:color="auto"/>
          </w:divBdr>
          <w:divsChild>
            <w:div w:id="749084913">
              <w:marLeft w:val="0"/>
              <w:marRight w:val="0"/>
              <w:marTop w:val="0"/>
              <w:marBottom w:val="0"/>
              <w:divBdr>
                <w:top w:val="none" w:sz="0" w:space="0" w:color="auto"/>
                <w:left w:val="none" w:sz="0" w:space="0" w:color="auto"/>
                <w:bottom w:val="none" w:sz="0" w:space="0" w:color="auto"/>
                <w:right w:val="none" w:sz="0" w:space="0" w:color="auto"/>
              </w:divBdr>
              <w:divsChild>
                <w:div w:id="516115846">
                  <w:marLeft w:val="0"/>
                  <w:marRight w:val="0"/>
                  <w:marTop w:val="0"/>
                  <w:marBottom w:val="0"/>
                  <w:divBdr>
                    <w:top w:val="none" w:sz="0" w:space="0" w:color="auto"/>
                    <w:left w:val="none" w:sz="0" w:space="0" w:color="auto"/>
                    <w:bottom w:val="none" w:sz="0" w:space="0" w:color="auto"/>
                    <w:right w:val="none" w:sz="0" w:space="0" w:color="auto"/>
                  </w:divBdr>
                  <w:divsChild>
                    <w:div w:id="2058123733">
                      <w:marLeft w:val="0"/>
                      <w:marRight w:val="0"/>
                      <w:marTop w:val="0"/>
                      <w:marBottom w:val="0"/>
                      <w:divBdr>
                        <w:top w:val="none" w:sz="0" w:space="0" w:color="auto"/>
                        <w:left w:val="none" w:sz="0" w:space="0" w:color="auto"/>
                        <w:bottom w:val="none" w:sz="0" w:space="0" w:color="auto"/>
                        <w:right w:val="none" w:sz="0" w:space="0" w:color="auto"/>
                      </w:divBdr>
                      <w:divsChild>
                        <w:div w:id="28943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1430307">
      <w:bodyDiv w:val="1"/>
      <w:marLeft w:val="0"/>
      <w:marRight w:val="0"/>
      <w:marTop w:val="0"/>
      <w:marBottom w:val="0"/>
      <w:divBdr>
        <w:top w:val="none" w:sz="0" w:space="0" w:color="auto"/>
        <w:left w:val="none" w:sz="0" w:space="0" w:color="auto"/>
        <w:bottom w:val="none" w:sz="0" w:space="0" w:color="auto"/>
        <w:right w:val="none" w:sz="0" w:space="0" w:color="auto"/>
      </w:divBdr>
      <w:divsChild>
        <w:div w:id="379213841">
          <w:marLeft w:val="0"/>
          <w:marRight w:val="0"/>
          <w:marTop w:val="0"/>
          <w:marBottom w:val="0"/>
          <w:divBdr>
            <w:top w:val="none" w:sz="0" w:space="0" w:color="auto"/>
            <w:left w:val="none" w:sz="0" w:space="0" w:color="auto"/>
            <w:bottom w:val="none" w:sz="0" w:space="0" w:color="auto"/>
            <w:right w:val="none" w:sz="0" w:space="0" w:color="auto"/>
          </w:divBdr>
          <w:divsChild>
            <w:div w:id="1819573637">
              <w:marLeft w:val="0"/>
              <w:marRight w:val="0"/>
              <w:marTop w:val="0"/>
              <w:marBottom w:val="0"/>
              <w:divBdr>
                <w:top w:val="none" w:sz="0" w:space="0" w:color="auto"/>
                <w:left w:val="none" w:sz="0" w:space="0" w:color="auto"/>
                <w:bottom w:val="none" w:sz="0" w:space="0" w:color="auto"/>
                <w:right w:val="none" w:sz="0" w:space="0" w:color="auto"/>
              </w:divBdr>
              <w:divsChild>
                <w:div w:id="1181511901">
                  <w:marLeft w:val="0"/>
                  <w:marRight w:val="0"/>
                  <w:marTop w:val="0"/>
                  <w:marBottom w:val="0"/>
                  <w:divBdr>
                    <w:top w:val="none" w:sz="0" w:space="0" w:color="auto"/>
                    <w:left w:val="none" w:sz="0" w:space="0" w:color="auto"/>
                    <w:bottom w:val="none" w:sz="0" w:space="0" w:color="auto"/>
                    <w:right w:val="none" w:sz="0" w:space="0" w:color="auto"/>
                  </w:divBdr>
                  <w:divsChild>
                    <w:div w:id="1111439516">
                      <w:marLeft w:val="0"/>
                      <w:marRight w:val="0"/>
                      <w:marTop w:val="0"/>
                      <w:marBottom w:val="0"/>
                      <w:divBdr>
                        <w:top w:val="none" w:sz="0" w:space="0" w:color="auto"/>
                        <w:left w:val="none" w:sz="0" w:space="0" w:color="auto"/>
                        <w:bottom w:val="none" w:sz="0" w:space="0" w:color="auto"/>
                        <w:right w:val="none" w:sz="0" w:space="0" w:color="auto"/>
                      </w:divBdr>
                      <w:divsChild>
                        <w:div w:id="2082022444">
                          <w:marLeft w:val="0"/>
                          <w:marRight w:val="0"/>
                          <w:marTop w:val="0"/>
                          <w:marBottom w:val="0"/>
                          <w:divBdr>
                            <w:top w:val="none" w:sz="0" w:space="0" w:color="auto"/>
                            <w:left w:val="none" w:sz="0" w:space="0" w:color="auto"/>
                            <w:bottom w:val="none" w:sz="0" w:space="0" w:color="auto"/>
                            <w:right w:val="none" w:sz="0" w:space="0" w:color="auto"/>
                          </w:divBdr>
                          <w:divsChild>
                            <w:div w:id="1332831496">
                              <w:marLeft w:val="0"/>
                              <w:marRight w:val="300"/>
                              <w:marTop w:val="180"/>
                              <w:marBottom w:val="0"/>
                              <w:divBdr>
                                <w:top w:val="none" w:sz="0" w:space="0" w:color="auto"/>
                                <w:left w:val="none" w:sz="0" w:space="0" w:color="auto"/>
                                <w:bottom w:val="none" w:sz="0" w:space="0" w:color="auto"/>
                                <w:right w:val="none" w:sz="0" w:space="0" w:color="auto"/>
                              </w:divBdr>
                              <w:divsChild>
                                <w:div w:id="124630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039289">
          <w:marLeft w:val="0"/>
          <w:marRight w:val="0"/>
          <w:marTop w:val="0"/>
          <w:marBottom w:val="0"/>
          <w:divBdr>
            <w:top w:val="none" w:sz="0" w:space="0" w:color="auto"/>
            <w:left w:val="none" w:sz="0" w:space="0" w:color="auto"/>
            <w:bottom w:val="none" w:sz="0" w:space="0" w:color="auto"/>
            <w:right w:val="none" w:sz="0" w:space="0" w:color="auto"/>
          </w:divBdr>
          <w:divsChild>
            <w:div w:id="1435974508">
              <w:marLeft w:val="0"/>
              <w:marRight w:val="0"/>
              <w:marTop w:val="0"/>
              <w:marBottom w:val="0"/>
              <w:divBdr>
                <w:top w:val="none" w:sz="0" w:space="0" w:color="auto"/>
                <w:left w:val="none" w:sz="0" w:space="0" w:color="auto"/>
                <w:bottom w:val="none" w:sz="0" w:space="0" w:color="auto"/>
                <w:right w:val="none" w:sz="0" w:space="0" w:color="auto"/>
              </w:divBdr>
              <w:divsChild>
                <w:div w:id="978609822">
                  <w:marLeft w:val="0"/>
                  <w:marRight w:val="0"/>
                  <w:marTop w:val="0"/>
                  <w:marBottom w:val="0"/>
                  <w:divBdr>
                    <w:top w:val="none" w:sz="0" w:space="0" w:color="auto"/>
                    <w:left w:val="none" w:sz="0" w:space="0" w:color="auto"/>
                    <w:bottom w:val="none" w:sz="0" w:space="0" w:color="auto"/>
                    <w:right w:val="none" w:sz="0" w:space="0" w:color="auto"/>
                  </w:divBdr>
                  <w:divsChild>
                    <w:div w:id="730348900">
                      <w:marLeft w:val="0"/>
                      <w:marRight w:val="0"/>
                      <w:marTop w:val="0"/>
                      <w:marBottom w:val="0"/>
                      <w:divBdr>
                        <w:top w:val="none" w:sz="0" w:space="0" w:color="auto"/>
                        <w:left w:val="none" w:sz="0" w:space="0" w:color="auto"/>
                        <w:bottom w:val="none" w:sz="0" w:space="0" w:color="auto"/>
                        <w:right w:val="none" w:sz="0" w:space="0" w:color="auto"/>
                      </w:divBdr>
                      <w:divsChild>
                        <w:div w:id="58361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469505">
      <w:bodyDiv w:val="1"/>
      <w:marLeft w:val="0"/>
      <w:marRight w:val="0"/>
      <w:marTop w:val="0"/>
      <w:marBottom w:val="0"/>
      <w:divBdr>
        <w:top w:val="none" w:sz="0" w:space="0" w:color="auto"/>
        <w:left w:val="none" w:sz="0" w:space="0" w:color="auto"/>
        <w:bottom w:val="none" w:sz="0" w:space="0" w:color="auto"/>
        <w:right w:val="none" w:sz="0" w:space="0" w:color="auto"/>
      </w:divBdr>
    </w:div>
    <w:div w:id="1128548299">
      <w:bodyDiv w:val="1"/>
      <w:marLeft w:val="0"/>
      <w:marRight w:val="0"/>
      <w:marTop w:val="0"/>
      <w:marBottom w:val="0"/>
      <w:divBdr>
        <w:top w:val="none" w:sz="0" w:space="0" w:color="auto"/>
        <w:left w:val="none" w:sz="0" w:space="0" w:color="auto"/>
        <w:bottom w:val="none" w:sz="0" w:space="0" w:color="auto"/>
        <w:right w:val="none" w:sz="0" w:space="0" w:color="auto"/>
      </w:divBdr>
    </w:div>
    <w:div w:id="153472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ED51A-E33E-4A83-B364-E2D048B7C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32064</Words>
  <Characters>182771</Characters>
  <Application>Microsoft Office Word</Application>
  <DocSecurity>0</DocSecurity>
  <Lines>1523</Lines>
  <Paragraphs>428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de la plaza</dc:creator>
  <cp:keywords/>
  <dc:description/>
  <cp:lastModifiedBy>Liansheng Ma</cp:lastModifiedBy>
  <cp:revision>2</cp:revision>
  <dcterms:created xsi:type="dcterms:W3CDTF">2020-05-20T03:51:00Z</dcterms:created>
  <dcterms:modified xsi:type="dcterms:W3CDTF">2020-05-20T03:51:00Z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http://www.zotero.org/styles/annals-of-surgery</vt:lpwstr>
  </property>
  <property fmtid="{D5CDD505-2E9C-101B-9397-08002B2CF9AE}" pid="3" name="Mendeley Recent Style Name 0_1">
    <vt:lpwstr>Annals of Surgery</vt:lpwstr>
  </property>
  <property fmtid="{D5CDD505-2E9C-101B-9397-08002B2CF9AE}" pid="4" name="Mendeley Recent Style Id 1_1">
    <vt:lpwstr>http://www.zotero.org/styles/archives-of-otolaryngology-head-and-neck-surgery</vt:lpwstr>
  </property>
  <property fmtid="{D5CDD505-2E9C-101B-9397-08002B2CF9AE}" pid="5" name="Mendeley Recent Style Name 1_1">
    <vt:lpwstr>Archives of Otolaryngology - Head &amp; Neck Surgery</vt:lpwstr>
  </property>
  <property fmtid="{D5CDD505-2E9C-101B-9397-08002B2CF9AE}" pid="6" name="Mendeley Recent Style Id 2_1">
    <vt:lpwstr>http://www.zotero.org/styles/cirugia-espanola</vt:lpwstr>
  </property>
  <property fmtid="{D5CDD505-2E9C-101B-9397-08002B2CF9AE}" pid="7" name="Mendeley Recent Style Name 2_1">
    <vt:lpwstr>Cirugía Española (Spanish)</vt:lpwstr>
  </property>
  <property fmtid="{D5CDD505-2E9C-101B-9397-08002B2CF9AE}" pid="8" name="Mendeley Recent Style Id 3_1">
    <vt:lpwstr>http://www.zotero.org/styles/jama</vt:lpwstr>
  </property>
  <property fmtid="{D5CDD505-2E9C-101B-9397-08002B2CF9AE}" pid="9" name="Mendeley Recent Style Name 3_1">
    <vt:lpwstr>JAMA (The Journal of the American Medical Association)</vt:lpwstr>
  </property>
  <property fmtid="{D5CDD505-2E9C-101B-9397-08002B2CF9AE}" pid="10" name="Mendeley Recent Style Id 4_1">
    <vt:lpwstr>http://www.zotero.org/styles/langenbecks-archives-of-surgery</vt:lpwstr>
  </property>
  <property fmtid="{D5CDD505-2E9C-101B-9397-08002B2CF9AE}" pid="11" name="Mendeley Recent Style Name 4_1">
    <vt:lpwstr>Langenbeck's Archives of Surgery</vt:lpwstr>
  </property>
  <property fmtid="{D5CDD505-2E9C-101B-9397-08002B2CF9AE}" pid="12" name="Mendeley Recent Style Id 5_1">
    <vt:lpwstr>http://www.zotero.org/styles/surgery</vt:lpwstr>
  </property>
  <property fmtid="{D5CDD505-2E9C-101B-9397-08002B2CF9AE}" pid="13" name="Mendeley Recent Style Name 5_1">
    <vt:lpwstr>Surgery</vt:lpwstr>
  </property>
  <property fmtid="{D5CDD505-2E9C-101B-9397-08002B2CF9AE}" pid="14" name="Mendeley Recent Style Id 6_1">
    <vt:lpwstr>http://www.zotero.org/styles/university-college-lillebaelt-vancouver</vt:lpwstr>
  </property>
  <property fmtid="{D5CDD505-2E9C-101B-9397-08002B2CF9AE}" pid="15" name="Mendeley Recent Style Name 6_1">
    <vt:lpwstr>University College Lillebælt - Vancouver (English)</vt:lpwstr>
  </property>
  <property fmtid="{D5CDD505-2E9C-101B-9397-08002B2CF9AE}" pid="16" name="Mendeley Recent Style Id 7_1">
    <vt:lpwstr>http://www.zotero.org/styles/vancouver-brackets-no-et-al</vt:lpwstr>
  </property>
  <property fmtid="{D5CDD505-2E9C-101B-9397-08002B2CF9AE}" pid="17" name="Mendeley Recent Style Name 7_1">
    <vt:lpwstr>Vancouver (brackets, no "et al.")</vt:lpwstr>
  </property>
  <property fmtid="{D5CDD505-2E9C-101B-9397-08002B2CF9AE}" pid="18" name="Mendeley Recent Style Id 8_1">
    <vt:lpwstr>http://www.zotero.org/styles/vancouver-brackets-only-year-no-issue</vt:lpwstr>
  </property>
  <property fmtid="{D5CDD505-2E9C-101B-9397-08002B2CF9AE}" pid="19" name="Mendeley Recent Style Name 8_1">
    <vt:lpwstr>Vancouver (brackets, only year in date, no issue numbers)</vt:lpwstr>
  </property>
  <property fmtid="{D5CDD505-2E9C-101B-9397-08002B2CF9AE}" pid="20" name="Mendeley Recent Style Id 9_1">
    <vt:lpwstr>http://www.zotero.org/styles/world-journal-of-gastroenterology</vt:lpwstr>
  </property>
  <property fmtid="{D5CDD505-2E9C-101B-9397-08002B2CF9AE}" pid="21" name="Mendeley Recent Style Name 9_1">
    <vt:lpwstr>World Journal of Gastroenterology</vt:lpwstr>
  </property>
  <property fmtid="{D5CDD505-2E9C-101B-9397-08002B2CF9AE}" pid="22" name="Mendeley Citation Style_1">
    <vt:lpwstr>http://www.zotero.org/styles/world-journal-of-gastroenterology</vt:lpwstr>
  </property>
  <property fmtid="{D5CDD505-2E9C-101B-9397-08002B2CF9AE}" pid="23" name="Mendeley Document_1">
    <vt:lpwstr>True</vt:lpwstr>
  </property>
  <property fmtid="{D5CDD505-2E9C-101B-9397-08002B2CF9AE}" pid="24" name="Mendeley Unique User Id_1">
    <vt:lpwstr>f4bf1940-b8e9-3521-b0b7-61cc76a86bf7</vt:lpwstr>
  </property>
</Properties>
</file>