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72A4C" w14:textId="69A11AD3" w:rsidR="00E044BF" w:rsidRPr="00F740D9" w:rsidRDefault="00E044BF" w:rsidP="00BE6C9D">
      <w:pPr>
        <w:snapToGrid w:val="0"/>
        <w:spacing w:line="360" w:lineRule="auto"/>
        <w:jc w:val="both"/>
        <w:rPr>
          <w:rFonts w:ascii="Book Antiqua" w:hAnsi="Book Antiqua"/>
          <w:color w:val="000000" w:themeColor="text1"/>
          <w:szCs w:val="24"/>
        </w:rPr>
      </w:pPr>
      <w:bookmarkStart w:id="0" w:name="_Hlk28619221"/>
      <w:r w:rsidRPr="00F740D9">
        <w:rPr>
          <w:rFonts w:ascii="Book Antiqua" w:hAnsi="Book Antiqua"/>
          <w:b/>
          <w:bCs/>
          <w:color w:val="000000" w:themeColor="text1"/>
          <w:szCs w:val="24"/>
        </w:rPr>
        <w:t xml:space="preserve">Name of Journal: </w:t>
      </w:r>
      <w:r w:rsidRPr="00F740D9">
        <w:rPr>
          <w:rFonts w:ascii="Book Antiqua" w:hAnsi="Book Antiqua"/>
          <w:i/>
          <w:iCs/>
          <w:color w:val="000000" w:themeColor="text1"/>
          <w:szCs w:val="24"/>
        </w:rPr>
        <w:t>World Journal of Gastrointestinal Surgery</w:t>
      </w:r>
    </w:p>
    <w:p w14:paraId="23A4BEE6" w14:textId="026F7B96" w:rsidR="00731DC4" w:rsidRPr="00F740D9" w:rsidRDefault="00731DC4" w:rsidP="00BE6C9D">
      <w:pPr>
        <w:adjustRightInd w:val="0"/>
        <w:snapToGrid w:val="0"/>
        <w:spacing w:line="360" w:lineRule="auto"/>
        <w:jc w:val="both"/>
        <w:rPr>
          <w:rFonts w:ascii="Book Antiqua" w:eastAsia="Times New Roman" w:hAnsi="Book Antiqua" w:cs="宋体"/>
          <w:b/>
          <w:i/>
          <w:color w:val="000000"/>
          <w:szCs w:val="24"/>
        </w:rPr>
      </w:pPr>
      <w:r w:rsidRPr="00F740D9">
        <w:rPr>
          <w:rFonts w:ascii="Book Antiqua" w:hAnsi="Book Antiqua" w:cs="Arial"/>
          <w:b/>
          <w:color w:val="000000"/>
          <w:szCs w:val="24"/>
          <w:lang w:val="en"/>
        </w:rPr>
        <w:t xml:space="preserve">Manuscript NO: </w:t>
      </w:r>
      <w:r w:rsidRPr="00F740D9">
        <w:rPr>
          <w:rFonts w:ascii="Book Antiqua" w:hAnsi="Book Antiqua" w:cs="Arial"/>
          <w:color w:val="000000"/>
          <w:szCs w:val="24"/>
          <w:lang w:val="en"/>
        </w:rPr>
        <w:t>53783</w:t>
      </w:r>
    </w:p>
    <w:p w14:paraId="023C35FB" w14:textId="77777777" w:rsidR="00731DC4" w:rsidRPr="00F740D9" w:rsidRDefault="00731DC4" w:rsidP="00BE6C9D">
      <w:pPr>
        <w:adjustRightInd w:val="0"/>
        <w:snapToGrid w:val="0"/>
        <w:spacing w:line="360" w:lineRule="auto"/>
        <w:jc w:val="both"/>
        <w:rPr>
          <w:rFonts w:ascii="Book Antiqua" w:eastAsia="幼圆" w:hAnsi="Book Antiqua"/>
          <w:b/>
          <w:i/>
          <w:color w:val="000000"/>
          <w:szCs w:val="24"/>
        </w:rPr>
      </w:pPr>
      <w:bookmarkStart w:id="1" w:name="OLE_LINK4"/>
      <w:r w:rsidRPr="00F740D9">
        <w:rPr>
          <w:rFonts w:ascii="Book Antiqua" w:hAnsi="Book Antiqua"/>
          <w:b/>
          <w:color w:val="000000"/>
          <w:szCs w:val="24"/>
          <w:shd w:val="clear" w:color="auto" w:fill="FFFFFF"/>
        </w:rPr>
        <w:t>Manuscript Type</w:t>
      </w:r>
      <w:bookmarkEnd w:id="1"/>
      <w:r w:rsidRPr="00F740D9">
        <w:rPr>
          <w:rFonts w:ascii="Book Antiqua" w:hAnsi="Book Antiqua"/>
          <w:b/>
          <w:color w:val="000000"/>
          <w:kern w:val="0"/>
          <w:szCs w:val="24"/>
        </w:rPr>
        <w:t xml:space="preserve">: </w:t>
      </w:r>
      <w:r w:rsidRPr="00F740D9">
        <w:rPr>
          <w:rFonts w:ascii="Book Antiqua" w:hAnsi="Book Antiqua"/>
          <w:szCs w:val="24"/>
        </w:rPr>
        <w:t>ORIGINAL ARTICLE</w:t>
      </w:r>
    </w:p>
    <w:p w14:paraId="5AEF890B" w14:textId="77777777" w:rsidR="00731DC4" w:rsidRPr="00F740D9" w:rsidRDefault="00731DC4" w:rsidP="00BE6C9D">
      <w:pPr>
        <w:autoSpaceDE w:val="0"/>
        <w:autoSpaceDN w:val="0"/>
        <w:adjustRightInd w:val="0"/>
        <w:snapToGrid w:val="0"/>
        <w:spacing w:line="360" w:lineRule="auto"/>
        <w:jc w:val="both"/>
        <w:rPr>
          <w:rFonts w:ascii="Book Antiqua" w:hAnsi="Book Antiqua"/>
          <w:b/>
          <w:color w:val="000000"/>
          <w:kern w:val="0"/>
          <w:szCs w:val="24"/>
        </w:rPr>
      </w:pPr>
    </w:p>
    <w:p w14:paraId="5925FE25" w14:textId="1C5402C8" w:rsidR="00E044BF" w:rsidRPr="00F740D9" w:rsidRDefault="00731DC4" w:rsidP="00BE6C9D">
      <w:pPr>
        <w:snapToGrid w:val="0"/>
        <w:spacing w:line="360" w:lineRule="auto"/>
        <w:jc w:val="both"/>
        <w:rPr>
          <w:rFonts w:ascii="Book Antiqua" w:hAnsi="Book Antiqua"/>
          <w:b/>
          <w:bCs/>
          <w:i/>
          <w:iCs/>
          <w:color w:val="000000" w:themeColor="text1"/>
          <w:szCs w:val="24"/>
        </w:rPr>
      </w:pPr>
      <w:r w:rsidRPr="00F740D9">
        <w:rPr>
          <w:rFonts w:ascii="Book Antiqua" w:hAnsi="Book Antiqua"/>
          <w:b/>
          <w:bCs/>
          <w:i/>
          <w:iCs/>
          <w:color w:val="000000" w:themeColor="text1"/>
          <w:szCs w:val="24"/>
        </w:rPr>
        <w:t>Retrospective Cohort Study</w:t>
      </w:r>
    </w:p>
    <w:p w14:paraId="01EBB820" w14:textId="0018B981" w:rsidR="00E044BF" w:rsidRPr="00F740D9" w:rsidRDefault="00E044BF" w:rsidP="00BE6C9D">
      <w:pPr>
        <w:snapToGrid w:val="0"/>
        <w:spacing w:line="360" w:lineRule="auto"/>
        <w:jc w:val="both"/>
        <w:rPr>
          <w:rFonts w:ascii="Book Antiqua" w:hAnsi="Book Antiqua"/>
          <w:b/>
          <w:bCs/>
          <w:color w:val="000000" w:themeColor="text1"/>
          <w:szCs w:val="24"/>
        </w:rPr>
      </w:pPr>
      <w:r w:rsidRPr="00F740D9">
        <w:rPr>
          <w:rFonts w:ascii="Book Antiqua" w:hAnsi="Book Antiqua"/>
          <w:b/>
          <w:bCs/>
          <w:color w:val="000000" w:themeColor="text1"/>
          <w:szCs w:val="24"/>
        </w:rPr>
        <w:t xml:space="preserve">Mammalian </w:t>
      </w:r>
      <w:r w:rsidR="000A78AC" w:rsidRPr="00F740D9">
        <w:rPr>
          <w:rFonts w:ascii="Book Antiqua" w:hAnsi="Book Antiqua"/>
          <w:b/>
          <w:bCs/>
          <w:color w:val="000000" w:themeColor="text1"/>
          <w:szCs w:val="24"/>
        </w:rPr>
        <w:t>target of rapamycin inhibitors after post-transplant hepatocellular carcinoma recurrence</w:t>
      </w:r>
      <w:r w:rsidRPr="00F740D9">
        <w:rPr>
          <w:rFonts w:ascii="Book Antiqua" w:hAnsi="Book Antiqua"/>
          <w:b/>
          <w:bCs/>
          <w:color w:val="000000" w:themeColor="text1"/>
          <w:szCs w:val="24"/>
        </w:rPr>
        <w:t xml:space="preserve">: Is it </w:t>
      </w:r>
      <w:r w:rsidR="000A78AC" w:rsidRPr="00F740D9">
        <w:rPr>
          <w:rFonts w:ascii="Book Antiqua" w:hAnsi="Book Antiqua"/>
          <w:b/>
          <w:bCs/>
          <w:color w:val="000000" w:themeColor="text1"/>
          <w:szCs w:val="24"/>
        </w:rPr>
        <w:t>too late</w:t>
      </w:r>
      <w:r w:rsidRPr="00F740D9">
        <w:rPr>
          <w:rFonts w:ascii="Book Antiqua" w:hAnsi="Book Antiqua"/>
          <w:b/>
          <w:bCs/>
          <w:color w:val="000000" w:themeColor="text1"/>
          <w:szCs w:val="24"/>
        </w:rPr>
        <w:t>?</w:t>
      </w:r>
    </w:p>
    <w:p w14:paraId="2822578D" w14:textId="77777777" w:rsidR="000A78AC" w:rsidRPr="00F740D9" w:rsidRDefault="000A78AC" w:rsidP="00BE6C9D">
      <w:pPr>
        <w:snapToGrid w:val="0"/>
        <w:spacing w:line="360" w:lineRule="auto"/>
        <w:jc w:val="both"/>
        <w:rPr>
          <w:rFonts w:ascii="Book Antiqua" w:hAnsi="Book Antiqua"/>
          <w:color w:val="000000" w:themeColor="text1"/>
          <w:szCs w:val="24"/>
        </w:rPr>
      </w:pPr>
    </w:p>
    <w:p w14:paraId="3C71948C" w14:textId="6D7E3821" w:rsidR="00E044BF" w:rsidRPr="00F740D9" w:rsidRDefault="000A78AC" w:rsidP="00BE6C9D">
      <w:pPr>
        <w:snapToGrid w:val="0"/>
        <w:spacing w:line="360" w:lineRule="auto"/>
        <w:jc w:val="both"/>
        <w:rPr>
          <w:rFonts w:ascii="Book Antiqua" w:hAnsi="Book Antiqua"/>
          <w:color w:val="000000" w:themeColor="text1"/>
          <w:szCs w:val="24"/>
        </w:rPr>
      </w:pPr>
      <w:r w:rsidRPr="00F740D9">
        <w:rPr>
          <w:rFonts w:ascii="Book Antiqua" w:hAnsi="Book Antiqua"/>
          <w:color w:val="000000" w:themeColor="text1"/>
          <w:szCs w:val="24"/>
          <w:lang w:eastAsia="zh-CN"/>
        </w:rPr>
        <w:t xml:space="preserve">Au KP </w:t>
      </w:r>
      <w:r w:rsidRPr="00F740D9">
        <w:rPr>
          <w:rFonts w:ascii="Book Antiqua" w:hAnsi="Book Antiqua"/>
          <w:i/>
          <w:iCs/>
          <w:color w:val="000000" w:themeColor="text1"/>
          <w:szCs w:val="24"/>
          <w:lang w:eastAsia="zh-CN"/>
        </w:rPr>
        <w:t>et al</w:t>
      </w:r>
      <w:r w:rsidRPr="00F740D9">
        <w:rPr>
          <w:rFonts w:ascii="Book Antiqua" w:hAnsi="Book Antiqua"/>
          <w:color w:val="000000" w:themeColor="text1"/>
          <w:szCs w:val="24"/>
          <w:lang w:eastAsia="zh-CN"/>
        </w:rPr>
        <w:t>.</w:t>
      </w:r>
      <w:r w:rsidR="00E044BF" w:rsidRPr="00F740D9">
        <w:rPr>
          <w:rFonts w:ascii="Book Antiqua" w:hAnsi="Book Antiqua"/>
          <w:color w:val="000000" w:themeColor="text1"/>
          <w:szCs w:val="24"/>
        </w:rPr>
        <w:t xml:space="preserve"> mTOR </w:t>
      </w:r>
      <w:r w:rsidRPr="00F740D9">
        <w:rPr>
          <w:rFonts w:ascii="Book Antiqua" w:hAnsi="Book Antiqua"/>
          <w:color w:val="000000" w:themeColor="text1"/>
          <w:szCs w:val="24"/>
        </w:rPr>
        <w:t>inhibitor for post-transplant HCC recurrence</w:t>
      </w:r>
    </w:p>
    <w:p w14:paraId="40C6212E" w14:textId="77777777" w:rsidR="00E044BF" w:rsidRPr="00F740D9" w:rsidRDefault="00E044BF" w:rsidP="00BE6C9D">
      <w:pPr>
        <w:snapToGrid w:val="0"/>
        <w:spacing w:line="360" w:lineRule="auto"/>
        <w:jc w:val="both"/>
        <w:rPr>
          <w:rFonts w:ascii="Book Antiqua" w:hAnsi="Book Antiqua"/>
          <w:color w:val="000000" w:themeColor="text1"/>
          <w:szCs w:val="24"/>
        </w:rPr>
      </w:pPr>
    </w:p>
    <w:p w14:paraId="0BF3CB97" w14:textId="77777777" w:rsidR="00E044BF" w:rsidRPr="00F740D9" w:rsidRDefault="00E044BF" w:rsidP="00BE6C9D">
      <w:pPr>
        <w:snapToGrid w:val="0"/>
        <w:spacing w:line="360" w:lineRule="auto"/>
        <w:jc w:val="both"/>
        <w:rPr>
          <w:rFonts w:ascii="Book Antiqua" w:hAnsi="Book Antiqua"/>
          <w:color w:val="000000" w:themeColor="text1"/>
          <w:szCs w:val="24"/>
        </w:rPr>
      </w:pPr>
      <w:r w:rsidRPr="00F740D9">
        <w:rPr>
          <w:rFonts w:ascii="Book Antiqua" w:hAnsi="Book Antiqua"/>
          <w:color w:val="000000" w:themeColor="text1"/>
          <w:szCs w:val="24"/>
        </w:rPr>
        <w:t>Kin Pan Au, Kenneth Siu Ho Chok</w:t>
      </w:r>
    </w:p>
    <w:p w14:paraId="22D60639" w14:textId="77777777" w:rsidR="00E044BF" w:rsidRPr="00F740D9" w:rsidRDefault="00E044BF" w:rsidP="00BE6C9D">
      <w:pPr>
        <w:snapToGrid w:val="0"/>
        <w:spacing w:line="360" w:lineRule="auto"/>
        <w:jc w:val="both"/>
        <w:rPr>
          <w:rFonts w:ascii="Book Antiqua" w:hAnsi="Book Antiqua"/>
          <w:color w:val="000000" w:themeColor="text1"/>
          <w:szCs w:val="24"/>
        </w:rPr>
      </w:pPr>
    </w:p>
    <w:p w14:paraId="07B96C30" w14:textId="04AF75E9" w:rsidR="00E044BF" w:rsidRPr="00F740D9" w:rsidRDefault="00E044BF" w:rsidP="00BE6C9D">
      <w:pPr>
        <w:snapToGrid w:val="0"/>
        <w:spacing w:line="360" w:lineRule="auto"/>
        <w:jc w:val="both"/>
        <w:rPr>
          <w:rFonts w:ascii="Book Antiqua" w:hAnsi="Book Antiqua"/>
          <w:color w:val="000000" w:themeColor="text1"/>
          <w:szCs w:val="24"/>
        </w:rPr>
      </w:pPr>
      <w:r w:rsidRPr="00F740D9">
        <w:rPr>
          <w:rFonts w:ascii="Book Antiqua" w:hAnsi="Book Antiqua"/>
          <w:b/>
          <w:bCs/>
          <w:color w:val="000000" w:themeColor="text1"/>
          <w:szCs w:val="24"/>
        </w:rPr>
        <w:t xml:space="preserve">Kin Pan Au, </w:t>
      </w:r>
      <w:r w:rsidRPr="00F740D9">
        <w:rPr>
          <w:rFonts w:ascii="Book Antiqua" w:hAnsi="Book Antiqua"/>
          <w:color w:val="000000" w:themeColor="text1"/>
          <w:szCs w:val="24"/>
        </w:rPr>
        <w:t>Department of Surgery, Queen Mary Hospital,</w:t>
      </w:r>
      <w:r w:rsidR="00731DC4" w:rsidRPr="00F740D9">
        <w:rPr>
          <w:rFonts w:ascii="Book Antiqua" w:hAnsi="Book Antiqua"/>
          <w:color w:val="000000" w:themeColor="text1"/>
          <w:szCs w:val="24"/>
        </w:rPr>
        <w:t xml:space="preserve"> Hong Kong 999077,</w:t>
      </w:r>
      <w:r w:rsidRPr="00F740D9">
        <w:rPr>
          <w:rFonts w:ascii="Book Antiqua" w:hAnsi="Book Antiqua"/>
          <w:color w:val="000000" w:themeColor="text1"/>
          <w:szCs w:val="24"/>
        </w:rPr>
        <w:t xml:space="preserve"> China</w:t>
      </w:r>
    </w:p>
    <w:p w14:paraId="6F7818BE" w14:textId="77777777" w:rsidR="00E044BF" w:rsidRPr="00F740D9" w:rsidRDefault="00E044BF" w:rsidP="00BE6C9D">
      <w:pPr>
        <w:snapToGrid w:val="0"/>
        <w:spacing w:line="360" w:lineRule="auto"/>
        <w:jc w:val="both"/>
        <w:rPr>
          <w:rFonts w:ascii="Book Antiqua" w:hAnsi="Book Antiqua"/>
          <w:color w:val="000000" w:themeColor="text1"/>
          <w:szCs w:val="24"/>
        </w:rPr>
      </w:pPr>
    </w:p>
    <w:p w14:paraId="6D5A30C6" w14:textId="1E63E30F" w:rsidR="00E044BF" w:rsidRPr="00F740D9" w:rsidRDefault="00E044BF" w:rsidP="00BE6C9D">
      <w:pPr>
        <w:snapToGrid w:val="0"/>
        <w:spacing w:line="360" w:lineRule="auto"/>
        <w:jc w:val="both"/>
        <w:rPr>
          <w:rFonts w:ascii="Book Antiqua" w:hAnsi="Book Antiqua"/>
          <w:color w:val="000000" w:themeColor="text1"/>
          <w:szCs w:val="24"/>
        </w:rPr>
      </w:pPr>
      <w:r w:rsidRPr="00F740D9">
        <w:rPr>
          <w:rFonts w:ascii="Book Antiqua" w:hAnsi="Book Antiqua"/>
          <w:b/>
          <w:bCs/>
          <w:color w:val="000000" w:themeColor="text1"/>
          <w:szCs w:val="24"/>
        </w:rPr>
        <w:t xml:space="preserve">Kenneth Siu Ho Chok, </w:t>
      </w:r>
      <w:r w:rsidRPr="00F740D9">
        <w:rPr>
          <w:rFonts w:ascii="Book Antiqua" w:hAnsi="Book Antiqua"/>
          <w:color w:val="000000" w:themeColor="text1"/>
          <w:szCs w:val="24"/>
        </w:rPr>
        <w:t>Department of Surgery and State Key Laboratory for Liver Research, The University of Hong Kong, Hong Kong</w:t>
      </w:r>
      <w:r w:rsidR="00731DC4" w:rsidRPr="00F740D9">
        <w:rPr>
          <w:rFonts w:ascii="Book Antiqua" w:hAnsi="Book Antiqua"/>
          <w:color w:val="000000" w:themeColor="text1"/>
          <w:szCs w:val="24"/>
        </w:rPr>
        <w:t xml:space="preserve"> 999077</w:t>
      </w:r>
      <w:r w:rsidRPr="00F740D9">
        <w:rPr>
          <w:rFonts w:ascii="Book Antiqua" w:hAnsi="Book Antiqua"/>
          <w:color w:val="000000" w:themeColor="text1"/>
          <w:szCs w:val="24"/>
        </w:rPr>
        <w:t>, China</w:t>
      </w:r>
    </w:p>
    <w:p w14:paraId="380E1098" w14:textId="77777777" w:rsidR="00E044BF" w:rsidRPr="00F740D9" w:rsidRDefault="00E044BF" w:rsidP="00BE6C9D">
      <w:pPr>
        <w:snapToGrid w:val="0"/>
        <w:spacing w:line="360" w:lineRule="auto"/>
        <w:jc w:val="both"/>
        <w:rPr>
          <w:rFonts w:ascii="Book Antiqua" w:hAnsi="Book Antiqua"/>
          <w:color w:val="000000" w:themeColor="text1"/>
          <w:szCs w:val="24"/>
        </w:rPr>
      </w:pPr>
    </w:p>
    <w:p w14:paraId="2ED282EE" w14:textId="3F6C6EBC" w:rsidR="00E044BF" w:rsidRPr="00F740D9" w:rsidRDefault="00731DC4" w:rsidP="00BE6C9D">
      <w:pPr>
        <w:snapToGrid w:val="0"/>
        <w:spacing w:line="360" w:lineRule="auto"/>
        <w:jc w:val="both"/>
        <w:rPr>
          <w:rFonts w:ascii="Book Antiqua" w:hAnsi="Book Antiqua"/>
          <w:color w:val="000000" w:themeColor="text1"/>
          <w:szCs w:val="24"/>
        </w:rPr>
      </w:pPr>
      <w:r w:rsidRPr="00F740D9">
        <w:rPr>
          <w:rFonts w:ascii="Book Antiqua" w:hAnsi="Book Antiqua"/>
          <w:b/>
          <w:color w:val="000000"/>
          <w:szCs w:val="24"/>
        </w:rPr>
        <w:t xml:space="preserve">Author contributions: </w:t>
      </w:r>
      <w:r w:rsidR="00E044BF" w:rsidRPr="00F740D9">
        <w:rPr>
          <w:rFonts w:ascii="Book Antiqua" w:hAnsi="Book Antiqua"/>
          <w:color w:val="000000" w:themeColor="text1"/>
          <w:szCs w:val="24"/>
        </w:rPr>
        <w:t>Chok KSH proposed the study</w:t>
      </w:r>
      <w:r w:rsidR="000A78AC" w:rsidRPr="00F740D9">
        <w:rPr>
          <w:rFonts w:ascii="Book Antiqua" w:hAnsi="Book Antiqua"/>
          <w:color w:val="000000" w:themeColor="text1"/>
          <w:szCs w:val="24"/>
        </w:rPr>
        <w:t>;</w:t>
      </w:r>
      <w:r w:rsidR="00E044BF" w:rsidRPr="00F740D9">
        <w:rPr>
          <w:rFonts w:ascii="Book Antiqua" w:hAnsi="Book Antiqua"/>
          <w:color w:val="000000" w:themeColor="text1"/>
          <w:szCs w:val="24"/>
        </w:rPr>
        <w:t xml:space="preserve"> Au KP and Chok KSH conducted the study and wrote the manuscript.</w:t>
      </w:r>
    </w:p>
    <w:p w14:paraId="0FA412B0" w14:textId="280018C8" w:rsidR="00E044BF" w:rsidRPr="00F740D9" w:rsidRDefault="00E044BF" w:rsidP="00BE6C9D">
      <w:pPr>
        <w:snapToGrid w:val="0"/>
        <w:spacing w:line="360" w:lineRule="auto"/>
        <w:jc w:val="both"/>
        <w:rPr>
          <w:rFonts w:ascii="Book Antiqua" w:hAnsi="Book Antiqua"/>
          <w:color w:val="000000" w:themeColor="text1"/>
          <w:szCs w:val="24"/>
        </w:rPr>
      </w:pPr>
    </w:p>
    <w:p w14:paraId="50495C50" w14:textId="72B11589" w:rsidR="00E044BF" w:rsidRPr="0075254D" w:rsidRDefault="00731DC4" w:rsidP="00BE6C9D">
      <w:pPr>
        <w:snapToGrid w:val="0"/>
        <w:spacing w:line="360" w:lineRule="auto"/>
        <w:jc w:val="both"/>
        <w:rPr>
          <w:rFonts w:ascii="Book Antiqua" w:hAnsi="Book Antiqua"/>
          <w:color w:val="000000" w:themeColor="text1"/>
          <w:szCs w:val="24"/>
        </w:rPr>
      </w:pPr>
      <w:r w:rsidRPr="00F740D9">
        <w:rPr>
          <w:rFonts w:ascii="Book Antiqua" w:hAnsi="Book Antiqua"/>
          <w:b/>
          <w:color w:val="000000"/>
          <w:szCs w:val="24"/>
        </w:rPr>
        <w:t>Corresponding author:</w:t>
      </w:r>
      <w:r w:rsidRPr="00F740D9">
        <w:rPr>
          <w:rFonts w:ascii="Book Antiqua" w:hAnsi="Book Antiqua"/>
          <w:color w:val="000000"/>
          <w:szCs w:val="24"/>
        </w:rPr>
        <w:t xml:space="preserve"> </w:t>
      </w:r>
      <w:r w:rsidR="000A78AC" w:rsidRPr="002A2D42">
        <w:rPr>
          <w:rFonts w:ascii="Book Antiqua" w:hAnsi="Book Antiqua"/>
          <w:b/>
          <w:bCs/>
          <w:color w:val="000000" w:themeColor="text1"/>
          <w:szCs w:val="24"/>
        </w:rPr>
        <w:t>Kenneth Siu Ho Chok</w:t>
      </w:r>
      <w:r w:rsidR="00E044BF" w:rsidRPr="002A2D42">
        <w:rPr>
          <w:rFonts w:ascii="Book Antiqua" w:hAnsi="Book Antiqua"/>
          <w:b/>
          <w:bCs/>
          <w:color w:val="000000" w:themeColor="text1"/>
          <w:szCs w:val="24"/>
        </w:rPr>
        <w:t xml:space="preserve">, </w:t>
      </w:r>
      <w:r w:rsidR="002A2D42" w:rsidRPr="002A2D42">
        <w:rPr>
          <w:rFonts w:ascii="Book Antiqua" w:hAnsi="Book Antiqua"/>
          <w:b/>
          <w:bCs/>
          <w:color w:val="000000" w:themeColor="text1"/>
          <w:szCs w:val="24"/>
        </w:rPr>
        <w:t>FACS, FRCS (Ed), MBBS, Associate Professor,</w:t>
      </w:r>
      <w:r w:rsidR="002A2D42" w:rsidRPr="002A2D42">
        <w:rPr>
          <w:rFonts w:ascii="Book Antiqua" w:hAnsi="Book Antiqua"/>
          <w:color w:val="000000" w:themeColor="text1"/>
          <w:szCs w:val="24"/>
        </w:rPr>
        <w:t xml:space="preserve"> </w:t>
      </w:r>
      <w:r w:rsidR="002A2D42" w:rsidRPr="00F740D9">
        <w:rPr>
          <w:rFonts w:ascii="Book Antiqua" w:hAnsi="Book Antiqua"/>
          <w:color w:val="000000" w:themeColor="text1"/>
          <w:szCs w:val="24"/>
        </w:rPr>
        <w:t xml:space="preserve">Department of Surgery and State Key Laboratory for Liver Research, </w:t>
      </w:r>
      <w:r w:rsidR="00E044BF" w:rsidRPr="00F740D9">
        <w:rPr>
          <w:rFonts w:ascii="Book Antiqua" w:hAnsi="Book Antiqua"/>
          <w:color w:val="000000" w:themeColor="text1"/>
          <w:szCs w:val="24"/>
        </w:rPr>
        <w:t xml:space="preserve">The University of Hong Kong, 102 Pok Fu Lam Road, </w:t>
      </w:r>
      <w:r w:rsidRPr="00F740D9">
        <w:rPr>
          <w:rFonts w:ascii="Book Antiqua" w:hAnsi="Book Antiqua"/>
          <w:color w:val="000000" w:themeColor="text1"/>
          <w:szCs w:val="24"/>
        </w:rPr>
        <w:t xml:space="preserve">Hong Kong 999077, </w:t>
      </w:r>
      <w:r w:rsidR="00E044BF" w:rsidRPr="00F740D9">
        <w:rPr>
          <w:rFonts w:ascii="Book Antiqua" w:hAnsi="Book Antiqua"/>
          <w:color w:val="000000" w:themeColor="text1"/>
          <w:szCs w:val="24"/>
        </w:rPr>
        <w:t>China.</w:t>
      </w:r>
      <w:r w:rsidR="000A78AC" w:rsidRPr="00F740D9">
        <w:rPr>
          <w:rFonts w:ascii="Book Antiqua" w:hAnsi="Book Antiqua"/>
          <w:color w:val="000000" w:themeColor="text1"/>
          <w:szCs w:val="24"/>
          <w:lang w:eastAsia="zh-CN"/>
        </w:rPr>
        <w:t xml:space="preserve"> </w:t>
      </w:r>
      <w:r w:rsidR="00E044BF" w:rsidRPr="0075254D">
        <w:rPr>
          <w:rFonts w:ascii="Book Antiqua" w:hAnsi="Book Antiqua"/>
          <w:color w:val="000000" w:themeColor="text1"/>
          <w:szCs w:val="24"/>
        </w:rPr>
        <w:t>chok6275@hku.hk</w:t>
      </w:r>
    </w:p>
    <w:p w14:paraId="5C21EDC7" w14:textId="77777777" w:rsidR="000A78AC" w:rsidRPr="00F740D9" w:rsidRDefault="000A78AC" w:rsidP="00BE6C9D">
      <w:pPr>
        <w:widowControl/>
        <w:snapToGrid w:val="0"/>
        <w:spacing w:line="360" w:lineRule="auto"/>
        <w:jc w:val="both"/>
        <w:rPr>
          <w:rFonts w:ascii="Book Antiqua" w:hAnsi="Book Antiqua"/>
          <w:color w:val="000000" w:themeColor="text1"/>
          <w:szCs w:val="24"/>
        </w:rPr>
      </w:pPr>
    </w:p>
    <w:p w14:paraId="02A17D1C" w14:textId="3DB81093" w:rsidR="00731DC4" w:rsidRPr="00F740D9" w:rsidRDefault="00731DC4" w:rsidP="00BE6C9D">
      <w:pPr>
        <w:adjustRightInd w:val="0"/>
        <w:snapToGrid w:val="0"/>
        <w:spacing w:line="360" w:lineRule="auto"/>
        <w:jc w:val="both"/>
        <w:rPr>
          <w:rFonts w:ascii="Book Antiqua" w:hAnsi="Book Antiqua"/>
          <w:b/>
          <w:color w:val="000000"/>
          <w:szCs w:val="24"/>
        </w:rPr>
      </w:pPr>
      <w:r w:rsidRPr="00F740D9">
        <w:rPr>
          <w:rFonts w:ascii="Book Antiqua" w:hAnsi="Book Antiqua"/>
          <w:b/>
          <w:color w:val="000000"/>
          <w:szCs w:val="24"/>
        </w:rPr>
        <w:t xml:space="preserve">Received: </w:t>
      </w:r>
      <w:r w:rsidRPr="00F740D9">
        <w:rPr>
          <w:rFonts w:ascii="Book Antiqua" w:hAnsi="Book Antiqua"/>
          <w:bCs/>
          <w:color w:val="000000"/>
          <w:szCs w:val="24"/>
          <w:lang w:eastAsia="zh-CN"/>
        </w:rPr>
        <w:t>December</w:t>
      </w:r>
      <w:r w:rsidRPr="00F740D9">
        <w:rPr>
          <w:rFonts w:ascii="Book Antiqua" w:hAnsi="Book Antiqua"/>
          <w:b/>
          <w:color w:val="000000"/>
          <w:szCs w:val="24"/>
          <w:lang w:eastAsia="zh-CN"/>
        </w:rPr>
        <w:t xml:space="preserve"> </w:t>
      </w:r>
      <w:r w:rsidRPr="00F740D9">
        <w:rPr>
          <w:rFonts w:ascii="Book Antiqua" w:hAnsi="Book Antiqua"/>
          <w:color w:val="000000"/>
          <w:szCs w:val="24"/>
        </w:rPr>
        <w:t>30, 2019</w:t>
      </w:r>
    </w:p>
    <w:p w14:paraId="0849480F" w14:textId="137ECCE7" w:rsidR="00731DC4" w:rsidRPr="00F740D9" w:rsidRDefault="00731DC4" w:rsidP="00BE6C9D">
      <w:pPr>
        <w:adjustRightInd w:val="0"/>
        <w:snapToGrid w:val="0"/>
        <w:spacing w:line="360" w:lineRule="auto"/>
        <w:jc w:val="both"/>
        <w:rPr>
          <w:rFonts w:ascii="Book Antiqua" w:hAnsi="Book Antiqua"/>
          <w:b/>
          <w:color w:val="000000"/>
          <w:szCs w:val="24"/>
        </w:rPr>
      </w:pPr>
      <w:r w:rsidRPr="00F740D9">
        <w:rPr>
          <w:rFonts w:ascii="Book Antiqua" w:hAnsi="Book Antiqua"/>
          <w:b/>
          <w:color w:val="000000"/>
          <w:szCs w:val="24"/>
        </w:rPr>
        <w:t xml:space="preserve">Revised: </w:t>
      </w:r>
      <w:r w:rsidRPr="00F740D9">
        <w:rPr>
          <w:rFonts w:ascii="Book Antiqua" w:hAnsi="Book Antiqua"/>
          <w:color w:val="000000"/>
          <w:szCs w:val="24"/>
        </w:rPr>
        <w:t>March 21, 2020</w:t>
      </w:r>
    </w:p>
    <w:p w14:paraId="7E5E135B" w14:textId="0DD9DDDF" w:rsidR="00731DC4" w:rsidRPr="00F740D9" w:rsidRDefault="00731DC4" w:rsidP="00BE6C9D">
      <w:pPr>
        <w:adjustRightInd w:val="0"/>
        <w:snapToGrid w:val="0"/>
        <w:spacing w:line="360" w:lineRule="auto"/>
        <w:jc w:val="both"/>
        <w:rPr>
          <w:rFonts w:ascii="Book Antiqua" w:hAnsi="Book Antiqua"/>
          <w:b/>
          <w:color w:val="000000"/>
          <w:szCs w:val="24"/>
        </w:rPr>
      </w:pPr>
      <w:r w:rsidRPr="00F740D9">
        <w:rPr>
          <w:rFonts w:ascii="Book Antiqua" w:hAnsi="Book Antiqua"/>
          <w:b/>
          <w:color w:val="000000"/>
          <w:szCs w:val="24"/>
        </w:rPr>
        <w:t>Accepted:</w:t>
      </w:r>
      <w:r w:rsidR="00AA795C">
        <w:rPr>
          <w:rFonts w:ascii="Book Antiqua" w:hAnsi="Book Antiqua"/>
          <w:b/>
          <w:color w:val="000000"/>
          <w:szCs w:val="24"/>
        </w:rPr>
        <w:t xml:space="preserve"> </w:t>
      </w:r>
      <w:r w:rsidR="00AA795C" w:rsidRPr="00AA795C">
        <w:rPr>
          <w:rFonts w:ascii="Book Antiqua" w:hAnsi="Book Antiqua"/>
          <w:color w:val="000000"/>
          <w:szCs w:val="24"/>
        </w:rPr>
        <w:t>March 26, 2020</w:t>
      </w:r>
      <w:r w:rsidRPr="00F740D9">
        <w:rPr>
          <w:rFonts w:ascii="Book Antiqua" w:hAnsi="Book Antiqua"/>
          <w:b/>
          <w:color w:val="000000"/>
          <w:szCs w:val="24"/>
        </w:rPr>
        <w:t xml:space="preserve"> </w:t>
      </w:r>
    </w:p>
    <w:p w14:paraId="7A198BD2" w14:textId="77777777" w:rsidR="00731DC4" w:rsidRPr="00F740D9" w:rsidRDefault="00731DC4" w:rsidP="00BE6C9D">
      <w:pPr>
        <w:adjustRightInd w:val="0"/>
        <w:snapToGrid w:val="0"/>
        <w:spacing w:line="360" w:lineRule="auto"/>
        <w:jc w:val="both"/>
        <w:rPr>
          <w:rFonts w:ascii="Book Antiqua" w:hAnsi="Book Antiqua"/>
          <w:b/>
          <w:color w:val="000000"/>
          <w:szCs w:val="24"/>
        </w:rPr>
      </w:pPr>
      <w:r w:rsidRPr="00F740D9">
        <w:rPr>
          <w:rFonts w:ascii="Book Antiqua" w:hAnsi="Book Antiqua"/>
          <w:b/>
          <w:color w:val="000000"/>
          <w:szCs w:val="24"/>
        </w:rPr>
        <w:t>Published online:</w:t>
      </w:r>
    </w:p>
    <w:p w14:paraId="495C16A7" w14:textId="2CB5F919" w:rsidR="00E044BF" w:rsidRPr="00F740D9" w:rsidRDefault="00E044BF" w:rsidP="00BE6C9D">
      <w:pPr>
        <w:widowControl/>
        <w:snapToGrid w:val="0"/>
        <w:spacing w:line="360" w:lineRule="auto"/>
        <w:jc w:val="both"/>
        <w:rPr>
          <w:rFonts w:ascii="Book Antiqua" w:hAnsi="Book Antiqua"/>
          <w:color w:val="000000" w:themeColor="text1"/>
          <w:szCs w:val="24"/>
        </w:rPr>
      </w:pPr>
      <w:r w:rsidRPr="00F740D9">
        <w:rPr>
          <w:rFonts w:ascii="Book Antiqua" w:hAnsi="Book Antiqua"/>
          <w:color w:val="000000" w:themeColor="text1"/>
          <w:szCs w:val="24"/>
        </w:rPr>
        <w:br w:type="page"/>
      </w:r>
    </w:p>
    <w:bookmarkEnd w:id="0"/>
    <w:p w14:paraId="7FFDAEC6" w14:textId="665950CD" w:rsidR="00AA1762" w:rsidRPr="00F740D9" w:rsidRDefault="00AA1762" w:rsidP="00BE6C9D">
      <w:pPr>
        <w:snapToGrid w:val="0"/>
        <w:spacing w:line="360" w:lineRule="auto"/>
        <w:jc w:val="both"/>
        <w:rPr>
          <w:rFonts w:ascii="Book Antiqua" w:hAnsi="Book Antiqua"/>
          <w:b/>
          <w:bCs/>
          <w:color w:val="000000" w:themeColor="text1"/>
          <w:szCs w:val="24"/>
        </w:rPr>
      </w:pPr>
      <w:r w:rsidRPr="00F740D9">
        <w:rPr>
          <w:rFonts w:ascii="Book Antiqua" w:hAnsi="Book Antiqua"/>
          <w:b/>
          <w:bCs/>
          <w:color w:val="000000" w:themeColor="text1"/>
          <w:szCs w:val="24"/>
        </w:rPr>
        <w:lastRenderedPageBreak/>
        <w:t>Abstract</w:t>
      </w:r>
    </w:p>
    <w:p w14:paraId="4E548C84" w14:textId="77777777" w:rsidR="00731DC4" w:rsidRPr="00F740D9" w:rsidRDefault="00731DC4" w:rsidP="00BE6C9D">
      <w:pPr>
        <w:adjustRightInd w:val="0"/>
        <w:snapToGrid w:val="0"/>
        <w:spacing w:line="360" w:lineRule="auto"/>
        <w:jc w:val="both"/>
        <w:rPr>
          <w:rFonts w:ascii="Book Antiqua" w:hAnsi="Book Antiqua"/>
          <w:color w:val="000000"/>
          <w:szCs w:val="24"/>
        </w:rPr>
      </w:pPr>
      <w:r w:rsidRPr="00F740D9">
        <w:rPr>
          <w:rFonts w:ascii="Book Antiqua" w:hAnsi="Book Antiqua"/>
          <w:color w:val="000000"/>
          <w:szCs w:val="24"/>
        </w:rPr>
        <w:t>BACKGROUND</w:t>
      </w:r>
    </w:p>
    <w:p w14:paraId="32938E94" w14:textId="55B8D8A2" w:rsidR="000A78AC" w:rsidRPr="00F740D9" w:rsidRDefault="000A78AC" w:rsidP="00BE6C9D">
      <w:pPr>
        <w:snapToGrid w:val="0"/>
        <w:spacing w:line="360" w:lineRule="auto"/>
        <w:jc w:val="both"/>
        <w:rPr>
          <w:rFonts w:ascii="Book Antiqua" w:hAnsi="Book Antiqua"/>
          <w:color w:val="000000" w:themeColor="text1"/>
          <w:szCs w:val="24"/>
        </w:rPr>
      </w:pPr>
      <w:r w:rsidRPr="00F740D9">
        <w:rPr>
          <w:rFonts w:ascii="Book Antiqua" w:hAnsi="Book Antiqua"/>
          <w:color w:val="000000" w:themeColor="text1"/>
          <w:szCs w:val="24"/>
        </w:rPr>
        <w:t xml:space="preserve">Mammalian </w:t>
      </w:r>
      <w:r w:rsidR="00FB458A" w:rsidRPr="00F740D9">
        <w:rPr>
          <w:rFonts w:ascii="Book Antiqua" w:hAnsi="Book Antiqua"/>
          <w:color w:val="000000" w:themeColor="text1"/>
          <w:szCs w:val="24"/>
        </w:rPr>
        <w:t xml:space="preserve">target of rapamycin (mTOR) inhibitors have been shown to reduce the risk of tumour recurrence after liver transplantation for hepatocellular carcinoma (HCC). However, </w:t>
      </w:r>
      <w:r w:rsidR="00FC6CB4">
        <w:rPr>
          <w:rFonts w:ascii="Book Antiqua" w:hAnsi="Book Antiqua"/>
          <w:color w:val="000000" w:themeColor="text1"/>
          <w:szCs w:val="24"/>
        </w:rPr>
        <w:t>their</w:t>
      </w:r>
      <w:r w:rsidR="00FB458A" w:rsidRPr="00F740D9">
        <w:rPr>
          <w:rFonts w:ascii="Book Antiqua" w:hAnsi="Book Antiqua"/>
          <w:color w:val="000000" w:themeColor="text1"/>
          <w:szCs w:val="24"/>
        </w:rPr>
        <w:t xml:space="preserve"> role in established post-transplant HCC recurrence is uncertain. </w:t>
      </w:r>
    </w:p>
    <w:p w14:paraId="40E5DD00" w14:textId="77777777" w:rsidR="000A78AC" w:rsidRPr="00F740D9" w:rsidRDefault="000A78AC" w:rsidP="00BE6C9D">
      <w:pPr>
        <w:snapToGrid w:val="0"/>
        <w:spacing w:line="360" w:lineRule="auto"/>
        <w:jc w:val="both"/>
        <w:rPr>
          <w:rFonts w:ascii="Book Antiqua" w:hAnsi="Book Antiqua"/>
          <w:color w:val="000000" w:themeColor="text1"/>
          <w:szCs w:val="24"/>
        </w:rPr>
      </w:pPr>
    </w:p>
    <w:p w14:paraId="1FD9D2CF" w14:textId="77777777" w:rsidR="000A78AC" w:rsidRPr="00F740D9" w:rsidRDefault="000A78AC" w:rsidP="00BE6C9D">
      <w:pPr>
        <w:snapToGrid w:val="0"/>
        <w:spacing w:line="360" w:lineRule="auto"/>
        <w:jc w:val="both"/>
        <w:rPr>
          <w:rFonts w:ascii="Book Antiqua" w:hAnsi="Book Antiqua"/>
          <w:color w:val="000000" w:themeColor="text1"/>
          <w:szCs w:val="24"/>
        </w:rPr>
      </w:pPr>
      <w:r w:rsidRPr="00F740D9">
        <w:rPr>
          <w:rFonts w:ascii="Book Antiqua" w:hAnsi="Book Antiqua"/>
          <w:color w:val="000000" w:themeColor="text1"/>
          <w:szCs w:val="24"/>
        </w:rPr>
        <w:t>AIM</w:t>
      </w:r>
    </w:p>
    <w:p w14:paraId="3B339447" w14:textId="2F5BA6B4" w:rsidR="00FB458A" w:rsidRPr="00F740D9" w:rsidRDefault="000A78AC" w:rsidP="00BE6C9D">
      <w:pPr>
        <w:snapToGrid w:val="0"/>
        <w:spacing w:line="360" w:lineRule="auto"/>
        <w:jc w:val="both"/>
        <w:rPr>
          <w:rFonts w:ascii="Book Antiqua" w:hAnsi="Book Antiqua"/>
          <w:color w:val="000000" w:themeColor="text1"/>
          <w:szCs w:val="24"/>
        </w:rPr>
      </w:pPr>
      <w:r w:rsidRPr="00F740D9">
        <w:rPr>
          <w:rFonts w:ascii="Book Antiqua" w:hAnsi="Book Antiqua"/>
          <w:color w:val="000000" w:themeColor="text1"/>
          <w:szCs w:val="24"/>
        </w:rPr>
        <w:t>To</w:t>
      </w:r>
      <w:r w:rsidR="00FB458A" w:rsidRPr="00F740D9">
        <w:rPr>
          <w:rFonts w:ascii="Book Antiqua" w:hAnsi="Book Antiqua"/>
          <w:color w:val="000000" w:themeColor="text1"/>
          <w:szCs w:val="24"/>
        </w:rPr>
        <w:t xml:space="preserve"> investigate whether mTOR inhibitor offers </w:t>
      </w:r>
      <w:r w:rsidR="00741894">
        <w:rPr>
          <w:rFonts w:ascii="Book Antiqua" w:hAnsi="Book Antiqua"/>
          <w:color w:val="000000" w:themeColor="text1"/>
          <w:szCs w:val="24"/>
        </w:rPr>
        <w:t xml:space="preserve">a </w:t>
      </w:r>
      <w:r w:rsidR="00FB458A" w:rsidRPr="00F740D9">
        <w:rPr>
          <w:rFonts w:ascii="Book Antiqua" w:hAnsi="Book Antiqua"/>
          <w:color w:val="000000" w:themeColor="text1"/>
          <w:szCs w:val="24"/>
        </w:rPr>
        <w:t xml:space="preserve">survival benefit in </w:t>
      </w:r>
      <w:r w:rsidR="00741894" w:rsidRPr="00F740D9">
        <w:rPr>
          <w:rFonts w:ascii="Book Antiqua" w:hAnsi="Book Antiqua"/>
          <w:color w:val="000000" w:themeColor="text1"/>
          <w:szCs w:val="24"/>
        </w:rPr>
        <w:t>post-transplant HCC recurrence</w:t>
      </w:r>
      <w:r w:rsidR="00FB458A" w:rsidRPr="00F740D9">
        <w:rPr>
          <w:rFonts w:ascii="Book Antiqua" w:hAnsi="Book Antiqua"/>
          <w:color w:val="000000" w:themeColor="text1"/>
          <w:szCs w:val="24"/>
        </w:rPr>
        <w:t>.</w:t>
      </w:r>
    </w:p>
    <w:p w14:paraId="14F85657" w14:textId="16151349" w:rsidR="00FB458A" w:rsidRPr="00F740D9" w:rsidRDefault="00FB458A" w:rsidP="00BE6C9D">
      <w:pPr>
        <w:snapToGrid w:val="0"/>
        <w:spacing w:line="360" w:lineRule="auto"/>
        <w:jc w:val="both"/>
        <w:rPr>
          <w:rFonts w:ascii="Book Antiqua" w:hAnsi="Book Antiqua"/>
          <w:color w:val="000000" w:themeColor="text1"/>
          <w:szCs w:val="24"/>
        </w:rPr>
      </w:pPr>
    </w:p>
    <w:p w14:paraId="4E310C6A" w14:textId="498880B5" w:rsidR="000A78AC" w:rsidRPr="00F740D9" w:rsidRDefault="000A78AC" w:rsidP="00BE6C9D">
      <w:pPr>
        <w:snapToGrid w:val="0"/>
        <w:spacing w:line="360" w:lineRule="auto"/>
        <w:jc w:val="both"/>
        <w:rPr>
          <w:rFonts w:ascii="Book Antiqua" w:hAnsi="Book Antiqua"/>
          <w:color w:val="000000" w:themeColor="text1"/>
          <w:szCs w:val="24"/>
        </w:rPr>
      </w:pPr>
      <w:r w:rsidRPr="00F740D9">
        <w:rPr>
          <w:rFonts w:ascii="Book Antiqua" w:hAnsi="Book Antiqua"/>
          <w:color w:val="000000" w:themeColor="text1"/>
          <w:szCs w:val="24"/>
        </w:rPr>
        <w:t>METHODS</w:t>
      </w:r>
    </w:p>
    <w:p w14:paraId="41919C87" w14:textId="0401A559" w:rsidR="00FB458A" w:rsidRPr="00F740D9" w:rsidRDefault="00FB458A" w:rsidP="00BE6C9D">
      <w:pPr>
        <w:snapToGrid w:val="0"/>
        <w:spacing w:line="360" w:lineRule="auto"/>
        <w:jc w:val="both"/>
        <w:rPr>
          <w:rFonts w:ascii="Book Antiqua" w:hAnsi="Book Antiqua"/>
          <w:color w:val="000000" w:themeColor="text1"/>
          <w:szCs w:val="24"/>
        </w:rPr>
      </w:pPr>
      <w:r w:rsidRPr="00F740D9">
        <w:rPr>
          <w:rFonts w:ascii="Book Antiqua" w:hAnsi="Book Antiqua"/>
          <w:color w:val="000000" w:themeColor="text1"/>
          <w:szCs w:val="24"/>
        </w:rPr>
        <w:t>A retrospective study of 143 patients who developed HCC recurrence after liver transplantation</w:t>
      </w:r>
      <w:r w:rsidR="006A3531" w:rsidRPr="00F740D9">
        <w:rPr>
          <w:rFonts w:ascii="Book Antiqua" w:hAnsi="Book Antiqua"/>
          <w:color w:val="000000" w:themeColor="text1"/>
          <w:szCs w:val="24"/>
        </w:rPr>
        <w:t xml:space="preserve"> was performed</w:t>
      </w:r>
      <w:r w:rsidRPr="00F740D9">
        <w:rPr>
          <w:rFonts w:ascii="Book Antiqua" w:hAnsi="Book Antiqua"/>
          <w:color w:val="000000" w:themeColor="text1"/>
          <w:szCs w:val="24"/>
        </w:rPr>
        <w:t xml:space="preserve">. They were divided into 2 groups based on whether they had received mTOR inhibitor-based immunosuppression. The primary endpoint was post-recurrence survival. </w:t>
      </w:r>
    </w:p>
    <w:p w14:paraId="7DB4EF23" w14:textId="2147100C" w:rsidR="00FB458A" w:rsidRPr="00F740D9" w:rsidRDefault="00FB458A" w:rsidP="00BE6C9D">
      <w:pPr>
        <w:snapToGrid w:val="0"/>
        <w:spacing w:line="360" w:lineRule="auto"/>
        <w:jc w:val="both"/>
        <w:rPr>
          <w:rFonts w:ascii="Book Antiqua" w:hAnsi="Book Antiqua"/>
          <w:color w:val="000000" w:themeColor="text1"/>
          <w:szCs w:val="24"/>
        </w:rPr>
      </w:pPr>
    </w:p>
    <w:p w14:paraId="09A3823B" w14:textId="77777777" w:rsidR="00731DC4" w:rsidRPr="00F740D9" w:rsidRDefault="00731DC4" w:rsidP="00BE6C9D">
      <w:pPr>
        <w:adjustRightInd w:val="0"/>
        <w:snapToGrid w:val="0"/>
        <w:spacing w:line="360" w:lineRule="auto"/>
        <w:jc w:val="both"/>
        <w:rPr>
          <w:rFonts w:ascii="Book Antiqua" w:hAnsi="Book Antiqua"/>
          <w:color w:val="0000FF"/>
          <w:szCs w:val="24"/>
          <w:lang w:val="en"/>
        </w:rPr>
      </w:pPr>
      <w:r w:rsidRPr="00F740D9">
        <w:rPr>
          <w:rFonts w:ascii="Book Antiqua" w:hAnsi="Book Antiqua"/>
          <w:color w:val="000000"/>
          <w:szCs w:val="24"/>
        </w:rPr>
        <w:t>RESULTS</w:t>
      </w:r>
    </w:p>
    <w:p w14:paraId="0A67B4E4" w14:textId="0685BA8D" w:rsidR="00FB458A" w:rsidRPr="00F740D9" w:rsidRDefault="00FB458A" w:rsidP="00BE6C9D">
      <w:pPr>
        <w:snapToGrid w:val="0"/>
        <w:spacing w:line="360" w:lineRule="auto"/>
        <w:jc w:val="both"/>
        <w:rPr>
          <w:rFonts w:ascii="Book Antiqua" w:hAnsi="Book Antiqua"/>
          <w:color w:val="000000" w:themeColor="text1"/>
          <w:szCs w:val="24"/>
        </w:rPr>
      </w:pPr>
      <w:r w:rsidRPr="00F740D9">
        <w:rPr>
          <w:rFonts w:ascii="Book Antiqua" w:hAnsi="Book Antiqua"/>
          <w:color w:val="000000" w:themeColor="text1"/>
          <w:szCs w:val="24"/>
        </w:rPr>
        <w:t xml:space="preserve">Seventy-nine (55%) patients received </w:t>
      </w:r>
      <w:r w:rsidR="00FC6CB4">
        <w:rPr>
          <w:rFonts w:ascii="Book Antiqua" w:hAnsi="Book Antiqua"/>
          <w:color w:val="000000" w:themeColor="text1"/>
          <w:szCs w:val="24"/>
        </w:rPr>
        <w:t xml:space="preserve">an </w:t>
      </w:r>
      <w:r w:rsidRPr="00F740D9">
        <w:rPr>
          <w:rFonts w:ascii="Book Antiqua" w:hAnsi="Book Antiqua"/>
          <w:color w:val="000000" w:themeColor="text1"/>
          <w:szCs w:val="24"/>
        </w:rPr>
        <w:t>mTOR inhibitor-based immunosuppressive regime</w:t>
      </w:r>
      <w:r w:rsidR="00741894">
        <w:rPr>
          <w:rFonts w:ascii="Book Antiqua" w:hAnsi="Book Antiqua"/>
          <w:color w:val="000000" w:themeColor="text1"/>
          <w:szCs w:val="24"/>
        </w:rPr>
        <w:t>,</w:t>
      </w:r>
      <w:r w:rsidRPr="00F740D9">
        <w:rPr>
          <w:rFonts w:ascii="Book Antiqua" w:hAnsi="Book Antiqua"/>
          <w:color w:val="000000" w:themeColor="text1"/>
          <w:szCs w:val="24"/>
        </w:rPr>
        <w:t xml:space="preserve"> while 64 (45%) </w:t>
      </w:r>
      <w:r w:rsidR="00741894">
        <w:rPr>
          <w:rFonts w:ascii="Book Antiqua" w:hAnsi="Book Antiqua"/>
          <w:color w:val="000000" w:themeColor="text1"/>
          <w:szCs w:val="24"/>
        </w:rPr>
        <w:t>patients</w:t>
      </w:r>
      <w:r w:rsidRPr="00F740D9">
        <w:rPr>
          <w:rFonts w:ascii="Book Antiqua" w:hAnsi="Book Antiqua"/>
          <w:color w:val="000000" w:themeColor="text1"/>
          <w:szCs w:val="24"/>
        </w:rPr>
        <w:t xml:space="preserve"> did not. </w:t>
      </w:r>
      <w:r w:rsidR="00215D2B" w:rsidRPr="00F740D9">
        <w:rPr>
          <w:rFonts w:ascii="Book Antiqua" w:hAnsi="Book Antiqua"/>
          <w:color w:val="000000" w:themeColor="text1"/>
          <w:szCs w:val="24"/>
        </w:rPr>
        <w:t xml:space="preserve">The mTOR inhibitor group had a lower number of recurrent tumours (2 </w:t>
      </w:r>
      <w:r w:rsidR="00AF289B" w:rsidRPr="00F740D9">
        <w:rPr>
          <w:rFonts w:ascii="Book Antiqua" w:hAnsi="Book Antiqua"/>
          <w:i/>
          <w:color w:val="000000" w:themeColor="text1"/>
          <w:szCs w:val="24"/>
        </w:rPr>
        <w:t>vs</w:t>
      </w:r>
      <w:r w:rsidR="00215D2B" w:rsidRPr="00F740D9">
        <w:rPr>
          <w:rFonts w:ascii="Book Antiqua" w:hAnsi="Book Antiqua"/>
          <w:color w:val="000000" w:themeColor="text1"/>
          <w:szCs w:val="24"/>
        </w:rPr>
        <w:t xml:space="preserve"> 5, </w:t>
      </w:r>
      <w:r w:rsidR="00AF289B" w:rsidRPr="00F740D9">
        <w:rPr>
          <w:rFonts w:ascii="Book Antiqua" w:hAnsi="Book Antiqua"/>
          <w:i/>
          <w:color w:val="000000" w:themeColor="text1"/>
          <w:szCs w:val="24"/>
        </w:rPr>
        <w:t xml:space="preserve">P </w:t>
      </w:r>
      <w:r w:rsidR="00215D2B" w:rsidRPr="00F740D9">
        <w:rPr>
          <w:rFonts w:ascii="Book Antiqua" w:hAnsi="Book Antiqua"/>
          <w:color w:val="000000" w:themeColor="text1"/>
          <w:szCs w:val="24"/>
        </w:rPr>
        <w:t>=</w:t>
      </w:r>
      <w:r w:rsidR="00AF289B" w:rsidRPr="00F740D9">
        <w:rPr>
          <w:rFonts w:ascii="Book Antiqua" w:hAnsi="Book Antiqua"/>
          <w:color w:val="000000" w:themeColor="text1"/>
          <w:szCs w:val="24"/>
        </w:rPr>
        <w:t xml:space="preserve"> </w:t>
      </w:r>
      <w:r w:rsidR="00215D2B" w:rsidRPr="00F740D9">
        <w:rPr>
          <w:rFonts w:ascii="Book Antiqua" w:hAnsi="Book Antiqua"/>
          <w:color w:val="000000" w:themeColor="text1"/>
          <w:szCs w:val="24"/>
        </w:rPr>
        <w:t xml:space="preserve">0.02) and received more active treatments including radiotherapy (39 </w:t>
      </w:r>
      <w:r w:rsidR="00AF289B" w:rsidRPr="00F740D9">
        <w:rPr>
          <w:rFonts w:ascii="Book Antiqua" w:hAnsi="Book Antiqua"/>
          <w:i/>
          <w:color w:val="000000" w:themeColor="text1"/>
          <w:szCs w:val="24"/>
        </w:rPr>
        <w:t>vs</w:t>
      </w:r>
      <w:r w:rsidR="00215D2B" w:rsidRPr="00F740D9">
        <w:rPr>
          <w:rFonts w:ascii="Book Antiqua" w:hAnsi="Book Antiqua"/>
          <w:color w:val="000000" w:themeColor="text1"/>
          <w:szCs w:val="24"/>
        </w:rPr>
        <w:t xml:space="preserve"> 22%, </w:t>
      </w:r>
      <w:r w:rsidR="00AF289B" w:rsidRPr="00F740D9">
        <w:rPr>
          <w:rFonts w:ascii="Book Antiqua" w:hAnsi="Book Antiqua"/>
          <w:i/>
          <w:color w:val="000000" w:themeColor="text1"/>
          <w:szCs w:val="24"/>
        </w:rPr>
        <w:t xml:space="preserve">P </w:t>
      </w:r>
      <w:r w:rsidR="00215D2B" w:rsidRPr="00F740D9">
        <w:rPr>
          <w:rFonts w:ascii="Book Antiqua" w:hAnsi="Book Antiqua"/>
          <w:color w:val="000000" w:themeColor="text1"/>
          <w:szCs w:val="24"/>
        </w:rPr>
        <w:t>=</w:t>
      </w:r>
      <w:r w:rsidR="00AF289B" w:rsidRPr="00F740D9">
        <w:rPr>
          <w:rFonts w:ascii="Book Antiqua" w:hAnsi="Book Antiqua"/>
          <w:color w:val="000000" w:themeColor="text1"/>
          <w:szCs w:val="24"/>
        </w:rPr>
        <w:t xml:space="preserve"> </w:t>
      </w:r>
      <w:r w:rsidR="00215D2B" w:rsidRPr="00F740D9">
        <w:rPr>
          <w:rFonts w:ascii="Book Antiqua" w:hAnsi="Book Antiqua"/>
          <w:color w:val="000000" w:themeColor="text1"/>
          <w:szCs w:val="24"/>
        </w:rPr>
        <w:t xml:space="preserve">0.03) and targeted therapy (59 </w:t>
      </w:r>
      <w:r w:rsidR="00AF289B" w:rsidRPr="00F740D9">
        <w:rPr>
          <w:rFonts w:ascii="Book Antiqua" w:hAnsi="Book Antiqua"/>
          <w:i/>
          <w:color w:val="000000" w:themeColor="text1"/>
          <w:szCs w:val="24"/>
        </w:rPr>
        <w:t>vs</w:t>
      </w:r>
      <w:r w:rsidR="00215D2B" w:rsidRPr="00F740D9">
        <w:rPr>
          <w:rFonts w:ascii="Book Antiqua" w:hAnsi="Book Antiqua"/>
          <w:color w:val="000000" w:themeColor="text1"/>
          <w:szCs w:val="24"/>
        </w:rPr>
        <w:t xml:space="preserve"> 23%, </w:t>
      </w:r>
      <w:r w:rsidR="00AF289B" w:rsidRPr="00F740D9">
        <w:rPr>
          <w:rFonts w:ascii="Book Antiqua" w:hAnsi="Book Antiqua"/>
          <w:i/>
          <w:color w:val="000000" w:themeColor="text1"/>
          <w:szCs w:val="24"/>
        </w:rPr>
        <w:t xml:space="preserve">P </w:t>
      </w:r>
      <w:r w:rsidR="00215D2B" w:rsidRPr="00F740D9">
        <w:rPr>
          <w:rFonts w:ascii="Book Antiqua" w:hAnsi="Book Antiqua"/>
          <w:color w:val="000000" w:themeColor="text1"/>
          <w:szCs w:val="24"/>
        </w:rPr>
        <w:t>&lt;</w:t>
      </w:r>
      <w:r w:rsidR="00AF289B" w:rsidRPr="00F740D9">
        <w:rPr>
          <w:rFonts w:ascii="Book Antiqua" w:hAnsi="Book Antiqua"/>
          <w:color w:val="000000" w:themeColor="text1"/>
          <w:szCs w:val="24"/>
        </w:rPr>
        <w:t xml:space="preserve"> </w:t>
      </w:r>
      <w:r w:rsidR="00215D2B" w:rsidRPr="00F740D9">
        <w:rPr>
          <w:rFonts w:ascii="Book Antiqua" w:hAnsi="Book Antiqua"/>
          <w:color w:val="000000" w:themeColor="text1"/>
          <w:szCs w:val="24"/>
        </w:rPr>
        <w:t xml:space="preserve">0.001). </w:t>
      </w:r>
      <w:r w:rsidRPr="00F740D9">
        <w:rPr>
          <w:rFonts w:ascii="Book Antiqua" w:hAnsi="Book Antiqua"/>
          <w:color w:val="000000" w:themeColor="text1"/>
          <w:szCs w:val="24"/>
        </w:rPr>
        <w:t>The median post-recurrence survival was 21.0</w:t>
      </w:r>
      <w:r w:rsidR="000A78AC" w:rsidRPr="00F740D9">
        <w:rPr>
          <w:rFonts w:ascii="Book Antiqua" w:hAnsi="Book Antiqua"/>
          <w:color w:val="000000" w:themeColor="text1"/>
          <w:szCs w:val="24"/>
        </w:rPr>
        <w:t xml:space="preserve"> </w:t>
      </w:r>
      <w:r w:rsidRPr="00F740D9">
        <w:rPr>
          <w:rFonts w:ascii="Book Antiqua" w:hAnsi="Book Antiqua" w:cstheme="minorHAnsi"/>
          <w:color w:val="000000" w:themeColor="text1"/>
          <w:szCs w:val="24"/>
        </w:rPr>
        <w:t>±</w:t>
      </w:r>
      <w:r w:rsidR="000A78AC" w:rsidRPr="00F740D9">
        <w:rPr>
          <w:rFonts w:ascii="Book Antiqua" w:hAnsi="Book Antiqua" w:cstheme="minorHAnsi"/>
          <w:color w:val="000000" w:themeColor="text1"/>
          <w:szCs w:val="24"/>
        </w:rPr>
        <w:t xml:space="preserve"> </w:t>
      </w:r>
      <w:r w:rsidRPr="00F740D9">
        <w:rPr>
          <w:rFonts w:ascii="Book Antiqua" w:hAnsi="Book Antiqua"/>
          <w:color w:val="000000" w:themeColor="text1"/>
          <w:szCs w:val="24"/>
        </w:rPr>
        <w:t xml:space="preserve">4.1 mo in </w:t>
      </w:r>
      <w:r w:rsidR="00741894">
        <w:rPr>
          <w:rFonts w:ascii="Book Antiqua" w:hAnsi="Book Antiqua"/>
          <w:color w:val="000000" w:themeColor="text1"/>
          <w:szCs w:val="24"/>
        </w:rPr>
        <w:t xml:space="preserve">the </w:t>
      </w:r>
      <w:r w:rsidRPr="00F740D9">
        <w:rPr>
          <w:rFonts w:ascii="Book Antiqua" w:hAnsi="Book Antiqua"/>
          <w:color w:val="000000" w:themeColor="text1"/>
          <w:szCs w:val="24"/>
        </w:rPr>
        <w:t>mTOR inhibitor group and 11.2</w:t>
      </w:r>
      <w:r w:rsidR="000A78AC" w:rsidRPr="00F740D9">
        <w:rPr>
          <w:rFonts w:ascii="Book Antiqua" w:hAnsi="Book Antiqua"/>
          <w:color w:val="000000" w:themeColor="text1"/>
          <w:szCs w:val="24"/>
        </w:rPr>
        <w:t xml:space="preserve"> </w:t>
      </w:r>
      <w:r w:rsidRPr="00F740D9">
        <w:rPr>
          <w:rFonts w:ascii="Book Antiqua" w:hAnsi="Book Antiqua" w:cstheme="minorHAnsi"/>
          <w:color w:val="000000" w:themeColor="text1"/>
          <w:szCs w:val="24"/>
        </w:rPr>
        <w:t>±</w:t>
      </w:r>
      <w:r w:rsidR="000A78AC" w:rsidRPr="00F740D9">
        <w:rPr>
          <w:rFonts w:ascii="Book Antiqua" w:hAnsi="Book Antiqua" w:cstheme="minorHAnsi"/>
          <w:color w:val="000000" w:themeColor="text1"/>
          <w:szCs w:val="24"/>
        </w:rPr>
        <w:t xml:space="preserve"> </w:t>
      </w:r>
      <w:r w:rsidRPr="00F740D9">
        <w:rPr>
          <w:rFonts w:ascii="Book Antiqua" w:hAnsi="Book Antiqua"/>
          <w:color w:val="000000" w:themeColor="text1"/>
          <w:szCs w:val="24"/>
        </w:rPr>
        <w:t xml:space="preserve">2.5 mo in the control group. </w:t>
      </w:r>
      <w:r w:rsidR="00215D2B" w:rsidRPr="00F740D9">
        <w:rPr>
          <w:rFonts w:ascii="Book Antiqua" w:hAnsi="Book Antiqua"/>
          <w:color w:val="000000" w:themeColor="text1"/>
          <w:szCs w:val="24"/>
        </w:rPr>
        <w:t xml:space="preserve">Multivariate </w:t>
      </w:r>
      <w:r w:rsidR="00741894">
        <w:rPr>
          <w:rFonts w:ascii="Book Antiqua" w:hAnsi="Book Antiqua"/>
          <w:color w:val="000000" w:themeColor="text1"/>
          <w:szCs w:val="24"/>
        </w:rPr>
        <w:t>C</w:t>
      </w:r>
      <w:r w:rsidR="00215D2B" w:rsidRPr="00F740D9">
        <w:rPr>
          <w:rFonts w:ascii="Book Antiqua" w:hAnsi="Book Antiqua"/>
          <w:color w:val="000000" w:themeColor="text1"/>
          <w:szCs w:val="24"/>
        </w:rPr>
        <w:t xml:space="preserve">ox regression analysis confirmed </w:t>
      </w:r>
      <w:r w:rsidR="00741894">
        <w:rPr>
          <w:rFonts w:ascii="Book Antiqua" w:hAnsi="Book Antiqua"/>
          <w:color w:val="000000" w:themeColor="text1"/>
          <w:szCs w:val="24"/>
        </w:rPr>
        <w:t xml:space="preserve">that </w:t>
      </w:r>
      <w:r w:rsidR="00215D2B" w:rsidRPr="00F740D9">
        <w:rPr>
          <w:rFonts w:ascii="Book Antiqua" w:hAnsi="Book Antiqua"/>
          <w:color w:val="000000" w:themeColor="text1"/>
          <w:szCs w:val="24"/>
        </w:rPr>
        <w:t xml:space="preserve">mTOR inhibitor </w:t>
      </w:r>
      <w:r w:rsidR="00741894">
        <w:rPr>
          <w:rFonts w:ascii="Book Antiqua" w:hAnsi="Book Antiqua"/>
          <w:color w:val="000000" w:themeColor="text1"/>
          <w:szCs w:val="24"/>
        </w:rPr>
        <w:t xml:space="preserve">therapy </w:t>
      </w:r>
      <w:r w:rsidR="00215D2B" w:rsidRPr="00F740D9">
        <w:rPr>
          <w:rFonts w:ascii="Book Antiqua" w:hAnsi="Book Antiqua"/>
          <w:color w:val="000000" w:themeColor="text1"/>
          <w:szCs w:val="24"/>
        </w:rPr>
        <w:t>was independently associated with improved post-recurrence survival (</w:t>
      </w:r>
      <w:r w:rsidR="00AF289B" w:rsidRPr="00F740D9">
        <w:rPr>
          <w:rFonts w:ascii="Book Antiqua" w:hAnsi="Book Antiqua"/>
          <w:i/>
          <w:color w:val="000000" w:themeColor="text1"/>
          <w:szCs w:val="24"/>
        </w:rPr>
        <w:t xml:space="preserve">P </w:t>
      </w:r>
      <w:r w:rsidR="000F102D" w:rsidRPr="00F740D9">
        <w:rPr>
          <w:rFonts w:ascii="Book Antiqua" w:hAnsi="Book Antiqua"/>
          <w:color w:val="000000" w:themeColor="text1"/>
          <w:szCs w:val="24"/>
        </w:rPr>
        <w:t>=</w:t>
      </w:r>
      <w:r w:rsidR="00AF289B" w:rsidRPr="00F740D9">
        <w:rPr>
          <w:rFonts w:ascii="Book Antiqua" w:hAnsi="Book Antiqua"/>
          <w:color w:val="000000" w:themeColor="text1"/>
          <w:szCs w:val="24"/>
        </w:rPr>
        <w:t xml:space="preserve"> </w:t>
      </w:r>
      <w:r w:rsidR="000F102D" w:rsidRPr="00F740D9">
        <w:rPr>
          <w:rFonts w:ascii="Book Antiqua" w:hAnsi="Book Antiqua"/>
          <w:color w:val="000000" w:themeColor="text1"/>
          <w:szCs w:val="24"/>
        </w:rPr>
        <w:t>0.04</w:t>
      </w:r>
      <w:r w:rsidR="00215D2B" w:rsidRPr="00F740D9">
        <w:rPr>
          <w:rFonts w:ascii="Book Antiqua" w:hAnsi="Book Antiqua"/>
          <w:color w:val="000000" w:themeColor="text1"/>
          <w:szCs w:val="24"/>
        </w:rPr>
        <w:t>, OR</w:t>
      </w:r>
      <w:r w:rsidR="000D71C3">
        <w:rPr>
          <w:rFonts w:ascii="Book Antiqua" w:eastAsia="DengXian" w:hAnsi="Book Antiqua" w:hint="eastAsia"/>
          <w:color w:val="000000" w:themeColor="text1"/>
          <w:szCs w:val="24"/>
          <w:lang w:eastAsia="zh-CN"/>
        </w:rPr>
        <w:t xml:space="preserve"> = </w:t>
      </w:r>
      <w:r w:rsidR="00215D2B" w:rsidRPr="00F740D9">
        <w:rPr>
          <w:rFonts w:ascii="Book Antiqua" w:hAnsi="Book Antiqua"/>
          <w:color w:val="000000" w:themeColor="text1"/>
          <w:szCs w:val="24"/>
        </w:rPr>
        <w:t>0.</w:t>
      </w:r>
      <w:r w:rsidR="000F102D" w:rsidRPr="00F740D9">
        <w:rPr>
          <w:rFonts w:ascii="Book Antiqua" w:hAnsi="Book Antiqua"/>
          <w:color w:val="000000" w:themeColor="text1"/>
          <w:szCs w:val="24"/>
        </w:rPr>
        <w:t>482</w:t>
      </w:r>
      <w:r w:rsidR="00215D2B" w:rsidRPr="00F740D9">
        <w:rPr>
          <w:rFonts w:ascii="Book Antiqua" w:hAnsi="Book Antiqua"/>
          <w:color w:val="000000" w:themeColor="text1"/>
          <w:szCs w:val="24"/>
        </w:rPr>
        <w:t>, 95%CI</w:t>
      </w:r>
      <w:r w:rsidR="00AF289B" w:rsidRPr="00F740D9">
        <w:rPr>
          <w:rFonts w:ascii="Book Antiqua" w:hAnsi="Book Antiqua"/>
          <w:color w:val="000000" w:themeColor="text1"/>
          <w:szCs w:val="24"/>
        </w:rPr>
        <w:t>:</w:t>
      </w:r>
      <w:r w:rsidR="00215D2B" w:rsidRPr="00F740D9">
        <w:rPr>
          <w:rFonts w:ascii="Book Antiqua" w:hAnsi="Book Antiqua"/>
          <w:color w:val="000000" w:themeColor="text1"/>
          <w:szCs w:val="24"/>
        </w:rPr>
        <w:t xml:space="preserve"> 0.</w:t>
      </w:r>
      <w:r w:rsidR="000F102D" w:rsidRPr="00F740D9">
        <w:rPr>
          <w:rFonts w:ascii="Book Antiqua" w:hAnsi="Book Antiqua"/>
          <w:color w:val="000000" w:themeColor="text1"/>
          <w:szCs w:val="24"/>
        </w:rPr>
        <w:t>241</w:t>
      </w:r>
      <w:r w:rsidR="00215D2B" w:rsidRPr="00F740D9">
        <w:rPr>
          <w:rFonts w:ascii="Book Antiqua" w:hAnsi="Book Antiqua"/>
          <w:color w:val="000000" w:themeColor="text1"/>
          <w:szCs w:val="24"/>
        </w:rPr>
        <w:t>-0.</w:t>
      </w:r>
      <w:r w:rsidR="000F102D" w:rsidRPr="00F740D9">
        <w:rPr>
          <w:rFonts w:ascii="Book Antiqua" w:hAnsi="Book Antiqua"/>
          <w:color w:val="000000" w:themeColor="text1"/>
          <w:szCs w:val="24"/>
        </w:rPr>
        <w:t>966)</w:t>
      </w:r>
      <w:r w:rsidR="00215D2B" w:rsidRPr="00F740D9">
        <w:rPr>
          <w:rFonts w:ascii="Book Antiqua" w:hAnsi="Book Antiqua"/>
          <w:color w:val="000000" w:themeColor="text1"/>
          <w:szCs w:val="24"/>
        </w:rPr>
        <w:t xml:space="preserve">. </w:t>
      </w:r>
      <w:r w:rsidR="00741894">
        <w:rPr>
          <w:rFonts w:ascii="Book Antiqua" w:hAnsi="Book Antiqua"/>
          <w:color w:val="000000" w:themeColor="text1"/>
          <w:szCs w:val="24"/>
        </w:rPr>
        <w:t>The n</w:t>
      </w:r>
      <w:r w:rsidR="00215D2B" w:rsidRPr="00F740D9">
        <w:rPr>
          <w:rFonts w:ascii="Book Antiqua" w:hAnsi="Book Antiqua"/>
          <w:color w:val="000000" w:themeColor="text1"/>
          <w:szCs w:val="24"/>
        </w:rPr>
        <w:t xml:space="preserve">umber of recurrent tumours and use of other treatment modalities did not affect survival. </w:t>
      </w:r>
      <w:r w:rsidR="00741894">
        <w:rPr>
          <w:rFonts w:ascii="Book Antiqua" w:hAnsi="Book Antiqua"/>
          <w:color w:val="000000" w:themeColor="text1"/>
          <w:szCs w:val="24"/>
        </w:rPr>
        <w:t>N</w:t>
      </w:r>
      <w:r w:rsidR="00215D2B" w:rsidRPr="00F740D9">
        <w:rPr>
          <w:rFonts w:ascii="Book Antiqua" w:hAnsi="Book Antiqua"/>
          <w:color w:val="000000" w:themeColor="text1"/>
          <w:szCs w:val="24"/>
        </w:rPr>
        <w:t>o survival difference</w:t>
      </w:r>
      <w:r w:rsidR="00741894">
        <w:rPr>
          <w:rFonts w:ascii="Book Antiqua" w:hAnsi="Book Antiqua"/>
          <w:color w:val="000000" w:themeColor="text1"/>
          <w:szCs w:val="24"/>
        </w:rPr>
        <w:t xml:space="preserve"> was</w:t>
      </w:r>
      <w:r w:rsidR="00215D2B" w:rsidRPr="00F740D9">
        <w:rPr>
          <w:rFonts w:ascii="Book Antiqua" w:hAnsi="Book Antiqua"/>
          <w:color w:val="000000" w:themeColor="text1"/>
          <w:szCs w:val="24"/>
        </w:rPr>
        <w:t xml:space="preserve"> observed between mTOR inhibitor monotherapy and combination therapy with calcineurin inhibitor.</w:t>
      </w:r>
    </w:p>
    <w:p w14:paraId="479336EB" w14:textId="77777777" w:rsidR="00FB458A" w:rsidRPr="00F740D9" w:rsidRDefault="00FB458A" w:rsidP="00BE6C9D">
      <w:pPr>
        <w:snapToGrid w:val="0"/>
        <w:spacing w:line="360" w:lineRule="auto"/>
        <w:jc w:val="both"/>
        <w:rPr>
          <w:rFonts w:ascii="Book Antiqua" w:hAnsi="Book Antiqua"/>
          <w:color w:val="000000" w:themeColor="text1"/>
          <w:szCs w:val="24"/>
        </w:rPr>
      </w:pPr>
    </w:p>
    <w:p w14:paraId="41B7EDDF" w14:textId="593BE241" w:rsidR="000A78AC" w:rsidRPr="00F740D9" w:rsidRDefault="000A78AC" w:rsidP="00BE6C9D">
      <w:pPr>
        <w:snapToGrid w:val="0"/>
        <w:spacing w:line="360" w:lineRule="auto"/>
        <w:jc w:val="both"/>
        <w:rPr>
          <w:rFonts w:ascii="Book Antiqua" w:hAnsi="Book Antiqua"/>
          <w:color w:val="000000" w:themeColor="text1"/>
          <w:szCs w:val="24"/>
        </w:rPr>
      </w:pPr>
      <w:r w:rsidRPr="00F740D9">
        <w:rPr>
          <w:rFonts w:ascii="Book Antiqua" w:hAnsi="Book Antiqua"/>
          <w:color w:val="000000" w:themeColor="text1"/>
          <w:szCs w:val="24"/>
        </w:rPr>
        <w:t>CONCLUSION</w:t>
      </w:r>
    </w:p>
    <w:p w14:paraId="1CDBB754" w14:textId="3B55590D" w:rsidR="00FB458A" w:rsidRPr="00F740D9" w:rsidRDefault="00215D2B" w:rsidP="00BE6C9D">
      <w:pPr>
        <w:snapToGrid w:val="0"/>
        <w:spacing w:line="360" w:lineRule="auto"/>
        <w:jc w:val="both"/>
        <w:rPr>
          <w:rFonts w:ascii="Book Antiqua" w:hAnsi="Book Antiqua"/>
          <w:color w:val="000000" w:themeColor="text1"/>
          <w:szCs w:val="24"/>
        </w:rPr>
      </w:pPr>
      <w:r w:rsidRPr="00F740D9">
        <w:rPr>
          <w:rFonts w:ascii="Book Antiqua" w:hAnsi="Book Antiqua"/>
          <w:color w:val="000000" w:themeColor="text1"/>
          <w:szCs w:val="24"/>
        </w:rPr>
        <w:lastRenderedPageBreak/>
        <w:t>mTOR inhibitor</w:t>
      </w:r>
      <w:r w:rsidR="006A0E07" w:rsidRPr="00F740D9">
        <w:rPr>
          <w:rFonts w:ascii="Book Antiqua" w:hAnsi="Book Antiqua"/>
          <w:color w:val="000000" w:themeColor="text1"/>
          <w:szCs w:val="24"/>
        </w:rPr>
        <w:t>s</w:t>
      </w:r>
      <w:r w:rsidRPr="00F740D9">
        <w:rPr>
          <w:rFonts w:ascii="Book Antiqua" w:hAnsi="Book Antiqua"/>
          <w:color w:val="000000" w:themeColor="text1"/>
          <w:szCs w:val="24"/>
        </w:rPr>
        <w:t xml:space="preserve"> prolonged survival after post-transplant HCC recurrence.</w:t>
      </w:r>
    </w:p>
    <w:p w14:paraId="3E3F596D" w14:textId="7A16AFFF" w:rsidR="00FB458A" w:rsidRPr="00F740D9" w:rsidRDefault="00FB458A" w:rsidP="00BE6C9D">
      <w:pPr>
        <w:snapToGrid w:val="0"/>
        <w:spacing w:line="360" w:lineRule="auto"/>
        <w:jc w:val="both"/>
        <w:rPr>
          <w:rFonts w:ascii="Book Antiqua" w:hAnsi="Book Antiqua"/>
          <w:color w:val="000000" w:themeColor="text1"/>
          <w:szCs w:val="24"/>
        </w:rPr>
      </w:pPr>
    </w:p>
    <w:p w14:paraId="536AC857" w14:textId="029CF586" w:rsidR="000A78AC" w:rsidRPr="00F740D9" w:rsidRDefault="00731DC4" w:rsidP="00BE6C9D">
      <w:pPr>
        <w:snapToGrid w:val="0"/>
        <w:spacing w:line="360" w:lineRule="auto"/>
        <w:jc w:val="both"/>
        <w:rPr>
          <w:rFonts w:ascii="Book Antiqua" w:hAnsi="Book Antiqua"/>
          <w:color w:val="000000" w:themeColor="text1"/>
          <w:szCs w:val="24"/>
          <w:lang w:eastAsia="zh-CN"/>
        </w:rPr>
      </w:pPr>
      <w:r w:rsidRPr="00F740D9">
        <w:rPr>
          <w:rFonts w:ascii="Book Antiqua" w:hAnsi="Book Antiqua"/>
          <w:b/>
          <w:color w:val="000000"/>
          <w:szCs w:val="24"/>
        </w:rPr>
        <w:t xml:space="preserve">Key words: </w:t>
      </w:r>
      <w:r w:rsidR="000A78AC" w:rsidRPr="00F740D9">
        <w:rPr>
          <w:rFonts w:ascii="Book Antiqua" w:hAnsi="Book Antiqua"/>
          <w:color w:val="000000" w:themeColor="text1"/>
          <w:szCs w:val="24"/>
        </w:rPr>
        <w:t>Mammalian target of rapamycin</w:t>
      </w:r>
      <w:r w:rsidR="000A78AC" w:rsidRPr="00F740D9">
        <w:rPr>
          <w:rFonts w:ascii="Book Antiqua" w:hAnsi="Book Antiqua"/>
          <w:color w:val="000000" w:themeColor="text1"/>
          <w:szCs w:val="24"/>
          <w:lang w:eastAsia="zh-CN"/>
        </w:rPr>
        <w:t xml:space="preserve"> inhibitor; Hepatocellular carcinoma; Recurrence; Liver transplant; Survival; Outcomes</w:t>
      </w:r>
    </w:p>
    <w:p w14:paraId="025D1006" w14:textId="77777777" w:rsidR="000A78AC" w:rsidRPr="00F740D9" w:rsidRDefault="000A78AC" w:rsidP="00BE6C9D">
      <w:pPr>
        <w:snapToGrid w:val="0"/>
        <w:spacing w:line="360" w:lineRule="auto"/>
        <w:jc w:val="both"/>
        <w:rPr>
          <w:rFonts w:ascii="Book Antiqua" w:hAnsi="Book Antiqua"/>
          <w:color w:val="000000" w:themeColor="text1"/>
          <w:szCs w:val="24"/>
        </w:rPr>
      </w:pPr>
    </w:p>
    <w:p w14:paraId="12683A68" w14:textId="4F2363ED" w:rsidR="000A78AC" w:rsidRPr="00F740D9" w:rsidRDefault="008A3951" w:rsidP="00BE6C9D">
      <w:pPr>
        <w:adjustRightInd w:val="0"/>
        <w:snapToGrid w:val="0"/>
        <w:spacing w:line="360" w:lineRule="auto"/>
        <w:jc w:val="both"/>
        <w:rPr>
          <w:rFonts w:ascii="Book Antiqua" w:hAnsi="Book Antiqua"/>
          <w:bCs/>
          <w:szCs w:val="24"/>
        </w:rPr>
      </w:pPr>
      <w:r>
        <w:rPr>
          <w:rFonts w:ascii="Book Antiqua" w:hAnsi="Book Antiqua" w:hint="eastAsia"/>
          <w:color w:val="000000" w:themeColor="text1"/>
          <w:szCs w:val="24"/>
          <w:lang w:eastAsia="zh-CN"/>
        </w:rPr>
        <w:t>Au</w:t>
      </w:r>
      <w:r>
        <w:rPr>
          <w:rFonts w:ascii="Book Antiqua" w:hAnsi="Book Antiqua"/>
          <w:color w:val="000000" w:themeColor="text1"/>
          <w:szCs w:val="24"/>
          <w:lang w:eastAsia="zh-CN"/>
        </w:rPr>
        <w:t xml:space="preserve"> </w:t>
      </w:r>
      <w:r w:rsidR="000A78AC" w:rsidRPr="00F740D9">
        <w:rPr>
          <w:rFonts w:ascii="Book Antiqua" w:hAnsi="Book Antiqua"/>
          <w:color w:val="000000" w:themeColor="text1"/>
          <w:szCs w:val="24"/>
        </w:rPr>
        <w:t>KP, Chok KSH. Mammalian target of rapamycin inhibitors after post-transplant hepatocellular carcinoma recurrence: Is it too late?</w:t>
      </w:r>
      <w:r w:rsidR="000A78AC" w:rsidRPr="00F740D9">
        <w:rPr>
          <w:rFonts w:ascii="Book Antiqua" w:hAnsi="Book Antiqua"/>
          <w:color w:val="000000" w:themeColor="text1"/>
          <w:szCs w:val="24"/>
          <w:lang w:eastAsia="zh-CN"/>
        </w:rPr>
        <w:t xml:space="preserve"> </w:t>
      </w:r>
      <w:r w:rsidR="00731DC4" w:rsidRPr="00F740D9">
        <w:rPr>
          <w:rFonts w:ascii="Book Antiqua" w:hAnsi="Book Antiqua"/>
          <w:i/>
          <w:color w:val="000000"/>
          <w:szCs w:val="24"/>
        </w:rPr>
        <w:t>World J Gastrointest Surg</w:t>
      </w:r>
      <w:r w:rsidR="00731DC4" w:rsidRPr="00F740D9">
        <w:rPr>
          <w:rFonts w:ascii="Book Antiqua" w:hAnsi="Book Antiqua"/>
          <w:color w:val="000000"/>
          <w:szCs w:val="24"/>
        </w:rPr>
        <w:t xml:space="preserve"> 2020; </w:t>
      </w:r>
      <w:r w:rsidR="00731DC4" w:rsidRPr="00F740D9">
        <w:rPr>
          <w:rFonts w:ascii="Book Antiqua" w:hAnsi="Book Antiqua"/>
          <w:bCs/>
          <w:szCs w:val="24"/>
        </w:rPr>
        <w:t>In press</w:t>
      </w:r>
    </w:p>
    <w:p w14:paraId="43957256" w14:textId="77777777" w:rsidR="000A78AC" w:rsidRPr="00F740D9" w:rsidRDefault="000A78AC" w:rsidP="00BE6C9D">
      <w:pPr>
        <w:snapToGrid w:val="0"/>
        <w:spacing w:line="360" w:lineRule="auto"/>
        <w:jc w:val="both"/>
        <w:rPr>
          <w:rFonts w:ascii="Book Antiqua" w:hAnsi="Book Antiqua"/>
          <w:color w:val="000000" w:themeColor="text1"/>
          <w:szCs w:val="24"/>
        </w:rPr>
      </w:pPr>
    </w:p>
    <w:p w14:paraId="30070421" w14:textId="5ECFF49D" w:rsidR="00E044BF" w:rsidRPr="00F740D9" w:rsidRDefault="00731DC4" w:rsidP="00BE6C9D">
      <w:pPr>
        <w:widowControl/>
        <w:snapToGrid w:val="0"/>
        <w:spacing w:line="360" w:lineRule="auto"/>
        <w:jc w:val="both"/>
        <w:rPr>
          <w:rFonts w:ascii="Book Antiqua" w:hAnsi="Book Antiqua"/>
          <w:b/>
          <w:bCs/>
          <w:color w:val="000000" w:themeColor="text1"/>
          <w:szCs w:val="24"/>
        </w:rPr>
      </w:pPr>
      <w:r w:rsidRPr="00F740D9">
        <w:rPr>
          <w:rFonts w:ascii="Book Antiqua" w:hAnsi="Book Antiqua"/>
          <w:b/>
          <w:color w:val="000000"/>
          <w:szCs w:val="24"/>
        </w:rPr>
        <w:t>Core tip:</w:t>
      </w:r>
      <w:r w:rsidRPr="00F740D9">
        <w:rPr>
          <w:rFonts w:ascii="Book Antiqua" w:hAnsi="Book Antiqua"/>
          <w:color w:val="000000"/>
          <w:szCs w:val="24"/>
        </w:rPr>
        <w:t xml:space="preserve"> </w:t>
      </w:r>
      <w:r w:rsidR="00E044BF" w:rsidRPr="00F740D9">
        <w:rPr>
          <w:rFonts w:ascii="Book Antiqua" w:hAnsi="Book Antiqua"/>
          <w:color w:val="000000" w:themeColor="text1"/>
          <w:szCs w:val="24"/>
        </w:rPr>
        <w:t xml:space="preserve">Mammalian target of rapamycin (mTOR) inhibitors have been shown to reduce the risk of tumour recurrence after liver transplantation for hepatocellular carcinoma (HCC). However, </w:t>
      </w:r>
      <w:r w:rsidR="00741894">
        <w:rPr>
          <w:rFonts w:ascii="Book Antiqua" w:hAnsi="Book Antiqua"/>
          <w:color w:val="000000" w:themeColor="text1"/>
          <w:szCs w:val="24"/>
        </w:rPr>
        <w:t>their</w:t>
      </w:r>
      <w:r w:rsidR="00E044BF" w:rsidRPr="00F740D9">
        <w:rPr>
          <w:rFonts w:ascii="Book Antiqua" w:hAnsi="Book Antiqua"/>
          <w:color w:val="000000" w:themeColor="text1"/>
          <w:szCs w:val="24"/>
        </w:rPr>
        <w:t xml:space="preserve"> role in established post-transplant HCC recurrence is uncertain. A retrospective study of 143 patients who developed HCC recurrence after liver transplantation was performed. Seventy-nine (55%) patients received </w:t>
      </w:r>
      <w:r w:rsidR="00741894">
        <w:rPr>
          <w:rFonts w:ascii="Book Antiqua" w:hAnsi="Book Antiqua"/>
          <w:color w:val="000000" w:themeColor="text1"/>
          <w:szCs w:val="24"/>
        </w:rPr>
        <w:t>a</w:t>
      </w:r>
      <w:r w:rsidR="00FC6CB4">
        <w:rPr>
          <w:rFonts w:ascii="Book Antiqua" w:hAnsi="Book Antiqua"/>
          <w:color w:val="000000" w:themeColor="text1"/>
          <w:szCs w:val="24"/>
        </w:rPr>
        <w:t>n</w:t>
      </w:r>
      <w:r w:rsidR="00741894">
        <w:rPr>
          <w:rFonts w:ascii="Book Antiqua" w:hAnsi="Book Antiqua"/>
          <w:color w:val="000000" w:themeColor="text1"/>
          <w:szCs w:val="24"/>
        </w:rPr>
        <w:t xml:space="preserve"> </w:t>
      </w:r>
      <w:r w:rsidR="00E044BF" w:rsidRPr="00F740D9">
        <w:rPr>
          <w:rFonts w:ascii="Book Antiqua" w:hAnsi="Book Antiqua"/>
          <w:color w:val="000000" w:themeColor="text1"/>
          <w:szCs w:val="24"/>
        </w:rPr>
        <w:t>mTOR inhibitor-based immunosuppressive regime</w:t>
      </w:r>
      <w:r w:rsidR="00741894">
        <w:rPr>
          <w:rFonts w:ascii="Book Antiqua" w:hAnsi="Book Antiqua"/>
          <w:color w:val="000000" w:themeColor="text1"/>
          <w:szCs w:val="24"/>
        </w:rPr>
        <w:t>,</w:t>
      </w:r>
      <w:r w:rsidR="00E044BF" w:rsidRPr="00F740D9">
        <w:rPr>
          <w:rFonts w:ascii="Book Antiqua" w:hAnsi="Book Antiqua"/>
          <w:color w:val="000000" w:themeColor="text1"/>
          <w:szCs w:val="24"/>
        </w:rPr>
        <w:t xml:space="preserve"> while 64 (45%) </w:t>
      </w:r>
      <w:r w:rsidR="00741894">
        <w:rPr>
          <w:rFonts w:ascii="Book Antiqua" w:hAnsi="Book Antiqua"/>
          <w:color w:val="000000" w:themeColor="text1"/>
          <w:szCs w:val="24"/>
        </w:rPr>
        <w:t>patients</w:t>
      </w:r>
      <w:r w:rsidR="00E044BF" w:rsidRPr="00F740D9">
        <w:rPr>
          <w:rFonts w:ascii="Book Antiqua" w:hAnsi="Book Antiqua"/>
          <w:color w:val="000000" w:themeColor="text1"/>
          <w:szCs w:val="24"/>
        </w:rPr>
        <w:t xml:space="preserve"> did not. The median post-recurrence survival was 21.0</w:t>
      </w:r>
      <w:r w:rsidR="000A78AC" w:rsidRPr="00F740D9">
        <w:rPr>
          <w:rFonts w:ascii="Book Antiqua" w:hAnsi="Book Antiqua"/>
          <w:color w:val="000000" w:themeColor="text1"/>
          <w:szCs w:val="24"/>
        </w:rPr>
        <w:t xml:space="preserve"> </w:t>
      </w:r>
      <w:r w:rsidR="00E044BF" w:rsidRPr="00F740D9">
        <w:rPr>
          <w:rFonts w:ascii="Book Antiqua" w:hAnsi="Book Antiqua" w:cstheme="minorHAnsi"/>
          <w:color w:val="000000" w:themeColor="text1"/>
          <w:szCs w:val="24"/>
        </w:rPr>
        <w:t>±</w:t>
      </w:r>
      <w:r w:rsidR="000A78AC" w:rsidRPr="00F740D9">
        <w:rPr>
          <w:rFonts w:ascii="Book Antiqua" w:hAnsi="Book Antiqua" w:cstheme="minorHAnsi"/>
          <w:color w:val="000000" w:themeColor="text1"/>
          <w:szCs w:val="24"/>
        </w:rPr>
        <w:t xml:space="preserve"> </w:t>
      </w:r>
      <w:r w:rsidR="00E044BF" w:rsidRPr="00F740D9">
        <w:rPr>
          <w:rFonts w:ascii="Book Antiqua" w:hAnsi="Book Antiqua"/>
          <w:color w:val="000000" w:themeColor="text1"/>
          <w:szCs w:val="24"/>
        </w:rPr>
        <w:t xml:space="preserve">4.1 mo in </w:t>
      </w:r>
      <w:r w:rsidR="00741894">
        <w:rPr>
          <w:rFonts w:ascii="Book Antiqua" w:hAnsi="Book Antiqua"/>
          <w:color w:val="000000" w:themeColor="text1"/>
          <w:szCs w:val="24"/>
        </w:rPr>
        <w:t xml:space="preserve">the </w:t>
      </w:r>
      <w:r w:rsidR="00E044BF" w:rsidRPr="00F740D9">
        <w:rPr>
          <w:rFonts w:ascii="Book Antiqua" w:hAnsi="Book Antiqua"/>
          <w:color w:val="000000" w:themeColor="text1"/>
          <w:szCs w:val="24"/>
        </w:rPr>
        <w:t>mTOR inhibitor group and 11.2</w:t>
      </w:r>
      <w:r w:rsidR="000A78AC" w:rsidRPr="00F740D9">
        <w:rPr>
          <w:rFonts w:ascii="Book Antiqua" w:hAnsi="Book Antiqua"/>
          <w:color w:val="000000" w:themeColor="text1"/>
          <w:szCs w:val="24"/>
        </w:rPr>
        <w:t xml:space="preserve"> </w:t>
      </w:r>
      <w:r w:rsidR="00E044BF" w:rsidRPr="00F740D9">
        <w:rPr>
          <w:rFonts w:ascii="Book Antiqua" w:hAnsi="Book Antiqua" w:cstheme="minorHAnsi"/>
          <w:color w:val="000000" w:themeColor="text1"/>
          <w:szCs w:val="24"/>
        </w:rPr>
        <w:t>±</w:t>
      </w:r>
      <w:r w:rsidR="000A78AC" w:rsidRPr="00F740D9">
        <w:rPr>
          <w:rFonts w:ascii="Book Antiqua" w:hAnsi="Book Antiqua" w:cstheme="minorHAnsi"/>
          <w:color w:val="000000" w:themeColor="text1"/>
          <w:szCs w:val="24"/>
        </w:rPr>
        <w:t xml:space="preserve"> </w:t>
      </w:r>
      <w:r w:rsidR="00E044BF" w:rsidRPr="00F740D9">
        <w:rPr>
          <w:rFonts w:ascii="Book Antiqua" w:hAnsi="Book Antiqua"/>
          <w:color w:val="000000" w:themeColor="text1"/>
          <w:szCs w:val="24"/>
        </w:rPr>
        <w:t xml:space="preserve">2.5 mo in the control group. Multivariate </w:t>
      </w:r>
      <w:r w:rsidR="00741894">
        <w:rPr>
          <w:rFonts w:ascii="Book Antiqua" w:hAnsi="Book Antiqua"/>
          <w:color w:val="000000" w:themeColor="text1"/>
          <w:szCs w:val="24"/>
        </w:rPr>
        <w:t>C</w:t>
      </w:r>
      <w:r w:rsidR="00E044BF" w:rsidRPr="00F740D9">
        <w:rPr>
          <w:rFonts w:ascii="Book Antiqua" w:hAnsi="Book Antiqua"/>
          <w:color w:val="000000" w:themeColor="text1"/>
          <w:szCs w:val="24"/>
        </w:rPr>
        <w:t xml:space="preserve">ox regression analysis confirmed </w:t>
      </w:r>
      <w:r w:rsidR="00741894">
        <w:rPr>
          <w:rFonts w:ascii="Book Antiqua" w:hAnsi="Book Antiqua"/>
          <w:color w:val="000000" w:themeColor="text1"/>
          <w:szCs w:val="24"/>
        </w:rPr>
        <w:t xml:space="preserve">that </w:t>
      </w:r>
      <w:r w:rsidR="00E044BF" w:rsidRPr="00F740D9">
        <w:rPr>
          <w:rFonts w:ascii="Book Antiqua" w:hAnsi="Book Antiqua"/>
          <w:color w:val="000000" w:themeColor="text1"/>
          <w:szCs w:val="24"/>
        </w:rPr>
        <w:t xml:space="preserve">mTOR inhibitor </w:t>
      </w:r>
      <w:r w:rsidR="00741894">
        <w:rPr>
          <w:rFonts w:ascii="Book Antiqua" w:hAnsi="Book Antiqua"/>
          <w:color w:val="000000" w:themeColor="text1"/>
          <w:szCs w:val="24"/>
        </w:rPr>
        <w:t xml:space="preserve">therapy </w:t>
      </w:r>
      <w:r w:rsidR="00E044BF" w:rsidRPr="00F740D9">
        <w:rPr>
          <w:rFonts w:ascii="Book Antiqua" w:hAnsi="Book Antiqua"/>
          <w:color w:val="000000" w:themeColor="text1"/>
          <w:szCs w:val="24"/>
        </w:rPr>
        <w:t>was independently associated with improved post-recurrence survival</w:t>
      </w:r>
      <w:r w:rsidR="006A0E07" w:rsidRPr="00F740D9">
        <w:rPr>
          <w:rFonts w:ascii="Book Antiqua" w:hAnsi="Book Antiqua"/>
          <w:color w:val="000000" w:themeColor="text1"/>
          <w:szCs w:val="24"/>
        </w:rPr>
        <w:t xml:space="preserve"> (</w:t>
      </w:r>
      <w:r w:rsidR="00AF289B" w:rsidRPr="00F740D9">
        <w:rPr>
          <w:rFonts w:ascii="Book Antiqua" w:hAnsi="Book Antiqua"/>
          <w:i/>
          <w:color w:val="000000" w:themeColor="text1"/>
          <w:szCs w:val="24"/>
        </w:rPr>
        <w:t xml:space="preserve">P </w:t>
      </w:r>
      <w:r w:rsidR="006A0E07" w:rsidRPr="00F740D9">
        <w:rPr>
          <w:rFonts w:ascii="Book Antiqua" w:hAnsi="Book Antiqua"/>
          <w:color w:val="000000" w:themeColor="text1"/>
          <w:szCs w:val="24"/>
        </w:rPr>
        <w:t>=</w:t>
      </w:r>
      <w:r w:rsidR="00AF289B" w:rsidRPr="00F740D9">
        <w:rPr>
          <w:rFonts w:ascii="Book Antiqua" w:hAnsi="Book Antiqua"/>
          <w:color w:val="000000" w:themeColor="text1"/>
          <w:szCs w:val="24"/>
        </w:rPr>
        <w:t xml:space="preserve"> </w:t>
      </w:r>
      <w:r w:rsidR="006A0E07" w:rsidRPr="00F740D9">
        <w:rPr>
          <w:rFonts w:ascii="Book Antiqua" w:hAnsi="Book Antiqua"/>
          <w:color w:val="000000" w:themeColor="text1"/>
          <w:szCs w:val="24"/>
        </w:rPr>
        <w:t xml:space="preserve">0.04, OR </w:t>
      </w:r>
      <w:r w:rsidR="00A33727">
        <w:rPr>
          <w:rFonts w:ascii="Book Antiqua" w:hAnsi="Book Antiqua"/>
          <w:color w:val="000000" w:themeColor="text1"/>
          <w:szCs w:val="24"/>
        </w:rPr>
        <w:t>=</w:t>
      </w:r>
      <w:r w:rsidR="00A33727">
        <w:rPr>
          <w:rFonts w:ascii="Book Antiqua" w:eastAsia="DengXian" w:hAnsi="Book Antiqua" w:hint="eastAsia"/>
          <w:color w:val="000000" w:themeColor="text1"/>
          <w:szCs w:val="24"/>
          <w:lang w:eastAsia="zh-CN"/>
        </w:rPr>
        <w:t xml:space="preserve"> </w:t>
      </w:r>
      <w:r w:rsidR="006A0E07" w:rsidRPr="00F740D9">
        <w:rPr>
          <w:rFonts w:ascii="Book Antiqua" w:hAnsi="Book Antiqua"/>
          <w:color w:val="000000" w:themeColor="text1"/>
          <w:szCs w:val="24"/>
        </w:rPr>
        <w:t>0.482, 95%CI</w:t>
      </w:r>
      <w:r w:rsidR="00AF289B" w:rsidRPr="00F740D9">
        <w:rPr>
          <w:rFonts w:ascii="Book Antiqua" w:hAnsi="Book Antiqua"/>
          <w:color w:val="000000" w:themeColor="text1"/>
          <w:szCs w:val="24"/>
        </w:rPr>
        <w:t>:</w:t>
      </w:r>
      <w:r w:rsidR="006A0E07" w:rsidRPr="00F740D9">
        <w:rPr>
          <w:rFonts w:ascii="Book Antiqua" w:hAnsi="Book Antiqua"/>
          <w:color w:val="000000" w:themeColor="text1"/>
          <w:szCs w:val="24"/>
        </w:rPr>
        <w:t xml:space="preserve"> 0.241-0.966)</w:t>
      </w:r>
      <w:r w:rsidR="00E044BF" w:rsidRPr="00F740D9">
        <w:rPr>
          <w:rFonts w:ascii="Book Antiqua" w:hAnsi="Book Antiqua"/>
          <w:color w:val="000000" w:themeColor="text1"/>
          <w:szCs w:val="24"/>
        </w:rPr>
        <w:t>.</w:t>
      </w:r>
    </w:p>
    <w:p w14:paraId="708CA41B" w14:textId="77777777" w:rsidR="00E044BF" w:rsidRPr="00F740D9" w:rsidRDefault="00E044BF" w:rsidP="00BE6C9D">
      <w:pPr>
        <w:widowControl/>
        <w:snapToGrid w:val="0"/>
        <w:spacing w:line="360" w:lineRule="auto"/>
        <w:jc w:val="both"/>
        <w:rPr>
          <w:rFonts w:ascii="Book Antiqua" w:hAnsi="Book Antiqua"/>
          <w:b/>
          <w:bCs/>
          <w:color w:val="000000" w:themeColor="text1"/>
          <w:szCs w:val="24"/>
        </w:rPr>
      </w:pPr>
      <w:r w:rsidRPr="00F740D9">
        <w:rPr>
          <w:rFonts w:ascii="Book Antiqua" w:hAnsi="Book Antiqua"/>
          <w:b/>
          <w:bCs/>
          <w:color w:val="000000" w:themeColor="text1"/>
          <w:szCs w:val="24"/>
        </w:rPr>
        <w:br w:type="page"/>
      </w:r>
    </w:p>
    <w:p w14:paraId="3D68B952" w14:textId="759A4CC9" w:rsidR="00731DC4" w:rsidRPr="00F740D9" w:rsidRDefault="00731DC4" w:rsidP="00BE6C9D">
      <w:pPr>
        <w:snapToGrid w:val="0"/>
        <w:spacing w:line="360" w:lineRule="auto"/>
        <w:jc w:val="both"/>
        <w:rPr>
          <w:rFonts w:ascii="Book Antiqua" w:hAnsi="Book Antiqua"/>
          <w:color w:val="000000" w:themeColor="text1"/>
          <w:szCs w:val="24"/>
        </w:rPr>
      </w:pPr>
      <w:r w:rsidRPr="00F740D9">
        <w:rPr>
          <w:rFonts w:ascii="Book Antiqua" w:hAnsi="Book Antiqua"/>
          <w:b/>
          <w:color w:val="000000"/>
          <w:szCs w:val="24"/>
          <w:u w:val="single"/>
        </w:rPr>
        <w:lastRenderedPageBreak/>
        <w:t>INTRODUCTION</w:t>
      </w:r>
    </w:p>
    <w:p w14:paraId="2DCC8FC2" w14:textId="03002AB8" w:rsidR="00B9449F" w:rsidRPr="00F740D9" w:rsidRDefault="00D36991" w:rsidP="00BE6C9D">
      <w:pPr>
        <w:snapToGrid w:val="0"/>
        <w:spacing w:line="360" w:lineRule="auto"/>
        <w:jc w:val="both"/>
        <w:rPr>
          <w:rFonts w:ascii="Book Antiqua" w:hAnsi="Book Antiqua"/>
          <w:color w:val="000000" w:themeColor="text1"/>
          <w:szCs w:val="24"/>
        </w:rPr>
      </w:pPr>
      <w:r w:rsidRPr="00F740D9">
        <w:rPr>
          <w:rFonts w:ascii="Book Antiqua" w:hAnsi="Book Antiqua"/>
          <w:color w:val="000000" w:themeColor="text1"/>
          <w:szCs w:val="24"/>
        </w:rPr>
        <w:t>Calcineurin inhibitors (CNI)</w:t>
      </w:r>
      <w:r w:rsidR="00B9449F" w:rsidRPr="00F740D9">
        <w:rPr>
          <w:rFonts w:ascii="Book Antiqua" w:hAnsi="Book Antiqua"/>
          <w:color w:val="000000" w:themeColor="text1"/>
          <w:szCs w:val="24"/>
        </w:rPr>
        <w:t xml:space="preserve"> </w:t>
      </w:r>
      <w:r w:rsidRPr="00F740D9">
        <w:rPr>
          <w:rFonts w:ascii="Book Antiqua" w:hAnsi="Book Antiqua"/>
          <w:color w:val="000000" w:themeColor="text1"/>
          <w:szCs w:val="24"/>
        </w:rPr>
        <w:t>form the cornerstone of</w:t>
      </w:r>
      <w:r w:rsidR="00E8530E" w:rsidRPr="00F740D9">
        <w:rPr>
          <w:rFonts w:ascii="Book Antiqua" w:hAnsi="Book Antiqua"/>
          <w:color w:val="000000" w:themeColor="text1"/>
          <w:szCs w:val="24"/>
        </w:rPr>
        <w:t xml:space="preserve"> </w:t>
      </w:r>
      <w:r w:rsidRPr="00F740D9">
        <w:rPr>
          <w:rFonts w:ascii="Book Antiqua" w:hAnsi="Book Antiqua"/>
          <w:color w:val="000000" w:themeColor="text1"/>
          <w:szCs w:val="24"/>
        </w:rPr>
        <w:t>immunosuppressive therapy</w:t>
      </w:r>
      <w:r w:rsidR="00B101C9" w:rsidRPr="00F740D9">
        <w:rPr>
          <w:rFonts w:ascii="Book Antiqua" w:hAnsi="Book Antiqua"/>
          <w:color w:val="000000" w:themeColor="text1"/>
          <w:szCs w:val="24"/>
        </w:rPr>
        <w:t xml:space="preserve"> after liver transplantation</w:t>
      </w:r>
      <w:r w:rsidRPr="00F740D9">
        <w:rPr>
          <w:rFonts w:ascii="Book Antiqua" w:hAnsi="Book Antiqua"/>
          <w:color w:val="000000" w:themeColor="text1"/>
          <w:szCs w:val="24"/>
        </w:rPr>
        <w:t xml:space="preserve">. However, </w:t>
      </w:r>
      <w:r w:rsidR="00A86A11" w:rsidRPr="00F740D9">
        <w:rPr>
          <w:rFonts w:ascii="Book Antiqua" w:hAnsi="Book Antiqua"/>
          <w:color w:val="000000" w:themeColor="text1"/>
          <w:szCs w:val="24"/>
        </w:rPr>
        <w:t>CNIs promote</w:t>
      </w:r>
      <w:r w:rsidRPr="00F740D9">
        <w:rPr>
          <w:rFonts w:ascii="Book Antiqua" w:hAnsi="Book Antiqua"/>
          <w:color w:val="000000" w:themeColor="text1"/>
          <w:szCs w:val="24"/>
        </w:rPr>
        <w:t xml:space="preserve"> cancerous </w:t>
      </w:r>
      <w:r w:rsidR="00A85831" w:rsidRPr="00F740D9">
        <w:rPr>
          <w:rFonts w:ascii="Book Antiqua" w:hAnsi="Book Antiqua"/>
          <w:color w:val="000000" w:themeColor="text1"/>
          <w:szCs w:val="24"/>
        </w:rPr>
        <w:t>growth</w:t>
      </w:r>
      <w:r w:rsidR="000A78AC" w:rsidRPr="00F740D9">
        <w:rPr>
          <w:rFonts w:ascii="Book Antiqua" w:hAnsi="Book Antiqua"/>
          <w:color w:val="000000" w:themeColor="text1"/>
          <w:szCs w:val="24"/>
          <w:vertAlign w:val="superscript"/>
        </w:rPr>
        <w:t>[</w:t>
      </w:r>
      <w:r w:rsidR="00A86A11" w:rsidRPr="00F740D9">
        <w:rPr>
          <w:rFonts w:ascii="Book Antiqua" w:hAnsi="Book Antiqua"/>
          <w:color w:val="000000" w:themeColor="text1"/>
          <w:szCs w:val="24"/>
          <w:vertAlign w:val="superscript"/>
        </w:rPr>
        <w:fldChar w:fldCharType="begin" w:fldLock="1"/>
      </w:r>
      <w:r w:rsidR="00A228B7" w:rsidRPr="00F740D9">
        <w:rPr>
          <w:rFonts w:ascii="Book Antiqua" w:hAnsi="Book Antiqua"/>
          <w:color w:val="000000" w:themeColor="text1"/>
          <w:szCs w:val="24"/>
          <w:vertAlign w:val="superscript"/>
        </w:rPr>
        <w:instrText>ADDIN CSL_CITATION {"citationItems":[{"id":"ITEM-1","itemData":{"DOI":"10.1038/17401","ISSN":"0028-0836","PMID":"10028970","abstract":"Malignancy is a common and dreaded complication following organ transplantation. The high incidence of neoplasm and its aggressive progression, which are associated with immunosuppressive therapy, are thought to be due to the resulting impairment of the organ recipient's immune-surveillance system. Here we report a mechanism for the heightened malignancy that is independent of host immunity. We show that cyclosporine (cyclosporin A), an immunosuppressant that has had a major impact on improving patient outcome following organ transplantation, induces phenotypic changes, including invasiveness of non-transformed cells, by a cell-autonomous mechanism. Our studies show that cyclosporine treatment of adenocarcinoma cells results in striking morphological alterations, including membrane ruffling and numerous pseudopodial protrusions, increased cell motility, and anchorage-independent (invasive) growth. These changes are prevented by treatment with monoclonal antibodies directed at transforming growth factor-beta (TGF-beta). In vivo, cyclosporine enhances tumour growth in immunodeficient SCID-beige mice; anti-TGF-beta monoclonal antibodies but not control antibodies prevent the cyclosporine-induced increase in the number of metastases. Our findings suggest that immunosuppressants like cyclosporine can promote cancer progression by a direct cellular effect that is independent of its effect on the host's immune cells, and that cyclosporine-induced TGF-beta production is involved in this.","author":[{"dropping-particle":"","family":"Hojo","given":"Minoru","non-dropping-particle":"","parse-names":false,"suffix":""},{"dropping-particle":"","family":"Morimoto","given":"Takashi","non-dropping-particle":"","parse-names":false,"suffix":""},{"dropping-particle":"","family":"Maluccio","given":"Mary","non-dropping-particle":"","parse-names":false,"suffix":""},{"dropping-particle":"","family":"Asano","given":"Tomohiko","non-dropping-particle":"","parse-names":false,"suffix":""},{"dropping-particle":"","family":"Morimoto","given":"Kengo","non-dropping-particle":"","parse-names":false,"suffix":""},{"dropping-particle":"","family":"Lagman","given":"Milagros","non-dropping-particle":"","parse-names":false,"suffix":""},{"dropping-particle":"","family":"Shimbo","given":"Toshikazu","non-dropping-particle":"","parse-names":false,"suffix":""},{"dropping-particle":"","family":"Suthanthiran","given":"Manikkam","non-dropping-particle":"","parse-names":false,"suffix":""}],"container-title":"Nature","id":"ITEM-1","issue":"6719","issued":{"date-parts":[["1999","2","11"]]},"page":"530-534","title":"Cyclosporine induces cancer progression by a cell-autonomous mechanism","type":"article-journal","volume":"397"},"uris":["http://www.mendeley.com/documents/?uuid=19365ca3-1d43-3381-878b-f93006bac45c"]}],"mendeley":{"formattedCitation":"&lt;sup&gt;1&lt;/sup&gt;","plainTextFormattedCitation":"1","previouslyFormattedCitation":"&lt;sup&gt;1&lt;/sup&gt;"},"properties":{"noteIndex":0},"schema":"https://github.com/citation-style-language/schema/raw/master/csl-citation.json"}</w:instrText>
      </w:r>
      <w:r w:rsidR="00A86A11" w:rsidRPr="00F740D9">
        <w:rPr>
          <w:rFonts w:ascii="Book Antiqua" w:hAnsi="Book Antiqua"/>
          <w:color w:val="000000" w:themeColor="text1"/>
          <w:szCs w:val="24"/>
          <w:vertAlign w:val="superscript"/>
        </w:rPr>
        <w:fldChar w:fldCharType="separate"/>
      </w:r>
      <w:r w:rsidR="00A228B7" w:rsidRPr="00F740D9">
        <w:rPr>
          <w:rFonts w:ascii="Book Antiqua" w:hAnsi="Book Antiqua"/>
          <w:noProof/>
          <w:color w:val="000000" w:themeColor="text1"/>
          <w:szCs w:val="24"/>
          <w:vertAlign w:val="superscript"/>
        </w:rPr>
        <w:t>1</w:t>
      </w:r>
      <w:r w:rsidR="00A86A11" w:rsidRPr="00F740D9">
        <w:rPr>
          <w:rFonts w:ascii="Book Antiqua" w:hAnsi="Book Antiqua"/>
          <w:color w:val="000000" w:themeColor="text1"/>
          <w:szCs w:val="24"/>
          <w:vertAlign w:val="superscript"/>
        </w:rPr>
        <w:fldChar w:fldCharType="end"/>
      </w:r>
      <w:r w:rsidR="000A78AC" w:rsidRPr="00F740D9">
        <w:rPr>
          <w:rFonts w:ascii="Book Antiqua" w:hAnsi="Book Antiqua"/>
          <w:color w:val="000000" w:themeColor="text1"/>
          <w:szCs w:val="24"/>
          <w:vertAlign w:val="superscript"/>
        </w:rPr>
        <w:t>]</w:t>
      </w:r>
      <w:r w:rsidR="00A86A11" w:rsidRPr="00F740D9">
        <w:rPr>
          <w:rFonts w:ascii="Book Antiqua" w:hAnsi="Book Antiqua"/>
          <w:color w:val="000000" w:themeColor="text1"/>
          <w:szCs w:val="24"/>
        </w:rPr>
        <w:t xml:space="preserve"> </w:t>
      </w:r>
      <w:r w:rsidR="00D5602F" w:rsidRPr="00F740D9">
        <w:rPr>
          <w:rFonts w:ascii="Book Antiqua" w:hAnsi="Book Antiqua"/>
          <w:color w:val="000000" w:themeColor="text1"/>
          <w:szCs w:val="24"/>
        </w:rPr>
        <w:t xml:space="preserve">and </w:t>
      </w:r>
      <w:r w:rsidR="00A86A11" w:rsidRPr="00F740D9">
        <w:rPr>
          <w:rFonts w:ascii="Book Antiqua" w:hAnsi="Book Antiqua"/>
          <w:color w:val="000000" w:themeColor="text1"/>
          <w:szCs w:val="24"/>
        </w:rPr>
        <w:t xml:space="preserve">studies have demonstrated </w:t>
      </w:r>
      <w:r w:rsidR="00D5602F" w:rsidRPr="00F740D9">
        <w:rPr>
          <w:rFonts w:ascii="Book Antiqua" w:hAnsi="Book Antiqua"/>
          <w:color w:val="000000" w:themeColor="text1"/>
          <w:szCs w:val="24"/>
        </w:rPr>
        <w:t xml:space="preserve">a dose-dependent </w:t>
      </w:r>
      <w:r w:rsidR="00B9449F" w:rsidRPr="00F740D9">
        <w:rPr>
          <w:rFonts w:ascii="Book Antiqua" w:hAnsi="Book Antiqua"/>
          <w:color w:val="000000" w:themeColor="text1"/>
          <w:szCs w:val="24"/>
        </w:rPr>
        <w:t>relationship with</w:t>
      </w:r>
      <w:r w:rsidR="00D5602F" w:rsidRPr="00F740D9">
        <w:rPr>
          <w:rFonts w:ascii="Book Antiqua" w:hAnsi="Book Antiqua"/>
          <w:color w:val="000000" w:themeColor="text1"/>
          <w:szCs w:val="24"/>
        </w:rPr>
        <w:t xml:space="preserve"> tumour recurrence in patients transplanted for hepatocellular carcinoma (HCC)</w:t>
      </w:r>
      <w:r w:rsidR="000A78AC" w:rsidRPr="00F740D9">
        <w:rPr>
          <w:rFonts w:ascii="Book Antiqua" w:hAnsi="Book Antiqua"/>
          <w:color w:val="000000" w:themeColor="text1"/>
          <w:szCs w:val="24"/>
          <w:vertAlign w:val="superscript"/>
        </w:rPr>
        <w:t>[</w:t>
      </w:r>
      <w:r w:rsidR="00D5602F" w:rsidRPr="00F740D9">
        <w:rPr>
          <w:rFonts w:ascii="Book Antiqua" w:hAnsi="Book Antiqua"/>
          <w:color w:val="000000" w:themeColor="text1"/>
          <w:szCs w:val="24"/>
          <w:vertAlign w:val="superscript"/>
        </w:rPr>
        <w:fldChar w:fldCharType="begin" w:fldLock="1"/>
      </w:r>
      <w:r w:rsidR="00A228B7" w:rsidRPr="00F740D9">
        <w:rPr>
          <w:rFonts w:ascii="Book Antiqua" w:hAnsi="Book Antiqua"/>
          <w:color w:val="000000" w:themeColor="text1"/>
          <w:szCs w:val="24"/>
          <w:vertAlign w:val="superscript"/>
        </w:rPr>
        <w:instrText>ADDIN CSL_CITATION {"citationItems":[{"id":"ITEM-1","itemData":{"DOI":"10.1002/lt.20391","ISSN":"1527-6465","PMID":"15838913","abstract":"To confirm recent observations about the relationship between immunosuppression and the recurrence of hepatocellular carcinoma (HCC) after liver transplantation (LT), we retrospectively analyzed 70 consecutive HCC patients who underwent LT and received cyclosporine (CsA)-based immunosuppression. CsA trough blood levels, measured with the same technique (fluorescence polarization immunoassay), were analyzed at different time points after transplantation. The exposure to the drug was calculated with the trapezoidal rule in each patient. CsA was associated with steroids in 26 patients and steroids and azathioprine in 44 patients. HCC recurred in 7 patients (10.0%). Different immunosuppressive schedules (CsA and steroids vs. CsA, steroids, and azathioprine) or the cumulative dosage of steroids and azathioprine did not influence HCC recurrence that was associated instead with CsA exposure (278.3 +/- 86.4 ng/mL in recurrent vs. 169.9 +/- 33.3 in tumor-free patients; P &lt; 0.001); CsA exposure above 189.6 ng/mL was related to HCC recurrence at the receiver operating characteristic analysis (ROC). The relationship between CsA exposure; various clinical (sex, age, viral- vs. non-viral-related cirrhosis, preoperative vs. incidental diagnosis of HCC, alpha-fetoprotein [AFP] blood level), pathologic (pathologic tumor staging [pT] stage, presence of Milan criteria), and histologic (grading, presence of microvascular tumor invasion) parameters; and tumor recurrence were assessed. AFP (P = 0.032), microvascular tumor invasion (P = 0.044), and CsA exposure (P &lt; 0.001) influenced recurrence-free survival at the univariate analysis; CsA exposure was the only independent prognostic determinant at multivariate analysis (P &lt; 0.001). High CsA exposure favors tumor recurrence; CsA blood levels should be kept to the effective minimum in HCC patients. In the presence of pathologic and histologic risk factors, specific immunosuppressive protocols should be considered.","author":[{"dropping-particle":"","family":"Vivarelli","given":"Marco","non-dropping-particle":"","parse-names":false,"suffix":""},{"dropping-particle":"","family":"Cucchetti","given":"Alessandro","non-dropping-particle":"","parse-names":false,"suffix":""},{"dropping-particle":"","family":"Piscaglia","given":"Fabio","non-dropping-particle":"","parse-names":false,"suffix":""},{"dropping-particle":"","family":"Barba","given":"Giuliano","non-dropping-particle":"La","parse-names":false,"suffix":""},{"dropping-particle":"","family":"Bolondi","given":"Luigi","non-dropping-particle":"","parse-names":false,"suffix":""},{"dropping-particle":"","family":"Cavallari","given":"Antonino","non-dropping-particle":"","parse-names":false,"suffix":""},{"dropping-particle":"","family":"Pinna","given":"Antonio Daniele","non-dropping-particle":"","parse-names":false,"suffix":""}],"container-title":"Liver Transplantation","id":"ITEM-1","issue":"5","issued":{"date-parts":[["2005","5"]]},"page":"497-503","title":"Analysis of risk factors for tumor recurrence after liver transplantation for hepatocellular carcinoma: Key role of immunosuppression","type":"article-journal","volume":"11"},"uris":["http://www.mendeley.com/documents/?uuid=0bd6223a-af78-35a2-a85f-324f2ab20d28"]},{"id":"ITEM-2","itemData":{"DOI":"10.1016/j.jhep.2013.07.012","ISSN":"01688278","abstract":"Background &amp; Aims Recurrence of hepatocellular carcinoma (HCC) is a major complication after liver transplantation (LT). The initial immunosuppression protocol may influence HCC recurrence, but the optimal regimen is still unknown. Methods 219 HCC consecutive patients under Milan criteria, who received an LT at 2 European centres between 2000 and 2010, were included. Median follow-up was 51 months (IQR 26-93). Demographic characteristics, HCC features, and immunosuppression protocol within the first month after LT were evaluated against HCC recurrence by using Cox regression. Results In the explanted liver, 110 patients (50%) had multinodular HCC, and largest nodule diameter was 3 ± 2.1 cm. Macrovascular invasion was incidentally detected in 11 patients (5%), and microvascular invasion was present in 41 patients (18.7%). HCC recurrence rates were 13.3% at 3 years and 17.6% at 5 years. HCC recurrence was not influenced by the use/non-use of steroids and antimetabolites (p = 0.69 and p = 0.70 respectively), and was similar with tacrolimus or cyclosporine (p = 0.25). Higher exposure to calcineurin inhibitors within the first month after LT (mean tacrolimus trough concentrations &gt;10 ng/ml or cyclosporine trough concentrations &gt;300 ng/ml), but not thereafter, was associated with increased risk of HCC recurrence (27.7% vs. 14.7% at 5 years; p = 0.007). The independent predictors of HCC recurrence by multivariate analysis were: high exposure to calcineurin inhibitors defined as above (RR = 2.82; p = 0.005), diameter of the largest nodule (RR = 1.31; p &lt;0.001), microvascular invasion (RR = 2.98; p = 0.003) and macrovascular invasion (RR = 4.57; p = 0.003). Conclusions Immunosuppression protocols with early CNI minimization should be preferred in LT patients with HCC in order to minimize tumour recurrence. © 2013 European Association for the Study of the Liver. Published.","author":[{"dropping-particle":"","family":"Rodríguez-Perálvarez","given":"Manuel","non-dropping-particle":"","parse-names":false,"suffix":""},{"dropping-particle":"","family":"Tsochatzis","given":"Emmanuel","non-dropping-particle":"","parse-names":false,"suffix":""},{"dropping-particle":"","family":"Naveas","given":"María Carmen","non-dropping-particle":"","parse-names":false,"suffix":""},{"dropping-particle":"","family":"Pieri","given":"Giulia","non-dropping-particle":"","parse-names":false,"suffix":""},{"dropping-particle":"","family":"García-Caparrós","given":"Carmen","non-dropping-particle":"","parse-names":false,"suffix":""},{"dropping-particle":"","family":"O'Beirne","given":"James","non-dropping-particle":"","parse-names":false,"suffix":""},{"dropping-particle":"","family":"Poyato-González","given":"Antonio","non-dropping-particle":"","parse-names":false,"suffix":""},{"dropping-particle":"","family":"Ferrín-Sánchez","given":"Gustavo","non-dropping-particle":"","parse-names":false,"suffix":""},{"dropping-particle":"","family":"Montero-Álvarez","given":"Jose Luis","non-dropping-particle":"","parse-names":false,"suffix":""},{"dropping-particle":"","family":"Patch","given":"David","non-dropping-particle":"","parse-names":false,"suffix":""},{"dropping-particle":"","family":"Thorburn","given":"Douglas","non-dropping-particle":"","parse-names":false,"suffix":""},{"dropping-particle":"","family":"Briceño","given":"Javier","non-dropping-particle":"","parse-names":false,"suffix":""},{"dropping-particle":"","family":"La Mata","given":"Manuel","non-dropping-particle":"De","parse-names":false,"suffix":""},{"dropping-particle":"","family":"Burroughs","given":"Andrew Kenneth","non-dropping-particle":"","parse-names":false,"suffix":""}],"container-title":"Journal of Hepatology","id":"ITEM-2","issue":"6","issued":{"date-parts":[["2013","12"]]},"page":"1193-1199","title":"Reduced exposure to calcineurin inhibitors early after liver transplantation prevents recurrence of hepatocellular carcinoma","type":"article-journal","volume":"59"},"uris":["http://www.mendeley.com/documents/?uuid=48e8d04c-f58d-31f2-8418-c558a152525b"]}],"mendeley":{"formattedCitation":"&lt;sup&gt;2,3&lt;/sup&gt;","plainTextFormattedCitation":"2,3","previouslyFormattedCitation":"&lt;sup&gt;2,3&lt;/sup&gt;"},"properties":{"noteIndex":0},"schema":"https://github.com/citation-style-language/schema/raw/master/csl-citation.json"}</w:instrText>
      </w:r>
      <w:r w:rsidR="00D5602F" w:rsidRPr="00F740D9">
        <w:rPr>
          <w:rFonts w:ascii="Book Antiqua" w:hAnsi="Book Antiqua"/>
          <w:color w:val="000000" w:themeColor="text1"/>
          <w:szCs w:val="24"/>
          <w:vertAlign w:val="superscript"/>
        </w:rPr>
        <w:fldChar w:fldCharType="separate"/>
      </w:r>
      <w:r w:rsidR="00A228B7" w:rsidRPr="00F740D9">
        <w:rPr>
          <w:rFonts w:ascii="Book Antiqua" w:hAnsi="Book Antiqua"/>
          <w:noProof/>
          <w:color w:val="000000" w:themeColor="text1"/>
          <w:szCs w:val="24"/>
          <w:vertAlign w:val="superscript"/>
        </w:rPr>
        <w:t>2,3</w:t>
      </w:r>
      <w:r w:rsidR="00D5602F" w:rsidRPr="00F740D9">
        <w:rPr>
          <w:rFonts w:ascii="Book Antiqua" w:hAnsi="Book Antiqua"/>
          <w:color w:val="000000" w:themeColor="text1"/>
          <w:szCs w:val="24"/>
          <w:vertAlign w:val="superscript"/>
        </w:rPr>
        <w:fldChar w:fldCharType="end"/>
      </w:r>
      <w:r w:rsidR="000A78AC" w:rsidRPr="00F740D9">
        <w:rPr>
          <w:rFonts w:ascii="Book Antiqua" w:hAnsi="Book Antiqua"/>
          <w:color w:val="000000" w:themeColor="text1"/>
          <w:szCs w:val="24"/>
          <w:vertAlign w:val="superscript"/>
        </w:rPr>
        <w:t>]</w:t>
      </w:r>
      <w:r w:rsidR="00D5602F" w:rsidRPr="00F740D9">
        <w:rPr>
          <w:rFonts w:ascii="Book Antiqua" w:hAnsi="Book Antiqua"/>
          <w:color w:val="000000" w:themeColor="text1"/>
          <w:szCs w:val="24"/>
        </w:rPr>
        <w:t xml:space="preserve">. </w:t>
      </w:r>
      <w:r w:rsidR="00A86A11" w:rsidRPr="00F740D9">
        <w:rPr>
          <w:rFonts w:ascii="Book Antiqua" w:hAnsi="Book Antiqua"/>
          <w:color w:val="000000" w:themeColor="text1"/>
          <w:szCs w:val="24"/>
        </w:rPr>
        <w:t xml:space="preserve">In contrast, </w:t>
      </w:r>
      <w:r w:rsidR="00651CC7" w:rsidRPr="00F740D9">
        <w:rPr>
          <w:rFonts w:ascii="Book Antiqua" w:hAnsi="Book Antiqua"/>
          <w:color w:val="000000" w:themeColor="text1"/>
          <w:szCs w:val="24"/>
        </w:rPr>
        <w:t>mammalian target of rapamycin</w:t>
      </w:r>
      <w:r w:rsidR="00E8530E" w:rsidRPr="00F740D9">
        <w:rPr>
          <w:rFonts w:ascii="Book Antiqua" w:hAnsi="Book Antiqua"/>
          <w:color w:val="000000" w:themeColor="text1"/>
          <w:szCs w:val="24"/>
        </w:rPr>
        <w:t xml:space="preserve"> (mTOR)</w:t>
      </w:r>
      <w:r w:rsidR="00651CC7" w:rsidRPr="00F740D9">
        <w:rPr>
          <w:rFonts w:ascii="Book Antiqua" w:hAnsi="Book Antiqua"/>
          <w:color w:val="000000" w:themeColor="text1"/>
          <w:szCs w:val="24"/>
        </w:rPr>
        <w:t xml:space="preserve"> inhibitor</w:t>
      </w:r>
      <w:r w:rsidR="00E8530E" w:rsidRPr="00F740D9">
        <w:rPr>
          <w:rFonts w:ascii="Book Antiqua" w:hAnsi="Book Antiqua"/>
          <w:color w:val="000000" w:themeColor="text1"/>
          <w:szCs w:val="24"/>
        </w:rPr>
        <w:t>s</w:t>
      </w:r>
      <w:r w:rsidR="00352CE6" w:rsidRPr="00F740D9">
        <w:rPr>
          <w:rFonts w:ascii="Book Antiqua" w:hAnsi="Book Antiqua"/>
          <w:color w:val="000000" w:themeColor="text1"/>
          <w:szCs w:val="24"/>
        </w:rPr>
        <w:t>, such as sirolimus and everolimus,</w:t>
      </w:r>
      <w:r w:rsidR="00B9449F" w:rsidRPr="00F740D9">
        <w:rPr>
          <w:rFonts w:ascii="Book Antiqua" w:hAnsi="Book Antiqua"/>
          <w:color w:val="000000" w:themeColor="text1"/>
          <w:szCs w:val="24"/>
        </w:rPr>
        <w:t xml:space="preserve"> are</w:t>
      </w:r>
      <w:r w:rsidR="00E8530E" w:rsidRPr="00F740D9">
        <w:rPr>
          <w:rFonts w:ascii="Book Antiqua" w:hAnsi="Book Antiqua"/>
          <w:color w:val="000000" w:themeColor="text1"/>
          <w:szCs w:val="24"/>
        </w:rPr>
        <w:t xml:space="preserve"> suggested to </w:t>
      </w:r>
      <w:r w:rsidR="00B9449F" w:rsidRPr="00F740D9">
        <w:rPr>
          <w:rFonts w:ascii="Book Antiqua" w:hAnsi="Book Antiqua"/>
          <w:color w:val="000000" w:themeColor="text1"/>
          <w:szCs w:val="24"/>
        </w:rPr>
        <w:t xml:space="preserve">have </w:t>
      </w:r>
      <w:r w:rsidR="00E8530E" w:rsidRPr="00F740D9">
        <w:rPr>
          <w:rFonts w:ascii="Book Antiqua" w:hAnsi="Book Antiqua"/>
          <w:color w:val="000000" w:themeColor="text1"/>
          <w:szCs w:val="24"/>
        </w:rPr>
        <w:t>anti-tumour effect</w:t>
      </w:r>
      <w:r w:rsidR="00EE58CF">
        <w:rPr>
          <w:rFonts w:ascii="Book Antiqua" w:hAnsi="Book Antiqua"/>
          <w:color w:val="000000" w:themeColor="text1"/>
          <w:szCs w:val="24"/>
        </w:rPr>
        <w:t>s</w:t>
      </w:r>
      <w:r w:rsidR="00E8530E" w:rsidRPr="00F740D9">
        <w:rPr>
          <w:rFonts w:ascii="Book Antiqua" w:hAnsi="Book Antiqua"/>
          <w:color w:val="000000" w:themeColor="text1"/>
          <w:szCs w:val="24"/>
        </w:rPr>
        <w:t xml:space="preserve"> </w:t>
      </w:r>
      <w:r w:rsidR="00EE58CF">
        <w:rPr>
          <w:rFonts w:ascii="Book Antiqua" w:hAnsi="Book Antiqua"/>
          <w:color w:val="000000" w:themeColor="text1"/>
          <w:szCs w:val="24"/>
        </w:rPr>
        <w:t>by</w:t>
      </w:r>
      <w:r w:rsidR="00E8530E" w:rsidRPr="00F740D9">
        <w:rPr>
          <w:rFonts w:ascii="Book Antiqua" w:hAnsi="Book Antiqua"/>
          <w:color w:val="000000" w:themeColor="text1"/>
          <w:szCs w:val="24"/>
        </w:rPr>
        <w:t xml:space="preserve"> suppressing angiogenesis</w:t>
      </w:r>
      <w:r w:rsidR="000A78AC" w:rsidRPr="00F740D9">
        <w:rPr>
          <w:rFonts w:ascii="Book Antiqua" w:hAnsi="Book Antiqua"/>
          <w:color w:val="000000" w:themeColor="text1"/>
          <w:szCs w:val="24"/>
          <w:vertAlign w:val="superscript"/>
        </w:rPr>
        <w:t>[</w:t>
      </w:r>
      <w:r w:rsidR="00E8530E" w:rsidRPr="00F740D9">
        <w:rPr>
          <w:rFonts w:ascii="Book Antiqua" w:hAnsi="Book Antiqua"/>
          <w:color w:val="000000" w:themeColor="text1"/>
          <w:szCs w:val="24"/>
          <w:vertAlign w:val="superscript"/>
        </w:rPr>
        <w:fldChar w:fldCharType="begin" w:fldLock="1"/>
      </w:r>
      <w:r w:rsidR="00A228B7" w:rsidRPr="00F740D9">
        <w:rPr>
          <w:rFonts w:ascii="Book Antiqua" w:hAnsi="Book Antiqua"/>
          <w:color w:val="000000" w:themeColor="text1"/>
          <w:szCs w:val="24"/>
          <w:vertAlign w:val="superscript"/>
        </w:rPr>
        <w:instrText>ADDIN CSL_CITATION {"citationItems":[{"id":"ITEM-1","itemData":{"DOI":"10.1038/nm0202-128","ISSN":"10788956","abstract":"Conventional immunosuppressive drugs have been used effectively to prevent immunologic rejection in organ transplantation. Individuals taking these drugs are at risk, however, for the development and recurrence of cancer. In the present study we show that the new immunosuppressive drug rapamycin (RAPA) may reduce the risk of cancer development while simultaneously providing effective immunosuppression. Experimentally, RAPA inhibited metastatic tumor growth and angiogenesis in in vivo mouse models. In addition, normal immunosuppressive doses of RAPA effectively controlled the growth of established tumors. In contrast, the most widely recognized immunosuppressive drug, cyclosporine, promoted tumor growth. From a mechanistic perspective, RAPA showed antiangiogenic activities linked to a decrease in production of vascular endothelial growth factor (VEGF) and to a markedly inhibited response of vascular endothelial cells to stimulation by VEGF. Thus, the use of RAPA, instead of cyclosporine, may reduce the chance of recurrent or de novo cancer in high-risk transplant patients.","author":[{"dropping-particle":"","family":"Guba","given":"Markus","non-dropping-particle":"","parse-names":false,"suffix":""},{"dropping-particle":"","family":"Breitenbuch","given":"Philipp","non-dropping-particle":"Von","parse-names":false,"suffix":""},{"dropping-particle":"","family":"Steinbauer","given":"Markus","non-dropping-particle":"","parse-names":false,"suffix":""},{"dropping-particle":"","family":"Koehl","given":"Gudrun","non-dropping-particle":"","parse-names":false,"suffix":""},{"dropping-particle":"","family":"Flegel","given":"Stefanie","non-dropping-particle":"","parse-names":false,"suffix":""},{"dropping-particle":"","family":"Hornung","given":"Matthias","non-dropping-particle":"","parse-names":false,"suffix":""},{"dropping-particle":"","family":"Bruns","given":"Christiane J.","non-dropping-particle":"","parse-names":false,"suffix":""},{"dropping-particle":"","family":"Zuelke","given":"Carl","non-dropping-particle":"","parse-names":false,"suffix":""},{"dropping-particle":"","family":"Farkas","given":"Stefan","non-dropping-particle":"","parse-names":false,"suffix":""},{"dropping-particle":"","family":"Anthuber","given":"Matthias","non-dropping-particle":"","parse-names":false,"suffix":""},{"dropping-particle":"","family":"Jauch","given":"Karl Walter","non-dropping-particle":"","parse-names":false,"suffix":""},{"dropping-particle":"","family":"Geissler","given":"Edward K.","non-dropping-particle":"","parse-names":false,"suffix":""}],"container-title":"Nature Medicine","id":"ITEM-1","issue":"2","issued":{"date-parts":[["2002"]]},"page":"128-135","title":"Rapamycin inhibits primary and metastatic tumor growth by antiangiogenesis: Involvement of vascular endothelial growth factor","type":"article-journal","volume":"8"},"uris":["http://www.mendeley.com/documents/?uuid=e8c6c7b7-12cb-38e5-bf33-9a8b09cc4efd"]}],"mendeley":{"formattedCitation":"&lt;sup&gt;4&lt;/sup&gt;","plainTextFormattedCitation":"4","previouslyFormattedCitation":"&lt;sup&gt;4&lt;/sup&gt;"},"properties":{"noteIndex":0},"schema":"https://github.com/citation-style-language/schema/raw/master/csl-citation.json"}</w:instrText>
      </w:r>
      <w:r w:rsidR="00E8530E" w:rsidRPr="00F740D9">
        <w:rPr>
          <w:rFonts w:ascii="Book Antiqua" w:hAnsi="Book Antiqua"/>
          <w:color w:val="000000" w:themeColor="text1"/>
          <w:szCs w:val="24"/>
          <w:vertAlign w:val="superscript"/>
        </w:rPr>
        <w:fldChar w:fldCharType="separate"/>
      </w:r>
      <w:r w:rsidR="00A228B7" w:rsidRPr="00F740D9">
        <w:rPr>
          <w:rFonts w:ascii="Book Antiqua" w:hAnsi="Book Antiqua"/>
          <w:noProof/>
          <w:color w:val="000000" w:themeColor="text1"/>
          <w:szCs w:val="24"/>
          <w:vertAlign w:val="superscript"/>
        </w:rPr>
        <w:t>4</w:t>
      </w:r>
      <w:r w:rsidR="00E8530E" w:rsidRPr="00F740D9">
        <w:rPr>
          <w:rFonts w:ascii="Book Antiqua" w:hAnsi="Book Antiqua"/>
          <w:color w:val="000000" w:themeColor="text1"/>
          <w:szCs w:val="24"/>
          <w:vertAlign w:val="superscript"/>
        </w:rPr>
        <w:fldChar w:fldCharType="end"/>
      </w:r>
      <w:r w:rsidR="000A78AC" w:rsidRPr="00F740D9">
        <w:rPr>
          <w:rFonts w:ascii="Book Antiqua" w:hAnsi="Book Antiqua"/>
          <w:color w:val="000000" w:themeColor="text1"/>
          <w:szCs w:val="24"/>
          <w:vertAlign w:val="superscript"/>
        </w:rPr>
        <w:t>]</w:t>
      </w:r>
      <w:r w:rsidR="00B9449F" w:rsidRPr="00F740D9">
        <w:rPr>
          <w:rFonts w:ascii="Book Antiqua" w:hAnsi="Book Antiqua"/>
          <w:color w:val="000000" w:themeColor="text1"/>
          <w:szCs w:val="24"/>
        </w:rPr>
        <w:t xml:space="preserve"> </w:t>
      </w:r>
      <w:r w:rsidR="00E8530E" w:rsidRPr="00F740D9">
        <w:rPr>
          <w:rFonts w:ascii="Book Antiqua" w:hAnsi="Book Antiqua"/>
          <w:color w:val="000000" w:themeColor="text1"/>
          <w:szCs w:val="24"/>
        </w:rPr>
        <w:t>and cellular proliferation</w:t>
      </w:r>
      <w:r w:rsidR="000A78AC" w:rsidRPr="00F740D9">
        <w:rPr>
          <w:rFonts w:ascii="Book Antiqua" w:hAnsi="Book Antiqua"/>
          <w:color w:val="000000" w:themeColor="text1"/>
          <w:szCs w:val="24"/>
          <w:vertAlign w:val="superscript"/>
        </w:rPr>
        <w:t>[</w:t>
      </w:r>
      <w:r w:rsidR="00E8530E" w:rsidRPr="00F740D9">
        <w:rPr>
          <w:rFonts w:ascii="Book Antiqua" w:hAnsi="Book Antiqua"/>
          <w:color w:val="000000" w:themeColor="text1"/>
          <w:szCs w:val="24"/>
          <w:vertAlign w:val="superscript"/>
        </w:rPr>
        <w:fldChar w:fldCharType="begin" w:fldLock="1"/>
      </w:r>
      <w:r w:rsidR="00A228B7" w:rsidRPr="00F740D9">
        <w:rPr>
          <w:rFonts w:ascii="Book Antiqua" w:hAnsi="Book Antiqua"/>
          <w:color w:val="000000" w:themeColor="text1"/>
          <w:szCs w:val="24"/>
          <w:vertAlign w:val="superscript"/>
        </w:rPr>
        <w:instrText>ADDIN CSL_CITATION {"citationItems":[{"id":"ITEM-1","itemData":{"DOI":"10.1016/s0009-9120(98)00045-9","ISSN":"0009-9120","PMID":"9721431","abstract":"OBJECTIVE Rapamune is a novel immunosuppressive agent in Phase III clinical trial in renal transplantation. Its unique mechanism of action has created great interest in its use as a biochemical probe of signal transduction pathways that has provided insight into its molecular mechanism of action. This article reviews the current state of our understanding of the mechanism of action of rapamune.","author":[{"dropping-particle":"","family":"Sehgal","given":"S N","non-dropping-particle":"","parse-names":false,"suffix":""}],"container-title":"Clinical biochemistry","id":"ITEM-1","issue":"5","issued":{"date-parts":[["1998","7"]]},"page":"335-40","title":"Rapamune (RAPA, rapamycin, sirolimus): mechanism of action immunosuppressive effect results from blockade of signal transduction and inhibition of cell cycle progression.","type":"article-journal","volume":"31"},"uris":["http://www.mendeley.com/documents/?uuid=dd711ae5-8fd5-3501-9061-6dda2948295e"]}],"mendeley":{"formattedCitation":"&lt;sup&gt;5&lt;/sup&gt;","plainTextFormattedCitation":"5","previouslyFormattedCitation":"&lt;sup&gt;5&lt;/sup&gt;"},"properties":{"noteIndex":0},"schema":"https://github.com/citation-style-language/schema/raw/master/csl-citation.json"}</w:instrText>
      </w:r>
      <w:r w:rsidR="00E8530E" w:rsidRPr="00F740D9">
        <w:rPr>
          <w:rFonts w:ascii="Book Antiqua" w:hAnsi="Book Antiqua"/>
          <w:color w:val="000000" w:themeColor="text1"/>
          <w:szCs w:val="24"/>
          <w:vertAlign w:val="superscript"/>
        </w:rPr>
        <w:fldChar w:fldCharType="separate"/>
      </w:r>
      <w:r w:rsidR="00A228B7" w:rsidRPr="00F740D9">
        <w:rPr>
          <w:rFonts w:ascii="Book Antiqua" w:hAnsi="Book Antiqua"/>
          <w:noProof/>
          <w:color w:val="000000" w:themeColor="text1"/>
          <w:szCs w:val="24"/>
          <w:vertAlign w:val="superscript"/>
        </w:rPr>
        <w:t>5</w:t>
      </w:r>
      <w:r w:rsidR="00E8530E" w:rsidRPr="00F740D9">
        <w:rPr>
          <w:rFonts w:ascii="Book Antiqua" w:hAnsi="Book Antiqua"/>
          <w:color w:val="000000" w:themeColor="text1"/>
          <w:szCs w:val="24"/>
          <w:vertAlign w:val="superscript"/>
        </w:rPr>
        <w:fldChar w:fldCharType="end"/>
      </w:r>
      <w:r w:rsidR="000A78AC" w:rsidRPr="00F740D9">
        <w:rPr>
          <w:rFonts w:ascii="Book Antiqua" w:hAnsi="Book Antiqua"/>
          <w:color w:val="000000" w:themeColor="text1"/>
          <w:szCs w:val="24"/>
          <w:vertAlign w:val="superscript"/>
        </w:rPr>
        <w:t>]</w:t>
      </w:r>
      <w:r w:rsidR="00E8530E" w:rsidRPr="00F740D9">
        <w:rPr>
          <w:rFonts w:ascii="Book Antiqua" w:hAnsi="Book Antiqua"/>
          <w:color w:val="000000" w:themeColor="text1"/>
          <w:szCs w:val="24"/>
        </w:rPr>
        <w:t xml:space="preserve">. </w:t>
      </w:r>
      <w:r w:rsidR="00B9449F" w:rsidRPr="00F740D9">
        <w:rPr>
          <w:rFonts w:ascii="Book Antiqua" w:hAnsi="Book Antiqua"/>
          <w:color w:val="000000" w:themeColor="text1"/>
          <w:szCs w:val="24"/>
        </w:rPr>
        <w:t xml:space="preserve">mTOR inhibitors have been </w:t>
      </w:r>
      <w:r w:rsidR="00EE58CF">
        <w:rPr>
          <w:rFonts w:ascii="Book Antiqua" w:hAnsi="Book Antiqua"/>
          <w:color w:val="000000" w:themeColor="text1"/>
          <w:szCs w:val="24"/>
        </w:rPr>
        <w:t>given to</w:t>
      </w:r>
      <w:r w:rsidR="00B9449F" w:rsidRPr="00F740D9">
        <w:rPr>
          <w:rFonts w:ascii="Book Antiqua" w:hAnsi="Book Antiqua"/>
          <w:color w:val="000000" w:themeColor="text1"/>
          <w:szCs w:val="24"/>
        </w:rPr>
        <w:t xml:space="preserve"> patients engrafted for HCC</w:t>
      </w:r>
      <w:r w:rsidR="005E4413" w:rsidRPr="00F740D9">
        <w:rPr>
          <w:rFonts w:ascii="Book Antiqua" w:hAnsi="Book Antiqua"/>
          <w:color w:val="000000" w:themeColor="text1"/>
          <w:szCs w:val="24"/>
        </w:rPr>
        <w:t xml:space="preserve"> with</w:t>
      </w:r>
      <w:r w:rsidR="00B9449F" w:rsidRPr="00F740D9">
        <w:rPr>
          <w:rFonts w:ascii="Book Antiqua" w:hAnsi="Book Antiqua"/>
          <w:color w:val="000000" w:themeColor="text1"/>
          <w:szCs w:val="24"/>
        </w:rPr>
        <w:t xml:space="preserve"> </w:t>
      </w:r>
      <w:r w:rsidR="00352CE6" w:rsidRPr="00F740D9">
        <w:rPr>
          <w:rFonts w:ascii="Book Antiqua" w:hAnsi="Book Antiqua"/>
          <w:color w:val="000000" w:themeColor="text1"/>
          <w:szCs w:val="24"/>
        </w:rPr>
        <w:t>encouraging</w:t>
      </w:r>
      <w:r w:rsidR="00B9449F" w:rsidRPr="00F740D9">
        <w:rPr>
          <w:rFonts w:ascii="Book Antiqua" w:hAnsi="Book Antiqua"/>
          <w:color w:val="000000" w:themeColor="text1"/>
          <w:szCs w:val="24"/>
        </w:rPr>
        <w:t xml:space="preserve"> results.</w:t>
      </w:r>
      <w:r w:rsidR="000E6A25" w:rsidRPr="00F740D9">
        <w:rPr>
          <w:rFonts w:ascii="Book Antiqua" w:hAnsi="Book Antiqua"/>
          <w:color w:val="000000" w:themeColor="text1"/>
          <w:szCs w:val="24"/>
        </w:rPr>
        <w:t xml:space="preserve"> Their oncological benefits were supported by the findings </w:t>
      </w:r>
      <w:r w:rsidR="00EE58CF">
        <w:rPr>
          <w:rFonts w:ascii="Book Antiqua" w:hAnsi="Book Antiqua"/>
          <w:color w:val="000000" w:themeColor="text1"/>
          <w:szCs w:val="24"/>
        </w:rPr>
        <w:t xml:space="preserve">in </w:t>
      </w:r>
      <w:r w:rsidR="00AF42D6" w:rsidRPr="00F740D9">
        <w:rPr>
          <w:rFonts w:ascii="Book Antiqua" w:hAnsi="Book Antiqua"/>
          <w:color w:val="000000" w:themeColor="text1"/>
          <w:szCs w:val="24"/>
        </w:rPr>
        <w:t>numerous retrospective</w:t>
      </w:r>
      <w:r w:rsidR="000A78AC" w:rsidRPr="00F740D9">
        <w:rPr>
          <w:rFonts w:ascii="Book Antiqua" w:hAnsi="Book Antiqua"/>
          <w:color w:val="000000" w:themeColor="text1"/>
          <w:szCs w:val="24"/>
          <w:vertAlign w:val="superscript"/>
        </w:rPr>
        <w:t>[</w:t>
      </w:r>
      <w:r w:rsidR="00AF42D6" w:rsidRPr="00F740D9">
        <w:rPr>
          <w:rFonts w:ascii="Book Antiqua" w:hAnsi="Book Antiqua"/>
          <w:color w:val="000000" w:themeColor="text1"/>
          <w:szCs w:val="24"/>
          <w:vertAlign w:val="superscript"/>
        </w:rPr>
        <w:fldChar w:fldCharType="begin" w:fldLock="1"/>
      </w:r>
      <w:r w:rsidR="00A228B7" w:rsidRPr="00F740D9">
        <w:rPr>
          <w:rFonts w:ascii="Book Antiqua" w:hAnsi="Book Antiqua"/>
          <w:color w:val="000000" w:themeColor="text1"/>
          <w:szCs w:val="24"/>
          <w:vertAlign w:val="superscript"/>
        </w:rPr>
        <w:instrText>ADDIN CSL_CITATION {"citationItems":[{"id":"ITEM-1","itemData":{"DOI":"10.1111/apt.12185","ISSN":"02692813","abstract":"Background The use of sirolimus (SRL)-based immunosuppression protocols have been reported to reduce recurrence rates following liver transplantation (LT) for hepatocellular carcinoma (HCC), although this is still a matter for debate. Aim To undertake a systematic review and meta-analysis of available literature on the usage of SRL as an immunosuppressive agent following LT for HCC, with a view to comparing cancer outcomes with the commonly used calcineurin inhibitors (CNIs). Methods Systematic review and meta-analysis carried out in line with the Meta-analysis Of Observational Studies in Epidemiology (MOOSE) guidelines. Primary outcomes of interest were tumour recurrence rate and recurrence-free survival (RFS). Secondary outcomes were recurrence-related mortality and overall survival (OS). Results In all, 5 studies met the inclusion criteria (n = 474). The recurrence rate was lower in SRL group (4.9-12.9%) in comparison with CNIs (17.3-38.7%). The 1-, 3- and 5-year RFS was 93-96%, 82-86% and 79-80% for SRL group, which was much better in comparison with the CNIs 70-78%, 64-65% and 54-60% respectively. Similarly, 1-, 3- and 5-year OS was much better for SRL group (94-95%, 85% and 80%) in comparison with CNIs (79-83%, 66% and 59-62%) respectively. Meta-analysis demonstrated lower recurrence (OR = 0.30, 95% CI = 0.16-0.55, P &lt; 0.001), lower recurrence-related mortality (OR = 0.29, 95% CI = 0.12-0.70, P = 0.005) and lower overall mortality (OR = 0.35, 95% CI = 0.20-0.61, P &lt; 0.001) for SRL group. Conclusion The review showed lower recurrence rate, longer recurrence-free survival and overall survival and lower recurrence-related mortality in sirolimus-treated patients in comparison with the calcineurin inhibitor-treated patients following liver transplantation for hepatocellular carcinoma. © 2012 Blackwell Publishing Ltd.","author":[{"dropping-particle":"V.","family":"Menon","given":"K.","non-dropping-particle":"","parse-names":false,"suffix":""},{"dropping-particle":"","family":"Hakeem","given":"A. R.","non-dropping-particle":"","parse-names":false,"suffix":""},{"dropping-particle":"","family":"Heaton","given":"N. D.","non-dropping-particle":"","parse-names":false,"suffix":""}],"container-title":"Alimentary Pharmacology and Therapeutics","id":"ITEM-1","issue":"4","issued":{"date-parts":[["2013","2"]]},"page":"411-419","title":"Meta-analysis: Recurrence and survival following the use of sirolimus in liver transplantation for hepatocellular carcinoma","type":"article-journal","volume":"37"},"uris":["http://www.mendeley.com/documents/?uuid=a97f39a0-777c-3b85-8113-3013b52bae48"]},{"id":"ITEM-2","itemData":{"DOI":"10.1002/lt.22441","ISSN":"15276465","PMID":"21964956","abstract":"Sirolimus (SRL) is a novel immunosuppressant with antitumor properties. We performed a meta-analysis to determine whether SRL can improve patient survival and decrease the risks of tumor recurrence in patients with a pretransplant diagnosis of hepatocellular carcinoma (HCC). We searched databases for controlled clinical trials assessing the survival and oncological benefits of SRL for liver transplant recipients with pretransplant HCC. Five studies with a total of 2950 participants were included in this study. In comparison with SRL-free regimens, SRL-based regimens improved overall survival at 1 [odds ratio (OR) = 4.53, 95% confidence interval (95% CI) = 2.31-8.89], 3 (OR = 1.97, 95% CI = 1.29-3.00), and 5 years (OR = 2.47, 95% CI = 1.72-3.55). The pooled results showed that in comparison with SRL-free regimens, SRL-based regimens decreased tumor recurrence (OR = 0.42, 95% CI = 0.21-0.83). No significant differences in the frequencies of episodes of major posttransplant complications were observed between the groups. In conclusion, SRL is generally safe and prolongs patient survival in liver transplant recipients with pretransplant HCC.","author":[{"dropping-particle":"","family":"Liang","given":"Wenhua","non-dropping-particle":"","parse-names":false,"suffix":""},{"dropping-particle":"","family":"Wang","given":"Dongping","non-dropping-particle":"","parse-names":false,"suffix":""},{"dropping-particle":"","family":"Ling","given":"Xiaoting","non-dropping-particle":"","parse-names":false,"suffix":""},{"dropping-particle":"","family":"Allen Kao","given":"Andrew","non-dropping-particle":"","parse-names":false,"suffix":""},{"dropping-particle":"","family":"Kong","given":"Yuan","non-dropping-particle":"","parse-names":false,"suffix":""},{"dropping-particle":"","family":"Shang","given":"Yushu","non-dropping-particle":"","parse-names":false,"suffix":""},{"dropping-particle":"","family":"Guo","given":"Zhiyong","non-dropping-particle":"","parse-names":false,"suffix":""},{"dropping-particle":"","family":"He","given":"Xiaoshun","non-dropping-particle":"","parse-names":false,"suffix":""}],"container-title":"Liver Transplantation","id":"ITEM-2","issue":"1","issued":{"date-parts":[["2012","1"]]},"page":"62-69","title":"Sirolimus-based immunosuppression in liver transplantation for hepatocellular carcinoma: A meta-analysis","type":"article-journal","volume":"18"},"uris":["http://www.mendeley.com/documents/?uuid=d911277e-d813-3cdf-9b63-d4ac0ed7d4d4"]},{"id":"ITEM-3","itemData":{"DOI":"10.1002/lt.21953","ISSN":"15276465","PMID":"19938137","abstract":"Tumor recurrence after liver transplantation for hepatocellular carcinoma is associated with a poor prognosis. Because immunosuppression is a well-known risk factor for tumor growth, it is surprising that its possible role in the outcome of liver transplantation has been poorly evaluated. We performed a case-control review of prospectively collected data and compared 2 groups of patients according to the type of immunosuppression after liver transplantation for hepatocellular carcinoma at a single center. One hundred six patients received tacrolimus and mycophenolate mofetil, and 121 received sirolimus. Patients in the sirolimus group had significantly higher recurrence-free survival rates than patients in the tacrolimus group (P = 0.0003). The sirolimus group also had significantly higher patient survival rates than the tacrolimus group at 1 year (94% versus 79%), 3 years (85% versus 66%), and 5 years (80% versus 59%; P = 0.001). Sirolimus was well tolerated, and the patients in this study did not have the increase in surgical complications noted by other investigators. Leukopenia was the most common side effect, but it typically resolved with dose reduction. Dyslipidemia and mouth ulcers were common but were easily controlled. In summary, the data suggest a beneficial effect of sirolimus immunosuppression on recurrence-free survival, which translates into patient survival benefits.","author":[{"dropping-particle":"","family":"Chinnakotla","given":"Srinath","non-dropping-particle":"","parse-names":false,"suffix":""},{"dropping-particle":"","family":"Davis","given":"Gary L.","non-dropping-particle":"","parse-names":false,"suffix":""},{"dropping-particle":"","family":"Vasani","given":"Sugam","non-dropping-particle":"","parse-names":false,"suffix":""},{"dropping-particle":"","family":"Kim","given":"Peter","non-dropping-particle":"","parse-names":false,"suffix":""},{"dropping-particle":"","family":"Tomiyama","given":"Koji","non-dropping-particle":"","parse-names":false,"suffix":""},{"dropping-particle":"","family":"Sanchez","given":"Edmund","non-dropping-particle":"","parse-names":false,"suffix":""},{"dropping-particle":"","family":"Onaca","given":"Nicholas","non-dropping-particle":"","parse-names":false,"suffix":""},{"dropping-particle":"","family":"Goldstein","given":"Robert","non-dropping-particle":"","parse-names":false,"suffix":""},{"dropping-particle":"","family":"Levy","given":"Marlon","non-dropping-particle":"","parse-names":false,"suffix":""},{"dropping-particle":"","family":"Klintmalm","given":"GÃ¶ran B.","non-dropping-particle":"","parse-names":false,"suffix":""}],"container-title":"Liver Transplantation","id":"ITEM-3","issue":"12","issued":{"date-parts":[["2009","12"]]},"page":"1834-1842","title":"Impact of sirolimus on the recurrence of hepatocellular carcinoma after liver transplantation","type":"article-journal","volume":"15"},"uris":["http://www.mendeley.com/documents/?uuid=50c9f438-5b66-3b52-8550-1ea10ccf0fa6"]},{"id":"ITEM-4","itemData":{"DOI":"10.1002/hep.23437","ISSN":"02709139","PMID":"20187107","abstract":"UNLABELLED Liver transplantation is an important treatment option for selected patients with nonresectable hepatocellular carcinoma (HCC). Several reports have suggested a lower risk of posttransplant tumor recurrence with the use of sirolimus and a higher one with calcineurin inhibitors, but the selection of an ideal immunosuppression protocol is still a matter of debate. The aim of this study was to define the immunosuppression associated with the best survival after liver transplantation for HCC. It was based on the Scientific Registry of Transplant Recipients and included 2,491 adult recipients of isolated liver transplantation for HCC and 12,167 for non-HCC diagnoses between March 2002 and March 2009. All patients remained on stable maintenance immunosuppression protocols for at least 6 months posttransplant. In a multivariate analysis, only anti-CD25 antibody induction and sirolimus-based maintenance therapy were associated with improved survivals after transplantation for HCC (hazard ratio [HR] 0.64, 95% confidence interval [CI]: 0.45-0.9, P &lt; or = 0.01; HR 0.53, 95% CI: 0.31-0.92, P &lt; or = 0.05, respectively). The other studied drugs, including calcineurin inhibitors, did not demonstrate a significant impact. In an effort to understand whether the observed effects were due to a direct impact of the drug on tumor or more on liver transplant in general, we conducted a similar analysis on non-HCC patients. Although anti-CD25 induction was again associated with a trend toward improved survival, sirolimus showed a trend toward lower rates of survival in non-HCC recipients, confirming the specificity of its beneficial impact to cancer patients. CONCLUSION According to these data, sirolimus-based immunosuppression has unique posttransplant effects on HCC patients that lead to improved survival.","author":[{"dropping-particle":"","family":"Toso","given":"Christian","non-dropping-particle":"","parse-names":false,"suffix":""},{"dropping-particle":"","family":"Merani","given":"Shaheed","non-dropping-particle":"","parse-names":false,"suffix":""},{"dropping-particle":"","family":"Bigam","given":"David L.","non-dropping-particle":"","parse-names":false,"suffix":""},{"dropping-particle":"","family":"Shapiro","given":"A.M. James","non-dropping-particle":"","parse-names":false,"suffix":""},{"dropping-particle":"","family":"Kneteman","given":"Norman M.","non-dropping-particle":"","parse-names":false,"suffix":""}],"container-title":"Hepatology","id":"ITEM-4","issue":"4","issued":{"date-parts":[["2010","4"]]},"page":"1237-1243","title":"Sirolimus-based immunosuppression is associated with increased survival after liver transplantation for hepatocellular carcinoma","type":"article-journal","volume":"51"},"uris":["http://www.mendeley.com/documents/?uuid=fc438ce5-38ea-35a2-bdc3-1bc294d8d0f4"]},{"id":"ITEM-5","itemData":{"DOI":"10.1097/TP.0b013e318215e72b","ISSN":"00411337","abstract":"Effects of immunosuppressive drug on tumor development in transplantation are understudied. Tumors are especially concerning when liver transplantation recipients have a pretransplant hepatocellular carcinoma (HCC). Because immunosuppressive drugs likely influence HCC recurrence, with mammalian target of rapamycin inhibitors showing antineoplastic properties especially experimentally, we sought for practical medical guidance from published clinical studies. Although the current literature review revealed 14 studies regarding immunosuppression in this context, suggesting antitumor effects for mammalian target of rapamycin inhibitors, the quality of evidence is low. Therefore, randomized controlled trials investigating effects of immunosuppression on HCC recurrence in liver transplantation are lacking, exposing a gap between basic science knowledge and clinical evidence. © 2011 by Lippincott Williams &amp; Wilkins.","author":[{"dropping-particle":"","family":"Schnitzbauer","given":"Andreas A.","non-dropping-particle":"","parse-names":false,"suffix":""},{"dropping-particle":"","family":"Schlitt","given":"Hans J.","non-dropping-particle":"","parse-names":false,"suffix":""},{"dropping-particle":"","family":"Geissler","given":"Edward K.","non-dropping-particle":"","parse-names":false,"suffix":""}],"container-title":"Transplantation","id":"ITEM-5","issue":"11","issued":{"date-parts":[["2011","6","15"]]},"page":"1173-1176","title":"Influence of immunosuppressive drugs on the recurrence of hepatocellular carcinoma after liver transplantation: A gap between basic science and clinical evidence","type":"article","volume":"91"},"uris":["http://www.mendeley.com/documents/?uuid=c1b70ac4-3b64-3b61-8e06-f45649e9528c"]}],"mendeley":{"formattedCitation":"&lt;sup&gt;6–10&lt;/sup&gt;","plainTextFormattedCitation":"6–10","previouslyFormattedCitation":"&lt;sup&gt;6–10&lt;/sup&gt;"},"properties":{"noteIndex":0},"schema":"https://github.com/citation-style-language/schema/raw/master/csl-citation.json"}</w:instrText>
      </w:r>
      <w:r w:rsidR="00AF42D6" w:rsidRPr="00F740D9">
        <w:rPr>
          <w:rFonts w:ascii="Book Antiqua" w:hAnsi="Book Antiqua"/>
          <w:color w:val="000000" w:themeColor="text1"/>
          <w:szCs w:val="24"/>
          <w:vertAlign w:val="superscript"/>
        </w:rPr>
        <w:fldChar w:fldCharType="separate"/>
      </w:r>
      <w:r w:rsidR="00A228B7" w:rsidRPr="00F740D9">
        <w:rPr>
          <w:rFonts w:ascii="Book Antiqua" w:hAnsi="Book Antiqua"/>
          <w:noProof/>
          <w:color w:val="000000" w:themeColor="text1"/>
          <w:szCs w:val="24"/>
          <w:vertAlign w:val="superscript"/>
        </w:rPr>
        <w:t>6</w:t>
      </w:r>
      <w:r w:rsidR="000A78AC" w:rsidRPr="00F740D9">
        <w:rPr>
          <w:rFonts w:ascii="Book Antiqua" w:hAnsi="Book Antiqua"/>
          <w:noProof/>
          <w:color w:val="000000" w:themeColor="text1"/>
          <w:szCs w:val="24"/>
          <w:vertAlign w:val="superscript"/>
        </w:rPr>
        <w:t>-</w:t>
      </w:r>
      <w:r w:rsidR="00A228B7" w:rsidRPr="00F740D9">
        <w:rPr>
          <w:rFonts w:ascii="Book Antiqua" w:hAnsi="Book Antiqua"/>
          <w:noProof/>
          <w:color w:val="000000" w:themeColor="text1"/>
          <w:szCs w:val="24"/>
          <w:vertAlign w:val="superscript"/>
        </w:rPr>
        <w:t>10</w:t>
      </w:r>
      <w:r w:rsidR="00AF42D6" w:rsidRPr="00F740D9">
        <w:rPr>
          <w:rFonts w:ascii="Book Antiqua" w:hAnsi="Book Antiqua"/>
          <w:color w:val="000000" w:themeColor="text1"/>
          <w:szCs w:val="24"/>
          <w:vertAlign w:val="superscript"/>
        </w:rPr>
        <w:fldChar w:fldCharType="end"/>
      </w:r>
      <w:r w:rsidR="000A78AC" w:rsidRPr="00F740D9">
        <w:rPr>
          <w:rFonts w:ascii="Book Antiqua" w:hAnsi="Book Antiqua"/>
          <w:color w:val="000000" w:themeColor="text1"/>
          <w:szCs w:val="24"/>
          <w:vertAlign w:val="superscript"/>
        </w:rPr>
        <w:t>]</w:t>
      </w:r>
      <w:r w:rsidR="00AF42D6" w:rsidRPr="00F740D9">
        <w:rPr>
          <w:rFonts w:ascii="Book Antiqua" w:hAnsi="Book Antiqua"/>
          <w:color w:val="000000" w:themeColor="text1"/>
          <w:szCs w:val="24"/>
        </w:rPr>
        <w:t xml:space="preserve"> and prospective studies</w:t>
      </w:r>
      <w:r w:rsidR="000A78AC" w:rsidRPr="00F740D9">
        <w:rPr>
          <w:rFonts w:ascii="Book Antiqua" w:hAnsi="Book Antiqua"/>
          <w:color w:val="000000" w:themeColor="text1"/>
          <w:szCs w:val="24"/>
          <w:vertAlign w:val="superscript"/>
        </w:rPr>
        <w:t>[</w:t>
      </w:r>
      <w:r w:rsidR="00AF42D6" w:rsidRPr="00F740D9">
        <w:rPr>
          <w:rFonts w:ascii="Book Antiqua" w:hAnsi="Book Antiqua"/>
          <w:color w:val="000000" w:themeColor="text1"/>
          <w:szCs w:val="24"/>
          <w:vertAlign w:val="superscript"/>
        </w:rPr>
        <w:fldChar w:fldCharType="begin" w:fldLock="1"/>
      </w:r>
      <w:r w:rsidR="00A228B7" w:rsidRPr="00F740D9">
        <w:rPr>
          <w:rFonts w:ascii="Book Antiqua" w:hAnsi="Book Antiqua"/>
          <w:color w:val="000000" w:themeColor="text1"/>
          <w:szCs w:val="24"/>
          <w:vertAlign w:val="superscript"/>
        </w:rPr>
        <w:instrText>ADDIN CSL_CITATION {"citationItems":[{"id":"ITEM-1","itemData":{"DOI":"10.1186/1471-2407-10-190","ISSN":"14712407","abstract":"Background: The potential anti-cancer effects of mammalian target of rapamycin (mTOR) inhibitors are being intensively studied. To date, however, few randomised clinical trials (RCT) have been performed to demonstrate anti-neoplastic effects in the pure oncology setting, and at present, no oncology endpoint-directed RCT has been reported in the high-malignancy risk population of immunosuppressed transplant recipients. Interestingly, since mTOR inhibitors have both immunosuppressive and anti-cancer effects, they have the potential to simultaneously protect against immunologic graft loss and tumour development. Therefore, we designed a prospective RCT to determine if the mTOR inhibitor sirolimus can improve hepatocellular carcinoma (HCC)-free patient survival in liver transplant (LT) recipients with a pre-transplant diagnosis of HCC.Methods/Design: The study is an open-labelled, randomised, RCT comparing sirolimus-containing versus mTOR-inhibitor-free immunosuppression in patients undergoing LT for HCC. Patients with a histologically confirmed HCC diagnosis are randomised into 2 groups within 4-6 weeks after LT; one arm is maintained on a centre-specific mTOR-inhibitor-free immunosuppressive protocol and the second arm is maintained on a centre-specific mTOR-inhibitor-free immunosuppressive protocol for the first 4-6 weeks, at which time sirolimus is initiated. A 21/2 -year recruitment phase is planned with a 5-year follow-up, testing HCC-free survival as the primary endpoint. Our hypothesis is that sirolimus use in the second arm of the study will improve HCC-free survival. The study is a non-commercial investigator-initiated trial (IIT) sponsored by the University Hospital Regensburg and is endorsed by the European Liver and Intestine Transplant Association; 13 countries within Europe, Canada and Australia are participating.Discussion: If our hypothesis is correct that mTOR inhibition can reduce HCC tumour growth while simultaneously providing immunosuppression to protect the liver allograft from rejection, patients should experience less post-transplant problems with HCC recurrence, and therefore could expect a longer and better quality of life. A positive outcome will likely change the standard of posttransplant immunosuppressive care for LT patients with HCC. © 2010 Schnitzbauer et al; licensee BioMed Central Ltd.","author":[{"dropping-particle":"","family":"Schnitzbauer","given":"Andreas A.","non-dropping-particle":"","parse-names":false,"suffix":""},{"dropping-particle":"","family":"Zuelke","given":"Carl","non-dropping-particle":"","parse-names":false,"suffix":""},{"dropping-particle":"","family":"Graeb","given":"Christian","non-dropping-particle":"","parse-names":false,"suffix":""},{"dropping-particle":"","family":"Rochon","given":"Justine","non-dropping-particle":"","parse-names":false,"suffix":""},{"dropping-particle":"","family":"Bilbao","given":"Itxarone","non-dropping-particle":"","parse-names":false,"suffix":""},{"dropping-particle":"","family":"Burra","given":"Patrizia","non-dropping-particle":"","parse-names":false,"suffix":""},{"dropping-particle":"","family":"Jong","given":"Koert P.","non-dropping-particle":"de","parse-names":false,"suffix":""},{"dropping-particle":"","family":"Duvoux","given":"Christophe","non-dropping-particle":"","parse-names":false,"suffix":""},{"dropping-particle":"","family":"Kneteman","given":"Norman M.","non-dropping-particle":"","parse-names":false,"suffix":""},{"dropping-particle":"","family":"Adam","given":"Rene","non-dropping-particle":"","parse-names":false,"suffix":""},{"dropping-particle":"","family":"Bechstein","given":"Wolf O.","non-dropping-particle":"","parse-names":false,"suffix":""},{"dropping-particle":"","family":"Becker","given":"Thomas","non-dropping-particle":"","parse-names":false,"suffix":""},{"dropping-particle":"","family":"Beckebaum","given":"Susanne","non-dropping-particle":"","parse-names":false,"suffix":""},{"dropping-particle":"","family":"Chazouillères","given":"Olivier","non-dropping-particle":"","parse-names":false,"suffix":""},{"dropping-particle":"","family":"Cillo","given":"Umberto","non-dropping-particle":"","parse-names":false,"suffix":""},{"dropping-particle":"","family":"Colledan","given":"Michele","non-dropping-particle":"","parse-names":false,"suffix":""},{"dropping-particle":"","family":"Fändrich","given":"Fred","non-dropping-particle":"","parse-names":false,"suffix":""},{"dropping-particle":"","family":"Gugenheim","given":"Jean","non-dropping-particle":"","parse-names":false,"suffix":""},{"dropping-particle":"","family":"Hauss","given":"Johann P.","non-dropping-particle":"","parse-names":false,"suffix":""},{"dropping-particle":"","family":"Heise","given":"Michael","non-dropping-particle":"","parse-names":false,"suffix":""},{"dropping-particle":"","family":"Hidalgo","given":"Ernest","non-dropping-particle":"","parse-names":false,"suffix":""},{"dropping-particle":"","family":"Jamieson","given":"Neville","non-dropping-particle":"","parse-names":false,"suffix":""},{"dropping-particle":"","family":"Königsrainer","given":"Alfred","non-dropping-particle":"","parse-names":false,"suffix":""},{"dropping-particle":"","family":"Lamby","given":"Philipp E.","non-dropping-particle":"","parse-names":false,"suffix":""},{"dropping-particle":"","family":"Lerut","given":"Jan P.","non-dropping-particle":"","parse-names":false,"suffix":""},{"dropping-particle":"","family":"Mäkisalo","given":"Heikki","non-dropping-particle":"","parse-names":false,"suffix":""},{"dropping-particle":"","family":"Margreiter","given":"Raimund","non-dropping-particle":"","parse-names":false,"suffix":""},{"dropping-particle":"","family":"Mazzaferro","given":"Vincenzo","non-dropping-particle":"","parse-names":false,"suffix":""},{"dropping-particle":"","family":"Mutzbauer","given":"Ingrid","non-dropping-particle":"","parse-names":false,"suffix":""},{"dropping-particle":"","family":"Otto","given":"Gerd","non-dropping-particle":"","parse-names":false,"suffix":""},{"dropping-particle":"","family":"Pageaux","given":"Georges Philippe","non-dropping-particle":"","parse-names":false,"suffix":""},{"dropping-particle":"","family":"Pinna","given":"Antonio D.","non-dropping-particle":"","parse-names":false,"suffix":""},{"dropping-particle":"","family":"Pirenne","given":"Jacques","non-dropping-particle":"","parse-names":false,"suffix":""},{"dropping-particle":"","family":"Rizell","given":"Magnus","non-dropping-particle":"","parse-names":false,"suffix":""},{"dropping-particle":"","family":"Rossi","given":"Giorgio","non-dropping-particle":"","parse-names":false,"suffix":""},{"dropping-particle":"","family":"Rostaing","given":"Lionel","non-dropping-particle":"","parse-names":false,"suffix":""},{"dropping-particle":"","family":"Roy","given":"Andre","non-dropping-particle":"","parse-names":false,"suffix":""},{"dropping-particle":"","family":"Turrion","given":"Victor S.","non-dropping-particle":"","parse-names":false,"suffix":""},{"dropping-particle":"","family":"Schmidt","given":"Jan","non-dropping-particle":"","parse-names":false,"suffix":""},{"dropping-particle":"","family":"Troisi","given":"Roberto I.","non-dropping-particle":"","parse-names":false,"suffix":""},{"dropping-particle":"","family":"Hoek","given":"Bart","non-dropping-particle":"van","parse-names":false,"suffix":""},{"dropping-particle":"","family":"Valente","given":"Umberto","non-dropping-particle":"","parse-names":false,"suffix":""},{"dropping-particle":"","family":"Wolf","given":"Philippe","non-dropping-particle":"","parse-names":false,"suffix":""},{"dropping-particle":"","family":"Wolters","given":"Heiner","non-dropping-particle":"","parse-names":false,"suffix":""},{"dropping-particle":"","family":"Mirza","given":"Darius F.","non-dropping-particle":"","parse-names":false,"suffix":""},{"dropping-particle":"","family":"Scholz","given":"Tim","non-dropping-particle":"","parse-names":false,"suffix":""},{"dropping-particle":"","family":"Steininger","given":"Rudolf","non-dropping-particle":"","parse-names":false,"suffix":""},{"dropping-particle":"","family":"Soderdahl","given":"Gunnar","non-dropping-particle":"","parse-names":false,"suffix":""},{"dropping-particle":"","family":"Strasser","given":"Simone I.","non-dropping-particle":"","parse-names":false,"suffix":""},{"dropping-particle":"","family":"Jauch","given":"Karl Walter","non-dropping-particle":"","parse-names":false,"suffix":""},{"dropping-particle":"","family":"Neuhaus","given":"Peter","non-dropping-particle":"","parse-names":false,"suffix":""},{"dropping-particle":"","family":"Schlitt","given":"Hans J.","non-dropping-particle":"","parse-names":false,"suffix":""},{"dropping-particle":"","family":"Geissler","given":"Edward K.","non-dropping-particle":"","parse-names":false,"suffix":""}],"container-title":"BMC Cancer","id":"ITEM-1","issued":{"date-parts":[["2010","5","11"]]},"title":"A prospective randomised, open-labeled, trial comparing sirolimus-containing versus mTOR-inhibitor-free immunosuppression in patients undergoing liver transplantation for hepatocellular carcinoma","type":"article-journal","volume":"10"},"uris":["http://www.mendeley.com/documents/?uuid=530f9a7e-0c23-3273-bb76-f0df86311a03"]},{"id":"ITEM-2","itemData":{"DOI":"10.1097/TP.0000000000000965","ISSN":"1534-6080","PMID":"26555945","abstract":"BACKGROUND We investigated whether sirolimus-based immunosuppression improves outcomes in liver transplantation (LTx) candidates with hepatocellular carcinoma (HCC). METHODS In a prospective-randomized open-label international trial, 525 LTx recipients with HCC initially receiving mammalian target of rapamycin inhibitor-free immunosuppression were randomized 4 to 6 weeks after transplantation into a group on mammalian target of rapamycin inhibitor-free immunosuppression (group A: 264 patients) or a group incorporating sirolimus (group B: 261). The primary endpoint was recurrence-free survival (RFS); intention-to-treat (ITT) analysis was conducted after 8 years. Overall survival (OS) was a secondary endpoint. RESULTS Recurrence-free survival was 64.5% in group A and 70.2% in group B at study end, this difference was not significant (P = 0.28; hazard ratio [HR], 0.84; 95% confidence interval [95% CI], 0.62; 1.15). In a planned analysis of RFS rates at yearly intervals, group B showed better outcomes 3 years after transplantation (HR, 0.7; 95% CI, 0.48-1.00). Similarly, OS (P = 0.21; HR, 0.81; 95% CI, 0.58-1.13) was not statistically better in group B at study end, but yearly analyses showed improvement out to 5 years (HR, 0.7; 95% CI, 0.49-1.00). Interestingly, subgroup (Milan Criteria-based) analyses revealed that low-risk, rather than high-risk, patients benefited most from sirolimus; furthermore, younger recipients (age ≤60) also benefited, as well sirolimus monotherapy patients. Serious adverse event numbers were alike in groups A (860) and B (874). CONCLUSIONS Sirolimus in LTx recipients with HCC does not improve long-term RFS beyond 5 years. However, a RFS and OS benefit is evident in the first 3 to 5 years, especially in low-risk patients. This trial provides the first high-level evidence base for selecting immunosuppression in LTx recipients with HCC.","author":[{"dropping-particle":"","family":"Geissler","given":"Edward K","non-dropping-particle":"","parse-names":false,"suffix":""},{"dropping-particle":"","family":"Schnitzbauer","given":"Andreas A","non-dropping-particle":"","parse-names":false,"suffix":""},{"dropping-particle":"","family":"Zülke","given":"Carl","non-dropping-particle":"","parse-names":false,"suffix":""},{"dropping-particle":"","family":"Lamby","given":"Philipp E","non-dropping-particle":"","parse-names":false,"suffix":""},{"dropping-particle":"","family":"Proneth","given":"Andrea","non-dropping-particle":"","parse-names":false,"suffix":""},{"dropping-particle":"","family":"Duvoux","given":"Christophe","non-dropping-particle":"","parse-names":false,"suffix":""},{"dropping-particle":"","family":"Burra","given":"Patrizia","non-dropping-particle":"","parse-names":false,"suffix":""},{"dropping-particle":"","family":"Jauch","given":"Karl-Walter","non-dropping-particle":"","parse-names":false,"suffix":""},{"dropping-particle":"","family":"Rentsch","given":"Markus","non-dropping-particle":"","parse-names":false,"suffix":""},{"dropping-particle":"","family":"Ganten","given":"Tom M","non-dropping-particle":"","parse-names":false,"suffix":""},{"dropping-particle":"","family":"Schmidt","given":"Jan","non-dropping-particle":"","parse-names":false,"suffix":""},{"dropping-particle":"","family":"Settmacher","given":"Utz","non-dropping-particle":"","parse-names":false,"suffix":""},{"dropping-particle":"","family":"Heise","given":"Michael","non-dropping-particle":"","parse-names":false,"suffix":""},{"dropping-particle":"","family":"Rossi","given":"Giorgio","non-dropping-particle":"","parse-names":false,"suffix":""},{"dropping-particle":"","family":"Cillo","given":"Umberto","non-dropping-particle":"","parse-names":false,"suffix":""},{"dropping-particle":"","family":"Kneteman","given":"Norman","non-dropping-particle":"","parse-names":false,"suffix":""},{"dropping-particle":"","family":"Adam","given":"René","non-dropping-particle":"","parse-names":false,"suffix":""},{"dropping-particle":"","family":"Hoek","given":"Bart","non-dropping-particle":"van","parse-names":false,"suffix":""},{"dropping-particle":"","family":"Bachellier","given":"Philippe","non-dropping-particle":"","parse-names":false,"suffix":""},{"dropping-particle":"","family":"Wolf","given":"Philippe","non-dropping-particle":"","parse-names":false,"suffix":""},{"dropping-particle":"","family":"Rostaing","given":"Lionel","non-dropping-particle":"","parse-names":false,"suffix":""},{"dropping-particle":"","family":"Bechstein","given":"Wolf O","non-dropping-particle":"","parse-names":false,"suffix":""},{"dropping-particle":"","family":"Rizell","given":"Magnus","non-dropping-particle":"","parse-names":false,"suffix":""},{"dropping-particle":"","family":"Powell","given":"James","non-dropping-particle":"","parse-names":false,"suffix":""},{"dropping-particle":"","family":"Hidalgo","given":"Ernest","non-dropping-particle":"","parse-names":false,"suffix":""},{"dropping-particle":"","family":"Gugenheim","given":"Jean","non-dropping-particle":"","parse-names":false,"suffix":""},{"dropping-particle":"","family":"Wolters","given":"Heiner","non-dropping-particle":"","parse-names":false,"suffix":""},{"dropping-particle":"","family":"Brockmann","given":"Jens","non-dropping-particle":"","parse-names":false,"suffix":""},{"dropping-particle":"","family":"Roy","given":"André","non-dropping-particle":"","parse-names":false,"suffix":""},{"dropping-particle":"","family":"Mutzbauer","given":"Ingrid","non-dropping-particle":"","parse-names":false,"suffix":""},{"dropping-particle":"","family":"Schlitt","given":"Angela","non-dropping-particle":"","parse-names":false,"suffix":""},{"dropping-particle":"","family":"Beckebaum","given":"Susanne","non-dropping-particle":"","parse-names":false,"suffix":""},{"dropping-particle":"","family":"Graeb","given":"Christian","non-dropping-particle":"","parse-names":false,"suffix":""},{"dropping-particle":"","family":"Nadalin","given":"Silvio","non-dropping-particle":"","parse-names":false,"suffix":""},{"dropping-particle":"","family":"Valente","given":"Umberto","non-dropping-particle":"","parse-names":false,"suffix":""},{"dropping-particle":"","family":"Turrión","given":"Victor Sánchez","non-dropping-particle":"","parse-names":false,"suffix":""},{"dropping-particle":"","family":"Jamieson","given":"Neville","non-dropping-particle":"","parse-names":false,"suffix":""},{"dropping-particle":"","family":"Scholz","given":"Tim","non-dropping-particle":"","parse-names":false,"suffix":""},{"dropping-particle":"","family":"Colledan","given":"Michele","non-dropping-particle":"","parse-names":false,"suffix":""},{"dropping-particle":"","family":"Fändrich","given":"Fred","non-dropping-particle":"","parse-names":false,"suffix":""},{"dropping-particle":"","family":"Becker","given":"Thomas","non-dropping-particle":"","parse-names":false,"suffix":""},{"dropping-particle":"","family":"Söderdahl","given":"Gunnar","non-dropping-particle":"","parse-names":false,"suffix":""},{"dropping-particle":"","family":"Chazouillères","given":"Olivier","non-dropping-particle":"","parse-names":false,"suffix":""},{"dropping-particle":"","family":"Mäkisalo","given":"Heikki","non-dropping-particle":"","parse-names":false,"suffix":""},{"dropping-particle":"","family":"Pageaux","given":"Georges-Philippe","non-dropping-particle":"","parse-names":false,"suffix":""},{"dropping-particle":"","family":"Steininger","given":"Rudolf","non-dropping-particle":"","parse-names":false,"suffix":""},{"dropping-particle":"","family":"Soliman","given":"Thomas","non-dropping-particle":"","parse-names":false,"suffix":""},{"dropping-particle":"","family":"Jong","given":"Koert P","non-dropping-particle":"de","parse-names":false,"suffix":""},{"dropping-particle":"","family":"Pirenne","given":"Jacques","non-dropping-particle":"","parse-names":false,"suffix":""},{"dropping-particle":"","family":"Margreiter","given":"Raimund","non-dropping-particle":"","parse-names":false,"suffix":""},{"dropping-particle":"","family":"Pratschke","given":"Johann","non-dropping-particle":"","parse-names":false,"suffix":""},{"dropping-particle":"","family":"Pinna","given":"Antonio D","non-dropping-particle":"","parse-names":false,"suffix":""},{"dropping-particle":"","family":"Hauss","given":"Johann","non-dropping-particle":"","parse-names":false,"suffix":""},{"dropping-particle":"","family":"Schreiber","given":"Stefan","non-dropping-particle":"","parse-names":false,"suffix":""},{"dropping-particle":"","family":"Strasser","given":"Simone","non-dropping-particle":"","parse-names":false,"suffix":""},{"dropping-particle":"","family":"Klempnauer","given":"Jürgen","non-dropping-particle":"","parse-names":false,"suffix":""},{"dropping-particle":"","family":"Troisi","given":"Roberto I","non-dropping-particle":"","parse-names":false,"suffix":""},{"dropping-particle":"","family":"Bhoori","given":"Sherrie","non-dropping-particle":"","parse-names":false,"suffix":""},{"dropping-particle":"","family":"Lerut","given":"Jan","non-dropping-particle":"","parse-names":false,"suffix":""},{"dropping-particle":"","family":"Bilbao","given":"Itxarone","non-dropping-particle":"","parse-names":false,"suffix":""},{"dropping-particle":"","family":"Klein","given":"Christian G","non-dropping-particle":"","parse-names":false,"suffix":""},{"dropping-particle":"","family":"Königsrainer","given":"Alfred","non-dropping-particle":"","parse-names":false,"suffix":""},{"dropping-particle":"","family":"Mirza","given":"Darius F","non-dropping-particle":"","parse-names":false,"suffix":""},{"dropping-particle":"","family":"Otto","given":"Gerd","non-dropping-particle":"","parse-names":false,"suffix":""},{"dropping-particle":"","family":"Mazzaferro","given":"Vincenzo","non-dropping-particle":"","parse-names":false,"suffix":""},{"dropping-particle":"","family":"Neuhaus","given":"Peter","non-dropping-particle":"","parse-names":false,"suffix":""},{"dropping-particle":"","family":"Schlitt","given":"Hans J","non-dropping-particle":"","parse-names":false,"suffix":""}],"container-title":"Transplantation","id":"ITEM-2","issue":"1","issued":{"date-parts":[["2016","1"]]},"page":"116-25","publisher":"Wolters Kluwer Health","title":"Sirolimus Use in Liver Transplant Recipients With Hepatocellular Carcinoma: A Randomized, Multicenter, Open-Label Phase 3 Trial.","type":"article-journal","volume":"100"},"uris":["http://www.mendeley.com/documents/?uuid=b5222628-9a44-3cf6-a6ac-e6f0e41c6a26"]}],"mendeley":{"formattedCitation":"&lt;sup&gt;11,12&lt;/sup&gt;","plainTextFormattedCitation":"11,12","previouslyFormattedCitation":"&lt;sup&gt;11,12&lt;/sup&gt;"},"properties":{"noteIndex":0},"schema":"https://github.com/citation-style-language/schema/raw/master/csl-citation.json"}</w:instrText>
      </w:r>
      <w:r w:rsidR="00AF42D6" w:rsidRPr="00F740D9">
        <w:rPr>
          <w:rFonts w:ascii="Book Antiqua" w:hAnsi="Book Antiqua"/>
          <w:color w:val="000000" w:themeColor="text1"/>
          <w:szCs w:val="24"/>
          <w:vertAlign w:val="superscript"/>
        </w:rPr>
        <w:fldChar w:fldCharType="separate"/>
      </w:r>
      <w:r w:rsidR="00A228B7" w:rsidRPr="00F740D9">
        <w:rPr>
          <w:rFonts w:ascii="Book Antiqua" w:hAnsi="Book Antiqua"/>
          <w:noProof/>
          <w:color w:val="000000" w:themeColor="text1"/>
          <w:szCs w:val="24"/>
          <w:vertAlign w:val="superscript"/>
        </w:rPr>
        <w:t>11,12</w:t>
      </w:r>
      <w:r w:rsidR="00AF42D6" w:rsidRPr="00F740D9">
        <w:rPr>
          <w:rFonts w:ascii="Book Antiqua" w:hAnsi="Book Antiqua"/>
          <w:color w:val="000000" w:themeColor="text1"/>
          <w:szCs w:val="24"/>
          <w:vertAlign w:val="superscript"/>
        </w:rPr>
        <w:fldChar w:fldCharType="end"/>
      </w:r>
      <w:r w:rsidR="000A78AC" w:rsidRPr="00F740D9">
        <w:rPr>
          <w:rFonts w:ascii="Book Antiqua" w:hAnsi="Book Antiqua"/>
          <w:color w:val="000000" w:themeColor="text1"/>
          <w:szCs w:val="24"/>
          <w:vertAlign w:val="superscript"/>
        </w:rPr>
        <w:t>]</w:t>
      </w:r>
      <w:r w:rsidR="003B6C55" w:rsidRPr="00F740D9">
        <w:rPr>
          <w:rFonts w:ascii="Book Antiqua" w:hAnsi="Book Antiqua"/>
          <w:color w:val="000000" w:themeColor="text1"/>
          <w:szCs w:val="24"/>
        </w:rPr>
        <w:t xml:space="preserve"> showing</w:t>
      </w:r>
      <w:r w:rsidR="00621FDC" w:rsidRPr="00F740D9">
        <w:rPr>
          <w:rFonts w:ascii="Book Antiqua" w:hAnsi="Book Antiqua"/>
          <w:color w:val="000000" w:themeColor="text1"/>
          <w:szCs w:val="24"/>
        </w:rPr>
        <w:t xml:space="preserve"> </w:t>
      </w:r>
      <w:r w:rsidR="00EE58CF">
        <w:rPr>
          <w:rFonts w:ascii="Book Antiqua" w:hAnsi="Book Antiqua"/>
          <w:color w:val="000000" w:themeColor="text1"/>
          <w:szCs w:val="24"/>
        </w:rPr>
        <w:t xml:space="preserve">a </w:t>
      </w:r>
      <w:r w:rsidR="00621FDC" w:rsidRPr="00F740D9">
        <w:rPr>
          <w:rFonts w:ascii="Book Antiqua" w:hAnsi="Book Antiqua"/>
          <w:color w:val="000000" w:themeColor="text1"/>
          <w:szCs w:val="24"/>
        </w:rPr>
        <w:t>reduced risk of recurrence</w:t>
      </w:r>
      <w:r w:rsidR="000E6A25" w:rsidRPr="00F740D9">
        <w:rPr>
          <w:rFonts w:ascii="Book Antiqua" w:hAnsi="Book Antiqua"/>
          <w:color w:val="000000" w:themeColor="text1"/>
          <w:szCs w:val="24"/>
        </w:rPr>
        <w:t>.</w:t>
      </w:r>
    </w:p>
    <w:p w14:paraId="11286690" w14:textId="3069A5EE" w:rsidR="00B9449F" w:rsidRPr="00F740D9" w:rsidRDefault="008132FB" w:rsidP="00BE6C9D">
      <w:pPr>
        <w:snapToGrid w:val="0"/>
        <w:spacing w:line="360" w:lineRule="auto"/>
        <w:ind w:firstLineChars="100" w:firstLine="240"/>
        <w:jc w:val="both"/>
        <w:rPr>
          <w:rFonts w:ascii="Book Antiqua" w:hAnsi="Book Antiqua"/>
          <w:color w:val="000000" w:themeColor="text1"/>
          <w:szCs w:val="24"/>
        </w:rPr>
      </w:pPr>
      <w:r w:rsidRPr="00F740D9">
        <w:rPr>
          <w:rFonts w:ascii="Book Antiqua" w:hAnsi="Book Antiqua"/>
          <w:color w:val="000000" w:themeColor="text1"/>
          <w:szCs w:val="24"/>
        </w:rPr>
        <w:t>In theory,</w:t>
      </w:r>
      <w:r w:rsidR="0028559C" w:rsidRPr="00F740D9">
        <w:rPr>
          <w:rFonts w:ascii="Book Antiqua" w:hAnsi="Book Antiqua"/>
          <w:color w:val="000000" w:themeColor="text1"/>
          <w:szCs w:val="24"/>
        </w:rPr>
        <w:t xml:space="preserve"> </w:t>
      </w:r>
      <w:r w:rsidR="00982A62" w:rsidRPr="00F740D9">
        <w:rPr>
          <w:rFonts w:ascii="Book Antiqua" w:hAnsi="Book Antiqua"/>
          <w:color w:val="000000" w:themeColor="text1"/>
          <w:szCs w:val="24"/>
        </w:rPr>
        <w:t>patients</w:t>
      </w:r>
      <w:r w:rsidR="0028559C" w:rsidRPr="00F740D9">
        <w:rPr>
          <w:rFonts w:ascii="Book Antiqua" w:hAnsi="Book Antiqua"/>
          <w:color w:val="000000" w:themeColor="text1"/>
          <w:szCs w:val="24"/>
        </w:rPr>
        <w:t xml:space="preserve"> </w:t>
      </w:r>
      <w:r w:rsidR="00B101C9" w:rsidRPr="00F740D9">
        <w:rPr>
          <w:rFonts w:ascii="Book Antiqua" w:hAnsi="Book Antiqua"/>
          <w:color w:val="000000" w:themeColor="text1"/>
          <w:szCs w:val="24"/>
        </w:rPr>
        <w:t xml:space="preserve">with established </w:t>
      </w:r>
      <w:r w:rsidR="00982A62" w:rsidRPr="00F740D9">
        <w:rPr>
          <w:rFonts w:ascii="Book Antiqua" w:hAnsi="Book Antiqua"/>
          <w:color w:val="000000" w:themeColor="text1"/>
          <w:szCs w:val="24"/>
        </w:rPr>
        <w:t>r</w:t>
      </w:r>
      <w:r w:rsidR="0028559C" w:rsidRPr="00F740D9">
        <w:rPr>
          <w:rFonts w:ascii="Book Antiqua" w:hAnsi="Book Antiqua"/>
          <w:color w:val="000000" w:themeColor="text1"/>
          <w:szCs w:val="24"/>
        </w:rPr>
        <w:t>ecurrence or at</w:t>
      </w:r>
      <w:r w:rsidR="009B51F4" w:rsidRPr="00F740D9">
        <w:rPr>
          <w:rFonts w:ascii="Book Antiqua" w:hAnsi="Book Antiqua"/>
          <w:color w:val="000000" w:themeColor="text1"/>
          <w:szCs w:val="24"/>
        </w:rPr>
        <w:t xml:space="preserve"> </w:t>
      </w:r>
      <w:r w:rsidR="0028559C" w:rsidRPr="00F740D9">
        <w:rPr>
          <w:rFonts w:ascii="Book Antiqua" w:hAnsi="Book Antiqua"/>
          <w:color w:val="000000" w:themeColor="text1"/>
          <w:szCs w:val="24"/>
        </w:rPr>
        <w:t xml:space="preserve">risk of recurrence </w:t>
      </w:r>
      <w:r w:rsidR="0028559C" w:rsidRPr="00F740D9">
        <w:rPr>
          <w:rFonts w:ascii="Book Antiqua" w:hAnsi="Book Antiqua"/>
          <w:i/>
          <w:iCs/>
          <w:color w:val="000000" w:themeColor="text1"/>
          <w:szCs w:val="24"/>
        </w:rPr>
        <w:t>i.e.</w:t>
      </w:r>
      <w:r w:rsidR="000A78AC" w:rsidRPr="00F740D9">
        <w:rPr>
          <w:rFonts w:ascii="Book Antiqua" w:hAnsi="Book Antiqua"/>
          <w:color w:val="000000" w:themeColor="text1"/>
          <w:szCs w:val="24"/>
        </w:rPr>
        <w:t>,</w:t>
      </w:r>
      <w:r w:rsidR="0028559C" w:rsidRPr="00F740D9">
        <w:rPr>
          <w:rFonts w:ascii="Book Antiqua" w:hAnsi="Book Antiqua"/>
          <w:color w:val="000000" w:themeColor="text1"/>
          <w:szCs w:val="24"/>
        </w:rPr>
        <w:t xml:space="preserve"> more advanced tumour at transplant benefit most from the oncological advantage</w:t>
      </w:r>
      <w:r w:rsidR="00F651DA" w:rsidRPr="00F740D9">
        <w:rPr>
          <w:rFonts w:ascii="Book Antiqua" w:hAnsi="Book Antiqua"/>
          <w:color w:val="000000" w:themeColor="text1"/>
          <w:szCs w:val="24"/>
        </w:rPr>
        <w:t>s</w:t>
      </w:r>
      <w:r w:rsidR="0028559C" w:rsidRPr="00F740D9">
        <w:rPr>
          <w:rFonts w:ascii="Book Antiqua" w:hAnsi="Book Antiqua"/>
          <w:color w:val="000000" w:themeColor="text1"/>
          <w:szCs w:val="24"/>
        </w:rPr>
        <w:t xml:space="preserve"> offered</w:t>
      </w:r>
      <w:r w:rsidR="00B101C9" w:rsidRPr="00F740D9">
        <w:rPr>
          <w:rFonts w:ascii="Book Antiqua" w:hAnsi="Book Antiqua"/>
          <w:color w:val="000000" w:themeColor="text1"/>
          <w:szCs w:val="24"/>
        </w:rPr>
        <w:t xml:space="preserve"> by mTOR inhibitors</w:t>
      </w:r>
      <w:r w:rsidR="0028559C" w:rsidRPr="00F740D9">
        <w:rPr>
          <w:rFonts w:ascii="Book Antiqua" w:hAnsi="Book Antiqua"/>
          <w:color w:val="000000" w:themeColor="text1"/>
          <w:szCs w:val="24"/>
        </w:rPr>
        <w:t xml:space="preserve">. </w:t>
      </w:r>
      <w:r w:rsidR="00C9728A" w:rsidRPr="00F740D9">
        <w:rPr>
          <w:rFonts w:ascii="Book Antiqua" w:hAnsi="Book Antiqua"/>
          <w:color w:val="000000" w:themeColor="text1"/>
          <w:szCs w:val="24"/>
        </w:rPr>
        <w:t xml:space="preserve">These patients </w:t>
      </w:r>
      <w:r w:rsidR="00EE58CF">
        <w:rPr>
          <w:rFonts w:ascii="Book Antiqua" w:hAnsi="Book Antiqua"/>
          <w:color w:val="000000" w:themeColor="text1"/>
          <w:szCs w:val="24"/>
        </w:rPr>
        <w:t>are</w:t>
      </w:r>
      <w:r w:rsidR="00C9728A" w:rsidRPr="00F740D9">
        <w:rPr>
          <w:rFonts w:ascii="Book Antiqua" w:hAnsi="Book Antiqua"/>
          <w:color w:val="000000" w:themeColor="text1"/>
          <w:szCs w:val="24"/>
        </w:rPr>
        <w:t xml:space="preserve"> also candidates for mTOR inhibitor-based regime</w:t>
      </w:r>
      <w:r w:rsidR="00EE58CF">
        <w:rPr>
          <w:rFonts w:ascii="Book Antiqua" w:hAnsi="Book Antiqua"/>
          <w:color w:val="000000" w:themeColor="text1"/>
          <w:szCs w:val="24"/>
        </w:rPr>
        <w:t>s</w:t>
      </w:r>
      <w:r w:rsidR="00C9728A" w:rsidRPr="00F740D9">
        <w:rPr>
          <w:rFonts w:ascii="Book Antiqua" w:hAnsi="Book Antiqua"/>
          <w:color w:val="000000" w:themeColor="text1"/>
          <w:szCs w:val="24"/>
        </w:rPr>
        <w:t xml:space="preserve"> in our centre. </w:t>
      </w:r>
      <w:r w:rsidR="004A59FD" w:rsidRPr="00F740D9">
        <w:rPr>
          <w:rFonts w:ascii="Book Antiqua" w:hAnsi="Book Antiqua"/>
          <w:color w:val="000000" w:themeColor="text1"/>
          <w:szCs w:val="24"/>
        </w:rPr>
        <w:t xml:space="preserve">However, evidence supporting mTOR inhibitor therapy following HCC recurrence </w:t>
      </w:r>
      <w:r w:rsidR="00EE58CF">
        <w:rPr>
          <w:rFonts w:ascii="Book Antiqua" w:hAnsi="Book Antiqua"/>
          <w:color w:val="000000" w:themeColor="text1"/>
          <w:szCs w:val="24"/>
        </w:rPr>
        <w:t>is</w:t>
      </w:r>
      <w:r w:rsidR="004A59FD" w:rsidRPr="00F740D9">
        <w:rPr>
          <w:rFonts w:ascii="Book Antiqua" w:hAnsi="Book Antiqua"/>
          <w:color w:val="000000" w:themeColor="text1"/>
          <w:szCs w:val="24"/>
        </w:rPr>
        <w:t xml:space="preserve"> limited.</w:t>
      </w:r>
      <w:r w:rsidR="00982A62" w:rsidRPr="00F740D9">
        <w:rPr>
          <w:rFonts w:ascii="Book Antiqua" w:hAnsi="Book Antiqua"/>
          <w:color w:val="000000" w:themeColor="text1"/>
          <w:szCs w:val="24"/>
        </w:rPr>
        <w:t xml:space="preserve"> </w:t>
      </w:r>
      <w:r w:rsidR="00EE58CF">
        <w:rPr>
          <w:rFonts w:ascii="Book Antiqua" w:hAnsi="Book Antiqua"/>
          <w:color w:val="000000" w:themeColor="text1"/>
          <w:szCs w:val="24"/>
        </w:rPr>
        <w:t>It is unknown w</w:t>
      </w:r>
      <w:r w:rsidR="00E74B1C" w:rsidRPr="00F740D9">
        <w:rPr>
          <w:rFonts w:ascii="Book Antiqua" w:hAnsi="Book Antiqua"/>
          <w:color w:val="000000" w:themeColor="text1"/>
          <w:szCs w:val="24"/>
        </w:rPr>
        <w:t>hether mTOR inhibitor</w:t>
      </w:r>
      <w:r w:rsidR="00EE58CF">
        <w:rPr>
          <w:rFonts w:ascii="Book Antiqua" w:hAnsi="Book Antiqua"/>
          <w:color w:val="000000" w:themeColor="text1"/>
          <w:szCs w:val="24"/>
        </w:rPr>
        <w:t>s</w:t>
      </w:r>
      <w:r w:rsidR="00E74B1C" w:rsidRPr="00F740D9">
        <w:rPr>
          <w:rFonts w:ascii="Book Antiqua" w:hAnsi="Book Antiqua"/>
          <w:color w:val="000000" w:themeColor="text1"/>
          <w:szCs w:val="24"/>
        </w:rPr>
        <w:t xml:space="preserve"> still confer survival benefit</w:t>
      </w:r>
      <w:r w:rsidR="00621FDC" w:rsidRPr="00F740D9">
        <w:rPr>
          <w:rFonts w:ascii="Book Antiqua" w:hAnsi="Book Antiqua"/>
          <w:color w:val="000000" w:themeColor="text1"/>
          <w:szCs w:val="24"/>
        </w:rPr>
        <w:t>s</w:t>
      </w:r>
      <w:r w:rsidR="00E74B1C" w:rsidRPr="00F740D9">
        <w:rPr>
          <w:rFonts w:ascii="Book Antiqua" w:hAnsi="Book Antiqua"/>
          <w:color w:val="000000" w:themeColor="text1"/>
          <w:szCs w:val="24"/>
        </w:rPr>
        <w:t xml:space="preserve"> in this late course of </w:t>
      </w:r>
      <w:r w:rsidR="00EE58CF">
        <w:rPr>
          <w:rFonts w:ascii="Book Antiqua" w:hAnsi="Book Antiqua"/>
          <w:color w:val="000000" w:themeColor="text1"/>
          <w:szCs w:val="24"/>
        </w:rPr>
        <w:t xml:space="preserve">the </w:t>
      </w:r>
      <w:r w:rsidR="00E74B1C" w:rsidRPr="00F740D9">
        <w:rPr>
          <w:rFonts w:ascii="Book Antiqua" w:hAnsi="Book Antiqua"/>
          <w:color w:val="000000" w:themeColor="text1"/>
          <w:szCs w:val="24"/>
        </w:rPr>
        <w:t xml:space="preserve">disease. </w:t>
      </w:r>
      <w:r w:rsidR="007946E6" w:rsidRPr="00F740D9">
        <w:rPr>
          <w:rFonts w:ascii="Book Antiqua" w:hAnsi="Book Antiqua"/>
          <w:color w:val="000000" w:themeColor="text1"/>
          <w:szCs w:val="24"/>
        </w:rPr>
        <w:t>Recommendations for mTOR inhibitor</w:t>
      </w:r>
      <w:r w:rsidR="00EE58CF">
        <w:rPr>
          <w:rFonts w:ascii="Book Antiqua" w:hAnsi="Book Antiqua"/>
          <w:color w:val="000000" w:themeColor="text1"/>
          <w:szCs w:val="24"/>
        </w:rPr>
        <w:t>s in</w:t>
      </w:r>
      <w:r w:rsidR="007946E6" w:rsidRPr="00F740D9">
        <w:rPr>
          <w:rFonts w:ascii="Book Antiqua" w:hAnsi="Book Antiqua"/>
          <w:color w:val="000000" w:themeColor="text1"/>
          <w:szCs w:val="24"/>
        </w:rPr>
        <w:t xml:space="preserve"> this context </w:t>
      </w:r>
      <w:r w:rsidR="00EE58CF">
        <w:rPr>
          <w:rFonts w:ascii="Book Antiqua" w:hAnsi="Book Antiqua"/>
          <w:color w:val="000000" w:themeColor="text1"/>
          <w:szCs w:val="24"/>
        </w:rPr>
        <w:t>are</w:t>
      </w:r>
      <w:r w:rsidR="007946E6" w:rsidRPr="00F740D9">
        <w:rPr>
          <w:rFonts w:ascii="Book Antiqua" w:hAnsi="Book Antiqua"/>
          <w:color w:val="000000" w:themeColor="text1"/>
          <w:szCs w:val="24"/>
        </w:rPr>
        <w:t xml:space="preserve"> based on expert opinions</w:t>
      </w:r>
      <w:r w:rsidR="00AF289B" w:rsidRPr="00F740D9">
        <w:rPr>
          <w:rFonts w:ascii="Book Antiqua" w:hAnsi="Book Antiqua"/>
          <w:color w:val="000000" w:themeColor="text1"/>
          <w:szCs w:val="24"/>
          <w:vertAlign w:val="superscript"/>
        </w:rPr>
        <w:t>[</w:t>
      </w:r>
      <w:r w:rsidR="007946E6" w:rsidRPr="00F740D9">
        <w:rPr>
          <w:rFonts w:ascii="Book Antiqua" w:hAnsi="Book Antiqua"/>
          <w:color w:val="000000" w:themeColor="text1"/>
          <w:szCs w:val="24"/>
          <w:vertAlign w:val="superscript"/>
        </w:rPr>
        <w:fldChar w:fldCharType="begin" w:fldLock="1"/>
      </w:r>
      <w:r w:rsidR="00A228B7" w:rsidRPr="00F740D9">
        <w:rPr>
          <w:rFonts w:ascii="Book Antiqua" w:hAnsi="Book Antiqua"/>
          <w:color w:val="000000" w:themeColor="text1"/>
          <w:szCs w:val="24"/>
          <w:vertAlign w:val="superscript"/>
        </w:rPr>
        <w:instrText>ADDIN CSL_CITATION {"citationItems":[{"id":"ITEM-1","itemData":{"DOI":"10.3748/wjg.v24.i45.5081","ISSN":"1007-9327","PMID":"30568386","abstract":"A large number of liver transplants have been performed for hepatocellular carcinoma (HCC), and recurrence is increasingly encountered. The recurrence of HCC after liver transplantation is notoriously difficult to manage. We hereby propose multi-disciplinary management with a systematic approach. The patient is jointly managed by the transplant surgeon, physician, oncologist and radiologist. Immunosuppressants should be tapered to the lowest effective dose to protect against rejection. The combination of a mammalian target of rapamycin inhibitor with a reduced calcineurin inhibitor could be considered with close monitoring of graft function and toxicity. Comprehensive staging can be performed by dual-tracer positron emission tomography-computed tomography or the combination of contrast computed tomography and a bone scan. In patients with disseminated recurrence, sorafenib confers survival benefits but is associated with significant drug toxicity. Oligo-recurrence encompasses recurrent disease that is limited in number and location so that loco-regional treatments convey disease control and survival benefits. Intra-hepatic recurrence can be managed with graft resection, but significant operative morbidity is expected. Radiofrequency ablation and stereotactic body radiation therapy (SBRT) are effective alternative strategies. In patients with more advanced hepatic disease, regional treatment with trans-arterial chemoembolization or intra-arterial Yttrium-90 can be considered. For patients with extra-hepatic oligo-recurrence, loco-regional treatment can be considered if practical. Patients with more than one site of recurrence are not always contraindicated for curative treatments. Surgical resection is effective for patients with pulmonary oligo-recurrence, but adequate lung function is a pre-requisite. SBRT is a non-invasive and effective modality that conveys local control to pulmonary and skeletal oligo-recurrences.","author":[{"dropping-particle":"","family":"Au","given":"Kin Pan","non-dropping-particle":"","parse-names":false,"suffix":""},{"dropping-particle":"","family":"Chok","given":"Kenneth Siu Ho","non-dropping-particle":"","parse-names":false,"suffix":""}],"container-title":"World Journal of Gastroenterology","id":"ITEM-1","issue":"45","issued":{"date-parts":[["2018","12","7"]]},"page":"5081-5094","title":"Multidisciplinary approach for post-liver transplant recurrence of hepatocellular carcinoma: A proposed management algorithm","type":"article-journal","volume":"24"},"uris":["http://www.mendeley.com/documents/?uuid=8db3b209-1d4c-3f95-96a3-a5c829e21f7d"]}],"mendeley":{"formattedCitation":"&lt;sup&gt;13&lt;/sup&gt;","plainTextFormattedCitation":"13","previouslyFormattedCitation":"&lt;sup&gt;13&lt;/sup&gt;"},"properties":{"noteIndex":0},"schema":"https://github.com/citation-style-language/schema/raw/master/csl-citation.json"}</w:instrText>
      </w:r>
      <w:r w:rsidR="007946E6" w:rsidRPr="00F740D9">
        <w:rPr>
          <w:rFonts w:ascii="Book Antiqua" w:hAnsi="Book Antiqua"/>
          <w:color w:val="000000" w:themeColor="text1"/>
          <w:szCs w:val="24"/>
          <w:vertAlign w:val="superscript"/>
        </w:rPr>
        <w:fldChar w:fldCharType="separate"/>
      </w:r>
      <w:r w:rsidR="00A228B7" w:rsidRPr="00F740D9">
        <w:rPr>
          <w:rFonts w:ascii="Book Antiqua" w:hAnsi="Book Antiqua"/>
          <w:noProof/>
          <w:color w:val="000000" w:themeColor="text1"/>
          <w:szCs w:val="24"/>
          <w:vertAlign w:val="superscript"/>
        </w:rPr>
        <w:t>13</w:t>
      </w:r>
      <w:r w:rsidR="007946E6" w:rsidRPr="00F740D9">
        <w:rPr>
          <w:rFonts w:ascii="Book Antiqua" w:hAnsi="Book Antiqua"/>
          <w:color w:val="000000" w:themeColor="text1"/>
          <w:szCs w:val="24"/>
          <w:vertAlign w:val="superscript"/>
        </w:rPr>
        <w:fldChar w:fldCharType="end"/>
      </w:r>
      <w:r w:rsidR="00AF289B" w:rsidRPr="00F740D9">
        <w:rPr>
          <w:rFonts w:ascii="Book Antiqua" w:hAnsi="Book Antiqua"/>
          <w:color w:val="000000" w:themeColor="text1"/>
          <w:szCs w:val="24"/>
          <w:vertAlign w:val="superscript"/>
        </w:rPr>
        <w:t>]</w:t>
      </w:r>
      <w:r w:rsidR="007946E6" w:rsidRPr="00F740D9">
        <w:rPr>
          <w:rFonts w:ascii="Book Antiqua" w:hAnsi="Book Antiqua"/>
          <w:color w:val="000000" w:themeColor="text1"/>
          <w:szCs w:val="24"/>
        </w:rPr>
        <w:t xml:space="preserve">. </w:t>
      </w:r>
      <w:r w:rsidR="004A59FD" w:rsidRPr="00F740D9">
        <w:rPr>
          <w:rFonts w:ascii="Book Antiqua" w:hAnsi="Book Antiqua"/>
          <w:color w:val="000000" w:themeColor="text1"/>
          <w:szCs w:val="24"/>
        </w:rPr>
        <w:t xml:space="preserve">To </w:t>
      </w:r>
      <w:r w:rsidR="00354597" w:rsidRPr="00F740D9">
        <w:rPr>
          <w:rFonts w:ascii="Book Antiqua" w:hAnsi="Book Antiqua"/>
          <w:color w:val="000000" w:themeColor="text1"/>
          <w:szCs w:val="24"/>
        </w:rPr>
        <w:t>address</w:t>
      </w:r>
      <w:r w:rsidR="004A59FD" w:rsidRPr="00F740D9">
        <w:rPr>
          <w:rFonts w:ascii="Book Antiqua" w:hAnsi="Book Antiqua"/>
          <w:color w:val="000000" w:themeColor="text1"/>
          <w:szCs w:val="24"/>
        </w:rPr>
        <w:t xml:space="preserve"> this </w:t>
      </w:r>
      <w:r w:rsidR="00C6569A" w:rsidRPr="00F740D9">
        <w:rPr>
          <w:rFonts w:ascii="Book Antiqua" w:hAnsi="Book Antiqua"/>
          <w:color w:val="000000" w:themeColor="text1"/>
          <w:szCs w:val="24"/>
        </w:rPr>
        <w:t>knowledge gap in the literature</w:t>
      </w:r>
      <w:r w:rsidR="004853EF" w:rsidRPr="00F740D9">
        <w:rPr>
          <w:rFonts w:ascii="Book Antiqua" w:hAnsi="Book Antiqua"/>
          <w:color w:val="000000" w:themeColor="text1"/>
          <w:szCs w:val="24"/>
        </w:rPr>
        <w:t>,</w:t>
      </w:r>
      <w:r w:rsidR="00DE1165" w:rsidRPr="00F740D9">
        <w:rPr>
          <w:rFonts w:ascii="Book Antiqua" w:hAnsi="Book Antiqua"/>
          <w:color w:val="000000" w:themeColor="text1"/>
          <w:szCs w:val="24"/>
        </w:rPr>
        <w:t xml:space="preserve"> the</w:t>
      </w:r>
      <w:r w:rsidRPr="00F740D9">
        <w:rPr>
          <w:rFonts w:ascii="Book Antiqua" w:hAnsi="Book Antiqua"/>
          <w:color w:val="000000" w:themeColor="text1"/>
          <w:szCs w:val="24"/>
        </w:rPr>
        <w:t xml:space="preserve"> current study </w:t>
      </w:r>
      <w:r w:rsidR="008B5E30" w:rsidRPr="00F740D9">
        <w:rPr>
          <w:rFonts w:ascii="Book Antiqua" w:hAnsi="Book Antiqua"/>
          <w:color w:val="000000" w:themeColor="text1"/>
          <w:szCs w:val="24"/>
        </w:rPr>
        <w:t>was</w:t>
      </w:r>
      <w:r w:rsidRPr="00F740D9">
        <w:rPr>
          <w:rFonts w:ascii="Book Antiqua" w:hAnsi="Book Antiqua"/>
          <w:color w:val="000000" w:themeColor="text1"/>
          <w:szCs w:val="24"/>
        </w:rPr>
        <w:t xml:space="preserve"> </w:t>
      </w:r>
      <w:r w:rsidR="00995F55" w:rsidRPr="00F740D9">
        <w:rPr>
          <w:rFonts w:ascii="Book Antiqua" w:hAnsi="Book Antiqua"/>
          <w:color w:val="000000" w:themeColor="text1"/>
          <w:szCs w:val="24"/>
        </w:rPr>
        <w:t>undertaken</w:t>
      </w:r>
      <w:r w:rsidRPr="00F740D9">
        <w:rPr>
          <w:rFonts w:ascii="Book Antiqua" w:hAnsi="Book Antiqua"/>
          <w:color w:val="000000" w:themeColor="text1"/>
          <w:szCs w:val="24"/>
        </w:rPr>
        <w:t xml:space="preserve"> to quantify survival following post-transplant HCC recurrence with regard to </w:t>
      </w:r>
      <w:r w:rsidR="00EE58CF">
        <w:rPr>
          <w:rFonts w:ascii="Book Antiqua" w:hAnsi="Book Antiqua"/>
          <w:color w:val="000000" w:themeColor="text1"/>
          <w:szCs w:val="24"/>
        </w:rPr>
        <w:t xml:space="preserve">the administration </w:t>
      </w:r>
      <w:r w:rsidR="00CC453F" w:rsidRPr="00F740D9">
        <w:rPr>
          <w:rFonts w:ascii="Book Antiqua" w:hAnsi="Book Antiqua"/>
          <w:color w:val="000000" w:themeColor="text1"/>
          <w:szCs w:val="24"/>
        </w:rPr>
        <w:t xml:space="preserve">of </w:t>
      </w:r>
      <w:r w:rsidRPr="00F740D9">
        <w:rPr>
          <w:rFonts w:ascii="Book Antiqua" w:hAnsi="Book Antiqua"/>
          <w:color w:val="000000" w:themeColor="text1"/>
          <w:szCs w:val="24"/>
        </w:rPr>
        <w:t>mTOR inhibitor</w:t>
      </w:r>
      <w:r w:rsidR="00CC453F" w:rsidRPr="00F740D9">
        <w:rPr>
          <w:rFonts w:ascii="Book Antiqua" w:hAnsi="Book Antiqua"/>
          <w:color w:val="000000" w:themeColor="text1"/>
          <w:szCs w:val="24"/>
        </w:rPr>
        <w:t>s</w:t>
      </w:r>
      <w:r w:rsidRPr="00F740D9">
        <w:rPr>
          <w:rFonts w:ascii="Book Antiqua" w:hAnsi="Book Antiqua"/>
          <w:color w:val="000000" w:themeColor="text1"/>
          <w:szCs w:val="24"/>
        </w:rPr>
        <w:t>.</w:t>
      </w:r>
    </w:p>
    <w:p w14:paraId="3D4BC511" w14:textId="1ED3ED94" w:rsidR="00AD3822" w:rsidRPr="00F740D9" w:rsidRDefault="00AD3822" w:rsidP="00BE6C9D">
      <w:pPr>
        <w:snapToGrid w:val="0"/>
        <w:spacing w:line="360" w:lineRule="auto"/>
        <w:jc w:val="both"/>
        <w:rPr>
          <w:rFonts w:ascii="Book Antiqua" w:hAnsi="Book Antiqua"/>
          <w:color w:val="000000" w:themeColor="text1"/>
          <w:szCs w:val="24"/>
        </w:rPr>
      </w:pPr>
    </w:p>
    <w:p w14:paraId="05A6F2D7" w14:textId="77777777" w:rsidR="00731DC4" w:rsidRPr="00F740D9" w:rsidRDefault="00731DC4" w:rsidP="00BE6C9D">
      <w:pPr>
        <w:adjustRightInd w:val="0"/>
        <w:snapToGrid w:val="0"/>
        <w:spacing w:line="360" w:lineRule="auto"/>
        <w:jc w:val="both"/>
        <w:rPr>
          <w:rFonts w:ascii="Book Antiqua" w:hAnsi="Book Antiqua"/>
          <w:b/>
          <w:color w:val="000000"/>
          <w:szCs w:val="24"/>
          <w:u w:val="single"/>
        </w:rPr>
      </w:pPr>
      <w:r w:rsidRPr="00F740D9">
        <w:rPr>
          <w:rFonts w:ascii="Book Antiqua" w:hAnsi="Book Antiqua"/>
          <w:b/>
          <w:color w:val="000000"/>
          <w:szCs w:val="24"/>
          <w:u w:val="single"/>
        </w:rPr>
        <w:t>MATERIALS AND METHODS</w:t>
      </w:r>
    </w:p>
    <w:p w14:paraId="37AA46A5" w14:textId="0E942202" w:rsidR="00BD1B8B" w:rsidRPr="002A2D42" w:rsidRDefault="00F3239B" w:rsidP="00BE6C9D">
      <w:pPr>
        <w:snapToGrid w:val="0"/>
        <w:spacing w:line="360" w:lineRule="auto"/>
        <w:jc w:val="both"/>
        <w:rPr>
          <w:rFonts w:ascii="Book Antiqua" w:hAnsi="Book Antiqua"/>
          <w:b/>
          <w:bCs/>
          <w:i/>
          <w:iCs/>
          <w:color w:val="000000" w:themeColor="text1"/>
          <w:szCs w:val="24"/>
        </w:rPr>
      </w:pPr>
      <w:r w:rsidRPr="00F740D9">
        <w:rPr>
          <w:rFonts w:ascii="Book Antiqua" w:hAnsi="Book Antiqua"/>
          <w:b/>
          <w:bCs/>
          <w:i/>
          <w:iCs/>
          <w:color w:val="000000" w:themeColor="text1"/>
          <w:szCs w:val="24"/>
        </w:rPr>
        <w:t>Patients</w:t>
      </w:r>
    </w:p>
    <w:p w14:paraId="5116010A" w14:textId="44740DE6" w:rsidR="00F3239B" w:rsidRPr="00F740D9" w:rsidRDefault="00AA3279" w:rsidP="00BE6C9D">
      <w:pPr>
        <w:snapToGrid w:val="0"/>
        <w:spacing w:line="360" w:lineRule="auto"/>
        <w:jc w:val="both"/>
        <w:rPr>
          <w:rFonts w:ascii="Book Antiqua" w:hAnsi="Book Antiqua"/>
          <w:color w:val="000000" w:themeColor="text1"/>
          <w:szCs w:val="24"/>
        </w:rPr>
      </w:pPr>
      <w:r w:rsidRPr="00F740D9">
        <w:rPr>
          <w:rFonts w:ascii="Book Antiqua" w:hAnsi="Book Antiqua"/>
          <w:color w:val="000000" w:themeColor="text1"/>
          <w:szCs w:val="24"/>
        </w:rPr>
        <w:t>A retrospective study was conducted at Queen Mary Hospital, the University of Hong Kong</w:t>
      </w:r>
      <w:r w:rsidR="00EE58CF">
        <w:rPr>
          <w:rFonts w:ascii="Book Antiqua" w:hAnsi="Book Antiqua"/>
          <w:color w:val="000000" w:themeColor="text1"/>
          <w:szCs w:val="24"/>
        </w:rPr>
        <w:t>, which</w:t>
      </w:r>
      <w:r w:rsidRPr="00F740D9">
        <w:rPr>
          <w:rFonts w:ascii="Book Antiqua" w:hAnsi="Book Antiqua"/>
          <w:color w:val="000000" w:themeColor="text1"/>
          <w:szCs w:val="24"/>
        </w:rPr>
        <w:t xml:space="preserve"> </w:t>
      </w:r>
      <w:r w:rsidR="00C54127" w:rsidRPr="00F740D9">
        <w:rPr>
          <w:rFonts w:ascii="Book Antiqua" w:hAnsi="Book Antiqua"/>
          <w:color w:val="000000" w:themeColor="text1"/>
          <w:szCs w:val="24"/>
        </w:rPr>
        <w:t>is</w:t>
      </w:r>
      <w:r w:rsidRPr="00F740D9">
        <w:rPr>
          <w:rFonts w:ascii="Book Antiqua" w:hAnsi="Book Antiqua"/>
          <w:color w:val="000000" w:themeColor="text1"/>
          <w:szCs w:val="24"/>
        </w:rPr>
        <w:t xml:space="preserve"> </w:t>
      </w:r>
      <w:r w:rsidR="00EE58CF">
        <w:rPr>
          <w:rFonts w:ascii="Book Antiqua" w:hAnsi="Book Antiqua"/>
          <w:color w:val="000000" w:themeColor="text1"/>
          <w:szCs w:val="24"/>
        </w:rPr>
        <w:t>a</w:t>
      </w:r>
      <w:r w:rsidRPr="00F740D9">
        <w:rPr>
          <w:rFonts w:ascii="Book Antiqua" w:hAnsi="Book Antiqua"/>
          <w:color w:val="000000" w:themeColor="text1"/>
          <w:szCs w:val="24"/>
        </w:rPr>
        <w:t xml:space="preserve"> tertiary referral centre and the only liver transplant centre in Hong Kong</w:t>
      </w:r>
      <w:r w:rsidR="00D246EF" w:rsidRPr="00F740D9">
        <w:rPr>
          <w:rFonts w:ascii="Book Antiqua" w:hAnsi="Book Antiqua"/>
          <w:color w:val="000000" w:themeColor="text1"/>
          <w:szCs w:val="24"/>
        </w:rPr>
        <w:t xml:space="preserve">. </w:t>
      </w:r>
      <w:r w:rsidR="00B01F05" w:rsidRPr="00F740D9">
        <w:rPr>
          <w:rFonts w:ascii="Book Antiqua" w:hAnsi="Book Antiqua"/>
          <w:color w:val="000000" w:themeColor="text1"/>
          <w:szCs w:val="24"/>
        </w:rPr>
        <w:t>Outpatient follow-up was arranged every 3 mo for p</w:t>
      </w:r>
      <w:r w:rsidR="00711499" w:rsidRPr="00F740D9">
        <w:rPr>
          <w:rFonts w:ascii="Book Antiqua" w:hAnsi="Book Antiqua"/>
          <w:color w:val="000000" w:themeColor="text1"/>
          <w:szCs w:val="24"/>
        </w:rPr>
        <w:t>atients transplanted for HCC</w:t>
      </w:r>
      <w:r w:rsidR="00B01F05" w:rsidRPr="00F740D9">
        <w:rPr>
          <w:rFonts w:ascii="Book Antiqua" w:hAnsi="Book Antiqua"/>
          <w:color w:val="000000" w:themeColor="text1"/>
          <w:szCs w:val="24"/>
        </w:rPr>
        <w:t>, during which c</w:t>
      </w:r>
      <w:r w:rsidR="00711499" w:rsidRPr="00F740D9">
        <w:rPr>
          <w:rFonts w:ascii="Book Antiqua" w:hAnsi="Book Antiqua"/>
          <w:color w:val="000000" w:themeColor="text1"/>
          <w:szCs w:val="24"/>
        </w:rPr>
        <w:t>linical examination and</w:t>
      </w:r>
      <w:r w:rsidR="00B01F05" w:rsidRPr="00F740D9">
        <w:rPr>
          <w:rFonts w:ascii="Book Antiqua" w:hAnsi="Book Antiqua"/>
          <w:color w:val="000000" w:themeColor="text1"/>
          <w:szCs w:val="24"/>
        </w:rPr>
        <w:t xml:space="preserve"> blood test</w:t>
      </w:r>
      <w:r w:rsidR="00651770" w:rsidRPr="00F740D9">
        <w:rPr>
          <w:rFonts w:ascii="Book Antiqua" w:hAnsi="Book Antiqua"/>
          <w:color w:val="000000" w:themeColor="text1"/>
          <w:szCs w:val="24"/>
        </w:rPr>
        <w:t>s</w:t>
      </w:r>
      <w:r w:rsidR="00B01F05" w:rsidRPr="00F740D9">
        <w:rPr>
          <w:rFonts w:ascii="Book Antiqua" w:hAnsi="Book Antiqua"/>
          <w:color w:val="000000" w:themeColor="text1"/>
          <w:szCs w:val="24"/>
        </w:rPr>
        <w:t xml:space="preserve"> for </w:t>
      </w:r>
      <w:r w:rsidR="00E11EE2" w:rsidRPr="00F740D9">
        <w:rPr>
          <w:rFonts w:ascii="Book Antiqua" w:hAnsi="Book Antiqua"/>
          <w:color w:val="000000" w:themeColor="text1"/>
          <w:szCs w:val="24"/>
        </w:rPr>
        <w:t xml:space="preserve">liver function and </w:t>
      </w:r>
      <w:r w:rsidR="00711499" w:rsidRPr="00F740D9">
        <w:rPr>
          <w:rFonts w:ascii="Book Antiqua" w:hAnsi="Book Antiqua"/>
          <w:color w:val="000000" w:themeColor="text1"/>
          <w:szCs w:val="24"/>
        </w:rPr>
        <w:t xml:space="preserve">alpha-fetoprotein </w:t>
      </w:r>
      <w:r w:rsidR="00BD1B8B" w:rsidRPr="00F740D9">
        <w:rPr>
          <w:rFonts w:ascii="Book Antiqua" w:hAnsi="Book Antiqua"/>
          <w:color w:val="000000" w:themeColor="text1"/>
          <w:szCs w:val="24"/>
        </w:rPr>
        <w:t>(AFP)</w:t>
      </w:r>
      <w:r w:rsidR="00651770" w:rsidRPr="00F740D9">
        <w:rPr>
          <w:rFonts w:ascii="Book Antiqua" w:hAnsi="Book Antiqua"/>
          <w:color w:val="000000" w:themeColor="text1"/>
          <w:szCs w:val="24"/>
        </w:rPr>
        <w:t xml:space="preserve"> were performed</w:t>
      </w:r>
      <w:r w:rsidR="00711499" w:rsidRPr="00F740D9">
        <w:rPr>
          <w:rFonts w:ascii="Book Antiqua" w:hAnsi="Book Antiqua"/>
          <w:color w:val="000000" w:themeColor="text1"/>
          <w:szCs w:val="24"/>
        </w:rPr>
        <w:t xml:space="preserve">. </w:t>
      </w:r>
      <w:r w:rsidR="00EE58CF">
        <w:rPr>
          <w:rFonts w:ascii="Book Antiqua" w:hAnsi="Book Antiqua"/>
          <w:color w:val="000000" w:themeColor="text1"/>
          <w:szCs w:val="24"/>
        </w:rPr>
        <w:t>A c</w:t>
      </w:r>
      <w:r w:rsidR="00711499" w:rsidRPr="00F740D9">
        <w:rPr>
          <w:rFonts w:ascii="Book Antiqua" w:hAnsi="Book Antiqua"/>
          <w:color w:val="000000" w:themeColor="text1"/>
          <w:szCs w:val="24"/>
        </w:rPr>
        <w:t>ontrast-enhanced computed tomography (CT) scan of the thorax and abdomen was performed at 6-month interval</w:t>
      </w:r>
      <w:r w:rsidR="00EE58CF">
        <w:rPr>
          <w:rFonts w:ascii="Book Antiqua" w:hAnsi="Book Antiqua"/>
          <w:color w:val="000000" w:themeColor="text1"/>
          <w:szCs w:val="24"/>
        </w:rPr>
        <w:t>s</w:t>
      </w:r>
      <w:r w:rsidR="00711499" w:rsidRPr="00F740D9">
        <w:rPr>
          <w:rFonts w:ascii="Book Antiqua" w:hAnsi="Book Antiqua"/>
          <w:color w:val="000000" w:themeColor="text1"/>
          <w:szCs w:val="24"/>
        </w:rPr>
        <w:t xml:space="preserve">. </w:t>
      </w:r>
      <w:r w:rsidR="00EE58CF">
        <w:rPr>
          <w:rFonts w:ascii="Book Antiqua" w:hAnsi="Book Antiqua"/>
          <w:color w:val="000000" w:themeColor="text1"/>
          <w:szCs w:val="24"/>
        </w:rPr>
        <w:t>The d</w:t>
      </w:r>
      <w:r w:rsidR="00711499" w:rsidRPr="00F740D9">
        <w:rPr>
          <w:rFonts w:ascii="Book Antiqua" w:hAnsi="Book Antiqua"/>
          <w:color w:val="000000" w:themeColor="text1"/>
          <w:szCs w:val="24"/>
        </w:rPr>
        <w:t xml:space="preserve">iagnosis of recurrent </w:t>
      </w:r>
      <w:r w:rsidR="00711499" w:rsidRPr="00F740D9">
        <w:rPr>
          <w:rFonts w:ascii="Book Antiqua" w:hAnsi="Book Antiqua"/>
          <w:color w:val="000000" w:themeColor="text1"/>
          <w:szCs w:val="24"/>
        </w:rPr>
        <w:lastRenderedPageBreak/>
        <w:t>HCC was</w:t>
      </w:r>
      <w:r w:rsidR="00734395" w:rsidRPr="00F740D9">
        <w:rPr>
          <w:rFonts w:ascii="Book Antiqua" w:hAnsi="Book Antiqua"/>
          <w:color w:val="000000" w:themeColor="text1"/>
          <w:szCs w:val="24"/>
        </w:rPr>
        <w:t xml:space="preserve"> primarily </w:t>
      </w:r>
      <w:r w:rsidR="00711499" w:rsidRPr="00F740D9">
        <w:rPr>
          <w:rFonts w:ascii="Book Antiqua" w:hAnsi="Book Antiqua"/>
          <w:color w:val="000000" w:themeColor="text1"/>
          <w:szCs w:val="24"/>
        </w:rPr>
        <w:t xml:space="preserve">radiological. </w:t>
      </w:r>
      <w:r w:rsidR="00C11E17" w:rsidRPr="00F740D9">
        <w:rPr>
          <w:rFonts w:ascii="Book Antiqua" w:hAnsi="Book Antiqua"/>
          <w:color w:val="000000" w:themeColor="text1"/>
          <w:szCs w:val="24"/>
        </w:rPr>
        <w:t>All consecutive patients diagnosed with recurrent HCC after liver transplantation between 2000 and 2019 were included in this study. The</w:t>
      </w:r>
      <w:r w:rsidR="00EE58CF">
        <w:rPr>
          <w:rFonts w:ascii="Book Antiqua" w:hAnsi="Book Antiqua"/>
          <w:color w:val="000000" w:themeColor="text1"/>
          <w:szCs w:val="24"/>
        </w:rPr>
        <w:t xml:space="preserve"> patients</w:t>
      </w:r>
      <w:r w:rsidR="00C11E17" w:rsidRPr="00F740D9">
        <w:rPr>
          <w:rFonts w:ascii="Book Antiqua" w:hAnsi="Book Antiqua"/>
          <w:color w:val="000000" w:themeColor="text1"/>
          <w:szCs w:val="24"/>
        </w:rPr>
        <w:t xml:space="preserve"> were divided into two groups based on whether they received </w:t>
      </w:r>
      <w:r w:rsidR="00FC6CB4">
        <w:rPr>
          <w:rFonts w:ascii="Book Antiqua" w:hAnsi="Book Antiqua"/>
          <w:color w:val="000000" w:themeColor="text1"/>
          <w:szCs w:val="24"/>
        </w:rPr>
        <w:t xml:space="preserve">an </w:t>
      </w:r>
      <w:r w:rsidR="00C11E17" w:rsidRPr="00F740D9">
        <w:rPr>
          <w:rFonts w:ascii="Book Antiqua" w:hAnsi="Book Antiqua"/>
          <w:color w:val="000000" w:themeColor="text1"/>
          <w:szCs w:val="24"/>
        </w:rPr>
        <w:t xml:space="preserve">mTOR inhibitor (sirolimus or everolimus) after recurrence. </w:t>
      </w:r>
      <w:r w:rsidR="00E11EE2" w:rsidRPr="00F740D9">
        <w:rPr>
          <w:rFonts w:ascii="Book Antiqua" w:hAnsi="Book Antiqua"/>
          <w:color w:val="000000" w:themeColor="text1"/>
          <w:szCs w:val="24"/>
        </w:rPr>
        <w:t xml:space="preserve">Abnormal liver function </w:t>
      </w:r>
      <w:r w:rsidR="00560811" w:rsidRPr="00F740D9">
        <w:rPr>
          <w:rFonts w:ascii="Book Antiqua" w:hAnsi="Book Antiqua"/>
          <w:color w:val="000000" w:themeColor="text1"/>
          <w:szCs w:val="24"/>
        </w:rPr>
        <w:t xml:space="preserve">during follow-up </w:t>
      </w:r>
      <w:r w:rsidR="00E11EE2" w:rsidRPr="00F740D9">
        <w:rPr>
          <w:rFonts w:ascii="Book Antiqua" w:hAnsi="Book Antiqua"/>
          <w:color w:val="000000" w:themeColor="text1"/>
          <w:szCs w:val="24"/>
        </w:rPr>
        <w:t>w</w:t>
      </w:r>
      <w:r w:rsidR="00EE58CF">
        <w:rPr>
          <w:rFonts w:ascii="Book Antiqua" w:hAnsi="Book Antiqua"/>
          <w:color w:val="000000" w:themeColor="text1"/>
          <w:szCs w:val="24"/>
        </w:rPr>
        <w:t>as</w:t>
      </w:r>
      <w:r w:rsidR="00E11EE2" w:rsidRPr="00F740D9">
        <w:rPr>
          <w:rFonts w:ascii="Book Antiqua" w:hAnsi="Book Antiqua"/>
          <w:color w:val="000000" w:themeColor="text1"/>
          <w:szCs w:val="24"/>
        </w:rPr>
        <w:t xml:space="preserve"> investigated with </w:t>
      </w:r>
      <w:r w:rsidR="00EE58CF">
        <w:rPr>
          <w:rFonts w:ascii="Book Antiqua" w:hAnsi="Book Antiqua"/>
          <w:color w:val="000000" w:themeColor="text1"/>
          <w:szCs w:val="24"/>
        </w:rPr>
        <w:t xml:space="preserve">a </w:t>
      </w:r>
      <w:r w:rsidR="00E11EE2" w:rsidRPr="00F740D9">
        <w:rPr>
          <w:rFonts w:ascii="Book Antiqua" w:hAnsi="Book Antiqua"/>
          <w:color w:val="000000" w:themeColor="text1"/>
          <w:szCs w:val="24"/>
        </w:rPr>
        <w:t xml:space="preserve">CT scan and/or liver biopsy as appropriate. </w:t>
      </w:r>
      <w:r w:rsidR="00963B03" w:rsidRPr="00F740D9">
        <w:rPr>
          <w:rFonts w:ascii="Book Antiqua" w:hAnsi="Book Antiqua"/>
          <w:color w:val="000000" w:themeColor="text1"/>
          <w:szCs w:val="24"/>
        </w:rPr>
        <w:t xml:space="preserve">Clinical suspicion </w:t>
      </w:r>
      <w:r w:rsidR="00EE58CF">
        <w:rPr>
          <w:rFonts w:ascii="Book Antiqua" w:hAnsi="Book Antiqua"/>
          <w:color w:val="000000" w:themeColor="text1"/>
          <w:szCs w:val="24"/>
        </w:rPr>
        <w:t>of</w:t>
      </w:r>
      <w:r w:rsidR="00963B03" w:rsidRPr="00F740D9">
        <w:rPr>
          <w:rFonts w:ascii="Book Antiqua" w:hAnsi="Book Antiqua"/>
          <w:color w:val="000000" w:themeColor="text1"/>
          <w:szCs w:val="24"/>
        </w:rPr>
        <w:t xml:space="preserve"> a</w:t>
      </w:r>
      <w:r w:rsidR="0036583F" w:rsidRPr="00F740D9">
        <w:rPr>
          <w:rFonts w:ascii="Book Antiqua" w:hAnsi="Book Antiqua"/>
          <w:color w:val="000000" w:themeColor="text1"/>
          <w:szCs w:val="24"/>
        </w:rPr>
        <w:t xml:space="preserve">cute rejection was </w:t>
      </w:r>
      <w:r w:rsidR="00832B26" w:rsidRPr="00F740D9">
        <w:rPr>
          <w:rFonts w:ascii="Book Antiqua" w:hAnsi="Book Antiqua"/>
          <w:color w:val="000000" w:themeColor="text1"/>
          <w:szCs w:val="24"/>
        </w:rPr>
        <w:t>confirmed by liver biopsy</w:t>
      </w:r>
      <w:r w:rsidR="0036583F" w:rsidRPr="00F740D9">
        <w:rPr>
          <w:rFonts w:ascii="Book Antiqua" w:hAnsi="Book Antiqua"/>
          <w:color w:val="000000" w:themeColor="text1"/>
          <w:szCs w:val="24"/>
        </w:rPr>
        <w:t>.</w:t>
      </w:r>
    </w:p>
    <w:p w14:paraId="7021286D" w14:textId="4318D568" w:rsidR="002C54C0" w:rsidRPr="00F740D9" w:rsidRDefault="002C54C0" w:rsidP="00BE6C9D">
      <w:pPr>
        <w:snapToGrid w:val="0"/>
        <w:spacing w:line="360" w:lineRule="auto"/>
        <w:jc w:val="both"/>
        <w:rPr>
          <w:rFonts w:ascii="Book Antiqua" w:hAnsi="Book Antiqua"/>
          <w:color w:val="000000" w:themeColor="text1"/>
          <w:szCs w:val="24"/>
        </w:rPr>
      </w:pPr>
    </w:p>
    <w:p w14:paraId="5083D55D" w14:textId="77777777" w:rsidR="000365E1" w:rsidRPr="00F740D9" w:rsidRDefault="000365E1" w:rsidP="00BE6C9D">
      <w:pPr>
        <w:snapToGrid w:val="0"/>
        <w:spacing w:line="360" w:lineRule="auto"/>
        <w:jc w:val="both"/>
        <w:rPr>
          <w:rFonts w:ascii="Book Antiqua" w:hAnsi="Book Antiqua"/>
          <w:b/>
          <w:bCs/>
          <w:i/>
          <w:iCs/>
          <w:color w:val="000000" w:themeColor="text1"/>
          <w:szCs w:val="24"/>
        </w:rPr>
      </w:pPr>
      <w:r w:rsidRPr="00F740D9">
        <w:rPr>
          <w:rFonts w:ascii="Book Antiqua" w:hAnsi="Book Antiqua"/>
          <w:b/>
          <w:bCs/>
          <w:i/>
          <w:iCs/>
          <w:color w:val="000000" w:themeColor="text1"/>
          <w:szCs w:val="24"/>
        </w:rPr>
        <w:t>Treatment</w:t>
      </w:r>
    </w:p>
    <w:p w14:paraId="0D664DEC" w14:textId="5935037A" w:rsidR="007F2CA2" w:rsidRPr="00F740D9" w:rsidRDefault="00F016B5" w:rsidP="00BE6C9D">
      <w:pPr>
        <w:snapToGrid w:val="0"/>
        <w:spacing w:line="360" w:lineRule="auto"/>
        <w:jc w:val="both"/>
        <w:rPr>
          <w:rFonts w:ascii="Book Antiqua" w:hAnsi="Book Antiqua"/>
          <w:color w:val="000000" w:themeColor="text1"/>
          <w:szCs w:val="24"/>
          <w:lang w:val="en-GB"/>
        </w:rPr>
      </w:pPr>
      <w:r w:rsidRPr="00F740D9">
        <w:rPr>
          <w:rFonts w:ascii="Book Antiqua" w:hAnsi="Book Antiqua"/>
          <w:color w:val="000000" w:themeColor="text1"/>
          <w:szCs w:val="24"/>
        </w:rPr>
        <w:t>Upon recurrence, i</w:t>
      </w:r>
      <w:r w:rsidR="001E7E01" w:rsidRPr="00F740D9">
        <w:rPr>
          <w:rFonts w:ascii="Book Antiqua" w:hAnsi="Book Antiqua"/>
          <w:color w:val="000000" w:themeColor="text1"/>
          <w:szCs w:val="24"/>
        </w:rPr>
        <w:t xml:space="preserve">mmunosuppression was tapered to the lowest effective dose. </w:t>
      </w:r>
      <w:r w:rsidR="00F255B2" w:rsidRPr="00F740D9">
        <w:rPr>
          <w:rFonts w:ascii="Book Antiqua" w:hAnsi="Book Antiqua"/>
          <w:color w:val="000000" w:themeColor="text1"/>
          <w:szCs w:val="24"/>
        </w:rPr>
        <w:t>Consideration</w:t>
      </w:r>
      <w:r w:rsidR="006E261F" w:rsidRPr="00F740D9">
        <w:rPr>
          <w:rFonts w:ascii="Book Antiqua" w:hAnsi="Book Antiqua"/>
          <w:color w:val="000000" w:themeColor="text1"/>
          <w:szCs w:val="24"/>
        </w:rPr>
        <w:t>s</w:t>
      </w:r>
      <w:r w:rsidR="00F255B2" w:rsidRPr="00F740D9">
        <w:rPr>
          <w:rFonts w:ascii="Book Antiqua" w:hAnsi="Book Antiqua"/>
          <w:color w:val="000000" w:themeColor="text1"/>
          <w:szCs w:val="24"/>
        </w:rPr>
        <w:t xml:space="preserve"> </w:t>
      </w:r>
      <w:r w:rsidR="006A0E07" w:rsidRPr="00F740D9">
        <w:rPr>
          <w:rFonts w:ascii="Book Antiqua" w:hAnsi="Book Antiqua"/>
          <w:color w:val="000000" w:themeColor="text1"/>
          <w:szCs w:val="24"/>
        </w:rPr>
        <w:t>were</w:t>
      </w:r>
      <w:r w:rsidR="00F255B2" w:rsidRPr="00F740D9">
        <w:rPr>
          <w:rFonts w:ascii="Book Antiqua" w:hAnsi="Book Antiqua"/>
          <w:color w:val="000000" w:themeColor="text1"/>
          <w:szCs w:val="24"/>
        </w:rPr>
        <w:t xml:space="preserve"> given to an mTOR-based regime, with</w:t>
      </w:r>
      <w:r w:rsidR="0059321F" w:rsidRPr="00F740D9">
        <w:rPr>
          <w:rFonts w:ascii="Book Antiqua" w:hAnsi="Book Antiqua"/>
          <w:color w:val="000000" w:themeColor="text1"/>
          <w:szCs w:val="24"/>
        </w:rPr>
        <w:t xml:space="preserve"> or without </w:t>
      </w:r>
      <w:r w:rsidR="00EE58CF">
        <w:rPr>
          <w:rFonts w:ascii="Book Antiqua" w:hAnsi="Book Antiqua"/>
          <w:color w:val="000000" w:themeColor="text1"/>
          <w:szCs w:val="24"/>
        </w:rPr>
        <w:t>a</w:t>
      </w:r>
      <w:r w:rsidR="001E7E01" w:rsidRPr="00F740D9">
        <w:rPr>
          <w:rFonts w:ascii="Book Antiqua" w:hAnsi="Book Antiqua"/>
          <w:color w:val="000000" w:themeColor="text1"/>
          <w:szCs w:val="24"/>
          <w:lang w:val="en-GB"/>
        </w:rPr>
        <w:t xml:space="preserve"> reduced dose </w:t>
      </w:r>
      <w:r w:rsidR="00EE58CF">
        <w:rPr>
          <w:rFonts w:ascii="Book Antiqua" w:hAnsi="Book Antiqua"/>
          <w:color w:val="000000" w:themeColor="text1"/>
          <w:szCs w:val="24"/>
          <w:lang w:val="en-GB"/>
        </w:rPr>
        <w:t xml:space="preserve">of </w:t>
      </w:r>
      <w:r w:rsidR="00F24319" w:rsidRPr="00F740D9">
        <w:rPr>
          <w:rFonts w:ascii="Book Antiqua" w:hAnsi="Book Antiqua"/>
          <w:color w:val="000000" w:themeColor="text1"/>
          <w:szCs w:val="24"/>
          <w:lang w:val="en-GB"/>
        </w:rPr>
        <w:t>CNI</w:t>
      </w:r>
      <w:r w:rsidR="001E7E01" w:rsidRPr="00F740D9">
        <w:rPr>
          <w:rFonts w:ascii="Book Antiqua" w:hAnsi="Book Antiqua"/>
          <w:color w:val="000000" w:themeColor="text1"/>
          <w:szCs w:val="24"/>
          <w:lang w:val="en-GB"/>
        </w:rPr>
        <w:t xml:space="preserve"> (</w:t>
      </w:r>
      <w:r w:rsidR="00F24319" w:rsidRPr="00F740D9">
        <w:rPr>
          <w:rFonts w:ascii="Book Antiqua" w:hAnsi="Book Antiqua"/>
          <w:color w:val="000000" w:themeColor="text1"/>
          <w:szCs w:val="24"/>
          <w:lang w:val="en-GB"/>
        </w:rPr>
        <w:t>tacrolimus with trough</w:t>
      </w:r>
      <w:r w:rsidR="001E7E01" w:rsidRPr="00F740D9">
        <w:rPr>
          <w:rFonts w:ascii="Book Antiqua" w:hAnsi="Book Antiqua"/>
          <w:color w:val="000000" w:themeColor="text1"/>
          <w:szCs w:val="24"/>
          <w:lang w:val="en-GB"/>
        </w:rPr>
        <w:t xml:space="preserve"> level &lt;</w:t>
      </w:r>
      <w:r w:rsidR="000A78AC" w:rsidRPr="00F740D9">
        <w:rPr>
          <w:rFonts w:ascii="Book Antiqua" w:hAnsi="Book Antiqua"/>
          <w:color w:val="000000" w:themeColor="text1"/>
          <w:szCs w:val="24"/>
          <w:lang w:val="en-GB"/>
        </w:rPr>
        <w:t xml:space="preserve"> </w:t>
      </w:r>
      <w:r w:rsidR="001E7E01" w:rsidRPr="00F740D9">
        <w:rPr>
          <w:rFonts w:ascii="Book Antiqua" w:hAnsi="Book Antiqua"/>
          <w:color w:val="000000" w:themeColor="text1"/>
          <w:szCs w:val="24"/>
          <w:lang w:val="en-GB"/>
        </w:rPr>
        <w:t xml:space="preserve">5 </w:t>
      </w:r>
      <w:r w:rsidR="000D71C3">
        <w:rPr>
          <w:rFonts w:ascii="Book Antiqua" w:hAnsi="Book Antiqua"/>
          <w:color w:val="000000" w:themeColor="text1"/>
          <w:szCs w:val="24"/>
          <w:lang w:val="en-GB"/>
        </w:rPr>
        <w:t>μ</w:t>
      </w:r>
      <w:r w:rsidR="001E7E01" w:rsidRPr="00F740D9">
        <w:rPr>
          <w:rFonts w:ascii="Book Antiqua" w:hAnsi="Book Antiqua"/>
          <w:color w:val="000000" w:themeColor="text1"/>
          <w:szCs w:val="24"/>
          <w:lang w:val="en-GB"/>
        </w:rPr>
        <w:t xml:space="preserve">g/L). </w:t>
      </w:r>
      <w:r w:rsidRPr="00F740D9">
        <w:rPr>
          <w:rFonts w:ascii="Book Antiqua" w:hAnsi="Book Antiqua"/>
          <w:color w:val="000000" w:themeColor="text1"/>
          <w:szCs w:val="24"/>
          <w:lang w:val="en-GB"/>
        </w:rPr>
        <w:t>T</w:t>
      </w:r>
      <w:r w:rsidR="001E7E01" w:rsidRPr="00F740D9">
        <w:rPr>
          <w:rFonts w:ascii="Book Antiqua" w:hAnsi="Book Antiqua"/>
          <w:color w:val="000000" w:themeColor="text1"/>
          <w:szCs w:val="24"/>
          <w:lang w:val="en-GB"/>
        </w:rPr>
        <w:t>he decision was individualized base</w:t>
      </w:r>
      <w:r w:rsidR="006A0E07" w:rsidRPr="00F740D9">
        <w:rPr>
          <w:rFonts w:ascii="Book Antiqua" w:hAnsi="Book Antiqua"/>
          <w:color w:val="000000" w:themeColor="text1"/>
          <w:szCs w:val="24"/>
          <w:lang w:val="en-GB"/>
        </w:rPr>
        <w:t>d</w:t>
      </w:r>
      <w:r w:rsidR="001E7E01" w:rsidRPr="00F740D9">
        <w:rPr>
          <w:rFonts w:ascii="Book Antiqua" w:hAnsi="Book Antiqua"/>
          <w:color w:val="000000" w:themeColor="text1"/>
          <w:szCs w:val="24"/>
          <w:lang w:val="en-GB"/>
        </w:rPr>
        <w:t xml:space="preserve"> on the patients’ general status, liver function and tumour status. </w:t>
      </w:r>
      <w:r w:rsidR="00073CFA" w:rsidRPr="00F740D9">
        <w:rPr>
          <w:rFonts w:ascii="Book Antiqua" w:hAnsi="Book Antiqua"/>
          <w:color w:val="000000" w:themeColor="text1"/>
          <w:szCs w:val="24"/>
          <w:lang w:val="en-GB"/>
        </w:rPr>
        <w:t xml:space="preserve">In this study, </w:t>
      </w:r>
      <w:r w:rsidR="00A81452" w:rsidRPr="00F740D9">
        <w:rPr>
          <w:rFonts w:ascii="Book Antiqua" w:hAnsi="Book Antiqua"/>
          <w:color w:val="000000" w:themeColor="text1"/>
          <w:szCs w:val="24"/>
          <w:lang w:val="en-GB"/>
        </w:rPr>
        <w:t xml:space="preserve">combination therapy </w:t>
      </w:r>
      <w:r w:rsidR="00853569" w:rsidRPr="00F740D9">
        <w:rPr>
          <w:rFonts w:ascii="Book Antiqua" w:hAnsi="Book Antiqua"/>
          <w:color w:val="000000" w:themeColor="text1"/>
          <w:szCs w:val="24"/>
          <w:lang w:val="en-GB"/>
        </w:rPr>
        <w:t xml:space="preserve">was defined </w:t>
      </w:r>
      <w:r w:rsidR="00EE58CF">
        <w:rPr>
          <w:rFonts w:ascii="Book Antiqua" w:hAnsi="Book Antiqua"/>
          <w:color w:val="000000" w:themeColor="text1"/>
          <w:szCs w:val="24"/>
          <w:lang w:val="en-GB"/>
        </w:rPr>
        <w:t>as</w:t>
      </w:r>
      <w:r w:rsidR="00853569" w:rsidRPr="00F740D9">
        <w:rPr>
          <w:rFonts w:ascii="Book Antiqua" w:hAnsi="Book Antiqua"/>
          <w:color w:val="000000" w:themeColor="text1"/>
          <w:szCs w:val="24"/>
          <w:lang w:val="en-GB"/>
        </w:rPr>
        <w:t xml:space="preserve"> </w:t>
      </w:r>
      <w:r w:rsidR="00EE58CF">
        <w:rPr>
          <w:rFonts w:ascii="Book Antiqua" w:hAnsi="Book Antiqua"/>
          <w:color w:val="000000" w:themeColor="text1"/>
          <w:szCs w:val="24"/>
          <w:lang w:val="en-GB"/>
        </w:rPr>
        <w:t xml:space="preserve">patients receiving </w:t>
      </w:r>
      <w:r w:rsidR="00EE58CF" w:rsidRPr="00F740D9">
        <w:rPr>
          <w:rFonts w:ascii="Book Antiqua" w:hAnsi="Book Antiqua"/>
          <w:color w:val="000000" w:themeColor="text1"/>
          <w:szCs w:val="24"/>
          <w:lang w:val="en-GB"/>
        </w:rPr>
        <w:t xml:space="preserve">both mTOR inhibitor and CNI </w:t>
      </w:r>
      <w:r w:rsidR="00EE58CF">
        <w:rPr>
          <w:rFonts w:ascii="Book Antiqua" w:hAnsi="Book Antiqua"/>
          <w:color w:val="000000" w:themeColor="text1"/>
          <w:szCs w:val="24"/>
          <w:lang w:val="en-GB"/>
        </w:rPr>
        <w:t xml:space="preserve">for </w:t>
      </w:r>
      <w:r w:rsidR="00432B53" w:rsidRPr="00F740D9">
        <w:rPr>
          <w:rFonts w:ascii="Book Antiqua" w:hAnsi="Book Antiqua"/>
          <w:color w:val="000000" w:themeColor="text1"/>
          <w:szCs w:val="24"/>
          <w:lang w:val="en-GB"/>
        </w:rPr>
        <w:t>more than 50% of the time</w:t>
      </w:r>
      <w:r w:rsidR="007F2CA2" w:rsidRPr="00F740D9">
        <w:rPr>
          <w:rFonts w:ascii="Book Antiqua" w:hAnsi="Book Antiqua"/>
          <w:color w:val="000000" w:themeColor="text1"/>
          <w:szCs w:val="24"/>
          <w:lang w:val="en-GB"/>
        </w:rPr>
        <w:t>.</w:t>
      </w:r>
    </w:p>
    <w:p w14:paraId="2DA0C2BF" w14:textId="76D3D9E5" w:rsidR="00BD1B8B" w:rsidRPr="00F740D9" w:rsidRDefault="00F016B5" w:rsidP="00BE6C9D">
      <w:pPr>
        <w:snapToGrid w:val="0"/>
        <w:spacing w:line="360" w:lineRule="auto"/>
        <w:ind w:firstLineChars="100" w:firstLine="240"/>
        <w:jc w:val="both"/>
        <w:rPr>
          <w:rFonts w:ascii="Book Antiqua" w:hAnsi="Book Antiqua"/>
          <w:color w:val="000000" w:themeColor="text1"/>
          <w:szCs w:val="24"/>
        </w:rPr>
      </w:pPr>
      <w:r w:rsidRPr="00F740D9">
        <w:rPr>
          <w:rFonts w:ascii="Book Antiqua" w:hAnsi="Book Antiqua"/>
          <w:color w:val="000000" w:themeColor="text1"/>
          <w:szCs w:val="24"/>
        </w:rPr>
        <w:t xml:space="preserve">Comprehensive staging was performed </w:t>
      </w:r>
      <w:r w:rsidR="00DA65C7" w:rsidRPr="00F740D9">
        <w:rPr>
          <w:rFonts w:ascii="Book Antiqua" w:hAnsi="Book Antiqua"/>
          <w:color w:val="000000" w:themeColor="text1"/>
          <w:szCs w:val="24"/>
        </w:rPr>
        <w:t>by</w:t>
      </w:r>
      <w:r w:rsidRPr="00F740D9">
        <w:rPr>
          <w:rFonts w:ascii="Book Antiqua" w:hAnsi="Book Antiqua"/>
          <w:color w:val="000000" w:themeColor="text1"/>
          <w:szCs w:val="24"/>
        </w:rPr>
        <w:t xml:space="preserve"> dual-tracer positron emission tomography or a combination of contrast CT </w:t>
      </w:r>
      <w:r w:rsidR="00DA65C7" w:rsidRPr="00F740D9">
        <w:rPr>
          <w:rFonts w:ascii="Book Antiqua" w:hAnsi="Book Antiqua"/>
          <w:color w:val="000000" w:themeColor="text1"/>
          <w:szCs w:val="24"/>
        </w:rPr>
        <w:t xml:space="preserve">scan of </w:t>
      </w:r>
      <w:r w:rsidR="00EE58CF">
        <w:rPr>
          <w:rFonts w:ascii="Book Antiqua" w:hAnsi="Book Antiqua"/>
          <w:color w:val="000000" w:themeColor="text1"/>
          <w:szCs w:val="24"/>
        </w:rPr>
        <w:t xml:space="preserve">the </w:t>
      </w:r>
      <w:r w:rsidR="00DA65C7" w:rsidRPr="00F740D9">
        <w:rPr>
          <w:rFonts w:ascii="Book Antiqua" w:hAnsi="Book Antiqua"/>
          <w:color w:val="000000" w:themeColor="text1"/>
          <w:szCs w:val="24"/>
        </w:rPr>
        <w:t>thorax and abdomen with</w:t>
      </w:r>
      <w:r w:rsidRPr="00F740D9">
        <w:rPr>
          <w:rFonts w:ascii="Book Antiqua" w:hAnsi="Book Antiqua"/>
          <w:color w:val="000000" w:themeColor="text1"/>
          <w:szCs w:val="24"/>
        </w:rPr>
        <w:t xml:space="preserve"> </w:t>
      </w:r>
      <w:r w:rsidR="001D3A80">
        <w:rPr>
          <w:rFonts w:ascii="Book Antiqua" w:hAnsi="Book Antiqua"/>
          <w:color w:val="000000" w:themeColor="text1"/>
          <w:szCs w:val="24"/>
        </w:rPr>
        <w:t xml:space="preserve">a </w:t>
      </w:r>
      <w:r w:rsidRPr="00F740D9">
        <w:rPr>
          <w:rFonts w:ascii="Book Antiqua" w:hAnsi="Book Antiqua"/>
          <w:color w:val="000000" w:themeColor="text1"/>
          <w:szCs w:val="24"/>
        </w:rPr>
        <w:t xml:space="preserve">bone scan. Patients with disseminated recurrence were </w:t>
      </w:r>
      <w:r w:rsidR="0043327D" w:rsidRPr="00F740D9">
        <w:rPr>
          <w:rFonts w:ascii="Book Antiqua" w:hAnsi="Book Antiqua"/>
          <w:color w:val="000000" w:themeColor="text1"/>
          <w:szCs w:val="24"/>
        </w:rPr>
        <w:t>reviewe</w:t>
      </w:r>
      <w:r w:rsidRPr="00F740D9">
        <w:rPr>
          <w:rFonts w:ascii="Book Antiqua" w:hAnsi="Book Antiqua"/>
          <w:color w:val="000000" w:themeColor="text1"/>
          <w:szCs w:val="24"/>
        </w:rPr>
        <w:t>d for targeted therapy</w:t>
      </w:r>
      <w:r w:rsidR="0043327D" w:rsidRPr="00F740D9">
        <w:rPr>
          <w:rFonts w:ascii="Book Antiqua" w:hAnsi="Book Antiqua"/>
          <w:color w:val="000000" w:themeColor="text1"/>
          <w:szCs w:val="24"/>
        </w:rPr>
        <w:t xml:space="preserve"> </w:t>
      </w:r>
      <w:r w:rsidR="0043327D" w:rsidRPr="00F740D9">
        <w:rPr>
          <w:rFonts w:ascii="Book Antiqua" w:hAnsi="Book Antiqua"/>
          <w:i/>
          <w:iCs/>
          <w:color w:val="000000" w:themeColor="text1"/>
          <w:szCs w:val="24"/>
        </w:rPr>
        <w:t>e.g.</w:t>
      </w:r>
      <w:r w:rsidR="000A78AC" w:rsidRPr="00F740D9">
        <w:rPr>
          <w:rFonts w:ascii="Book Antiqua" w:hAnsi="Book Antiqua"/>
          <w:color w:val="000000" w:themeColor="text1"/>
          <w:szCs w:val="24"/>
        </w:rPr>
        <w:t>,</w:t>
      </w:r>
      <w:r w:rsidRPr="00F740D9">
        <w:rPr>
          <w:rFonts w:ascii="Book Antiqua" w:hAnsi="Book Antiqua"/>
          <w:color w:val="000000" w:themeColor="text1"/>
          <w:szCs w:val="24"/>
        </w:rPr>
        <w:t xml:space="preserve"> sorafenib. Patients with o</w:t>
      </w:r>
      <w:r w:rsidR="008454C6" w:rsidRPr="00F740D9">
        <w:rPr>
          <w:rFonts w:ascii="Book Antiqua" w:hAnsi="Book Antiqua"/>
          <w:color w:val="000000" w:themeColor="text1"/>
          <w:szCs w:val="24"/>
        </w:rPr>
        <w:t xml:space="preserve">ligo-recurrence </w:t>
      </w:r>
      <w:r w:rsidRPr="00F740D9">
        <w:rPr>
          <w:rFonts w:ascii="Book Antiqua" w:hAnsi="Book Antiqua"/>
          <w:i/>
          <w:iCs/>
          <w:color w:val="000000" w:themeColor="text1"/>
          <w:szCs w:val="24"/>
        </w:rPr>
        <w:t>i.e.</w:t>
      </w:r>
      <w:r w:rsidR="000A78AC" w:rsidRPr="00F740D9">
        <w:rPr>
          <w:rFonts w:ascii="Book Antiqua" w:hAnsi="Book Antiqua"/>
          <w:color w:val="000000" w:themeColor="text1"/>
          <w:szCs w:val="24"/>
        </w:rPr>
        <w:t>,</w:t>
      </w:r>
      <w:r w:rsidRPr="00F740D9">
        <w:rPr>
          <w:rFonts w:ascii="Book Antiqua" w:hAnsi="Book Antiqua"/>
          <w:color w:val="000000" w:themeColor="text1"/>
          <w:szCs w:val="24"/>
        </w:rPr>
        <w:t xml:space="preserve"> </w:t>
      </w:r>
      <w:r w:rsidR="008454C6" w:rsidRPr="00F740D9">
        <w:rPr>
          <w:rFonts w:ascii="Book Antiqua" w:hAnsi="Book Antiqua"/>
          <w:color w:val="000000" w:themeColor="text1"/>
          <w:szCs w:val="24"/>
        </w:rPr>
        <w:t>recurrent disease limited in number and location</w:t>
      </w:r>
      <w:r w:rsidRPr="00F740D9">
        <w:rPr>
          <w:rFonts w:ascii="Book Antiqua" w:hAnsi="Book Antiqua"/>
          <w:color w:val="000000" w:themeColor="text1"/>
          <w:szCs w:val="24"/>
        </w:rPr>
        <w:t xml:space="preserve"> were selected for </w:t>
      </w:r>
      <w:r w:rsidR="008454C6" w:rsidRPr="00F740D9">
        <w:rPr>
          <w:rFonts w:ascii="Book Antiqua" w:hAnsi="Book Antiqua"/>
          <w:color w:val="000000" w:themeColor="text1"/>
          <w:szCs w:val="24"/>
        </w:rPr>
        <w:t>loco-regional treatment</w:t>
      </w:r>
      <w:r w:rsidR="0043327D" w:rsidRPr="00F740D9">
        <w:rPr>
          <w:rFonts w:ascii="Book Antiqua" w:hAnsi="Book Antiqua"/>
          <w:color w:val="000000" w:themeColor="text1"/>
          <w:szCs w:val="24"/>
        </w:rPr>
        <w:t>s</w:t>
      </w:r>
      <w:r w:rsidR="008454C6" w:rsidRPr="00F740D9">
        <w:rPr>
          <w:rFonts w:ascii="Book Antiqua" w:hAnsi="Book Antiqua"/>
          <w:color w:val="000000" w:themeColor="text1"/>
          <w:szCs w:val="24"/>
        </w:rPr>
        <w:t xml:space="preserve"> </w:t>
      </w:r>
      <w:r w:rsidRPr="00F740D9">
        <w:rPr>
          <w:rFonts w:ascii="Book Antiqua" w:hAnsi="Book Antiqua"/>
          <w:color w:val="000000" w:themeColor="text1"/>
          <w:szCs w:val="24"/>
        </w:rPr>
        <w:t>including surgery, trans-arterial chemoembolization and radiotherapy</w:t>
      </w:r>
      <w:r w:rsidR="000A78AC" w:rsidRPr="00F740D9">
        <w:rPr>
          <w:rFonts w:ascii="Book Antiqua" w:hAnsi="Book Antiqua"/>
          <w:color w:val="000000" w:themeColor="text1"/>
          <w:szCs w:val="24"/>
          <w:vertAlign w:val="superscript"/>
        </w:rPr>
        <w:t>[</w:t>
      </w:r>
      <w:r w:rsidR="00425DE2" w:rsidRPr="00F740D9">
        <w:rPr>
          <w:rFonts w:ascii="Book Antiqua" w:hAnsi="Book Antiqua"/>
          <w:color w:val="000000" w:themeColor="text1"/>
          <w:szCs w:val="24"/>
          <w:vertAlign w:val="superscript"/>
        </w:rPr>
        <w:fldChar w:fldCharType="begin" w:fldLock="1"/>
      </w:r>
      <w:r w:rsidR="00A228B7" w:rsidRPr="00F740D9">
        <w:rPr>
          <w:rFonts w:ascii="Book Antiqua" w:hAnsi="Book Antiqua"/>
          <w:color w:val="000000" w:themeColor="text1"/>
          <w:szCs w:val="24"/>
          <w:vertAlign w:val="superscript"/>
        </w:rPr>
        <w:instrText>ADDIN CSL_CITATION {"citationItems":[{"id":"ITEM-1","itemData":{"DOI":"10.3748/wjg.v24.i45.5081","ISSN":"1007-9327","PMID":"30568386","abstract":"A large number of liver transplants have been performed for hepatocellular carcinoma (HCC), and recurrence is increasingly encountered. The recurrence of HCC after liver transplantation is notoriously difficult to manage. We hereby propose multi-disciplinary management with a systematic approach. The patient is jointly managed by the transplant surgeon, physician, oncologist and radiologist. Immunosuppressants should be tapered to the lowest effective dose to protect against rejection. The combination of a mammalian target of rapamycin inhibitor with a reduced calcineurin inhibitor could be considered with close monitoring of graft function and toxicity. Comprehensive staging can be performed by dual-tracer positron emission tomography-computed tomography or the combination of contrast computed tomography and a bone scan. In patients with disseminated recurrence, sorafenib confers survival benefits but is associated with significant drug toxicity. Oligo-recurrence encompasses recurrent disease that is limited in number and location so that loco-regional treatments convey disease control and survival benefits. Intra-hepatic recurrence can be managed with graft resection, but significant operative morbidity is expected. Radiofrequency ablation and stereotactic body radiation therapy (SBRT) are effective alternative strategies. In patients with more advanced hepatic disease, regional treatment with trans-arterial chemoembolization or intra-arterial Yttrium-90 can be considered. For patients with extra-hepatic oligo-recurrence, loco-regional treatment can be considered if practical. Patients with more than one site of recurrence are not always contraindicated for curative treatments. Surgical resection is effective for patients with pulmonary oligo-recurrence, but adequate lung function is a pre-requisite. SBRT is a non-invasive and effective modality that conveys local control to pulmonary and skeletal oligo-recurrences.","author":[{"dropping-particle":"","family":"Au","given":"Kin Pan","non-dropping-particle":"","parse-names":false,"suffix":""},{"dropping-particle":"","family":"Chok","given":"Kenneth Siu Ho","non-dropping-particle":"","parse-names":false,"suffix":""}],"container-title":"World Journal of Gastroenterology","id":"ITEM-1","issue":"45","issued":{"date-parts":[["2018","12","7"]]},"page":"5081-5094","title":"Multidisciplinary approach for post-liver transplant recurrence of hepatocellular carcinoma: A proposed management algorithm","type":"article-journal","volume":"24"},"uris":["http://www.mendeley.com/documents/?uuid=8db3b209-1d4c-3f95-96a3-a5c829e21f7d"]}],"mendeley":{"formattedCitation":"&lt;sup&gt;13&lt;/sup&gt;","plainTextFormattedCitation":"13","previouslyFormattedCitation":"&lt;sup&gt;13&lt;/sup&gt;"},"properties":{"noteIndex":0},"schema":"https://github.com/citation-style-language/schema/raw/master/csl-citation.json"}</w:instrText>
      </w:r>
      <w:r w:rsidR="00425DE2" w:rsidRPr="00F740D9">
        <w:rPr>
          <w:rFonts w:ascii="Book Antiqua" w:hAnsi="Book Antiqua"/>
          <w:color w:val="000000" w:themeColor="text1"/>
          <w:szCs w:val="24"/>
          <w:vertAlign w:val="superscript"/>
        </w:rPr>
        <w:fldChar w:fldCharType="separate"/>
      </w:r>
      <w:r w:rsidR="00A228B7" w:rsidRPr="00F740D9">
        <w:rPr>
          <w:rFonts w:ascii="Book Antiqua" w:hAnsi="Book Antiqua"/>
          <w:noProof/>
          <w:color w:val="000000" w:themeColor="text1"/>
          <w:szCs w:val="24"/>
          <w:vertAlign w:val="superscript"/>
        </w:rPr>
        <w:t>13</w:t>
      </w:r>
      <w:r w:rsidR="00425DE2" w:rsidRPr="00F740D9">
        <w:rPr>
          <w:rFonts w:ascii="Book Antiqua" w:hAnsi="Book Antiqua"/>
          <w:color w:val="000000" w:themeColor="text1"/>
          <w:szCs w:val="24"/>
          <w:vertAlign w:val="superscript"/>
        </w:rPr>
        <w:fldChar w:fldCharType="end"/>
      </w:r>
      <w:r w:rsidR="000A78AC" w:rsidRPr="00F740D9">
        <w:rPr>
          <w:rFonts w:ascii="Book Antiqua" w:hAnsi="Book Antiqua"/>
          <w:color w:val="000000" w:themeColor="text1"/>
          <w:szCs w:val="24"/>
          <w:vertAlign w:val="superscript"/>
        </w:rPr>
        <w:t>]</w:t>
      </w:r>
      <w:r w:rsidRPr="00F740D9">
        <w:rPr>
          <w:rFonts w:ascii="Book Antiqua" w:hAnsi="Book Antiqua"/>
          <w:color w:val="000000" w:themeColor="text1"/>
          <w:szCs w:val="24"/>
        </w:rPr>
        <w:t xml:space="preserve">. </w:t>
      </w:r>
      <w:r w:rsidR="00DB72C9" w:rsidRPr="00F740D9">
        <w:rPr>
          <w:rFonts w:ascii="Book Antiqua" w:hAnsi="Book Antiqua"/>
          <w:color w:val="000000" w:themeColor="text1"/>
          <w:szCs w:val="24"/>
        </w:rPr>
        <w:t xml:space="preserve">The treatment decisions were discussed in a multidisciplinary tumour board among transplant surgeons, transplant hepatologists, radiation oncologists and medical oncologists. </w:t>
      </w:r>
    </w:p>
    <w:p w14:paraId="60301985" w14:textId="77777777" w:rsidR="00BD1B8B" w:rsidRPr="00F740D9" w:rsidRDefault="00BD1B8B" w:rsidP="00BE6C9D">
      <w:pPr>
        <w:snapToGrid w:val="0"/>
        <w:spacing w:line="360" w:lineRule="auto"/>
        <w:jc w:val="both"/>
        <w:rPr>
          <w:rFonts w:ascii="Book Antiqua" w:hAnsi="Book Antiqua"/>
          <w:color w:val="000000" w:themeColor="text1"/>
          <w:szCs w:val="24"/>
        </w:rPr>
      </w:pPr>
    </w:p>
    <w:p w14:paraId="2ABFE1B5" w14:textId="6C9D2620" w:rsidR="002C54C0" w:rsidRPr="00F740D9" w:rsidRDefault="002C54C0" w:rsidP="00BE6C9D">
      <w:pPr>
        <w:snapToGrid w:val="0"/>
        <w:spacing w:line="360" w:lineRule="auto"/>
        <w:jc w:val="both"/>
        <w:rPr>
          <w:rFonts w:ascii="Book Antiqua" w:hAnsi="Book Antiqua"/>
          <w:b/>
          <w:bCs/>
          <w:i/>
          <w:iCs/>
          <w:color w:val="000000" w:themeColor="text1"/>
          <w:szCs w:val="24"/>
        </w:rPr>
      </w:pPr>
      <w:r w:rsidRPr="00F740D9">
        <w:rPr>
          <w:rFonts w:ascii="Book Antiqua" w:hAnsi="Book Antiqua"/>
          <w:b/>
          <w:bCs/>
          <w:i/>
          <w:iCs/>
          <w:color w:val="000000" w:themeColor="text1"/>
          <w:szCs w:val="24"/>
        </w:rPr>
        <w:t>Data collection</w:t>
      </w:r>
      <w:r w:rsidR="000365E1" w:rsidRPr="00F740D9">
        <w:rPr>
          <w:rFonts w:ascii="Book Antiqua" w:hAnsi="Book Antiqua"/>
          <w:b/>
          <w:bCs/>
          <w:i/>
          <w:iCs/>
          <w:color w:val="000000" w:themeColor="text1"/>
          <w:szCs w:val="24"/>
        </w:rPr>
        <w:t xml:space="preserve">, </w:t>
      </w:r>
      <w:r w:rsidRPr="00F740D9">
        <w:rPr>
          <w:rFonts w:ascii="Book Antiqua" w:hAnsi="Book Antiqua"/>
          <w:b/>
          <w:bCs/>
          <w:i/>
          <w:iCs/>
          <w:color w:val="000000" w:themeColor="text1"/>
          <w:szCs w:val="24"/>
        </w:rPr>
        <w:t>outcomes</w:t>
      </w:r>
      <w:r w:rsidR="000365E1" w:rsidRPr="00F740D9">
        <w:rPr>
          <w:rFonts w:ascii="Book Antiqua" w:hAnsi="Book Antiqua"/>
          <w:b/>
          <w:bCs/>
          <w:i/>
          <w:iCs/>
          <w:color w:val="000000" w:themeColor="text1"/>
          <w:szCs w:val="24"/>
        </w:rPr>
        <w:t xml:space="preserve"> and statistics</w:t>
      </w:r>
    </w:p>
    <w:p w14:paraId="1C96E8B1" w14:textId="780BCFA7" w:rsidR="002C54C0" w:rsidRPr="00F740D9" w:rsidRDefault="000365E1" w:rsidP="00BE6C9D">
      <w:pPr>
        <w:snapToGrid w:val="0"/>
        <w:spacing w:line="360" w:lineRule="auto"/>
        <w:jc w:val="both"/>
        <w:rPr>
          <w:rFonts w:ascii="Book Antiqua" w:hAnsi="Book Antiqua"/>
          <w:color w:val="000000" w:themeColor="text1"/>
          <w:szCs w:val="24"/>
        </w:rPr>
      </w:pPr>
      <w:r w:rsidRPr="00F740D9">
        <w:rPr>
          <w:rFonts w:ascii="Book Antiqua" w:hAnsi="Book Antiqua"/>
          <w:color w:val="000000" w:themeColor="text1"/>
          <w:szCs w:val="24"/>
        </w:rPr>
        <w:t>Data w</w:t>
      </w:r>
      <w:r w:rsidR="001D3A80">
        <w:rPr>
          <w:rFonts w:ascii="Book Antiqua" w:hAnsi="Book Antiqua"/>
          <w:color w:val="000000" w:themeColor="text1"/>
          <w:szCs w:val="24"/>
        </w:rPr>
        <w:t>ere</w:t>
      </w:r>
      <w:r w:rsidRPr="00F740D9">
        <w:rPr>
          <w:rFonts w:ascii="Book Antiqua" w:hAnsi="Book Antiqua"/>
          <w:color w:val="000000" w:themeColor="text1"/>
          <w:szCs w:val="24"/>
        </w:rPr>
        <w:t xml:space="preserve"> retrieved from a prospectively maintained database. Patients were compared in terms of pre-transplant status, characteristics of recurrence and </w:t>
      </w:r>
      <w:r w:rsidR="00AA3288" w:rsidRPr="00F740D9">
        <w:rPr>
          <w:rFonts w:ascii="Book Antiqua" w:hAnsi="Book Antiqua"/>
          <w:color w:val="000000" w:themeColor="text1"/>
          <w:szCs w:val="24"/>
        </w:rPr>
        <w:t>the treatment</w:t>
      </w:r>
      <w:r w:rsidR="006A0E07" w:rsidRPr="00F740D9">
        <w:rPr>
          <w:rFonts w:ascii="Book Antiqua" w:hAnsi="Book Antiqua"/>
          <w:color w:val="000000" w:themeColor="text1"/>
          <w:szCs w:val="24"/>
        </w:rPr>
        <w:t>s</w:t>
      </w:r>
      <w:r w:rsidR="00AA3288" w:rsidRPr="00F740D9">
        <w:rPr>
          <w:rFonts w:ascii="Book Antiqua" w:hAnsi="Book Antiqua"/>
          <w:color w:val="000000" w:themeColor="text1"/>
          <w:szCs w:val="24"/>
        </w:rPr>
        <w:t xml:space="preserve"> they received. </w:t>
      </w:r>
      <w:r w:rsidR="001D3A80">
        <w:rPr>
          <w:rFonts w:ascii="Book Antiqua" w:hAnsi="Book Antiqua"/>
          <w:color w:val="000000" w:themeColor="text1"/>
          <w:szCs w:val="24"/>
        </w:rPr>
        <w:t>The c</w:t>
      </w:r>
      <w:r w:rsidR="00AA3288" w:rsidRPr="00F740D9">
        <w:rPr>
          <w:rFonts w:ascii="Book Antiqua" w:hAnsi="Book Antiqua"/>
          <w:color w:val="000000" w:themeColor="text1"/>
          <w:szCs w:val="24"/>
        </w:rPr>
        <w:t xml:space="preserve">haracteristics of recurrence included pattern (intra-, extra-hepatic or both), location, tumour load (number and size) and serum level of AFP. </w:t>
      </w:r>
      <w:r w:rsidR="002C54C0" w:rsidRPr="00F740D9">
        <w:rPr>
          <w:rFonts w:ascii="Book Antiqua" w:hAnsi="Book Antiqua"/>
          <w:color w:val="000000" w:themeColor="text1"/>
          <w:szCs w:val="24"/>
        </w:rPr>
        <w:t xml:space="preserve">The primary outcome was </w:t>
      </w:r>
      <w:r w:rsidRPr="00F740D9">
        <w:rPr>
          <w:rFonts w:ascii="Book Antiqua" w:hAnsi="Book Antiqua"/>
          <w:color w:val="000000" w:themeColor="text1"/>
          <w:szCs w:val="24"/>
        </w:rPr>
        <w:t>post-recurrence</w:t>
      </w:r>
      <w:r w:rsidR="002C54C0" w:rsidRPr="00F740D9">
        <w:rPr>
          <w:rFonts w:ascii="Book Antiqua" w:hAnsi="Book Antiqua"/>
          <w:color w:val="000000" w:themeColor="text1"/>
          <w:szCs w:val="24"/>
        </w:rPr>
        <w:t xml:space="preserve"> survival. </w:t>
      </w:r>
      <w:r w:rsidR="00711499" w:rsidRPr="00F740D9">
        <w:rPr>
          <w:rFonts w:ascii="Book Antiqua" w:hAnsi="Book Antiqua"/>
          <w:color w:val="000000" w:themeColor="text1"/>
          <w:szCs w:val="24"/>
        </w:rPr>
        <w:t>Categorical variables were compared with</w:t>
      </w:r>
      <w:r w:rsidR="001D3A80">
        <w:rPr>
          <w:rFonts w:ascii="Book Antiqua" w:hAnsi="Book Antiqua"/>
          <w:color w:val="000000" w:themeColor="text1"/>
          <w:szCs w:val="24"/>
        </w:rPr>
        <w:t xml:space="preserve"> the</w:t>
      </w:r>
      <w:r w:rsidR="00711499" w:rsidRPr="00F740D9">
        <w:rPr>
          <w:rFonts w:ascii="Book Antiqua" w:hAnsi="Book Antiqua"/>
          <w:color w:val="000000" w:themeColor="text1"/>
          <w:szCs w:val="24"/>
        </w:rPr>
        <w:t xml:space="preserve"> </w:t>
      </w:r>
      <w:bookmarkStart w:id="2" w:name="OLE_LINK7"/>
      <w:bookmarkStart w:id="3" w:name="OLE_LINK8"/>
      <w:r w:rsidR="00AB36EC" w:rsidRPr="00370F5A">
        <w:rPr>
          <w:rFonts w:ascii="Symbol" w:hAnsi="Symbol"/>
          <w:i/>
          <w:kern w:val="0"/>
          <w:szCs w:val="24"/>
        </w:rPr>
        <w:t></w:t>
      </w:r>
      <w:r w:rsidR="00AB36EC" w:rsidRPr="00FB2D51">
        <w:rPr>
          <w:rFonts w:ascii="Book Antiqua" w:hAnsi="Book Antiqua" w:hint="eastAsia"/>
          <w:szCs w:val="24"/>
          <w:vertAlign w:val="superscript"/>
        </w:rPr>
        <w:t>2</w:t>
      </w:r>
      <w:bookmarkEnd w:id="2"/>
      <w:bookmarkEnd w:id="3"/>
      <w:r w:rsidR="00103B81" w:rsidRPr="00F740D9">
        <w:rPr>
          <w:rFonts w:ascii="Book Antiqua" w:hAnsi="Book Antiqua"/>
          <w:color w:val="000000" w:themeColor="text1"/>
          <w:szCs w:val="24"/>
        </w:rPr>
        <w:t xml:space="preserve"> test. </w:t>
      </w:r>
      <w:r w:rsidR="002C54C0" w:rsidRPr="00F740D9">
        <w:rPr>
          <w:rFonts w:ascii="Book Antiqua" w:hAnsi="Book Antiqua"/>
          <w:color w:val="000000" w:themeColor="text1"/>
          <w:szCs w:val="24"/>
        </w:rPr>
        <w:t xml:space="preserve">Continuous variables </w:t>
      </w:r>
      <w:r w:rsidR="001D3A80">
        <w:rPr>
          <w:rFonts w:ascii="Book Antiqua" w:hAnsi="Book Antiqua"/>
          <w:color w:val="000000" w:themeColor="text1"/>
          <w:szCs w:val="24"/>
        </w:rPr>
        <w:lastRenderedPageBreak/>
        <w:t>are</w:t>
      </w:r>
      <w:r w:rsidR="002C54C0" w:rsidRPr="00F740D9">
        <w:rPr>
          <w:rFonts w:ascii="Book Antiqua" w:hAnsi="Book Antiqua"/>
          <w:color w:val="000000" w:themeColor="text1"/>
          <w:szCs w:val="24"/>
        </w:rPr>
        <w:t xml:space="preserve"> presented as median and interquartile range. </w:t>
      </w:r>
      <w:r w:rsidR="00103B81" w:rsidRPr="00F740D9">
        <w:rPr>
          <w:rFonts w:ascii="Book Antiqua" w:hAnsi="Book Antiqua"/>
          <w:color w:val="000000" w:themeColor="text1"/>
          <w:szCs w:val="24"/>
        </w:rPr>
        <w:t>Parametric and non-parametric variables were compared using</w:t>
      </w:r>
      <w:r w:rsidR="001D3A80">
        <w:rPr>
          <w:rFonts w:ascii="Book Antiqua" w:hAnsi="Book Antiqua"/>
          <w:color w:val="000000" w:themeColor="text1"/>
          <w:szCs w:val="24"/>
        </w:rPr>
        <w:t xml:space="preserve"> the</w:t>
      </w:r>
      <w:r w:rsidR="00103B81" w:rsidRPr="00F740D9">
        <w:rPr>
          <w:rFonts w:ascii="Book Antiqua" w:hAnsi="Book Antiqua"/>
          <w:color w:val="000000" w:themeColor="text1"/>
          <w:szCs w:val="24"/>
        </w:rPr>
        <w:t xml:space="preserve"> </w:t>
      </w:r>
      <w:r w:rsidR="00103B81" w:rsidRPr="00F740D9">
        <w:rPr>
          <w:rFonts w:ascii="Book Antiqua" w:hAnsi="Book Antiqua"/>
          <w:i/>
          <w:iCs/>
          <w:color w:val="000000" w:themeColor="text1"/>
          <w:szCs w:val="24"/>
        </w:rPr>
        <w:t>t</w:t>
      </w:r>
      <w:r w:rsidR="00103B81" w:rsidRPr="00F740D9">
        <w:rPr>
          <w:rFonts w:ascii="Book Antiqua" w:hAnsi="Book Antiqua"/>
          <w:color w:val="000000" w:themeColor="text1"/>
          <w:szCs w:val="24"/>
        </w:rPr>
        <w:t>-test and Man</w:t>
      </w:r>
      <w:r w:rsidR="001D3A80">
        <w:rPr>
          <w:rFonts w:ascii="Book Antiqua" w:hAnsi="Book Antiqua"/>
          <w:color w:val="000000" w:themeColor="text1"/>
          <w:szCs w:val="24"/>
        </w:rPr>
        <w:t>n</w:t>
      </w:r>
      <w:r w:rsidR="00103B81" w:rsidRPr="00F740D9">
        <w:rPr>
          <w:rFonts w:ascii="Book Antiqua" w:hAnsi="Book Antiqua"/>
          <w:color w:val="000000" w:themeColor="text1"/>
          <w:szCs w:val="24"/>
        </w:rPr>
        <w:t xml:space="preserve">-Whitney </w:t>
      </w:r>
      <w:r w:rsidR="00103B81" w:rsidRPr="007D6CB7">
        <w:rPr>
          <w:rFonts w:ascii="Book Antiqua" w:hAnsi="Book Antiqua"/>
          <w:i/>
          <w:color w:val="000000" w:themeColor="text1"/>
          <w:szCs w:val="24"/>
        </w:rPr>
        <w:t>U</w:t>
      </w:r>
      <w:r w:rsidR="00103B81" w:rsidRPr="00F740D9">
        <w:rPr>
          <w:rFonts w:ascii="Book Antiqua" w:hAnsi="Book Antiqua"/>
          <w:color w:val="000000" w:themeColor="text1"/>
          <w:szCs w:val="24"/>
        </w:rPr>
        <w:t xml:space="preserve"> test</w:t>
      </w:r>
      <w:r w:rsidR="001D3A80">
        <w:rPr>
          <w:rFonts w:ascii="Book Antiqua" w:hAnsi="Book Antiqua"/>
          <w:color w:val="000000" w:themeColor="text1"/>
          <w:szCs w:val="24"/>
        </w:rPr>
        <w:t>,</w:t>
      </w:r>
      <w:r w:rsidR="00103B81" w:rsidRPr="00F740D9">
        <w:rPr>
          <w:rFonts w:ascii="Book Antiqua" w:hAnsi="Book Antiqua"/>
          <w:color w:val="000000" w:themeColor="text1"/>
          <w:szCs w:val="24"/>
        </w:rPr>
        <w:t xml:space="preserve"> respectively. Survival w</w:t>
      </w:r>
      <w:r w:rsidR="001D3A80">
        <w:rPr>
          <w:rFonts w:ascii="Book Antiqua" w:hAnsi="Book Antiqua"/>
          <w:color w:val="000000" w:themeColor="text1"/>
          <w:szCs w:val="24"/>
        </w:rPr>
        <w:t>as assessed</w:t>
      </w:r>
      <w:r w:rsidR="00103B81" w:rsidRPr="00F740D9">
        <w:rPr>
          <w:rFonts w:ascii="Book Antiqua" w:hAnsi="Book Antiqua"/>
          <w:color w:val="000000" w:themeColor="text1"/>
          <w:szCs w:val="24"/>
        </w:rPr>
        <w:t xml:space="preserve"> </w:t>
      </w:r>
      <w:r w:rsidR="00FC6CB4">
        <w:rPr>
          <w:rFonts w:ascii="Book Antiqua" w:hAnsi="Book Antiqua"/>
          <w:color w:val="000000" w:themeColor="text1"/>
          <w:szCs w:val="24"/>
        </w:rPr>
        <w:t>by</w:t>
      </w:r>
      <w:r w:rsidR="00103B81" w:rsidRPr="00F740D9">
        <w:rPr>
          <w:rFonts w:ascii="Book Antiqua" w:hAnsi="Book Antiqua"/>
          <w:color w:val="000000" w:themeColor="text1"/>
          <w:szCs w:val="24"/>
        </w:rPr>
        <w:t xml:space="preserve"> </w:t>
      </w:r>
      <w:r w:rsidR="001D3A80">
        <w:rPr>
          <w:rFonts w:ascii="Book Antiqua" w:hAnsi="Book Antiqua"/>
          <w:color w:val="000000" w:themeColor="text1"/>
          <w:szCs w:val="24"/>
        </w:rPr>
        <w:t xml:space="preserve">the </w:t>
      </w:r>
      <w:r w:rsidR="00103B81" w:rsidRPr="00F740D9">
        <w:rPr>
          <w:rFonts w:ascii="Book Antiqua" w:hAnsi="Book Antiqua"/>
          <w:color w:val="000000" w:themeColor="text1"/>
          <w:szCs w:val="24"/>
        </w:rPr>
        <w:t>Kaplan-Meier method</w:t>
      </w:r>
      <w:r w:rsidR="0047090F" w:rsidRPr="00F740D9">
        <w:rPr>
          <w:rFonts w:ascii="Book Antiqua" w:hAnsi="Book Antiqua"/>
          <w:color w:val="000000" w:themeColor="text1"/>
          <w:szCs w:val="24"/>
        </w:rPr>
        <w:t>. Potential confounding factors were</w:t>
      </w:r>
      <w:r w:rsidR="00103B81" w:rsidRPr="00F740D9">
        <w:rPr>
          <w:rFonts w:ascii="Book Antiqua" w:hAnsi="Book Antiqua"/>
          <w:color w:val="000000" w:themeColor="text1"/>
          <w:szCs w:val="24"/>
        </w:rPr>
        <w:t xml:space="preserve"> compared with univariate and multivariate Cox-regression analysis. Data w</w:t>
      </w:r>
      <w:r w:rsidR="001D3A80">
        <w:rPr>
          <w:rFonts w:ascii="Book Antiqua" w:hAnsi="Book Antiqua"/>
          <w:color w:val="000000" w:themeColor="text1"/>
          <w:szCs w:val="24"/>
        </w:rPr>
        <w:t>ere</w:t>
      </w:r>
      <w:r w:rsidR="00103B81" w:rsidRPr="00F740D9">
        <w:rPr>
          <w:rFonts w:ascii="Book Antiqua" w:hAnsi="Book Antiqua"/>
          <w:color w:val="000000" w:themeColor="text1"/>
          <w:szCs w:val="24"/>
        </w:rPr>
        <w:t xml:space="preserve"> </w:t>
      </w:r>
      <w:r w:rsidR="00AA3288" w:rsidRPr="00F740D9">
        <w:rPr>
          <w:rFonts w:ascii="Book Antiqua" w:hAnsi="Book Antiqua"/>
          <w:color w:val="000000" w:themeColor="text1"/>
          <w:szCs w:val="24"/>
        </w:rPr>
        <w:t>analyzed</w:t>
      </w:r>
      <w:r w:rsidR="00BD1B8B" w:rsidRPr="00F740D9">
        <w:rPr>
          <w:rFonts w:ascii="Book Antiqua" w:hAnsi="Book Antiqua"/>
          <w:color w:val="000000" w:themeColor="text1"/>
          <w:szCs w:val="24"/>
        </w:rPr>
        <w:t xml:space="preserve"> using</w:t>
      </w:r>
      <w:r w:rsidR="00103B81" w:rsidRPr="00F740D9">
        <w:rPr>
          <w:rFonts w:ascii="Book Antiqua" w:hAnsi="Book Antiqua"/>
          <w:color w:val="000000" w:themeColor="text1"/>
          <w:szCs w:val="24"/>
        </w:rPr>
        <w:t xml:space="preserve"> </w:t>
      </w:r>
      <w:r w:rsidR="001D3A80">
        <w:rPr>
          <w:rFonts w:ascii="Book Antiqua" w:hAnsi="Book Antiqua"/>
          <w:color w:val="000000" w:themeColor="text1"/>
          <w:szCs w:val="24"/>
        </w:rPr>
        <w:t xml:space="preserve">the </w:t>
      </w:r>
      <w:r w:rsidR="00103B81" w:rsidRPr="00F740D9">
        <w:rPr>
          <w:rFonts w:ascii="Book Antiqua" w:hAnsi="Book Antiqua"/>
          <w:color w:val="000000" w:themeColor="text1"/>
          <w:szCs w:val="24"/>
        </w:rPr>
        <w:t>Statistical Package for the Social Sciences 16.0 (SPSS) for Windows (SPSS Inc., Chicago, IL</w:t>
      </w:r>
      <w:r w:rsidR="0081782A">
        <w:rPr>
          <w:rFonts w:ascii="Book Antiqua" w:eastAsia="DengXian" w:hAnsi="Book Antiqua" w:hint="eastAsia"/>
          <w:color w:val="000000" w:themeColor="text1"/>
          <w:szCs w:val="24"/>
          <w:lang w:eastAsia="zh-CN"/>
        </w:rPr>
        <w:t>, United States</w:t>
      </w:r>
      <w:r w:rsidR="00103B81" w:rsidRPr="00F740D9">
        <w:rPr>
          <w:rFonts w:ascii="Book Antiqua" w:hAnsi="Book Antiqua"/>
          <w:color w:val="000000" w:themeColor="text1"/>
          <w:szCs w:val="24"/>
        </w:rPr>
        <w:t xml:space="preserve">). Statistical significance was defined </w:t>
      </w:r>
      <w:r w:rsidR="001D3A80">
        <w:rPr>
          <w:rFonts w:ascii="Book Antiqua" w:hAnsi="Book Antiqua"/>
          <w:color w:val="000000" w:themeColor="text1"/>
          <w:szCs w:val="24"/>
        </w:rPr>
        <w:t>as a</w:t>
      </w:r>
      <w:r w:rsidR="00103B81" w:rsidRPr="00F740D9">
        <w:rPr>
          <w:rFonts w:ascii="Book Antiqua" w:hAnsi="Book Antiqua"/>
          <w:color w:val="000000" w:themeColor="text1"/>
          <w:szCs w:val="24"/>
        </w:rPr>
        <w:t xml:space="preserve"> </w:t>
      </w:r>
      <w:r w:rsidR="00AF289B" w:rsidRPr="00F740D9">
        <w:rPr>
          <w:rFonts w:ascii="Book Antiqua" w:hAnsi="Book Antiqua"/>
          <w:i/>
          <w:iCs/>
          <w:color w:val="000000" w:themeColor="text1"/>
          <w:szCs w:val="24"/>
        </w:rPr>
        <w:t>P</w:t>
      </w:r>
      <w:r w:rsidR="00103B81" w:rsidRPr="00F740D9">
        <w:rPr>
          <w:rFonts w:ascii="Book Antiqua" w:hAnsi="Book Antiqua"/>
          <w:color w:val="000000" w:themeColor="text1"/>
          <w:szCs w:val="24"/>
        </w:rPr>
        <w:t>-value &lt;</w:t>
      </w:r>
      <w:r w:rsidR="000A78AC" w:rsidRPr="00F740D9">
        <w:rPr>
          <w:rFonts w:ascii="Book Antiqua" w:hAnsi="Book Antiqua"/>
          <w:color w:val="000000" w:themeColor="text1"/>
          <w:szCs w:val="24"/>
        </w:rPr>
        <w:t xml:space="preserve"> </w:t>
      </w:r>
      <w:r w:rsidR="00103B81" w:rsidRPr="00F740D9">
        <w:rPr>
          <w:rFonts w:ascii="Book Antiqua" w:hAnsi="Book Antiqua"/>
          <w:color w:val="000000" w:themeColor="text1"/>
          <w:szCs w:val="24"/>
        </w:rPr>
        <w:t>0.05.</w:t>
      </w:r>
    </w:p>
    <w:p w14:paraId="1C9288D1" w14:textId="1AA1D236" w:rsidR="002C54C0" w:rsidRPr="00F740D9" w:rsidRDefault="002C54C0" w:rsidP="00BE6C9D">
      <w:pPr>
        <w:snapToGrid w:val="0"/>
        <w:spacing w:line="360" w:lineRule="auto"/>
        <w:jc w:val="both"/>
        <w:rPr>
          <w:rFonts w:ascii="Book Antiqua" w:hAnsi="Book Antiqua"/>
          <w:color w:val="000000" w:themeColor="text1"/>
          <w:szCs w:val="24"/>
        </w:rPr>
      </w:pPr>
    </w:p>
    <w:p w14:paraId="5F1DC79A" w14:textId="77777777" w:rsidR="00731DC4" w:rsidRPr="00F740D9" w:rsidRDefault="00731DC4" w:rsidP="00BE6C9D">
      <w:pPr>
        <w:adjustRightInd w:val="0"/>
        <w:snapToGrid w:val="0"/>
        <w:spacing w:line="360" w:lineRule="auto"/>
        <w:jc w:val="both"/>
        <w:rPr>
          <w:rFonts w:ascii="Book Antiqua" w:hAnsi="Book Antiqua"/>
          <w:b/>
          <w:color w:val="000000"/>
          <w:szCs w:val="24"/>
          <w:u w:val="single"/>
        </w:rPr>
      </w:pPr>
      <w:r w:rsidRPr="00F740D9">
        <w:rPr>
          <w:rFonts w:ascii="Book Antiqua" w:hAnsi="Book Antiqua"/>
          <w:b/>
          <w:color w:val="000000"/>
          <w:szCs w:val="24"/>
          <w:u w:val="single"/>
        </w:rPr>
        <w:t>RESULTS</w:t>
      </w:r>
    </w:p>
    <w:p w14:paraId="67DA2458" w14:textId="3BBDDFB7" w:rsidR="00A94C7C" w:rsidRPr="00F740D9" w:rsidRDefault="002B4C97" w:rsidP="00BE6C9D">
      <w:pPr>
        <w:snapToGrid w:val="0"/>
        <w:spacing w:line="360" w:lineRule="auto"/>
        <w:jc w:val="both"/>
        <w:rPr>
          <w:rFonts w:ascii="Book Antiqua" w:hAnsi="Book Antiqua"/>
          <w:color w:val="000000" w:themeColor="text1"/>
          <w:szCs w:val="24"/>
        </w:rPr>
      </w:pPr>
      <w:r w:rsidRPr="00F740D9">
        <w:rPr>
          <w:rFonts w:ascii="Book Antiqua" w:hAnsi="Book Antiqua"/>
          <w:color w:val="000000" w:themeColor="text1"/>
          <w:szCs w:val="24"/>
        </w:rPr>
        <w:t xml:space="preserve">During the study period from January 2000 to December 2019, </w:t>
      </w:r>
      <w:r w:rsidR="00C52601" w:rsidRPr="00F740D9">
        <w:rPr>
          <w:rFonts w:ascii="Book Antiqua" w:hAnsi="Book Antiqua"/>
          <w:color w:val="000000" w:themeColor="text1"/>
          <w:szCs w:val="24"/>
        </w:rPr>
        <w:t xml:space="preserve">143 </w:t>
      </w:r>
      <w:r w:rsidRPr="00F740D9">
        <w:rPr>
          <w:rFonts w:ascii="Book Antiqua" w:hAnsi="Book Antiqua"/>
          <w:color w:val="000000" w:themeColor="text1"/>
          <w:szCs w:val="24"/>
        </w:rPr>
        <w:t>patients were diagnosed with post-transplant HCC recurrence</w:t>
      </w:r>
      <w:r w:rsidR="00C52601" w:rsidRPr="00F740D9">
        <w:rPr>
          <w:rFonts w:ascii="Book Antiqua" w:hAnsi="Book Antiqua"/>
          <w:color w:val="000000" w:themeColor="text1"/>
          <w:szCs w:val="24"/>
        </w:rPr>
        <w:t xml:space="preserve"> and they </w:t>
      </w:r>
      <w:r w:rsidR="009253A1" w:rsidRPr="00F740D9">
        <w:rPr>
          <w:rFonts w:ascii="Book Antiqua" w:hAnsi="Book Antiqua"/>
          <w:color w:val="000000" w:themeColor="text1"/>
          <w:szCs w:val="24"/>
        </w:rPr>
        <w:t>formed the basis of this study.</w:t>
      </w:r>
      <w:r w:rsidR="00C52601" w:rsidRPr="00F740D9">
        <w:rPr>
          <w:rFonts w:ascii="Book Antiqua" w:hAnsi="Book Antiqua"/>
          <w:color w:val="000000" w:themeColor="text1"/>
          <w:szCs w:val="24"/>
        </w:rPr>
        <w:t xml:space="preserve"> </w:t>
      </w:r>
      <w:r w:rsidR="00831F87" w:rsidRPr="00F740D9">
        <w:rPr>
          <w:rFonts w:ascii="Book Antiqua" w:hAnsi="Book Antiqua"/>
          <w:color w:val="000000" w:themeColor="text1"/>
          <w:szCs w:val="24"/>
        </w:rPr>
        <w:t xml:space="preserve">Of </w:t>
      </w:r>
      <w:r w:rsidR="00937FD2" w:rsidRPr="00F740D9">
        <w:rPr>
          <w:rFonts w:ascii="Book Antiqua" w:hAnsi="Book Antiqua"/>
          <w:color w:val="000000" w:themeColor="text1"/>
          <w:szCs w:val="24"/>
        </w:rPr>
        <w:t>th</w:t>
      </w:r>
      <w:r w:rsidR="00043C12">
        <w:rPr>
          <w:rFonts w:ascii="Book Antiqua" w:hAnsi="Book Antiqua"/>
          <w:color w:val="000000" w:themeColor="text1"/>
          <w:szCs w:val="24"/>
        </w:rPr>
        <w:t>e</w:t>
      </w:r>
      <w:r w:rsidR="00937FD2" w:rsidRPr="00F740D9">
        <w:rPr>
          <w:rFonts w:ascii="Book Antiqua" w:hAnsi="Book Antiqua"/>
          <w:color w:val="000000" w:themeColor="text1"/>
          <w:szCs w:val="24"/>
        </w:rPr>
        <w:t>se</w:t>
      </w:r>
      <w:r w:rsidR="00043C12">
        <w:rPr>
          <w:rFonts w:ascii="Book Antiqua" w:hAnsi="Book Antiqua"/>
          <w:color w:val="000000" w:themeColor="text1"/>
          <w:szCs w:val="24"/>
        </w:rPr>
        <w:t xml:space="preserve"> patients</w:t>
      </w:r>
      <w:r w:rsidR="00937FD2" w:rsidRPr="00F740D9">
        <w:rPr>
          <w:rFonts w:ascii="Book Antiqua" w:hAnsi="Book Antiqua"/>
          <w:color w:val="000000" w:themeColor="text1"/>
          <w:szCs w:val="24"/>
        </w:rPr>
        <w:t>, 59 (41%) received liver transplantation in our centre</w:t>
      </w:r>
      <w:r w:rsidR="00043C12">
        <w:rPr>
          <w:rFonts w:ascii="Book Antiqua" w:hAnsi="Book Antiqua"/>
          <w:color w:val="000000" w:themeColor="text1"/>
          <w:szCs w:val="24"/>
        </w:rPr>
        <w:t>,</w:t>
      </w:r>
      <w:r w:rsidR="00043C12" w:rsidRPr="00F740D9">
        <w:rPr>
          <w:rFonts w:ascii="Book Antiqua" w:hAnsi="Book Antiqua"/>
          <w:color w:val="000000" w:themeColor="text1"/>
          <w:szCs w:val="24"/>
        </w:rPr>
        <w:t xml:space="preserve"> </w:t>
      </w:r>
      <w:r w:rsidR="00E12810" w:rsidRPr="00F740D9">
        <w:rPr>
          <w:rFonts w:ascii="Book Antiqua" w:hAnsi="Book Antiqua"/>
          <w:color w:val="000000" w:themeColor="text1"/>
          <w:szCs w:val="24"/>
        </w:rPr>
        <w:t>while</w:t>
      </w:r>
      <w:r w:rsidR="00937FD2" w:rsidRPr="00F740D9">
        <w:rPr>
          <w:rFonts w:ascii="Book Antiqua" w:hAnsi="Book Antiqua"/>
          <w:color w:val="000000" w:themeColor="text1"/>
          <w:szCs w:val="24"/>
        </w:rPr>
        <w:t xml:space="preserve"> 84 (59%) underwent the procedure elsewhere.</w:t>
      </w:r>
      <w:r w:rsidR="00B85050" w:rsidRPr="00F740D9">
        <w:rPr>
          <w:rFonts w:ascii="Book Antiqua" w:hAnsi="Book Antiqua"/>
          <w:color w:val="000000" w:themeColor="text1"/>
          <w:szCs w:val="24"/>
        </w:rPr>
        <w:t xml:space="preserve"> </w:t>
      </w:r>
      <w:r w:rsidR="00043C12">
        <w:rPr>
          <w:rFonts w:ascii="Book Antiqua" w:hAnsi="Book Antiqua"/>
          <w:color w:val="000000" w:themeColor="text1"/>
          <w:szCs w:val="24"/>
        </w:rPr>
        <w:t>Following the</w:t>
      </w:r>
      <w:r w:rsidR="00A94C7C" w:rsidRPr="00F740D9">
        <w:rPr>
          <w:rFonts w:ascii="Book Antiqua" w:hAnsi="Book Antiqua"/>
          <w:color w:val="000000" w:themeColor="text1"/>
          <w:szCs w:val="24"/>
        </w:rPr>
        <w:t xml:space="preserve"> diagnosis of recurrence, 79 (55%) </w:t>
      </w:r>
      <w:r w:rsidR="00FC6CB4">
        <w:rPr>
          <w:rFonts w:ascii="Book Antiqua" w:hAnsi="Book Antiqua"/>
          <w:color w:val="000000" w:themeColor="text1"/>
          <w:szCs w:val="24"/>
        </w:rPr>
        <w:t>patients</w:t>
      </w:r>
      <w:r w:rsidR="00A94C7C" w:rsidRPr="00F740D9">
        <w:rPr>
          <w:rFonts w:ascii="Book Antiqua" w:hAnsi="Book Antiqua"/>
          <w:color w:val="000000" w:themeColor="text1"/>
          <w:szCs w:val="24"/>
        </w:rPr>
        <w:t xml:space="preserve"> received an mTOR inhibitor-based immunosuppressive regime</w:t>
      </w:r>
      <w:r w:rsidR="00043C12">
        <w:rPr>
          <w:rFonts w:ascii="Book Antiqua" w:hAnsi="Book Antiqua"/>
          <w:color w:val="000000" w:themeColor="text1"/>
          <w:szCs w:val="24"/>
        </w:rPr>
        <w:t>,</w:t>
      </w:r>
      <w:r w:rsidR="00043C12" w:rsidRPr="00F740D9">
        <w:rPr>
          <w:rFonts w:ascii="Book Antiqua" w:hAnsi="Book Antiqua"/>
          <w:color w:val="000000" w:themeColor="text1"/>
          <w:szCs w:val="24"/>
        </w:rPr>
        <w:t xml:space="preserve"> </w:t>
      </w:r>
      <w:r w:rsidR="00A94C7C" w:rsidRPr="00F740D9">
        <w:rPr>
          <w:rFonts w:ascii="Book Antiqua" w:hAnsi="Book Antiqua"/>
          <w:color w:val="000000" w:themeColor="text1"/>
          <w:szCs w:val="24"/>
        </w:rPr>
        <w:t xml:space="preserve">while 64 (45%) </w:t>
      </w:r>
      <w:r w:rsidR="00FC6CB4">
        <w:rPr>
          <w:rFonts w:ascii="Book Antiqua" w:hAnsi="Book Antiqua"/>
          <w:color w:val="000000" w:themeColor="text1"/>
          <w:szCs w:val="24"/>
        </w:rPr>
        <w:t xml:space="preserve">patients </w:t>
      </w:r>
      <w:r w:rsidR="00A94C7C" w:rsidRPr="00F740D9">
        <w:rPr>
          <w:rFonts w:ascii="Book Antiqua" w:hAnsi="Book Antiqua"/>
          <w:color w:val="000000" w:themeColor="text1"/>
          <w:szCs w:val="24"/>
        </w:rPr>
        <w:t>did not.</w:t>
      </w:r>
    </w:p>
    <w:p w14:paraId="02D9F78B" w14:textId="77777777" w:rsidR="009253A1" w:rsidRPr="00F740D9" w:rsidRDefault="009253A1" w:rsidP="00BE6C9D">
      <w:pPr>
        <w:snapToGrid w:val="0"/>
        <w:spacing w:line="360" w:lineRule="auto"/>
        <w:jc w:val="both"/>
        <w:rPr>
          <w:rFonts w:ascii="Book Antiqua" w:hAnsi="Book Antiqua"/>
          <w:color w:val="000000" w:themeColor="text1"/>
          <w:szCs w:val="24"/>
        </w:rPr>
      </w:pPr>
    </w:p>
    <w:p w14:paraId="7371DDB8" w14:textId="4BDA85A7" w:rsidR="001F6626" w:rsidRPr="00F740D9" w:rsidRDefault="001F6626" w:rsidP="00BE6C9D">
      <w:pPr>
        <w:snapToGrid w:val="0"/>
        <w:spacing w:line="360" w:lineRule="auto"/>
        <w:jc w:val="both"/>
        <w:rPr>
          <w:rFonts w:ascii="Book Antiqua" w:hAnsi="Book Antiqua"/>
          <w:b/>
          <w:bCs/>
          <w:i/>
          <w:iCs/>
          <w:color w:val="000000" w:themeColor="text1"/>
          <w:szCs w:val="24"/>
        </w:rPr>
      </w:pPr>
      <w:r w:rsidRPr="00F740D9">
        <w:rPr>
          <w:rFonts w:ascii="Book Antiqua" w:hAnsi="Book Antiqua"/>
          <w:b/>
          <w:bCs/>
          <w:i/>
          <w:iCs/>
          <w:color w:val="000000" w:themeColor="text1"/>
          <w:szCs w:val="24"/>
        </w:rPr>
        <w:t>Pre-transplant</w:t>
      </w:r>
      <w:r w:rsidR="003A3795" w:rsidRPr="00F740D9">
        <w:rPr>
          <w:rFonts w:ascii="Book Antiqua" w:hAnsi="Book Antiqua"/>
          <w:b/>
          <w:bCs/>
          <w:i/>
          <w:iCs/>
          <w:color w:val="000000" w:themeColor="text1"/>
          <w:szCs w:val="24"/>
        </w:rPr>
        <w:t xml:space="preserve"> characteristics</w:t>
      </w:r>
    </w:p>
    <w:p w14:paraId="02C83B16" w14:textId="6F4A89DC" w:rsidR="00B01F05" w:rsidRPr="00F740D9" w:rsidRDefault="00B01F05" w:rsidP="00BE6C9D">
      <w:pPr>
        <w:snapToGrid w:val="0"/>
        <w:spacing w:line="360" w:lineRule="auto"/>
        <w:jc w:val="both"/>
        <w:rPr>
          <w:rFonts w:ascii="Book Antiqua" w:hAnsi="Book Antiqua"/>
          <w:color w:val="000000" w:themeColor="text1"/>
          <w:szCs w:val="24"/>
        </w:rPr>
      </w:pPr>
      <w:r w:rsidRPr="00F740D9">
        <w:rPr>
          <w:rFonts w:ascii="Book Antiqua" w:hAnsi="Book Antiqua"/>
          <w:color w:val="000000" w:themeColor="text1"/>
          <w:szCs w:val="24"/>
        </w:rPr>
        <w:t xml:space="preserve">The pre-transplant characteristics were </w:t>
      </w:r>
      <w:r w:rsidR="003A3795" w:rsidRPr="00F740D9">
        <w:rPr>
          <w:rFonts w:ascii="Book Antiqua" w:hAnsi="Book Antiqua"/>
          <w:color w:val="000000" w:themeColor="text1"/>
          <w:szCs w:val="24"/>
        </w:rPr>
        <w:t xml:space="preserve">comparable between </w:t>
      </w:r>
      <w:r w:rsidR="00043C12">
        <w:rPr>
          <w:rFonts w:ascii="Book Antiqua" w:hAnsi="Book Antiqua"/>
          <w:color w:val="000000" w:themeColor="text1"/>
          <w:szCs w:val="24"/>
        </w:rPr>
        <w:t xml:space="preserve">the </w:t>
      </w:r>
      <w:r w:rsidR="003A3795" w:rsidRPr="00F740D9">
        <w:rPr>
          <w:rFonts w:ascii="Book Antiqua" w:hAnsi="Book Antiqua"/>
          <w:color w:val="000000" w:themeColor="text1"/>
          <w:szCs w:val="24"/>
        </w:rPr>
        <w:t>two groups</w:t>
      </w:r>
      <w:r w:rsidR="00714772" w:rsidRPr="00F740D9">
        <w:rPr>
          <w:rFonts w:ascii="Book Antiqua" w:hAnsi="Book Antiqua"/>
          <w:color w:val="000000" w:themeColor="text1"/>
          <w:szCs w:val="24"/>
        </w:rPr>
        <w:t xml:space="preserve"> </w:t>
      </w:r>
      <w:r w:rsidR="00F67102" w:rsidRPr="00F740D9">
        <w:rPr>
          <w:rFonts w:ascii="Book Antiqua" w:hAnsi="Book Antiqua"/>
          <w:color w:val="000000" w:themeColor="text1"/>
          <w:szCs w:val="24"/>
        </w:rPr>
        <w:t>(</w:t>
      </w:r>
      <w:r w:rsidR="00714772" w:rsidRPr="00F740D9">
        <w:rPr>
          <w:rFonts w:ascii="Book Antiqua" w:hAnsi="Book Antiqua"/>
          <w:color w:val="000000" w:themeColor="text1"/>
          <w:szCs w:val="24"/>
        </w:rPr>
        <w:t>T</w:t>
      </w:r>
      <w:r w:rsidRPr="00F740D9">
        <w:rPr>
          <w:rFonts w:ascii="Book Antiqua" w:hAnsi="Book Antiqua"/>
          <w:color w:val="000000" w:themeColor="text1"/>
          <w:szCs w:val="24"/>
        </w:rPr>
        <w:t>able 1</w:t>
      </w:r>
      <w:r w:rsidR="00714772" w:rsidRPr="00F740D9">
        <w:rPr>
          <w:rFonts w:ascii="Book Antiqua" w:hAnsi="Book Antiqua"/>
          <w:color w:val="000000" w:themeColor="text1"/>
          <w:szCs w:val="24"/>
        </w:rPr>
        <w:t>)</w:t>
      </w:r>
      <w:r w:rsidRPr="00F740D9">
        <w:rPr>
          <w:rFonts w:ascii="Book Antiqua" w:hAnsi="Book Antiqua"/>
          <w:color w:val="000000" w:themeColor="text1"/>
          <w:szCs w:val="24"/>
        </w:rPr>
        <w:t>. There was a male predominance a</w:t>
      </w:r>
      <w:r w:rsidR="00043C12">
        <w:rPr>
          <w:rFonts w:ascii="Book Antiqua" w:hAnsi="Book Antiqua"/>
          <w:color w:val="000000" w:themeColor="text1"/>
          <w:szCs w:val="24"/>
        </w:rPr>
        <w:t>nd</w:t>
      </w:r>
      <w:r w:rsidRPr="00F740D9">
        <w:rPr>
          <w:rFonts w:ascii="Book Antiqua" w:hAnsi="Book Antiqua"/>
          <w:color w:val="000000" w:themeColor="text1"/>
          <w:szCs w:val="24"/>
        </w:rPr>
        <w:t xml:space="preserve"> the </w:t>
      </w:r>
      <w:r w:rsidR="003A3795" w:rsidRPr="00F740D9">
        <w:rPr>
          <w:rFonts w:ascii="Book Antiqua" w:hAnsi="Book Antiqua"/>
          <w:color w:val="000000" w:themeColor="text1"/>
          <w:szCs w:val="24"/>
        </w:rPr>
        <w:t>subjects primarily had</w:t>
      </w:r>
      <w:r w:rsidRPr="00F740D9">
        <w:rPr>
          <w:rFonts w:ascii="Book Antiqua" w:hAnsi="Book Antiqua"/>
          <w:color w:val="000000" w:themeColor="text1"/>
          <w:szCs w:val="24"/>
        </w:rPr>
        <w:t xml:space="preserve"> hepatitis B virus </w:t>
      </w:r>
      <w:r w:rsidR="003A3795" w:rsidRPr="00F740D9">
        <w:rPr>
          <w:rFonts w:ascii="Book Antiqua" w:hAnsi="Book Antiqua"/>
          <w:color w:val="000000" w:themeColor="text1"/>
          <w:szCs w:val="24"/>
        </w:rPr>
        <w:t>induced liver disease</w:t>
      </w:r>
      <w:r w:rsidRPr="00F740D9">
        <w:rPr>
          <w:rFonts w:ascii="Book Antiqua" w:hAnsi="Book Antiqua"/>
          <w:color w:val="000000" w:themeColor="text1"/>
          <w:szCs w:val="24"/>
        </w:rPr>
        <w:t xml:space="preserve"> (9</w:t>
      </w:r>
      <w:r w:rsidR="00B85050" w:rsidRPr="00F740D9">
        <w:rPr>
          <w:rFonts w:ascii="Book Antiqua" w:hAnsi="Book Antiqua"/>
          <w:color w:val="000000" w:themeColor="text1"/>
          <w:szCs w:val="24"/>
        </w:rPr>
        <w:t>5</w:t>
      </w:r>
      <w:r w:rsidRPr="00F740D9">
        <w:rPr>
          <w:rFonts w:ascii="Book Antiqua" w:hAnsi="Book Antiqua"/>
          <w:color w:val="000000" w:themeColor="text1"/>
          <w:szCs w:val="24"/>
        </w:rPr>
        <w:t xml:space="preserve">% and </w:t>
      </w:r>
      <w:r w:rsidR="00B85050" w:rsidRPr="00F740D9">
        <w:rPr>
          <w:rFonts w:ascii="Book Antiqua" w:hAnsi="Book Antiqua"/>
          <w:color w:val="000000" w:themeColor="text1"/>
          <w:szCs w:val="24"/>
        </w:rPr>
        <w:t>89</w:t>
      </w:r>
      <w:r w:rsidRPr="00F740D9">
        <w:rPr>
          <w:rFonts w:ascii="Book Antiqua" w:hAnsi="Book Antiqua"/>
          <w:color w:val="000000" w:themeColor="text1"/>
          <w:szCs w:val="24"/>
        </w:rPr>
        <w:t>%</w:t>
      </w:r>
      <w:r w:rsidR="00043C12">
        <w:rPr>
          <w:rFonts w:ascii="Book Antiqua" w:hAnsi="Book Antiqua"/>
          <w:color w:val="000000" w:themeColor="text1"/>
          <w:szCs w:val="24"/>
        </w:rPr>
        <w:t>, respectively</w:t>
      </w:r>
      <w:r w:rsidRPr="00F740D9">
        <w:rPr>
          <w:rFonts w:ascii="Book Antiqua" w:hAnsi="Book Antiqua"/>
          <w:color w:val="000000" w:themeColor="text1"/>
          <w:szCs w:val="24"/>
        </w:rPr>
        <w:t xml:space="preserve">). </w:t>
      </w:r>
      <w:r w:rsidR="003A3795" w:rsidRPr="00F740D9">
        <w:rPr>
          <w:rFonts w:ascii="Book Antiqua" w:hAnsi="Book Antiqua"/>
          <w:color w:val="000000" w:themeColor="text1"/>
          <w:szCs w:val="24"/>
        </w:rPr>
        <w:t>The number of salvage transplant</w:t>
      </w:r>
      <w:r w:rsidR="00043C12">
        <w:rPr>
          <w:rFonts w:ascii="Book Antiqua" w:hAnsi="Book Antiqua"/>
          <w:color w:val="000000" w:themeColor="text1"/>
          <w:szCs w:val="24"/>
        </w:rPr>
        <w:t>ations</w:t>
      </w:r>
      <w:r w:rsidR="003A3795" w:rsidRPr="00F740D9">
        <w:rPr>
          <w:rFonts w:ascii="Book Antiqua" w:hAnsi="Book Antiqua"/>
          <w:color w:val="000000" w:themeColor="text1"/>
          <w:szCs w:val="24"/>
        </w:rPr>
        <w:t xml:space="preserve"> </w:t>
      </w:r>
      <w:r w:rsidR="003A3795" w:rsidRPr="00F740D9">
        <w:rPr>
          <w:rFonts w:ascii="Book Antiqua" w:hAnsi="Book Antiqua"/>
          <w:i/>
          <w:iCs/>
          <w:color w:val="000000" w:themeColor="text1"/>
          <w:szCs w:val="24"/>
        </w:rPr>
        <w:t>i.e.</w:t>
      </w:r>
      <w:r w:rsidR="00AF289B" w:rsidRPr="00F740D9">
        <w:rPr>
          <w:rFonts w:ascii="Book Antiqua" w:hAnsi="Book Antiqua"/>
          <w:color w:val="000000" w:themeColor="text1"/>
          <w:szCs w:val="24"/>
        </w:rPr>
        <w:t>,</w:t>
      </w:r>
      <w:r w:rsidR="003A3795" w:rsidRPr="00F740D9">
        <w:rPr>
          <w:rFonts w:ascii="Book Antiqua" w:hAnsi="Book Antiqua"/>
          <w:color w:val="000000" w:themeColor="text1"/>
          <w:szCs w:val="24"/>
        </w:rPr>
        <w:t xml:space="preserve"> liver transplantation performed for recurrent HCC after primary liver resection w</w:t>
      </w:r>
      <w:r w:rsidR="00043C12">
        <w:rPr>
          <w:rFonts w:ascii="Book Antiqua" w:hAnsi="Book Antiqua"/>
          <w:color w:val="000000" w:themeColor="text1"/>
          <w:szCs w:val="24"/>
        </w:rPr>
        <w:t>as</w:t>
      </w:r>
      <w:r w:rsidR="003A3795" w:rsidRPr="00F740D9">
        <w:rPr>
          <w:rFonts w:ascii="Book Antiqua" w:hAnsi="Book Antiqua"/>
          <w:color w:val="000000" w:themeColor="text1"/>
          <w:szCs w:val="24"/>
        </w:rPr>
        <w:t xml:space="preserve"> similar (3</w:t>
      </w:r>
      <w:r w:rsidR="003A0DAE" w:rsidRPr="00F740D9">
        <w:rPr>
          <w:rFonts w:ascii="Book Antiqua" w:hAnsi="Book Antiqua"/>
          <w:color w:val="000000" w:themeColor="text1"/>
          <w:szCs w:val="24"/>
        </w:rPr>
        <w:t>8</w:t>
      </w:r>
      <w:r w:rsidR="003A3795" w:rsidRPr="00F740D9">
        <w:rPr>
          <w:rFonts w:ascii="Book Antiqua" w:hAnsi="Book Antiqua"/>
          <w:color w:val="000000" w:themeColor="text1"/>
          <w:szCs w:val="24"/>
        </w:rPr>
        <w:t xml:space="preserve">% </w:t>
      </w:r>
      <w:r w:rsidR="00AF289B" w:rsidRPr="00F740D9">
        <w:rPr>
          <w:rFonts w:ascii="Book Antiqua" w:hAnsi="Book Antiqua"/>
          <w:i/>
          <w:color w:val="000000" w:themeColor="text1"/>
          <w:szCs w:val="24"/>
        </w:rPr>
        <w:t>vs</w:t>
      </w:r>
      <w:r w:rsidR="003A3795" w:rsidRPr="00F740D9">
        <w:rPr>
          <w:rFonts w:ascii="Book Antiqua" w:hAnsi="Book Antiqua"/>
          <w:color w:val="000000" w:themeColor="text1"/>
          <w:szCs w:val="24"/>
        </w:rPr>
        <w:t xml:space="preserve"> 3</w:t>
      </w:r>
      <w:r w:rsidR="003A0DAE" w:rsidRPr="00F740D9">
        <w:rPr>
          <w:rFonts w:ascii="Book Antiqua" w:hAnsi="Book Antiqua"/>
          <w:color w:val="000000" w:themeColor="text1"/>
          <w:szCs w:val="24"/>
        </w:rPr>
        <w:t>3</w:t>
      </w:r>
      <w:r w:rsidR="003A3795" w:rsidRPr="00F740D9">
        <w:rPr>
          <w:rFonts w:ascii="Book Antiqua" w:hAnsi="Book Antiqua"/>
          <w:color w:val="000000" w:themeColor="text1"/>
          <w:szCs w:val="24"/>
        </w:rPr>
        <w:t xml:space="preserve">%, </w:t>
      </w:r>
      <w:r w:rsidR="00AF289B" w:rsidRPr="00F740D9">
        <w:rPr>
          <w:rFonts w:ascii="Book Antiqua" w:hAnsi="Book Antiqua"/>
          <w:i/>
          <w:color w:val="000000" w:themeColor="text1"/>
          <w:szCs w:val="24"/>
        </w:rPr>
        <w:t xml:space="preserve">P </w:t>
      </w:r>
      <w:r w:rsidR="003A3795" w:rsidRPr="00F740D9">
        <w:rPr>
          <w:rFonts w:ascii="Book Antiqua" w:hAnsi="Book Antiqua"/>
          <w:color w:val="000000" w:themeColor="text1"/>
          <w:szCs w:val="24"/>
        </w:rPr>
        <w:t>=</w:t>
      </w:r>
      <w:r w:rsidR="00AF289B" w:rsidRPr="00F740D9">
        <w:rPr>
          <w:rFonts w:ascii="Book Antiqua" w:hAnsi="Book Antiqua"/>
          <w:color w:val="000000" w:themeColor="text1"/>
          <w:szCs w:val="24"/>
        </w:rPr>
        <w:t xml:space="preserve"> </w:t>
      </w:r>
      <w:r w:rsidR="003A3795" w:rsidRPr="00F740D9">
        <w:rPr>
          <w:rFonts w:ascii="Book Antiqua" w:hAnsi="Book Antiqua"/>
          <w:color w:val="000000" w:themeColor="text1"/>
          <w:szCs w:val="24"/>
        </w:rPr>
        <w:t>0.</w:t>
      </w:r>
      <w:r w:rsidR="003A0DAE" w:rsidRPr="00F740D9">
        <w:rPr>
          <w:rFonts w:ascii="Book Antiqua" w:hAnsi="Book Antiqua"/>
          <w:color w:val="000000" w:themeColor="text1"/>
          <w:szCs w:val="24"/>
        </w:rPr>
        <w:t>52</w:t>
      </w:r>
      <w:r w:rsidR="003A3795" w:rsidRPr="00F740D9">
        <w:rPr>
          <w:rFonts w:ascii="Book Antiqua" w:hAnsi="Book Antiqua"/>
          <w:color w:val="000000" w:themeColor="text1"/>
          <w:szCs w:val="24"/>
        </w:rPr>
        <w:t>). Tumour status</w:t>
      </w:r>
      <w:r w:rsidR="00D93431" w:rsidRPr="00F740D9">
        <w:rPr>
          <w:rFonts w:ascii="Book Antiqua" w:hAnsi="Book Antiqua"/>
          <w:color w:val="000000" w:themeColor="text1"/>
          <w:szCs w:val="24"/>
        </w:rPr>
        <w:t xml:space="preserve"> at </w:t>
      </w:r>
      <w:r w:rsidR="00043C12">
        <w:rPr>
          <w:rFonts w:ascii="Book Antiqua" w:hAnsi="Book Antiqua"/>
          <w:color w:val="000000" w:themeColor="text1"/>
          <w:szCs w:val="24"/>
        </w:rPr>
        <w:t xml:space="preserve">the </w:t>
      </w:r>
      <w:r w:rsidR="00D93431" w:rsidRPr="00F740D9">
        <w:rPr>
          <w:rFonts w:ascii="Book Antiqua" w:hAnsi="Book Antiqua"/>
          <w:color w:val="000000" w:themeColor="text1"/>
          <w:szCs w:val="24"/>
        </w:rPr>
        <w:t>time of transplant</w:t>
      </w:r>
      <w:r w:rsidR="003A3795" w:rsidRPr="00F740D9">
        <w:rPr>
          <w:rFonts w:ascii="Book Antiqua" w:hAnsi="Book Antiqua"/>
          <w:color w:val="000000" w:themeColor="text1"/>
          <w:szCs w:val="24"/>
        </w:rPr>
        <w:t xml:space="preserve"> </w:t>
      </w:r>
      <w:r w:rsidR="00D93431" w:rsidRPr="00F740D9">
        <w:rPr>
          <w:rFonts w:ascii="Book Antiqua" w:hAnsi="Book Antiqua"/>
          <w:color w:val="000000" w:themeColor="text1"/>
          <w:szCs w:val="24"/>
        </w:rPr>
        <w:t>w</w:t>
      </w:r>
      <w:r w:rsidR="00043C12">
        <w:rPr>
          <w:rFonts w:ascii="Book Antiqua" w:hAnsi="Book Antiqua"/>
          <w:color w:val="000000" w:themeColor="text1"/>
          <w:szCs w:val="24"/>
        </w:rPr>
        <w:t>as</w:t>
      </w:r>
      <w:r w:rsidR="00D93431" w:rsidRPr="00F740D9">
        <w:rPr>
          <w:rFonts w:ascii="Book Antiqua" w:hAnsi="Book Antiqua"/>
          <w:color w:val="000000" w:themeColor="text1"/>
          <w:szCs w:val="24"/>
        </w:rPr>
        <w:t xml:space="preserve"> comparable </w:t>
      </w:r>
      <w:r w:rsidR="003A3795" w:rsidRPr="00F740D9">
        <w:rPr>
          <w:rFonts w:ascii="Book Antiqua" w:hAnsi="Book Antiqua"/>
          <w:color w:val="000000" w:themeColor="text1"/>
          <w:szCs w:val="24"/>
        </w:rPr>
        <w:t xml:space="preserve">in terms of number of tumours (2 </w:t>
      </w:r>
      <w:r w:rsidR="00AF289B" w:rsidRPr="00F740D9">
        <w:rPr>
          <w:rFonts w:ascii="Book Antiqua" w:hAnsi="Book Antiqua"/>
          <w:i/>
          <w:color w:val="000000" w:themeColor="text1"/>
          <w:szCs w:val="24"/>
        </w:rPr>
        <w:t>vs</w:t>
      </w:r>
      <w:r w:rsidR="003A3795" w:rsidRPr="00F740D9">
        <w:rPr>
          <w:rFonts w:ascii="Book Antiqua" w:hAnsi="Book Antiqua"/>
          <w:color w:val="000000" w:themeColor="text1"/>
          <w:szCs w:val="24"/>
        </w:rPr>
        <w:t xml:space="preserve"> 2, </w:t>
      </w:r>
      <w:r w:rsidR="00AF289B" w:rsidRPr="00F740D9">
        <w:rPr>
          <w:rFonts w:ascii="Book Antiqua" w:hAnsi="Book Antiqua"/>
          <w:i/>
          <w:color w:val="000000" w:themeColor="text1"/>
          <w:szCs w:val="24"/>
        </w:rPr>
        <w:t xml:space="preserve">P </w:t>
      </w:r>
      <w:r w:rsidR="003A3795" w:rsidRPr="00F740D9">
        <w:rPr>
          <w:rFonts w:ascii="Book Antiqua" w:hAnsi="Book Antiqua"/>
          <w:color w:val="000000" w:themeColor="text1"/>
          <w:szCs w:val="24"/>
        </w:rPr>
        <w:t>=</w:t>
      </w:r>
      <w:r w:rsidR="00AF289B" w:rsidRPr="00F740D9">
        <w:rPr>
          <w:rFonts w:ascii="Book Antiqua" w:hAnsi="Book Antiqua"/>
          <w:color w:val="000000" w:themeColor="text1"/>
          <w:szCs w:val="24"/>
        </w:rPr>
        <w:t xml:space="preserve"> </w:t>
      </w:r>
      <w:r w:rsidR="003A3795" w:rsidRPr="00F740D9">
        <w:rPr>
          <w:rFonts w:ascii="Book Antiqua" w:hAnsi="Book Antiqua"/>
          <w:color w:val="000000" w:themeColor="text1"/>
          <w:szCs w:val="24"/>
        </w:rPr>
        <w:t>0.</w:t>
      </w:r>
      <w:r w:rsidR="003A0DAE" w:rsidRPr="00F740D9">
        <w:rPr>
          <w:rFonts w:ascii="Book Antiqua" w:hAnsi="Book Antiqua"/>
          <w:color w:val="000000" w:themeColor="text1"/>
          <w:szCs w:val="24"/>
        </w:rPr>
        <w:t>85</w:t>
      </w:r>
      <w:r w:rsidR="003A3795" w:rsidRPr="00F740D9">
        <w:rPr>
          <w:rFonts w:ascii="Book Antiqua" w:hAnsi="Book Antiqua"/>
          <w:color w:val="000000" w:themeColor="text1"/>
          <w:szCs w:val="24"/>
        </w:rPr>
        <w:t>), size of largest tumour (</w:t>
      </w:r>
      <w:r w:rsidR="00D93431" w:rsidRPr="00F740D9">
        <w:rPr>
          <w:rFonts w:ascii="Book Antiqua" w:hAnsi="Book Antiqua"/>
          <w:color w:val="000000" w:themeColor="text1"/>
          <w:szCs w:val="24"/>
        </w:rPr>
        <w:t>4.</w:t>
      </w:r>
      <w:r w:rsidR="003A0DAE" w:rsidRPr="00F740D9">
        <w:rPr>
          <w:rFonts w:ascii="Book Antiqua" w:hAnsi="Book Antiqua"/>
          <w:color w:val="000000" w:themeColor="text1"/>
          <w:szCs w:val="24"/>
        </w:rPr>
        <w:t>3</w:t>
      </w:r>
      <w:r w:rsidR="00D93431" w:rsidRPr="00F740D9">
        <w:rPr>
          <w:rFonts w:ascii="Book Antiqua" w:hAnsi="Book Antiqua"/>
          <w:color w:val="000000" w:themeColor="text1"/>
          <w:szCs w:val="24"/>
        </w:rPr>
        <w:t xml:space="preserve"> </w:t>
      </w:r>
      <w:r w:rsidR="00AF289B" w:rsidRPr="00F740D9">
        <w:rPr>
          <w:rFonts w:ascii="Book Antiqua" w:hAnsi="Book Antiqua"/>
          <w:i/>
          <w:color w:val="000000" w:themeColor="text1"/>
          <w:szCs w:val="24"/>
        </w:rPr>
        <w:t>vs</w:t>
      </w:r>
      <w:r w:rsidR="00D93431" w:rsidRPr="00F740D9">
        <w:rPr>
          <w:rFonts w:ascii="Book Antiqua" w:hAnsi="Book Antiqua"/>
          <w:color w:val="000000" w:themeColor="text1"/>
          <w:szCs w:val="24"/>
        </w:rPr>
        <w:t xml:space="preserve"> 4.0</w:t>
      </w:r>
      <w:r w:rsidR="00771EAB" w:rsidRPr="00F740D9">
        <w:rPr>
          <w:rFonts w:ascii="Book Antiqua" w:hAnsi="Book Antiqua"/>
          <w:color w:val="000000" w:themeColor="text1"/>
          <w:szCs w:val="24"/>
        </w:rPr>
        <w:t xml:space="preserve"> </w:t>
      </w:r>
      <w:r w:rsidR="00D93431" w:rsidRPr="00F740D9">
        <w:rPr>
          <w:rFonts w:ascii="Book Antiqua" w:hAnsi="Book Antiqua"/>
          <w:color w:val="000000" w:themeColor="text1"/>
          <w:szCs w:val="24"/>
        </w:rPr>
        <w:t xml:space="preserve">cm, </w:t>
      </w:r>
      <w:r w:rsidR="00AF289B" w:rsidRPr="00F740D9">
        <w:rPr>
          <w:rFonts w:ascii="Book Antiqua" w:hAnsi="Book Antiqua"/>
          <w:i/>
          <w:color w:val="000000" w:themeColor="text1"/>
          <w:szCs w:val="24"/>
        </w:rPr>
        <w:t xml:space="preserve">P </w:t>
      </w:r>
      <w:r w:rsidR="00D93431" w:rsidRPr="00F740D9">
        <w:rPr>
          <w:rFonts w:ascii="Book Antiqua" w:hAnsi="Book Antiqua"/>
          <w:color w:val="000000" w:themeColor="text1"/>
          <w:szCs w:val="24"/>
        </w:rPr>
        <w:t>=</w:t>
      </w:r>
      <w:r w:rsidR="00AF289B" w:rsidRPr="00F740D9">
        <w:rPr>
          <w:rFonts w:ascii="Book Antiqua" w:hAnsi="Book Antiqua"/>
          <w:color w:val="000000" w:themeColor="text1"/>
          <w:szCs w:val="24"/>
        </w:rPr>
        <w:t xml:space="preserve"> </w:t>
      </w:r>
      <w:r w:rsidR="00D93431" w:rsidRPr="00F740D9">
        <w:rPr>
          <w:rFonts w:ascii="Book Antiqua" w:hAnsi="Book Antiqua"/>
          <w:color w:val="000000" w:themeColor="text1"/>
          <w:szCs w:val="24"/>
        </w:rPr>
        <w:t>0.</w:t>
      </w:r>
      <w:r w:rsidR="003A0DAE" w:rsidRPr="00F740D9">
        <w:rPr>
          <w:rFonts w:ascii="Book Antiqua" w:hAnsi="Book Antiqua"/>
          <w:color w:val="000000" w:themeColor="text1"/>
          <w:szCs w:val="24"/>
        </w:rPr>
        <w:t>68</w:t>
      </w:r>
      <w:r w:rsidR="00D93431" w:rsidRPr="00F740D9">
        <w:rPr>
          <w:rFonts w:ascii="Book Antiqua" w:hAnsi="Book Antiqua"/>
          <w:color w:val="000000" w:themeColor="text1"/>
          <w:szCs w:val="24"/>
        </w:rPr>
        <w:t xml:space="preserve">), </w:t>
      </w:r>
      <w:r w:rsidR="00043C12">
        <w:rPr>
          <w:rFonts w:ascii="Book Antiqua" w:hAnsi="Book Antiqua"/>
          <w:color w:val="000000" w:themeColor="text1"/>
          <w:szCs w:val="24"/>
        </w:rPr>
        <w:t xml:space="preserve">and </w:t>
      </w:r>
      <w:r w:rsidR="00D93431" w:rsidRPr="00F740D9">
        <w:rPr>
          <w:rFonts w:ascii="Book Antiqua" w:hAnsi="Book Antiqua"/>
          <w:color w:val="000000" w:themeColor="text1"/>
          <w:szCs w:val="24"/>
        </w:rPr>
        <w:t>serum level of AFP (1</w:t>
      </w:r>
      <w:r w:rsidR="003A0DAE" w:rsidRPr="00F740D9">
        <w:rPr>
          <w:rFonts w:ascii="Book Antiqua" w:hAnsi="Book Antiqua"/>
          <w:color w:val="000000" w:themeColor="text1"/>
          <w:szCs w:val="24"/>
        </w:rPr>
        <w:t>4</w:t>
      </w:r>
      <w:r w:rsidR="00B85050" w:rsidRPr="00F740D9">
        <w:rPr>
          <w:rFonts w:ascii="Book Antiqua" w:hAnsi="Book Antiqua"/>
          <w:color w:val="000000" w:themeColor="text1"/>
          <w:szCs w:val="24"/>
        </w:rPr>
        <w:t>4</w:t>
      </w:r>
      <w:r w:rsidR="00D93431" w:rsidRPr="00F740D9">
        <w:rPr>
          <w:rFonts w:ascii="Book Antiqua" w:hAnsi="Book Antiqua"/>
          <w:color w:val="000000" w:themeColor="text1"/>
          <w:szCs w:val="24"/>
        </w:rPr>
        <w:t xml:space="preserve"> </w:t>
      </w:r>
      <w:r w:rsidR="00AF289B" w:rsidRPr="00F740D9">
        <w:rPr>
          <w:rFonts w:ascii="Book Antiqua" w:hAnsi="Book Antiqua"/>
          <w:i/>
          <w:color w:val="000000" w:themeColor="text1"/>
          <w:szCs w:val="24"/>
        </w:rPr>
        <w:t>vs</w:t>
      </w:r>
      <w:r w:rsidR="00D93431" w:rsidRPr="00F740D9">
        <w:rPr>
          <w:rFonts w:ascii="Book Antiqua" w:hAnsi="Book Antiqua"/>
          <w:color w:val="000000" w:themeColor="text1"/>
          <w:szCs w:val="24"/>
        </w:rPr>
        <w:t xml:space="preserve"> 1</w:t>
      </w:r>
      <w:r w:rsidR="003A0DAE" w:rsidRPr="00F740D9">
        <w:rPr>
          <w:rFonts w:ascii="Book Antiqua" w:hAnsi="Book Antiqua"/>
          <w:color w:val="000000" w:themeColor="text1"/>
          <w:szCs w:val="24"/>
        </w:rPr>
        <w:t>11</w:t>
      </w:r>
      <w:r w:rsidR="00D93431" w:rsidRPr="00F740D9">
        <w:rPr>
          <w:rFonts w:ascii="Book Antiqua" w:hAnsi="Book Antiqua"/>
          <w:color w:val="000000" w:themeColor="text1"/>
          <w:szCs w:val="24"/>
        </w:rPr>
        <w:t xml:space="preserve"> ng/m</w:t>
      </w:r>
      <w:r w:rsidR="00771EAB" w:rsidRPr="00F740D9">
        <w:rPr>
          <w:rFonts w:ascii="Book Antiqua" w:hAnsi="Book Antiqua"/>
          <w:color w:val="000000" w:themeColor="text1"/>
          <w:szCs w:val="24"/>
        </w:rPr>
        <w:t>L</w:t>
      </w:r>
      <w:r w:rsidR="00B85050" w:rsidRPr="00F740D9">
        <w:rPr>
          <w:rFonts w:ascii="Book Antiqua" w:hAnsi="Book Antiqua"/>
          <w:color w:val="000000" w:themeColor="text1"/>
          <w:szCs w:val="24"/>
        </w:rPr>
        <w:t xml:space="preserve">, </w:t>
      </w:r>
      <w:r w:rsidR="00AF289B" w:rsidRPr="00F740D9">
        <w:rPr>
          <w:rFonts w:ascii="Book Antiqua" w:hAnsi="Book Antiqua"/>
          <w:i/>
          <w:color w:val="000000" w:themeColor="text1"/>
          <w:szCs w:val="24"/>
        </w:rPr>
        <w:t xml:space="preserve">P </w:t>
      </w:r>
      <w:r w:rsidR="00B85050" w:rsidRPr="00F740D9">
        <w:rPr>
          <w:rFonts w:ascii="Book Antiqua" w:hAnsi="Book Antiqua"/>
          <w:color w:val="000000" w:themeColor="text1"/>
          <w:szCs w:val="24"/>
        </w:rPr>
        <w:t>=</w:t>
      </w:r>
      <w:r w:rsidR="00AF289B" w:rsidRPr="00F740D9">
        <w:rPr>
          <w:rFonts w:ascii="Book Antiqua" w:hAnsi="Book Antiqua"/>
          <w:color w:val="000000" w:themeColor="text1"/>
          <w:szCs w:val="24"/>
        </w:rPr>
        <w:t xml:space="preserve"> </w:t>
      </w:r>
      <w:r w:rsidR="00B85050" w:rsidRPr="00F740D9">
        <w:rPr>
          <w:rFonts w:ascii="Book Antiqua" w:hAnsi="Book Antiqua"/>
          <w:color w:val="000000" w:themeColor="text1"/>
          <w:szCs w:val="24"/>
        </w:rPr>
        <w:t>0.</w:t>
      </w:r>
      <w:r w:rsidR="003A0DAE" w:rsidRPr="00F740D9">
        <w:rPr>
          <w:rFonts w:ascii="Book Antiqua" w:hAnsi="Book Antiqua"/>
          <w:color w:val="000000" w:themeColor="text1"/>
          <w:szCs w:val="24"/>
        </w:rPr>
        <w:t>51</w:t>
      </w:r>
      <w:r w:rsidR="00D93431" w:rsidRPr="00F740D9">
        <w:rPr>
          <w:rFonts w:ascii="Book Antiqua" w:hAnsi="Book Antiqua"/>
          <w:color w:val="000000" w:themeColor="text1"/>
          <w:szCs w:val="24"/>
        </w:rPr>
        <w:t>). The proportion of patients compliant with Milan (</w:t>
      </w:r>
      <w:r w:rsidR="00B85050" w:rsidRPr="00F740D9">
        <w:rPr>
          <w:rFonts w:ascii="Book Antiqua" w:hAnsi="Book Antiqua"/>
          <w:color w:val="000000" w:themeColor="text1"/>
          <w:szCs w:val="24"/>
        </w:rPr>
        <w:t>27</w:t>
      </w:r>
      <w:r w:rsidR="00D93431" w:rsidRPr="00F740D9">
        <w:rPr>
          <w:rFonts w:ascii="Book Antiqua" w:hAnsi="Book Antiqua"/>
          <w:color w:val="000000" w:themeColor="text1"/>
          <w:szCs w:val="24"/>
        </w:rPr>
        <w:t xml:space="preserve"> </w:t>
      </w:r>
      <w:r w:rsidR="00AF289B" w:rsidRPr="00F740D9">
        <w:rPr>
          <w:rFonts w:ascii="Book Antiqua" w:hAnsi="Book Antiqua"/>
          <w:i/>
          <w:color w:val="000000" w:themeColor="text1"/>
          <w:szCs w:val="24"/>
        </w:rPr>
        <w:t>vs</w:t>
      </w:r>
      <w:r w:rsidR="00D93431" w:rsidRPr="00F740D9">
        <w:rPr>
          <w:rFonts w:ascii="Book Antiqua" w:hAnsi="Book Antiqua"/>
          <w:color w:val="000000" w:themeColor="text1"/>
          <w:szCs w:val="24"/>
        </w:rPr>
        <w:t xml:space="preserve"> 2</w:t>
      </w:r>
      <w:r w:rsidR="003A0DAE" w:rsidRPr="00F740D9">
        <w:rPr>
          <w:rFonts w:ascii="Book Antiqua" w:hAnsi="Book Antiqua"/>
          <w:color w:val="000000" w:themeColor="text1"/>
          <w:szCs w:val="24"/>
        </w:rPr>
        <w:t>2</w:t>
      </w:r>
      <w:r w:rsidR="00D93431" w:rsidRPr="00F740D9">
        <w:rPr>
          <w:rFonts w:ascii="Book Antiqua" w:hAnsi="Book Antiqua"/>
          <w:color w:val="000000" w:themeColor="text1"/>
          <w:szCs w:val="24"/>
        </w:rPr>
        <w:t xml:space="preserve">%, </w:t>
      </w:r>
      <w:r w:rsidR="00AF289B" w:rsidRPr="00F740D9">
        <w:rPr>
          <w:rFonts w:ascii="Book Antiqua" w:hAnsi="Book Antiqua"/>
          <w:i/>
          <w:color w:val="000000" w:themeColor="text1"/>
          <w:szCs w:val="24"/>
        </w:rPr>
        <w:t xml:space="preserve">P </w:t>
      </w:r>
      <w:r w:rsidR="00D93431" w:rsidRPr="00F740D9">
        <w:rPr>
          <w:rFonts w:ascii="Book Antiqua" w:hAnsi="Book Antiqua"/>
          <w:color w:val="000000" w:themeColor="text1"/>
          <w:szCs w:val="24"/>
        </w:rPr>
        <w:t>=</w:t>
      </w:r>
      <w:r w:rsidR="00AF289B" w:rsidRPr="00F740D9">
        <w:rPr>
          <w:rFonts w:ascii="Book Antiqua" w:hAnsi="Book Antiqua"/>
          <w:color w:val="000000" w:themeColor="text1"/>
          <w:szCs w:val="24"/>
        </w:rPr>
        <w:t xml:space="preserve"> </w:t>
      </w:r>
      <w:r w:rsidR="00D93431" w:rsidRPr="00F740D9">
        <w:rPr>
          <w:rFonts w:ascii="Book Antiqua" w:hAnsi="Book Antiqua"/>
          <w:color w:val="000000" w:themeColor="text1"/>
          <w:szCs w:val="24"/>
        </w:rPr>
        <w:t>0.</w:t>
      </w:r>
      <w:r w:rsidR="003A0DAE" w:rsidRPr="00F740D9">
        <w:rPr>
          <w:rFonts w:ascii="Book Antiqua" w:hAnsi="Book Antiqua"/>
          <w:color w:val="000000" w:themeColor="text1"/>
          <w:szCs w:val="24"/>
        </w:rPr>
        <w:t>54</w:t>
      </w:r>
      <w:r w:rsidR="00D93431" w:rsidRPr="00F740D9">
        <w:rPr>
          <w:rFonts w:ascii="Book Antiqua" w:hAnsi="Book Antiqua"/>
          <w:color w:val="000000" w:themeColor="text1"/>
          <w:szCs w:val="24"/>
        </w:rPr>
        <w:t>) and UCSF criteria (</w:t>
      </w:r>
      <w:r w:rsidR="00B85050" w:rsidRPr="00F740D9">
        <w:rPr>
          <w:rFonts w:ascii="Book Antiqua" w:hAnsi="Book Antiqua"/>
          <w:color w:val="000000" w:themeColor="text1"/>
          <w:szCs w:val="24"/>
        </w:rPr>
        <w:t>3</w:t>
      </w:r>
      <w:r w:rsidR="003A0DAE" w:rsidRPr="00F740D9">
        <w:rPr>
          <w:rFonts w:ascii="Book Antiqua" w:hAnsi="Book Antiqua"/>
          <w:color w:val="000000" w:themeColor="text1"/>
          <w:szCs w:val="24"/>
        </w:rPr>
        <w:t>3</w:t>
      </w:r>
      <w:r w:rsidR="00D93431" w:rsidRPr="00F740D9">
        <w:rPr>
          <w:rFonts w:ascii="Book Antiqua" w:hAnsi="Book Antiqua"/>
          <w:color w:val="000000" w:themeColor="text1"/>
          <w:szCs w:val="24"/>
        </w:rPr>
        <w:t xml:space="preserve">% </w:t>
      </w:r>
      <w:r w:rsidR="00AF289B" w:rsidRPr="00F740D9">
        <w:rPr>
          <w:rFonts w:ascii="Book Antiqua" w:hAnsi="Book Antiqua"/>
          <w:i/>
          <w:color w:val="000000" w:themeColor="text1"/>
          <w:szCs w:val="24"/>
        </w:rPr>
        <w:t>vs</w:t>
      </w:r>
      <w:r w:rsidR="00D93431" w:rsidRPr="00F740D9">
        <w:rPr>
          <w:rFonts w:ascii="Book Antiqua" w:hAnsi="Book Antiqua"/>
          <w:color w:val="000000" w:themeColor="text1"/>
          <w:szCs w:val="24"/>
        </w:rPr>
        <w:t xml:space="preserve"> 2</w:t>
      </w:r>
      <w:r w:rsidR="00B85050" w:rsidRPr="00F740D9">
        <w:rPr>
          <w:rFonts w:ascii="Book Antiqua" w:hAnsi="Book Antiqua"/>
          <w:color w:val="000000" w:themeColor="text1"/>
          <w:szCs w:val="24"/>
        </w:rPr>
        <w:t>3</w:t>
      </w:r>
      <w:r w:rsidR="00D93431" w:rsidRPr="00F740D9">
        <w:rPr>
          <w:rFonts w:ascii="Book Antiqua" w:hAnsi="Book Antiqua"/>
          <w:color w:val="000000" w:themeColor="text1"/>
          <w:szCs w:val="24"/>
        </w:rPr>
        <w:t xml:space="preserve">%, </w:t>
      </w:r>
      <w:r w:rsidR="00AF289B" w:rsidRPr="00F740D9">
        <w:rPr>
          <w:rFonts w:ascii="Book Antiqua" w:hAnsi="Book Antiqua"/>
          <w:i/>
          <w:color w:val="000000" w:themeColor="text1"/>
          <w:szCs w:val="24"/>
        </w:rPr>
        <w:t xml:space="preserve">P </w:t>
      </w:r>
      <w:r w:rsidR="00D93431" w:rsidRPr="00F740D9">
        <w:rPr>
          <w:rFonts w:ascii="Book Antiqua" w:hAnsi="Book Antiqua"/>
          <w:color w:val="000000" w:themeColor="text1"/>
          <w:szCs w:val="24"/>
        </w:rPr>
        <w:t>=</w:t>
      </w:r>
      <w:r w:rsidR="00AF289B" w:rsidRPr="00F740D9">
        <w:rPr>
          <w:rFonts w:ascii="Book Antiqua" w:hAnsi="Book Antiqua"/>
          <w:color w:val="000000" w:themeColor="text1"/>
          <w:szCs w:val="24"/>
        </w:rPr>
        <w:t xml:space="preserve"> </w:t>
      </w:r>
      <w:r w:rsidR="00D93431" w:rsidRPr="00F740D9">
        <w:rPr>
          <w:rFonts w:ascii="Book Antiqua" w:hAnsi="Book Antiqua"/>
          <w:color w:val="000000" w:themeColor="text1"/>
          <w:szCs w:val="24"/>
        </w:rPr>
        <w:t>0.</w:t>
      </w:r>
      <w:r w:rsidR="003A0DAE" w:rsidRPr="00F740D9">
        <w:rPr>
          <w:rFonts w:ascii="Book Antiqua" w:hAnsi="Book Antiqua"/>
          <w:color w:val="000000" w:themeColor="text1"/>
          <w:szCs w:val="24"/>
        </w:rPr>
        <w:t>22</w:t>
      </w:r>
      <w:r w:rsidR="00D93431" w:rsidRPr="00F740D9">
        <w:rPr>
          <w:rFonts w:ascii="Book Antiqua" w:hAnsi="Book Antiqua"/>
          <w:color w:val="000000" w:themeColor="text1"/>
          <w:szCs w:val="24"/>
        </w:rPr>
        <w:t xml:space="preserve">) were similar. </w:t>
      </w:r>
    </w:p>
    <w:p w14:paraId="371A33BE" w14:textId="033FD239" w:rsidR="003A3795" w:rsidRPr="00F740D9" w:rsidRDefault="003A3795" w:rsidP="00BE6C9D">
      <w:pPr>
        <w:snapToGrid w:val="0"/>
        <w:spacing w:line="360" w:lineRule="auto"/>
        <w:jc w:val="both"/>
        <w:rPr>
          <w:rFonts w:ascii="Book Antiqua" w:hAnsi="Book Antiqua"/>
          <w:color w:val="000000" w:themeColor="text1"/>
          <w:szCs w:val="24"/>
        </w:rPr>
      </w:pPr>
    </w:p>
    <w:p w14:paraId="6D84505A" w14:textId="7AB5B7F4" w:rsidR="001F6626" w:rsidRPr="00F740D9" w:rsidRDefault="001F6626" w:rsidP="00BE6C9D">
      <w:pPr>
        <w:snapToGrid w:val="0"/>
        <w:spacing w:line="360" w:lineRule="auto"/>
        <w:jc w:val="both"/>
        <w:rPr>
          <w:rFonts w:ascii="Book Antiqua" w:hAnsi="Book Antiqua"/>
          <w:b/>
          <w:bCs/>
          <w:i/>
          <w:iCs/>
          <w:color w:val="000000" w:themeColor="text1"/>
          <w:szCs w:val="24"/>
        </w:rPr>
      </w:pPr>
      <w:r w:rsidRPr="00F740D9">
        <w:rPr>
          <w:rFonts w:ascii="Book Antiqua" w:hAnsi="Book Antiqua"/>
          <w:b/>
          <w:bCs/>
          <w:i/>
          <w:iCs/>
          <w:color w:val="000000" w:themeColor="text1"/>
          <w:szCs w:val="24"/>
        </w:rPr>
        <w:t>Recurrence status and treatment</w:t>
      </w:r>
    </w:p>
    <w:p w14:paraId="6F24C859" w14:textId="6A904534" w:rsidR="00D93431" w:rsidRPr="00F740D9" w:rsidRDefault="00B85050" w:rsidP="00BE6C9D">
      <w:pPr>
        <w:snapToGrid w:val="0"/>
        <w:spacing w:line="360" w:lineRule="auto"/>
        <w:jc w:val="both"/>
        <w:rPr>
          <w:rFonts w:ascii="Book Antiqua" w:hAnsi="Book Antiqua"/>
          <w:color w:val="000000" w:themeColor="text1"/>
          <w:szCs w:val="24"/>
        </w:rPr>
      </w:pPr>
      <w:r w:rsidRPr="00F740D9">
        <w:rPr>
          <w:rFonts w:ascii="Book Antiqua" w:hAnsi="Book Antiqua"/>
          <w:color w:val="000000" w:themeColor="text1"/>
          <w:szCs w:val="24"/>
        </w:rPr>
        <w:t xml:space="preserve">The </w:t>
      </w:r>
      <w:r w:rsidR="008838C1" w:rsidRPr="00F740D9">
        <w:rPr>
          <w:rFonts w:ascii="Book Antiqua" w:hAnsi="Book Antiqua"/>
          <w:color w:val="000000" w:themeColor="text1"/>
          <w:szCs w:val="24"/>
        </w:rPr>
        <w:t>recurrence status</w:t>
      </w:r>
      <w:r w:rsidRPr="00F740D9">
        <w:rPr>
          <w:rFonts w:ascii="Book Antiqua" w:hAnsi="Book Antiqua"/>
          <w:color w:val="000000" w:themeColor="text1"/>
          <w:szCs w:val="24"/>
        </w:rPr>
        <w:t xml:space="preserve"> </w:t>
      </w:r>
      <w:r w:rsidR="00043C12">
        <w:rPr>
          <w:rFonts w:ascii="Book Antiqua" w:hAnsi="Book Antiqua"/>
          <w:color w:val="000000" w:themeColor="text1"/>
          <w:szCs w:val="24"/>
        </w:rPr>
        <w:t>is</w:t>
      </w:r>
      <w:r w:rsidRPr="00F740D9">
        <w:rPr>
          <w:rFonts w:ascii="Book Antiqua" w:hAnsi="Book Antiqua"/>
          <w:color w:val="000000" w:themeColor="text1"/>
          <w:szCs w:val="24"/>
        </w:rPr>
        <w:t xml:space="preserve"> summarized in Table 2. </w:t>
      </w:r>
      <w:r w:rsidR="004E2A15" w:rsidRPr="00F740D9">
        <w:rPr>
          <w:rFonts w:ascii="Book Antiqua" w:hAnsi="Book Antiqua"/>
          <w:color w:val="000000" w:themeColor="text1"/>
          <w:szCs w:val="24"/>
        </w:rPr>
        <w:t xml:space="preserve">Recurrence occurred later in </w:t>
      </w:r>
      <w:r w:rsidR="003E16F6" w:rsidRPr="00F740D9">
        <w:rPr>
          <w:rFonts w:ascii="Book Antiqua" w:hAnsi="Book Antiqua"/>
          <w:color w:val="000000" w:themeColor="text1"/>
          <w:szCs w:val="24"/>
        </w:rPr>
        <w:t>calendar years</w:t>
      </w:r>
      <w:r w:rsidR="004E2A15" w:rsidRPr="00F740D9">
        <w:rPr>
          <w:rFonts w:ascii="Book Antiqua" w:hAnsi="Book Antiqua"/>
          <w:color w:val="000000" w:themeColor="text1"/>
          <w:szCs w:val="24"/>
        </w:rPr>
        <w:t xml:space="preserve"> in the mTOR inhibitor group (</w:t>
      </w:r>
      <w:r w:rsidRPr="00F740D9">
        <w:rPr>
          <w:rFonts w:ascii="Book Antiqua" w:hAnsi="Book Antiqua"/>
          <w:color w:val="000000" w:themeColor="text1"/>
          <w:szCs w:val="24"/>
        </w:rPr>
        <w:t>7</w:t>
      </w:r>
      <w:r w:rsidR="004E2A15" w:rsidRPr="00F740D9">
        <w:rPr>
          <w:rFonts w:ascii="Book Antiqua" w:hAnsi="Book Antiqua"/>
          <w:color w:val="000000" w:themeColor="text1"/>
          <w:szCs w:val="24"/>
        </w:rPr>
        <w:t xml:space="preserve">/2013 </w:t>
      </w:r>
      <w:r w:rsidR="00AF289B" w:rsidRPr="00F740D9">
        <w:rPr>
          <w:rFonts w:ascii="Book Antiqua" w:hAnsi="Book Antiqua"/>
          <w:i/>
          <w:color w:val="000000" w:themeColor="text1"/>
          <w:szCs w:val="24"/>
        </w:rPr>
        <w:t>vs</w:t>
      </w:r>
      <w:r w:rsidR="004E2A15" w:rsidRPr="00F740D9">
        <w:rPr>
          <w:rFonts w:ascii="Book Antiqua" w:hAnsi="Book Antiqua"/>
          <w:color w:val="000000" w:themeColor="text1"/>
          <w:szCs w:val="24"/>
        </w:rPr>
        <w:t xml:space="preserve"> </w:t>
      </w:r>
      <w:r w:rsidR="003A0DAE" w:rsidRPr="00F740D9">
        <w:rPr>
          <w:rFonts w:ascii="Book Antiqua" w:hAnsi="Book Antiqua"/>
          <w:color w:val="000000" w:themeColor="text1"/>
          <w:szCs w:val="24"/>
        </w:rPr>
        <w:t>3</w:t>
      </w:r>
      <w:r w:rsidR="004E2A15" w:rsidRPr="00F740D9">
        <w:rPr>
          <w:rFonts w:ascii="Book Antiqua" w:hAnsi="Book Antiqua"/>
          <w:color w:val="000000" w:themeColor="text1"/>
          <w:szCs w:val="24"/>
        </w:rPr>
        <w:t>/200</w:t>
      </w:r>
      <w:r w:rsidRPr="00F740D9">
        <w:rPr>
          <w:rFonts w:ascii="Book Antiqua" w:hAnsi="Book Antiqua"/>
          <w:color w:val="000000" w:themeColor="text1"/>
          <w:szCs w:val="24"/>
        </w:rPr>
        <w:t>8</w:t>
      </w:r>
      <w:r w:rsidR="004E2A15" w:rsidRPr="00F740D9">
        <w:rPr>
          <w:rFonts w:ascii="Book Antiqua" w:hAnsi="Book Antiqua"/>
          <w:color w:val="000000" w:themeColor="text1"/>
          <w:szCs w:val="24"/>
        </w:rPr>
        <w:t xml:space="preserve">, </w:t>
      </w:r>
      <w:r w:rsidR="00AF289B" w:rsidRPr="00F740D9">
        <w:rPr>
          <w:rFonts w:ascii="Book Antiqua" w:hAnsi="Book Antiqua"/>
          <w:i/>
          <w:color w:val="000000" w:themeColor="text1"/>
          <w:szCs w:val="24"/>
        </w:rPr>
        <w:t xml:space="preserve">P </w:t>
      </w:r>
      <w:r w:rsidR="004E2A15" w:rsidRPr="00F740D9">
        <w:rPr>
          <w:rFonts w:ascii="Book Antiqua" w:hAnsi="Book Antiqua"/>
          <w:color w:val="000000" w:themeColor="text1"/>
          <w:szCs w:val="24"/>
        </w:rPr>
        <w:t>&lt;</w:t>
      </w:r>
      <w:r w:rsidR="00AF289B" w:rsidRPr="00F740D9">
        <w:rPr>
          <w:rFonts w:ascii="Book Antiqua" w:hAnsi="Book Antiqua"/>
          <w:color w:val="000000" w:themeColor="text1"/>
          <w:szCs w:val="24"/>
        </w:rPr>
        <w:t xml:space="preserve"> </w:t>
      </w:r>
      <w:r w:rsidR="004E2A15" w:rsidRPr="00F740D9">
        <w:rPr>
          <w:rFonts w:ascii="Book Antiqua" w:hAnsi="Book Antiqua"/>
          <w:color w:val="000000" w:themeColor="text1"/>
          <w:szCs w:val="24"/>
        </w:rPr>
        <w:t xml:space="preserve">0.001). </w:t>
      </w:r>
      <w:r w:rsidR="00B26D04" w:rsidRPr="00F740D9">
        <w:rPr>
          <w:rFonts w:ascii="Book Antiqua" w:hAnsi="Book Antiqua"/>
          <w:color w:val="000000" w:themeColor="text1"/>
          <w:szCs w:val="24"/>
        </w:rPr>
        <w:t>However, t</w:t>
      </w:r>
      <w:r w:rsidR="00D93431" w:rsidRPr="00F740D9">
        <w:rPr>
          <w:rFonts w:ascii="Book Antiqua" w:hAnsi="Book Antiqua"/>
          <w:color w:val="000000" w:themeColor="text1"/>
          <w:szCs w:val="24"/>
        </w:rPr>
        <w:t>he</w:t>
      </w:r>
      <w:r w:rsidR="00A409C0" w:rsidRPr="00F740D9">
        <w:rPr>
          <w:rFonts w:ascii="Book Antiqua" w:hAnsi="Book Antiqua"/>
          <w:color w:val="000000" w:themeColor="text1"/>
          <w:szCs w:val="24"/>
        </w:rPr>
        <w:t xml:space="preserve"> timing was similar </w:t>
      </w:r>
      <w:r w:rsidR="00874E93" w:rsidRPr="00F740D9">
        <w:rPr>
          <w:rFonts w:ascii="Book Antiqua" w:hAnsi="Book Antiqua"/>
          <w:color w:val="000000" w:themeColor="text1"/>
          <w:szCs w:val="24"/>
        </w:rPr>
        <w:t>in terms of</w:t>
      </w:r>
      <w:r w:rsidR="00E93406" w:rsidRPr="00F740D9">
        <w:rPr>
          <w:rFonts w:ascii="Book Antiqua" w:hAnsi="Book Antiqua"/>
          <w:color w:val="000000" w:themeColor="text1"/>
          <w:szCs w:val="24"/>
        </w:rPr>
        <w:t xml:space="preserve"> </w:t>
      </w:r>
      <w:r w:rsidR="00874E93" w:rsidRPr="00F740D9">
        <w:rPr>
          <w:rFonts w:ascii="Book Antiqua" w:hAnsi="Book Antiqua"/>
          <w:color w:val="000000" w:themeColor="text1"/>
          <w:szCs w:val="24"/>
        </w:rPr>
        <w:t>age</w:t>
      </w:r>
      <w:r w:rsidR="00F67102" w:rsidRPr="00F740D9">
        <w:rPr>
          <w:rFonts w:ascii="Book Antiqua" w:hAnsi="Book Antiqua"/>
          <w:color w:val="000000" w:themeColor="text1"/>
          <w:szCs w:val="24"/>
        </w:rPr>
        <w:t xml:space="preserve"> </w:t>
      </w:r>
      <w:r w:rsidR="00874E93" w:rsidRPr="00F740D9">
        <w:rPr>
          <w:rFonts w:ascii="Book Antiqua" w:hAnsi="Book Antiqua"/>
          <w:color w:val="000000" w:themeColor="text1"/>
          <w:szCs w:val="24"/>
        </w:rPr>
        <w:t>(</w:t>
      </w:r>
      <w:r w:rsidR="00A409C0" w:rsidRPr="00F740D9">
        <w:rPr>
          <w:rFonts w:ascii="Book Antiqua" w:hAnsi="Book Antiqua"/>
          <w:color w:val="000000" w:themeColor="text1"/>
          <w:szCs w:val="24"/>
        </w:rPr>
        <w:t xml:space="preserve">58 </w:t>
      </w:r>
      <w:r w:rsidR="00AF289B" w:rsidRPr="00F740D9">
        <w:rPr>
          <w:rFonts w:ascii="Book Antiqua" w:hAnsi="Book Antiqua"/>
          <w:i/>
          <w:color w:val="000000" w:themeColor="text1"/>
          <w:szCs w:val="24"/>
        </w:rPr>
        <w:t>vs</w:t>
      </w:r>
      <w:r w:rsidR="00A409C0" w:rsidRPr="00F740D9">
        <w:rPr>
          <w:rFonts w:ascii="Book Antiqua" w:hAnsi="Book Antiqua"/>
          <w:color w:val="000000" w:themeColor="text1"/>
          <w:szCs w:val="24"/>
        </w:rPr>
        <w:t xml:space="preserve"> 5</w:t>
      </w:r>
      <w:r w:rsidR="003A0DAE" w:rsidRPr="00F740D9">
        <w:rPr>
          <w:rFonts w:ascii="Book Antiqua" w:hAnsi="Book Antiqua"/>
          <w:color w:val="000000" w:themeColor="text1"/>
          <w:szCs w:val="24"/>
        </w:rPr>
        <w:t>5</w:t>
      </w:r>
      <w:r w:rsidR="00A409C0" w:rsidRPr="00F740D9">
        <w:rPr>
          <w:rFonts w:ascii="Book Antiqua" w:hAnsi="Book Antiqua"/>
          <w:color w:val="000000" w:themeColor="text1"/>
          <w:szCs w:val="24"/>
        </w:rPr>
        <w:t xml:space="preserve">, </w:t>
      </w:r>
      <w:r w:rsidR="00AF289B" w:rsidRPr="00F740D9">
        <w:rPr>
          <w:rFonts w:ascii="Book Antiqua" w:hAnsi="Book Antiqua"/>
          <w:i/>
          <w:color w:val="000000" w:themeColor="text1"/>
          <w:szCs w:val="24"/>
        </w:rPr>
        <w:t xml:space="preserve">P </w:t>
      </w:r>
      <w:r w:rsidR="00A409C0" w:rsidRPr="00F740D9">
        <w:rPr>
          <w:rFonts w:ascii="Book Antiqua" w:hAnsi="Book Antiqua"/>
          <w:color w:val="000000" w:themeColor="text1"/>
          <w:szCs w:val="24"/>
        </w:rPr>
        <w:t>=</w:t>
      </w:r>
      <w:r w:rsidR="00AF289B" w:rsidRPr="00F740D9">
        <w:rPr>
          <w:rFonts w:ascii="Book Antiqua" w:hAnsi="Book Antiqua"/>
          <w:color w:val="000000" w:themeColor="text1"/>
          <w:szCs w:val="24"/>
        </w:rPr>
        <w:t xml:space="preserve"> </w:t>
      </w:r>
      <w:r w:rsidR="00A409C0" w:rsidRPr="00F740D9">
        <w:rPr>
          <w:rFonts w:ascii="Book Antiqua" w:hAnsi="Book Antiqua"/>
          <w:color w:val="000000" w:themeColor="text1"/>
          <w:szCs w:val="24"/>
        </w:rPr>
        <w:t>0.</w:t>
      </w:r>
      <w:r w:rsidRPr="00F740D9">
        <w:rPr>
          <w:rFonts w:ascii="Book Antiqua" w:hAnsi="Book Antiqua"/>
          <w:color w:val="000000" w:themeColor="text1"/>
          <w:szCs w:val="24"/>
        </w:rPr>
        <w:t>0</w:t>
      </w:r>
      <w:r w:rsidR="003A0DAE" w:rsidRPr="00F740D9">
        <w:rPr>
          <w:rFonts w:ascii="Book Antiqua" w:hAnsi="Book Antiqua"/>
          <w:color w:val="000000" w:themeColor="text1"/>
          <w:szCs w:val="24"/>
        </w:rPr>
        <w:t>6</w:t>
      </w:r>
      <w:r w:rsidR="00A409C0" w:rsidRPr="00F740D9">
        <w:rPr>
          <w:rFonts w:ascii="Book Antiqua" w:hAnsi="Book Antiqua"/>
          <w:color w:val="000000" w:themeColor="text1"/>
          <w:szCs w:val="24"/>
        </w:rPr>
        <w:t xml:space="preserve">) </w:t>
      </w:r>
      <w:r w:rsidR="00874E93" w:rsidRPr="00F740D9">
        <w:rPr>
          <w:rFonts w:ascii="Book Antiqua" w:hAnsi="Book Antiqua"/>
          <w:color w:val="000000" w:themeColor="text1"/>
          <w:szCs w:val="24"/>
        </w:rPr>
        <w:t xml:space="preserve">and </w:t>
      </w:r>
      <w:r w:rsidR="00043C12">
        <w:rPr>
          <w:rFonts w:ascii="Book Antiqua" w:hAnsi="Book Antiqua"/>
          <w:color w:val="000000" w:themeColor="text1"/>
          <w:szCs w:val="24"/>
        </w:rPr>
        <w:t>time</w:t>
      </w:r>
      <w:r w:rsidR="00A409C0" w:rsidRPr="00F740D9">
        <w:rPr>
          <w:rFonts w:ascii="Book Antiqua" w:hAnsi="Book Antiqua"/>
          <w:color w:val="000000" w:themeColor="text1"/>
          <w:szCs w:val="24"/>
        </w:rPr>
        <w:t xml:space="preserve"> </w:t>
      </w:r>
      <w:r w:rsidR="00A409C0" w:rsidRPr="00F740D9">
        <w:rPr>
          <w:rFonts w:ascii="Book Antiqua" w:hAnsi="Book Antiqua"/>
          <w:color w:val="000000" w:themeColor="text1"/>
          <w:szCs w:val="24"/>
        </w:rPr>
        <w:lastRenderedPageBreak/>
        <w:t xml:space="preserve">from transplant (12 </w:t>
      </w:r>
      <w:r w:rsidR="00AF289B" w:rsidRPr="00F740D9">
        <w:rPr>
          <w:rFonts w:ascii="Book Antiqua" w:hAnsi="Book Antiqua"/>
          <w:i/>
          <w:color w:val="000000" w:themeColor="text1"/>
          <w:szCs w:val="24"/>
        </w:rPr>
        <w:t>vs</w:t>
      </w:r>
      <w:r w:rsidR="00A409C0" w:rsidRPr="00F740D9">
        <w:rPr>
          <w:rFonts w:ascii="Book Antiqua" w:hAnsi="Book Antiqua"/>
          <w:color w:val="000000" w:themeColor="text1"/>
          <w:szCs w:val="24"/>
        </w:rPr>
        <w:t xml:space="preserve"> 12</w:t>
      </w:r>
      <w:r w:rsidR="003E16F6" w:rsidRPr="00F740D9">
        <w:rPr>
          <w:rFonts w:ascii="Book Antiqua" w:hAnsi="Book Antiqua"/>
          <w:color w:val="000000" w:themeColor="text1"/>
          <w:szCs w:val="24"/>
        </w:rPr>
        <w:t xml:space="preserve"> </w:t>
      </w:r>
      <w:r w:rsidR="00A409C0" w:rsidRPr="00F740D9">
        <w:rPr>
          <w:rFonts w:ascii="Book Antiqua" w:hAnsi="Book Antiqua"/>
          <w:color w:val="000000" w:themeColor="text1"/>
          <w:szCs w:val="24"/>
        </w:rPr>
        <w:t xml:space="preserve">mo, </w:t>
      </w:r>
      <w:r w:rsidR="00AF289B" w:rsidRPr="00F740D9">
        <w:rPr>
          <w:rFonts w:ascii="Book Antiqua" w:hAnsi="Book Antiqua"/>
          <w:i/>
          <w:color w:val="000000" w:themeColor="text1"/>
          <w:szCs w:val="24"/>
        </w:rPr>
        <w:t xml:space="preserve">P </w:t>
      </w:r>
      <w:r w:rsidR="00A409C0" w:rsidRPr="00F740D9">
        <w:rPr>
          <w:rFonts w:ascii="Book Antiqua" w:hAnsi="Book Antiqua"/>
          <w:color w:val="000000" w:themeColor="text1"/>
          <w:szCs w:val="24"/>
        </w:rPr>
        <w:t>=</w:t>
      </w:r>
      <w:r w:rsidR="00AF289B" w:rsidRPr="00F740D9">
        <w:rPr>
          <w:rFonts w:ascii="Book Antiqua" w:hAnsi="Book Antiqua"/>
          <w:color w:val="000000" w:themeColor="text1"/>
          <w:szCs w:val="24"/>
        </w:rPr>
        <w:t xml:space="preserve"> </w:t>
      </w:r>
      <w:r w:rsidR="00A409C0" w:rsidRPr="00F740D9">
        <w:rPr>
          <w:rFonts w:ascii="Book Antiqua" w:hAnsi="Book Antiqua"/>
          <w:color w:val="000000" w:themeColor="text1"/>
          <w:szCs w:val="24"/>
        </w:rPr>
        <w:t>0.</w:t>
      </w:r>
      <w:r w:rsidRPr="00F740D9">
        <w:rPr>
          <w:rFonts w:ascii="Book Antiqua" w:hAnsi="Book Antiqua"/>
          <w:color w:val="000000" w:themeColor="text1"/>
          <w:szCs w:val="24"/>
        </w:rPr>
        <w:t>7</w:t>
      </w:r>
      <w:r w:rsidR="003A0DAE" w:rsidRPr="00F740D9">
        <w:rPr>
          <w:rFonts w:ascii="Book Antiqua" w:hAnsi="Book Antiqua"/>
          <w:color w:val="000000" w:themeColor="text1"/>
          <w:szCs w:val="24"/>
        </w:rPr>
        <w:t>3)</w:t>
      </w:r>
      <w:r w:rsidR="00A409C0" w:rsidRPr="00F740D9">
        <w:rPr>
          <w:rFonts w:ascii="Book Antiqua" w:hAnsi="Book Antiqua"/>
          <w:color w:val="000000" w:themeColor="text1"/>
          <w:szCs w:val="24"/>
        </w:rPr>
        <w:t>.</w:t>
      </w:r>
      <w:r w:rsidR="00F67102" w:rsidRPr="00F740D9">
        <w:rPr>
          <w:rFonts w:ascii="Book Antiqua" w:hAnsi="Book Antiqua"/>
          <w:color w:val="000000" w:themeColor="text1"/>
          <w:szCs w:val="24"/>
        </w:rPr>
        <w:t xml:space="preserve"> </w:t>
      </w:r>
      <w:r w:rsidRPr="00F740D9">
        <w:rPr>
          <w:rFonts w:ascii="Book Antiqua" w:hAnsi="Book Antiqua"/>
          <w:color w:val="000000" w:themeColor="text1"/>
          <w:szCs w:val="24"/>
        </w:rPr>
        <w:t>The mTOR inhibitor group had a lower number of recurrent tumours (</w:t>
      </w:r>
      <w:r w:rsidR="003A0DAE" w:rsidRPr="00F740D9">
        <w:rPr>
          <w:rFonts w:ascii="Book Antiqua" w:hAnsi="Book Antiqua"/>
          <w:color w:val="000000" w:themeColor="text1"/>
          <w:szCs w:val="24"/>
        </w:rPr>
        <w:t>2</w:t>
      </w:r>
      <w:r w:rsidRPr="00F740D9">
        <w:rPr>
          <w:rFonts w:ascii="Book Antiqua" w:hAnsi="Book Antiqua"/>
          <w:color w:val="000000" w:themeColor="text1"/>
          <w:szCs w:val="24"/>
        </w:rPr>
        <w:t xml:space="preserve"> </w:t>
      </w:r>
      <w:r w:rsidR="00AF289B" w:rsidRPr="00F740D9">
        <w:rPr>
          <w:rFonts w:ascii="Book Antiqua" w:hAnsi="Book Antiqua"/>
          <w:i/>
          <w:color w:val="000000" w:themeColor="text1"/>
          <w:szCs w:val="24"/>
        </w:rPr>
        <w:t>vs</w:t>
      </w:r>
      <w:r w:rsidRPr="00F740D9">
        <w:rPr>
          <w:rFonts w:ascii="Book Antiqua" w:hAnsi="Book Antiqua"/>
          <w:color w:val="000000" w:themeColor="text1"/>
          <w:szCs w:val="24"/>
        </w:rPr>
        <w:t xml:space="preserve"> </w:t>
      </w:r>
      <w:r w:rsidR="003A0DAE" w:rsidRPr="00F740D9">
        <w:rPr>
          <w:rFonts w:ascii="Book Antiqua" w:hAnsi="Book Antiqua"/>
          <w:color w:val="000000" w:themeColor="text1"/>
          <w:szCs w:val="24"/>
        </w:rPr>
        <w:t>5</w:t>
      </w:r>
      <w:r w:rsidRPr="00F740D9">
        <w:rPr>
          <w:rFonts w:ascii="Book Antiqua" w:hAnsi="Book Antiqua"/>
          <w:color w:val="000000" w:themeColor="text1"/>
          <w:szCs w:val="24"/>
        </w:rPr>
        <w:t xml:space="preserve">, </w:t>
      </w:r>
      <w:r w:rsidR="00AF289B" w:rsidRPr="00F740D9">
        <w:rPr>
          <w:rFonts w:ascii="Book Antiqua" w:hAnsi="Book Antiqua"/>
          <w:i/>
          <w:color w:val="000000" w:themeColor="text1"/>
          <w:szCs w:val="24"/>
        </w:rPr>
        <w:t xml:space="preserve">P </w:t>
      </w:r>
      <w:r w:rsidRPr="00F740D9">
        <w:rPr>
          <w:rFonts w:ascii="Book Antiqua" w:hAnsi="Book Antiqua"/>
          <w:color w:val="000000" w:themeColor="text1"/>
          <w:szCs w:val="24"/>
        </w:rPr>
        <w:t>=</w:t>
      </w:r>
      <w:r w:rsidR="00AF289B" w:rsidRPr="00F740D9">
        <w:rPr>
          <w:rFonts w:ascii="Book Antiqua" w:hAnsi="Book Antiqua"/>
          <w:color w:val="000000" w:themeColor="text1"/>
          <w:szCs w:val="24"/>
        </w:rPr>
        <w:t xml:space="preserve"> </w:t>
      </w:r>
      <w:r w:rsidRPr="00F740D9">
        <w:rPr>
          <w:rFonts w:ascii="Book Antiqua" w:hAnsi="Book Antiqua"/>
          <w:color w:val="000000" w:themeColor="text1"/>
          <w:szCs w:val="24"/>
        </w:rPr>
        <w:t>0.0</w:t>
      </w:r>
      <w:r w:rsidR="003A0DAE" w:rsidRPr="00F740D9">
        <w:rPr>
          <w:rFonts w:ascii="Book Antiqua" w:hAnsi="Book Antiqua"/>
          <w:color w:val="000000" w:themeColor="text1"/>
          <w:szCs w:val="24"/>
        </w:rPr>
        <w:t>2</w:t>
      </w:r>
      <w:r w:rsidRPr="00F740D9">
        <w:rPr>
          <w:rFonts w:ascii="Book Antiqua" w:hAnsi="Book Antiqua"/>
          <w:color w:val="000000" w:themeColor="text1"/>
          <w:szCs w:val="24"/>
        </w:rPr>
        <w:t xml:space="preserve">). Otherwise the </w:t>
      </w:r>
      <w:r w:rsidR="00F67102" w:rsidRPr="00F740D9">
        <w:rPr>
          <w:rFonts w:ascii="Book Antiqua" w:hAnsi="Book Antiqua"/>
          <w:color w:val="000000" w:themeColor="text1"/>
          <w:szCs w:val="24"/>
        </w:rPr>
        <w:t xml:space="preserve">disease status </w:t>
      </w:r>
      <w:r w:rsidR="00714772" w:rsidRPr="00F740D9">
        <w:rPr>
          <w:rFonts w:ascii="Book Antiqua" w:hAnsi="Book Antiqua"/>
          <w:color w:val="000000" w:themeColor="text1"/>
          <w:szCs w:val="24"/>
        </w:rPr>
        <w:t>upon</w:t>
      </w:r>
      <w:r w:rsidR="00F67102" w:rsidRPr="00F740D9">
        <w:rPr>
          <w:rFonts w:ascii="Book Antiqua" w:hAnsi="Book Antiqua"/>
          <w:color w:val="000000" w:themeColor="text1"/>
          <w:szCs w:val="24"/>
        </w:rPr>
        <w:t xml:space="preserve"> recurrence was comparable</w:t>
      </w:r>
      <w:r w:rsidRPr="00F740D9">
        <w:rPr>
          <w:rFonts w:ascii="Book Antiqua" w:hAnsi="Book Antiqua"/>
          <w:color w:val="000000" w:themeColor="text1"/>
          <w:szCs w:val="24"/>
        </w:rPr>
        <w:t xml:space="preserve"> in terms of </w:t>
      </w:r>
      <w:r w:rsidR="00067A20" w:rsidRPr="00F740D9">
        <w:rPr>
          <w:rFonts w:ascii="Book Antiqua" w:hAnsi="Book Antiqua"/>
          <w:color w:val="000000" w:themeColor="text1"/>
          <w:szCs w:val="24"/>
        </w:rPr>
        <w:t xml:space="preserve">numbers of involved organs (1 </w:t>
      </w:r>
      <w:r w:rsidR="00AF289B" w:rsidRPr="00F740D9">
        <w:rPr>
          <w:rFonts w:ascii="Book Antiqua" w:hAnsi="Book Antiqua"/>
          <w:i/>
          <w:color w:val="000000" w:themeColor="text1"/>
          <w:szCs w:val="24"/>
        </w:rPr>
        <w:t>vs</w:t>
      </w:r>
      <w:r w:rsidR="00067A20" w:rsidRPr="00F740D9">
        <w:rPr>
          <w:rFonts w:ascii="Book Antiqua" w:hAnsi="Book Antiqua"/>
          <w:color w:val="000000" w:themeColor="text1"/>
          <w:szCs w:val="24"/>
        </w:rPr>
        <w:t xml:space="preserve"> 1, </w:t>
      </w:r>
      <w:r w:rsidR="00771EAB" w:rsidRPr="00F740D9">
        <w:rPr>
          <w:rFonts w:ascii="Book Antiqua" w:hAnsi="Book Antiqua"/>
          <w:i/>
          <w:iCs/>
          <w:color w:val="000000" w:themeColor="text1"/>
          <w:szCs w:val="24"/>
        </w:rPr>
        <w:t>P</w:t>
      </w:r>
      <w:r w:rsidR="00771EAB" w:rsidRPr="00F740D9">
        <w:rPr>
          <w:rFonts w:ascii="Book Antiqua" w:hAnsi="Book Antiqua"/>
          <w:color w:val="000000" w:themeColor="text1"/>
          <w:szCs w:val="24"/>
        </w:rPr>
        <w:t xml:space="preserve"> </w:t>
      </w:r>
      <w:r w:rsidR="00067A20" w:rsidRPr="00F740D9">
        <w:rPr>
          <w:rFonts w:ascii="Book Antiqua" w:hAnsi="Book Antiqua"/>
          <w:color w:val="000000" w:themeColor="text1"/>
          <w:szCs w:val="24"/>
        </w:rPr>
        <w:t>=</w:t>
      </w:r>
      <w:r w:rsidR="00771EAB" w:rsidRPr="00F740D9">
        <w:rPr>
          <w:rFonts w:ascii="Book Antiqua" w:hAnsi="Book Antiqua"/>
          <w:color w:val="000000" w:themeColor="text1"/>
          <w:szCs w:val="24"/>
        </w:rPr>
        <w:t xml:space="preserve"> </w:t>
      </w:r>
      <w:r w:rsidR="00067A20" w:rsidRPr="00F740D9">
        <w:rPr>
          <w:rFonts w:ascii="Book Antiqua" w:hAnsi="Book Antiqua"/>
          <w:color w:val="000000" w:themeColor="text1"/>
          <w:szCs w:val="24"/>
        </w:rPr>
        <w:t>0.</w:t>
      </w:r>
      <w:r w:rsidR="003A0DAE" w:rsidRPr="00F740D9">
        <w:rPr>
          <w:rFonts w:ascii="Book Antiqua" w:hAnsi="Book Antiqua"/>
          <w:color w:val="000000" w:themeColor="text1"/>
          <w:szCs w:val="24"/>
        </w:rPr>
        <w:t>50</w:t>
      </w:r>
      <w:r w:rsidR="00067A20" w:rsidRPr="00F740D9">
        <w:rPr>
          <w:rFonts w:ascii="Book Antiqua" w:hAnsi="Book Antiqua"/>
          <w:color w:val="000000" w:themeColor="text1"/>
          <w:szCs w:val="24"/>
        </w:rPr>
        <w:t xml:space="preserve">) and </w:t>
      </w:r>
      <w:r w:rsidRPr="00F740D9">
        <w:rPr>
          <w:rFonts w:ascii="Book Antiqua" w:hAnsi="Book Antiqua"/>
          <w:color w:val="000000" w:themeColor="text1"/>
          <w:szCs w:val="24"/>
        </w:rPr>
        <w:t>size of largest tumour</w:t>
      </w:r>
      <w:r w:rsidR="00067A20" w:rsidRPr="00F740D9">
        <w:rPr>
          <w:rFonts w:ascii="Book Antiqua" w:hAnsi="Book Antiqua"/>
          <w:color w:val="000000" w:themeColor="text1"/>
          <w:szCs w:val="24"/>
        </w:rPr>
        <w:t xml:space="preserve"> (</w:t>
      </w:r>
      <w:r w:rsidRPr="00F740D9">
        <w:rPr>
          <w:rFonts w:ascii="Book Antiqua" w:hAnsi="Book Antiqua"/>
          <w:color w:val="000000" w:themeColor="text1"/>
          <w:szCs w:val="24"/>
        </w:rPr>
        <w:t>2.0</w:t>
      </w:r>
      <w:r w:rsidR="00067A20" w:rsidRPr="00F740D9">
        <w:rPr>
          <w:rFonts w:ascii="Book Antiqua" w:hAnsi="Book Antiqua"/>
          <w:color w:val="000000" w:themeColor="text1"/>
          <w:szCs w:val="24"/>
        </w:rPr>
        <w:t xml:space="preserve"> </w:t>
      </w:r>
      <w:r w:rsidR="00AF289B" w:rsidRPr="00F740D9">
        <w:rPr>
          <w:rFonts w:ascii="Book Antiqua" w:hAnsi="Book Antiqua"/>
          <w:i/>
          <w:color w:val="000000" w:themeColor="text1"/>
          <w:szCs w:val="24"/>
        </w:rPr>
        <w:t>vs</w:t>
      </w:r>
      <w:r w:rsidR="00067A20" w:rsidRPr="00F740D9">
        <w:rPr>
          <w:rFonts w:ascii="Book Antiqua" w:hAnsi="Book Antiqua"/>
          <w:color w:val="000000" w:themeColor="text1"/>
          <w:szCs w:val="24"/>
        </w:rPr>
        <w:t xml:space="preserve"> 2.</w:t>
      </w:r>
      <w:r w:rsidRPr="00F740D9">
        <w:rPr>
          <w:rFonts w:ascii="Book Antiqua" w:hAnsi="Book Antiqua"/>
          <w:color w:val="000000" w:themeColor="text1"/>
          <w:szCs w:val="24"/>
        </w:rPr>
        <w:t>1</w:t>
      </w:r>
      <w:r w:rsidR="00AF289B" w:rsidRPr="00F740D9">
        <w:rPr>
          <w:rFonts w:ascii="Book Antiqua" w:hAnsi="Book Antiqua"/>
          <w:color w:val="000000" w:themeColor="text1"/>
          <w:szCs w:val="24"/>
        </w:rPr>
        <w:t xml:space="preserve"> </w:t>
      </w:r>
      <w:r w:rsidR="00067A20" w:rsidRPr="00F740D9">
        <w:rPr>
          <w:rFonts w:ascii="Book Antiqua" w:hAnsi="Book Antiqua"/>
          <w:color w:val="000000" w:themeColor="text1"/>
          <w:szCs w:val="24"/>
        </w:rPr>
        <w:t xml:space="preserve">cm, </w:t>
      </w:r>
      <w:r w:rsidR="00AF289B" w:rsidRPr="00F740D9">
        <w:rPr>
          <w:rFonts w:ascii="Book Antiqua" w:hAnsi="Book Antiqua"/>
          <w:i/>
          <w:color w:val="000000" w:themeColor="text1"/>
          <w:szCs w:val="24"/>
        </w:rPr>
        <w:t xml:space="preserve">P </w:t>
      </w:r>
      <w:r w:rsidR="00067A20" w:rsidRPr="00F740D9">
        <w:rPr>
          <w:rFonts w:ascii="Book Antiqua" w:hAnsi="Book Antiqua"/>
          <w:color w:val="000000" w:themeColor="text1"/>
          <w:szCs w:val="24"/>
        </w:rPr>
        <w:t>=</w:t>
      </w:r>
      <w:r w:rsidR="00AF289B" w:rsidRPr="00F740D9">
        <w:rPr>
          <w:rFonts w:ascii="Book Antiqua" w:hAnsi="Book Antiqua"/>
          <w:color w:val="000000" w:themeColor="text1"/>
          <w:szCs w:val="24"/>
        </w:rPr>
        <w:t xml:space="preserve"> </w:t>
      </w:r>
      <w:r w:rsidR="00067A20" w:rsidRPr="00F740D9">
        <w:rPr>
          <w:rFonts w:ascii="Book Antiqua" w:hAnsi="Book Antiqua"/>
          <w:color w:val="000000" w:themeColor="text1"/>
          <w:szCs w:val="24"/>
        </w:rPr>
        <w:t>0.</w:t>
      </w:r>
      <w:r w:rsidR="003A0DAE" w:rsidRPr="00F740D9">
        <w:rPr>
          <w:rFonts w:ascii="Book Antiqua" w:hAnsi="Book Antiqua"/>
          <w:color w:val="000000" w:themeColor="text1"/>
          <w:szCs w:val="24"/>
        </w:rPr>
        <w:t>74</w:t>
      </w:r>
      <w:r w:rsidR="00067A20" w:rsidRPr="00F740D9">
        <w:rPr>
          <w:rFonts w:ascii="Book Antiqua" w:hAnsi="Book Antiqua"/>
          <w:color w:val="000000" w:themeColor="text1"/>
          <w:szCs w:val="24"/>
        </w:rPr>
        <w:t xml:space="preserve">). </w:t>
      </w:r>
      <w:r w:rsidR="003A0DAE" w:rsidRPr="00F740D9">
        <w:rPr>
          <w:rFonts w:ascii="Book Antiqua" w:hAnsi="Book Antiqua"/>
          <w:color w:val="000000" w:themeColor="text1"/>
          <w:szCs w:val="24"/>
        </w:rPr>
        <w:t xml:space="preserve">There were more bone recurrences in the mTOR inhibitor group (22 </w:t>
      </w:r>
      <w:r w:rsidR="00AF289B" w:rsidRPr="00F740D9">
        <w:rPr>
          <w:rFonts w:ascii="Book Antiqua" w:hAnsi="Book Antiqua"/>
          <w:i/>
          <w:color w:val="000000" w:themeColor="text1"/>
          <w:szCs w:val="24"/>
        </w:rPr>
        <w:t>vs</w:t>
      </w:r>
      <w:r w:rsidR="003A0DAE" w:rsidRPr="00F740D9">
        <w:rPr>
          <w:rFonts w:ascii="Book Antiqua" w:hAnsi="Book Antiqua"/>
          <w:color w:val="000000" w:themeColor="text1"/>
          <w:szCs w:val="24"/>
        </w:rPr>
        <w:t xml:space="preserve"> 9%, </w:t>
      </w:r>
      <w:r w:rsidR="00AF289B" w:rsidRPr="00F740D9">
        <w:rPr>
          <w:rFonts w:ascii="Book Antiqua" w:hAnsi="Book Antiqua"/>
          <w:i/>
          <w:color w:val="000000" w:themeColor="text1"/>
          <w:szCs w:val="24"/>
        </w:rPr>
        <w:t xml:space="preserve">P </w:t>
      </w:r>
      <w:r w:rsidR="003A0DAE" w:rsidRPr="00F740D9">
        <w:rPr>
          <w:rFonts w:ascii="Book Antiqua" w:hAnsi="Book Antiqua"/>
          <w:color w:val="000000" w:themeColor="text1"/>
          <w:szCs w:val="24"/>
        </w:rPr>
        <w:t>=</w:t>
      </w:r>
      <w:r w:rsidR="00AF289B" w:rsidRPr="00F740D9">
        <w:rPr>
          <w:rFonts w:ascii="Book Antiqua" w:hAnsi="Book Antiqua"/>
          <w:color w:val="000000" w:themeColor="text1"/>
          <w:szCs w:val="24"/>
        </w:rPr>
        <w:t xml:space="preserve"> </w:t>
      </w:r>
      <w:r w:rsidR="003A0DAE" w:rsidRPr="00F740D9">
        <w:rPr>
          <w:rFonts w:ascii="Book Antiqua" w:hAnsi="Book Antiqua"/>
          <w:color w:val="000000" w:themeColor="text1"/>
          <w:szCs w:val="24"/>
        </w:rPr>
        <w:t>0.049).</w:t>
      </w:r>
    </w:p>
    <w:p w14:paraId="1C0D59FC" w14:textId="4E8F1B74" w:rsidR="00E13AC6" w:rsidRPr="00F740D9" w:rsidRDefault="00B85050" w:rsidP="00BE6C9D">
      <w:pPr>
        <w:snapToGrid w:val="0"/>
        <w:spacing w:line="360" w:lineRule="auto"/>
        <w:ind w:firstLineChars="100" w:firstLine="240"/>
        <w:jc w:val="both"/>
        <w:rPr>
          <w:rFonts w:ascii="Book Antiqua" w:hAnsi="Book Antiqua"/>
          <w:color w:val="000000" w:themeColor="text1"/>
          <w:szCs w:val="24"/>
        </w:rPr>
      </w:pPr>
      <w:r w:rsidRPr="00F740D9">
        <w:rPr>
          <w:rFonts w:ascii="Book Antiqua" w:hAnsi="Book Antiqua"/>
          <w:color w:val="000000" w:themeColor="text1"/>
          <w:szCs w:val="24"/>
        </w:rPr>
        <w:t xml:space="preserve">Fewer </w:t>
      </w:r>
      <w:r w:rsidR="00E13AC6" w:rsidRPr="00F740D9">
        <w:rPr>
          <w:rFonts w:ascii="Book Antiqua" w:hAnsi="Book Antiqua"/>
          <w:color w:val="000000" w:themeColor="text1"/>
          <w:szCs w:val="24"/>
        </w:rPr>
        <w:t>patients in the</w:t>
      </w:r>
      <w:r w:rsidRPr="00F740D9">
        <w:rPr>
          <w:rFonts w:ascii="Book Antiqua" w:hAnsi="Book Antiqua"/>
          <w:color w:val="000000" w:themeColor="text1"/>
          <w:szCs w:val="24"/>
        </w:rPr>
        <w:t xml:space="preserve"> </w:t>
      </w:r>
      <w:r w:rsidR="00E13AC6" w:rsidRPr="00F740D9">
        <w:rPr>
          <w:rFonts w:ascii="Book Antiqua" w:hAnsi="Book Antiqua"/>
          <w:color w:val="000000" w:themeColor="text1"/>
          <w:szCs w:val="24"/>
        </w:rPr>
        <w:t>mTOR inhibitor group received supportive care (4</w:t>
      </w:r>
      <w:r w:rsidR="00043C12">
        <w:rPr>
          <w:rFonts w:ascii="Book Antiqua" w:hAnsi="Book Antiqua"/>
          <w:color w:val="000000" w:themeColor="text1"/>
          <w:szCs w:val="24"/>
        </w:rPr>
        <w:t>%</w:t>
      </w:r>
      <w:r w:rsidR="00E13AC6" w:rsidRPr="00F740D9">
        <w:rPr>
          <w:rFonts w:ascii="Book Antiqua" w:hAnsi="Book Antiqua"/>
          <w:color w:val="000000" w:themeColor="text1"/>
          <w:szCs w:val="24"/>
        </w:rPr>
        <w:t xml:space="preserve"> </w:t>
      </w:r>
      <w:r w:rsidR="00AF289B" w:rsidRPr="00F740D9">
        <w:rPr>
          <w:rFonts w:ascii="Book Antiqua" w:hAnsi="Book Antiqua"/>
          <w:i/>
          <w:color w:val="000000" w:themeColor="text1"/>
          <w:szCs w:val="24"/>
        </w:rPr>
        <w:t>vs</w:t>
      </w:r>
      <w:r w:rsidR="00E13AC6" w:rsidRPr="00F740D9">
        <w:rPr>
          <w:rFonts w:ascii="Book Antiqua" w:hAnsi="Book Antiqua"/>
          <w:color w:val="000000" w:themeColor="text1"/>
          <w:szCs w:val="24"/>
        </w:rPr>
        <w:t xml:space="preserve"> 3</w:t>
      </w:r>
      <w:r w:rsidR="003A0DAE" w:rsidRPr="00F740D9">
        <w:rPr>
          <w:rFonts w:ascii="Book Antiqua" w:hAnsi="Book Antiqua"/>
          <w:color w:val="000000" w:themeColor="text1"/>
          <w:szCs w:val="24"/>
        </w:rPr>
        <w:t>6</w:t>
      </w:r>
      <w:r w:rsidR="00E13AC6" w:rsidRPr="00F740D9">
        <w:rPr>
          <w:rFonts w:ascii="Book Antiqua" w:hAnsi="Book Antiqua"/>
          <w:color w:val="000000" w:themeColor="text1"/>
          <w:szCs w:val="24"/>
        </w:rPr>
        <w:t xml:space="preserve">%, </w:t>
      </w:r>
      <w:r w:rsidR="00AF289B" w:rsidRPr="00F740D9">
        <w:rPr>
          <w:rFonts w:ascii="Book Antiqua" w:hAnsi="Book Antiqua"/>
          <w:i/>
          <w:color w:val="000000" w:themeColor="text1"/>
          <w:szCs w:val="24"/>
        </w:rPr>
        <w:t xml:space="preserve">P </w:t>
      </w:r>
      <w:r w:rsidR="00E13AC6" w:rsidRPr="00F740D9">
        <w:rPr>
          <w:rFonts w:ascii="Book Antiqua" w:hAnsi="Book Antiqua"/>
          <w:color w:val="000000" w:themeColor="text1"/>
          <w:szCs w:val="24"/>
        </w:rPr>
        <w:t>&lt;</w:t>
      </w:r>
      <w:r w:rsidR="00AF289B" w:rsidRPr="00F740D9">
        <w:rPr>
          <w:rFonts w:ascii="Book Antiqua" w:hAnsi="Book Antiqua"/>
          <w:color w:val="000000" w:themeColor="text1"/>
          <w:szCs w:val="24"/>
        </w:rPr>
        <w:t xml:space="preserve"> </w:t>
      </w:r>
      <w:r w:rsidR="00E13AC6" w:rsidRPr="00F740D9">
        <w:rPr>
          <w:rFonts w:ascii="Book Antiqua" w:hAnsi="Book Antiqua"/>
          <w:color w:val="000000" w:themeColor="text1"/>
          <w:szCs w:val="24"/>
        </w:rPr>
        <w:t>0.001)</w:t>
      </w:r>
      <w:r w:rsidR="00FC6CB4">
        <w:rPr>
          <w:rFonts w:ascii="Book Antiqua" w:hAnsi="Book Antiqua"/>
          <w:color w:val="000000" w:themeColor="text1"/>
          <w:szCs w:val="24"/>
        </w:rPr>
        <w:t xml:space="preserve"> and m</w:t>
      </w:r>
      <w:r w:rsidRPr="00F740D9">
        <w:rPr>
          <w:rFonts w:ascii="Book Antiqua" w:hAnsi="Book Antiqua"/>
          <w:color w:val="000000" w:themeColor="text1"/>
          <w:szCs w:val="24"/>
        </w:rPr>
        <w:t xml:space="preserve">ore </w:t>
      </w:r>
      <w:r w:rsidR="003D23FF" w:rsidRPr="00F740D9">
        <w:rPr>
          <w:rFonts w:ascii="Book Antiqua" w:hAnsi="Book Antiqua"/>
          <w:color w:val="000000" w:themeColor="text1"/>
          <w:szCs w:val="24"/>
        </w:rPr>
        <w:t>active treatments</w:t>
      </w:r>
      <w:r w:rsidRPr="00F740D9">
        <w:rPr>
          <w:rFonts w:ascii="Book Antiqua" w:hAnsi="Book Antiqua"/>
          <w:color w:val="000000" w:themeColor="text1"/>
          <w:szCs w:val="24"/>
        </w:rPr>
        <w:t xml:space="preserve"> were </w:t>
      </w:r>
      <w:r w:rsidR="00A34D65" w:rsidRPr="00F740D9">
        <w:rPr>
          <w:rFonts w:ascii="Book Antiqua" w:hAnsi="Book Antiqua"/>
          <w:color w:val="000000" w:themeColor="text1"/>
          <w:szCs w:val="24"/>
        </w:rPr>
        <w:t>undertaken</w:t>
      </w:r>
      <w:r w:rsidR="003D23FF" w:rsidRPr="00F740D9">
        <w:rPr>
          <w:rFonts w:ascii="Book Antiqua" w:hAnsi="Book Antiqua"/>
          <w:color w:val="000000" w:themeColor="text1"/>
          <w:szCs w:val="24"/>
        </w:rPr>
        <w:t xml:space="preserve">, </w:t>
      </w:r>
      <w:r w:rsidR="00043C12">
        <w:rPr>
          <w:rFonts w:ascii="Book Antiqua" w:hAnsi="Book Antiqua"/>
          <w:color w:val="000000" w:themeColor="text1"/>
          <w:szCs w:val="24"/>
        </w:rPr>
        <w:t>including</w:t>
      </w:r>
      <w:r w:rsidR="003D23FF" w:rsidRPr="00F740D9">
        <w:rPr>
          <w:rFonts w:ascii="Book Antiqua" w:hAnsi="Book Antiqua"/>
          <w:color w:val="000000" w:themeColor="text1"/>
          <w:szCs w:val="24"/>
        </w:rPr>
        <w:t xml:space="preserve"> </w:t>
      </w:r>
      <w:r w:rsidR="0091254B" w:rsidRPr="00F740D9">
        <w:rPr>
          <w:rFonts w:ascii="Book Antiqua" w:hAnsi="Book Antiqua"/>
          <w:color w:val="000000" w:themeColor="text1"/>
          <w:szCs w:val="24"/>
        </w:rPr>
        <w:t xml:space="preserve">radiotherapy (39 </w:t>
      </w:r>
      <w:r w:rsidR="00AF289B" w:rsidRPr="00F740D9">
        <w:rPr>
          <w:rFonts w:ascii="Book Antiqua" w:hAnsi="Book Antiqua"/>
          <w:i/>
          <w:color w:val="000000" w:themeColor="text1"/>
          <w:szCs w:val="24"/>
        </w:rPr>
        <w:t>vs</w:t>
      </w:r>
      <w:r w:rsidR="0091254B" w:rsidRPr="00F740D9">
        <w:rPr>
          <w:rFonts w:ascii="Book Antiqua" w:hAnsi="Book Antiqua"/>
          <w:color w:val="000000" w:themeColor="text1"/>
          <w:szCs w:val="24"/>
        </w:rPr>
        <w:t xml:space="preserve"> 2</w:t>
      </w:r>
      <w:r w:rsidR="003A0DAE" w:rsidRPr="00F740D9">
        <w:rPr>
          <w:rFonts w:ascii="Book Antiqua" w:hAnsi="Book Antiqua"/>
          <w:color w:val="000000" w:themeColor="text1"/>
          <w:szCs w:val="24"/>
        </w:rPr>
        <w:t>2</w:t>
      </w:r>
      <w:r w:rsidR="0091254B" w:rsidRPr="00F740D9">
        <w:rPr>
          <w:rFonts w:ascii="Book Antiqua" w:hAnsi="Book Antiqua"/>
          <w:color w:val="000000" w:themeColor="text1"/>
          <w:szCs w:val="24"/>
        </w:rPr>
        <w:t xml:space="preserve">%, </w:t>
      </w:r>
      <w:r w:rsidR="00AF289B" w:rsidRPr="00F740D9">
        <w:rPr>
          <w:rFonts w:ascii="Book Antiqua" w:hAnsi="Book Antiqua"/>
          <w:i/>
          <w:color w:val="000000" w:themeColor="text1"/>
          <w:szCs w:val="24"/>
        </w:rPr>
        <w:t xml:space="preserve">P </w:t>
      </w:r>
      <w:r w:rsidR="0091254B" w:rsidRPr="00F740D9">
        <w:rPr>
          <w:rFonts w:ascii="Book Antiqua" w:hAnsi="Book Antiqua"/>
          <w:color w:val="000000" w:themeColor="text1"/>
          <w:szCs w:val="24"/>
        </w:rPr>
        <w:t>=</w:t>
      </w:r>
      <w:r w:rsidR="00AF289B" w:rsidRPr="00F740D9">
        <w:rPr>
          <w:rFonts w:ascii="Book Antiqua" w:hAnsi="Book Antiqua"/>
          <w:color w:val="000000" w:themeColor="text1"/>
          <w:szCs w:val="24"/>
        </w:rPr>
        <w:t xml:space="preserve"> </w:t>
      </w:r>
      <w:r w:rsidR="0091254B" w:rsidRPr="00F740D9">
        <w:rPr>
          <w:rFonts w:ascii="Book Antiqua" w:hAnsi="Book Antiqua"/>
          <w:color w:val="000000" w:themeColor="text1"/>
          <w:szCs w:val="24"/>
        </w:rPr>
        <w:t>0.0</w:t>
      </w:r>
      <w:r w:rsidR="003A0DAE" w:rsidRPr="00F740D9">
        <w:rPr>
          <w:rFonts w:ascii="Book Antiqua" w:hAnsi="Book Antiqua"/>
          <w:color w:val="000000" w:themeColor="text1"/>
          <w:szCs w:val="24"/>
        </w:rPr>
        <w:t>3</w:t>
      </w:r>
      <w:r w:rsidR="0091254B" w:rsidRPr="00F740D9">
        <w:rPr>
          <w:rFonts w:ascii="Book Antiqua" w:hAnsi="Book Antiqua"/>
          <w:color w:val="000000" w:themeColor="text1"/>
          <w:szCs w:val="24"/>
        </w:rPr>
        <w:t>) and targeted therapy (5</w:t>
      </w:r>
      <w:r w:rsidR="003A0DAE" w:rsidRPr="00F740D9">
        <w:rPr>
          <w:rFonts w:ascii="Book Antiqua" w:hAnsi="Book Antiqua"/>
          <w:color w:val="000000" w:themeColor="text1"/>
          <w:szCs w:val="24"/>
        </w:rPr>
        <w:t>9</w:t>
      </w:r>
      <w:r w:rsidR="0091254B" w:rsidRPr="00F740D9">
        <w:rPr>
          <w:rFonts w:ascii="Book Antiqua" w:hAnsi="Book Antiqua"/>
          <w:color w:val="000000" w:themeColor="text1"/>
          <w:szCs w:val="24"/>
        </w:rPr>
        <w:t xml:space="preserve"> </w:t>
      </w:r>
      <w:r w:rsidR="00AF289B" w:rsidRPr="00F740D9">
        <w:rPr>
          <w:rFonts w:ascii="Book Antiqua" w:hAnsi="Book Antiqua"/>
          <w:i/>
          <w:color w:val="000000" w:themeColor="text1"/>
          <w:szCs w:val="24"/>
        </w:rPr>
        <w:t>vs</w:t>
      </w:r>
      <w:r w:rsidR="0091254B" w:rsidRPr="00F740D9">
        <w:rPr>
          <w:rFonts w:ascii="Book Antiqua" w:hAnsi="Book Antiqua"/>
          <w:color w:val="000000" w:themeColor="text1"/>
          <w:szCs w:val="24"/>
        </w:rPr>
        <w:t xml:space="preserve"> 2</w:t>
      </w:r>
      <w:r w:rsidR="003A0DAE" w:rsidRPr="00F740D9">
        <w:rPr>
          <w:rFonts w:ascii="Book Antiqua" w:hAnsi="Book Antiqua"/>
          <w:color w:val="000000" w:themeColor="text1"/>
          <w:szCs w:val="24"/>
        </w:rPr>
        <w:t>3</w:t>
      </w:r>
      <w:r w:rsidR="0091254B" w:rsidRPr="00F740D9">
        <w:rPr>
          <w:rFonts w:ascii="Book Antiqua" w:hAnsi="Book Antiqua"/>
          <w:color w:val="000000" w:themeColor="text1"/>
          <w:szCs w:val="24"/>
        </w:rPr>
        <w:t xml:space="preserve">%, </w:t>
      </w:r>
      <w:r w:rsidR="00AF289B" w:rsidRPr="00F740D9">
        <w:rPr>
          <w:rFonts w:ascii="Book Antiqua" w:hAnsi="Book Antiqua"/>
          <w:i/>
          <w:color w:val="000000" w:themeColor="text1"/>
          <w:szCs w:val="24"/>
        </w:rPr>
        <w:t xml:space="preserve">P </w:t>
      </w:r>
      <w:r w:rsidR="0091254B" w:rsidRPr="00F740D9">
        <w:rPr>
          <w:rFonts w:ascii="Book Antiqua" w:hAnsi="Book Antiqua"/>
          <w:color w:val="000000" w:themeColor="text1"/>
          <w:szCs w:val="24"/>
        </w:rPr>
        <w:t>&lt;</w:t>
      </w:r>
      <w:r w:rsidR="00AF289B" w:rsidRPr="00F740D9">
        <w:rPr>
          <w:rFonts w:ascii="Book Antiqua" w:hAnsi="Book Antiqua"/>
          <w:color w:val="000000" w:themeColor="text1"/>
          <w:szCs w:val="24"/>
        </w:rPr>
        <w:t xml:space="preserve"> </w:t>
      </w:r>
      <w:r w:rsidR="0091254B" w:rsidRPr="00F740D9">
        <w:rPr>
          <w:rFonts w:ascii="Book Antiqua" w:hAnsi="Book Antiqua"/>
          <w:color w:val="000000" w:themeColor="text1"/>
          <w:szCs w:val="24"/>
        </w:rPr>
        <w:t>0.001</w:t>
      </w:r>
      <w:r w:rsidR="003D23FF" w:rsidRPr="00F740D9">
        <w:rPr>
          <w:rFonts w:ascii="Book Antiqua" w:hAnsi="Book Antiqua"/>
          <w:color w:val="000000" w:themeColor="text1"/>
          <w:szCs w:val="24"/>
        </w:rPr>
        <w:t xml:space="preserve">). </w:t>
      </w:r>
    </w:p>
    <w:p w14:paraId="114B6106" w14:textId="285F0A92" w:rsidR="00A42F24" w:rsidRPr="00F740D9" w:rsidRDefault="00A42F24" w:rsidP="00BE6C9D">
      <w:pPr>
        <w:snapToGrid w:val="0"/>
        <w:spacing w:line="360" w:lineRule="auto"/>
        <w:jc w:val="both"/>
        <w:rPr>
          <w:rFonts w:ascii="Book Antiqua" w:hAnsi="Book Antiqua"/>
          <w:color w:val="000000" w:themeColor="text1"/>
          <w:szCs w:val="24"/>
        </w:rPr>
      </w:pPr>
    </w:p>
    <w:p w14:paraId="6125517D" w14:textId="7909971A" w:rsidR="00A94C7C" w:rsidRPr="00F740D9" w:rsidRDefault="00A94C7C" w:rsidP="00BE6C9D">
      <w:pPr>
        <w:snapToGrid w:val="0"/>
        <w:spacing w:line="360" w:lineRule="auto"/>
        <w:jc w:val="both"/>
        <w:rPr>
          <w:rFonts w:ascii="Book Antiqua" w:hAnsi="Book Antiqua"/>
          <w:b/>
          <w:bCs/>
          <w:i/>
          <w:iCs/>
          <w:color w:val="000000" w:themeColor="text1"/>
          <w:szCs w:val="24"/>
        </w:rPr>
      </w:pPr>
      <w:r w:rsidRPr="00F740D9">
        <w:rPr>
          <w:rFonts w:ascii="Book Antiqua" w:hAnsi="Book Antiqua"/>
          <w:b/>
          <w:bCs/>
          <w:i/>
          <w:iCs/>
          <w:color w:val="000000" w:themeColor="text1"/>
          <w:szCs w:val="24"/>
        </w:rPr>
        <w:t>Immunosuppression after recurrence</w:t>
      </w:r>
    </w:p>
    <w:p w14:paraId="559918CF" w14:textId="5E4C6BE0" w:rsidR="00A94C7C" w:rsidRPr="00F740D9" w:rsidRDefault="00043C12" w:rsidP="00BE6C9D">
      <w:pPr>
        <w:snapToGrid w:val="0"/>
        <w:spacing w:line="360" w:lineRule="auto"/>
        <w:jc w:val="both"/>
        <w:rPr>
          <w:rFonts w:ascii="Book Antiqua" w:hAnsi="Book Antiqua"/>
          <w:color w:val="000000" w:themeColor="text1"/>
          <w:szCs w:val="24"/>
        </w:rPr>
      </w:pPr>
      <w:bookmarkStart w:id="4" w:name="_Hlk35717765"/>
      <w:r>
        <w:rPr>
          <w:rFonts w:ascii="Book Antiqua" w:hAnsi="Book Antiqua"/>
          <w:color w:val="000000" w:themeColor="text1"/>
          <w:szCs w:val="24"/>
        </w:rPr>
        <w:t>In</w:t>
      </w:r>
      <w:r w:rsidR="00A94C7C" w:rsidRPr="00F740D9">
        <w:rPr>
          <w:rFonts w:ascii="Book Antiqua" w:hAnsi="Book Antiqua"/>
          <w:color w:val="000000" w:themeColor="text1"/>
          <w:szCs w:val="24"/>
        </w:rPr>
        <w:t xml:space="preserve"> the mTOR inhibitor group, 48 (61%) </w:t>
      </w:r>
      <w:r>
        <w:rPr>
          <w:rFonts w:ascii="Book Antiqua" w:hAnsi="Book Antiqua"/>
          <w:color w:val="000000" w:themeColor="text1"/>
          <w:szCs w:val="24"/>
        </w:rPr>
        <w:t xml:space="preserve">patients </w:t>
      </w:r>
      <w:r w:rsidR="00A94C7C" w:rsidRPr="00F740D9">
        <w:rPr>
          <w:rFonts w:ascii="Book Antiqua" w:hAnsi="Book Antiqua"/>
          <w:color w:val="000000" w:themeColor="text1"/>
          <w:szCs w:val="24"/>
        </w:rPr>
        <w:t>received sirolimus and 29 (37%) received everolimus. The remaining 2 patients (3%) w</w:t>
      </w:r>
      <w:r w:rsidR="0069322C" w:rsidRPr="00F740D9">
        <w:rPr>
          <w:rFonts w:ascii="Book Antiqua" w:hAnsi="Book Antiqua"/>
          <w:color w:val="000000" w:themeColor="text1"/>
          <w:szCs w:val="24"/>
        </w:rPr>
        <w:t>ere</w:t>
      </w:r>
      <w:r w:rsidR="00A94C7C" w:rsidRPr="00F740D9">
        <w:rPr>
          <w:rFonts w:ascii="Book Antiqua" w:hAnsi="Book Antiqua"/>
          <w:color w:val="000000" w:themeColor="text1"/>
          <w:szCs w:val="24"/>
        </w:rPr>
        <w:t xml:space="preserve"> initially started on sirolimus but w</w:t>
      </w:r>
      <w:r w:rsidR="0069322C" w:rsidRPr="00F740D9">
        <w:rPr>
          <w:rFonts w:ascii="Book Antiqua" w:hAnsi="Book Antiqua"/>
          <w:color w:val="000000" w:themeColor="text1"/>
          <w:szCs w:val="24"/>
        </w:rPr>
        <w:t>ere</w:t>
      </w:r>
      <w:r w:rsidR="00A94C7C" w:rsidRPr="00F740D9">
        <w:rPr>
          <w:rFonts w:ascii="Book Antiqua" w:hAnsi="Book Antiqua"/>
          <w:color w:val="000000" w:themeColor="text1"/>
          <w:szCs w:val="24"/>
        </w:rPr>
        <w:t xml:space="preserve"> subsequently converted to everolimus. </w:t>
      </w:r>
      <w:bookmarkEnd w:id="4"/>
      <w:r>
        <w:rPr>
          <w:rFonts w:ascii="Book Antiqua" w:hAnsi="Book Antiqua"/>
          <w:color w:val="000000" w:themeColor="text1"/>
          <w:szCs w:val="24"/>
        </w:rPr>
        <w:t>The m</w:t>
      </w:r>
      <w:r w:rsidR="00A94C7C" w:rsidRPr="00F740D9">
        <w:rPr>
          <w:rFonts w:ascii="Book Antiqua" w:hAnsi="Book Antiqua"/>
          <w:color w:val="000000" w:themeColor="text1"/>
          <w:szCs w:val="24"/>
        </w:rPr>
        <w:t xml:space="preserve">ajority of them (80%, </w:t>
      </w:r>
      <w:r w:rsidR="00A94C7C" w:rsidRPr="00F740D9">
        <w:rPr>
          <w:rFonts w:ascii="Book Antiqua" w:hAnsi="Book Antiqua"/>
          <w:i/>
          <w:iCs/>
          <w:color w:val="000000" w:themeColor="text1"/>
          <w:szCs w:val="24"/>
        </w:rPr>
        <w:t>n</w:t>
      </w:r>
      <w:r w:rsidR="00AF289B" w:rsidRPr="00F740D9">
        <w:rPr>
          <w:rFonts w:ascii="Book Antiqua" w:hAnsi="Book Antiqua"/>
          <w:color w:val="000000" w:themeColor="text1"/>
          <w:szCs w:val="24"/>
        </w:rPr>
        <w:t xml:space="preserve"> </w:t>
      </w:r>
      <w:r w:rsidR="00A94C7C" w:rsidRPr="00F740D9">
        <w:rPr>
          <w:rFonts w:ascii="Book Antiqua" w:hAnsi="Book Antiqua"/>
          <w:color w:val="000000" w:themeColor="text1"/>
          <w:szCs w:val="24"/>
        </w:rPr>
        <w:t>=</w:t>
      </w:r>
      <w:r w:rsidR="00AF289B" w:rsidRPr="00F740D9">
        <w:rPr>
          <w:rFonts w:ascii="Book Antiqua" w:hAnsi="Book Antiqua"/>
          <w:color w:val="000000" w:themeColor="text1"/>
          <w:szCs w:val="24"/>
        </w:rPr>
        <w:t xml:space="preserve"> </w:t>
      </w:r>
      <w:r w:rsidR="00A94C7C" w:rsidRPr="00F740D9">
        <w:rPr>
          <w:rFonts w:ascii="Book Antiqua" w:hAnsi="Book Antiqua"/>
          <w:color w:val="000000" w:themeColor="text1"/>
          <w:szCs w:val="24"/>
        </w:rPr>
        <w:t>63) were commenced on mTOR inhibitor after diagnosis of recurrence. Thirty-one of the</w:t>
      </w:r>
      <w:r>
        <w:rPr>
          <w:rFonts w:ascii="Book Antiqua" w:hAnsi="Book Antiqua"/>
          <w:color w:val="000000" w:themeColor="text1"/>
          <w:szCs w:val="24"/>
        </w:rPr>
        <w:t xml:space="preserve">se patients </w:t>
      </w:r>
      <w:r w:rsidR="00A94C7C" w:rsidRPr="00F740D9">
        <w:rPr>
          <w:rFonts w:ascii="Book Antiqua" w:hAnsi="Book Antiqua"/>
          <w:color w:val="000000" w:themeColor="text1"/>
          <w:szCs w:val="24"/>
        </w:rPr>
        <w:t>(39%) w</w:t>
      </w:r>
      <w:r>
        <w:rPr>
          <w:rFonts w:ascii="Book Antiqua" w:hAnsi="Book Antiqua"/>
          <w:color w:val="000000" w:themeColor="text1"/>
          <w:szCs w:val="24"/>
        </w:rPr>
        <w:t>ere</w:t>
      </w:r>
      <w:r w:rsidR="00A94C7C" w:rsidRPr="00F740D9">
        <w:rPr>
          <w:rFonts w:ascii="Book Antiqua" w:hAnsi="Book Antiqua"/>
          <w:color w:val="000000" w:themeColor="text1"/>
          <w:szCs w:val="24"/>
        </w:rPr>
        <w:t xml:space="preserve"> maintained on mTOR inhibitor only</w:t>
      </w:r>
      <w:r>
        <w:rPr>
          <w:rFonts w:ascii="Book Antiqua" w:hAnsi="Book Antiqua"/>
          <w:color w:val="000000" w:themeColor="text1"/>
          <w:szCs w:val="24"/>
        </w:rPr>
        <w:t>,</w:t>
      </w:r>
      <w:r w:rsidR="00A94C7C" w:rsidRPr="00F740D9">
        <w:rPr>
          <w:rFonts w:ascii="Book Antiqua" w:hAnsi="Book Antiqua"/>
          <w:color w:val="000000" w:themeColor="text1"/>
          <w:szCs w:val="24"/>
        </w:rPr>
        <w:t xml:space="preserve"> while 48 (61%) received a combination of mTOR inhibitor and CNI. </w:t>
      </w:r>
      <w:r w:rsidR="006A0E07" w:rsidRPr="00F740D9">
        <w:rPr>
          <w:rFonts w:ascii="Book Antiqua" w:hAnsi="Book Antiqua"/>
          <w:color w:val="000000" w:themeColor="text1"/>
          <w:szCs w:val="24"/>
        </w:rPr>
        <w:t>As a result, there w</w:t>
      </w:r>
      <w:r>
        <w:rPr>
          <w:rFonts w:ascii="Book Antiqua" w:hAnsi="Book Antiqua"/>
          <w:color w:val="000000" w:themeColor="text1"/>
          <w:szCs w:val="24"/>
        </w:rPr>
        <w:t>as</w:t>
      </w:r>
      <w:r w:rsidR="006A0E07" w:rsidRPr="00F740D9">
        <w:rPr>
          <w:rFonts w:ascii="Book Antiqua" w:hAnsi="Book Antiqua"/>
          <w:color w:val="000000" w:themeColor="text1"/>
          <w:szCs w:val="24"/>
        </w:rPr>
        <w:t xml:space="preserve"> </w:t>
      </w:r>
      <w:r w:rsidR="00A94C7C" w:rsidRPr="00F740D9">
        <w:rPr>
          <w:rFonts w:ascii="Book Antiqua" w:hAnsi="Book Antiqua"/>
          <w:color w:val="000000" w:themeColor="text1"/>
          <w:szCs w:val="24"/>
        </w:rPr>
        <w:t xml:space="preserve">lower CNI usage (62 </w:t>
      </w:r>
      <w:r w:rsidR="00AF289B" w:rsidRPr="00F740D9">
        <w:rPr>
          <w:rFonts w:ascii="Book Antiqua" w:hAnsi="Book Antiqua"/>
          <w:i/>
          <w:color w:val="000000" w:themeColor="text1"/>
          <w:szCs w:val="24"/>
        </w:rPr>
        <w:t>vs</w:t>
      </w:r>
      <w:r w:rsidR="00A94C7C" w:rsidRPr="00F740D9">
        <w:rPr>
          <w:rFonts w:ascii="Book Antiqua" w:hAnsi="Book Antiqua"/>
          <w:color w:val="000000" w:themeColor="text1"/>
          <w:szCs w:val="24"/>
        </w:rPr>
        <w:t xml:space="preserve"> 97%, </w:t>
      </w:r>
      <w:r w:rsidR="00AF289B" w:rsidRPr="00F740D9">
        <w:rPr>
          <w:rFonts w:ascii="Book Antiqua" w:hAnsi="Book Antiqua"/>
          <w:i/>
          <w:color w:val="000000" w:themeColor="text1"/>
          <w:szCs w:val="24"/>
        </w:rPr>
        <w:t xml:space="preserve">P </w:t>
      </w:r>
      <w:r w:rsidR="00A94C7C" w:rsidRPr="00F740D9">
        <w:rPr>
          <w:rFonts w:ascii="Book Antiqua" w:hAnsi="Book Antiqua"/>
          <w:color w:val="000000" w:themeColor="text1"/>
          <w:szCs w:val="24"/>
        </w:rPr>
        <w:t>&lt;</w:t>
      </w:r>
      <w:r w:rsidR="00AF289B" w:rsidRPr="00F740D9">
        <w:rPr>
          <w:rFonts w:ascii="Book Antiqua" w:hAnsi="Book Antiqua"/>
          <w:color w:val="000000" w:themeColor="text1"/>
          <w:szCs w:val="24"/>
        </w:rPr>
        <w:t xml:space="preserve"> </w:t>
      </w:r>
      <w:r w:rsidR="00A94C7C" w:rsidRPr="00F740D9">
        <w:rPr>
          <w:rFonts w:ascii="Book Antiqua" w:hAnsi="Book Antiqua"/>
          <w:color w:val="000000" w:themeColor="text1"/>
          <w:szCs w:val="24"/>
        </w:rPr>
        <w:t xml:space="preserve">0.001) and lower median </w:t>
      </w:r>
      <w:r>
        <w:rPr>
          <w:rFonts w:ascii="Book Antiqua" w:hAnsi="Book Antiqua"/>
          <w:color w:val="000000" w:themeColor="text1"/>
          <w:szCs w:val="24"/>
        </w:rPr>
        <w:t>t</w:t>
      </w:r>
      <w:r w:rsidR="00A94C7C" w:rsidRPr="00F740D9">
        <w:rPr>
          <w:rFonts w:ascii="Book Antiqua" w:hAnsi="Book Antiqua"/>
          <w:color w:val="000000" w:themeColor="text1"/>
          <w:szCs w:val="24"/>
        </w:rPr>
        <w:t>acrolimus level</w:t>
      </w:r>
      <w:r>
        <w:rPr>
          <w:rFonts w:ascii="Book Antiqua" w:hAnsi="Book Antiqua"/>
          <w:color w:val="000000" w:themeColor="text1"/>
          <w:szCs w:val="24"/>
        </w:rPr>
        <w:t>s</w:t>
      </w:r>
      <w:r w:rsidR="00A94C7C" w:rsidRPr="00F740D9">
        <w:rPr>
          <w:rFonts w:ascii="Book Antiqua" w:hAnsi="Book Antiqua"/>
          <w:color w:val="000000" w:themeColor="text1"/>
          <w:szCs w:val="24"/>
        </w:rPr>
        <w:t xml:space="preserve"> (3.0 </w:t>
      </w:r>
      <w:r w:rsidR="00AF289B" w:rsidRPr="00F740D9">
        <w:rPr>
          <w:rFonts w:ascii="Book Antiqua" w:hAnsi="Book Antiqua"/>
          <w:i/>
          <w:color w:val="000000" w:themeColor="text1"/>
          <w:szCs w:val="24"/>
        </w:rPr>
        <w:t>vs</w:t>
      </w:r>
      <w:r w:rsidR="00A94C7C" w:rsidRPr="00F740D9">
        <w:rPr>
          <w:rFonts w:ascii="Book Antiqua" w:hAnsi="Book Antiqua"/>
          <w:color w:val="000000" w:themeColor="text1"/>
          <w:szCs w:val="24"/>
        </w:rPr>
        <w:t xml:space="preserve"> 5.2</w:t>
      </w:r>
      <w:r w:rsidR="0001791B">
        <w:rPr>
          <w:rFonts w:ascii="Book Antiqua" w:eastAsia="DengXian" w:hAnsi="Book Antiqua" w:hint="eastAsia"/>
          <w:color w:val="000000" w:themeColor="text1"/>
          <w:szCs w:val="24"/>
          <w:lang w:eastAsia="zh-CN"/>
        </w:rPr>
        <w:t xml:space="preserve"> </w:t>
      </w:r>
      <w:r w:rsidR="0001791B">
        <w:rPr>
          <w:rFonts w:ascii="Book Antiqua" w:hAnsi="Book Antiqua"/>
          <w:color w:val="000000" w:themeColor="text1"/>
          <w:szCs w:val="24"/>
        </w:rPr>
        <w:t>μ</w:t>
      </w:r>
      <w:r w:rsidR="00A94C7C" w:rsidRPr="00F740D9">
        <w:rPr>
          <w:rFonts w:ascii="Book Antiqua" w:hAnsi="Book Antiqua"/>
          <w:color w:val="000000" w:themeColor="text1"/>
          <w:szCs w:val="24"/>
        </w:rPr>
        <w:t xml:space="preserve">g/L, </w:t>
      </w:r>
      <w:r w:rsidR="00AF289B" w:rsidRPr="00F740D9">
        <w:rPr>
          <w:rFonts w:ascii="Book Antiqua" w:hAnsi="Book Antiqua"/>
          <w:i/>
          <w:color w:val="000000" w:themeColor="text1"/>
          <w:szCs w:val="24"/>
        </w:rPr>
        <w:t xml:space="preserve">P </w:t>
      </w:r>
      <w:r w:rsidR="00A94C7C" w:rsidRPr="00F740D9">
        <w:rPr>
          <w:rFonts w:ascii="Book Antiqua" w:hAnsi="Book Antiqua"/>
          <w:color w:val="000000" w:themeColor="text1"/>
          <w:szCs w:val="24"/>
        </w:rPr>
        <w:t>=</w:t>
      </w:r>
      <w:r w:rsidR="00AF289B" w:rsidRPr="00F740D9">
        <w:rPr>
          <w:rFonts w:ascii="Book Antiqua" w:hAnsi="Book Antiqua"/>
          <w:color w:val="000000" w:themeColor="text1"/>
          <w:szCs w:val="24"/>
        </w:rPr>
        <w:t xml:space="preserve"> </w:t>
      </w:r>
      <w:r w:rsidR="00A94C7C" w:rsidRPr="00F740D9">
        <w:rPr>
          <w:rFonts w:ascii="Book Antiqua" w:hAnsi="Book Antiqua"/>
          <w:color w:val="000000" w:themeColor="text1"/>
          <w:szCs w:val="24"/>
        </w:rPr>
        <w:t xml:space="preserve">0.03) in the mTOR inhibitor group. </w:t>
      </w:r>
    </w:p>
    <w:p w14:paraId="31EB244C" w14:textId="77777777" w:rsidR="00A94C7C" w:rsidRPr="0001791B" w:rsidRDefault="00A94C7C" w:rsidP="00BE6C9D">
      <w:pPr>
        <w:snapToGrid w:val="0"/>
        <w:spacing w:line="360" w:lineRule="auto"/>
        <w:jc w:val="both"/>
        <w:rPr>
          <w:rFonts w:ascii="Book Antiqua" w:hAnsi="Book Antiqua"/>
          <w:color w:val="000000" w:themeColor="text1"/>
          <w:szCs w:val="24"/>
        </w:rPr>
      </w:pPr>
    </w:p>
    <w:p w14:paraId="46B7E06B" w14:textId="00A4D920" w:rsidR="001F6626" w:rsidRPr="00F740D9" w:rsidRDefault="003E16F6" w:rsidP="00BE6C9D">
      <w:pPr>
        <w:snapToGrid w:val="0"/>
        <w:spacing w:line="360" w:lineRule="auto"/>
        <w:jc w:val="both"/>
        <w:rPr>
          <w:rFonts w:ascii="Book Antiqua" w:hAnsi="Book Antiqua"/>
          <w:b/>
          <w:bCs/>
          <w:i/>
          <w:iCs/>
          <w:color w:val="000000" w:themeColor="text1"/>
          <w:szCs w:val="24"/>
        </w:rPr>
      </w:pPr>
      <w:r w:rsidRPr="00F740D9">
        <w:rPr>
          <w:rFonts w:ascii="Book Antiqua" w:hAnsi="Book Antiqua"/>
          <w:b/>
          <w:bCs/>
          <w:i/>
          <w:iCs/>
          <w:color w:val="000000" w:themeColor="text1"/>
          <w:szCs w:val="24"/>
        </w:rPr>
        <w:t>Outcomes</w:t>
      </w:r>
    </w:p>
    <w:p w14:paraId="07D72780" w14:textId="33596B4A" w:rsidR="00B85050" w:rsidRPr="00F740D9" w:rsidRDefault="00B85050" w:rsidP="00BE6C9D">
      <w:pPr>
        <w:snapToGrid w:val="0"/>
        <w:spacing w:line="360" w:lineRule="auto"/>
        <w:jc w:val="both"/>
        <w:rPr>
          <w:rFonts w:ascii="Book Antiqua" w:hAnsi="Book Antiqua"/>
          <w:color w:val="000000" w:themeColor="text1"/>
          <w:szCs w:val="24"/>
        </w:rPr>
      </w:pPr>
      <w:r w:rsidRPr="00F740D9">
        <w:rPr>
          <w:rFonts w:ascii="Book Antiqua" w:hAnsi="Book Antiqua"/>
          <w:color w:val="000000" w:themeColor="text1"/>
          <w:szCs w:val="24"/>
        </w:rPr>
        <w:t>The median follow-up time was 14.2 mo.</w:t>
      </w:r>
      <w:r w:rsidR="003E16F6" w:rsidRPr="00F740D9">
        <w:rPr>
          <w:rFonts w:ascii="Book Antiqua" w:hAnsi="Book Antiqua"/>
          <w:color w:val="000000" w:themeColor="text1"/>
          <w:szCs w:val="24"/>
        </w:rPr>
        <w:t xml:space="preserve"> Patients with </w:t>
      </w:r>
      <w:r w:rsidR="00FC6CB4">
        <w:rPr>
          <w:rFonts w:ascii="Book Antiqua" w:hAnsi="Book Antiqua"/>
          <w:color w:val="000000" w:themeColor="text1"/>
          <w:szCs w:val="24"/>
        </w:rPr>
        <w:t xml:space="preserve">an </w:t>
      </w:r>
      <w:r w:rsidR="003E16F6" w:rsidRPr="00F740D9">
        <w:rPr>
          <w:rFonts w:ascii="Book Antiqua" w:hAnsi="Book Antiqua"/>
          <w:color w:val="000000" w:themeColor="text1"/>
          <w:szCs w:val="24"/>
        </w:rPr>
        <w:t>mTOR inhibitor inc</w:t>
      </w:r>
      <w:r w:rsidR="00043C12">
        <w:rPr>
          <w:rFonts w:ascii="Book Antiqua" w:hAnsi="Book Antiqua"/>
          <w:color w:val="000000" w:themeColor="text1"/>
          <w:szCs w:val="24"/>
        </w:rPr>
        <w:t>luded</w:t>
      </w:r>
      <w:r w:rsidR="003E16F6" w:rsidRPr="00F740D9">
        <w:rPr>
          <w:rFonts w:ascii="Book Antiqua" w:hAnsi="Book Antiqua"/>
          <w:color w:val="000000" w:themeColor="text1"/>
          <w:szCs w:val="24"/>
        </w:rPr>
        <w:t xml:space="preserve"> </w:t>
      </w:r>
      <w:r w:rsidR="00043C12">
        <w:rPr>
          <w:rFonts w:ascii="Book Antiqua" w:hAnsi="Book Antiqua"/>
          <w:color w:val="000000" w:themeColor="text1"/>
          <w:szCs w:val="24"/>
        </w:rPr>
        <w:t>in the</w:t>
      </w:r>
      <w:r w:rsidR="003E16F6" w:rsidRPr="00F740D9">
        <w:rPr>
          <w:rFonts w:ascii="Book Antiqua" w:hAnsi="Book Antiqua"/>
          <w:color w:val="000000" w:themeColor="text1"/>
          <w:szCs w:val="24"/>
        </w:rPr>
        <w:t xml:space="preserve"> immunosuppressi</w:t>
      </w:r>
      <w:r w:rsidR="005E350D">
        <w:rPr>
          <w:rFonts w:ascii="Book Antiqua" w:hAnsi="Book Antiqua"/>
          <w:color w:val="000000" w:themeColor="text1"/>
          <w:szCs w:val="24"/>
        </w:rPr>
        <w:t>ve</w:t>
      </w:r>
      <w:r w:rsidR="003E16F6" w:rsidRPr="00F740D9">
        <w:rPr>
          <w:rFonts w:ascii="Book Antiqua" w:hAnsi="Book Antiqua"/>
          <w:color w:val="000000" w:themeColor="text1"/>
          <w:szCs w:val="24"/>
        </w:rPr>
        <w:t xml:space="preserve"> </w:t>
      </w:r>
      <w:r w:rsidR="00043C12">
        <w:rPr>
          <w:rFonts w:ascii="Book Antiqua" w:hAnsi="Book Antiqua"/>
          <w:color w:val="000000" w:themeColor="text1"/>
          <w:szCs w:val="24"/>
        </w:rPr>
        <w:t xml:space="preserve">regime </w:t>
      </w:r>
      <w:r w:rsidR="003E16F6" w:rsidRPr="00F740D9">
        <w:rPr>
          <w:rFonts w:ascii="Book Antiqua" w:hAnsi="Book Antiqua"/>
          <w:color w:val="000000" w:themeColor="text1"/>
          <w:szCs w:val="24"/>
        </w:rPr>
        <w:t>survived significantly longer (2</w:t>
      </w:r>
      <w:r w:rsidR="001A1AA8" w:rsidRPr="00F740D9">
        <w:rPr>
          <w:rFonts w:ascii="Book Antiqua" w:hAnsi="Book Antiqua"/>
          <w:color w:val="000000" w:themeColor="text1"/>
          <w:szCs w:val="24"/>
        </w:rPr>
        <w:t>1.0</w:t>
      </w:r>
      <w:r w:rsidR="00AF289B" w:rsidRPr="00F740D9">
        <w:rPr>
          <w:rFonts w:ascii="Book Antiqua" w:hAnsi="Book Antiqua"/>
          <w:color w:val="000000" w:themeColor="text1"/>
          <w:szCs w:val="24"/>
        </w:rPr>
        <w:t xml:space="preserve"> </w:t>
      </w:r>
      <w:r w:rsidR="003E16F6" w:rsidRPr="00F740D9">
        <w:rPr>
          <w:rFonts w:ascii="Book Antiqua" w:hAnsi="Book Antiqua" w:cstheme="minorHAnsi"/>
          <w:color w:val="000000" w:themeColor="text1"/>
          <w:szCs w:val="24"/>
        </w:rPr>
        <w:t>±</w:t>
      </w:r>
      <w:r w:rsidR="00AF289B" w:rsidRPr="00F740D9">
        <w:rPr>
          <w:rFonts w:ascii="Book Antiqua" w:hAnsi="Book Antiqua" w:cstheme="minorHAnsi"/>
          <w:color w:val="000000" w:themeColor="text1"/>
          <w:szCs w:val="24"/>
        </w:rPr>
        <w:t xml:space="preserve"> </w:t>
      </w:r>
      <w:r w:rsidR="003E16F6" w:rsidRPr="00F740D9">
        <w:rPr>
          <w:rFonts w:ascii="Book Antiqua" w:hAnsi="Book Antiqua"/>
          <w:color w:val="000000" w:themeColor="text1"/>
          <w:szCs w:val="24"/>
        </w:rPr>
        <w:t xml:space="preserve">4.1 </w:t>
      </w:r>
      <w:r w:rsidR="00AF289B" w:rsidRPr="00F740D9">
        <w:rPr>
          <w:rFonts w:ascii="Book Antiqua" w:hAnsi="Book Antiqua"/>
          <w:i/>
          <w:color w:val="000000" w:themeColor="text1"/>
          <w:szCs w:val="24"/>
        </w:rPr>
        <w:t>vs</w:t>
      </w:r>
      <w:r w:rsidR="003E16F6" w:rsidRPr="00F740D9">
        <w:rPr>
          <w:rFonts w:ascii="Book Antiqua" w:hAnsi="Book Antiqua"/>
          <w:color w:val="000000" w:themeColor="text1"/>
          <w:szCs w:val="24"/>
        </w:rPr>
        <w:t xml:space="preserve"> 11.</w:t>
      </w:r>
      <w:r w:rsidR="001A1AA8" w:rsidRPr="00F740D9">
        <w:rPr>
          <w:rFonts w:ascii="Book Antiqua" w:hAnsi="Book Antiqua"/>
          <w:color w:val="000000" w:themeColor="text1"/>
          <w:szCs w:val="24"/>
        </w:rPr>
        <w:t>2</w:t>
      </w:r>
      <w:r w:rsidR="00AF289B" w:rsidRPr="00F740D9">
        <w:rPr>
          <w:rFonts w:ascii="Book Antiqua" w:hAnsi="Book Antiqua"/>
          <w:color w:val="000000" w:themeColor="text1"/>
          <w:szCs w:val="24"/>
        </w:rPr>
        <w:t xml:space="preserve"> </w:t>
      </w:r>
      <w:r w:rsidR="003E16F6" w:rsidRPr="00F740D9">
        <w:rPr>
          <w:rFonts w:ascii="Book Antiqua" w:hAnsi="Book Antiqua" w:cstheme="minorHAnsi"/>
          <w:color w:val="000000" w:themeColor="text1"/>
          <w:szCs w:val="24"/>
        </w:rPr>
        <w:t>±</w:t>
      </w:r>
      <w:r w:rsidR="00AF289B" w:rsidRPr="00F740D9">
        <w:rPr>
          <w:rFonts w:ascii="Book Antiqua" w:hAnsi="Book Antiqua" w:cstheme="minorHAnsi"/>
          <w:color w:val="000000" w:themeColor="text1"/>
          <w:szCs w:val="24"/>
        </w:rPr>
        <w:t xml:space="preserve"> </w:t>
      </w:r>
      <w:r w:rsidR="003E16F6" w:rsidRPr="00F740D9">
        <w:rPr>
          <w:rFonts w:ascii="Book Antiqua" w:hAnsi="Book Antiqua"/>
          <w:color w:val="000000" w:themeColor="text1"/>
          <w:szCs w:val="24"/>
        </w:rPr>
        <w:t>2.</w:t>
      </w:r>
      <w:r w:rsidR="001A1AA8" w:rsidRPr="00F740D9">
        <w:rPr>
          <w:rFonts w:ascii="Book Antiqua" w:hAnsi="Book Antiqua"/>
          <w:color w:val="000000" w:themeColor="text1"/>
          <w:szCs w:val="24"/>
        </w:rPr>
        <w:t>5</w:t>
      </w:r>
      <w:r w:rsidR="003E16F6" w:rsidRPr="00F740D9">
        <w:rPr>
          <w:rFonts w:ascii="Book Antiqua" w:hAnsi="Book Antiqua"/>
          <w:color w:val="000000" w:themeColor="text1"/>
          <w:szCs w:val="24"/>
        </w:rPr>
        <w:t xml:space="preserve"> mo, </w:t>
      </w:r>
      <w:r w:rsidR="00AF289B" w:rsidRPr="00F740D9">
        <w:rPr>
          <w:rFonts w:ascii="Book Antiqua" w:hAnsi="Book Antiqua"/>
          <w:i/>
          <w:color w:val="000000" w:themeColor="text1"/>
          <w:szCs w:val="24"/>
        </w:rPr>
        <w:t xml:space="preserve">P </w:t>
      </w:r>
      <w:r w:rsidR="00A94C7C" w:rsidRPr="00F740D9">
        <w:rPr>
          <w:rFonts w:ascii="Book Antiqua" w:hAnsi="Book Antiqua"/>
          <w:color w:val="000000" w:themeColor="text1"/>
          <w:szCs w:val="24"/>
        </w:rPr>
        <w:t>=</w:t>
      </w:r>
      <w:r w:rsidR="00AF289B" w:rsidRPr="00F740D9">
        <w:rPr>
          <w:rFonts w:ascii="Book Antiqua" w:hAnsi="Book Antiqua"/>
          <w:color w:val="000000" w:themeColor="text1"/>
          <w:szCs w:val="24"/>
        </w:rPr>
        <w:t xml:space="preserve"> </w:t>
      </w:r>
      <w:r w:rsidR="00A94C7C" w:rsidRPr="00F740D9">
        <w:rPr>
          <w:rFonts w:ascii="Book Antiqua" w:hAnsi="Book Antiqua"/>
          <w:color w:val="000000" w:themeColor="text1"/>
          <w:szCs w:val="24"/>
        </w:rPr>
        <w:t>0.04</w:t>
      </w:r>
      <w:r w:rsidR="003E16F6" w:rsidRPr="00F740D9">
        <w:rPr>
          <w:rFonts w:ascii="Book Antiqua" w:hAnsi="Book Antiqua"/>
          <w:color w:val="000000" w:themeColor="text1"/>
          <w:szCs w:val="24"/>
        </w:rPr>
        <w:t>)</w:t>
      </w:r>
      <w:r w:rsidR="008A575E" w:rsidRPr="00F740D9">
        <w:rPr>
          <w:rFonts w:ascii="Book Antiqua" w:hAnsi="Book Antiqua"/>
          <w:color w:val="000000" w:themeColor="text1"/>
          <w:szCs w:val="24"/>
        </w:rPr>
        <w:t xml:space="preserve"> (Figure 1)</w:t>
      </w:r>
      <w:r w:rsidR="003E16F6" w:rsidRPr="00F740D9">
        <w:rPr>
          <w:rFonts w:ascii="Book Antiqua" w:hAnsi="Book Antiqua"/>
          <w:color w:val="000000" w:themeColor="text1"/>
          <w:szCs w:val="24"/>
        </w:rPr>
        <w:t>. Th</w:t>
      </w:r>
      <w:r w:rsidR="008A575E" w:rsidRPr="00F740D9">
        <w:rPr>
          <w:rFonts w:ascii="Book Antiqua" w:hAnsi="Book Antiqua"/>
          <w:color w:val="000000" w:themeColor="text1"/>
          <w:szCs w:val="24"/>
        </w:rPr>
        <w:t>ere was no difference in survival outcomes between patients receiving sirolimus and everolimus (19.1</w:t>
      </w:r>
      <w:r w:rsidR="00AF289B" w:rsidRPr="00F740D9">
        <w:rPr>
          <w:rFonts w:ascii="Book Antiqua" w:hAnsi="Book Antiqua"/>
          <w:color w:val="000000" w:themeColor="text1"/>
          <w:szCs w:val="24"/>
        </w:rPr>
        <w:t xml:space="preserve"> </w:t>
      </w:r>
      <w:r w:rsidR="008A575E" w:rsidRPr="00F740D9">
        <w:rPr>
          <w:rFonts w:ascii="Book Antiqua" w:hAnsi="Book Antiqua" w:cstheme="minorHAnsi"/>
          <w:color w:val="000000" w:themeColor="text1"/>
          <w:szCs w:val="24"/>
        </w:rPr>
        <w:t>±</w:t>
      </w:r>
      <w:r w:rsidR="00AF289B" w:rsidRPr="00F740D9">
        <w:rPr>
          <w:rFonts w:ascii="Book Antiqua" w:hAnsi="Book Antiqua" w:cstheme="minorHAnsi"/>
          <w:color w:val="000000" w:themeColor="text1"/>
          <w:szCs w:val="24"/>
        </w:rPr>
        <w:t xml:space="preserve"> </w:t>
      </w:r>
      <w:r w:rsidR="001A1AA8" w:rsidRPr="00F740D9">
        <w:rPr>
          <w:rFonts w:ascii="Book Antiqua" w:hAnsi="Book Antiqua" w:cstheme="minorHAnsi"/>
          <w:color w:val="000000" w:themeColor="text1"/>
          <w:szCs w:val="24"/>
        </w:rPr>
        <w:t>5.7</w:t>
      </w:r>
      <w:r w:rsidR="008A575E" w:rsidRPr="00F740D9">
        <w:rPr>
          <w:rFonts w:ascii="Book Antiqua" w:hAnsi="Book Antiqua" w:cstheme="minorHAnsi"/>
          <w:color w:val="000000" w:themeColor="text1"/>
          <w:szCs w:val="24"/>
        </w:rPr>
        <w:t xml:space="preserve"> </w:t>
      </w:r>
      <w:r w:rsidR="00AF289B" w:rsidRPr="00F740D9">
        <w:rPr>
          <w:rFonts w:ascii="Book Antiqua" w:hAnsi="Book Antiqua" w:cstheme="minorHAnsi"/>
          <w:i/>
          <w:color w:val="000000" w:themeColor="text1"/>
          <w:szCs w:val="24"/>
        </w:rPr>
        <w:t>vs</w:t>
      </w:r>
      <w:r w:rsidR="008A575E" w:rsidRPr="00F740D9">
        <w:rPr>
          <w:rFonts w:ascii="Book Antiqua" w:hAnsi="Book Antiqua" w:cstheme="minorHAnsi"/>
          <w:color w:val="000000" w:themeColor="text1"/>
          <w:szCs w:val="24"/>
        </w:rPr>
        <w:t xml:space="preserve"> 21.0</w:t>
      </w:r>
      <w:r w:rsidR="00AF289B" w:rsidRPr="00F740D9">
        <w:rPr>
          <w:rFonts w:ascii="Book Antiqua" w:hAnsi="Book Antiqua" w:cstheme="minorHAnsi"/>
          <w:color w:val="000000" w:themeColor="text1"/>
          <w:szCs w:val="24"/>
        </w:rPr>
        <w:t xml:space="preserve"> </w:t>
      </w:r>
      <w:r w:rsidR="008A575E" w:rsidRPr="00F740D9">
        <w:rPr>
          <w:rFonts w:ascii="Book Antiqua" w:hAnsi="Book Antiqua" w:cstheme="minorHAnsi"/>
          <w:color w:val="000000" w:themeColor="text1"/>
          <w:szCs w:val="24"/>
        </w:rPr>
        <w:t>±</w:t>
      </w:r>
      <w:r w:rsidR="00AF289B" w:rsidRPr="00F740D9">
        <w:rPr>
          <w:rFonts w:ascii="Book Antiqua" w:hAnsi="Book Antiqua" w:cstheme="minorHAnsi"/>
          <w:color w:val="000000" w:themeColor="text1"/>
          <w:szCs w:val="24"/>
        </w:rPr>
        <w:t xml:space="preserve"> </w:t>
      </w:r>
      <w:r w:rsidR="008A575E" w:rsidRPr="00F740D9">
        <w:rPr>
          <w:rFonts w:ascii="Book Antiqua" w:hAnsi="Book Antiqua" w:cstheme="minorHAnsi"/>
          <w:color w:val="000000" w:themeColor="text1"/>
          <w:szCs w:val="24"/>
        </w:rPr>
        <w:t>4.</w:t>
      </w:r>
      <w:r w:rsidR="001A1AA8" w:rsidRPr="00F740D9">
        <w:rPr>
          <w:rFonts w:ascii="Book Antiqua" w:hAnsi="Book Antiqua" w:cstheme="minorHAnsi"/>
          <w:color w:val="000000" w:themeColor="text1"/>
          <w:szCs w:val="24"/>
        </w:rPr>
        <w:t>4</w:t>
      </w:r>
      <w:r w:rsidR="008A575E" w:rsidRPr="00F740D9">
        <w:rPr>
          <w:rFonts w:ascii="Book Antiqua" w:hAnsi="Book Antiqua" w:cstheme="minorHAnsi"/>
          <w:color w:val="000000" w:themeColor="text1"/>
          <w:szCs w:val="24"/>
        </w:rPr>
        <w:t xml:space="preserve"> mo, </w:t>
      </w:r>
      <w:r w:rsidR="00AF289B" w:rsidRPr="00F740D9">
        <w:rPr>
          <w:rFonts w:ascii="Book Antiqua" w:hAnsi="Book Antiqua" w:cstheme="minorHAnsi"/>
          <w:i/>
          <w:color w:val="000000" w:themeColor="text1"/>
          <w:szCs w:val="24"/>
        </w:rPr>
        <w:t xml:space="preserve">P </w:t>
      </w:r>
      <w:r w:rsidR="008A575E" w:rsidRPr="00F740D9">
        <w:rPr>
          <w:rFonts w:ascii="Book Antiqua" w:hAnsi="Book Antiqua" w:cstheme="minorHAnsi"/>
          <w:color w:val="000000" w:themeColor="text1"/>
          <w:szCs w:val="24"/>
        </w:rPr>
        <w:t>=</w:t>
      </w:r>
      <w:r w:rsidR="00AF289B" w:rsidRPr="00F740D9">
        <w:rPr>
          <w:rFonts w:ascii="Book Antiqua" w:hAnsi="Book Antiqua" w:cstheme="minorHAnsi"/>
          <w:color w:val="000000" w:themeColor="text1"/>
          <w:szCs w:val="24"/>
        </w:rPr>
        <w:t xml:space="preserve"> </w:t>
      </w:r>
      <w:r w:rsidR="008A575E" w:rsidRPr="00F740D9">
        <w:rPr>
          <w:rFonts w:ascii="Book Antiqua" w:hAnsi="Book Antiqua" w:cstheme="minorHAnsi"/>
          <w:color w:val="000000" w:themeColor="text1"/>
          <w:szCs w:val="24"/>
        </w:rPr>
        <w:t>0.8</w:t>
      </w:r>
      <w:r w:rsidR="001A1AA8" w:rsidRPr="00F740D9">
        <w:rPr>
          <w:rFonts w:ascii="Book Antiqua" w:hAnsi="Book Antiqua" w:cstheme="minorHAnsi"/>
          <w:color w:val="000000" w:themeColor="text1"/>
          <w:szCs w:val="24"/>
        </w:rPr>
        <w:t>8</w:t>
      </w:r>
      <w:r w:rsidR="008A575E" w:rsidRPr="00F740D9">
        <w:rPr>
          <w:rFonts w:ascii="Book Antiqua" w:hAnsi="Book Antiqua" w:cstheme="minorHAnsi"/>
          <w:color w:val="000000" w:themeColor="text1"/>
          <w:szCs w:val="24"/>
        </w:rPr>
        <w:t xml:space="preserve">) (Figure 2). Single agent immunosuppression did not affect survival (single </w:t>
      </w:r>
      <w:r w:rsidR="00AF289B" w:rsidRPr="00F740D9">
        <w:rPr>
          <w:rFonts w:ascii="Book Antiqua" w:hAnsi="Book Antiqua" w:cstheme="minorHAnsi"/>
          <w:i/>
          <w:color w:val="000000" w:themeColor="text1"/>
          <w:szCs w:val="24"/>
        </w:rPr>
        <w:t>vs</w:t>
      </w:r>
      <w:r w:rsidR="008A575E" w:rsidRPr="00F740D9">
        <w:rPr>
          <w:rFonts w:ascii="Book Antiqua" w:hAnsi="Book Antiqua" w:cstheme="minorHAnsi"/>
          <w:color w:val="000000" w:themeColor="text1"/>
          <w:szCs w:val="24"/>
        </w:rPr>
        <w:t xml:space="preserve"> combination: </w:t>
      </w:r>
      <w:r w:rsidR="006C152D" w:rsidRPr="00F740D9">
        <w:rPr>
          <w:rFonts w:ascii="Book Antiqua" w:hAnsi="Book Antiqua" w:cstheme="minorHAnsi"/>
          <w:color w:val="000000" w:themeColor="text1"/>
          <w:szCs w:val="24"/>
        </w:rPr>
        <w:t>26.3</w:t>
      </w:r>
      <w:r w:rsidR="00AF289B" w:rsidRPr="00F740D9">
        <w:rPr>
          <w:rFonts w:ascii="Book Antiqua" w:hAnsi="Book Antiqua" w:cstheme="minorHAnsi"/>
          <w:color w:val="000000" w:themeColor="text1"/>
          <w:szCs w:val="24"/>
        </w:rPr>
        <w:t xml:space="preserve"> </w:t>
      </w:r>
      <w:r w:rsidR="008A575E" w:rsidRPr="00F740D9">
        <w:rPr>
          <w:rFonts w:ascii="Book Antiqua" w:hAnsi="Book Antiqua" w:cstheme="minorHAnsi"/>
          <w:color w:val="000000" w:themeColor="text1"/>
          <w:szCs w:val="24"/>
        </w:rPr>
        <w:t>±</w:t>
      </w:r>
      <w:r w:rsidR="00AF289B" w:rsidRPr="00F740D9">
        <w:rPr>
          <w:rFonts w:ascii="Book Antiqua" w:hAnsi="Book Antiqua" w:cstheme="minorHAnsi"/>
          <w:color w:val="000000" w:themeColor="text1"/>
          <w:szCs w:val="24"/>
        </w:rPr>
        <w:t xml:space="preserve"> </w:t>
      </w:r>
      <w:r w:rsidR="006C152D" w:rsidRPr="00F740D9">
        <w:rPr>
          <w:rFonts w:ascii="Book Antiqua" w:hAnsi="Book Antiqua" w:cstheme="minorHAnsi"/>
          <w:color w:val="000000" w:themeColor="text1"/>
          <w:szCs w:val="24"/>
        </w:rPr>
        <w:t>8.0</w:t>
      </w:r>
      <w:r w:rsidR="008A575E" w:rsidRPr="00F740D9">
        <w:rPr>
          <w:rFonts w:ascii="Book Antiqua" w:hAnsi="Book Antiqua" w:cstheme="minorHAnsi"/>
          <w:color w:val="000000" w:themeColor="text1"/>
          <w:szCs w:val="24"/>
        </w:rPr>
        <w:t xml:space="preserve"> </w:t>
      </w:r>
      <w:r w:rsidR="00AF289B" w:rsidRPr="00F740D9">
        <w:rPr>
          <w:rFonts w:ascii="Book Antiqua" w:hAnsi="Book Antiqua" w:cstheme="minorHAnsi"/>
          <w:i/>
          <w:color w:val="000000" w:themeColor="text1"/>
          <w:szCs w:val="24"/>
        </w:rPr>
        <w:t>vs</w:t>
      </w:r>
      <w:r w:rsidR="008A575E" w:rsidRPr="00F740D9">
        <w:rPr>
          <w:rFonts w:ascii="Book Antiqua" w:hAnsi="Book Antiqua" w:cstheme="minorHAnsi"/>
          <w:color w:val="000000" w:themeColor="text1"/>
          <w:szCs w:val="24"/>
        </w:rPr>
        <w:t xml:space="preserve"> </w:t>
      </w:r>
      <w:r w:rsidR="001A1AA8" w:rsidRPr="00F740D9">
        <w:rPr>
          <w:rFonts w:ascii="Book Antiqua" w:hAnsi="Book Antiqua" w:cstheme="minorHAnsi"/>
          <w:color w:val="000000" w:themeColor="text1"/>
          <w:szCs w:val="24"/>
        </w:rPr>
        <w:t>17.9</w:t>
      </w:r>
      <w:r w:rsidR="00AF289B" w:rsidRPr="00F740D9">
        <w:rPr>
          <w:rFonts w:ascii="Book Antiqua" w:hAnsi="Book Antiqua" w:cstheme="minorHAnsi"/>
          <w:color w:val="000000" w:themeColor="text1"/>
          <w:szCs w:val="24"/>
        </w:rPr>
        <w:t xml:space="preserve"> </w:t>
      </w:r>
      <w:r w:rsidR="008A575E" w:rsidRPr="00F740D9">
        <w:rPr>
          <w:rFonts w:ascii="Book Antiqua" w:hAnsi="Book Antiqua" w:cstheme="minorHAnsi"/>
          <w:color w:val="000000" w:themeColor="text1"/>
          <w:szCs w:val="24"/>
        </w:rPr>
        <w:t>±</w:t>
      </w:r>
      <w:r w:rsidR="00AF289B" w:rsidRPr="00F740D9">
        <w:rPr>
          <w:rFonts w:ascii="Book Antiqua" w:hAnsi="Book Antiqua" w:cstheme="minorHAnsi"/>
          <w:color w:val="000000" w:themeColor="text1"/>
          <w:szCs w:val="24"/>
        </w:rPr>
        <w:t xml:space="preserve"> </w:t>
      </w:r>
      <w:r w:rsidR="001B2046" w:rsidRPr="00F740D9">
        <w:rPr>
          <w:rFonts w:ascii="Book Antiqua" w:hAnsi="Book Antiqua" w:cstheme="minorHAnsi"/>
          <w:color w:val="000000" w:themeColor="text1"/>
          <w:szCs w:val="24"/>
        </w:rPr>
        <w:t>5.3</w:t>
      </w:r>
      <w:r w:rsidR="008A575E" w:rsidRPr="00F740D9">
        <w:rPr>
          <w:rFonts w:ascii="Book Antiqua" w:hAnsi="Book Antiqua" w:cstheme="minorHAnsi"/>
          <w:color w:val="000000" w:themeColor="text1"/>
          <w:szCs w:val="24"/>
        </w:rPr>
        <w:t xml:space="preserve"> mo, </w:t>
      </w:r>
      <w:r w:rsidR="00AF289B" w:rsidRPr="00F740D9">
        <w:rPr>
          <w:rFonts w:ascii="Book Antiqua" w:hAnsi="Book Antiqua" w:cstheme="minorHAnsi"/>
          <w:i/>
          <w:color w:val="000000" w:themeColor="text1"/>
          <w:szCs w:val="24"/>
        </w:rPr>
        <w:t xml:space="preserve">P </w:t>
      </w:r>
      <w:r w:rsidR="008A575E" w:rsidRPr="00F740D9">
        <w:rPr>
          <w:rFonts w:ascii="Book Antiqua" w:hAnsi="Book Antiqua" w:cstheme="minorHAnsi"/>
          <w:color w:val="000000" w:themeColor="text1"/>
          <w:szCs w:val="24"/>
        </w:rPr>
        <w:t>=</w:t>
      </w:r>
      <w:r w:rsidR="00AF289B" w:rsidRPr="00F740D9">
        <w:rPr>
          <w:rFonts w:ascii="Book Antiqua" w:hAnsi="Book Antiqua" w:cstheme="minorHAnsi"/>
          <w:color w:val="000000" w:themeColor="text1"/>
          <w:szCs w:val="24"/>
        </w:rPr>
        <w:t xml:space="preserve"> </w:t>
      </w:r>
      <w:r w:rsidR="008A575E" w:rsidRPr="00F740D9">
        <w:rPr>
          <w:rFonts w:ascii="Book Antiqua" w:hAnsi="Book Antiqua" w:cstheme="minorHAnsi"/>
          <w:color w:val="000000" w:themeColor="text1"/>
          <w:szCs w:val="24"/>
        </w:rPr>
        <w:t>0</w:t>
      </w:r>
      <w:r w:rsidR="004E71E8" w:rsidRPr="00F740D9">
        <w:rPr>
          <w:rFonts w:ascii="Book Antiqua" w:hAnsi="Book Antiqua" w:cstheme="minorHAnsi"/>
          <w:color w:val="000000" w:themeColor="text1"/>
          <w:szCs w:val="24"/>
        </w:rPr>
        <w:t>.59</w:t>
      </w:r>
      <w:r w:rsidR="008A575E" w:rsidRPr="00F740D9">
        <w:rPr>
          <w:rFonts w:ascii="Book Antiqua" w:hAnsi="Book Antiqua" w:cstheme="minorHAnsi"/>
          <w:color w:val="000000" w:themeColor="text1"/>
          <w:szCs w:val="24"/>
        </w:rPr>
        <w:t xml:space="preserve">) (Figure 3) or rejection rate (0 </w:t>
      </w:r>
      <w:r w:rsidR="00AF289B" w:rsidRPr="00F740D9">
        <w:rPr>
          <w:rFonts w:ascii="Book Antiqua" w:hAnsi="Book Antiqua" w:cstheme="minorHAnsi"/>
          <w:i/>
          <w:color w:val="000000" w:themeColor="text1"/>
          <w:szCs w:val="24"/>
        </w:rPr>
        <w:t>vs</w:t>
      </w:r>
      <w:r w:rsidR="008A575E" w:rsidRPr="00F740D9">
        <w:rPr>
          <w:rFonts w:ascii="Book Antiqua" w:hAnsi="Book Antiqua" w:cstheme="minorHAnsi"/>
          <w:color w:val="000000" w:themeColor="text1"/>
          <w:szCs w:val="24"/>
        </w:rPr>
        <w:t xml:space="preserve"> 4.</w:t>
      </w:r>
      <w:r w:rsidR="001A1AA8" w:rsidRPr="00F740D9">
        <w:rPr>
          <w:rFonts w:ascii="Book Antiqua" w:hAnsi="Book Antiqua" w:cstheme="minorHAnsi"/>
          <w:color w:val="000000" w:themeColor="text1"/>
          <w:szCs w:val="24"/>
        </w:rPr>
        <w:t>2</w:t>
      </w:r>
      <w:r w:rsidR="008A575E" w:rsidRPr="00F740D9">
        <w:rPr>
          <w:rFonts w:ascii="Book Antiqua" w:hAnsi="Book Antiqua" w:cstheme="minorHAnsi"/>
          <w:color w:val="000000" w:themeColor="text1"/>
          <w:szCs w:val="24"/>
        </w:rPr>
        <w:t xml:space="preserve">%, </w:t>
      </w:r>
      <w:r w:rsidR="00AF289B" w:rsidRPr="00F740D9">
        <w:rPr>
          <w:rFonts w:ascii="Book Antiqua" w:hAnsi="Book Antiqua" w:cstheme="minorHAnsi"/>
          <w:i/>
          <w:color w:val="000000" w:themeColor="text1"/>
          <w:szCs w:val="24"/>
        </w:rPr>
        <w:t xml:space="preserve">P </w:t>
      </w:r>
      <w:r w:rsidR="008A575E" w:rsidRPr="00F740D9">
        <w:rPr>
          <w:rFonts w:ascii="Book Antiqua" w:hAnsi="Book Antiqua" w:cstheme="minorHAnsi"/>
          <w:color w:val="000000" w:themeColor="text1"/>
          <w:szCs w:val="24"/>
        </w:rPr>
        <w:t>=</w:t>
      </w:r>
      <w:r w:rsidR="00AF289B" w:rsidRPr="00F740D9">
        <w:rPr>
          <w:rFonts w:ascii="Book Antiqua" w:hAnsi="Book Antiqua" w:cstheme="minorHAnsi"/>
          <w:color w:val="000000" w:themeColor="text1"/>
          <w:szCs w:val="24"/>
        </w:rPr>
        <w:t xml:space="preserve"> </w:t>
      </w:r>
      <w:r w:rsidR="008A575E" w:rsidRPr="00F740D9">
        <w:rPr>
          <w:rFonts w:ascii="Book Antiqua" w:hAnsi="Book Antiqua" w:cstheme="minorHAnsi"/>
          <w:color w:val="000000" w:themeColor="text1"/>
          <w:szCs w:val="24"/>
        </w:rPr>
        <w:t xml:space="preserve">0.25). </w:t>
      </w:r>
    </w:p>
    <w:p w14:paraId="76FDE1B0" w14:textId="0875CEC0" w:rsidR="00B3409B" w:rsidRPr="00F740D9" w:rsidRDefault="001A1AA8" w:rsidP="00BE6C9D">
      <w:pPr>
        <w:snapToGrid w:val="0"/>
        <w:spacing w:line="360" w:lineRule="auto"/>
        <w:ind w:firstLineChars="100" w:firstLine="240"/>
        <w:jc w:val="both"/>
        <w:rPr>
          <w:rFonts w:ascii="Book Antiqua" w:hAnsi="Book Antiqua"/>
          <w:color w:val="000000" w:themeColor="text1"/>
          <w:szCs w:val="24"/>
        </w:rPr>
      </w:pPr>
      <w:r w:rsidRPr="00F740D9">
        <w:rPr>
          <w:rFonts w:ascii="Book Antiqua" w:hAnsi="Book Antiqua"/>
          <w:color w:val="000000" w:themeColor="text1"/>
          <w:szCs w:val="24"/>
        </w:rPr>
        <w:t>As shown in Table 3, m</w:t>
      </w:r>
      <w:r w:rsidR="00D525D5" w:rsidRPr="00F740D9">
        <w:rPr>
          <w:rFonts w:ascii="Book Antiqua" w:hAnsi="Book Antiqua"/>
          <w:color w:val="000000" w:themeColor="text1"/>
          <w:szCs w:val="24"/>
        </w:rPr>
        <w:t>ultivariate analysis confirmed that</w:t>
      </w:r>
      <w:r w:rsidR="00F458B0" w:rsidRPr="00F740D9">
        <w:rPr>
          <w:rFonts w:ascii="Book Antiqua" w:hAnsi="Book Antiqua"/>
          <w:color w:val="000000" w:themeColor="text1"/>
          <w:szCs w:val="24"/>
        </w:rPr>
        <w:t xml:space="preserve"> </w:t>
      </w:r>
      <w:r w:rsidR="00B10030" w:rsidRPr="00F740D9">
        <w:rPr>
          <w:rFonts w:ascii="Book Antiqua" w:hAnsi="Book Antiqua"/>
          <w:color w:val="000000" w:themeColor="text1"/>
          <w:szCs w:val="24"/>
        </w:rPr>
        <w:t xml:space="preserve">immunosuppression with mTOR inhibitor was </w:t>
      </w:r>
      <w:r w:rsidR="004F58EE" w:rsidRPr="00F740D9">
        <w:rPr>
          <w:rFonts w:ascii="Book Antiqua" w:hAnsi="Book Antiqua"/>
          <w:color w:val="000000" w:themeColor="text1"/>
          <w:szCs w:val="24"/>
        </w:rPr>
        <w:t xml:space="preserve">independently </w:t>
      </w:r>
      <w:r w:rsidR="00B10030" w:rsidRPr="00F740D9">
        <w:rPr>
          <w:rFonts w:ascii="Book Antiqua" w:hAnsi="Book Antiqua"/>
          <w:color w:val="000000" w:themeColor="text1"/>
          <w:szCs w:val="24"/>
        </w:rPr>
        <w:t>associated with improved survival from recurrence (</w:t>
      </w:r>
      <w:r w:rsidR="00AF289B" w:rsidRPr="00F740D9">
        <w:rPr>
          <w:rFonts w:ascii="Book Antiqua" w:hAnsi="Book Antiqua"/>
          <w:i/>
          <w:color w:val="000000" w:themeColor="text1"/>
          <w:szCs w:val="24"/>
        </w:rPr>
        <w:t xml:space="preserve">P </w:t>
      </w:r>
      <w:r w:rsidR="00A94C7C" w:rsidRPr="00F740D9">
        <w:rPr>
          <w:rFonts w:ascii="Book Antiqua" w:hAnsi="Book Antiqua"/>
          <w:color w:val="000000" w:themeColor="text1"/>
          <w:szCs w:val="24"/>
        </w:rPr>
        <w:t>=</w:t>
      </w:r>
      <w:r w:rsidR="00AF289B" w:rsidRPr="00F740D9">
        <w:rPr>
          <w:rFonts w:ascii="Book Antiqua" w:hAnsi="Book Antiqua"/>
          <w:color w:val="000000" w:themeColor="text1"/>
          <w:szCs w:val="24"/>
        </w:rPr>
        <w:t xml:space="preserve"> </w:t>
      </w:r>
      <w:r w:rsidR="00A94C7C" w:rsidRPr="00F740D9">
        <w:rPr>
          <w:rFonts w:ascii="Book Antiqua" w:hAnsi="Book Antiqua"/>
          <w:color w:val="000000" w:themeColor="text1"/>
          <w:szCs w:val="24"/>
        </w:rPr>
        <w:t>0.04</w:t>
      </w:r>
      <w:r w:rsidR="00B10030" w:rsidRPr="00F740D9">
        <w:rPr>
          <w:rFonts w:ascii="Book Antiqua" w:hAnsi="Book Antiqua"/>
          <w:color w:val="000000" w:themeColor="text1"/>
          <w:szCs w:val="24"/>
        </w:rPr>
        <w:t xml:space="preserve">, OR </w:t>
      </w:r>
      <w:r w:rsidR="008B669A">
        <w:rPr>
          <w:rFonts w:ascii="Book Antiqua" w:eastAsia="DengXian" w:hAnsi="Book Antiqua" w:hint="eastAsia"/>
          <w:color w:val="000000" w:themeColor="text1"/>
          <w:szCs w:val="24"/>
          <w:lang w:eastAsia="zh-CN"/>
        </w:rPr>
        <w:t xml:space="preserve">= </w:t>
      </w:r>
      <w:r w:rsidR="00B10030" w:rsidRPr="00F740D9">
        <w:rPr>
          <w:rFonts w:ascii="Book Antiqua" w:hAnsi="Book Antiqua"/>
          <w:color w:val="000000" w:themeColor="text1"/>
          <w:szCs w:val="24"/>
        </w:rPr>
        <w:t>0.</w:t>
      </w:r>
      <w:r w:rsidR="00A94C7C" w:rsidRPr="00F740D9">
        <w:rPr>
          <w:rFonts w:ascii="Book Antiqua" w:hAnsi="Book Antiqua"/>
          <w:color w:val="000000" w:themeColor="text1"/>
          <w:szCs w:val="24"/>
        </w:rPr>
        <w:t>482</w:t>
      </w:r>
      <w:r w:rsidR="00B10030" w:rsidRPr="00F740D9">
        <w:rPr>
          <w:rFonts w:ascii="Book Antiqua" w:hAnsi="Book Antiqua"/>
          <w:color w:val="000000" w:themeColor="text1"/>
          <w:szCs w:val="24"/>
        </w:rPr>
        <w:t>).</w:t>
      </w:r>
      <w:r w:rsidRPr="00F740D9">
        <w:rPr>
          <w:rFonts w:ascii="Book Antiqua" w:hAnsi="Book Antiqua"/>
          <w:color w:val="000000" w:themeColor="text1"/>
          <w:szCs w:val="24"/>
        </w:rPr>
        <w:t xml:space="preserve"> E</w:t>
      </w:r>
      <w:r w:rsidR="0045357E" w:rsidRPr="00F740D9">
        <w:rPr>
          <w:rFonts w:ascii="Book Antiqua" w:hAnsi="Book Antiqua"/>
          <w:color w:val="000000" w:themeColor="text1"/>
          <w:szCs w:val="24"/>
        </w:rPr>
        <w:t>arly recurrence (</w:t>
      </w:r>
      <w:r w:rsidR="00AF289B" w:rsidRPr="00F740D9">
        <w:rPr>
          <w:rFonts w:ascii="Book Antiqua" w:hAnsi="Book Antiqua"/>
          <w:i/>
          <w:color w:val="000000" w:themeColor="text1"/>
          <w:szCs w:val="24"/>
        </w:rPr>
        <w:t xml:space="preserve">P </w:t>
      </w:r>
      <w:r w:rsidR="0045357E" w:rsidRPr="00F740D9">
        <w:rPr>
          <w:rFonts w:ascii="Book Antiqua" w:hAnsi="Book Antiqua"/>
          <w:color w:val="000000" w:themeColor="text1"/>
          <w:szCs w:val="24"/>
        </w:rPr>
        <w:lastRenderedPageBreak/>
        <w:t>=</w:t>
      </w:r>
      <w:r w:rsidR="00AF289B" w:rsidRPr="00F740D9">
        <w:rPr>
          <w:rFonts w:ascii="Book Antiqua" w:hAnsi="Book Antiqua"/>
          <w:color w:val="000000" w:themeColor="text1"/>
          <w:szCs w:val="24"/>
        </w:rPr>
        <w:t xml:space="preserve"> </w:t>
      </w:r>
      <w:r w:rsidR="0045357E" w:rsidRPr="00F740D9">
        <w:rPr>
          <w:rFonts w:ascii="Book Antiqua" w:hAnsi="Book Antiqua"/>
          <w:color w:val="000000" w:themeColor="text1"/>
          <w:szCs w:val="24"/>
        </w:rPr>
        <w:t>0.</w:t>
      </w:r>
      <w:r w:rsidR="00A94C7C" w:rsidRPr="00F740D9">
        <w:rPr>
          <w:rFonts w:ascii="Book Antiqua" w:hAnsi="Book Antiqua"/>
          <w:color w:val="000000" w:themeColor="text1"/>
          <w:szCs w:val="24"/>
        </w:rPr>
        <w:t>0</w:t>
      </w:r>
      <w:r w:rsidR="0045357E" w:rsidRPr="00F740D9">
        <w:rPr>
          <w:rFonts w:ascii="Book Antiqua" w:hAnsi="Book Antiqua"/>
          <w:color w:val="000000" w:themeColor="text1"/>
          <w:szCs w:val="24"/>
        </w:rPr>
        <w:t>0</w:t>
      </w:r>
      <w:r w:rsidR="00B84797" w:rsidRPr="00F740D9">
        <w:rPr>
          <w:rFonts w:ascii="Book Antiqua" w:hAnsi="Book Antiqua"/>
          <w:color w:val="000000" w:themeColor="text1"/>
          <w:szCs w:val="24"/>
        </w:rPr>
        <w:t xml:space="preserve">1, OR </w:t>
      </w:r>
      <w:r w:rsidR="008B669A">
        <w:rPr>
          <w:rFonts w:ascii="Book Antiqua" w:eastAsia="DengXian" w:hAnsi="Book Antiqua" w:hint="eastAsia"/>
          <w:color w:val="000000" w:themeColor="text1"/>
          <w:szCs w:val="24"/>
          <w:lang w:eastAsia="zh-CN"/>
        </w:rPr>
        <w:t xml:space="preserve">= </w:t>
      </w:r>
      <w:r w:rsidR="00B84797" w:rsidRPr="00F740D9">
        <w:rPr>
          <w:rFonts w:ascii="Book Antiqua" w:hAnsi="Book Antiqua"/>
          <w:color w:val="000000" w:themeColor="text1"/>
          <w:szCs w:val="24"/>
        </w:rPr>
        <w:t>0.9</w:t>
      </w:r>
      <w:r w:rsidRPr="00F740D9">
        <w:rPr>
          <w:rFonts w:ascii="Book Antiqua" w:hAnsi="Book Antiqua"/>
          <w:color w:val="000000" w:themeColor="text1"/>
          <w:szCs w:val="24"/>
        </w:rPr>
        <w:t>7</w:t>
      </w:r>
      <w:r w:rsidR="00A94C7C" w:rsidRPr="00F740D9">
        <w:rPr>
          <w:rFonts w:ascii="Book Antiqua" w:hAnsi="Book Antiqua"/>
          <w:color w:val="000000" w:themeColor="text1"/>
          <w:szCs w:val="24"/>
        </w:rPr>
        <w:t>7</w:t>
      </w:r>
      <w:r w:rsidR="00B84797" w:rsidRPr="00F740D9">
        <w:rPr>
          <w:rFonts w:ascii="Book Antiqua" w:hAnsi="Book Antiqua"/>
          <w:color w:val="000000" w:themeColor="text1"/>
          <w:szCs w:val="24"/>
        </w:rPr>
        <w:t>), liver recurrence (</w:t>
      </w:r>
      <w:r w:rsidR="00AF289B" w:rsidRPr="00F740D9">
        <w:rPr>
          <w:rFonts w:ascii="Book Antiqua" w:hAnsi="Book Antiqua"/>
          <w:i/>
          <w:color w:val="000000" w:themeColor="text1"/>
          <w:szCs w:val="24"/>
        </w:rPr>
        <w:t xml:space="preserve">P </w:t>
      </w:r>
      <w:r w:rsidR="00B84797" w:rsidRPr="00F740D9">
        <w:rPr>
          <w:rFonts w:ascii="Book Antiqua" w:hAnsi="Book Antiqua"/>
          <w:color w:val="000000" w:themeColor="text1"/>
          <w:szCs w:val="24"/>
        </w:rPr>
        <w:t>=</w:t>
      </w:r>
      <w:r w:rsidR="00AF289B" w:rsidRPr="00F740D9">
        <w:rPr>
          <w:rFonts w:ascii="Book Antiqua" w:hAnsi="Book Antiqua"/>
          <w:color w:val="000000" w:themeColor="text1"/>
          <w:szCs w:val="24"/>
        </w:rPr>
        <w:t xml:space="preserve"> </w:t>
      </w:r>
      <w:r w:rsidR="00B84797" w:rsidRPr="00F740D9">
        <w:rPr>
          <w:rFonts w:ascii="Book Antiqua" w:hAnsi="Book Antiqua"/>
          <w:color w:val="000000" w:themeColor="text1"/>
          <w:szCs w:val="24"/>
        </w:rPr>
        <w:t>0.01, OR</w:t>
      </w:r>
      <w:r w:rsidR="008B669A">
        <w:rPr>
          <w:rFonts w:ascii="Book Antiqua" w:eastAsia="DengXian" w:hAnsi="Book Antiqua" w:hint="eastAsia"/>
          <w:color w:val="000000" w:themeColor="text1"/>
          <w:szCs w:val="24"/>
          <w:lang w:eastAsia="zh-CN"/>
        </w:rPr>
        <w:t xml:space="preserve"> =</w:t>
      </w:r>
      <w:r w:rsidR="00A94C7C" w:rsidRPr="00F740D9">
        <w:rPr>
          <w:rFonts w:ascii="Book Antiqua" w:hAnsi="Book Antiqua"/>
          <w:color w:val="000000" w:themeColor="text1"/>
          <w:szCs w:val="24"/>
        </w:rPr>
        <w:t xml:space="preserve"> 1.92</w:t>
      </w:r>
      <w:r w:rsidR="00244736" w:rsidRPr="00F740D9">
        <w:rPr>
          <w:rFonts w:ascii="Book Antiqua" w:hAnsi="Book Antiqua"/>
          <w:color w:val="000000" w:themeColor="text1"/>
          <w:szCs w:val="24"/>
        </w:rPr>
        <w:t>)</w:t>
      </w:r>
      <w:r w:rsidR="0088152D" w:rsidRPr="00F740D9">
        <w:rPr>
          <w:rFonts w:ascii="Book Antiqua" w:hAnsi="Book Antiqua"/>
          <w:color w:val="000000" w:themeColor="text1"/>
          <w:szCs w:val="24"/>
        </w:rPr>
        <w:t>, larger tumour (</w:t>
      </w:r>
      <w:r w:rsidR="00AF289B" w:rsidRPr="00F740D9">
        <w:rPr>
          <w:rFonts w:ascii="Book Antiqua" w:hAnsi="Book Antiqua"/>
          <w:i/>
          <w:color w:val="000000" w:themeColor="text1"/>
          <w:szCs w:val="24"/>
        </w:rPr>
        <w:t xml:space="preserve">P </w:t>
      </w:r>
      <w:r w:rsidR="0088152D" w:rsidRPr="00F740D9">
        <w:rPr>
          <w:rFonts w:ascii="Book Antiqua" w:hAnsi="Book Antiqua"/>
          <w:color w:val="000000" w:themeColor="text1"/>
          <w:szCs w:val="24"/>
        </w:rPr>
        <w:t>=</w:t>
      </w:r>
      <w:r w:rsidR="00AF289B" w:rsidRPr="00F740D9">
        <w:rPr>
          <w:rFonts w:ascii="Book Antiqua" w:hAnsi="Book Antiqua"/>
          <w:color w:val="000000" w:themeColor="text1"/>
          <w:szCs w:val="24"/>
        </w:rPr>
        <w:t xml:space="preserve"> </w:t>
      </w:r>
      <w:r w:rsidR="0088152D" w:rsidRPr="00F740D9">
        <w:rPr>
          <w:rFonts w:ascii="Book Antiqua" w:hAnsi="Book Antiqua"/>
          <w:color w:val="000000" w:themeColor="text1"/>
          <w:szCs w:val="24"/>
        </w:rPr>
        <w:t>0.0</w:t>
      </w:r>
      <w:r w:rsidR="00200F3A" w:rsidRPr="00F740D9">
        <w:rPr>
          <w:rFonts w:ascii="Book Antiqua" w:hAnsi="Book Antiqua"/>
          <w:color w:val="000000" w:themeColor="text1"/>
          <w:szCs w:val="24"/>
        </w:rPr>
        <w:t>2</w:t>
      </w:r>
      <w:r w:rsidR="0088152D" w:rsidRPr="00F740D9">
        <w:rPr>
          <w:rFonts w:ascii="Book Antiqua" w:hAnsi="Book Antiqua"/>
          <w:color w:val="000000" w:themeColor="text1"/>
          <w:szCs w:val="24"/>
        </w:rPr>
        <w:t>, OR</w:t>
      </w:r>
      <w:r w:rsidR="008B669A">
        <w:rPr>
          <w:rFonts w:ascii="Book Antiqua" w:eastAsia="DengXian" w:hAnsi="Book Antiqua" w:hint="eastAsia"/>
          <w:color w:val="000000" w:themeColor="text1"/>
          <w:szCs w:val="24"/>
          <w:lang w:eastAsia="zh-CN"/>
        </w:rPr>
        <w:t xml:space="preserve"> =</w:t>
      </w:r>
      <w:r w:rsidR="0088152D" w:rsidRPr="00F740D9">
        <w:rPr>
          <w:rFonts w:ascii="Book Antiqua" w:hAnsi="Book Antiqua"/>
          <w:color w:val="000000" w:themeColor="text1"/>
          <w:szCs w:val="24"/>
        </w:rPr>
        <w:t xml:space="preserve"> </w:t>
      </w:r>
      <w:r w:rsidRPr="00F740D9">
        <w:rPr>
          <w:rFonts w:ascii="Book Antiqua" w:hAnsi="Book Antiqua"/>
          <w:color w:val="000000" w:themeColor="text1"/>
          <w:szCs w:val="24"/>
        </w:rPr>
        <w:t>1.13</w:t>
      </w:r>
      <w:r w:rsidR="0088152D" w:rsidRPr="00F740D9">
        <w:rPr>
          <w:rFonts w:ascii="Book Antiqua" w:hAnsi="Book Antiqua"/>
          <w:color w:val="000000" w:themeColor="text1"/>
          <w:szCs w:val="24"/>
        </w:rPr>
        <w:t xml:space="preserve">), </w:t>
      </w:r>
      <w:r w:rsidR="005E350D">
        <w:rPr>
          <w:rFonts w:ascii="Book Antiqua" w:hAnsi="Book Antiqua"/>
          <w:color w:val="000000" w:themeColor="text1"/>
          <w:szCs w:val="24"/>
        </w:rPr>
        <w:t xml:space="preserve">and </w:t>
      </w:r>
      <w:r w:rsidR="0088152D" w:rsidRPr="00F740D9">
        <w:rPr>
          <w:rFonts w:ascii="Book Antiqua" w:hAnsi="Book Antiqua"/>
          <w:color w:val="000000" w:themeColor="text1"/>
          <w:szCs w:val="24"/>
        </w:rPr>
        <w:t>higher AFP level (</w:t>
      </w:r>
      <w:r w:rsidR="00AF289B" w:rsidRPr="00F740D9">
        <w:rPr>
          <w:rFonts w:ascii="Book Antiqua" w:hAnsi="Book Antiqua"/>
          <w:i/>
          <w:color w:val="000000" w:themeColor="text1"/>
          <w:szCs w:val="24"/>
        </w:rPr>
        <w:t xml:space="preserve">P </w:t>
      </w:r>
      <w:r w:rsidR="0088152D" w:rsidRPr="00F740D9">
        <w:rPr>
          <w:rFonts w:ascii="Book Antiqua" w:hAnsi="Book Antiqua"/>
          <w:color w:val="000000" w:themeColor="text1"/>
          <w:szCs w:val="24"/>
        </w:rPr>
        <w:t>=</w:t>
      </w:r>
      <w:r w:rsidR="00AF289B" w:rsidRPr="00F740D9">
        <w:rPr>
          <w:rFonts w:ascii="Book Antiqua" w:hAnsi="Book Antiqua"/>
          <w:color w:val="000000" w:themeColor="text1"/>
          <w:szCs w:val="24"/>
        </w:rPr>
        <w:t xml:space="preserve"> </w:t>
      </w:r>
      <w:r w:rsidR="0088152D" w:rsidRPr="00F740D9">
        <w:rPr>
          <w:rFonts w:ascii="Book Antiqua" w:hAnsi="Book Antiqua"/>
          <w:color w:val="000000" w:themeColor="text1"/>
          <w:szCs w:val="24"/>
        </w:rPr>
        <w:t>0.0</w:t>
      </w:r>
      <w:r w:rsidR="00200F3A" w:rsidRPr="00F740D9">
        <w:rPr>
          <w:rFonts w:ascii="Book Antiqua" w:hAnsi="Book Antiqua"/>
          <w:color w:val="000000" w:themeColor="text1"/>
          <w:szCs w:val="24"/>
        </w:rPr>
        <w:t>2</w:t>
      </w:r>
      <w:r w:rsidR="0088152D" w:rsidRPr="00F740D9">
        <w:rPr>
          <w:rFonts w:ascii="Book Antiqua" w:hAnsi="Book Antiqua"/>
          <w:color w:val="000000" w:themeColor="text1"/>
          <w:szCs w:val="24"/>
        </w:rPr>
        <w:t>, OR</w:t>
      </w:r>
      <w:r w:rsidR="008B669A">
        <w:rPr>
          <w:rFonts w:ascii="Book Antiqua" w:eastAsia="DengXian" w:hAnsi="Book Antiqua" w:hint="eastAsia"/>
          <w:color w:val="000000" w:themeColor="text1"/>
          <w:szCs w:val="24"/>
          <w:lang w:eastAsia="zh-CN"/>
        </w:rPr>
        <w:t xml:space="preserve"> =</w:t>
      </w:r>
      <w:r w:rsidR="0088152D" w:rsidRPr="00F740D9">
        <w:rPr>
          <w:rFonts w:ascii="Book Antiqua" w:hAnsi="Book Antiqua"/>
          <w:color w:val="000000" w:themeColor="text1"/>
          <w:szCs w:val="24"/>
        </w:rPr>
        <w:t xml:space="preserve"> 1.00)</w:t>
      </w:r>
      <w:r w:rsidR="004A4EC4" w:rsidRPr="00F740D9">
        <w:rPr>
          <w:rFonts w:ascii="Book Antiqua" w:hAnsi="Book Antiqua"/>
          <w:color w:val="000000" w:themeColor="text1"/>
          <w:szCs w:val="24"/>
        </w:rPr>
        <w:t xml:space="preserve"> </w:t>
      </w:r>
      <w:r w:rsidR="000653CC" w:rsidRPr="00F740D9">
        <w:rPr>
          <w:rFonts w:ascii="Book Antiqua" w:hAnsi="Book Antiqua"/>
          <w:color w:val="000000" w:themeColor="text1"/>
          <w:szCs w:val="24"/>
        </w:rPr>
        <w:t>were predictors of poor survival</w:t>
      </w:r>
      <w:r w:rsidR="004A4EC4" w:rsidRPr="00F740D9">
        <w:rPr>
          <w:rFonts w:ascii="Book Antiqua" w:hAnsi="Book Antiqua"/>
          <w:color w:val="000000" w:themeColor="text1"/>
          <w:szCs w:val="24"/>
        </w:rPr>
        <w:t xml:space="preserve">. </w:t>
      </w:r>
      <w:r w:rsidR="00200F3A" w:rsidRPr="00F740D9">
        <w:rPr>
          <w:rFonts w:ascii="Book Antiqua" w:hAnsi="Book Antiqua"/>
          <w:color w:val="000000" w:themeColor="text1"/>
          <w:szCs w:val="24"/>
        </w:rPr>
        <w:t>T</w:t>
      </w:r>
      <w:r w:rsidR="005E350D">
        <w:rPr>
          <w:rFonts w:ascii="Book Antiqua" w:hAnsi="Book Antiqua"/>
          <w:color w:val="000000" w:themeColor="text1"/>
          <w:szCs w:val="24"/>
        </w:rPr>
        <w:t>he t</w:t>
      </w:r>
      <w:r w:rsidR="00200F3A" w:rsidRPr="00F740D9">
        <w:rPr>
          <w:rFonts w:ascii="Book Antiqua" w:hAnsi="Book Antiqua"/>
          <w:color w:val="000000" w:themeColor="text1"/>
          <w:szCs w:val="24"/>
        </w:rPr>
        <w:t xml:space="preserve">rough level of </w:t>
      </w:r>
      <w:r w:rsidR="005E350D">
        <w:rPr>
          <w:rFonts w:ascii="Book Antiqua" w:hAnsi="Book Antiqua"/>
          <w:color w:val="000000" w:themeColor="text1"/>
          <w:szCs w:val="24"/>
        </w:rPr>
        <w:t>t</w:t>
      </w:r>
      <w:r w:rsidR="00200F3A" w:rsidRPr="00F740D9">
        <w:rPr>
          <w:rFonts w:ascii="Book Antiqua" w:hAnsi="Book Antiqua"/>
          <w:color w:val="000000" w:themeColor="text1"/>
          <w:szCs w:val="24"/>
        </w:rPr>
        <w:t>acrolimus (</w:t>
      </w:r>
      <w:r w:rsidR="00AF289B" w:rsidRPr="00F740D9">
        <w:rPr>
          <w:rFonts w:ascii="Book Antiqua" w:hAnsi="Book Antiqua"/>
          <w:i/>
          <w:color w:val="000000" w:themeColor="text1"/>
          <w:szCs w:val="24"/>
        </w:rPr>
        <w:t xml:space="preserve">P </w:t>
      </w:r>
      <w:r w:rsidR="00200F3A" w:rsidRPr="00F740D9">
        <w:rPr>
          <w:rFonts w:ascii="Book Antiqua" w:hAnsi="Book Antiqua"/>
          <w:color w:val="000000" w:themeColor="text1"/>
          <w:szCs w:val="24"/>
        </w:rPr>
        <w:t>=</w:t>
      </w:r>
      <w:r w:rsidR="00AF289B" w:rsidRPr="00F740D9">
        <w:rPr>
          <w:rFonts w:ascii="Book Antiqua" w:hAnsi="Book Antiqua"/>
          <w:color w:val="000000" w:themeColor="text1"/>
          <w:szCs w:val="24"/>
        </w:rPr>
        <w:t xml:space="preserve"> </w:t>
      </w:r>
      <w:r w:rsidR="00200F3A" w:rsidRPr="00F740D9">
        <w:rPr>
          <w:rFonts w:ascii="Book Antiqua" w:hAnsi="Book Antiqua"/>
          <w:color w:val="000000" w:themeColor="text1"/>
          <w:szCs w:val="24"/>
        </w:rPr>
        <w:t>0.16), d</w:t>
      </w:r>
      <w:r w:rsidRPr="00F740D9">
        <w:rPr>
          <w:rFonts w:ascii="Book Antiqua" w:hAnsi="Book Antiqua"/>
          <w:color w:val="000000" w:themeColor="text1"/>
          <w:szCs w:val="24"/>
        </w:rPr>
        <w:t>ate of recurrence (</w:t>
      </w:r>
      <w:r w:rsidR="00AF289B" w:rsidRPr="00F740D9">
        <w:rPr>
          <w:rFonts w:ascii="Book Antiqua" w:hAnsi="Book Antiqua"/>
          <w:i/>
          <w:color w:val="000000" w:themeColor="text1"/>
          <w:szCs w:val="24"/>
        </w:rPr>
        <w:t xml:space="preserve">P </w:t>
      </w:r>
      <w:r w:rsidRPr="00F740D9">
        <w:rPr>
          <w:rFonts w:ascii="Book Antiqua" w:hAnsi="Book Antiqua"/>
          <w:color w:val="000000" w:themeColor="text1"/>
          <w:szCs w:val="24"/>
        </w:rPr>
        <w:t>=</w:t>
      </w:r>
      <w:r w:rsidR="00AF289B" w:rsidRPr="00F740D9">
        <w:rPr>
          <w:rFonts w:ascii="Book Antiqua" w:hAnsi="Book Antiqua"/>
          <w:color w:val="000000" w:themeColor="text1"/>
          <w:szCs w:val="24"/>
        </w:rPr>
        <w:t xml:space="preserve"> </w:t>
      </w:r>
      <w:r w:rsidRPr="00F740D9">
        <w:rPr>
          <w:rFonts w:ascii="Book Antiqua" w:hAnsi="Book Antiqua"/>
          <w:color w:val="000000" w:themeColor="text1"/>
          <w:szCs w:val="24"/>
        </w:rPr>
        <w:t>0.</w:t>
      </w:r>
      <w:r w:rsidR="00200F3A" w:rsidRPr="00F740D9">
        <w:rPr>
          <w:rFonts w:ascii="Book Antiqua" w:hAnsi="Book Antiqua"/>
          <w:color w:val="000000" w:themeColor="text1"/>
          <w:szCs w:val="24"/>
        </w:rPr>
        <w:t>7</w:t>
      </w:r>
      <w:r w:rsidRPr="00F740D9">
        <w:rPr>
          <w:rFonts w:ascii="Book Antiqua" w:hAnsi="Book Antiqua"/>
          <w:color w:val="000000" w:themeColor="text1"/>
          <w:szCs w:val="24"/>
        </w:rPr>
        <w:t>9) and number of recurrent tumours (</w:t>
      </w:r>
      <w:r w:rsidR="00AF289B" w:rsidRPr="00F740D9">
        <w:rPr>
          <w:rFonts w:ascii="Book Antiqua" w:hAnsi="Book Antiqua"/>
          <w:i/>
          <w:color w:val="000000" w:themeColor="text1"/>
          <w:szCs w:val="24"/>
        </w:rPr>
        <w:t xml:space="preserve">P </w:t>
      </w:r>
      <w:r w:rsidRPr="00F740D9">
        <w:rPr>
          <w:rFonts w:ascii="Book Antiqua" w:hAnsi="Book Antiqua"/>
          <w:color w:val="000000" w:themeColor="text1"/>
          <w:szCs w:val="24"/>
        </w:rPr>
        <w:t>=</w:t>
      </w:r>
      <w:r w:rsidR="00AF289B" w:rsidRPr="00F740D9">
        <w:rPr>
          <w:rFonts w:ascii="Book Antiqua" w:hAnsi="Book Antiqua"/>
          <w:color w:val="000000" w:themeColor="text1"/>
          <w:szCs w:val="24"/>
        </w:rPr>
        <w:t xml:space="preserve"> </w:t>
      </w:r>
      <w:r w:rsidRPr="00F740D9">
        <w:rPr>
          <w:rFonts w:ascii="Book Antiqua" w:hAnsi="Book Antiqua"/>
          <w:color w:val="000000" w:themeColor="text1"/>
          <w:szCs w:val="24"/>
        </w:rPr>
        <w:t>0.</w:t>
      </w:r>
      <w:r w:rsidR="00200F3A" w:rsidRPr="00F740D9">
        <w:rPr>
          <w:rFonts w:ascii="Book Antiqua" w:hAnsi="Book Antiqua"/>
          <w:color w:val="000000" w:themeColor="text1"/>
          <w:szCs w:val="24"/>
        </w:rPr>
        <w:t>33</w:t>
      </w:r>
      <w:r w:rsidRPr="00F740D9">
        <w:rPr>
          <w:rFonts w:ascii="Book Antiqua" w:hAnsi="Book Antiqua"/>
          <w:color w:val="000000" w:themeColor="text1"/>
          <w:szCs w:val="24"/>
        </w:rPr>
        <w:t xml:space="preserve">) did not predict survival. </w:t>
      </w:r>
    </w:p>
    <w:p w14:paraId="4B09A76C" w14:textId="5D45825D" w:rsidR="00EB68EB" w:rsidRPr="00F740D9" w:rsidRDefault="00EB68EB" w:rsidP="00BE6C9D">
      <w:pPr>
        <w:snapToGrid w:val="0"/>
        <w:spacing w:line="360" w:lineRule="auto"/>
        <w:jc w:val="both"/>
        <w:rPr>
          <w:rFonts w:ascii="Book Antiqua" w:hAnsi="Book Antiqua"/>
          <w:color w:val="000000" w:themeColor="text1"/>
          <w:szCs w:val="24"/>
        </w:rPr>
      </w:pPr>
    </w:p>
    <w:p w14:paraId="01FE55C5" w14:textId="77777777" w:rsidR="00731DC4" w:rsidRPr="00F740D9" w:rsidRDefault="00731DC4" w:rsidP="00BE6C9D">
      <w:pPr>
        <w:adjustRightInd w:val="0"/>
        <w:snapToGrid w:val="0"/>
        <w:spacing w:line="360" w:lineRule="auto"/>
        <w:jc w:val="both"/>
        <w:rPr>
          <w:rFonts w:ascii="Book Antiqua" w:hAnsi="Book Antiqua"/>
          <w:b/>
          <w:color w:val="000000"/>
          <w:szCs w:val="24"/>
          <w:u w:val="single"/>
        </w:rPr>
      </w:pPr>
      <w:r w:rsidRPr="00F740D9">
        <w:rPr>
          <w:rFonts w:ascii="Book Antiqua" w:hAnsi="Book Antiqua"/>
          <w:b/>
          <w:color w:val="000000"/>
          <w:szCs w:val="24"/>
          <w:u w:val="single"/>
        </w:rPr>
        <w:t>DISCUSSION</w:t>
      </w:r>
    </w:p>
    <w:p w14:paraId="78244B3D" w14:textId="63827849" w:rsidR="00B41EAB" w:rsidRPr="00F740D9" w:rsidRDefault="005A30BF" w:rsidP="00BE6C9D">
      <w:pPr>
        <w:snapToGrid w:val="0"/>
        <w:spacing w:line="360" w:lineRule="auto"/>
        <w:jc w:val="both"/>
        <w:rPr>
          <w:rFonts w:ascii="Book Antiqua" w:hAnsi="Book Antiqua"/>
          <w:color w:val="000000" w:themeColor="text1"/>
          <w:szCs w:val="24"/>
        </w:rPr>
      </w:pPr>
      <w:r w:rsidRPr="00F740D9">
        <w:rPr>
          <w:rFonts w:ascii="Book Antiqua" w:hAnsi="Book Antiqua"/>
          <w:color w:val="000000" w:themeColor="text1"/>
          <w:szCs w:val="24"/>
        </w:rPr>
        <w:t xml:space="preserve">The </w:t>
      </w:r>
      <w:r w:rsidR="00B41EAB" w:rsidRPr="00F740D9">
        <w:rPr>
          <w:rFonts w:ascii="Book Antiqua" w:hAnsi="Book Antiqua"/>
          <w:color w:val="000000" w:themeColor="text1"/>
          <w:szCs w:val="24"/>
        </w:rPr>
        <w:t>results</w:t>
      </w:r>
      <w:r w:rsidRPr="00F740D9">
        <w:rPr>
          <w:rFonts w:ascii="Book Antiqua" w:hAnsi="Book Antiqua"/>
          <w:color w:val="000000" w:themeColor="text1"/>
          <w:szCs w:val="24"/>
        </w:rPr>
        <w:t xml:space="preserve"> from our study</w:t>
      </w:r>
      <w:r w:rsidR="00B41EAB" w:rsidRPr="00F740D9">
        <w:rPr>
          <w:rFonts w:ascii="Book Antiqua" w:hAnsi="Book Antiqua"/>
          <w:color w:val="000000" w:themeColor="text1"/>
          <w:szCs w:val="24"/>
        </w:rPr>
        <w:t xml:space="preserve"> </w:t>
      </w:r>
      <w:r w:rsidR="007F7081" w:rsidRPr="00F740D9">
        <w:rPr>
          <w:rFonts w:ascii="Book Antiqua" w:hAnsi="Book Antiqua"/>
          <w:color w:val="000000" w:themeColor="text1"/>
          <w:szCs w:val="24"/>
        </w:rPr>
        <w:t>suggested</w:t>
      </w:r>
      <w:r w:rsidR="00B41EAB" w:rsidRPr="00F740D9">
        <w:rPr>
          <w:rFonts w:ascii="Book Antiqua" w:hAnsi="Book Antiqua"/>
          <w:color w:val="000000" w:themeColor="text1"/>
          <w:szCs w:val="24"/>
        </w:rPr>
        <w:t xml:space="preserve"> that incorporation </w:t>
      </w:r>
      <w:r w:rsidR="00495714" w:rsidRPr="00F740D9">
        <w:rPr>
          <w:rFonts w:ascii="Book Antiqua" w:hAnsi="Book Antiqua"/>
          <w:color w:val="000000" w:themeColor="text1"/>
          <w:szCs w:val="24"/>
        </w:rPr>
        <w:t xml:space="preserve">of </w:t>
      </w:r>
      <w:r w:rsidR="000F7AAA" w:rsidRPr="00F740D9">
        <w:rPr>
          <w:rFonts w:ascii="Book Antiqua" w:hAnsi="Book Antiqua"/>
          <w:color w:val="000000" w:themeColor="text1"/>
          <w:szCs w:val="24"/>
        </w:rPr>
        <w:t>an mTOR inhibitor</w:t>
      </w:r>
      <w:r w:rsidR="00B41EAB" w:rsidRPr="00F740D9">
        <w:rPr>
          <w:rFonts w:ascii="Book Antiqua" w:hAnsi="Book Antiqua"/>
          <w:color w:val="000000" w:themeColor="text1"/>
          <w:szCs w:val="24"/>
        </w:rPr>
        <w:t xml:space="preserve"> into the immunosuppressive regime </w:t>
      </w:r>
      <w:r w:rsidRPr="00F740D9">
        <w:rPr>
          <w:rFonts w:ascii="Book Antiqua" w:hAnsi="Book Antiqua"/>
          <w:color w:val="000000" w:themeColor="text1"/>
          <w:szCs w:val="24"/>
        </w:rPr>
        <w:t xml:space="preserve">of liver transplant recipients with recurrent HCC </w:t>
      </w:r>
      <w:r w:rsidR="00B41EAB" w:rsidRPr="00F740D9">
        <w:rPr>
          <w:rFonts w:ascii="Book Antiqua" w:hAnsi="Book Antiqua"/>
          <w:color w:val="000000" w:themeColor="text1"/>
          <w:szCs w:val="24"/>
        </w:rPr>
        <w:t>was associated with improved survival</w:t>
      </w:r>
      <w:r w:rsidR="00C51F0B" w:rsidRPr="00F740D9">
        <w:rPr>
          <w:rFonts w:ascii="Book Antiqua" w:hAnsi="Book Antiqua"/>
          <w:color w:val="000000" w:themeColor="text1"/>
          <w:szCs w:val="24"/>
        </w:rPr>
        <w:t xml:space="preserve"> after recurrence</w:t>
      </w:r>
      <w:r w:rsidR="001647B6" w:rsidRPr="00F740D9">
        <w:rPr>
          <w:rFonts w:ascii="Book Antiqua" w:hAnsi="Book Antiqua"/>
          <w:color w:val="000000" w:themeColor="text1"/>
          <w:szCs w:val="24"/>
        </w:rPr>
        <w:t xml:space="preserve"> (median survival 21.0</w:t>
      </w:r>
      <w:r w:rsidR="00AF289B" w:rsidRPr="00F740D9">
        <w:rPr>
          <w:rFonts w:ascii="Book Antiqua" w:hAnsi="Book Antiqua"/>
          <w:color w:val="000000" w:themeColor="text1"/>
          <w:szCs w:val="24"/>
        </w:rPr>
        <w:t xml:space="preserve"> </w:t>
      </w:r>
      <w:r w:rsidR="001647B6" w:rsidRPr="00F740D9">
        <w:rPr>
          <w:rFonts w:ascii="Book Antiqua" w:hAnsi="Book Antiqua" w:cstheme="minorHAnsi"/>
          <w:color w:val="000000" w:themeColor="text1"/>
          <w:szCs w:val="24"/>
        </w:rPr>
        <w:t>±</w:t>
      </w:r>
      <w:r w:rsidR="00AF289B" w:rsidRPr="00F740D9">
        <w:rPr>
          <w:rFonts w:ascii="Book Antiqua" w:hAnsi="Book Antiqua" w:cstheme="minorHAnsi"/>
          <w:color w:val="000000" w:themeColor="text1"/>
          <w:szCs w:val="24"/>
        </w:rPr>
        <w:t xml:space="preserve"> </w:t>
      </w:r>
      <w:r w:rsidR="001647B6" w:rsidRPr="00F740D9">
        <w:rPr>
          <w:rFonts w:ascii="Book Antiqua" w:hAnsi="Book Antiqua"/>
          <w:color w:val="000000" w:themeColor="text1"/>
          <w:szCs w:val="24"/>
        </w:rPr>
        <w:t xml:space="preserve">4.1 </w:t>
      </w:r>
      <w:r w:rsidR="00AF289B" w:rsidRPr="00F740D9">
        <w:rPr>
          <w:rFonts w:ascii="Book Antiqua" w:hAnsi="Book Antiqua"/>
          <w:i/>
          <w:color w:val="000000" w:themeColor="text1"/>
          <w:szCs w:val="24"/>
        </w:rPr>
        <w:t>vs</w:t>
      </w:r>
      <w:r w:rsidR="001647B6" w:rsidRPr="00F740D9">
        <w:rPr>
          <w:rFonts w:ascii="Book Antiqua" w:hAnsi="Book Antiqua"/>
          <w:color w:val="000000" w:themeColor="text1"/>
          <w:szCs w:val="24"/>
        </w:rPr>
        <w:t xml:space="preserve"> 11.2</w:t>
      </w:r>
      <w:r w:rsidR="00AF289B" w:rsidRPr="00F740D9">
        <w:rPr>
          <w:rFonts w:ascii="Book Antiqua" w:hAnsi="Book Antiqua"/>
          <w:color w:val="000000" w:themeColor="text1"/>
          <w:szCs w:val="24"/>
        </w:rPr>
        <w:t xml:space="preserve"> </w:t>
      </w:r>
      <w:r w:rsidR="001647B6" w:rsidRPr="00F740D9">
        <w:rPr>
          <w:rFonts w:ascii="Book Antiqua" w:hAnsi="Book Antiqua" w:cstheme="minorHAnsi"/>
          <w:color w:val="000000" w:themeColor="text1"/>
          <w:szCs w:val="24"/>
        </w:rPr>
        <w:t>±</w:t>
      </w:r>
      <w:r w:rsidR="00AF289B" w:rsidRPr="00F740D9">
        <w:rPr>
          <w:rFonts w:ascii="Book Antiqua" w:hAnsi="Book Antiqua" w:cstheme="minorHAnsi"/>
          <w:color w:val="000000" w:themeColor="text1"/>
          <w:szCs w:val="24"/>
        </w:rPr>
        <w:t xml:space="preserve"> </w:t>
      </w:r>
      <w:r w:rsidR="001647B6" w:rsidRPr="00F740D9">
        <w:rPr>
          <w:rFonts w:ascii="Book Antiqua" w:hAnsi="Book Antiqua"/>
          <w:color w:val="000000" w:themeColor="text1"/>
          <w:szCs w:val="24"/>
        </w:rPr>
        <w:t xml:space="preserve">2.5 mo, </w:t>
      </w:r>
      <w:r w:rsidR="00AF289B" w:rsidRPr="00F740D9">
        <w:rPr>
          <w:rFonts w:ascii="Book Antiqua" w:hAnsi="Book Antiqua"/>
          <w:i/>
          <w:color w:val="000000" w:themeColor="text1"/>
          <w:szCs w:val="24"/>
        </w:rPr>
        <w:t xml:space="preserve">P </w:t>
      </w:r>
      <w:r w:rsidR="00200F3A" w:rsidRPr="00F740D9">
        <w:rPr>
          <w:rFonts w:ascii="Book Antiqua" w:hAnsi="Book Antiqua"/>
          <w:color w:val="000000" w:themeColor="text1"/>
          <w:szCs w:val="24"/>
        </w:rPr>
        <w:t>=</w:t>
      </w:r>
      <w:r w:rsidR="00AF289B" w:rsidRPr="00F740D9">
        <w:rPr>
          <w:rFonts w:ascii="Book Antiqua" w:hAnsi="Book Antiqua"/>
          <w:color w:val="000000" w:themeColor="text1"/>
          <w:szCs w:val="24"/>
        </w:rPr>
        <w:t xml:space="preserve"> </w:t>
      </w:r>
      <w:r w:rsidR="00200F3A" w:rsidRPr="00F740D9">
        <w:rPr>
          <w:rFonts w:ascii="Book Antiqua" w:hAnsi="Book Antiqua"/>
          <w:color w:val="000000" w:themeColor="text1"/>
          <w:szCs w:val="24"/>
        </w:rPr>
        <w:t>0.04</w:t>
      </w:r>
      <w:r w:rsidR="001647B6" w:rsidRPr="00F740D9">
        <w:rPr>
          <w:rFonts w:ascii="Book Antiqua" w:hAnsi="Book Antiqua"/>
          <w:color w:val="000000" w:themeColor="text1"/>
          <w:szCs w:val="24"/>
        </w:rPr>
        <w:t>)</w:t>
      </w:r>
      <w:r w:rsidR="00B41EAB" w:rsidRPr="00F740D9">
        <w:rPr>
          <w:rFonts w:ascii="Book Antiqua" w:hAnsi="Book Antiqua"/>
          <w:color w:val="000000" w:themeColor="text1"/>
          <w:szCs w:val="24"/>
        </w:rPr>
        <w:t xml:space="preserve">. </w:t>
      </w:r>
    </w:p>
    <w:p w14:paraId="5181C667" w14:textId="448B6403" w:rsidR="004B7599" w:rsidRPr="00F740D9" w:rsidRDefault="00340C55" w:rsidP="00BE6C9D">
      <w:pPr>
        <w:snapToGrid w:val="0"/>
        <w:spacing w:line="360" w:lineRule="auto"/>
        <w:ind w:firstLineChars="100" w:firstLine="240"/>
        <w:jc w:val="both"/>
        <w:rPr>
          <w:rFonts w:ascii="Book Antiqua" w:hAnsi="Book Antiqua"/>
          <w:color w:val="000000" w:themeColor="text1"/>
          <w:szCs w:val="24"/>
        </w:rPr>
      </w:pPr>
      <w:r w:rsidRPr="00F740D9">
        <w:rPr>
          <w:rFonts w:ascii="Book Antiqua" w:hAnsi="Book Antiqua"/>
          <w:color w:val="000000" w:themeColor="text1"/>
          <w:szCs w:val="24"/>
        </w:rPr>
        <w:t>In this cohort, s</w:t>
      </w:r>
      <w:r w:rsidR="004E2A15" w:rsidRPr="00F740D9">
        <w:rPr>
          <w:rFonts w:ascii="Book Antiqua" w:hAnsi="Book Antiqua"/>
          <w:color w:val="000000" w:themeColor="text1"/>
          <w:szCs w:val="24"/>
        </w:rPr>
        <w:t xml:space="preserve">everal differences </w:t>
      </w:r>
      <w:r w:rsidR="00E74B1C" w:rsidRPr="00F740D9">
        <w:rPr>
          <w:rFonts w:ascii="Book Antiqua" w:hAnsi="Book Antiqua"/>
          <w:color w:val="000000" w:themeColor="text1"/>
          <w:szCs w:val="24"/>
        </w:rPr>
        <w:t xml:space="preserve">in recurrence status </w:t>
      </w:r>
      <w:r w:rsidR="005E350D">
        <w:rPr>
          <w:rFonts w:ascii="Book Antiqua" w:hAnsi="Book Antiqua"/>
          <w:color w:val="000000" w:themeColor="text1"/>
          <w:szCs w:val="24"/>
        </w:rPr>
        <w:t>were</w:t>
      </w:r>
      <w:r w:rsidR="004E2A15" w:rsidRPr="00F740D9">
        <w:rPr>
          <w:rFonts w:ascii="Book Antiqua" w:hAnsi="Book Antiqua"/>
          <w:color w:val="000000" w:themeColor="text1"/>
          <w:szCs w:val="24"/>
        </w:rPr>
        <w:t xml:space="preserve"> highlighted between both arms. </w:t>
      </w:r>
      <w:r w:rsidR="00E74B1C" w:rsidRPr="00F740D9">
        <w:rPr>
          <w:rFonts w:ascii="Book Antiqua" w:hAnsi="Book Antiqua"/>
          <w:color w:val="000000" w:themeColor="text1"/>
          <w:szCs w:val="24"/>
        </w:rPr>
        <w:t>Firstly, r</w:t>
      </w:r>
      <w:r w:rsidR="004E2A15" w:rsidRPr="00F740D9">
        <w:rPr>
          <w:rFonts w:ascii="Book Antiqua" w:hAnsi="Book Antiqua"/>
          <w:color w:val="000000" w:themeColor="text1"/>
          <w:szCs w:val="24"/>
        </w:rPr>
        <w:t xml:space="preserve">ecurrence in the mTOR inhibitor group occurred later in </w:t>
      </w:r>
      <w:r w:rsidR="003760F6" w:rsidRPr="00F740D9">
        <w:rPr>
          <w:rFonts w:ascii="Book Antiqua" w:hAnsi="Book Antiqua"/>
          <w:color w:val="000000" w:themeColor="text1"/>
          <w:szCs w:val="24"/>
        </w:rPr>
        <w:t>calendar years</w:t>
      </w:r>
      <w:r w:rsidR="00B26D04" w:rsidRPr="00F740D9">
        <w:rPr>
          <w:rFonts w:ascii="Book Antiqua" w:hAnsi="Book Antiqua"/>
          <w:color w:val="000000" w:themeColor="text1"/>
          <w:szCs w:val="24"/>
        </w:rPr>
        <w:t xml:space="preserve"> (</w:t>
      </w:r>
      <w:r w:rsidR="001647B6" w:rsidRPr="00F740D9">
        <w:rPr>
          <w:rFonts w:ascii="Book Antiqua" w:hAnsi="Book Antiqua"/>
          <w:color w:val="000000" w:themeColor="text1"/>
          <w:szCs w:val="24"/>
        </w:rPr>
        <w:t>7</w:t>
      </w:r>
      <w:r w:rsidR="00E74B1C" w:rsidRPr="00F740D9">
        <w:rPr>
          <w:rFonts w:ascii="Book Antiqua" w:hAnsi="Book Antiqua"/>
          <w:color w:val="000000" w:themeColor="text1"/>
          <w:szCs w:val="24"/>
        </w:rPr>
        <w:t>/</w:t>
      </w:r>
      <w:r w:rsidR="00B26D04" w:rsidRPr="00F740D9">
        <w:rPr>
          <w:rFonts w:ascii="Book Antiqua" w:hAnsi="Book Antiqua"/>
          <w:color w:val="000000" w:themeColor="text1"/>
          <w:szCs w:val="24"/>
        </w:rPr>
        <w:t xml:space="preserve">2013 </w:t>
      </w:r>
      <w:r w:rsidR="00AF289B" w:rsidRPr="00F740D9">
        <w:rPr>
          <w:rFonts w:ascii="Book Antiqua" w:hAnsi="Book Antiqua"/>
          <w:i/>
          <w:color w:val="000000" w:themeColor="text1"/>
          <w:szCs w:val="24"/>
        </w:rPr>
        <w:t>vs</w:t>
      </w:r>
      <w:r w:rsidR="00B26D04" w:rsidRPr="00F740D9">
        <w:rPr>
          <w:rFonts w:ascii="Book Antiqua" w:hAnsi="Book Antiqua"/>
          <w:color w:val="000000" w:themeColor="text1"/>
          <w:szCs w:val="24"/>
        </w:rPr>
        <w:t xml:space="preserve"> </w:t>
      </w:r>
      <w:r w:rsidR="001647B6" w:rsidRPr="00F740D9">
        <w:rPr>
          <w:rFonts w:ascii="Book Antiqua" w:hAnsi="Book Antiqua"/>
          <w:color w:val="000000" w:themeColor="text1"/>
          <w:szCs w:val="24"/>
        </w:rPr>
        <w:t>3</w:t>
      </w:r>
      <w:r w:rsidR="00B26D04" w:rsidRPr="00F740D9">
        <w:rPr>
          <w:rFonts w:ascii="Book Antiqua" w:hAnsi="Book Antiqua"/>
          <w:color w:val="000000" w:themeColor="text1"/>
          <w:szCs w:val="24"/>
        </w:rPr>
        <w:t>/200</w:t>
      </w:r>
      <w:r w:rsidR="001647B6" w:rsidRPr="00F740D9">
        <w:rPr>
          <w:rFonts w:ascii="Book Antiqua" w:hAnsi="Book Antiqua"/>
          <w:color w:val="000000" w:themeColor="text1"/>
          <w:szCs w:val="24"/>
        </w:rPr>
        <w:t>8</w:t>
      </w:r>
      <w:r w:rsidR="00B26D04" w:rsidRPr="00F740D9">
        <w:rPr>
          <w:rFonts w:ascii="Book Antiqua" w:hAnsi="Book Antiqua"/>
          <w:color w:val="000000" w:themeColor="text1"/>
          <w:szCs w:val="24"/>
        </w:rPr>
        <w:t xml:space="preserve">, </w:t>
      </w:r>
      <w:r w:rsidR="00AF289B" w:rsidRPr="00F740D9">
        <w:rPr>
          <w:rFonts w:ascii="Book Antiqua" w:hAnsi="Book Antiqua"/>
          <w:i/>
          <w:color w:val="000000" w:themeColor="text1"/>
          <w:szCs w:val="24"/>
        </w:rPr>
        <w:t xml:space="preserve">P </w:t>
      </w:r>
      <w:r w:rsidR="00B26D04" w:rsidRPr="00F740D9">
        <w:rPr>
          <w:rFonts w:ascii="Book Antiqua" w:hAnsi="Book Antiqua"/>
          <w:color w:val="000000" w:themeColor="text1"/>
          <w:szCs w:val="24"/>
        </w:rPr>
        <w:t>&lt;</w:t>
      </w:r>
      <w:r w:rsidR="00AF289B" w:rsidRPr="00F740D9">
        <w:rPr>
          <w:rFonts w:ascii="Book Antiqua" w:hAnsi="Book Antiqua"/>
          <w:color w:val="000000" w:themeColor="text1"/>
          <w:szCs w:val="24"/>
        </w:rPr>
        <w:t xml:space="preserve"> </w:t>
      </w:r>
      <w:r w:rsidR="00B26D04" w:rsidRPr="00F740D9">
        <w:rPr>
          <w:rFonts w:ascii="Book Antiqua" w:hAnsi="Book Antiqua"/>
          <w:color w:val="000000" w:themeColor="text1"/>
          <w:szCs w:val="24"/>
        </w:rPr>
        <w:t>0.001)</w:t>
      </w:r>
      <w:r w:rsidR="004E2A15" w:rsidRPr="00F740D9">
        <w:rPr>
          <w:rFonts w:ascii="Book Antiqua" w:hAnsi="Book Antiqua"/>
          <w:color w:val="000000" w:themeColor="text1"/>
          <w:szCs w:val="24"/>
        </w:rPr>
        <w:t xml:space="preserve">. </w:t>
      </w:r>
      <w:r w:rsidR="00E74B1C" w:rsidRPr="00F740D9">
        <w:rPr>
          <w:rFonts w:ascii="Book Antiqua" w:hAnsi="Book Antiqua"/>
          <w:color w:val="000000" w:themeColor="text1"/>
          <w:szCs w:val="24"/>
        </w:rPr>
        <w:t>mTOR inhibitor was first a</w:t>
      </w:r>
      <w:r w:rsidR="005E350D">
        <w:rPr>
          <w:rFonts w:ascii="Book Antiqua" w:hAnsi="Book Antiqua"/>
          <w:color w:val="000000" w:themeColor="text1"/>
          <w:szCs w:val="24"/>
        </w:rPr>
        <w:t>dministered</w:t>
      </w:r>
      <w:r w:rsidR="00E74B1C" w:rsidRPr="00F740D9">
        <w:rPr>
          <w:rFonts w:ascii="Book Antiqua" w:hAnsi="Book Antiqua"/>
          <w:color w:val="000000" w:themeColor="text1"/>
          <w:szCs w:val="24"/>
        </w:rPr>
        <w:t xml:space="preserve"> in 2004 </w:t>
      </w:r>
      <w:r w:rsidRPr="00F740D9">
        <w:rPr>
          <w:rFonts w:ascii="Book Antiqua" w:hAnsi="Book Antiqua"/>
          <w:color w:val="000000" w:themeColor="text1"/>
          <w:szCs w:val="24"/>
        </w:rPr>
        <w:t xml:space="preserve">in our </w:t>
      </w:r>
      <w:r w:rsidR="000F7AAA" w:rsidRPr="00F740D9">
        <w:rPr>
          <w:rFonts w:ascii="Book Antiqua" w:hAnsi="Book Antiqua"/>
          <w:color w:val="000000" w:themeColor="text1"/>
          <w:szCs w:val="24"/>
        </w:rPr>
        <w:t>series</w:t>
      </w:r>
      <w:r w:rsidRPr="00F740D9">
        <w:rPr>
          <w:rFonts w:ascii="Book Antiqua" w:hAnsi="Book Antiqua"/>
          <w:color w:val="000000" w:themeColor="text1"/>
          <w:szCs w:val="24"/>
        </w:rPr>
        <w:t xml:space="preserve"> </w:t>
      </w:r>
      <w:r w:rsidR="00E74B1C" w:rsidRPr="00F740D9">
        <w:rPr>
          <w:rFonts w:ascii="Book Antiqua" w:hAnsi="Book Antiqua"/>
          <w:color w:val="000000" w:themeColor="text1"/>
          <w:szCs w:val="24"/>
        </w:rPr>
        <w:t xml:space="preserve">and </w:t>
      </w:r>
      <w:r w:rsidR="00D864C3" w:rsidRPr="00F740D9">
        <w:rPr>
          <w:rFonts w:ascii="Book Antiqua" w:hAnsi="Book Antiqua"/>
          <w:color w:val="000000" w:themeColor="text1"/>
          <w:szCs w:val="24"/>
        </w:rPr>
        <w:t xml:space="preserve">was </w:t>
      </w:r>
      <w:r w:rsidRPr="00F740D9">
        <w:rPr>
          <w:rFonts w:ascii="Book Antiqua" w:hAnsi="Book Antiqua"/>
          <w:color w:val="000000" w:themeColor="text1"/>
          <w:szCs w:val="24"/>
        </w:rPr>
        <w:t>only considered</w:t>
      </w:r>
      <w:r w:rsidR="00D864C3" w:rsidRPr="00F740D9">
        <w:rPr>
          <w:rFonts w:ascii="Book Antiqua" w:hAnsi="Book Antiqua"/>
          <w:color w:val="000000" w:themeColor="text1"/>
          <w:szCs w:val="24"/>
        </w:rPr>
        <w:t xml:space="preserve"> for patients </w:t>
      </w:r>
      <w:r w:rsidRPr="00F740D9">
        <w:rPr>
          <w:rFonts w:ascii="Book Antiqua" w:hAnsi="Book Antiqua"/>
          <w:color w:val="000000" w:themeColor="text1"/>
          <w:szCs w:val="24"/>
        </w:rPr>
        <w:t>from th</w:t>
      </w:r>
      <w:r w:rsidR="000F7AAA" w:rsidRPr="00F740D9">
        <w:rPr>
          <w:rFonts w:ascii="Book Antiqua" w:hAnsi="Book Antiqua"/>
          <w:color w:val="000000" w:themeColor="text1"/>
          <w:szCs w:val="24"/>
        </w:rPr>
        <w:t>at time</w:t>
      </w:r>
      <w:r w:rsidRPr="00F740D9">
        <w:rPr>
          <w:rFonts w:ascii="Book Antiqua" w:hAnsi="Book Antiqua"/>
          <w:color w:val="000000" w:themeColor="text1"/>
          <w:szCs w:val="24"/>
        </w:rPr>
        <w:t xml:space="preserve"> onwards. There was a</w:t>
      </w:r>
      <w:r w:rsidR="00566DC8" w:rsidRPr="00F740D9">
        <w:rPr>
          <w:rFonts w:ascii="Book Antiqua" w:hAnsi="Book Antiqua"/>
          <w:color w:val="000000" w:themeColor="text1"/>
          <w:szCs w:val="24"/>
        </w:rPr>
        <w:t xml:space="preserve"> fundamental</w:t>
      </w:r>
      <w:r w:rsidRPr="00F740D9">
        <w:rPr>
          <w:rFonts w:ascii="Book Antiqua" w:hAnsi="Book Antiqua"/>
          <w:color w:val="000000" w:themeColor="text1"/>
          <w:szCs w:val="24"/>
        </w:rPr>
        <w:t xml:space="preserve"> time effect </w:t>
      </w:r>
      <w:r w:rsidR="000F7AAA" w:rsidRPr="00F740D9">
        <w:rPr>
          <w:rFonts w:ascii="Book Antiqua" w:hAnsi="Book Antiqua"/>
          <w:color w:val="000000" w:themeColor="text1"/>
          <w:szCs w:val="24"/>
        </w:rPr>
        <w:t xml:space="preserve">while improvements in </w:t>
      </w:r>
      <w:r w:rsidR="001710FA" w:rsidRPr="00F740D9">
        <w:rPr>
          <w:rFonts w:ascii="Book Antiqua" w:hAnsi="Book Antiqua"/>
          <w:color w:val="000000" w:themeColor="text1"/>
          <w:szCs w:val="24"/>
        </w:rPr>
        <w:t xml:space="preserve">medical and surgical </w:t>
      </w:r>
      <w:r w:rsidR="000F7AAA" w:rsidRPr="00F740D9">
        <w:rPr>
          <w:rFonts w:ascii="Book Antiqua" w:hAnsi="Book Antiqua"/>
          <w:color w:val="000000" w:themeColor="text1"/>
          <w:szCs w:val="24"/>
        </w:rPr>
        <w:t>treatment contributed to better survival outcomes</w:t>
      </w:r>
      <w:r w:rsidR="00AF289B" w:rsidRPr="00F740D9">
        <w:rPr>
          <w:rFonts w:ascii="Book Antiqua" w:hAnsi="Book Antiqua"/>
          <w:color w:val="000000" w:themeColor="text1"/>
          <w:szCs w:val="24"/>
          <w:vertAlign w:val="superscript"/>
        </w:rPr>
        <w:t>[</w:t>
      </w:r>
      <w:r w:rsidR="00920A96" w:rsidRPr="00F740D9">
        <w:rPr>
          <w:rFonts w:ascii="Book Antiqua" w:hAnsi="Book Antiqua"/>
          <w:color w:val="000000" w:themeColor="text1"/>
          <w:szCs w:val="24"/>
          <w:vertAlign w:val="superscript"/>
        </w:rPr>
        <w:fldChar w:fldCharType="begin" w:fldLock="1"/>
      </w:r>
      <w:r w:rsidR="00A228B7" w:rsidRPr="00F740D9">
        <w:rPr>
          <w:rFonts w:ascii="Book Antiqua" w:hAnsi="Book Antiqua"/>
          <w:color w:val="000000" w:themeColor="text1"/>
          <w:szCs w:val="24"/>
          <w:vertAlign w:val="superscript"/>
        </w:rPr>
        <w:instrText>ADDIN CSL_CITATION {"citationItems":[{"id":"ITEM-1","itemData":{"abstract":"Recurrent hepatocellular carcinoma (HCC) after liver trans-plantation (LT) has been related with dismal prognosis. The aim of this study was to describe the treatments performed after HCC recurrence in 2 Latin-American countries, and to identify significant factors related to post progression survival. Methods. From 803 adult transplanted patients in 5 LT centers from Argentina and Uruguay (2005-2011), patients with HCC recurrence were included. \"Early recur-rence\" was considered when it occurred during the first year after transplantation. Patients were analyzed according to the treatment introduced after recurrence diagnosis. The post progression survival was compared. Results. Recurrence presented in 20 out of 135 patients (14.8%), 11 (55%) had early recurrences. After recurrence, 14 patients had good performance status and 18 were Child Pugh A. Ten patients received best supportive care (BSC), 10 patients sorafenib, 1 patient local radiotherapy and 1 patient loco regional surgery. Patients with sorafenib had prolonged post progression survival compared to BSC (5.0 months vs 3.0 months; p = 0.04). On multivari-ate Cox regression analysis, early recurrence was the only factor related to worst survival, hazard ratio = 3.8 (p = 0.01). A survival benefit with sorafenib in patients with late recurrence when compared to early recurrence was observed (16.0 vs 3.0 months, respectively; p = 0.027). Conclusion. although efficacy of Sorafenib for recurrent HCC should be evaluated in a much-needed randomized controlled trial, a time-selection criterion for this treatment should also be assessed. Sorafenib para el tratamiento de la recurrencia de hepatocarcinoma post trasplante hepático: experiencia sudamericana Resumen La recurrencia post trasplante hepático (TH) del hepatocar-cinoma (HCC) es un evento de pobre pronóstico. El objetivo de este estudio fue describir los tratamientos implementados luego de la recurrencia del HCC post TH e identificar los factores pronósticos relacionados a la sobrevida post progre-sión del HCC. Métodos. De 803 pacientes adultos trasplan-tados de hígado en 5 centros de TH de Argentina y Uruguay","author":[{"dropping-particle":"","family":"Piñero","given":"Federico","non-dropping-particle":"","parse-names":false,"suffix":""},{"dropping-particle":"","family":"Marciano","given":"Sebastián","non-dropping-particle":"","parse-names":false,"suffix":""},{"dropping-particle":"","family":"Anders","given":"Margarita","non-dropping-particle":"","parse-names":false,"suffix":""},{"dropping-particle":"","family":"Ganem","given":"Federico Orozco","non-dropping-particle":"","parse-names":false,"suffix":""},{"dropping-particle":"","family":"Zerega","given":"Alina","non-dropping-particle":"","parse-names":false,"suffix":""},{"dropping-particle":"","family":"Menéndez","given":"Josemaría","non-dropping-particle":"","parse-names":false,"suffix":""},{"dropping-particle":"","family":"Mendizábal","given":"Manuel","non-dropping-particle":"","parse-names":false,"suffix":""},{"dropping-particle":"","family":"Baña","given":"Matías Tisi","non-dropping-particle":"","parse-names":false,"suffix":""},{"dropping-particle":"","family":"Gil","given":"Octavio","non-dropping-particle":"","parse-names":false,"suffix":""},{"dropping-particle":"","family":"Gerona","given":"Solange","non-dropping-particle":"","parse-names":false,"suffix":""},{"dropping-particle":"De","family":"Santibañes","given":"Eduardo","non-dropping-particle":"","parse-names":false,"suffix":""},{"dropping-particle":"","family":"Mastai","given":"Ricardo","non-dropping-particle":"","parse-names":false,"suffix":""},{"dropping-particle":"","family":"Gadano","given":"Adrián","non-dropping-particle":"","parse-names":false,"suffix":""},{"dropping-particle":"","family":"Silva","given":"Marcelo","non-dropping-particle":"","parse-names":false,"suffix":""}],"container-title":"300</w:instrText>
      </w:r>
      <w:r w:rsidR="00A228B7" w:rsidRPr="00F740D9">
        <w:rPr>
          <w:rFonts w:ascii="Book Antiqua" w:hAnsi="Book Antiqua"/>
          <w:color w:val="000000" w:themeColor="text1"/>
          <w:szCs w:val="24"/>
          <w:vertAlign w:val="superscript"/>
        </w:rPr>
        <w:instrText> Acta Gastroenterol Latinoam","id":"ITEM-1","issue":"4","issued":{"date-parts":[["2016"]]},"number-of-pages":"300-309","title":"Sorafenib for recurrent hepatocellular carcinoma after liver transplantation: a South American experience","type":"report","volume":"46"},"uris":["http://www.mendeley.com/documents/?uuid=62b81a2f-1d96-3209-9ca2-e94e67e30702"]},{"id":"ITEM-2","itemData":{"DOI":"10.1200/JCO.2017.35.4_suppl.479","ISSN":"0732-183X","abstract":"479Background: Liver transplantation (LT) is a potentially curative treatment for patients (pts) with selective hepatocellular carcinoma (HCC). HCC recurrence post LT is estimated to be 15-20%. Data on systemic therapy post-recurrence is scarce and limited case series suggest that sorafenib (SOR) may have benefit in this population. We reviewed a single center experience with SOR in recurrent HCC post LT. Methods: A retrospective review was conducted on patients with recurrent HCC post LT at University Health Network (UHN) who were treated with SOR. Pt characteristics were collected including age, gender, comorbidities, background liver disease, type of LT, and time to recurrence after LT. Treatment information collected included: initial SOR dose and subsequent adjustments, adverse events (AEs), duration of treatment and survival. Results: Between 2006 and 2016, 24 patients were identified. The average age was 60 years (range: 18-72), most patients were male (20/4), living/cadaveric transplant: 11/13. HC...","author":[{"dropping-particle":"","family":"Fallah-Rad","given":"Nazanin","non-dropping-particle":"","parse-names":false,"suffix":""},{"dropping-particle":"","family":"Cao","given":"Yanshuo","non-dropping-particle":"","parse-names":false,"suffix":""},{"dropping-particle":"","family":"Knox","given":"Jennifer J.","non-dropping-particle":"","parse-names":false,"suffix":""},{"dropping-particle":"","family":"Jang","given":"Raymond Woo-Jun","non-dropping-particle":"","parse-names":false,"suffix":""},{"dropping-particle":"","family":"Dhani","given":"Neesha C.","non-dropping-particle":"","parse-names":false,"suffix":""},{"dropping-particle":"","family":"Sapisochin","given":"Gonzalo","non-dropping-particle":"","parse-names":false,"suffix":""},{"dropping-particle":"","family":"Grant","given":"David","non-dropping-particle":"","parse-names":false,"suffix":""},{"dropping-particle":"","family":"Greig","given":"Paul D","non-dropping-particle":"","parse-names":false,"suffix":""},{"dropping-particle":"","family":"Lilly","given":"Leslie","non-dropping-particle":"","parse-names":false,"suffix":""},{"dropping-particle":"","family":"Chen","given":"Eric","non-dropping-particle":"","parse-names":false,"suffix":""}],"container-title":"Journal of Clinical Oncology","id":"ITEM-2","issue":"4_suppl","issued":{"date-parts":[["2017","2","21"]]},"page":"479-479","publisher":"American Society of Clinical Oncology","title":"Sorafenib treatment in recurrent hepatocellular carcinoma post liver transplantation.","type":"article-journal","volume":"35"},"uris":["http://www.mendeley.com/documents/?uuid=0f5c38f3-10aa-3f65-9c05-3b55da43d5a6"]},{"id":"ITEM-3","itemData":{"DOI":"10.1016/j.ejso.2009.10.001","ISSN":"07487983","PMID":"19857941","abstract":"BACKGROUND The objective of this trial was to analyze the clinical patterns and outcome variables of recurrent hepatocellular carcinoma (HCC) in liver transplant patients. PATIENTS AND METHODS Sixty patients after liver transplantation (LT) for HCC were analyzed. All of them received initially a calcineurin-inhibitor based immunosuppressive regimen. Recurrent HCC was treated by surgical intervention, if eligible, or adjuvant therapies. Furthermore, patients were converted to a Sirolimus (SRL)-based immunosuppressive regimen after tumor relapse. The impact of clinical and histopathological variables on post-recurrence survival was analyzed in uni- and multivariate analysis. RESULTS Sixteen liver recipients developed HCC recurrence between 4 and 58 months (median: 23 months) post-LT. Sites of first tumor recurrence were lung (n = 5), liver (n = 4), bone (n = 4), cerebrum (n = 1), adrenal gland (n = 1) and peritoneum (n = 1). Seven patients were amenable for surgical resection, while 9 patients were only suitable for adjuvant treatment (n = 4) or general medical support (n = 5). Median survival rate post-recurrence was 65 months (range: 12-136 months) in patients amenable for surgical therapy, and 5 months (range: 1-52 months) in patients unsuitable for surgical intervention (P = 0.01). Multivariate analysis identified late (&gt;24 months) posttransplant tumor relapse (P = 0.039) and surgical therapy (P = 0.014) as independent predictors of long-term survival after tumor relapse. Five patients are tumour-free alive for a median of 65 months after surgical resection of recurrent HCC and conversion to SRL. CONCLUSION Liver transplant patients with HCC recurrence should be treated surgically, if eligible, since this is an independent predictor of long-term survival.","author":[{"dropping-particle":"","family":"Kornberg","given":"A.","non-dropping-particle":"","parse-names":false,"suffix":""},{"dropping-particle":"","family":"Küpper","given":"B.","non-dropping-particle":"","parse-names":false,"suffix":""},{"dropping-particle":"","family":"Tannapfel","given":"A.","non-dropping-particle":"","parse-names":false,"suffix":""},{"dropping-particle":"","family":"Katenkamp","given":"K.","non-dropping-particle":"","parse-names":false,"suffix":""},{"dropping-particle":"","family":"Thrum","given":"K.","non-dropping-particle":"","parse-names":false,"suffix":""},{"dropping-particle":"","family":"Habrecht","given":"O.","non-dropping-particle":"","parse-names":false,"suffix":""},{"dropping-particle":"","family":"Wilberg","given":"J.","non-dropping-particle":"","parse-names":false,"suffix":""}],"container-title":"European Journal of Surgical Oncology (EJSO)","id":"ITEM-3","issue":"3","issued":{"date-parts":[["2010","3"]]},"page":"275-280","title":"Long-term survival after recurrent hepatocellular carcinoma in liver transplant patients: Clinical patterns and outcome variables","type":"article-journal","volume":"36"},"uris":["http://www.mendeley.com/documents/?uuid=dec8f017-eeb3-4b1d-85db-e1842e09a426"]},{"id":"ITEM-4","itemData":{"DOI":"10.1245/s10434-014-4273-6","ISSN":"1068-9265","PMID":"25472651","abstract":"PURPOSE To identify prognostic factors after hepatocellular carcinoma (HCC) recurrence after liver transplantation (LT). METHODS We retrospectively reviewed the combined experience at Toronto General Hospital and Hospital Vall d'Hebron managing HCC recurrence after LT (n = 121) between 2000 and 2012. We analyzed prognostic factors by uni- and multi-variate analysis. Median follow-up from LT was 29.5 (range 2-129.4) months. Median follow-up from HCC recurrence was 12.2 (range 0.1-112.5) months. RESULTS At recurrence, 31.4 % were treated with curative-intent treatments (surgery or ablation), 42.1 % received palliative treatment, and 26.4 % received best supportive care. The 1-, 3-, and 5-year survivals, respectively, after HCC recurrence were 75, 60, and 31 %, vs. 60, 19, and 12 %, vs. 52, 4, and 5 % (p &lt; 0.001). By multivariate analysis, not being amenable to a curative-intent treatment [hazard ratio (HR) 4.7, 95 % confidence interval (CI) 2.7-8.3, p &lt; 0.001], α-fetoprotein of ≥100 ng/mL at the time of HCC recurrence (HR 2.1, 95 % CI 1.3-2.3, p = 0.002) and early recurrence (&lt;12 months) after LT (HR 1.6, 95 % CI 1.1-2.5, p = 0.03) were found to be poor prognosis factors. A prognostic score was devised on the basis of these three independent variables. Patients were divided into three groups, as follows: good prognosis, 0 points (n = 22); moderate prognosis, 1 or 2 points (n = 84); and poor prognosis, 3 points (n = 15). The 1-, 3-, and 5-year actuarial survival for each group was 91, 50, and 50 %, vs. 52, 7, and 2 %, vs. 13, 0, and 0 %, respectively (p &lt; 0.001). CONCLUSIONS Patients with HCC recurrence after transplant amenable to curative-intent treatments can experience significant long-term survival (~50 % at 5 years), so aggressive management should be offered. Poor prognosis factors after recurrence are not being amenable to a curative-intent treatment, α-fetoprotein of ≥100 ng/mL, and early (&lt;1 year) recurrence after LT.","author":[{"dropping-particle":"","family":"Sapisochin","given":"G.","non-dropping-particle":"","parse-names":false,"suffix":""},{"dropping-particle":"","family":"Goldaracena","given":"N.","non-dropping-particle":"","parse-names":false,"suffix":""},{"dropping-particle":"","family":"Astete","given":"S.","non-dropping-particle":"","parse-names":false,"suffix":""},{"dropping-particle":"","family":"Laurence","given":"J. M.","non-dropping-particle":"","parse-names":false,"suffix":""},{"dropping-particle":"","family":"Davidson","given":"D.","non-dropping-particle":"","parse-names":false,"suffix":""},{"dropping-particle":"","family":"Rafael","given":"E.","non-dropping-particle":"","parse-names":false,"suffix":""},{"dropping-particle":"","family":"Castells","given":"L.","non-dropping-particle":"","parse-names":false,"suffix":""},{"dropping-particle":"","family":"Sandroussi","given":"C.","non-dropping-particle":"","parse-names":false,"suffix":""},{"dropping-particle":"","family":"Bilbao","given":"I.","non-dropping-particle":"","parse-names":false,"suffix":""},{"dropping-particle":"","family":"Dopazo","given":"C.","non-dropping-particle":"","parse-names":false,"suffix":""},{"dropping-particle":"","family":"Grant","given":"D. R.","non-dropping-particle":"","parse-names":false,"suffix":""},{"dropping-particle":"","family":"Lázaro","given":"J. L.","non-dropping-particle":"","parse-names":false,"suffix":""},{"dropping-particle":"","family":"Caralt","given":"M.","non-dropping-particle":"","parse-names":false,"suffix":""},{"dropping-particle":"","family":"Ghanekar","given":"A.","non-dropping-particle":"","parse-names":false,"suffix":""},{"dropping-particle":"","family":"McGilvray","given":"I. D.","non-dropping-particle":"","parse-names":false,"suffix":""},{"dropping-particle":"","family":"Lilly","given":"L","non-dropping-particle":"","parse-names":false,"suffix":""},{"dropping-particle":"","family":"Cattral","given":"M. S.","non-dropping-particle":"","parse-names":false,"suffix":""},{"dropping-particle":"","family":"Selzner","given":"M.","non-dropping-particle":"","parse-names":false,"suffix":""},{"dropping-particle":"","family":"Charco","given":"R.","non-dropping-particle":"","parse-names":false,"suffix":""},{"dropping-particle":"","family":"Greig","given":"P. D.","non-dropping-particle":"","parse-names":false,"suffix":""}],"container-title":"Annals of Surgical Oncology","id":"ITEM-4","issue":"7","issued":{"date-parts":[["2015","7","4"]]},"page":"2286-2294","title":"Benefit of Treating Hepatocellular Carcinoma Recurrence after Liver Transplantation and Analysis of Prognostic Factors for Survival in a Large Euro-American Series","type":"article-journal","volume":"22"},"uris":["http://www.mendeley.com/documents/?uuid=e0351a63-559b-35b0-937b-a2c764e7e133"]},{"id":"ITEM-5","itemData":{"DOI":"10.1097/SLA.0000000000001894","ISSN":"0003-4932","PMID":"27433914","abstract":"OBJECTIVE To evaluate predictors of mortality and impact of treatment in patients developing recurrent hepatocellular carcinoma (HCC) following liver transplantation (LT). SUMMARY OF BACKGROUND DATA Despite well-described clinicopathologic predictors of posttransplant HCC recurrence, data on prognosis following recurrence are scarce. METHODS Multivariate predictors of mortality following HCC recurrence were identified to develop a risk score model to stratify prognostic subgroups among 106 patients developing posttransplant recurrence from 1984 to 2014, including analysis of recurrence treatment modality on survival. RESULTS Of 857 patients undergoing LT, 106 (12.4%) developed posttransplant HCC recurrence (median 15.8 months following LT) with a median post-recurrence survival of 10.6 months. Patients receiving surgical therapy (n = 25) had a median survival of 27.8 months, significantly superior to patients receiving nonsurgical therapy (10.6 months) and best supportive care (3.7 months, P &lt; 0.001). Multivariate predictors of mortality following recurrence included model for end-stage liver disease at LT &gt;23, time to recurrence, &gt;3 recurrent nodules, maximum recurrence size, bone recurrence, alphafetoprotein at recurrence, donor serum sodium, and pretransplant recipient neutrophil-lymphocyte ratio. A risk score model based on multivariate predictors accurately stratified recurrent HCC patients into prognostic subgroups, with low-risk patients (&lt;10 points) demonstrating excellent median survival of 70.6 months, significantly superior to the medium-risk (12.2 months, 10-16 points) and high-risk (3.4 months, &gt;16 points) groups (C-statistic 0.75, P &lt; 0.001). CONCLUSIONS In the largest single-center report of recurrent HCC following LT, surgical treatment in well-selected patients is associated with significantly improved survival and should be pursued. A risk score model accurately stratifies prognostic subgroups, and may help guide treatment strategies.","author":[{"dropping-particle":"","family":"Bodzin","given":"Adam S.","non-dropping-particle":"","parse-names":false,"suffix":""},{"dropping-particle":"","family":"Lunsford","given":"Keri E.","non-dropping-particle":"","parse-names":false,"suffix":""},{"dropping-particle":"","family":"Markovic","given":"Daniela","non-dropping-particle":"","parse-names":false,"suffix":""},{"dropping-particle":"","family":"Harlander-Locke","given":"Michael P.","non-dropping-particle":"","parse-names":false,"suffix":""},{"dropping-particle":"","family":"Busuttil","given":"Ronald W.","non-dropping-particle":"","parse-names":false,"suffix":""},{"dropping-particle":"","family":"Agopian","given":"Vatche G.","non-dropping-particle":"","parse-names":false,"suffix":""}],"container-title":"Annals of Surgery","id":"ITEM-5","issue":"1","issued":{"date-parts":[["2017","7"]]},"page":"118-125","title":"Predicting Mortality in Patients Developing Recurrent Hepatocellular Carcinoma After Liver Transplantation","type":"article-journal","volume":"266"},"uris":["http://www.mendeley.com/documents/?uuid=115c0371-f4f8-4c05-80c2-6329610b5099"]},{"id":"ITEM-6","itemData":{"DOI":"10.1002/lt.24742","ISSN":"15276465","PMID":"28187493","abstract":"Recurrence of hepatocellular carcinoma (HCC) after liver transplantation (LT) is widely considered as a terminal condition. Therefore, the role of surgery is uncertain in this case. The purpose of this study was to identify the prognostic factors of survival after post-LT HCC recurrence and to evaluate the impact of surgery in this setting. All patients transplanted for HCC between 1991 and 2013 in a single institution and who further developed a post-LT recurrence were included in this study. Univariate and multivariate analyses were performed to identify factors affecting postrecurrence survival. Of the 493 patients transplanted for HCC, a total of 70 (14.2%) consecutive patients developed a recurrence after a median disease-free interval of 17 months. Median survival (MS) from the time of recurrence was 19 months, with a 3-year postrecurrence survival of 26%. Most recurrences were extrahepatic (lung, lymph node, and bone; n</w:instrText>
      </w:r>
      <w:r w:rsidR="00A228B7" w:rsidRPr="00F740D9">
        <w:rPr>
          <w:rFonts w:ascii="Times New Roman" w:eastAsia="MS Mincho" w:hAnsi="Times New Roman" w:cs="Times New Roman"/>
          <w:color w:val="000000" w:themeColor="text1"/>
          <w:szCs w:val="24"/>
          <w:vertAlign w:val="superscript"/>
        </w:rPr>
        <w:instrText> </w:instrText>
      </w:r>
      <w:r w:rsidR="00A228B7" w:rsidRPr="00F740D9">
        <w:rPr>
          <w:rFonts w:ascii="Book Antiqua" w:hAnsi="Book Antiqua"/>
          <w:color w:val="000000" w:themeColor="text1"/>
          <w:szCs w:val="24"/>
          <w:vertAlign w:val="superscript"/>
        </w:rPr>
        <w:instrText>=</w:instrText>
      </w:r>
      <w:r w:rsidR="00A228B7" w:rsidRPr="00F740D9">
        <w:rPr>
          <w:rFonts w:ascii="Times New Roman" w:eastAsia="MS Mincho" w:hAnsi="Times New Roman" w:cs="Times New Roman"/>
          <w:color w:val="000000" w:themeColor="text1"/>
          <w:szCs w:val="24"/>
          <w:vertAlign w:val="superscript"/>
        </w:rPr>
        <w:instrText> </w:instrText>
      </w:r>
      <w:r w:rsidR="00A228B7" w:rsidRPr="00F740D9">
        <w:rPr>
          <w:rFonts w:ascii="Book Antiqua" w:hAnsi="Book Antiqua"/>
          <w:color w:val="000000" w:themeColor="text1"/>
          <w:szCs w:val="24"/>
          <w:vertAlign w:val="superscript"/>
        </w:rPr>
        <w:instrText>51; 72.9%), whereas only intrahepatic recurrences were observed in 2 (2.8%) patients. Both intrahepatic and extrahepatic locations were found in 17 (24.3%) patients. A total of 22 (31.4%) patients underwent macroscopically complete resection of the recurrence (intrahepatic [n</w:instrText>
      </w:r>
      <w:r w:rsidR="00A228B7" w:rsidRPr="00F740D9">
        <w:rPr>
          <w:rFonts w:ascii="Times New Roman" w:eastAsia="MS Mincho" w:hAnsi="Times New Roman" w:cs="Times New Roman"/>
          <w:color w:val="000000" w:themeColor="text1"/>
          <w:szCs w:val="24"/>
          <w:vertAlign w:val="superscript"/>
        </w:rPr>
        <w:instrText> </w:instrText>
      </w:r>
      <w:r w:rsidR="00A228B7" w:rsidRPr="00F740D9">
        <w:rPr>
          <w:rFonts w:ascii="Book Antiqua" w:hAnsi="Book Antiqua"/>
          <w:color w:val="000000" w:themeColor="text1"/>
          <w:szCs w:val="24"/>
          <w:vertAlign w:val="superscript"/>
        </w:rPr>
        <w:instrText>=</w:instrText>
      </w:r>
      <w:r w:rsidR="00A228B7" w:rsidRPr="00F740D9">
        <w:rPr>
          <w:rFonts w:ascii="Times New Roman" w:eastAsia="MS Mincho" w:hAnsi="Times New Roman" w:cs="Times New Roman"/>
          <w:color w:val="000000" w:themeColor="text1"/>
          <w:szCs w:val="24"/>
          <w:vertAlign w:val="superscript"/>
        </w:rPr>
        <w:instrText> </w:instrText>
      </w:r>
      <w:r w:rsidR="00A228B7" w:rsidRPr="00F740D9">
        <w:rPr>
          <w:rFonts w:ascii="Book Antiqua" w:hAnsi="Book Antiqua"/>
          <w:color w:val="000000" w:themeColor="text1"/>
          <w:szCs w:val="24"/>
          <w:vertAlign w:val="superscript"/>
        </w:rPr>
        <w:instrText>2] and extrahepatic [n</w:instrText>
      </w:r>
      <w:r w:rsidR="00A228B7" w:rsidRPr="00F740D9">
        <w:rPr>
          <w:rFonts w:ascii="Times New Roman" w:eastAsia="MS Mincho" w:hAnsi="Times New Roman" w:cs="Times New Roman"/>
          <w:color w:val="000000" w:themeColor="text1"/>
          <w:szCs w:val="24"/>
          <w:vertAlign w:val="superscript"/>
        </w:rPr>
        <w:instrText> </w:instrText>
      </w:r>
      <w:r w:rsidR="00A228B7" w:rsidRPr="00F740D9">
        <w:rPr>
          <w:rFonts w:ascii="Book Antiqua" w:hAnsi="Book Antiqua"/>
          <w:color w:val="000000" w:themeColor="text1"/>
          <w:szCs w:val="24"/>
          <w:vertAlign w:val="superscript"/>
        </w:rPr>
        <w:instrText>=</w:instrText>
      </w:r>
      <w:r w:rsidR="00A228B7" w:rsidRPr="00F740D9">
        <w:rPr>
          <w:rFonts w:ascii="Times New Roman" w:eastAsia="MS Mincho" w:hAnsi="Times New Roman" w:cs="Times New Roman"/>
          <w:color w:val="000000" w:themeColor="text1"/>
          <w:szCs w:val="24"/>
          <w:vertAlign w:val="superscript"/>
        </w:rPr>
        <w:instrText> </w:instrText>
      </w:r>
      <w:r w:rsidR="00A228B7" w:rsidRPr="00F740D9">
        <w:rPr>
          <w:rFonts w:ascii="Book Antiqua" w:hAnsi="Book Antiqua"/>
          <w:color w:val="000000" w:themeColor="text1"/>
          <w:szCs w:val="24"/>
          <w:vertAlign w:val="superscript"/>
        </w:rPr>
        <w:instrText>20]). The MS for resected patients after transplantation was 35 months compared with 15 months for nonresected patients (P</w:instrText>
      </w:r>
      <w:r w:rsidR="00A228B7" w:rsidRPr="00F740D9">
        <w:rPr>
          <w:rFonts w:ascii="Times New Roman" w:eastAsia="MS Mincho" w:hAnsi="Times New Roman" w:cs="Times New Roman"/>
          <w:color w:val="000000" w:themeColor="text1"/>
          <w:szCs w:val="24"/>
          <w:vertAlign w:val="superscript"/>
        </w:rPr>
        <w:instrText> </w:instrText>
      </w:r>
      <w:r w:rsidR="00A228B7" w:rsidRPr="00F740D9">
        <w:rPr>
          <w:rFonts w:ascii="Book Antiqua" w:hAnsi="Book Antiqua"/>
          <w:color w:val="000000" w:themeColor="text1"/>
          <w:szCs w:val="24"/>
          <w:vertAlign w:val="superscript"/>
        </w:rPr>
        <w:instrText>&lt;</w:instrText>
      </w:r>
      <w:r w:rsidR="00A228B7" w:rsidRPr="00F740D9">
        <w:rPr>
          <w:rFonts w:ascii="Times New Roman" w:eastAsia="MS Mincho" w:hAnsi="Times New Roman" w:cs="Times New Roman"/>
          <w:color w:val="000000" w:themeColor="text1"/>
          <w:szCs w:val="24"/>
          <w:vertAlign w:val="superscript"/>
        </w:rPr>
        <w:instrText> </w:instrText>
      </w:r>
      <w:r w:rsidR="00A228B7" w:rsidRPr="00F740D9">
        <w:rPr>
          <w:rFonts w:ascii="Book Antiqua" w:hAnsi="Book Antiqua"/>
          <w:color w:val="000000" w:themeColor="text1"/>
          <w:szCs w:val="24"/>
          <w:vertAlign w:val="superscript"/>
        </w:rPr>
        <w:instrText>0.001). In multivariate analysis, the independent unfavorable factors of postrecurrence survival were alpha-fetoprotein level &gt;</w:instrText>
      </w:r>
      <w:r w:rsidR="00A228B7" w:rsidRPr="00F740D9">
        <w:rPr>
          <w:rFonts w:ascii="Times New Roman" w:eastAsia="MS Mincho" w:hAnsi="Times New Roman" w:cs="Times New Roman"/>
          <w:color w:val="000000" w:themeColor="text1"/>
          <w:szCs w:val="24"/>
          <w:vertAlign w:val="superscript"/>
        </w:rPr>
        <w:instrText> </w:instrText>
      </w:r>
      <w:r w:rsidR="00A228B7" w:rsidRPr="00F740D9">
        <w:rPr>
          <w:rFonts w:ascii="Book Antiqua" w:hAnsi="Book Antiqua"/>
          <w:color w:val="000000" w:themeColor="text1"/>
          <w:szCs w:val="24"/>
          <w:vertAlign w:val="superscript"/>
        </w:rPr>
        <w:instrText>100</w:instrText>
      </w:r>
      <w:r w:rsidR="00A228B7" w:rsidRPr="00F740D9">
        <w:rPr>
          <w:rFonts w:ascii="Times New Roman" w:eastAsia="MS Mincho" w:hAnsi="Times New Roman" w:cs="Times New Roman"/>
          <w:color w:val="000000" w:themeColor="text1"/>
          <w:szCs w:val="24"/>
          <w:vertAlign w:val="superscript"/>
        </w:rPr>
        <w:instrText> </w:instrText>
      </w:r>
      <w:r w:rsidR="00A228B7" w:rsidRPr="00F740D9">
        <w:rPr>
          <w:rFonts w:ascii="Book Antiqua" w:hAnsi="Book Antiqua"/>
          <w:color w:val="000000" w:themeColor="text1"/>
          <w:szCs w:val="24"/>
          <w:vertAlign w:val="superscript"/>
        </w:rPr>
        <w:instrText>ng/mL at relapse (hazard ratio [HR], 2.1; 95% confidence interval [CI], 1.1-4.1; P</w:instrText>
      </w:r>
      <w:r w:rsidR="00A228B7" w:rsidRPr="00F740D9">
        <w:rPr>
          <w:rFonts w:ascii="Times New Roman" w:eastAsia="MS Mincho" w:hAnsi="Times New Roman" w:cs="Times New Roman"/>
          <w:color w:val="000000" w:themeColor="text1"/>
          <w:szCs w:val="24"/>
          <w:vertAlign w:val="superscript"/>
        </w:rPr>
        <w:instrText> </w:instrText>
      </w:r>
      <w:r w:rsidR="00A228B7" w:rsidRPr="00F740D9">
        <w:rPr>
          <w:rFonts w:ascii="Book Antiqua" w:hAnsi="Book Antiqua"/>
          <w:color w:val="000000" w:themeColor="text1"/>
          <w:szCs w:val="24"/>
          <w:vertAlign w:val="superscript"/>
        </w:rPr>
        <w:instrText>=</w:instrText>
      </w:r>
      <w:r w:rsidR="00A228B7" w:rsidRPr="00F740D9">
        <w:rPr>
          <w:rFonts w:ascii="Times New Roman" w:eastAsia="MS Mincho" w:hAnsi="Times New Roman" w:cs="Times New Roman"/>
          <w:color w:val="000000" w:themeColor="text1"/>
          <w:szCs w:val="24"/>
          <w:vertAlign w:val="superscript"/>
        </w:rPr>
        <w:instrText> </w:instrText>
      </w:r>
      <w:r w:rsidR="00A228B7" w:rsidRPr="00F740D9">
        <w:rPr>
          <w:rFonts w:ascii="Book Antiqua" w:hAnsi="Book Antiqua"/>
          <w:color w:val="000000" w:themeColor="text1"/>
          <w:szCs w:val="24"/>
          <w:vertAlign w:val="superscript"/>
        </w:rPr>
        <w:instrText>0.03), intrahepatic location (HR, 1.8; 95% CI, 1.0-3.2; P</w:instrText>
      </w:r>
      <w:r w:rsidR="00A228B7" w:rsidRPr="00F740D9">
        <w:rPr>
          <w:rFonts w:ascii="Times New Roman" w:eastAsia="MS Mincho" w:hAnsi="Times New Roman" w:cs="Times New Roman"/>
          <w:color w:val="000000" w:themeColor="text1"/>
          <w:szCs w:val="24"/>
          <w:vertAlign w:val="superscript"/>
        </w:rPr>
        <w:instrText> </w:instrText>
      </w:r>
      <w:r w:rsidR="00A228B7" w:rsidRPr="00F740D9">
        <w:rPr>
          <w:rFonts w:ascii="Book Antiqua" w:hAnsi="Book Antiqua"/>
          <w:color w:val="000000" w:themeColor="text1"/>
          <w:szCs w:val="24"/>
          <w:vertAlign w:val="superscript"/>
        </w:rPr>
        <w:instrText>=</w:instrText>
      </w:r>
      <w:r w:rsidR="00A228B7" w:rsidRPr="00F740D9">
        <w:rPr>
          <w:rFonts w:ascii="Times New Roman" w:eastAsia="MS Mincho" w:hAnsi="Times New Roman" w:cs="Times New Roman"/>
          <w:color w:val="000000" w:themeColor="text1"/>
          <w:szCs w:val="24"/>
          <w:vertAlign w:val="superscript"/>
        </w:rPr>
        <w:instrText> </w:instrText>
      </w:r>
      <w:r w:rsidR="00A228B7" w:rsidRPr="00F740D9">
        <w:rPr>
          <w:rFonts w:ascii="Book Antiqua" w:hAnsi="Book Antiqua"/>
          <w:color w:val="000000" w:themeColor="text1"/>
          <w:szCs w:val="24"/>
          <w:vertAlign w:val="superscript"/>
        </w:rPr>
        <w:instrText>0.05), and multifocal recurrence (HR, 1.8; 95% CI, 1.1-3.1; P</w:instrText>
      </w:r>
      <w:r w:rsidR="00A228B7" w:rsidRPr="00F740D9">
        <w:rPr>
          <w:rFonts w:ascii="Times New Roman" w:eastAsia="MS Mincho" w:hAnsi="Times New Roman" w:cs="Times New Roman"/>
          <w:color w:val="000000" w:themeColor="text1"/>
          <w:szCs w:val="24"/>
          <w:vertAlign w:val="superscript"/>
        </w:rPr>
        <w:instrText> </w:instrText>
      </w:r>
      <w:r w:rsidR="00A228B7" w:rsidRPr="00F740D9">
        <w:rPr>
          <w:rFonts w:ascii="Book Antiqua" w:hAnsi="Book Antiqua"/>
          <w:color w:val="000000" w:themeColor="text1"/>
          <w:szCs w:val="24"/>
          <w:vertAlign w:val="superscript"/>
        </w:rPr>
        <w:instrText>=</w:instrText>
      </w:r>
      <w:r w:rsidR="00A228B7" w:rsidRPr="00F740D9">
        <w:rPr>
          <w:rFonts w:ascii="Times New Roman" w:eastAsia="MS Mincho" w:hAnsi="Times New Roman" w:cs="Times New Roman"/>
          <w:color w:val="000000" w:themeColor="text1"/>
          <w:szCs w:val="24"/>
          <w:vertAlign w:val="superscript"/>
        </w:rPr>
        <w:instrText> </w:instrText>
      </w:r>
      <w:r w:rsidR="00A228B7" w:rsidRPr="00F740D9">
        <w:rPr>
          <w:rFonts w:ascii="Book Antiqua" w:hAnsi="Book Antiqua"/>
          <w:color w:val="000000" w:themeColor="text1"/>
          <w:szCs w:val="24"/>
          <w:vertAlign w:val="superscript"/>
        </w:rPr>
        <w:instrText>0.04). The management including surgery (HR, 0.4; 95% CI, 0.2-0.7; P</w:instrText>
      </w:r>
      <w:r w:rsidR="00A228B7" w:rsidRPr="00F740D9">
        <w:rPr>
          <w:rFonts w:ascii="Times New Roman" w:eastAsia="MS Mincho" w:hAnsi="Times New Roman" w:cs="Times New Roman"/>
          <w:color w:val="000000" w:themeColor="text1"/>
          <w:szCs w:val="24"/>
          <w:vertAlign w:val="superscript"/>
        </w:rPr>
        <w:instrText> </w:instrText>
      </w:r>
      <w:r w:rsidR="00A228B7" w:rsidRPr="00F740D9">
        <w:rPr>
          <w:rFonts w:ascii="Book Antiqua" w:hAnsi="Book Antiqua"/>
          <w:color w:val="000000" w:themeColor="text1"/>
          <w:szCs w:val="24"/>
          <w:vertAlign w:val="superscript"/>
        </w:rPr>
        <w:instrText>=</w:instrText>
      </w:r>
      <w:r w:rsidR="00A228B7" w:rsidRPr="00F740D9">
        <w:rPr>
          <w:rFonts w:ascii="Times New Roman" w:eastAsia="MS Mincho" w:hAnsi="Times New Roman" w:cs="Times New Roman"/>
          <w:color w:val="000000" w:themeColor="text1"/>
          <w:szCs w:val="24"/>
          <w:vertAlign w:val="superscript"/>
        </w:rPr>
        <w:instrText> </w:instrText>
      </w:r>
      <w:r w:rsidR="00A228B7" w:rsidRPr="00F740D9">
        <w:rPr>
          <w:rFonts w:ascii="Book Antiqua" w:hAnsi="Book Antiqua"/>
          <w:color w:val="000000" w:themeColor="text1"/>
          <w:szCs w:val="24"/>
          <w:vertAlign w:val="superscript"/>
        </w:rPr>
        <w:instrText>0.004) was identified as an independent favorable factor. In conclusion, recurrence of HCC after LT is associated with a poor prognosis. However, resection is associated with improved survival and should therefore be considered when feasible. Liver Transplantation 23 440-447 2017 AASLD.","author":[{"dropping-particle":"","family":"Fernandez-Sevilla","given":"Elena","non-dropping-particle":"","parse-names":false,"suffix":""},{"dropping-particle":"","family":"Allard","given":"Marc-Antoine","non-dropping-particle":"","parse-names":false,"suffix":""},{"dropping-particle":"","family":"Selten","given":"Jasmijn","non-dropping-particle":"","parse-names":false,"suffix":""},{"dropping-particle":"","family":"Golse","given":"Nicolas","non-dropping-particle":"","parse-names":false,"suffix":""},{"dropping-particle":"","family":"Vibert","given":"Eric","non-dropping-particle":"","parse-names":false,"suffix":""},{"dropping-particle":"","family":"Sa Cunha","given":"Antonio","non-dropping-particle":"","parse-names":false,"suffix":""},{"dropping-particle":"","family":"Cherqui","given":"Daniel","non-dropping-particle":"","parse-names":false,"suffix":""},{"dropping-particle":"","family":"Castaing","given":"Denis","non-dropping-particle":"","parse-names":false,"suffix":""},{"dropping-particle":"","family":"Adam","given":"René","non-dropping-particle":"","parse-names":false,"suffix":""}],"container-title":"Liver Transplantation","id":"ITEM-6","issue":"4","issued":{"date-parts":[["2017","4"]]},"page":"440-447","title":"Recurrence of hepatocellular carcinoma after liver transplantation: Is there a place for resection?","type":"article-journal","volume":"23"},"uris":["http://www.mendeley.com/documents/?uuid=4f134e19-69da-4468-b9a5-e25057f86bc8"]}],"mendeley":{"formattedCitation":"&lt;sup&gt;14–19&lt;/sup&gt;","plainTextFormattedCitation":"14–19","previouslyFormattedCitation":"&lt;sup&gt;14–19&lt;/sup&gt;"},"properties":{"noteIndex":0},"schema":"https://github.com/citation-style-language/schema/raw/master/csl-citation.json"}</w:instrText>
      </w:r>
      <w:r w:rsidR="00920A96" w:rsidRPr="00F740D9">
        <w:rPr>
          <w:rFonts w:ascii="Book Antiqua" w:hAnsi="Book Antiqua"/>
          <w:color w:val="000000" w:themeColor="text1"/>
          <w:szCs w:val="24"/>
          <w:vertAlign w:val="superscript"/>
        </w:rPr>
        <w:fldChar w:fldCharType="separate"/>
      </w:r>
      <w:r w:rsidR="00A228B7" w:rsidRPr="00F740D9">
        <w:rPr>
          <w:rFonts w:ascii="Book Antiqua" w:hAnsi="Book Antiqua"/>
          <w:noProof/>
          <w:color w:val="000000" w:themeColor="text1"/>
          <w:szCs w:val="24"/>
          <w:vertAlign w:val="superscript"/>
        </w:rPr>
        <w:t>14</w:t>
      </w:r>
      <w:r w:rsidR="00AF289B" w:rsidRPr="00F740D9">
        <w:rPr>
          <w:rFonts w:ascii="Book Antiqua" w:hAnsi="Book Antiqua"/>
          <w:noProof/>
          <w:color w:val="000000" w:themeColor="text1"/>
          <w:szCs w:val="24"/>
          <w:vertAlign w:val="superscript"/>
        </w:rPr>
        <w:t>-</w:t>
      </w:r>
      <w:r w:rsidR="00A228B7" w:rsidRPr="00F740D9">
        <w:rPr>
          <w:rFonts w:ascii="Book Antiqua" w:hAnsi="Book Antiqua"/>
          <w:noProof/>
          <w:color w:val="000000" w:themeColor="text1"/>
          <w:szCs w:val="24"/>
          <w:vertAlign w:val="superscript"/>
        </w:rPr>
        <w:t>19</w:t>
      </w:r>
      <w:r w:rsidR="00920A96" w:rsidRPr="00F740D9">
        <w:rPr>
          <w:rFonts w:ascii="Book Antiqua" w:hAnsi="Book Antiqua"/>
          <w:color w:val="000000" w:themeColor="text1"/>
          <w:szCs w:val="24"/>
          <w:vertAlign w:val="superscript"/>
        </w:rPr>
        <w:fldChar w:fldCharType="end"/>
      </w:r>
      <w:r w:rsidR="00AF289B" w:rsidRPr="00F740D9">
        <w:rPr>
          <w:rFonts w:ascii="Book Antiqua" w:hAnsi="Book Antiqua"/>
          <w:color w:val="000000" w:themeColor="text1"/>
          <w:szCs w:val="24"/>
          <w:vertAlign w:val="superscript"/>
        </w:rPr>
        <w:t>]</w:t>
      </w:r>
      <w:r w:rsidR="000F7AAA" w:rsidRPr="00F740D9">
        <w:rPr>
          <w:rFonts w:ascii="Book Antiqua" w:hAnsi="Book Antiqua"/>
          <w:color w:val="000000" w:themeColor="text1"/>
          <w:szCs w:val="24"/>
        </w:rPr>
        <w:t xml:space="preserve">. </w:t>
      </w:r>
      <w:r w:rsidR="00D864C3" w:rsidRPr="00F740D9">
        <w:rPr>
          <w:rFonts w:ascii="Book Antiqua" w:hAnsi="Book Antiqua"/>
          <w:color w:val="000000" w:themeColor="text1"/>
          <w:szCs w:val="24"/>
        </w:rPr>
        <w:t>Indeed, m</w:t>
      </w:r>
      <w:r w:rsidR="000F7AAA" w:rsidRPr="00F740D9">
        <w:rPr>
          <w:rFonts w:ascii="Book Antiqua" w:hAnsi="Book Antiqua"/>
          <w:color w:val="000000" w:themeColor="text1"/>
          <w:szCs w:val="24"/>
        </w:rPr>
        <w:t xml:space="preserve">ore patients in the mTOR inhibitor group received targeted therapy </w:t>
      </w:r>
      <w:r w:rsidR="000F7AAA" w:rsidRPr="00F740D9">
        <w:rPr>
          <w:rFonts w:ascii="Book Antiqua" w:hAnsi="Book Antiqua"/>
          <w:i/>
          <w:iCs/>
          <w:color w:val="000000" w:themeColor="text1"/>
          <w:szCs w:val="24"/>
        </w:rPr>
        <w:t>e.g.</w:t>
      </w:r>
      <w:r w:rsidR="00AF289B" w:rsidRPr="00F740D9">
        <w:rPr>
          <w:rFonts w:ascii="Book Antiqua" w:hAnsi="Book Antiqua"/>
          <w:color w:val="000000" w:themeColor="text1"/>
          <w:szCs w:val="24"/>
        </w:rPr>
        <w:t>,</w:t>
      </w:r>
      <w:r w:rsidR="000F7AAA" w:rsidRPr="00F740D9">
        <w:rPr>
          <w:rFonts w:ascii="Book Antiqua" w:hAnsi="Book Antiqua"/>
          <w:color w:val="000000" w:themeColor="text1"/>
          <w:szCs w:val="24"/>
        </w:rPr>
        <w:t xml:space="preserve"> sorafenib (59 </w:t>
      </w:r>
      <w:r w:rsidR="00AF289B" w:rsidRPr="00F740D9">
        <w:rPr>
          <w:rFonts w:ascii="Book Antiqua" w:hAnsi="Book Antiqua"/>
          <w:i/>
          <w:color w:val="000000" w:themeColor="text1"/>
          <w:szCs w:val="24"/>
        </w:rPr>
        <w:t>vs</w:t>
      </w:r>
      <w:r w:rsidR="000F7AAA" w:rsidRPr="00F740D9">
        <w:rPr>
          <w:rFonts w:ascii="Book Antiqua" w:hAnsi="Book Antiqua"/>
          <w:color w:val="000000" w:themeColor="text1"/>
          <w:szCs w:val="24"/>
        </w:rPr>
        <w:t xml:space="preserve"> 2</w:t>
      </w:r>
      <w:r w:rsidR="001647B6" w:rsidRPr="00F740D9">
        <w:rPr>
          <w:rFonts w:ascii="Book Antiqua" w:hAnsi="Book Antiqua"/>
          <w:color w:val="000000" w:themeColor="text1"/>
          <w:szCs w:val="24"/>
        </w:rPr>
        <w:t>3</w:t>
      </w:r>
      <w:r w:rsidR="000F7AAA" w:rsidRPr="00F740D9">
        <w:rPr>
          <w:rFonts w:ascii="Book Antiqua" w:hAnsi="Book Antiqua"/>
          <w:color w:val="000000" w:themeColor="text1"/>
          <w:szCs w:val="24"/>
        </w:rPr>
        <w:t xml:space="preserve">%, </w:t>
      </w:r>
      <w:r w:rsidR="00AF289B" w:rsidRPr="00F740D9">
        <w:rPr>
          <w:rFonts w:ascii="Book Antiqua" w:hAnsi="Book Antiqua"/>
          <w:i/>
          <w:color w:val="000000" w:themeColor="text1"/>
          <w:szCs w:val="24"/>
        </w:rPr>
        <w:t xml:space="preserve">P </w:t>
      </w:r>
      <w:r w:rsidR="000F7AAA" w:rsidRPr="00F740D9">
        <w:rPr>
          <w:rFonts w:ascii="Book Antiqua" w:hAnsi="Book Antiqua"/>
          <w:color w:val="000000" w:themeColor="text1"/>
          <w:szCs w:val="24"/>
        </w:rPr>
        <w:t>&lt;</w:t>
      </w:r>
      <w:r w:rsidR="00AF289B" w:rsidRPr="00F740D9">
        <w:rPr>
          <w:rFonts w:ascii="Book Antiqua" w:hAnsi="Book Antiqua"/>
          <w:color w:val="000000" w:themeColor="text1"/>
          <w:szCs w:val="24"/>
        </w:rPr>
        <w:t xml:space="preserve"> </w:t>
      </w:r>
      <w:r w:rsidR="000F7AAA" w:rsidRPr="00F740D9">
        <w:rPr>
          <w:rFonts w:ascii="Book Antiqua" w:hAnsi="Book Antiqua"/>
          <w:color w:val="000000" w:themeColor="text1"/>
          <w:szCs w:val="24"/>
        </w:rPr>
        <w:t xml:space="preserve">0.001) and radiotherapy (39 </w:t>
      </w:r>
      <w:r w:rsidR="00AF289B" w:rsidRPr="00F740D9">
        <w:rPr>
          <w:rFonts w:ascii="Book Antiqua" w:hAnsi="Book Antiqua"/>
          <w:i/>
          <w:color w:val="000000" w:themeColor="text1"/>
          <w:szCs w:val="24"/>
        </w:rPr>
        <w:t>vs</w:t>
      </w:r>
      <w:r w:rsidR="000F7AAA" w:rsidRPr="00F740D9">
        <w:rPr>
          <w:rFonts w:ascii="Book Antiqua" w:hAnsi="Book Antiqua"/>
          <w:color w:val="000000" w:themeColor="text1"/>
          <w:szCs w:val="24"/>
        </w:rPr>
        <w:t xml:space="preserve"> 22%, </w:t>
      </w:r>
      <w:r w:rsidR="00AF289B" w:rsidRPr="00F740D9">
        <w:rPr>
          <w:rFonts w:ascii="Book Antiqua" w:hAnsi="Book Antiqua"/>
          <w:i/>
          <w:color w:val="000000" w:themeColor="text1"/>
          <w:szCs w:val="24"/>
        </w:rPr>
        <w:t xml:space="preserve">P </w:t>
      </w:r>
      <w:r w:rsidR="000F7AAA" w:rsidRPr="00F740D9">
        <w:rPr>
          <w:rFonts w:ascii="Book Antiqua" w:hAnsi="Book Antiqua"/>
          <w:color w:val="000000" w:themeColor="text1"/>
          <w:szCs w:val="24"/>
        </w:rPr>
        <w:t>=</w:t>
      </w:r>
      <w:r w:rsidR="00AF289B" w:rsidRPr="00F740D9">
        <w:rPr>
          <w:rFonts w:ascii="Book Antiqua" w:hAnsi="Book Antiqua"/>
          <w:color w:val="000000" w:themeColor="text1"/>
          <w:szCs w:val="24"/>
        </w:rPr>
        <w:t xml:space="preserve"> </w:t>
      </w:r>
      <w:r w:rsidR="000F7AAA" w:rsidRPr="00F740D9">
        <w:rPr>
          <w:rFonts w:ascii="Book Antiqua" w:hAnsi="Book Antiqua"/>
          <w:color w:val="000000" w:themeColor="text1"/>
          <w:szCs w:val="24"/>
        </w:rPr>
        <w:t>0.03)</w:t>
      </w:r>
      <w:r w:rsidR="004B7599" w:rsidRPr="00F740D9">
        <w:rPr>
          <w:rFonts w:ascii="Book Antiqua" w:hAnsi="Book Antiqua"/>
          <w:color w:val="000000" w:themeColor="text1"/>
          <w:szCs w:val="24"/>
        </w:rPr>
        <w:t>.</w:t>
      </w:r>
      <w:r w:rsidR="000F7AAA" w:rsidRPr="00F740D9">
        <w:rPr>
          <w:rFonts w:ascii="Book Antiqua" w:hAnsi="Book Antiqua"/>
          <w:color w:val="000000" w:themeColor="text1"/>
          <w:szCs w:val="24"/>
        </w:rPr>
        <w:t xml:space="preserve"> </w:t>
      </w:r>
      <w:r w:rsidR="004B7599" w:rsidRPr="00F740D9">
        <w:rPr>
          <w:rFonts w:ascii="Book Antiqua" w:hAnsi="Book Antiqua"/>
          <w:color w:val="000000" w:themeColor="text1"/>
          <w:szCs w:val="24"/>
        </w:rPr>
        <w:t>S</w:t>
      </w:r>
      <w:r w:rsidR="00D864C3" w:rsidRPr="00F740D9">
        <w:rPr>
          <w:rFonts w:ascii="Book Antiqua" w:hAnsi="Book Antiqua"/>
          <w:color w:val="000000" w:themeColor="text1"/>
          <w:szCs w:val="24"/>
        </w:rPr>
        <w:t xml:space="preserve">tereotactic body radiotherapy </w:t>
      </w:r>
      <w:r w:rsidR="004B7599" w:rsidRPr="00F740D9">
        <w:rPr>
          <w:rFonts w:ascii="Book Antiqua" w:hAnsi="Book Antiqua"/>
          <w:color w:val="000000" w:themeColor="text1"/>
          <w:szCs w:val="24"/>
        </w:rPr>
        <w:t xml:space="preserve">was </w:t>
      </w:r>
      <w:r w:rsidR="00D864C3" w:rsidRPr="00F740D9">
        <w:rPr>
          <w:rFonts w:ascii="Book Antiqua" w:hAnsi="Book Antiqua"/>
          <w:color w:val="000000" w:themeColor="text1"/>
          <w:szCs w:val="24"/>
        </w:rPr>
        <w:t xml:space="preserve">applied for </w:t>
      </w:r>
      <w:r w:rsidR="004B7599" w:rsidRPr="00F740D9">
        <w:rPr>
          <w:rFonts w:ascii="Book Antiqua" w:hAnsi="Book Antiqua"/>
          <w:color w:val="000000" w:themeColor="text1"/>
          <w:szCs w:val="24"/>
        </w:rPr>
        <w:t xml:space="preserve">patients with limited </w:t>
      </w:r>
      <w:r w:rsidR="00D864C3" w:rsidRPr="00F740D9">
        <w:rPr>
          <w:rFonts w:ascii="Book Antiqua" w:hAnsi="Book Antiqua"/>
          <w:color w:val="000000" w:themeColor="text1"/>
          <w:szCs w:val="24"/>
        </w:rPr>
        <w:t xml:space="preserve">intrahepatic recurrence </w:t>
      </w:r>
      <w:r w:rsidR="004B7599" w:rsidRPr="00F740D9">
        <w:rPr>
          <w:rFonts w:ascii="Book Antiqua" w:hAnsi="Book Antiqua"/>
          <w:color w:val="000000" w:themeColor="text1"/>
          <w:szCs w:val="24"/>
        </w:rPr>
        <w:t>for local control</w:t>
      </w:r>
      <w:r w:rsidR="00D864C3" w:rsidRPr="00F740D9">
        <w:rPr>
          <w:rFonts w:ascii="Book Antiqua" w:hAnsi="Book Antiqua"/>
          <w:color w:val="000000" w:themeColor="text1"/>
          <w:szCs w:val="24"/>
        </w:rPr>
        <w:t xml:space="preserve">. </w:t>
      </w:r>
    </w:p>
    <w:p w14:paraId="7D1979AB" w14:textId="6F648CDE" w:rsidR="001710FA" w:rsidRPr="00F740D9" w:rsidRDefault="001710FA" w:rsidP="00BE6C9D">
      <w:pPr>
        <w:snapToGrid w:val="0"/>
        <w:spacing w:line="360" w:lineRule="auto"/>
        <w:ind w:firstLineChars="100" w:firstLine="240"/>
        <w:jc w:val="both"/>
        <w:rPr>
          <w:rFonts w:ascii="Book Antiqua" w:hAnsi="Book Antiqua"/>
          <w:color w:val="000000" w:themeColor="text1"/>
          <w:szCs w:val="24"/>
        </w:rPr>
      </w:pPr>
      <w:r w:rsidRPr="00F740D9">
        <w:rPr>
          <w:rFonts w:ascii="Book Antiqua" w:hAnsi="Book Antiqua"/>
          <w:color w:val="000000" w:themeColor="text1"/>
          <w:szCs w:val="24"/>
        </w:rPr>
        <w:t xml:space="preserve">Secondly, the mTOR inhibitor group </w:t>
      </w:r>
      <w:r w:rsidR="001647B6" w:rsidRPr="00F740D9">
        <w:rPr>
          <w:rFonts w:ascii="Book Antiqua" w:hAnsi="Book Antiqua"/>
          <w:color w:val="000000" w:themeColor="text1"/>
          <w:szCs w:val="24"/>
        </w:rPr>
        <w:t>had</w:t>
      </w:r>
      <w:r w:rsidRPr="00F740D9">
        <w:rPr>
          <w:rFonts w:ascii="Book Antiqua" w:hAnsi="Book Antiqua"/>
          <w:color w:val="000000" w:themeColor="text1"/>
          <w:szCs w:val="24"/>
        </w:rPr>
        <w:t xml:space="preserve"> earlier disease </w:t>
      </w:r>
      <w:r w:rsidR="00420608" w:rsidRPr="00F740D9">
        <w:rPr>
          <w:rFonts w:ascii="Book Antiqua" w:hAnsi="Book Antiqua"/>
          <w:color w:val="000000" w:themeColor="text1"/>
          <w:szCs w:val="24"/>
        </w:rPr>
        <w:t>with fewer tumours</w:t>
      </w:r>
      <w:r w:rsidRPr="00F740D9">
        <w:rPr>
          <w:rFonts w:ascii="Book Antiqua" w:hAnsi="Book Antiqua"/>
          <w:color w:val="000000" w:themeColor="text1"/>
          <w:szCs w:val="24"/>
        </w:rPr>
        <w:t xml:space="preserve"> (</w:t>
      </w:r>
      <w:r w:rsidR="001647B6" w:rsidRPr="00F740D9">
        <w:rPr>
          <w:rFonts w:ascii="Book Antiqua" w:hAnsi="Book Antiqua"/>
          <w:color w:val="000000" w:themeColor="text1"/>
          <w:szCs w:val="24"/>
        </w:rPr>
        <w:t>2</w:t>
      </w:r>
      <w:r w:rsidRPr="00F740D9">
        <w:rPr>
          <w:rFonts w:ascii="Book Antiqua" w:hAnsi="Book Antiqua"/>
          <w:color w:val="000000" w:themeColor="text1"/>
          <w:szCs w:val="24"/>
        </w:rPr>
        <w:t xml:space="preserve"> </w:t>
      </w:r>
      <w:r w:rsidR="00AF289B" w:rsidRPr="00F740D9">
        <w:rPr>
          <w:rFonts w:ascii="Book Antiqua" w:hAnsi="Book Antiqua"/>
          <w:i/>
          <w:color w:val="000000" w:themeColor="text1"/>
          <w:szCs w:val="24"/>
        </w:rPr>
        <w:t>vs</w:t>
      </w:r>
      <w:r w:rsidRPr="00F740D9">
        <w:rPr>
          <w:rFonts w:ascii="Book Antiqua" w:hAnsi="Book Antiqua"/>
          <w:color w:val="000000" w:themeColor="text1"/>
          <w:szCs w:val="24"/>
        </w:rPr>
        <w:t xml:space="preserve"> 5, </w:t>
      </w:r>
      <w:r w:rsidR="00AF289B" w:rsidRPr="00F740D9">
        <w:rPr>
          <w:rFonts w:ascii="Book Antiqua" w:hAnsi="Book Antiqua"/>
          <w:i/>
          <w:color w:val="000000" w:themeColor="text1"/>
          <w:szCs w:val="24"/>
        </w:rPr>
        <w:t xml:space="preserve">P </w:t>
      </w:r>
      <w:r w:rsidRPr="00F740D9">
        <w:rPr>
          <w:rFonts w:ascii="Book Antiqua" w:hAnsi="Book Antiqua"/>
          <w:color w:val="000000" w:themeColor="text1"/>
          <w:szCs w:val="24"/>
        </w:rPr>
        <w:t>=</w:t>
      </w:r>
      <w:r w:rsidR="00AF289B" w:rsidRPr="00F740D9">
        <w:rPr>
          <w:rFonts w:ascii="Book Antiqua" w:hAnsi="Book Antiqua"/>
          <w:color w:val="000000" w:themeColor="text1"/>
          <w:szCs w:val="24"/>
        </w:rPr>
        <w:t xml:space="preserve"> </w:t>
      </w:r>
      <w:r w:rsidRPr="00F740D9">
        <w:rPr>
          <w:rFonts w:ascii="Book Antiqua" w:hAnsi="Book Antiqua"/>
          <w:color w:val="000000" w:themeColor="text1"/>
          <w:szCs w:val="24"/>
        </w:rPr>
        <w:t>0.0</w:t>
      </w:r>
      <w:r w:rsidR="001647B6" w:rsidRPr="00F740D9">
        <w:rPr>
          <w:rFonts w:ascii="Book Antiqua" w:hAnsi="Book Antiqua"/>
          <w:color w:val="000000" w:themeColor="text1"/>
          <w:szCs w:val="24"/>
        </w:rPr>
        <w:t>2</w:t>
      </w:r>
      <w:r w:rsidRPr="00F740D9">
        <w:rPr>
          <w:rFonts w:ascii="Book Antiqua" w:hAnsi="Book Antiqua"/>
          <w:color w:val="000000" w:themeColor="text1"/>
          <w:szCs w:val="24"/>
        </w:rPr>
        <w:t xml:space="preserve">). This </w:t>
      </w:r>
      <w:r w:rsidR="004A6DD8" w:rsidRPr="00F740D9">
        <w:rPr>
          <w:rFonts w:ascii="Book Antiqua" w:hAnsi="Book Antiqua"/>
          <w:color w:val="000000" w:themeColor="text1"/>
          <w:szCs w:val="24"/>
        </w:rPr>
        <w:t xml:space="preserve">probably resulted </w:t>
      </w:r>
      <w:r w:rsidR="005E350D">
        <w:rPr>
          <w:rFonts w:ascii="Book Antiqua" w:hAnsi="Book Antiqua"/>
          <w:color w:val="000000" w:themeColor="text1"/>
          <w:szCs w:val="24"/>
        </w:rPr>
        <w:t>due to</w:t>
      </w:r>
      <w:r w:rsidRPr="00F740D9">
        <w:rPr>
          <w:rFonts w:ascii="Book Antiqua" w:hAnsi="Book Antiqua"/>
          <w:color w:val="000000" w:themeColor="text1"/>
          <w:szCs w:val="24"/>
        </w:rPr>
        <w:t xml:space="preserve"> selection bias. </w:t>
      </w:r>
      <w:r w:rsidR="00420608" w:rsidRPr="00F740D9">
        <w:rPr>
          <w:rFonts w:ascii="Book Antiqua" w:hAnsi="Book Antiqua"/>
          <w:color w:val="000000" w:themeColor="text1"/>
          <w:szCs w:val="24"/>
        </w:rPr>
        <w:t>C</w:t>
      </w:r>
      <w:r w:rsidRPr="00F740D9">
        <w:rPr>
          <w:rFonts w:ascii="Book Antiqua" w:hAnsi="Book Antiqua"/>
          <w:color w:val="000000" w:themeColor="text1"/>
          <w:szCs w:val="24"/>
        </w:rPr>
        <w:t xml:space="preserve">linicians could have </w:t>
      </w:r>
      <w:r w:rsidR="004A6DD8" w:rsidRPr="00F740D9">
        <w:rPr>
          <w:rFonts w:ascii="Book Antiqua" w:hAnsi="Book Antiqua"/>
          <w:color w:val="000000" w:themeColor="text1"/>
          <w:szCs w:val="24"/>
        </w:rPr>
        <w:t xml:space="preserve">avoided </w:t>
      </w:r>
      <w:r w:rsidR="00EA6B46" w:rsidRPr="00F740D9">
        <w:rPr>
          <w:rFonts w:ascii="Book Antiqua" w:hAnsi="Book Antiqua"/>
          <w:color w:val="000000" w:themeColor="text1"/>
          <w:szCs w:val="24"/>
        </w:rPr>
        <w:t>aggressive</w:t>
      </w:r>
      <w:r w:rsidRPr="00F740D9">
        <w:rPr>
          <w:rFonts w:ascii="Book Antiqua" w:hAnsi="Book Antiqua"/>
          <w:color w:val="000000" w:themeColor="text1"/>
          <w:szCs w:val="24"/>
        </w:rPr>
        <w:t xml:space="preserve"> </w:t>
      </w:r>
      <w:r w:rsidR="00420608" w:rsidRPr="00F740D9">
        <w:rPr>
          <w:rFonts w:ascii="Book Antiqua" w:hAnsi="Book Antiqua"/>
          <w:color w:val="000000" w:themeColor="text1"/>
          <w:szCs w:val="24"/>
        </w:rPr>
        <w:t>therapy</w:t>
      </w:r>
      <w:r w:rsidRPr="00F740D9">
        <w:rPr>
          <w:rFonts w:ascii="Book Antiqua" w:hAnsi="Book Antiqua"/>
          <w:color w:val="000000" w:themeColor="text1"/>
          <w:szCs w:val="24"/>
        </w:rPr>
        <w:t xml:space="preserve"> in patients with widespread disease </w:t>
      </w:r>
      <w:r w:rsidR="005E350D">
        <w:rPr>
          <w:rFonts w:ascii="Book Antiqua" w:hAnsi="Book Antiqua"/>
          <w:color w:val="000000" w:themeColor="text1"/>
          <w:szCs w:val="24"/>
        </w:rPr>
        <w:t>due to</w:t>
      </w:r>
      <w:r w:rsidRPr="00F740D9">
        <w:rPr>
          <w:rFonts w:ascii="Book Antiqua" w:hAnsi="Book Antiqua"/>
          <w:color w:val="000000" w:themeColor="text1"/>
          <w:szCs w:val="24"/>
        </w:rPr>
        <w:t xml:space="preserve"> </w:t>
      </w:r>
      <w:r w:rsidR="004A6DD8" w:rsidRPr="00F740D9">
        <w:rPr>
          <w:rFonts w:ascii="Book Antiqua" w:hAnsi="Book Antiqua"/>
          <w:color w:val="000000" w:themeColor="text1"/>
          <w:szCs w:val="24"/>
        </w:rPr>
        <w:t xml:space="preserve">fear </w:t>
      </w:r>
      <w:r w:rsidRPr="00F740D9">
        <w:rPr>
          <w:rFonts w:ascii="Book Antiqua" w:hAnsi="Book Antiqua"/>
          <w:color w:val="000000" w:themeColor="text1"/>
          <w:szCs w:val="24"/>
        </w:rPr>
        <w:t xml:space="preserve">of futility. This </w:t>
      </w:r>
      <w:r w:rsidR="00420608" w:rsidRPr="00F740D9">
        <w:rPr>
          <w:rFonts w:ascii="Book Antiqua" w:hAnsi="Book Antiqua"/>
          <w:color w:val="000000" w:themeColor="text1"/>
          <w:szCs w:val="24"/>
        </w:rPr>
        <w:t xml:space="preserve">also </w:t>
      </w:r>
      <w:r w:rsidR="004A6DD8" w:rsidRPr="00F740D9">
        <w:rPr>
          <w:rFonts w:ascii="Book Antiqua" w:hAnsi="Book Antiqua"/>
          <w:color w:val="000000" w:themeColor="text1"/>
          <w:szCs w:val="24"/>
        </w:rPr>
        <w:t>explained</w:t>
      </w:r>
      <w:r w:rsidRPr="00F740D9">
        <w:rPr>
          <w:rFonts w:ascii="Book Antiqua" w:hAnsi="Book Antiqua"/>
          <w:color w:val="000000" w:themeColor="text1"/>
          <w:szCs w:val="24"/>
        </w:rPr>
        <w:t xml:space="preserve"> </w:t>
      </w:r>
      <w:r w:rsidR="004A6DD8" w:rsidRPr="00F740D9">
        <w:rPr>
          <w:rFonts w:ascii="Book Antiqua" w:hAnsi="Book Antiqua"/>
          <w:color w:val="000000" w:themeColor="text1"/>
          <w:szCs w:val="24"/>
        </w:rPr>
        <w:t>why more</w:t>
      </w:r>
      <w:r w:rsidRPr="00F740D9">
        <w:rPr>
          <w:rFonts w:ascii="Book Antiqua" w:hAnsi="Book Antiqua"/>
          <w:color w:val="000000" w:themeColor="text1"/>
          <w:szCs w:val="24"/>
        </w:rPr>
        <w:t xml:space="preserve"> patients in the control group rece</w:t>
      </w:r>
      <w:r w:rsidR="00420608" w:rsidRPr="00F740D9">
        <w:rPr>
          <w:rFonts w:ascii="Book Antiqua" w:hAnsi="Book Antiqua"/>
          <w:color w:val="000000" w:themeColor="text1"/>
          <w:szCs w:val="24"/>
        </w:rPr>
        <w:t>ived</w:t>
      </w:r>
      <w:r w:rsidRPr="00F740D9">
        <w:rPr>
          <w:rFonts w:ascii="Book Antiqua" w:hAnsi="Book Antiqua"/>
          <w:color w:val="000000" w:themeColor="text1"/>
          <w:szCs w:val="24"/>
        </w:rPr>
        <w:t xml:space="preserve"> supportive treatment (4</w:t>
      </w:r>
      <w:r w:rsidR="004A6DD8" w:rsidRPr="00F740D9">
        <w:rPr>
          <w:rFonts w:ascii="Book Antiqua" w:hAnsi="Book Antiqua"/>
          <w:color w:val="000000" w:themeColor="text1"/>
          <w:szCs w:val="24"/>
        </w:rPr>
        <w:t xml:space="preserve"> </w:t>
      </w:r>
      <w:r w:rsidR="00AF289B" w:rsidRPr="00F740D9">
        <w:rPr>
          <w:rFonts w:ascii="Book Antiqua" w:hAnsi="Book Antiqua"/>
          <w:i/>
          <w:color w:val="000000" w:themeColor="text1"/>
          <w:szCs w:val="24"/>
        </w:rPr>
        <w:t>vs</w:t>
      </w:r>
      <w:r w:rsidRPr="00F740D9">
        <w:rPr>
          <w:rFonts w:ascii="Book Antiqua" w:hAnsi="Book Antiqua"/>
          <w:color w:val="000000" w:themeColor="text1"/>
          <w:szCs w:val="24"/>
        </w:rPr>
        <w:t xml:space="preserve"> 3</w:t>
      </w:r>
      <w:r w:rsidR="001647B6" w:rsidRPr="00F740D9">
        <w:rPr>
          <w:rFonts w:ascii="Book Antiqua" w:hAnsi="Book Antiqua"/>
          <w:color w:val="000000" w:themeColor="text1"/>
          <w:szCs w:val="24"/>
        </w:rPr>
        <w:t>6</w:t>
      </w:r>
      <w:r w:rsidRPr="00F740D9">
        <w:rPr>
          <w:rFonts w:ascii="Book Antiqua" w:hAnsi="Book Antiqua"/>
          <w:color w:val="000000" w:themeColor="text1"/>
          <w:szCs w:val="24"/>
        </w:rPr>
        <w:t xml:space="preserve">%, </w:t>
      </w:r>
      <w:r w:rsidR="00AF289B" w:rsidRPr="00F740D9">
        <w:rPr>
          <w:rFonts w:ascii="Book Antiqua" w:hAnsi="Book Antiqua"/>
          <w:i/>
          <w:color w:val="000000" w:themeColor="text1"/>
          <w:szCs w:val="24"/>
        </w:rPr>
        <w:t xml:space="preserve">P </w:t>
      </w:r>
      <w:r w:rsidRPr="00F740D9">
        <w:rPr>
          <w:rFonts w:ascii="Book Antiqua" w:hAnsi="Book Antiqua"/>
          <w:color w:val="000000" w:themeColor="text1"/>
          <w:szCs w:val="24"/>
        </w:rPr>
        <w:t>&lt;</w:t>
      </w:r>
      <w:r w:rsidR="00AF289B" w:rsidRPr="00F740D9">
        <w:rPr>
          <w:rFonts w:ascii="Book Antiqua" w:hAnsi="Book Antiqua"/>
          <w:color w:val="000000" w:themeColor="text1"/>
          <w:szCs w:val="24"/>
        </w:rPr>
        <w:t xml:space="preserve"> </w:t>
      </w:r>
      <w:r w:rsidRPr="00F740D9">
        <w:rPr>
          <w:rFonts w:ascii="Book Antiqua" w:hAnsi="Book Antiqua"/>
          <w:color w:val="000000" w:themeColor="text1"/>
          <w:szCs w:val="24"/>
        </w:rPr>
        <w:t>0.001).</w:t>
      </w:r>
      <w:r w:rsidR="005B32A5" w:rsidRPr="00F740D9">
        <w:rPr>
          <w:rFonts w:ascii="Book Antiqua" w:hAnsi="Book Antiqua"/>
          <w:color w:val="000000" w:themeColor="text1"/>
          <w:szCs w:val="24"/>
        </w:rPr>
        <w:t xml:space="preserve"> </w:t>
      </w:r>
      <w:r w:rsidR="00207706" w:rsidRPr="00F740D9">
        <w:rPr>
          <w:rFonts w:ascii="Book Antiqua" w:hAnsi="Book Antiqua"/>
          <w:color w:val="000000" w:themeColor="text1"/>
          <w:szCs w:val="24"/>
        </w:rPr>
        <w:t>Last but not least, mTOR inhibitors were used with reduced or spared CNI</w:t>
      </w:r>
      <w:r w:rsidR="000F102D" w:rsidRPr="00F740D9">
        <w:rPr>
          <w:rFonts w:ascii="Book Antiqua" w:hAnsi="Book Antiqua"/>
          <w:color w:val="000000" w:themeColor="text1"/>
          <w:szCs w:val="24"/>
        </w:rPr>
        <w:t>, which could have contributed to their protective effect</w:t>
      </w:r>
      <w:r w:rsidR="00AF289B" w:rsidRPr="00F740D9">
        <w:rPr>
          <w:rFonts w:ascii="Book Antiqua" w:hAnsi="Book Antiqua"/>
          <w:color w:val="000000" w:themeColor="text1"/>
          <w:szCs w:val="24"/>
          <w:vertAlign w:val="superscript"/>
        </w:rPr>
        <w:t>[</w:t>
      </w:r>
      <w:r w:rsidR="00207706" w:rsidRPr="00F740D9">
        <w:rPr>
          <w:rFonts w:ascii="Book Antiqua" w:hAnsi="Book Antiqua"/>
          <w:color w:val="000000" w:themeColor="text1"/>
          <w:szCs w:val="24"/>
          <w:vertAlign w:val="superscript"/>
        </w:rPr>
        <w:fldChar w:fldCharType="begin" w:fldLock="1"/>
      </w:r>
      <w:r w:rsidR="00207706" w:rsidRPr="00F740D9">
        <w:rPr>
          <w:rFonts w:ascii="Book Antiqua" w:hAnsi="Book Antiqua"/>
          <w:color w:val="000000" w:themeColor="text1"/>
          <w:szCs w:val="24"/>
          <w:vertAlign w:val="superscript"/>
        </w:rPr>
        <w:instrText>ADDIN CSL_CITATION {"citationItems":[{"id":"ITEM-1","itemData":{"DOI":"10.1002/lt.20391","ISSN":"1527-6465","PMID":"15838913","abstract":"To confirm recent observations about the relationship between immunosuppression and the recurrence of hepatocellular carcinoma (HCC) after liver transplantation (LT), we retrospectively analyzed 70 consecutive HCC patients who underwent LT and received cyclosporine (CsA)-based immunosuppression. CsA trough blood levels, measured with the same technique (fluorescence polarization immunoassay), were analyzed at different time points after transplantation. The exposure to the drug was calculated with the trapezoidal rule in each patient. CsA was associated with steroids in 26 patients and steroids and azathioprine in 44 patients. HCC recurred in 7 patients (10.0%). Different immunosuppressive schedules (CsA and steroids vs. CsA, steroids, and azathioprine) or the cumulative dosage of steroids and azathioprine did not influence HCC recurrence that was associated instead with CsA exposure (278.3 +/- 86.4 ng/mL in recurrent vs. 169.9 +/- 33.3 in tumor-free patients; P &lt; 0.001); CsA exposure above 189.6 ng/mL was related to HCC recurrence at the receiver operating characteristic analysis (ROC). The relationship between CsA exposure; various clinical (sex, age, viral- vs. non-viral-related cirrhosis, preoperative vs. incidental diagnosis of HCC, alpha-fetoprotein [AFP] blood level), pathologic (pathologic tumor staging [pT] stage, presence of Milan criteria), and histologic (grading, presence of microvascular tumor invasion) parameters; and tumor recurrence were assessed. AFP (P = 0.032), microvascular tumor invasion (P = 0.044), and CsA exposure (P &lt; 0.001) influenced recurrence-free survival at the univariate analysis; CsA exposure was the only independent prognostic determinant at multivariate analysis (P &lt; 0.001). High CsA exposure favors tumor recurrence; CsA blood levels should be kept to the effective minimum in HCC patients. In the presence of pathologic and histologic risk factors, specific immunosuppressive protocols should be considered.","author":[{"dropping-particle":"","family":"Vivarelli","given":"Marco","non-dropping-particle":"","parse-names":false,"suffix":""},{"dropping-particle":"","family":"Cucchetti","given":"Alessandro","non-dropping-particle":"","parse-names":false,"suffix":""},{"dropping-particle":"","family":"Piscaglia","given":"Fabio","non-dropping-particle":"","parse-names":false,"suffix":""},{"dropping-particle":"","family":"Barba","given":"Giuliano","non-dropping-particle":"La","parse-names":false,"suffix":""},{"dropping-particle":"","family":"Bolondi","given":"Luigi","non-dropping-particle":"","parse-names":false,"suffix":""},{"dropping-particle":"","family":"Cavallari","given":"Antonino","non-dropping-particle":"","parse-names":false,"suffix":""},{"dropping-particle":"","family":"Pinna","given":"Antonio Daniele","non-dropping-particle":"","parse-names":false,"suffix":""}],"container-title":"Liver Transplantation","id":"ITEM-1","issue":"5","issued":{"date-parts":[["2005","5"]]},"page":"497-503","title":"Analysis of risk factors for tumor recurrence after liver transplantation for hepatocellular carcinoma: Key role of immunosuppression","type":"article-journal","volume":"11"},"uris":["http://www.mendeley.com/documents/?uuid=0bd6223a-af78-35a2-a85f-324f2ab20d28"]},{"id":"ITEM-2","itemData":{"DOI":"10.1016/j.jhep.2013.07.012","ISSN":"01688278","abstract":"Background &amp; Aims Recurrence of hepatocellular carcinoma (HCC) is a major complication after liver transplantation (LT). The initial immunosuppression protocol may influence HCC recurrence, but the optimal regimen is still unknown. Methods 219 HCC consecutive patients under Milan criteria, who received an LT at 2 European centres between 2000 and 2010, were included. Median follow-up was 51 months (IQR 26-93). Demographic characteristics, HCC features, and immunosuppression protocol within the first month after LT were evaluated against HCC recurrence by using Cox regression. Results In the explanted liver, 110 patients (50%) had multinodular HCC, and largest nodule diameter was 3 ± 2.1 cm. Macrovascular invasion was incidentally detected in 11 patients (5%), and microvascular invasion was present in 41 patients (18.7%). HCC recurrence rates were 13.3% at 3 years and 17.6% at 5 years. HCC recurrence was not influenced by the use/non-use of steroids and antimetabolites (p = 0.69 and p = 0.70 respectively), and was similar with tacrolimus or cyclosporine (p = 0.25). Higher exposure to calcineurin inhibitors within the first month after LT (mean tacrolimus trough concentrations &gt;10 ng/ml or cyclosporine trough concentrations &gt;300 ng/ml), but not thereafter, was associated with increased risk of HCC recurrence (27.7% vs. 14.7% at 5 years; p = 0.007). The independent predictors of HCC recurrence by multivariate analysis were: high exposure to calcineurin inhibitors defined as above (RR = 2.82; p = 0.005), diameter of the largest nodule (RR = 1.31; p &lt;0.001), microvascular invasion (RR = 2.98; p = 0.003) and macrovascular invasion (RR = 4.57; p = 0.003). Conclusions Immunosuppression protocols with early CNI minimization should be preferred in LT patients with HCC in order to minimize tumour recurrence. © 2013 European Association for the Study of the Liver. Published.","author":[{"dropping-particle":"","family":"Rodríguez-Perálvarez","given":"Manuel","non-dropping-particle":"","parse-names":false,"suffix":""},{"dropping-particle":"","family":"Tsochatzis","given":"Emmanuel","non-dropping-particle":"","parse-names":false,"suffix":""},{"dropping-particle":"","family":"Naveas","given":"María Carmen","non-dropping-particle":"","parse-names":false,"suffix":""},{"dropping-particle":"","family":"Pieri","given":"Giulia","non-dropping-particle":"","parse-names":false,"suffix":""},{"dropping-particle":"","family":"García-Caparrós","given":"Carmen","non-dropping-particle":"","parse-names":false,"suffix":""},{"dropping-particle":"","family":"O'Beirne","given":"James","non-dropping-particle":"","parse-names":false,"suffix":""},{"dropping-particle":"","family":"Poyato-González","given":"Antonio","non-dropping-particle":"","parse-names":false,"suffix":""},{"dropping-particle":"","family":"Ferrín-Sánchez","given":"Gustavo","non-dropping-particle":"","parse-names":false,"suffix":""},{"dropping-particle":"","family":"Montero-Álvarez","given":"Jose Luis","non-dropping-particle":"","parse-names":false,"suffix":""},{"dropping-particle":"","family":"Patch","given":"David","non-dropping-particle":"","parse-names":false,"suffix":""},{"dropping-particle":"","family":"Thorburn","given":"Douglas","non-dropping-particle":"","parse-names":false,"suffix":""},{"dropping-particle":"","family":"Briceño","given":"Javier","non-dropping-particle":"","parse-names":false,"suffix":""},{"dropping-particle":"","family":"La Mata","given":"Manuel","non-dropping-particle":"De","parse-names":false,"suffix":""},{"dropping-particle":"","family":"Burroughs","given":"Andrew Kenneth","non-dropping-particle":"","parse-names":false,"suffix":""}],"container-title":"Journal of Hepatology","id":"ITEM-2","issue":"6","issued":{"date-parts":[["2013","12"]]},"page":"1193-1199","title":"Reduced exposure to calcineurin inhibitors early after liver transplantation prevents recurrence of hepatocellular carcinoma","type":"article-journal","volume":"59"},"uris":["http://www.mendeley.com/documents/?uuid=48e8d04c-f58d-31f2-8418-c558a152525b"]}],"mendeley":{"formattedCitation":"&lt;sup&gt;2,3&lt;/sup&gt;","plainTextFormattedCitation":"2,3","previouslyFormattedCitation":"&lt;sup&gt;2,3&lt;/sup&gt;"},"properties":{"noteIndex":0},"schema":"https://github.com/citation-style-language/schema/raw/master/csl-citation.json"}</w:instrText>
      </w:r>
      <w:r w:rsidR="00207706" w:rsidRPr="00F740D9">
        <w:rPr>
          <w:rFonts w:ascii="Book Antiqua" w:hAnsi="Book Antiqua"/>
          <w:color w:val="000000" w:themeColor="text1"/>
          <w:szCs w:val="24"/>
          <w:vertAlign w:val="superscript"/>
        </w:rPr>
        <w:fldChar w:fldCharType="separate"/>
      </w:r>
      <w:r w:rsidR="00207706" w:rsidRPr="00F740D9">
        <w:rPr>
          <w:rFonts w:ascii="Book Antiqua" w:hAnsi="Book Antiqua"/>
          <w:noProof/>
          <w:color w:val="000000" w:themeColor="text1"/>
          <w:szCs w:val="24"/>
          <w:vertAlign w:val="superscript"/>
        </w:rPr>
        <w:t>2,3</w:t>
      </w:r>
      <w:r w:rsidR="00207706" w:rsidRPr="00F740D9">
        <w:rPr>
          <w:rFonts w:ascii="Book Antiqua" w:hAnsi="Book Antiqua"/>
          <w:color w:val="000000" w:themeColor="text1"/>
          <w:szCs w:val="24"/>
          <w:vertAlign w:val="superscript"/>
        </w:rPr>
        <w:fldChar w:fldCharType="end"/>
      </w:r>
      <w:r w:rsidR="00AF289B" w:rsidRPr="00F740D9">
        <w:rPr>
          <w:rFonts w:ascii="Book Antiqua" w:hAnsi="Book Antiqua"/>
          <w:color w:val="000000" w:themeColor="text1"/>
          <w:szCs w:val="24"/>
          <w:vertAlign w:val="superscript"/>
        </w:rPr>
        <w:t>]</w:t>
      </w:r>
      <w:r w:rsidR="00207706" w:rsidRPr="00F740D9">
        <w:rPr>
          <w:rFonts w:ascii="Book Antiqua" w:hAnsi="Book Antiqua"/>
          <w:color w:val="000000" w:themeColor="text1"/>
          <w:szCs w:val="24"/>
        </w:rPr>
        <w:t xml:space="preserve">. </w:t>
      </w:r>
      <w:r w:rsidR="00077B33" w:rsidRPr="00F740D9">
        <w:rPr>
          <w:rFonts w:ascii="Book Antiqua" w:hAnsi="Book Antiqua"/>
          <w:color w:val="000000" w:themeColor="text1"/>
          <w:szCs w:val="24"/>
        </w:rPr>
        <w:t>Therefore, s</w:t>
      </w:r>
      <w:r w:rsidR="005B32A5" w:rsidRPr="00F740D9">
        <w:rPr>
          <w:rFonts w:ascii="Book Antiqua" w:hAnsi="Book Antiqua"/>
          <w:color w:val="000000" w:themeColor="text1"/>
          <w:szCs w:val="24"/>
        </w:rPr>
        <w:t xml:space="preserve">urvival </w:t>
      </w:r>
      <w:r w:rsidR="004A6DD8" w:rsidRPr="00F740D9">
        <w:rPr>
          <w:rFonts w:ascii="Book Antiqua" w:hAnsi="Book Antiqua"/>
          <w:color w:val="000000" w:themeColor="text1"/>
          <w:szCs w:val="24"/>
        </w:rPr>
        <w:t>association</w:t>
      </w:r>
      <w:r w:rsidR="005B32A5" w:rsidRPr="00F740D9">
        <w:rPr>
          <w:rFonts w:ascii="Book Antiqua" w:hAnsi="Book Antiqua"/>
          <w:color w:val="000000" w:themeColor="text1"/>
          <w:szCs w:val="24"/>
        </w:rPr>
        <w:t>s were</w:t>
      </w:r>
      <w:r w:rsidR="004A6DD8" w:rsidRPr="00F740D9">
        <w:rPr>
          <w:rFonts w:ascii="Book Antiqua" w:hAnsi="Book Antiqua"/>
          <w:color w:val="000000" w:themeColor="text1"/>
          <w:szCs w:val="24"/>
        </w:rPr>
        <w:t xml:space="preserve"> estimated using multivariate </w:t>
      </w:r>
      <w:r w:rsidR="005E350D">
        <w:rPr>
          <w:rFonts w:ascii="Book Antiqua" w:hAnsi="Book Antiqua"/>
          <w:color w:val="000000" w:themeColor="text1"/>
          <w:szCs w:val="24"/>
        </w:rPr>
        <w:t>C</w:t>
      </w:r>
      <w:r w:rsidR="004A6DD8" w:rsidRPr="00F740D9">
        <w:rPr>
          <w:rFonts w:ascii="Book Antiqua" w:hAnsi="Book Antiqua"/>
          <w:color w:val="000000" w:themeColor="text1"/>
          <w:szCs w:val="24"/>
        </w:rPr>
        <w:t xml:space="preserve">ox regression taking into account </w:t>
      </w:r>
      <w:r w:rsidR="005B32A5" w:rsidRPr="00F740D9">
        <w:rPr>
          <w:rFonts w:ascii="Book Antiqua" w:hAnsi="Book Antiqua"/>
          <w:color w:val="000000" w:themeColor="text1"/>
          <w:szCs w:val="24"/>
        </w:rPr>
        <w:t xml:space="preserve">these </w:t>
      </w:r>
      <w:r w:rsidR="005C11D5" w:rsidRPr="00F740D9">
        <w:rPr>
          <w:rFonts w:ascii="Book Antiqua" w:hAnsi="Book Antiqua"/>
          <w:color w:val="000000" w:themeColor="text1"/>
          <w:szCs w:val="24"/>
        </w:rPr>
        <w:t>potential confounders</w:t>
      </w:r>
      <w:r w:rsidR="004A6DD8" w:rsidRPr="00F740D9">
        <w:rPr>
          <w:rFonts w:ascii="Book Antiqua" w:hAnsi="Book Antiqua"/>
          <w:color w:val="000000" w:themeColor="text1"/>
          <w:szCs w:val="24"/>
        </w:rPr>
        <w:t xml:space="preserve">. </w:t>
      </w:r>
      <w:r w:rsidR="005E350D">
        <w:rPr>
          <w:rFonts w:ascii="Book Antiqua" w:hAnsi="Book Antiqua"/>
          <w:color w:val="000000" w:themeColor="text1"/>
          <w:szCs w:val="24"/>
        </w:rPr>
        <w:t>O</w:t>
      </w:r>
      <w:r w:rsidR="00420608" w:rsidRPr="00F740D9">
        <w:rPr>
          <w:rFonts w:ascii="Book Antiqua" w:hAnsi="Book Antiqua"/>
          <w:color w:val="000000" w:themeColor="text1"/>
          <w:szCs w:val="24"/>
        </w:rPr>
        <w:t>ur results</w:t>
      </w:r>
      <w:r w:rsidR="005E350D">
        <w:rPr>
          <w:rFonts w:ascii="Book Antiqua" w:hAnsi="Book Antiqua"/>
          <w:color w:val="000000" w:themeColor="text1"/>
          <w:szCs w:val="24"/>
        </w:rPr>
        <w:t xml:space="preserve"> showed that</w:t>
      </w:r>
      <w:r w:rsidR="00420608" w:rsidRPr="00F740D9">
        <w:rPr>
          <w:rFonts w:ascii="Book Antiqua" w:hAnsi="Book Antiqua"/>
          <w:color w:val="000000" w:themeColor="text1"/>
          <w:szCs w:val="24"/>
        </w:rPr>
        <w:t xml:space="preserve"> mTOR inhibitor maintained a robust</w:t>
      </w:r>
      <w:r w:rsidR="00207706" w:rsidRPr="00F740D9">
        <w:rPr>
          <w:rFonts w:ascii="Book Antiqua" w:hAnsi="Book Antiqua"/>
          <w:color w:val="000000" w:themeColor="text1"/>
          <w:szCs w:val="24"/>
        </w:rPr>
        <w:t xml:space="preserve"> </w:t>
      </w:r>
      <w:r w:rsidR="00420608" w:rsidRPr="00F740D9">
        <w:rPr>
          <w:rFonts w:ascii="Book Antiqua" w:hAnsi="Book Antiqua"/>
          <w:color w:val="000000" w:themeColor="text1"/>
          <w:szCs w:val="24"/>
        </w:rPr>
        <w:t xml:space="preserve">association with improved survival. </w:t>
      </w:r>
      <w:r w:rsidR="000F102D" w:rsidRPr="00F740D9">
        <w:rPr>
          <w:rFonts w:ascii="Book Antiqua" w:hAnsi="Book Antiqua"/>
          <w:color w:val="000000" w:themeColor="text1"/>
          <w:szCs w:val="24"/>
        </w:rPr>
        <w:t>Data suggested</w:t>
      </w:r>
      <w:r w:rsidR="00207706" w:rsidRPr="00F740D9">
        <w:rPr>
          <w:rFonts w:ascii="Book Antiqua" w:hAnsi="Book Antiqua"/>
          <w:color w:val="000000" w:themeColor="text1"/>
          <w:szCs w:val="24"/>
        </w:rPr>
        <w:t xml:space="preserve"> tha</w:t>
      </w:r>
      <w:r w:rsidR="000F102D" w:rsidRPr="00F740D9">
        <w:rPr>
          <w:rFonts w:ascii="Book Antiqua" w:hAnsi="Book Antiqua"/>
          <w:color w:val="000000" w:themeColor="text1"/>
          <w:szCs w:val="24"/>
        </w:rPr>
        <w:t xml:space="preserve">t the oncological advantages of </w:t>
      </w:r>
      <w:r w:rsidR="00207706" w:rsidRPr="00F740D9">
        <w:rPr>
          <w:rFonts w:ascii="Book Antiqua" w:hAnsi="Book Antiqua"/>
          <w:color w:val="000000" w:themeColor="text1"/>
          <w:szCs w:val="24"/>
        </w:rPr>
        <w:t xml:space="preserve">mTOR inhibitors </w:t>
      </w:r>
      <w:r w:rsidR="000F102D" w:rsidRPr="00F740D9">
        <w:rPr>
          <w:rFonts w:ascii="Book Antiqua" w:hAnsi="Book Antiqua"/>
          <w:color w:val="000000" w:themeColor="text1"/>
          <w:szCs w:val="24"/>
        </w:rPr>
        <w:t xml:space="preserve">in patients with post-transplant HCC recurrence </w:t>
      </w:r>
      <w:r w:rsidR="00207706" w:rsidRPr="00F740D9">
        <w:rPr>
          <w:rFonts w:ascii="Book Antiqua" w:hAnsi="Book Antiqua"/>
          <w:color w:val="000000" w:themeColor="text1"/>
          <w:szCs w:val="24"/>
        </w:rPr>
        <w:t>w</w:t>
      </w:r>
      <w:r w:rsidR="000F102D" w:rsidRPr="00F740D9">
        <w:rPr>
          <w:rFonts w:ascii="Book Antiqua" w:hAnsi="Book Antiqua"/>
          <w:color w:val="000000" w:themeColor="text1"/>
          <w:szCs w:val="24"/>
        </w:rPr>
        <w:t xml:space="preserve">ere independent </w:t>
      </w:r>
      <w:r w:rsidR="005E350D">
        <w:rPr>
          <w:rFonts w:ascii="Book Antiqua" w:hAnsi="Book Antiqua"/>
          <w:color w:val="000000" w:themeColor="text1"/>
          <w:szCs w:val="24"/>
        </w:rPr>
        <w:t>of</w:t>
      </w:r>
      <w:r w:rsidR="000F102D" w:rsidRPr="00F740D9">
        <w:rPr>
          <w:rFonts w:ascii="Book Antiqua" w:hAnsi="Book Antiqua"/>
          <w:color w:val="000000" w:themeColor="text1"/>
          <w:szCs w:val="24"/>
        </w:rPr>
        <w:t xml:space="preserve"> the CNI sparing </w:t>
      </w:r>
      <w:r w:rsidR="000F102D" w:rsidRPr="00F740D9">
        <w:rPr>
          <w:rFonts w:ascii="Book Antiqua" w:hAnsi="Book Antiqua"/>
          <w:color w:val="000000" w:themeColor="text1"/>
          <w:szCs w:val="24"/>
        </w:rPr>
        <w:lastRenderedPageBreak/>
        <w:t>effect. T</w:t>
      </w:r>
      <w:r w:rsidR="005B32A5" w:rsidRPr="00F740D9">
        <w:rPr>
          <w:rFonts w:ascii="Book Antiqua" w:hAnsi="Book Antiqua"/>
          <w:color w:val="000000" w:themeColor="text1"/>
          <w:szCs w:val="24"/>
        </w:rPr>
        <w:t xml:space="preserve">he other clinical </w:t>
      </w:r>
      <w:r w:rsidR="009B3340" w:rsidRPr="00F740D9">
        <w:rPr>
          <w:rFonts w:ascii="Book Antiqua" w:hAnsi="Book Antiqua"/>
          <w:color w:val="000000" w:themeColor="text1"/>
          <w:szCs w:val="24"/>
        </w:rPr>
        <w:t xml:space="preserve">differences, including </w:t>
      </w:r>
      <w:r w:rsidR="001647B6" w:rsidRPr="00F740D9">
        <w:rPr>
          <w:rFonts w:ascii="Book Antiqua" w:hAnsi="Book Antiqua"/>
          <w:color w:val="000000" w:themeColor="text1"/>
          <w:szCs w:val="24"/>
        </w:rPr>
        <w:t>date of recurrence, number of recurrent tumours</w:t>
      </w:r>
      <w:r w:rsidR="00D20324" w:rsidRPr="00F740D9">
        <w:rPr>
          <w:rFonts w:ascii="Book Antiqua" w:hAnsi="Book Antiqua"/>
          <w:color w:val="000000" w:themeColor="text1"/>
          <w:szCs w:val="24"/>
        </w:rPr>
        <w:t xml:space="preserve">, use of targeted therapy and </w:t>
      </w:r>
      <w:r w:rsidR="009B3340" w:rsidRPr="00F740D9">
        <w:rPr>
          <w:rFonts w:ascii="Book Antiqua" w:hAnsi="Book Antiqua"/>
          <w:color w:val="000000" w:themeColor="text1"/>
          <w:szCs w:val="24"/>
        </w:rPr>
        <w:t xml:space="preserve">decision </w:t>
      </w:r>
      <w:r w:rsidR="005E350D">
        <w:rPr>
          <w:rFonts w:ascii="Book Antiqua" w:hAnsi="Book Antiqua"/>
          <w:color w:val="000000" w:themeColor="text1"/>
          <w:szCs w:val="24"/>
        </w:rPr>
        <w:t>for</w:t>
      </w:r>
      <w:r w:rsidR="009B3340" w:rsidRPr="00F740D9">
        <w:rPr>
          <w:rFonts w:ascii="Book Antiqua" w:hAnsi="Book Antiqua"/>
          <w:color w:val="000000" w:themeColor="text1"/>
          <w:szCs w:val="24"/>
        </w:rPr>
        <w:t xml:space="preserve"> supportive treatment,</w:t>
      </w:r>
      <w:r w:rsidR="005B32A5" w:rsidRPr="00F740D9">
        <w:rPr>
          <w:rFonts w:ascii="Book Antiqua" w:hAnsi="Book Antiqua"/>
          <w:color w:val="000000" w:themeColor="text1"/>
          <w:szCs w:val="24"/>
        </w:rPr>
        <w:t xml:space="preserve"> did not </w:t>
      </w:r>
      <w:r w:rsidR="009B3340" w:rsidRPr="00F740D9">
        <w:rPr>
          <w:rFonts w:ascii="Book Antiqua" w:hAnsi="Book Antiqua"/>
          <w:color w:val="000000" w:themeColor="text1"/>
          <w:szCs w:val="24"/>
        </w:rPr>
        <w:t>contribute to</w:t>
      </w:r>
      <w:r w:rsidR="005B32A5" w:rsidRPr="00F740D9">
        <w:rPr>
          <w:rFonts w:ascii="Book Antiqua" w:hAnsi="Book Antiqua"/>
          <w:color w:val="000000" w:themeColor="text1"/>
          <w:szCs w:val="24"/>
        </w:rPr>
        <w:t xml:space="preserve"> the </w:t>
      </w:r>
      <w:r w:rsidR="009B3340" w:rsidRPr="00F740D9">
        <w:rPr>
          <w:rFonts w:ascii="Book Antiqua" w:hAnsi="Book Antiqua"/>
          <w:color w:val="000000" w:themeColor="text1"/>
          <w:szCs w:val="24"/>
        </w:rPr>
        <w:t>disparity</w:t>
      </w:r>
      <w:r w:rsidR="005B32A5" w:rsidRPr="00F740D9">
        <w:rPr>
          <w:rFonts w:ascii="Book Antiqua" w:hAnsi="Book Antiqua"/>
          <w:color w:val="000000" w:themeColor="text1"/>
          <w:szCs w:val="24"/>
        </w:rPr>
        <w:t xml:space="preserve"> in </w:t>
      </w:r>
      <w:r w:rsidR="00963319" w:rsidRPr="00F740D9">
        <w:rPr>
          <w:rFonts w:ascii="Book Antiqua" w:hAnsi="Book Antiqua"/>
          <w:color w:val="000000" w:themeColor="text1"/>
          <w:szCs w:val="24"/>
        </w:rPr>
        <w:t>outcomes</w:t>
      </w:r>
      <w:r w:rsidR="005B32A5" w:rsidRPr="00F740D9">
        <w:rPr>
          <w:rFonts w:ascii="Book Antiqua" w:hAnsi="Book Antiqua"/>
          <w:color w:val="000000" w:themeColor="text1"/>
          <w:szCs w:val="24"/>
        </w:rPr>
        <w:t>.</w:t>
      </w:r>
    </w:p>
    <w:p w14:paraId="47CD4172" w14:textId="46E76B15" w:rsidR="007F7081" w:rsidRPr="00F740D9" w:rsidRDefault="00444F54" w:rsidP="00BE6C9D">
      <w:pPr>
        <w:snapToGrid w:val="0"/>
        <w:spacing w:line="360" w:lineRule="auto"/>
        <w:ind w:firstLineChars="100" w:firstLine="240"/>
        <w:jc w:val="both"/>
        <w:rPr>
          <w:rFonts w:ascii="Book Antiqua" w:hAnsi="Book Antiqua"/>
          <w:color w:val="000000" w:themeColor="text1"/>
          <w:szCs w:val="24"/>
        </w:rPr>
      </w:pPr>
      <w:r w:rsidRPr="00F740D9">
        <w:rPr>
          <w:rFonts w:ascii="Book Antiqua" w:hAnsi="Book Antiqua"/>
          <w:color w:val="000000" w:themeColor="text1"/>
          <w:szCs w:val="24"/>
        </w:rPr>
        <w:t xml:space="preserve">The </w:t>
      </w:r>
      <w:r w:rsidR="003C6249" w:rsidRPr="00F740D9">
        <w:rPr>
          <w:rFonts w:ascii="Book Antiqua" w:hAnsi="Book Antiqua"/>
          <w:color w:val="000000" w:themeColor="text1"/>
          <w:szCs w:val="24"/>
        </w:rPr>
        <w:t>prognosis</w:t>
      </w:r>
      <w:r w:rsidRPr="00F740D9">
        <w:rPr>
          <w:rFonts w:ascii="Book Antiqua" w:hAnsi="Book Antiqua"/>
          <w:color w:val="000000" w:themeColor="text1"/>
          <w:szCs w:val="24"/>
        </w:rPr>
        <w:t xml:space="preserve"> after post-transplant </w:t>
      </w:r>
      <w:r w:rsidR="00A1099E" w:rsidRPr="00F740D9">
        <w:rPr>
          <w:rFonts w:ascii="Book Antiqua" w:hAnsi="Book Antiqua"/>
          <w:color w:val="000000" w:themeColor="text1"/>
          <w:szCs w:val="24"/>
        </w:rPr>
        <w:t xml:space="preserve">HCC </w:t>
      </w:r>
      <w:r w:rsidR="00BC140E">
        <w:rPr>
          <w:rFonts w:ascii="Book Antiqua" w:hAnsi="Book Antiqua"/>
          <w:color w:val="000000" w:themeColor="text1"/>
          <w:szCs w:val="24"/>
        </w:rPr>
        <w:t>is</w:t>
      </w:r>
      <w:r w:rsidR="00A1099E" w:rsidRPr="00F740D9">
        <w:rPr>
          <w:rFonts w:ascii="Book Antiqua" w:hAnsi="Book Antiqua"/>
          <w:color w:val="000000" w:themeColor="text1"/>
          <w:szCs w:val="24"/>
        </w:rPr>
        <w:t xml:space="preserve"> dismal</w:t>
      </w:r>
      <w:r w:rsidR="006F0B47" w:rsidRPr="00F740D9">
        <w:rPr>
          <w:rFonts w:ascii="Book Antiqua" w:hAnsi="Book Antiqua"/>
          <w:color w:val="000000" w:themeColor="text1"/>
          <w:szCs w:val="24"/>
        </w:rPr>
        <w:t>. The median survival after recurrence range</w:t>
      </w:r>
      <w:r w:rsidR="00BC140E">
        <w:rPr>
          <w:rFonts w:ascii="Book Antiqua" w:hAnsi="Book Antiqua"/>
          <w:color w:val="000000" w:themeColor="text1"/>
          <w:szCs w:val="24"/>
        </w:rPr>
        <w:t>s</w:t>
      </w:r>
      <w:r w:rsidR="006F0B47" w:rsidRPr="00F740D9">
        <w:rPr>
          <w:rFonts w:ascii="Book Antiqua" w:hAnsi="Book Antiqua"/>
          <w:color w:val="000000" w:themeColor="text1"/>
          <w:szCs w:val="24"/>
        </w:rPr>
        <w:t xml:space="preserve"> from 8 to 19 mo</w:t>
      </w:r>
      <w:r w:rsidR="005452DB" w:rsidRPr="00F740D9">
        <w:rPr>
          <w:rFonts w:ascii="Book Antiqua" w:hAnsi="Book Antiqua"/>
          <w:color w:val="000000" w:themeColor="text1"/>
          <w:szCs w:val="24"/>
          <w:vertAlign w:val="superscript"/>
          <w:lang w:eastAsia="zh-CN"/>
        </w:rPr>
        <w:t>[</w:t>
      </w:r>
      <w:r w:rsidR="00425DE2" w:rsidRPr="00F740D9">
        <w:rPr>
          <w:rFonts w:ascii="Book Antiqua" w:hAnsi="Book Antiqua"/>
          <w:color w:val="000000" w:themeColor="text1"/>
          <w:szCs w:val="24"/>
          <w:vertAlign w:val="superscript"/>
        </w:rPr>
        <w:fldChar w:fldCharType="begin" w:fldLock="1"/>
      </w:r>
      <w:r w:rsidR="00A228B7" w:rsidRPr="00F740D9">
        <w:rPr>
          <w:rFonts w:ascii="Book Antiqua" w:hAnsi="Book Antiqua"/>
          <w:color w:val="000000" w:themeColor="text1"/>
          <w:szCs w:val="24"/>
          <w:vertAlign w:val="superscript"/>
        </w:rPr>
        <w:instrText>ADDIN CSL_CITATION {"citationItems":[{"id":"ITEM-1","itemData":{"DOI":"10.1002/lt.20128","ISSN":"1527-6465","PMID":"15048797","abstract":"Very little is known about the natural history, effects of therapy, and survival after recurrence of hepatocellular carcinoma (HCC) after liver transplantation. All adult patients undergoing liver transplant from September 19, 1988, until September 19, 2002, were reviewed. Only patients with histologically proven HCC in the explant who subsequently developed recurrence were included in further analysis. The endpoints analyzed were survival from time of transplant and survival from time of recurrence. Recipient demographics and laboratory values, technique of transplant (whole cadaver, split, or living donor), and tumor characteristics were analyzed. The time to, location of, and any medical or surgical treatment of recurrences also were considered. Of the 311 patients with HCC in the explant, 57 (18.3%) eventually were diagnosed with recurrent tumor after transplant. Median time to recurrence was 12.3. Five-year survival was significantly lower for patients with recurrence (22%) than for patients without recurrence (64%)(P &lt; 0.0001). Multivariate analysis demonstrated that the size and differentiation of the original tumor, as well as the presence of bone recurrence, were independently associated with survival from transplant in patients with recurrence. When survival from the time of recurrence was analyzed, multivariate analysis showed that the absence of bone metastases, recurrence more than 12 months from transplant, and surgical treatment of the recurrence were independently associated with significantly longer survival. In conclusion, recurrence of HCC significantly shortens survival after transplant. Nonetheless, some patients with recurrence can be expected to live for a considerable period of time. Recurrent disease should be treated surgically when possible, because surgery is independently associated with longer survival.","author":[{"dropping-particle":"","family":"Roayaie","given":"Sasan","non-dropping-particle":"","parse-names":false,"suffix":""},{"dropping-particle":"","family":"Schwartz","given":"Jonathan D.","non-dropping-particle":"","parse-names":false,"suffix":""},{"dropping-particle":"","family":"Sung","given":"Max W.","non-dropping-particle":"","parse-names":false,"suffix":""},{"dropping-particle":"","family":"Emre","given":"Sukru H.","non-dropping-particle":"","parse-names":false,"suffix":""},{"dropping-particle":"","family":"Miller","given":"Charles M.","non-dropping-particle":"","parse-names":false,"suffix":""},{"dropping-particle":"","family":"Gondolesi","given":"Gabriel E.","non-dropping-particle":"","parse-names":false,"suffix":""},{"dropping-particle":"","family":"Krieger","given":"Nancy R.","non-dropping-particle":"","parse-names":false,"suffix":""},{"dropping-particle":"","family":"Schwartz","given":"Myron E.","non-dropping-particle":"","parse-names":false,"suffix":""}],"container-title":"Liver Transplantation","id":"ITEM-1","issue":"4","issued":{"date-parts":[["2004","4"]]},"page":"534-540","title":"Recurrence of hepatocellular carcinoma after liver transplant: Patterns and prognosis","type":"article-journal","volume":"10"},"uris":["http://www.mendeley.com/documents/?uuid=f12006c3-0a45-4e17-a58c-972275c63ff8"]},{"id":"ITEM-2","itemData":{"DOI":"10.1001/archsurg.2007.39","ISSN":"00040010","abstract":"Objective: To review the preoperative and postoperative variables that predict hepatocellular carcinoma (HCC) recurrence following orthotopic liver transplantation (OLT). Data Sources: A collective review of the literature was conducted by searching the MEDLINE database using several key words: hepatocellular carcinoma, recurrence, liver transplantation, and salvage transplantation. Study Selection: Reviews and original articles containing basic scientific observations and long-term clinical outcomes were included. Data Extraction: Critical observations from peer-reviewed sources were incorporated in this review. Data Synthesis: Overall, 11 studies were reviewed to determine the incidence of HCC recurrence following OLT and to identify prognostic variables of recurrence. Four studies were evaluated to determine the efficacy of salvage transplantation following liver resection. Conclusions: Liver transplantation is a viable treatment option for select patients with HCC and end-stage liver disease. However, in approximately 20% of patients, recurrent HCC is the rate-limiting factor for long-term survival. Despite identification of clinical parameters that may stratify patients at high risk and exhaustive preoperative staging, cancer recurrence is likely the result of microscopic extrahepatic disease. With a desperate donor organ shortage, locoregional ablation techniques and resection are being employed in patients on the waiting list to serve as a bridge to OLT. Furthermore, some have advocated aggressive surgical resection of isolated metastasis in both the liver and extrahepatic viscera. Whether these creative strategies confer a survival advantage is unknown; it will require long-term follow-up to determine their efficacy. ©2008 American Medical Association. All rights reserved.","author":[{"dropping-particle":"","family":"Zimmerman","given":"Michael A.","non-dropping-particle":"","parse-names":false,"suffix":""},{"dropping-particle":"","family":"Ghobrial","given":"R. Mark","non-dropping-particle":"","parse-names":false,"suffix":""},{"dropping-particle":"","family":"Tong","given":"Myron J.","non-dropping-particle":"","parse-names":false,"suffix":""},{"dropping-particle":"","family":"Hiatt","given":"Jonathan R.","non-dropping-particle":"","parse-names":false,"suffix":""},{"dropping-particle":"","family":"Cameron","given":"Andrew M.","non-dropping-particle":"","parse-names":false,"suffix":""},{"dropping-particle":"","family":"Hong","given":"Johnny","non-dropping-particle":"","parse-names":false,"suffix":""},{"dropping-particle":"","family":"Busuttil","given":"Ronald W.","non-dropping-particle":"","parse-names":false,"suffix":""}],"container-title":"Archives of Surgery","id":"ITEM-2","issue":"2","issued":{"date-parts":[["2008","2"]]},"page":"182-188","title":"Recurrence of hepatocellular carcinoma following liver transplantation: A review of preoperative and postoperative prognostic indicators","type":"article","volume":"143"},"uris":["http://www.mendeley.com/documents/?uuid=762941bc-a6a7-33a7-9d20-1d4e13f6bc93"]},{"id":"ITEM-3","itemData":{"DOI":"10.1002/lt.24742","ISSN":"15276465","PMID":"28187493","abstract":"Recurrence of hepatocellular carcinoma (HCC) after liver transplantation (LT) is widely considered as a terminal condition. Therefore, the role of surgery is uncertain in this case. The purpose of this study was to identify the prognostic factors of survival after post-LT HCC recurrence and to evaluate the impact of surgery in this setting. All patients transplanted for HCC between 1991 and 2013 in a single institution and who further developed a post-LT recurrence were included in this study. Univariate and multivariate analyses were performed to identify factors affecting postrecurrence survival. Of the 493 patients transplanted for HCC, a total of 70 (14.2%) consecutive patients developed a recurrence after a median disease-free interval of 17 months. Median survival (MS) from the time of recurrence was 19 months, with a 3-year postrecurrence survival of 26%. Most recurrences were extrahepatic (lung, lymph node, and bone; n</w:instrText>
      </w:r>
      <w:r w:rsidR="00A228B7" w:rsidRPr="00F740D9">
        <w:rPr>
          <w:rFonts w:ascii="Times New Roman" w:eastAsia="MS Mincho" w:hAnsi="Times New Roman" w:cs="Times New Roman"/>
          <w:color w:val="000000" w:themeColor="text1"/>
          <w:szCs w:val="24"/>
          <w:vertAlign w:val="superscript"/>
        </w:rPr>
        <w:instrText> </w:instrText>
      </w:r>
      <w:r w:rsidR="00A228B7" w:rsidRPr="00F740D9">
        <w:rPr>
          <w:rFonts w:ascii="Book Antiqua" w:hAnsi="Book Antiqua"/>
          <w:color w:val="000000" w:themeColor="text1"/>
          <w:szCs w:val="24"/>
          <w:vertAlign w:val="superscript"/>
        </w:rPr>
        <w:instrText>=</w:instrText>
      </w:r>
      <w:r w:rsidR="00A228B7" w:rsidRPr="00F740D9">
        <w:rPr>
          <w:rFonts w:ascii="Times New Roman" w:eastAsia="MS Mincho" w:hAnsi="Times New Roman" w:cs="Times New Roman"/>
          <w:color w:val="000000" w:themeColor="text1"/>
          <w:szCs w:val="24"/>
          <w:vertAlign w:val="superscript"/>
        </w:rPr>
        <w:instrText> </w:instrText>
      </w:r>
      <w:r w:rsidR="00A228B7" w:rsidRPr="00F740D9">
        <w:rPr>
          <w:rFonts w:ascii="Book Antiqua" w:hAnsi="Book Antiqua"/>
          <w:color w:val="000000" w:themeColor="text1"/>
          <w:szCs w:val="24"/>
          <w:vertAlign w:val="superscript"/>
        </w:rPr>
        <w:instrText>51; 72.9%), whereas only intrahepatic recurrences were observed in 2 (2.8%) patients. Both intrahepatic and extrahepatic locations were found in 17 (24.3%) patients. A total of 22 (31.4%) patients underwent macroscopically complete resection of the recurrence (intrahepatic [n</w:instrText>
      </w:r>
      <w:r w:rsidR="00A228B7" w:rsidRPr="00F740D9">
        <w:rPr>
          <w:rFonts w:ascii="Times New Roman" w:eastAsia="MS Mincho" w:hAnsi="Times New Roman" w:cs="Times New Roman"/>
          <w:color w:val="000000" w:themeColor="text1"/>
          <w:szCs w:val="24"/>
          <w:vertAlign w:val="superscript"/>
        </w:rPr>
        <w:instrText> </w:instrText>
      </w:r>
      <w:r w:rsidR="00A228B7" w:rsidRPr="00F740D9">
        <w:rPr>
          <w:rFonts w:ascii="Book Antiqua" w:hAnsi="Book Antiqua"/>
          <w:color w:val="000000" w:themeColor="text1"/>
          <w:szCs w:val="24"/>
          <w:vertAlign w:val="superscript"/>
        </w:rPr>
        <w:instrText>=</w:instrText>
      </w:r>
      <w:r w:rsidR="00A228B7" w:rsidRPr="00F740D9">
        <w:rPr>
          <w:rFonts w:ascii="Times New Roman" w:eastAsia="MS Mincho" w:hAnsi="Times New Roman" w:cs="Times New Roman"/>
          <w:color w:val="000000" w:themeColor="text1"/>
          <w:szCs w:val="24"/>
          <w:vertAlign w:val="superscript"/>
        </w:rPr>
        <w:instrText> </w:instrText>
      </w:r>
      <w:r w:rsidR="00A228B7" w:rsidRPr="00F740D9">
        <w:rPr>
          <w:rFonts w:ascii="Book Antiqua" w:hAnsi="Book Antiqua"/>
          <w:color w:val="000000" w:themeColor="text1"/>
          <w:szCs w:val="24"/>
          <w:vertAlign w:val="superscript"/>
        </w:rPr>
        <w:instrText>2] and extrahepatic [n</w:instrText>
      </w:r>
      <w:r w:rsidR="00A228B7" w:rsidRPr="00F740D9">
        <w:rPr>
          <w:rFonts w:ascii="Times New Roman" w:eastAsia="MS Mincho" w:hAnsi="Times New Roman" w:cs="Times New Roman"/>
          <w:color w:val="000000" w:themeColor="text1"/>
          <w:szCs w:val="24"/>
          <w:vertAlign w:val="superscript"/>
        </w:rPr>
        <w:instrText> </w:instrText>
      </w:r>
      <w:r w:rsidR="00A228B7" w:rsidRPr="00F740D9">
        <w:rPr>
          <w:rFonts w:ascii="Book Antiqua" w:hAnsi="Book Antiqua"/>
          <w:color w:val="000000" w:themeColor="text1"/>
          <w:szCs w:val="24"/>
          <w:vertAlign w:val="superscript"/>
        </w:rPr>
        <w:instrText>=</w:instrText>
      </w:r>
      <w:r w:rsidR="00A228B7" w:rsidRPr="00F740D9">
        <w:rPr>
          <w:rFonts w:ascii="Times New Roman" w:eastAsia="MS Mincho" w:hAnsi="Times New Roman" w:cs="Times New Roman"/>
          <w:color w:val="000000" w:themeColor="text1"/>
          <w:szCs w:val="24"/>
          <w:vertAlign w:val="superscript"/>
        </w:rPr>
        <w:instrText> </w:instrText>
      </w:r>
      <w:r w:rsidR="00A228B7" w:rsidRPr="00F740D9">
        <w:rPr>
          <w:rFonts w:ascii="Book Antiqua" w:hAnsi="Book Antiqua"/>
          <w:color w:val="000000" w:themeColor="text1"/>
          <w:szCs w:val="24"/>
          <w:vertAlign w:val="superscript"/>
        </w:rPr>
        <w:instrText>20]). The MS for resected patients after transplantation was 35 months compared with 15 months for nonresected patients (P</w:instrText>
      </w:r>
      <w:r w:rsidR="00A228B7" w:rsidRPr="00F740D9">
        <w:rPr>
          <w:rFonts w:ascii="Times New Roman" w:eastAsia="MS Mincho" w:hAnsi="Times New Roman" w:cs="Times New Roman"/>
          <w:color w:val="000000" w:themeColor="text1"/>
          <w:szCs w:val="24"/>
          <w:vertAlign w:val="superscript"/>
        </w:rPr>
        <w:instrText> </w:instrText>
      </w:r>
      <w:r w:rsidR="00A228B7" w:rsidRPr="00F740D9">
        <w:rPr>
          <w:rFonts w:ascii="Book Antiqua" w:hAnsi="Book Antiqua"/>
          <w:color w:val="000000" w:themeColor="text1"/>
          <w:szCs w:val="24"/>
          <w:vertAlign w:val="superscript"/>
        </w:rPr>
        <w:instrText>&lt;</w:instrText>
      </w:r>
      <w:r w:rsidR="00A228B7" w:rsidRPr="00F740D9">
        <w:rPr>
          <w:rFonts w:ascii="Times New Roman" w:eastAsia="MS Mincho" w:hAnsi="Times New Roman" w:cs="Times New Roman"/>
          <w:color w:val="000000" w:themeColor="text1"/>
          <w:szCs w:val="24"/>
          <w:vertAlign w:val="superscript"/>
        </w:rPr>
        <w:instrText> </w:instrText>
      </w:r>
      <w:r w:rsidR="00A228B7" w:rsidRPr="00F740D9">
        <w:rPr>
          <w:rFonts w:ascii="Book Antiqua" w:hAnsi="Book Antiqua"/>
          <w:color w:val="000000" w:themeColor="text1"/>
          <w:szCs w:val="24"/>
          <w:vertAlign w:val="superscript"/>
        </w:rPr>
        <w:instrText>0.001). In multivariate analysis, the independent unfavorable factors of postrecurrence survival were alpha-fetoprotein level &gt;</w:instrText>
      </w:r>
      <w:r w:rsidR="00A228B7" w:rsidRPr="00F740D9">
        <w:rPr>
          <w:rFonts w:ascii="Times New Roman" w:eastAsia="MS Mincho" w:hAnsi="Times New Roman" w:cs="Times New Roman"/>
          <w:color w:val="000000" w:themeColor="text1"/>
          <w:szCs w:val="24"/>
          <w:vertAlign w:val="superscript"/>
        </w:rPr>
        <w:instrText> </w:instrText>
      </w:r>
      <w:r w:rsidR="00A228B7" w:rsidRPr="00F740D9">
        <w:rPr>
          <w:rFonts w:ascii="Book Antiqua" w:hAnsi="Book Antiqua"/>
          <w:color w:val="000000" w:themeColor="text1"/>
          <w:szCs w:val="24"/>
          <w:vertAlign w:val="superscript"/>
        </w:rPr>
        <w:instrText>100</w:instrText>
      </w:r>
      <w:r w:rsidR="00A228B7" w:rsidRPr="00F740D9">
        <w:rPr>
          <w:rFonts w:ascii="Times New Roman" w:eastAsia="MS Mincho" w:hAnsi="Times New Roman" w:cs="Times New Roman"/>
          <w:color w:val="000000" w:themeColor="text1"/>
          <w:szCs w:val="24"/>
          <w:vertAlign w:val="superscript"/>
        </w:rPr>
        <w:instrText> </w:instrText>
      </w:r>
      <w:r w:rsidR="00A228B7" w:rsidRPr="00F740D9">
        <w:rPr>
          <w:rFonts w:ascii="Book Antiqua" w:hAnsi="Book Antiqua"/>
          <w:color w:val="000000" w:themeColor="text1"/>
          <w:szCs w:val="24"/>
          <w:vertAlign w:val="superscript"/>
        </w:rPr>
        <w:instrText>ng/mL at relapse (hazard ratio [HR], 2.1; 95% confidence interval [CI], 1.1-4.1; P</w:instrText>
      </w:r>
      <w:r w:rsidR="00A228B7" w:rsidRPr="00F740D9">
        <w:rPr>
          <w:rFonts w:ascii="Times New Roman" w:eastAsia="MS Mincho" w:hAnsi="Times New Roman" w:cs="Times New Roman"/>
          <w:color w:val="000000" w:themeColor="text1"/>
          <w:szCs w:val="24"/>
          <w:vertAlign w:val="superscript"/>
        </w:rPr>
        <w:instrText> </w:instrText>
      </w:r>
      <w:r w:rsidR="00A228B7" w:rsidRPr="00F740D9">
        <w:rPr>
          <w:rFonts w:ascii="Book Antiqua" w:hAnsi="Book Antiqua"/>
          <w:color w:val="000000" w:themeColor="text1"/>
          <w:szCs w:val="24"/>
          <w:vertAlign w:val="superscript"/>
        </w:rPr>
        <w:instrText>=</w:instrText>
      </w:r>
      <w:r w:rsidR="00A228B7" w:rsidRPr="00F740D9">
        <w:rPr>
          <w:rFonts w:ascii="Times New Roman" w:eastAsia="MS Mincho" w:hAnsi="Times New Roman" w:cs="Times New Roman"/>
          <w:color w:val="000000" w:themeColor="text1"/>
          <w:szCs w:val="24"/>
          <w:vertAlign w:val="superscript"/>
        </w:rPr>
        <w:instrText> </w:instrText>
      </w:r>
      <w:r w:rsidR="00A228B7" w:rsidRPr="00F740D9">
        <w:rPr>
          <w:rFonts w:ascii="Book Antiqua" w:hAnsi="Book Antiqua"/>
          <w:color w:val="000000" w:themeColor="text1"/>
          <w:szCs w:val="24"/>
          <w:vertAlign w:val="superscript"/>
        </w:rPr>
        <w:instrText>0.03), intrahepatic location (HR, 1.8; 95% CI, 1.0-3.2; P</w:instrText>
      </w:r>
      <w:r w:rsidR="00A228B7" w:rsidRPr="00F740D9">
        <w:rPr>
          <w:rFonts w:ascii="Times New Roman" w:eastAsia="MS Mincho" w:hAnsi="Times New Roman" w:cs="Times New Roman"/>
          <w:color w:val="000000" w:themeColor="text1"/>
          <w:szCs w:val="24"/>
          <w:vertAlign w:val="superscript"/>
        </w:rPr>
        <w:instrText> </w:instrText>
      </w:r>
      <w:r w:rsidR="00A228B7" w:rsidRPr="00F740D9">
        <w:rPr>
          <w:rFonts w:ascii="Book Antiqua" w:hAnsi="Book Antiqua"/>
          <w:color w:val="000000" w:themeColor="text1"/>
          <w:szCs w:val="24"/>
          <w:vertAlign w:val="superscript"/>
        </w:rPr>
        <w:instrText>=</w:instrText>
      </w:r>
      <w:r w:rsidR="00A228B7" w:rsidRPr="00F740D9">
        <w:rPr>
          <w:rFonts w:ascii="Times New Roman" w:eastAsia="MS Mincho" w:hAnsi="Times New Roman" w:cs="Times New Roman"/>
          <w:color w:val="000000" w:themeColor="text1"/>
          <w:szCs w:val="24"/>
          <w:vertAlign w:val="superscript"/>
        </w:rPr>
        <w:instrText> </w:instrText>
      </w:r>
      <w:r w:rsidR="00A228B7" w:rsidRPr="00F740D9">
        <w:rPr>
          <w:rFonts w:ascii="Book Antiqua" w:hAnsi="Book Antiqua"/>
          <w:color w:val="000000" w:themeColor="text1"/>
          <w:szCs w:val="24"/>
          <w:vertAlign w:val="superscript"/>
        </w:rPr>
        <w:instrText>0.05), and multifocal recurrence (HR, 1.8; 95% CI, 1.1-3.1; P</w:instrText>
      </w:r>
      <w:r w:rsidR="00A228B7" w:rsidRPr="00F740D9">
        <w:rPr>
          <w:rFonts w:ascii="Times New Roman" w:eastAsia="MS Mincho" w:hAnsi="Times New Roman" w:cs="Times New Roman"/>
          <w:color w:val="000000" w:themeColor="text1"/>
          <w:szCs w:val="24"/>
          <w:vertAlign w:val="superscript"/>
        </w:rPr>
        <w:instrText> </w:instrText>
      </w:r>
      <w:r w:rsidR="00A228B7" w:rsidRPr="00F740D9">
        <w:rPr>
          <w:rFonts w:ascii="Book Antiqua" w:hAnsi="Book Antiqua"/>
          <w:color w:val="000000" w:themeColor="text1"/>
          <w:szCs w:val="24"/>
          <w:vertAlign w:val="superscript"/>
        </w:rPr>
        <w:instrText>=</w:instrText>
      </w:r>
      <w:r w:rsidR="00A228B7" w:rsidRPr="00F740D9">
        <w:rPr>
          <w:rFonts w:ascii="Times New Roman" w:eastAsia="MS Mincho" w:hAnsi="Times New Roman" w:cs="Times New Roman"/>
          <w:color w:val="000000" w:themeColor="text1"/>
          <w:szCs w:val="24"/>
          <w:vertAlign w:val="superscript"/>
        </w:rPr>
        <w:instrText> </w:instrText>
      </w:r>
      <w:r w:rsidR="00A228B7" w:rsidRPr="00F740D9">
        <w:rPr>
          <w:rFonts w:ascii="Book Antiqua" w:hAnsi="Book Antiqua"/>
          <w:color w:val="000000" w:themeColor="text1"/>
          <w:szCs w:val="24"/>
          <w:vertAlign w:val="superscript"/>
        </w:rPr>
        <w:instrText>0.04). The management including surgery (HR, 0.4; 95% CI, 0.2-0.7; P</w:instrText>
      </w:r>
      <w:r w:rsidR="00A228B7" w:rsidRPr="00F740D9">
        <w:rPr>
          <w:rFonts w:ascii="Times New Roman" w:eastAsia="MS Mincho" w:hAnsi="Times New Roman" w:cs="Times New Roman"/>
          <w:color w:val="000000" w:themeColor="text1"/>
          <w:szCs w:val="24"/>
          <w:vertAlign w:val="superscript"/>
        </w:rPr>
        <w:instrText> </w:instrText>
      </w:r>
      <w:r w:rsidR="00A228B7" w:rsidRPr="00F740D9">
        <w:rPr>
          <w:rFonts w:ascii="Book Antiqua" w:hAnsi="Book Antiqua"/>
          <w:color w:val="000000" w:themeColor="text1"/>
          <w:szCs w:val="24"/>
          <w:vertAlign w:val="superscript"/>
        </w:rPr>
        <w:instrText>=</w:instrText>
      </w:r>
      <w:r w:rsidR="00A228B7" w:rsidRPr="00F740D9">
        <w:rPr>
          <w:rFonts w:ascii="Times New Roman" w:eastAsia="MS Mincho" w:hAnsi="Times New Roman" w:cs="Times New Roman"/>
          <w:color w:val="000000" w:themeColor="text1"/>
          <w:szCs w:val="24"/>
          <w:vertAlign w:val="superscript"/>
        </w:rPr>
        <w:instrText> </w:instrText>
      </w:r>
      <w:r w:rsidR="00A228B7" w:rsidRPr="00F740D9">
        <w:rPr>
          <w:rFonts w:ascii="Book Antiqua" w:hAnsi="Book Antiqua"/>
          <w:color w:val="000000" w:themeColor="text1"/>
          <w:szCs w:val="24"/>
          <w:vertAlign w:val="superscript"/>
        </w:rPr>
        <w:instrText>0.004) was identified as an independent favorable factor. In conclusion, recurrence of HCC after LT is associated with a poor prognosis. However, resection is associated with improved survival and should therefore be considered when feasible. Liver Transplantation 23 440-447 2017 AASLD.","author":[{"dropping-particle":"","family":"Fernandez-Sevilla","given":"Elena","non-dropping-particle":"","parse-names":false,"suffix":""},{"dropping-particle":"","family":"Allard","given":"Marc-Antoine","non-dropping-particle":"","parse-names":false,"suffix":""},{"dropping-particle":"","family":"Selten","given":"Jasmijn","non-dropping-particle":"","parse-names":false,"suffix":""},{"dropping-particle":"","family":"Golse","given":"Nicolas","non-dropping-particle":"","parse-names":false,"suffix":""},{"dropping-particle":"","family":"Vibert","given":"Eric","non-dropping-particle":"","parse-names":false,"suffix":""},{"dropping-particle":"","family":"Sa Cunha","given":"Antonio","non-dropping-particle":"","parse-names":false,"suffix":""},{"dropping-particle":"","family":"Cherqui","given":"Daniel","non-dropping-particle":"","parse-names":false,"suffix":""},{"dropping-particle":"","family":"Castaing","given":"Denis","non-dropping-particle":"","parse-names":false,"suffix":""},{"dropping-particle":"","family":"Adam","given":"René","non-dropping-particle":"","parse-names":false,"suffix":""}],"container-title":"Liver Transplantation","id":"ITEM-3","issue":"4","issued":{"date-parts":[["2017","4"]]},"page":"440-447","title":"Recurrence of hepatocellular carcinoma after liver transplantation: Is there a place for resection?","type":"article-journal","volume":"23"},"uris":["http://www.mendeley.com/documents/?uuid=4f134e19-69da-4468-b9a5-e25057f86bc8"]}],"mendeley":{"formattedCitation":"&lt;sup&gt;19–21&lt;/sup&gt;","plainTextFormattedCitation":"19–21","previouslyFormattedCitation":"&lt;sup&gt;19–21&lt;/sup&gt;"},"properties":{"noteIndex":0},"schema":"https://github.com/citation-style-language/schema/raw/master/csl-citation.json"}</w:instrText>
      </w:r>
      <w:r w:rsidR="00425DE2" w:rsidRPr="00F740D9">
        <w:rPr>
          <w:rFonts w:ascii="Book Antiqua" w:hAnsi="Book Antiqua"/>
          <w:color w:val="000000" w:themeColor="text1"/>
          <w:szCs w:val="24"/>
          <w:vertAlign w:val="superscript"/>
        </w:rPr>
        <w:fldChar w:fldCharType="separate"/>
      </w:r>
      <w:r w:rsidR="00A228B7" w:rsidRPr="00F740D9">
        <w:rPr>
          <w:rFonts w:ascii="Book Antiqua" w:hAnsi="Book Antiqua"/>
          <w:noProof/>
          <w:color w:val="000000" w:themeColor="text1"/>
          <w:szCs w:val="24"/>
          <w:vertAlign w:val="superscript"/>
        </w:rPr>
        <w:t>19</w:t>
      </w:r>
      <w:r w:rsidR="005452DB" w:rsidRPr="00F740D9">
        <w:rPr>
          <w:rFonts w:ascii="Book Antiqua" w:hAnsi="Book Antiqua"/>
          <w:noProof/>
          <w:color w:val="000000" w:themeColor="text1"/>
          <w:szCs w:val="24"/>
          <w:vertAlign w:val="superscript"/>
        </w:rPr>
        <w:t>-</w:t>
      </w:r>
      <w:r w:rsidR="00A228B7" w:rsidRPr="00F740D9">
        <w:rPr>
          <w:rFonts w:ascii="Book Antiqua" w:hAnsi="Book Antiqua"/>
          <w:noProof/>
          <w:color w:val="000000" w:themeColor="text1"/>
          <w:szCs w:val="24"/>
          <w:vertAlign w:val="superscript"/>
        </w:rPr>
        <w:t>21</w:t>
      </w:r>
      <w:r w:rsidR="00425DE2" w:rsidRPr="00F740D9">
        <w:rPr>
          <w:rFonts w:ascii="Book Antiqua" w:hAnsi="Book Antiqua"/>
          <w:color w:val="000000" w:themeColor="text1"/>
          <w:szCs w:val="24"/>
          <w:vertAlign w:val="superscript"/>
        </w:rPr>
        <w:fldChar w:fldCharType="end"/>
      </w:r>
      <w:r w:rsidR="005452DB" w:rsidRPr="00F740D9">
        <w:rPr>
          <w:rFonts w:ascii="Book Antiqua" w:hAnsi="Book Antiqua"/>
          <w:color w:val="000000" w:themeColor="text1"/>
          <w:szCs w:val="24"/>
          <w:vertAlign w:val="superscript"/>
        </w:rPr>
        <w:t>]</w:t>
      </w:r>
      <w:r w:rsidR="00ED7DC9" w:rsidRPr="00F740D9">
        <w:rPr>
          <w:rFonts w:ascii="Book Antiqua" w:hAnsi="Book Antiqua"/>
          <w:color w:val="000000" w:themeColor="text1"/>
          <w:szCs w:val="24"/>
        </w:rPr>
        <w:t xml:space="preserve">. </w:t>
      </w:r>
      <w:r w:rsidR="003563FB" w:rsidRPr="00F740D9">
        <w:rPr>
          <w:rFonts w:ascii="Book Antiqua" w:hAnsi="Book Antiqua"/>
          <w:color w:val="000000" w:themeColor="text1"/>
          <w:szCs w:val="24"/>
        </w:rPr>
        <w:t>Not surprisingly</w:t>
      </w:r>
      <w:r w:rsidR="00BC140E">
        <w:rPr>
          <w:rFonts w:ascii="Book Antiqua" w:hAnsi="Book Antiqua"/>
          <w:color w:val="000000" w:themeColor="text1"/>
          <w:szCs w:val="24"/>
        </w:rPr>
        <w:t>,</w:t>
      </w:r>
      <w:r w:rsidR="00963319" w:rsidRPr="00F740D9">
        <w:rPr>
          <w:rFonts w:ascii="Book Antiqua" w:hAnsi="Book Antiqua"/>
          <w:color w:val="000000" w:themeColor="text1"/>
          <w:szCs w:val="24"/>
        </w:rPr>
        <w:t xml:space="preserve"> most studies</w:t>
      </w:r>
      <w:r w:rsidR="006F0B47" w:rsidRPr="00F740D9">
        <w:rPr>
          <w:rFonts w:ascii="Book Antiqua" w:hAnsi="Book Antiqua"/>
          <w:color w:val="000000" w:themeColor="text1"/>
          <w:szCs w:val="24"/>
        </w:rPr>
        <w:t xml:space="preserve"> on mTOR inhibitor</w:t>
      </w:r>
      <w:r w:rsidR="003563FB" w:rsidRPr="00F740D9">
        <w:rPr>
          <w:rFonts w:ascii="Book Antiqua" w:hAnsi="Book Antiqua"/>
          <w:color w:val="000000" w:themeColor="text1"/>
          <w:szCs w:val="24"/>
        </w:rPr>
        <w:t>s</w:t>
      </w:r>
      <w:r w:rsidR="00963319" w:rsidRPr="00F740D9">
        <w:rPr>
          <w:rFonts w:ascii="Book Antiqua" w:hAnsi="Book Antiqua"/>
          <w:color w:val="000000" w:themeColor="text1"/>
          <w:szCs w:val="24"/>
        </w:rPr>
        <w:t xml:space="preserve"> </w:t>
      </w:r>
      <w:r w:rsidR="00BC140E">
        <w:rPr>
          <w:rFonts w:ascii="Book Antiqua" w:hAnsi="Book Antiqua"/>
          <w:color w:val="000000" w:themeColor="text1"/>
          <w:szCs w:val="24"/>
        </w:rPr>
        <w:t xml:space="preserve">have </w:t>
      </w:r>
      <w:r w:rsidR="003760F6" w:rsidRPr="00F740D9">
        <w:rPr>
          <w:rFonts w:ascii="Book Antiqua" w:hAnsi="Book Antiqua"/>
          <w:color w:val="000000" w:themeColor="text1"/>
          <w:szCs w:val="24"/>
        </w:rPr>
        <w:t>focuse</w:t>
      </w:r>
      <w:r w:rsidR="00963319" w:rsidRPr="00F740D9">
        <w:rPr>
          <w:rFonts w:ascii="Book Antiqua" w:hAnsi="Book Antiqua"/>
          <w:color w:val="000000" w:themeColor="text1"/>
          <w:szCs w:val="24"/>
        </w:rPr>
        <w:t>d on prevent</w:t>
      </w:r>
      <w:r w:rsidR="005B4031" w:rsidRPr="00F740D9">
        <w:rPr>
          <w:rFonts w:ascii="Book Antiqua" w:hAnsi="Book Antiqua"/>
          <w:color w:val="000000" w:themeColor="text1"/>
          <w:szCs w:val="24"/>
        </w:rPr>
        <w:t xml:space="preserve">ion </w:t>
      </w:r>
      <w:r w:rsidR="00ED7DC9" w:rsidRPr="00F740D9">
        <w:rPr>
          <w:rFonts w:ascii="Book Antiqua" w:hAnsi="Book Antiqua"/>
          <w:color w:val="000000" w:themeColor="text1"/>
          <w:szCs w:val="24"/>
        </w:rPr>
        <w:t xml:space="preserve">rather than </w:t>
      </w:r>
      <w:r w:rsidR="003563FB" w:rsidRPr="00F740D9">
        <w:rPr>
          <w:rFonts w:ascii="Book Antiqua" w:hAnsi="Book Antiqua"/>
          <w:color w:val="000000" w:themeColor="text1"/>
          <w:szCs w:val="24"/>
        </w:rPr>
        <w:t>control</w:t>
      </w:r>
      <w:r w:rsidR="00ED7DC9" w:rsidRPr="00F740D9">
        <w:rPr>
          <w:rFonts w:ascii="Book Antiqua" w:hAnsi="Book Antiqua"/>
          <w:color w:val="000000" w:themeColor="text1"/>
          <w:szCs w:val="24"/>
        </w:rPr>
        <w:t xml:space="preserve"> of recurrence. The protective effect</w:t>
      </w:r>
      <w:r w:rsidRPr="00F740D9">
        <w:rPr>
          <w:rFonts w:ascii="Book Antiqua" w:hAnsi="Book Antiqua"/>
          <w:color w:val="000000" w:themeColor="text1"/>
          <w:szCs w:val="24"/>
        </w:rPr>
        <w:t>s</w:t>
      </w:r>
      <w:r w:rsidR="00ED7DC9" w:rsidRPr="00F740D9">
        <w:rPr>
          <w:rFonts w:ascii="Book Antiqua" w:hAnsi="Book Antiqua"/>
          <w:color w:val="000000" w:themeColor="text1"/>
          <w:szCs w:val="24"/>
        </w:rPr>
        <w:t xml:space="preserve"> against recurrence ha</w:t>
      </w:r>
      <w:r w:rsidRPr="00F740D9">
        <w:rPr>
          <w:rFonts w:ascii="Book Antiqua" w:hAnsi="Book Antiqua"/>
          <w:color w:val="000000" w:themeColor="text1"/>
          <w:szCs w:val="24"/>
        </w:rPr>
        <w:t>ve</w:t>
      </w:r>
      <w:r w:rsidR="00ED7DC9" w:rsidRPr="00F740D9">
        <w:rPr>
          <w:rFonts w:ascii="Book Antiqua" w:hAnsi="Book Antiqua"/>
          <w:color w:val="000000" w:themeColor="text1"/>
          <w:szCs w:val="24"/>
        </w:rPr>
        <w:t xml:space="preserve"> been illustrated by numerous retrospective</w:t>
      </w:r>
      <w:r w:rsidR="005452DB" w:rsidRPr="00F740D9">
        <w:rPr>
          <w:rFonts w:ascii="Book Antiqua" w:hAnsi="Book Antiqua"/>
          <w:color w:val="000000" w:themeColor="text1"/>
          <w:szCs w:val="24"/>
          <w:vertAlign w:val="superscript"/>
          <w:lang w:eastAsia="zh-CN"/>
        </w:rPr>
        <w:t>[</w:t>
      </w:r>
      <w:r w:rsidR="00ED7DC9" w:rsidRPr="00F740D9">
        <w:rPr>
          <w:rFonts w:ascii="Book Antiqua" w:hAnsi="Book Antiqua"/>
          <w:color w:val="000000" w:themeColor="text1"/>
          <w:szCs w:val="24"/>
          <w:vertAlign w:val="superscript"/>
        </w:rPr>
        <w:fldChar w:fldCharType="begin" w:fldLock="1"/>
      </w:r>
      <w:r w:rsidR="00A228B7" w:rsidRPr="00F740D9">
        <w:rPr>
          <w:rFonts w:ascii="Book Antiqua" w:hAnsi="Book Antiqua"/>
          <w:color w:val="000000" w:themeColor="text1"/>
          <w:szCs w:val="24"/>
          <w:vertAlign w:val="superscript"/>
        </w:rPr>
        <w:instrText>ADDIN CSL_CITATION {"citationItems":[{"id":"ITEM-1","itemData":{"DOI":"10.1111/apt.12185","ISSN":"02692813","abstract":"Background The use of sirolimus (SRL)-based immunosuppression protocols have been reported to reduce recurrence rates following liver transplantation (LT) for hepatocellular carcinoma (HCC), although this is still a matter for debate. Aim To undertake a systematic review and meta-analysis of available literature on the usage of SRL as an immunosuppressive agent following LT for HCC, with a view to comparing cancer outcomes with the commonly used calcineurin inhibitors (CNIs). Methods Systematic review and meta-analysis carried out in line with the Meta-analysis Of Observational Studies in Epidemiology (MOOSE) guidelines. Primary outcomes of interest were tumour recurrence rate and recurrence-free survival (RFS). Secondary outcomes were recurrence-related mortality and overall survival (OS). Results In all, 5 studies met the inclusion criteria (n = 474). The recurrence rate was lower in SRL group (4.9-12.9%) in comparison with CNIs (17.3-38.7%). The 1-, 3- and 5-year RFS was 93-96%, 82-86% and 79-80% for SRL group, which was much better in comparison with the CNIs 70-78%, 64-65% and 54-60% respectively. Similarly, 1-, 3- and 5-year OS was much better for SRL group (94-95%, 85% and 80%) in comparison with CNIs (79-83%, 66% and 59-62%) respectively. Meta-analysis demonstrated lower recurrence (OR = 0.30, 95% CI = 0.16-0.55, P &lt; 0.001), lower recurrence-related mortality (OR = 0.29, 95% CI = 0.12-0.70, P = 0.005) and lower overall mortality (OR = 0.35, 95% CI = 0.20-0.61, P &lt; 0.001) for SRL group. Conclusion The review showed lower recurrence rate, longer recurrence-free survival and overall survival and lower recurrence-related mortality in sirolimus-treated patients in comparison with the calcineurin inhibitor-treated patients following liver transplantation for hepatocellular carcinoma. © 2012 Blackwell Publishing Ltd.","author":[{"dropping-particle":"V.","family":"Menon","given":"K.","non-dropping-particle":"","parse-names":false,"suffix":""},{"dropping-particle":"","family":"Hakeem","given":"A. R.","non-dropping-particle":"","parse-names":false,"suffix":""},{"dropping-particle":"","family":"Heaton","given":"N. D.","non-dropping-particle":"","parse-names":false,"suffix":""}],"container-title":"Alimentary Pharmacology and Therapeutics","id":"ITEM-1","issue":"4","issued":{"date-parts":[["2013","2"]]},"page":"411-419","title":"Meta-analysis: Recurrence and survival following the use of sirolimus in liver transplantation for hepatocellular carcinoma","type":"article-journal","volume":"37"},"uris":["http://www.mendeley.com/documents/?uuid=a97f39a0-777c-3b85-8113-3013b52bae48"]},{"id":"ITEM-2","itemData":{"DOI":"10.1002/lt.22441","ISSN":"15276465","PMID":"21964956","abstract":"Sirolimus (SRL) is a novel immunosuppressant with antitumor properties. We performed a meta-analysis to determine whether SRL can improve patient survival and decrease the risks of tumor recurrence in patients with a pretransplant diagnosis of hepatocellular carcinoma (HCC). We searched databases for controlled clinical trials assessing the survival and oncological benefits of SRL for liver transplant recipients with pretransplant HCC. Five studies with a total of 2950 participants were included in this study. In comparison with SRL-free regimens, SRL-based regimens improved overall survival at 1 [odds ratio (OR) = 4.53, 95% confidence interval (95% CI) = 2.31-8.89], 3 (OR = 1.97, 95% CI = 1.29-3.00), and 5 years (OR = 2.47, 95% CI = 1.72-3.55). The pooled results showed that in comparison with SRL-free regimens, SRL-based regimens decreased tumor recurrence (OR = 0.42, 95% CI = 0.21-0.83). No significant differences in the frequencies of episodes of major posttransplant complications were observed between the groups. In conclusion, SRL is generally safe and prolongs patient survival in liver transplant recipients with pretransplant HCC.","author":[{"dropping-particle":"","family":"Liang","given":"Wenhua","non-dropping-particle":"","parse-names":false,"suffix":""},{"dropping-particle":"","family":"Wang","given":"Dongping","non-dropping-particle":"","parse-names":false,"suffix":""},{"dropping-particle":"","family":"Ling","given":"Xiaoting","non-dropping-particle":"","parse-names":false,"suffix":""},{"dropping-particle":"","family":"Allen Kao","given":"Andrew","non-dropping-particle":"","parse-names":false,"suffix":""},{"dropping-particle":"","family":"Kong","given":"Yuan","non-dropping-particle":"","parse-names":false,"suffix":""},{"dropping-particle":"","family":"Shang","given":"Yushu","non-dropping-particle":"","parse-names":false,"suffix":""},{"dropping-particle":"","family":"Guo","given":"Zhiyong","non-dropping-particle":"","parse-names":false,"suffix":""},{"dropping-particle":"","family":"He","given":"Xiaoshun","non-dropping-particle":"","parse-names":false,"suffix":""}],"container-title":"Liver Transplantation","id":"ITEM-2","issue":"1","issued":{"date-parts":[["2012","1"]]},"page":"62-69","title":"Sirolimus-based immunosuppression in liver transplantation for hepatocellular carcinoma: A meta-analysis","type":"article-journal","volume":"18"},"uris":["http://www.mendeley.com/documents/?uuid=d911277e-d813-3cdf-9b63-d4ac0ed7d4d4"]},{"id":"ITEM-3","itemData":{"DOI":"10.1002/lt.21953","ISSN":"15276465","PMID":"19938137","abstract":"Tumor recurrence after liver transplantation for hepatocellular carcinoma is associated with a poor prognosis. Because immunosuppression is a well-known risk factor for tumor growth, it is surprising that its possible role in the outcome of liver transplantation has been poorly evaluated. We performed a case-control review of prospectively collected data and compared 2 groups of patients according to the type of immunosuppression after liver transplantation for hepatocellular carcinoma at a single center. One hundred six patients received tacrolimus and mycophenolate mofetil, and 121 received sirolimus. Patients in the sirolimus group had significantly higher recurrence-free survival rates than patients in the tacrolimus group (P = 0.0003). The sirolimus group also had significantly higher patient survival rates than the tacrolimus group at 1 year (94% versus 79%), 3 years (85% versus 66%), and 5 years (80% versus 59%; P = 0.001). Sirolimus was well tolerated, and the patients in this study did not have the increase in surgical complications noted by other investigators. Leukopenia was the most common side effect, but it typically resolved with dose reduction. Dyslipidemia and mouth ulcers were common but were easily controlled. In summary, the data suggest a beneficial effect of sirolimus immunosuppression on recurrence-free survival, which translates into patient survival benefits.","author":[{"dropping-particle":"","family":"Chinnakotla","given":"Srinath","non-dropping-particle":"","parse-names":false,"suffix":""},{"dropping-particle":"","family":"Davis","given":"Gary L.","non-dropping-particle":"","parse-names":false,"suffix":""},{"dropping-particle":"","family":"Vasani","given":"Sugam","non-dropping-particle":"","parse-names":false,"suffix":""},{"dropping-particle":"","family":"Kim","given":"Peter","non-dropping-particle":"","parse-names":false,"suffix":""},{"dropping-particle":"","family":"Tomiyama","given":"Koji","non-dropping-particle":"","parse-names":false,"suffix":""},{"dropping-particle":"","family":"Sanchez","given":"Edmund","non-dropping-particle":"","parse-names":false,"suffix":""},{"dropping-particle":"","family":"Onaca","given":"Nicholas","non-dropping-particle":"","parse-names":false,"suffix":""},{"dropping-particle":"","family":"Goldstein","given":"Robert","non-dropping-particle":"","parse-names":false,"suffix":""},{"dropping-particle":"","family":"Levy","given":"Marlon","non-dropping-particle":"","parse-names":false,"suffix":""},{"dropping-particle":"","family":"Klintmalm","given":"GÃ¶ran B.","non-dropping-particle":"","parse-names":false,"suffix":""}],"container-title":"Liver Transplantation","id":"ITEM-3","issue":"12","issued":{"date-parts":[["2009","12"]]},"page":"1834-1842","title":"Impact of sirolimus on the recurrence of hepatocellular carcinoma after liver transplantation","type":"article-journal","volume":"15"},"uris":["http://www.mendeley.com/documents/?uuid=50c9f438-5b66-3b52-8550-1ea10ccf0fa6"]},{"id":"ITEM-4","itemData":{"DOI":"10.1002/hep.23437","ISSN":"02709139","PMID":"20187107","abstract":"UNLABELLED Liver transplantation is an important treatment option for selected patients with nonresectable hepatocellular carcinoma (HCC). Several reports have suggested a lower risk of posttransplant tumor recurrence with the use of sirolimus and a higher one with calcineurin inhibitors, but the selection of an ideal immunosuppression protocol is still a matter of debate. The aim of this study was to define the immunosuppression associated with the best survival after liver transplantation for HCC. It was based on the Scientific Registry of Transplant Recipients and included 2,491 adult recipients of isolated liver transplantation for HCC and 12,167 for non-HCC diagnoses between March 2002 and March 2009. All patients remained on stable maintenance immunosuppression protocols for at least 6 months posttransplant. In a multivariate analysis, only anti-CD25 antibody induction and sirolimus-based maintenance therapy were associated with improved survivals after transplantation for HCC (hazard ratio [HR] 0.64, 95% confidence interval [CI]: 0.45-0.9, P &lt; or = 0.01; HR 0.53, 95% CI: 0.31-0.92, P &lt; or = 0.05, respectively). The other studied drugs, including calcineurin inhibitors, did not demonstrate a significant impact. In an effort to understand whether the observed effects were due to a direct impact of the drug on tumor or more on liver transplant in general, we conducted a similar analysis on non-HCC patients. Although anti-CD25 induction was again associated with a trend toward improved survival, sirolimus showed a trend toward lower rates of survival in non-HCC recipients, confirming the specificity of its beneficial impact to cancer patients. CONCLUSION According to these data, sirolimus-based immunosuppression has unique posttransplant effects on HCC patients that lead to improved survival.","author":[{"dropping-particle":"","family":"Toso","given":"Christian","non-dropping-particle":"","parse-names":false,"suffix":""},{"dropping-particle":"","family":"Merani","given":"Shaheed","non-dropping-particle":"","parse-names":false,"suffix":""},{"dropping-particle":"","family":"Bigam","given":"David L.","non-dropping-particle":"","parse-names":false,"suffix":""},{"dropping-particle":"","family":"Shapiro","given":"A.M. James","non-dropping-particle":"","parse-names":false,"suffix":""},{"dropping-particle":"","family":"Kneteman","given":"Norman M.","non-dropping-particle":"","parse-names":false,"suffix":""}],"container-title":"Hepatology","id":"ITEM-4","issue":"4","issued":{"date-parts":[["2010","4"]]},"page":"1237-1243","title":"Sirolimus-based immunosuppression is associated with increased survival after liver transplantation for hepatocellular carcinoma","type":"article-journal","volume":"51"},"uris":["http://www.mendeley.com/documents/?uuid=fc438ce5-38ea-35a2-bdc3-1bc294d8d0f4"]},{"id":"ITEM-5","itemData":{"DOI":"10.1097/TP.0b013e318215e72b","ISSN":"00411337","abstract":"Effects of immunosuppressive drug on tumor development in transplantation are understudied. Tumors are especially concerning when liver transplantation recipients have a pretransplant hepatocellular carcinoma (HCC). Because immunosuppressive drugs likely influence HCC recurrence, with mammalian target of rapamycin inhibitors showing antineoplastic properties especially experimentally, we sought for practical medical guidance from published clinical studies. Although the current literature review revealed 14 studies regarding immunosuppression in this context, suggesting antitumor effects for mammalian target of rapamycin inhibitors, the quality of evidence is low. Therefore, randomized controlled trials investigating effects of immunosuppression on HCC recurrence in liver transplantation are lacking, exposing a gap between basic science knowledge and clinical evidence. © 2011 by Lippincott Williams &amp; Wilkins.","author":[{"dropping-particle":"","family":"Schnitzbauer","given":"Andreas A.","non-dropping-particle":"","parse-names":false,"suffix":""},{"dropping-particle":"","family":"Schlitt","given":"Hans J.","non-dropping-particle":"","parse-names":false,"suffix":""},{"dropping-particle":"","family":"Geissler","given":"Edward K.","non-dropping-particle":"","parse-names":false,"suffix":""}],"container-title":"Transplantation","id":"ITEM-5","issue":"11","issued":{"date-parts":[["2011","6","15"]]},"page":"1173-1176","title":"Influence of immunosuppressive drugs on the recurrence of hepatocellular carcinoma after liver transplantation: A gap between basic science and clinical evidence","type":"article","volume":"91"},"uris":["http://www.mendeley.com/documents/?uuid=c1b70ac4-3b64-3b61-8e06-f45649e9528c"]}],"mendeley":{"formattedCitation":"&lt;sup&gt;6–10&lt;/sup&gt;","plainTextFormattedCitation":"6–10","previouslyFormattedCitation":"&lt;sup&gt;6–10&lt;/sup&gt;"},"properties":{"noteIndex":0},"schema":"https://github.com/citation-style-language/schema/raw/master/csl-citation.json"}</w:instrText>
      </w:r>
      <w:r w:rsidR="00ED7DC9" w:rsidRPr="00F740D9">
        <w:rPr>
          <w:rFonts w:ascii="Book Antiqua" w:hAnsi="Book Antiqua"/>
          <w:color w:val="000000" w:themeColor="text1"/>
          <w:szCs w:val="24"/>
          <w:vertAlign w:val="superscript"/>
        </w:rPr>
        <w:fldChar w:fldCharType="separate"/>
      </w:r>
      <w:r w:rsidR="00A228B7" w:rsidRPr="00F740D9">
        <w:rPr>
          <w:rFonts w:ascii="Book Antiqua" w:hAnsi="Book Antiqua"/>
          <w:noProof/>
          <w:color w:val="000000" w:themeColor="text1"/>
          <w:szCs w:val="24"/>
          <w:vertAlign w:val="superscript"/>
        </w:rPr>
        <w:t>6</w:t>
      </w:r>
      <w:r w:rsidR="005452DB" w:rsidRPr="00F740D9">
        <w:rPr>
          <w:rFonts w:ascii="Book Antiqua" w:hAnsi="Book Antiqua"/>
          <w:noProof/>
          <w:color w:val="000000" w:themeColor="text1"/>
          <w:szCs w:val="24"/>
          <w:vertAlign w:val="superscript"/>
        </w:rPr>
        <w:t>-</w:t>
      </w:r>
      <w:r w:rsidR="00A228B7" w:rsidRPr="00F740D9">
        <w:rPr>
          <w:rFonts w:ascii="Book Antiqua" w:hAnsi="Book Antiqua"/>
          <w:noProof/>
          <w:color w:val="000000" w:themeColor="text1"/>
          <w:szCs w:val="24"/>
          <w:vertAlign w:val="superscript"/>
        </w:rPr>
        <w:t>10</w:t>
      </w:r>
      <w:r w:rsidR="00ED7DC9" w:rsidRPr="00F740D9">
        <w:rPr>
          <w:rFonts w:ascii="Book Antiqua" w:hAnsi="Book Antiqua"/>
          <w:color w:val="000000" w:themeColor="text1"/>
          <w:szCs w:val="24"/>
          <w:vertAlign w:val="superscript"/>
        </w:rPr>
        <w:fldChar w:fldCharType="end"/>
      </w:r>
      <w:r w:rsidR="005452DB" w:rsidRPr="00F740D9">
        <w:rPr>
          <w:rFonts w:ascii="Book Antiqua" w:hAnsi="Book Antiqua"/>
          <w:color w:val="000000" w:themeColor="text1"/>
          <w:szCs w:val="24"/>
          <w:vertAlign w:val="superscript"/>
        </w:rPr>
        <w:t>]</w:t>
      </w:r>
      <w:r w:rsidR="00ED7DC9" w:rsidRPr="00F740D9">
        <w:rPr>
          <w:rFonts w:ascii="Book Antiqua" w:hAnsi="Book Antiqua"/>
          <w:color w:val="000000" w:themeColor="text1"/>
          <w:szCs w:val="24"/>
        </w:rPr>
        <w:t xml:space="preserve"> and prospective stud</w:t>
      </w:r>
      <w:r w:rsidR="00AF42D6" w:rsidRPr="00F740D9">
        <w:rPr>
          <w:rFonts w:ascii="Book Antiqua" w:hAnsi="Book Antiqua"/>
          <w:color w:val="000000" w:themeColor="text1"/>
          <w:szCs w:val="24"/>
        </w:rPr>
        <w:t>ies</w:t>
      </w:r>
      <w:r w:rsidR="005452DB" w:rsidRPr="00F740D9">
        <w:rPr>
          <w:rFonts w:ascii="Book Antiqua" w:hAnsi="Book Antiqua"/>
          <w:color w:val="000000" w:themeColor="text1"/>
          <w:szCs w:val="24"/>
          <w:vertAlign w:val="superscript"/>
        </w:rPr>
        <w:t>[</w:t>
      </w:r>
      <w:r w:rsidR="00AF42D6" w:rsidRPr="00F740D9">
        <w:rPr>
          <w:rFonts w:ascii="Book Antiqua" w:hAnsi="Book Antiqua"/>
          <w:color w:val="000000" w:themeColor="text1"/>
          <w:szCs w:val="24"/>
          <w:vertAlign w:val="superscript"/>
        </w:rPr>
        <w:fldChar w:fldCharType="begin" w:fldLock="1"/>
      </w:r>
      <w:r w:rsidR="00A228B7" w:rsidRPr="00F740D9">
        <w:rPr>
          <w:rFonts w:ascii="Book Antiqua" w:hAnsi="Book Antiqua"/>
          <w:color w:val="000000" w:themeColor="text1"/>
          <w:szCs w:val="24"/>
          <w:vertAlign w:val="superscript"/>
        </w:rPr>
        <w:instrText>ADDIN CSL_CITATION {"citationItems":[{"id":"ITEM-1","itemData":{"DOI":"10.1186/1471-2407-10-190","ISSN":"14712407","abstract":"Background: The potential anti-cancer effects of mammalian target of rapamycin (mTOR) inhibitors are being intensively studied. To date, however, few randomised clinical trials (RCT) have been performed to demonstrate anti-neoplastic effects in the pure oncology setting, and at present, no oncology endpoint-directed RCT has been reported in the high-malignancy risk population of immunosuppressed transplant recipients. Interestingly, since mTOR inhibitors have both immunosuppressive and anti-cancer effects, they have the potential to simultaneously protect against immunologic graft loss and tumour development. Therefore, we designed a prospective RCT to determine if the mTOR inhibitor sirolimus can improve hepatocellular carcinoma (HCC)-free patient survival in liver transplant (LT) recipients with a pre-transplant diagnosis of HCC.Methods/Design: The study is an open-labelled, randomised, RCT comparing sirolimus-containing versus mTOR-inhibitor-free immunosuppression in patients undergoing LT for HCC. Patients with a histologically confirmed HCC diagnosis are randomised into 2 groups within 4-6 weeks after LT; one arm is maintained on a centre-specific mTOR-inhibitor-free immunosuppressive protocol and the second arm is maintained on a centre-specific mTOR-inhibitor-free immunosuppressive protocol for the first 4-6 weeks, at which time sirolimus is initiated. A 21/2 -year recruitment phase is planned with a 5-year follow-up, testing HCC-free survival as the primary endpoint. Our hypothesis is that sirolimus use in the second arm of the study will improve HCC-free survival. The study is a non-commercial investigator-initiated trial (IIT) sponsored by the University Hospital Regensburg and is endorsed by the European Liver and Intestine Transplant Association; 13 countries within Europe, Canada and Australia are participating.Discussion: If our hypothesis is correct that mTOR inhibition can reduce HCC tumour growth while simultaneously providing immunosuppression to protect the liver allograft from rejection, patients should experience less post-transplant problems with HCC recurrence, and therefore could expect a longer and better quality of life. A positive outcome will likely change the standard of posttransplant immunosuppressive care for LT patients with HCC. © 2010 Schnitzbauer et al; licensee BioMed Central Ltd.","author":[{"dropping-particle":"","family":"Schnitzbauer","given":"Andreas A.","non-dropping-particle":"","parse-names":false,"suffix":""},{"dropping-particle":"","family":"Zuelke","given":"Carl","non-dropping-particle":"","parse-names":false,"suffix":""},{"dropping-particle":"","family":"Graeb","given":"Christian","non-dropping-particle":"","parse-names":false,"suffix":""},{"dropping-particle":"","family":"Rochon","given":"Justine","non-dropping-particle":"","parse-names":false,"suffix":""},{"dropping-particle":"","family":"Bilbao","given":"Itxarone","non-dropping-particle":"","parse-names":false,"suffix":""},{"dropping-particle":"","family":"Burra","given":"Patrizia","non-dropping-particle":"","parse-names":false,"suffix":""},{"dropping-particle":"","family":"Jong","given":"Koert P.","non-dropping-particle":"de","parse-names":false,"suffix":""},{"dropping-particle":"","family":"Duvoux","given":"Christophe","non-dropping-particle":"","parse-names":false,"suffix":""},{"dropping-particle":"","family":"Kneteman","given":"Norman M.","non-dropping-particle":"","parse-names":false,"suffix":""},{"dropping-particle":"","family":"Adam","given":"Rene","non-dropping-particle":"","parse-names":false,"suffix":""},{"dropping-particle":"","family":"Bechstein","given":"Wolf O.","non-dropping-particle":"","parse-names":false,"suffix":""},{"dropping-particle":"","family":"Becker","given":"Thomas","non-dropping-particle":"","parse-names":false,"suffix":""},{"dropping-particle":"","family":"Beckebaum","given":"Susanne","non-dropping-particle":"","parse-names":false,"suffix":""},{"dropping-particle":"","family":"Chazouillères","given":"Olivier","non-dropping-particle":"","parse-names":false,"suffix":""},{"dropping-particle":"","family":"Cillo","given":"Umberto","non-dropping-particle":"","parse-names":false,"suffix":""},{"dropping-particle":"","family":"Colledan","given":"Michele","non-dropping-particle":"","parse-names":false,"suffix":""},{"dropping-particle":"","family":"Fändrich","given":"Fred","non-dropping-particle":"","parse-names":false,"suffix":""},{"dropping-particle":"","family":"Gugenheim","given":"Jean","non-dropping-particle":"","parse-names":false,"suffix":""},{"dropping-particle":"","family":"Hauss","given":"Johann P.","non-dropping-particle":"","parse-names":false,"suffix":""},{"dropping-particle":"","family":"Heise","given":"Michael","non-dropping-particle":"","parse-names":false,"suffix":""},{"dropping-particle":"","family":"Hidalgo","given":"Ernest","non-dropping-particle":"","parse-names":false,"suffix":""},{"dropping-particle":"","family":"Jamieson","given":"Neville","non-dropping-particle":"","parse-names":false,"suffix":""},{"dropping-particle":"","family":"Königsrainer","given":"Alfred","non-dropping-particle":"","parse-names":false,"suffix":""},{"dropping-particle":"","family":"Lamby","given":"Philipp E.","non-dropping-particle":"","parse-names":false,"suffix":""},{"dropping-particle":"","family":"Lerut","given":"Jan P.","non-dropping-particle":"","parse-names":false,"suffix":""},{"dropping-particle":"","family":"Mäkisalo","given":"Heikki","non-dropping-particle":"","parse-names":false,"suffix":""},{"dropping-particle":"","family":"Margreiter","given":"Raimund","non-dropping-particle":"","parse-names":false,"suffix":""},{"dropping-particle":"","family":"Mazzaferro","given":"Vincenzo","non-dropping-particle":"","parse-names":false,"suffix":""},{"dropping-particle":"","family":"Mutzbauer","given":"Ingrid","non-dropping-particle":"","parse-names":false,"suffix":""},{"dropping-particle":"","family":"Otto","given":"Gerd","non-dropping-particle":"","parse-names":false,"suffix":""},{"dropping-particle":"","family":"Pageaux","given":"Georges Philippe","non-dropping-particle":"","parse-names":false,"suffix":""},{"dropping-particle":"","family":"Pinna","given":"Antonio D.","non-dropping-particle":"","parse-names":false,"suffix":""},{"dropping-particle":"","family":"Pirenne","given":"Jacques","non-dropping-particle":"","parse-names":false,"suffix":""},{"dropping-particle":"","family":"Rizell","given":"Magnus","non-dropping-particle":"","parse-names":false,"suffix":""},{"dropping-particle":"","family":"Rossi","given":"Giorgio","non-dropping-particle":"","parse-names":false,"suffix":""},{"dropping-particle":"","family":"Rostaing","given":"Lionel","non-dropping-particle":"","parse-names":false,"suffix":""},{"dropping-particle":"","family":"Roy","given":"Andre","non-dropping-particle":"","parse-names":false,"suffix":""},{"dropping-particle":"","family":"Turrion","given":"Victor S.","non-dropping-particle":"","parse-names":false,"suffix":""},{"dropping-particle":"","family":"Schmidt","given":"Jan","non-dropping-particle":"","parse-names":false,"suffix":""},{"dropping-particle":"","family":"Troisi","given":"Roberto I.","non-dropping-particle":"","parse-names":false,"suffix":""},{"dropping-particle":"","family":"Hoek","given":"Bart","non-dropping-particle":"van","parse-names":false,"suffix":""},{"dropping-particle":"","family":"Valente","given":"Umberto","non-dropping-particle":"","parse-names":false,"suffix":""},{"dropping-particle":"","family":"Wolf","given":"Philippe","non-dropping-particle":"","parse-names":false,"suffix":""},{"dropping-particle":"","family":"Wolters","given":"Heiner","non-dropping-particle":"","parse-names":false,"suffix":""},{"dropping-particle":"","family":"Mirza","given":"Darius F.","non-dropping-particle":"","parse-names":false,"suffix":""},{"dropping-particle":"","family":"Scholz","given":"Tim","non-dropping-particle":"","parse-names":false,"suffix":""},{"dropping-particle":"","family":"Steininger","given":"Rudolf","non-dropping-particle":"","parse-names":false,"suffix":""},{"dropping-particle":"","family":"Soderdahl","given":"Gunnar","non-dropping-particle":"","parse-names":false,"suffix":""},{"dropping-particle":"","family":"Strasser","given":"Simone I.","non-dropping-particle":"","parse-names":false,"suffix":""},{"dropping-particle":"","family":"Jauch","given":"Karl Walter","non-dropping-particle":"","parse-names":false,"suffix":""},{"dropping-particle":"","family":"Neuhaus","given":"Peter","non-dropping-particle":"","parse-names":false,"suffix":""},{"dropping-particle":"","family":"Schlitt","given":"Hans J.","non-dropping-particle":"","parse-names":false,"suffix":""},{"dropping-particle":"","family":"Geissler","given":"Edward K.","non-dropping-particle":"","parse-names":false,"suffix":""}],"container-title":"BMC Cancer","id":"ITEM-1","issued":{"date-parts":[["2010","5","11"]]},"title":"A prospective randomised, open-labeled, trial comparing sirolimus-containing versus mTOR-inhibitor-free immunosuppression in patients undergoing liver transplantation for hepatocellular carcinoma","type":"article-journal","volume":"10"},"uris":["http://www.mendeley.com/documents/?uuid=530f9a7e-0c23-3273-bb76-f0df86311a03"]},{"id":"ITEM-2","itemData":{"DOI":"10.1097/TP.0000000000000965","ISSN":"1534-6080","PMID":"26555945","abstract":"BACKGROUND We investigated whether sirolimus-based immunosuppression improves outcomes in liver transplantation (LTx) candidates with hepatocellular carcinoma (HCC). METHODS In a prospective-randomized open-label international trial, 525 LTx recipients with HCC initially receiving mammalian target of rapamycin inhibitor-free immunosuppression were randomized 4 to 6 weeks after transplantation into a group on mammalian target of rapamycin inhibitor-free immunosuppression (group A: 264 patients) or a group incorporating sirolimus (group B: 261). The primary endpoint was recurrence-free survival (RFS); intention-to-treat (ITT) analysis was conducted after 8 years. Overall survival (OS) was a secondary endpoint. RESULTS Recurrence-free survival was 64.5% in group A and 70.2% in group B at study end, this difference was not significant (P = 0.28; hazard ratio [HR], 0.84; 95% confidence interval [95% CI], 0.62; 1.15). In a planned analysis of RFS rates at yearly intervals, group B showed better outcomes 3 years after transplantation (HR, 0.7; 95% CI, 0.48-1.00). Similarly, OS (P = 0.21; HR, 0.81; 95% CI, 0.58-1.13) was not statistically better in group B at study end, but yearly analyses showed improvement out to 5 years (HR, 0.7; 95% CI, 0.49-1.00). Interestingly, subgroup (Milan Criteria-based) analyses revealed that low-risk, rather than high-risk, patients benefited most from sirolimus; furthermore, younger recipients (age ≤60) also benefited, as well sirolimus monotherapy patients. Serious adverse event numbers were alike in groups A (860) and B (874). CONCLUSIONS Sirolimus in LTx recipients with HCC does not improve long-term RFS beyond 5 years. However, a RFS and OS benefit is evident in the first 3 to 5 years, especially in low-risk patients. This trial provides the first high-level evidence base for selecting immunosuppression in LTx recipients with HCC.","author":[{"dropping-particle":"","family":"Geissler","given":"Edward K","non-dropping-particle":"","parse-names":false,"suffix":""},{"dropping-particle":"","family":"Schnitzbauer","given":"Andreas A","non-dropping-particle":"","parse-names":false,"suffix":""},{"dropping-particle":"","family":"Zülke","given":"Carl","non-dropping-particle":"","parse-names":false,"suffix":""},{"dropping-particle":"","family":"Lamby","given":"Philipp E","non-dropping-particle":"","parse-names":false,"suffix":""},{"dropping-particle":"","family":"Proneth","given":"Andrea","non-dropping-particle":"","parse-names":false,"suffix":""},{"dropping-particle":"","family":"Duvoux","given":"Christophe","non-dropping-particle":"","parse-names":false,"suffix":""},{"dropping-particle":"","family":"Burra","given":"Patrizia","non-dropping-particle":"","parse-names":false,"suffix":""},{"dropping-particle":"","family":"Jauch","given":"Karl-Walter","non-dropping-particle":"","parse-names":false,"suffix":""},{"dropping-particle":"","family":"Rentsch","given":"Markus","non-dropping-particle":"","parse-names":false,"suffix":""},{"dropping-particle":"","family":"Ganten","given":"Tom M","non-dropping-particle":"","parse-names":false,"suffix":""},{"dropping-particle":"","family":"Schmidt","given":"Jan","non-dropping-particle":"","parse-names":false,"suffix":""},{"dropping-particle":"","family":"Settmacher","given":"Utz","non-dropping-particle":"","parse-names":false,"suffix":""},{"dropping-particle":"","family":"Heise","given":"Michael","non-dropping-particle":"","parse-names":false,"suffix":""},{"dropping-particle":"","family":"Rossi","given":"Giorgio","non-dropping-particle":"","parse-names":false,"suffix":""},{"dropping-particle":"","family":"Cillo","given":"Umberto","non-dropping-particle":"","parse-names":false,"suffix":""},{"dropping-particle":"","family":"Kneteman","given":"Norman","non-dropping-particle":"","parse-names":false,"suffix":""},{"dropping-particle":"","family":"Adam","given":"René","non-dropping-particle":"","parse-names":false,"suffix":""},{"dropping-particle":"","family":"Hoek","given":"Bart","non-dropping-particle":"van","parse-names":false,"suffix":""},{"dropping-particle":"","family":"Bachellier","given":"Philippe","non-dropping-particle":"","parse-names":false,"suffix":""},{"dropping-particle":"","family":"Wolf","given":"Philippe","non-dropping-particle":"","parse-names":false,"suffix":""},{"dropping-particle":"","family":"Rostaing","given":"Lionel","non-dropping-particle":"","parse-names":false,"suffix":""},{"dropping-particle":"","family":"Bechstein","given":"Wolf O","non-dropping-particle":"","parse-names":false,"suffix":""},{"dropping-particle":"","family":"Rizell","given":"Magnus","non-dropping-particle":"","parse-names":false,"suffix":""},{"dropping-particle":"","family":"Powell","given":"James","non-dropping-particle":"","parse-names":false,"suffix":""},{"dropping-particle":"","family":"Hidalgo","given":"Ernest","non-dropping-particle":"","parse-names":false,"suffix":""},{"dropping-particle":"","family":"Gugenheim","given":"Jean","non-dropping-particle":"","parse-names":false,"suffix":""},{"dropping-particle":"","family":"Wolters","given":"Heiner","non-dropping-particle":"","parse-names":false,"suffix":""},{"dropping-particle":"","family":"Brockmann","given":"Jens","non-dropping-particle":"","parse-names":false,"suffix":""},{"dropping-particle":"","family":"Roy","given":"André","non-dropping-particle":"","parse-names":false,"suffix":""},{"dropping-particle":"","family":"Mutzbauer","given":"Ingrid","non-dropping-particle":"","parse-names":false,"suffix":""},{"dropping-particle":"","family":"Schlitt","given":"Angela","non-dropping-particle":"","parse-names":false,"suffix":""},{"dropping-particle":"","family":"Beckebaum","given":"Susanne","non-dropping-particle":"","parse-names":false,"suffix":""},{"dropping-particle":"","family":"Graeb","given":"Christian","non-dropping-particle":"","parse-names":false,"suffix":""},{"dropping-particle":"","family":"Nadalin","given":"Silvio","non-dropping-particle":"","parse-names":false,"suffix":""},{"dropping-particle":"","family":"Valente","given":"Umberto","non-dropping-particle":"","parse-names":false,"suffix":""},{"dropping-particle":"","family":"Turrión","given":"Victor Sánchez","non-dropping-particle":"","parse-names":false,"suffix":""},{"dropping-particle":"","family":"Jamieson","given":"Neville","non-dropping-particle":"","parse-names":false,"suffix":""},{"dropping-particle":"","family":"Scholz","given":"Tim","non-dropping-particle":"","parse-names":false,"suffix":""},{"dropping-particle":"","family":"Colledan","given":"Michele","non-dropping-particle":"","parse-names":false,"suffix":""},{"dropping-particle":"","family":"Fändrich","given":"Fred","non-dropping-particle":"","parse-names":false,"suffix":""},{"dropping-particle":"","family":"Becker","given":"Thomas","non-dropping-particle":"","parse-names":false,"suffix":""},{"dropping-particle":"","family":"Söderdahl","given":"Gunnar","non-dropping-particle":"","parse-names":false,"suffix":""},{"dropping-particle":"","family":"Chazouillères","given":"Olivier","non-dropping-particle":"","parse-names":false,"suffix":""},{"dropping-particle":"","family":"Mäkisalo","given":"Heikki","non-dropping-particle":"","parse-names":false,"suffix":""},{"dropping-particle":"","family":"Pageaux","given":"Georges-Philippe","non-dropping-particle":"","parse-names":false,"suffix":""},{"dropping-particle":"","family":"Steininger","given":"Rudolf","non-dropping-particle":"","parse-names":false,"suffix":""},{"dropping-particle":"","family":"Soliman","given":"Thomas","non-dropping-particle":"","parse-names":false,"suffix":""},{"dropping-particle":"","family":"Jong","given":"Koert P","non-dropping-particle":"de","parse-names":false,"suffix":""},{"dropping-particle":"","family":"Pirenne","given":"Jacques","non-dropping-particle":"","parse-names":false,"suffix":""},{"dropping-particle":"","family":"Margreiter","given":"Raimund","non-dropping-particle":"","parse-names":false,"suffix":""},{"dropping-particle":"","family":"Pratschke","given":"Johann","non-dropping-particle":"","parse-names":false,"suffix":""},{"dropping-particle":"","family":"Pinna","given":"Antonio D","non-dropping-particle":"","parse-names":false,"suffix":""},{"dropping-particle":"","family":"Hauss","given":"Johann","non-dropping-particle":"","parse-names":false,"suffix":""},{"dropping-particle":"","family":"Schreiber","given":"Stefan","non-dropping-particle":"","parse-names":false,"suffix":""},{"dropping-particle":"","family":"Strasser","given":"Simone","non-dropping-particle":"","parse-names":false,"suffix":""},{"dropping-particle":"","family":"Klempnauer","given":"Jürgen","non-dropping-particle":"","parse-names":false,"suffix":""},{"dropping-particle":"","family":"Troisi","given":"Roberto I","non-dropping-particle":"","parse-names":false,"suffix":""},{"dropping-particle":"","family":"Bhoori","given":"Sherrie","non-dropping-particle":"","parse-names":false,"suffix":""},{"dropping-particle":"","family":"Lerut","given":"Jan","non-dropping-particle":"","parse-names":false,"suffix":""},{"dropping-particle":"","family":"Bilbao","given":"Itxarone","non-dropping-particle":"","parse-names":false,"suffix":""},{"dropping-particle":"","family":"Klein","given":"Christian G","non-dropping-particle":"","parse-names":false,"suffix":""},{"dropping-particle":"","family":"Königsrainer","given":"Alfred","non-dropping-particle":"","parse-names":false,"suffix":""},{"dropping-particle":"","family":"Mirza","given":"Darius F","non-dropping-particle":"","parse-names":false,"suffix":""},{"dropping-particle":"","family":"Otto","given":"Gerd","non-dropping-particle":"","parse-names":false,"suffix":""},{"dropping-particle":"","family":"Mazzaferro","given":"Vincenzo","non-dropping-particle":"","parse-names":false,"suffix":""},{"dropping-particle":"","family":"Neuhaus","given":"Peter","non-dropping-particle":"","parse-names":false,"suffix":""},{"dropping-particle":"","family":"Schlitt","given":"Hans J","non-dropping-particle":"","parse-names":false,"suffix":""}],"container-title":"Transplantation","id":"ITEM-2","issue":"1","issued":{"date-parts":[["2016","1"]]},"page":"116-25","publisher":"Wolters Kluwer Health","title":"Sirolimus Use in Liver Transplant Recipients With Hepatocellular Carcinoma: A Randomized, Multicenter, Open-Label Phase 3 Trial.","type":"article-journal","volume":"100"},"uris":["http://www.mendeley.com/documents/?uuid=b5222628-9a44-3cf6-a6ac-e6f0e41c6a26"]}],"mendeley":{"formattedCitation":"&lt;sup&gt;11,12&lt;/sup&gt;","plainTextFormattedCitation":"11,12","previouslyFormattedCitation":"&lt;sup&gt;11,12&lt;/sup&gt;"},"properties":{"noteIndex":0},"schema":"https://github.com/citation-style-language/schema/raw/master/csl-citation.json"}</w:instrText>
      </w:r>
      <w:r w:rsidR="00AF42D6" w:rsidRPr="00F740D9">
        <w:rPr>
          <w:rFonts w:ascii="Book Antiqua" w:hAnsi="Book Antiqua"/>
          <w:color w:val="000000" w:themeColor="text1"/>
          <w:szCs w:val="24"/>
          <w:vertAlign w:val="superscript"/>
        </w:rPr>
        <w:fldChar w:fldCharType="separate"/>
      </w:r>
      <w:r w:rsidR="00A228B7" w:rsidRPr="00F740D9">
        <w:rPr>
          <w:rFonts w:ascii="Book Antiqua" w:hAnsi="Book Antiqua"/>
          <w:noProof/>
          <w:color w:val="000000" w:themeColor="text1"/>
          <w:szCs w:val="24"/>
          <w:vertAlign w:val="superscript"/>
        </w:rPr>
        <w:t>11,12</w:t>
      </w:r>
      <w:r w:rsidR="00AF42D6" w:rsidRPr="00F740D9">
        <w:rPr>
          <w:rFonts w:ascii="Book Antiqua" w:hAnsi="Book Antiqua"/>
          <w:color w:val="000000" w:themeColor="text1"/>
          <w:szCs w:val="24"/>
          <w:vertAlign w:val="superscript"/>
        </w:rPr>
        <w:fldChar w:fldCharType="end"/>
      </w:r>
      <w:r w:rsidR="005452DB" w:rsidRPr="00F740D9">
        <w:rPr>
          <w:rFonts w:ascii="Book Antiqua" w:hAnsi="Book Antiqua"/>
          <w:color w:val="000000" w:themeColor="text1"/>
          <w:szCs w:val="24"/>
          <w:vertAlign w:val="superscript"/>
        </w:rPr>
        <w:t>]</w:t>
      </w:r>
      <w:r w:rsidR="00ED7DC9" w:rsidRPr="00F740D9">
        <w:rPr>
          <w:rFonts w:ascii="Book Antiqua" w:hAnsi="Book Antiqua"/>
          <w:color w:val="000000" w:themeColor="text1"/>
          <w:szCs w:val="24"/>
        </w:rPr>
        <w:t xml:space="preserve">. </w:t>
      </w:r>
      <w:r w:rsidRPr="00F740D9">
        <w:rPr>
          <w:rFonts w:ascii="Book Antiqua" w:hAnsi="Book Antiqua"/>
          <w:color w:val="000000" w:themeColor="text1"/>
          <w:szCs w:val="24"/>
        </w:rPr>
        <w:t>Interestingly,</w:t>
      </w:r>
      <w:r w:rsidR="005B4031" w:rsidRPr="00F740D9">
        <w:rPr>
          <w:rFonts w:ascii="Book Antiqua" w:hAnsi="Book Antiqua"/>
          <w:color w:val="000000" w:themeColor="text1"/>
          <w:szCs w:val="24"/>
        </w:rPr>
        <w:t xml:space="preserve"> Geissler </w:t>
      </w:r>
      <w:r w:rsidR="005B4031" w:rsidRPr="00F740D9">
        <w:rPr>
          <w:rFonts w:ascii="Book Antiqua" w:hAnsi="Book Antiqua"/>
          <w:i/>
          <w:iCs/>
          <w:color w:val="000000" w:themeColor="text1"/>
          <w:szCs w:val="24"/>
        </w:rPr>
        <w:t>et al</w:t>
      </w:r>
      <w:r w:rsidR="005452DB" w:rsidRPr="00F740D9">
        <w:rPr>
          <w:rFonts w:ascii="Book Antiqua" w:hAnsi="Book Antiqua"/>
          <w:color w:val="000000" w:themeColor="text1"/>
          <w:szCs w:val="24"/>
          <w:vertAlign w:val="superscript"/>
        </w:rPr>
        <w:t>[12]</w:t>
      </w:r>
      <w:r w:rsidR="005B4031" w:rsidRPr="00F740D9">
        <w:rPr>
          <w:rFonts w:ascii="Book Antiqua" w:hAnsi="Book Antiqua"/>
          <w:color w:val="000000" w:themeColor="text1"/>
          <w:szCs w:val="24"/>
        </w:rPr>
        <w:t xml:space="preserve"> pointed out </w:t>
      </w:r>
      <w:r w:rsidRPr="00F740D9">
        <w:rPr>
          <w:rFonts w:ascii="Book Antiqua" w:hAnsi="Book Antiqua"/>
          <w:color w:val="000000" w:themeColor="text1"/>
          <w:szCs w:val="24"/>
        </w:rPr>
        <w:t xml:space="preserve">from the SiLVER trial </w:t>
      </w:r>
      <w:r w:rsidR="005B4031" w:rsidRPr="00F740D9">
        <w:rPr>
          <w:rFonts w:ascii="Book Antiqua" w:hAnsi="Book Antiqua"/>
          <w:color w:val="000000" w:themeColor="text1"/>
          <w:szCs w:val="24"/>
        </w:rPr>
        <w:t xml:space="preserve">that survival benefits </w:t>
      </w:r>
      <w:r w:rsidR="00BC140E">
        <w:rPr>
          <w:rFonts w:ascii="Book Antiqua" w:hAnsi="Book Antiqua"/>
          <w:color w:val="000000" w:themeColor="text1"/>
          <w:szCs w:val="24"/>
        </w:rPr>
        <w:t>due to</w:t>
      </w:r>
      <w:r w:rsidR="005B4031" w:rsidRPr="00F740D9">
        <w:rPr>
          <w:rFonts w:ascii="Book Antiqua" w:hAnsi="Book Antiqua"/>
          <w:color w:val="000000" w:themeColor="text1"/>
          <w:szCs w:val="24"/>
        </w:rPr>
        <w:t xml:space="preserve"> sirolimus were confined to low risk patients, as defined by those receiving </w:t>
      </w:r>
      <w:r w:rsidR="00BC140E">
        <w:rPr>
          <w:rFonts w:ascii="Book Antiqua" w:hAnsi="Book Antiqua"/>
          <w:color w:val="000000" w:themeColor="text1"/>
          <w:szCs w:val="24"/>
        </w:rPr>
        <w:t xml:space="preserve">a </w:t>
      </w:r>
      <w:r w:rsidR="005B4031" w:rsidRPr="00F740D9">
        <w:rPr>
          <w:rFonts w:ascii="Book Antiqua" w:hAnsi="Book Antiqua"/>
          <w:color w:val="000000" w:themeColor="text1"/>
          <w:szCs w:val="24"/>
        </w:rPr>
        <w:t xml:space="preserve">primary transplant for tumours within </w:t>
      </w:r>
      <w:r w:rsidR="00BC140E">
        <w:rPr>
          <w:rFonts w:ascii="Book Antiqua" w:hAnsi="Book Antiqua"/>
          <w:color w:val="000000" w:themeColor="text1"/>
          <w:szCs w:val="24"/>
        </w:rPr>
        <w:t xml:space="preserve">the </w:t>
      </w:r>
      <w:r w:rsidR="005B4031" w:rsidRPr="00F740D9">
        <w:rPr>
          <w:rFonts w:ascii="Book Antiqua" w:hAnsi="Book Antiqua"/>
          <w:color w:val="000000" w:themeColor="text1"/>
          <w:szCs w:val="24"/>
        </w:rPr>
        <w:t>Milan criteria</w:t>
      </w:r>
      <w:r w:rsidR="005452DB" w:rsidRPr="00F740D9">
        <w:rPr>
          <w:rFonts w:ascii="Book Antiqua" w:hAnsi="Book Antiqua"/>
          <w:color w:val="000000" w:themeColor="text1"/>
          <w:szCs w:val="24"/>
          <w:vertAlign w:val="superscript"/>
        </w:rPr>
        <w:t>[</w:t>
      </w:r>
      <w:r w:rsidR="005B4031" w:rsidRPr="00F740D9">
        <w:rPr>
          <w:rFonts w:ascii="Book Antiqua" w:hAnsi="Book Antiqua"/>
          <w:color w:val="000000" w:themeColor="text1"/>
          <w:szCs w:val="24"/>
          <w:vertAlign w:val="superscript"/>
        </w:rPr>
        <w:fldChar w:fldCharType="begin" w:fldLock="1"/>
      </w:r>
      <w:r w:rsidR="00A228B7" w:rsidRPr="00F740D9">
        <w:rPr>
          <w:rFonts w:ascii="Book Antiqua" w:hAnsi="Book Antiqua"/>
          <w:color w:val="000000" w:themeColor="text1"/>
          <w:szCs w:val="24"/>
          <w:vertAlign w:val="superscript"/>
        </w:rPr>
        <w:instrText>ADDIN CSL_CITATION {"citationItems":[{"id":"ITEM-1","itemData":{"DOI":"10.1056/NEJM199603143341104","ISBN":"0028-4793 (Print) 0028-4793 (Linking)","ISSN":"0028-4793","PMID":"8594428","abstract":"BACKGROUND: The role of orthotopic liver transplantation in the treatment of patients with cirrhosis and hepatocellular carcinoma is controversial, and determining which patients are likely to have a good outcome after liver transplantation is difficult. METHODS: We studied 48 patients with cirrhosis who had small, unresectable hepatocellular carcinomas and who underwent liver transplantation. In 94 percent of the patients, the cirrhosis was related to infection with hepatitis B virus, hepatitis C virus, or both. The presence of tumor was confirmed by biopsy or serum alpha-fetoprotein assay. The criteria for eligibility for transplantation were the presence of a tumor 5 cm or less in diameter in patients with single hepatocellular carcinomas and no more than three tumor nodules, each 3 cm or less in diameter, in patients with multiple tumors. Thirty-three patients with sufficient hepatic function underwent treatment for the tumor, mainly chemoembolization, before transplantation. After liver transplantation, the patients were followed prospectively for a median of 26 months (range, 9 to 54). No anticancer treatment was given after transplantation. RESULTS: The overall mortality rate was 17 percent. After four years, the actuarial survival rate was 75 percent and the rate of recurrence-free survival was 83 percent. Hepatocellular carcinoma recurred in four patients (8 percent). The overall and recurrence-free survival rates at four years among the 35 patients (73 percent of the total) who met the predetermined criteria for the selection of small hepatocellular carcinomas at pathological review of small hepatocellular carcinomas at pathological review of the explanted liver wer 85 percent and 92 percent, respectively, whereas the rates in the 13 patients (27 percent) whose tumors exceeded these limits were 50 percent and 59 percent, respectively (P=0.01 for overall survival; P=0.002 for recurrence-free survival). In this group of 48 patients with early-stage tumors, tumor-node-metastasis status, the number of tumors, the serum alphafetoprotein concentration, treatment received before transplantation, and 10 other variables were not significantly correlated with survival. CONCLUSIONS: Liver transplantation is an effective treatment for small, unresectable hepatocellular carcinomas in patients with cirrhosis.","author":[{"dropping-particle":"","family":"Mazzaferro","given":"V","non-dropping-particle":"","parse-names":false,"suffix":""},{"dropping-particle":"","family":"Regalia","given":"E","non-dropping-particle":"","parse-names":false,"suffix":""},{"dropping-particle":"","family":"Doci","given":"R","non-dropping-particle":"","parse-names":false,"suffix":""},{"dropping-particle":"","family":"Andreola","given":"S","non-dropping-particle":"","parse-names":false,"suffix":""},{"dropping-particle":"","family":"Pulvirenti","given":"A","non-dropping-particle":"","parse-names":false,"suffix":""},{"dropping-particle":"","family":"Bozzetti","given":"F","non-dropping-particle":"","parse-names":false,"suffix":""},{"dropping-particle":"","family":"Montalto","given":"F","non-dropping-particle":"","parse-names":false,"suffix":""},{"dropping-particle":"","family":"Ammatuna","given":"M","non-dropping-particle":"","parse-names":false,"suffix":""},{"dropping-particle":"","family":"Morabito","given":"A","non-dropping-particle":"","parse-names":false,"suffix":""},{"dropping-particle":"","family":"Gennari","given":"L","non-dropping-particle":"","parse-names":false,"suffix":""}],"container-title":"The New England journal of medicine","id":"ITEM-1","issue":"11","issued":{"date-parts":[["1996"]]},"page":"693-9","title":"Liver transplantation for the treatment of small hepatocellular carcinomas in patients with cirrhosis.","type":"article-journal","volume":"334"},"uris":["http://www.mendeley.com/documents/?uuid=31767389-763a-4966-b1d5-39b6dff8c2f5"]}],"mendeley":{"formattedCitation":"&lt;sup&gt;22&lt;/sup&gt;","plainTextFormattedCitation":"22","previouslyFormattedCitation":"&lt;sup&gt;22&lt;/sup&gt;"},"properties":{"noteIndex":0},"schema":"https://github.com/citation-style-language/schema/raw/master/csl-citation.json"}</w:instrText>
      </w:r>
      <w:r w:rsidR="005B4031" w:rsidRPr="00F740D9">
        <w:rPr>
          <w:rFonts w:ascii="Book Antiqua" w:hAnsi="Book Antiqua"/>
          <w:color w:val="000000" w:themeColor="text1"/>
          <w:szCs w:val="24"/>
          <w:vertAlign w:val="superscript"/>
        </w:rPr>
        <w:fldChar w:fldCharType="separate"/>
      </w:r>
      <w:r w:rsidR="00A228B7" w:rsidRPr="00F740D9">
        <w:rPr>
          <w:rFonts w:ascii="Book Antiqua" w:hAnsi="Book Antiqua"/>
          <w:noProof/>
          <w:color w:val="000000" w:themeColor="text1"/>
          <w:szCs w:val="24"/>
          <w:vertAlign w:val="superscript"/>
        </w:rPr>
        <w:t>22</w:t>
      </w:r>
      <w:r w:rsidR="005B4031" w:rsidRPr="00F740D9">
        <w:rPr>
          <w:rFonts w:ascii="Book Antiqua" w:hAnsi="Book Antiqua"/>
          <w:color w:val="000000" w:themeColor="text1"/>
          <w:szCs w:val="24"/>
          <w:vertAlign w:val="superscript"/>
        </w:rPr>
        <w:fldChar w:fldCharType="end"/>
      </w:r>
      <w:r w:rsidR="005452DB" w:rsidRPr="00F740D9">
        <w:rPr>
          <w:rFonts w:ascii="Book Antiqua" w:hAnsi="Book Antiqua"/>
          <w:color w:val="000000" w:themeColor="text1"/>
          <w:szCs w:val="24"/>
          <w:vertAlign w:val="superscript"/>
        </w:rPr>
        <w:t>]</w:t>
      </w:r>
      <w:r w:rsidR="005B4031" w:rsidRPr="00F740D9">
        <w:rPr>
          <w:rFonts w:ascii="Book Antiqua" w:hAnsi="Book Antiqua"/>
          <w:color w:val="000000" w:themeColor="text1"/>
          <w:szCs w:val="24"/>
        </w:rPr>
        <w:t>.</w:t>
      </w:r>
      <w:r w:rsidRPr="00F740D9">
        <w:rPr>
          <w:rFonts w:ascii="Book Antiqua" w:hAnsi="Book Antiqua"/>
          <w:color w:val="000000" w:themeColor="text1"/>
          <w:szCs w:val="24"/>
        </w:rPr>
        <w:t xml:space="preserve"> S</w:t>
      </w:r>
      <w:r w:rsidR="005B4031" w:rsidRPr="00F740D9">
        <w:rPr>
          <w:rFonts w:ascii="Book Antiqua" w:hAnsi="Book Antiqua"/>
          <w:color w:val="000000" w:themeColor="text1"/>
          <w:szCs w:val="24"/>
        </w:rPr>
        <w:t xml:space="preserve">irolimus was unable to alter the imminent </w:t>
      </w:r>
      <w:r w:rsidR="00A1099E" w:rsidRPr="00F740D9">
        <w:rPr>
          <w:rFonts w:ascii="Book Antiqua" w:hAnsi="Book Antiqua"/>
          <w:color w:val="000000" w:themeColor="text1"/>
          <w:szCs w:val="24"/>
        </w:rPr>
        <w:t>disease course</w:t>
      </w:r>
      <w:r w:rsidR="005B4031" w:rsidRPr="00F740D9">
        <w:rPr>
          <w:rFonts w:ascii="Book Antiqua" w:hAnsi="Book Antiqua"/>
          <w:color w:val="000000" w:themeColor="text1"/>
          <w:szCs w:val="24"/>
        </w:rPr>
        <w:t xml:space="preserve"> in patients with more advanced tumour</w:t>
      </w:r>
      <w:r w:rsidR="003C6249" w:rsidRPr="00F740D9">
        <w:rPr>
          <w:rFonts w:ascii="Book Antiqua" w:hAnsi="Book Antiqua"/>
          <w:color w:val="000000" w:themeColor="text1"/>
          <w:szCs w:val="24"/>
        </w:rPr>
        <w:t>s</w:t>
      </w:r>
      <w:r w:rsidR="005B4031" w:rsidRPr="00F740D9">
        <w:rPr>
          <w:rFonts w:ascii="Book Antiqua" w:hAnsi="Book Antiqua"/>
          <w:color w:val="000000" w:themeColor="text1"/>
          <w:szCs w:val="24"/>
        </w:rPr>
        <w:t xml:space="preserve">. </w:t>
      </w:r>
      <w:r w:rsidRPr="00F740D9">
        <w:rPr>
          <w:rFonts w:ascii="Book Antiqua" w:hAnsi="Book Antiqua"/>
          <w:color w:val="000000" w:themeColor="text1"/>
          <w:szCs w:val="24"/>
        </w:rPr>
        <w:t xml:space="preserve">Along this line, </w:t>
      </w:r>
      <w:r w:rsidR="003C6249" w:rsidRPr="00F740D9">
        <w:rPr>
          <w:rFonts w:ascii="Book Antiqua" w:hAnsi="Book Antiqua"/>
          <w:color w:val="000000" w:themeColor="text1"/>
          <w:szCs w:val="24"/>
        </w:rPr>
        <w:t>the efficacy of</w:t>
      </w:r>
      <w:r w:rsidRPr="00F740D9">
        <w:rPr>
          <w:rFonts w:ascii="Book Antiqua" w:hAnsi="Book Antiqua"/>
          <w:color w:val="000000" w:themeColor="text1"/>
          <w:szCs w:val="24"/>
        </w:rPr>
        <w:t xml:space="preserve"> mTOR inhibitor</w:t>
      </w:r>
      <w:r w:rsidR="003C6249" w:rsidRPr="00F740D9">
        <w:rPr>
          <w:rFonts w:ascii="Book Antiqua" w:hAnsi="Book Antiqua"/>
          <w:color w:val="000000" w:themeColor="text1"/>
          <w:szCs w:val="24"/>
        </w:rPr>
        <w:t xml:space="preserve"> in established </w:t>
      </w:r>
      <w:r w:rsidRPr="00F740D9">
        <w:rPr>
          <w:rFonts w:ascii="Book Antiqua" w:hAnsi="Book Antiqua"/>
          <w:color w:val="000000" w:themeColor="text1"/>
          <w:szCs w:val="24"/>
        </w:rPr>
        <w:t xml:space="preserve">recurrence </w:t>
      </w:r>
      <w:r w:rsidR="003C6249" w:rsidRPr="00F740D9">
        <w:rPr>
          <w:rFonts w:ascii="Book Antiqua" w:hAnsi="Book Antiqua"/>
          <w:color w:val="000000" w:themeColor="text1"/>
          <w:szCs w:val="24"/>
        </w:rPr>
        <w:t xml:space="preserve">was questioned. </w:t>
      </w:r>
      <w:r w:rsidR="003717E8" w:rsidRPr="00F740D9">
        <w:rPr>
          <w:rFonts w:ascii="Book Antiqua" w:hAnsi="Book Antiqua"/>
          <w:color w:val="000000" w:themeColor="text1"/>
          <w:szCs w:val="24"/>
        </w:rPr>
        <w:t xml:space="preserve">This is the first report </w:t>
      </w:r>
      <w:r w:rsidR="003C6249" w:rsidRPr="00F740D9">
        <w:rPr>
          <w:rFonts w:ascii="Book Antiqua" w:hAnsi="Book Antiqua"/>
          <w:color w:val="000000" w:themeColor="text1"/>
          <w:szCs w:val="24"/>
        </w:rPr>
        <w:t xml:space="preserve">in the literature directed </w:t>
      </w:r>
      <w:r w:rsidR="00BC140E">
        <w:rPr>
          <w:rFonts w:ascii="Book Antiqua" w:hAnsi="Book Antiqua"/>
          <w:color w:val="000000" w:themeColor="text1"/>
          <w:szCs w:val="24"/>
        </w:rPr>
        <w:t>at</w:t>
      </w:r>
      <w:r w:rsidR="003C6249" w:rsidRPr="00F740D9">
        <w:rPr>
          <w:rFonts w:ascii="Book Antiqua" w:hAnsi="Book Antiqua"/>
          <w:color w:val="000000" w:themeColor="text1"/>
          <w:szCs w:val="24"/>
        </w:rPr>
        <w:t xml:space="preserve"> this question</w:t>
      </w:r>
      <w:r w:rsidR="003717E8" w:rsidRPr="00F740D9">
        <w:rPr>
          <w:rFonts w:ascii="Book Antiqua" w:hAnsi="Book Antiqua"/>
          <w:color w:val="000000" w:themeColor="text1"/>
          <w:szCs w:val="24"/>
        </w:rPr>
        <w:t xml:space="preserve">. Apart from </w:t>
      </w:r>
      <w:r w:rsidR="003C6249" w:rsidRPr="00F740D9">
        <w:rPr>
          <w:rFonts w:ascii="Book Antiqua" w:hAnsi="Book Antiqua"/>
          <w:color w:val="000000" w:themeColor="text1"/>
          <w:szCs w:val="24"/>
        </w:rPr>
        <w:t xml:space="preserve">confirming the survival benefits, we reported </w:t>
      </w:r>
      <w:r w:rsidR="0029167D" w:rsidRPr="00F740D9">
        <w:rPr>
          <w:rFonts w:ascii="Book Antiqua" w:hAnsi="Book Antiqua"/>
          <w:color w:val="000000" w:themeColor="text1"/>
          <w:szCs w:val="24"/>
        </w:rPr>
        <w:t>a</w:t>
      </w:r>
      <w:r w:rsidR="00425DE2" w:rsidRPr="00F740D9">
        <w:rPr>
          <w:rFonts w:ascii="Book Antiqua" w:hAnsi="Book Antiqua"/>
          <w:color w:val="000000" w:themeColor="text1"/>
          <w:szCs w:val="24"/>
        </w:rPr>
        <w:t xml:space="preserve"> median post-recurrence survival of 2</w:t>
      </w:r>
      <w:r w:rsidR="00683934" w:rsidRPr="00F740D9">
        <w:rPr>
          <w:rFonts w:ascii="Book Antiqua" w:hAnsi="Book Antiqua"/>
          <w:color w:val="000000" w:themeColor="text1"/>
          <w:szCs w:val="24"/>
        </w:rPr>
        <w:t>1</w:t>
      </w:r>
      <w:r w:rsidR="00425DE2" w:rsidRPr="00F740D9">
        <w:rPr>
          <w:rFonts w:ascii="Book Antiqua" w:hAnsi="Book Antiqua"/>
          <w:color w:val="000000" w:themeColor="text1"/>
          <w:szCs w:val="24"/>
        </w:rPr>
        <w:t xml:space="preserve"> mo associated with mTOR inhibitors.</w:t>
      </w:r>
      <w:r w:rsidR="008F525B" w:rsidRPr="00F740D9">
        <w:rPr>
          <w:rFonts w:ascii="Book Antiqua" w:hAnsi="Book Antiqua"/>
          <w:color w:val="000000" w:themeColor="text1"/>
          <w:szCs w:val="24"/>
        </w:rPr>
        <w:t xml:space="preserve"> </w:t>
      </w:r>
      <w:r w:rsidR="00E12810" w:rsidRPr="00F740D9">
        <w:rPr>
          <w:rFonts w:ascii="Book Antiqua" w:hAnsi="Book Antiqua"/>
          <w:color w:val="000000" w:themeColor="text1"/>
          <w:szCs w:val="24"/>
        </w:rPr>
        <w:t>We did not manage all post-transplant HCC recurrence</w:t>
      </w:r>
      <w:r w:rsidR="00BC140E">
        <w:rPr>
          <w:rFonts w:ascii="Book Antiqua" w:hAnsi="Book Antiqua"/>
          <w:color w:val="000000" w:themeColor="text1"/>
          <w:szCs w:val="24"/>
        </w:rPr>
        <w:t>s</w:t>
      </w:r>
      <w:r w:rsidR="00E12810" w:rsidRPr="00F740D9">
        <w:rPr>
          <w:rFonts w:ascii="Book Antiqua" w:hAnsi="Book Antiqua"/>
          <w:color w:val="000000" w:themeColor="text1"/>
          <w:szCs w:val="24"/>
        </w:rPr>
        <w:t xml:space="preserve"> with palliative intent. We adapted the concept of oligo-recurrence</w:t>
      </w:r>
      <w:r w:rsidR="005452DB" w:rsidRPr="00F740D9">
        <w:rPr>
          <w:rFonts w:ascii="Book Antiqua" w:hAnsi="Book Antiqua"/>
          <w:color w:val="000000" w:themeColor="text1"/>
          <w:szCs w:val="24"/>
          <w:vertAlign w:val="superscript"/>
        </w:rPr>
        <w:t>[</w:t>
      </w:r>
      <w:r w:rsidR="00E12810" w:rsidRPr="00F740D9">
        <w:rPr>
          <w:rFonts w:ascii="Book Antiqua" w:hAnsi="Book Antiqua"/>
          <w:color w:val="000000" w:themeColor="text1"/>
          <w:szCs w:val="24"/>
          <w:vertAlign w:val="superscript"/>
        </w:rPr>
        <w:fldChar w:fldCharType="begin" w:fldLock="1"/>
      </w:r>
      <w:r w:rsidR="00A228B7" w:rsidRPr="00F740D9">
        <w:rPr>
          <w:rFonts w:ascii="Book Antiqua" w:hAnsi="Book Antiqua"/>
          <w:color w:val="000000" w:themeColor="text1"/>
          <w:szCs w:val="24"/>
          <w:vertAlign w:val="superscript"/>
        </w:rPr>
        <w:instrText>ADDIN CSL_CITATION {"citationItems":[{"id":"ITEM-1","itemData":{"DOI":"10.1200/JCO.1995.13.1.8","ISSN":"0732-183X","PMID":"7799047","author":[{"dropping-particle":"","family":"Hellman","given":"S","non-dropping-particle":"","parse-names":false,"suffix":""},{"dropping-particle":"","family":"Weichselbaum","given":"R R","non-dropping-particle":"","parse-names":false,"suffix":""}],"container-title":"Journal of Clinical Oncology","id":"ITEM-1","issue":"1","issued":{"date-parts":[["1995","1"]]},"page":"8-10","title":"Oligometastases.","type":"article-journal","volume":"13"},"uris":["http://www.mendeley.com/documents/?uuid=385decd0-f34d-30bb-899a-a1eda45576b3"]},{"id":"ITEM-2","itemData":{"DOI":"10.3748/wjg.v24.i45.5081","ISSN":"1007-9327","PMID":"30568386","abstract":"A large number of liver transplants have been performed for hepatocellular carcinoma (HCC), and recurrence is increasingly encountered. The recurrence of HCC after liver transplantation is notoriously difficult to manage. We hereby propose multi-disciplinary management with a systematic approach. The patient is jointly managed by the transplant surgeon, physician, oncologist and radiologist. Immunosuppressants should be tapered to the lowest effective dose to protect against rejection. The combination of a mammalian target of rapamycin inhibitor with a reduced calcineurin inhibitor could be considered with close monitoring of graft function and toxicity. Comprehensive staging can be performed by dual-tracer positron emission tomography-computed tomography or the combination of contrast computed tomography and a bone scan. In patients with disseminated recurrence, sorafenib confers survival benefits but is associated with significant drug toxicity. Oligo-recurrence encompasses recurrent disease that is limited in number and location so that loco-regional treatments convey disease control and survival benefits. Intra-hepatic recurrence can be managed with graft resection, but significant operative morbidity is expected. Radiofrequency ablation and stereotactic body radiation therapy (SBRT) are effective alternative strategies. In patients with more advanced hepatic disease, regional treatment with trans-arterial chemoembolization or intra-arterial Yttrium-90 can be considered. For patients with extra-hepatic oligo-recurrence, loco-regional treatment can be considered if practical. Patients with more than one site of recurrence are not always contraindicated for curative treatments. Surgical resection is effective for patients with pulmonary oligo-recurrence, but adequate lung function is a pre-requisite. SBRT is a non-invasive and effective modality that conveys local control to pulmonary and skeletal oligo-recurrences.","author":[{"dropping-particle":"","family":"Au","given":"Kin Pan","non-dropping-particle":"","parse-names":false,"suffix":""},{"dropping-particle":"","family":"Chok","given":"Kenneth Siu Ho","non-dropping-particle":"","parse-names":false,"suffix":""}],"container-title":"World Journal of Gastroenterology","id":"ITEM-2","issue":"45","issued":{"date-parts":[["2018","12","7"]]},"page":"5081-5094","title":"Multidisciplinary approach for post-liver transplant recurrence of hepatocellular carcinoma: A proposed management algorithm","type":"article-journal","volume":"24"},"uris":["http://www.mendeley.com/documents/?uuid=8db3b209-1d4c-3f95-96a3-a5c829e21f7d"]}],"mendeley":{"formattedCitation":"&lt;sup&gt;13,23&lt;/sup&gt;","plainTextFormattedCitation":"13,23","previouslyFormattedCitation":"&lt;sup&gt;13,23&lt;/sup&gt;"},"properties":{"noteIndex":0},"schema":"https://github.com/citation-style-language/schema/raw/master/csl-citation.json"}</w:instrText>
      </w:r>
      <w:r w:rsidR="00E12810" w:rsidRPr="00F740D9">
        <w:rPr>
          <w:rFonts w:ascii="Book Antiqua" w:hAnsi="Book Antiqua"/>
          <w:color w:val="000000" w:themeColor="text1"/>
          <w:szCs w:val="24"/>
          <w:vertAlign w:val="superscript"/>
        </w:rPr>
        <w:fldChar w:fldCharType="separate"/>
      </w:r>
      <w:r w:rsidR="00A228B7" w:rsidRPr="00F740D9">
        <w:rPr>
          <w:rFonts w:ascii="Book Antiqua" w:hAnsi="Book Antiqua"/>
          <w:noProof/>
          <w:color w:val="000000" w:themeColor="text1"/>
          <w:szCs w:val="24"/>
          <w:vertAlign w:val="superscript"/>
        </w:rPr>
        <w:t>13,23</w:t>
      </w:r>
      <w:r w:rsidR="00E12810" w:rsidRPr="00F740D9">
        <w:rPr>
          <w:rFonts w:ascii="Book Antiqua" w:hAnsi="Book Antiqua"/>
          <w:color w:val="000000" w:themeColor="text1"/>
          <w:szCs w:val="24"/>
          <w:vertAlign w:val="superscript"/>
        </w:rPr>
        <w:fldChar w:fldCharType="end"/>
      </w:r>
      <w:r w:rsidR="005452DB" w:rsidRPr="00F740D9">
        <w:rPr>
          <w:rFonts w:ascii="Book Antiqua" w:hAnsi="Book Antiqua"/>
          <w:color w:val="000000" w:themeColor="text1"/>
          <w:szCs w:val="24"/>
          <w:vertAlign w:val="superscript"/>
        </w:rPr>
        <w:t>]</w:t>
      </w:r>
      <w:r w:rsidR="00E12810" w:rsidRPr="00F740D9">
        <w:rPr>
          <w:rFonts w:ascii="Book Antiqua" w:hAnsi="Book Antiqua"/>
          <w:color w:val="000000" w:themeColor="text1"/>
          <w:szCs w:val="24"/>
        </w:rPr>
        <w:t xml:space="preserve">, in which patients with recurrent disease limited in number and location were given the therapeutic opportunity </w:t>
      </w:r>
      <w:r w:rsidR="00BC140E">
        <w:rPr>
          <w:rFonts w:ascii="Book Antiqua" w:hAnsi="Book Antiqua"/>
          <w:color w:val="000000" w:themeColor="text1"/>
          <w:szCs w:val="24"/>
        </w:rPr>
        <w:t>of cure</w:t>
      </w:r>
      <w:r w:rsidR="00E12810" w:rsidRPr="00F740D9">
        <w:rPr>
          <w:rFonts w:ascii="Book Antiqua" w:hAnsi="Book Antiqua"/>
          <w:color w:val="000000" w:themeColor="text1"/>
          <w:szCs w:val="24"/>
        </w:rPr>
        <w:t xml:space="preserve"> </w:t>
      </w:r>
      <w:r w:rsidR="00306159" w:rsidRPr="00F740D9">
        <w:rPr>
          <w:rFonts w:ascii="Book Antiqua" w:hAnsi="Book Antiqua"/>
          <w:color w:val="000000" w:themeColor="text1"/>
          <w:szCs w:val="24"/>
        </w:rPr>
        <w:t>with a</w:t>
      </w:r>
      <w:r w:rsidR="00E12810" w:rsidRPr="00F740D9">
        <w:rPr>
          <w:rFonts w:ascii="Book Antiqua" w:hAnsi="Book Antiqua"/>
          <w:color w:val="000000" w:themeColor="text1"/>
          <w:szCs w:val="24"/>
        </w:rPr>
        <w:t xml:space="preserve"> combination of systemic</w:t>
      </w:r>
      <w:r w:rsidR="00306159" w:rsidRPr="00F740D9">
        <w:rPr>
          <w:rFonts w:ascii="Book Antiqua" w:hAnsi="Book Antiqua"/>
          <w:color w:val="000000" w:themeColor="text1"/>
          <w:szCs w:val="24"/>
        </w:rPr>
        <w:t xml:space="preserve"> (including mTOR </w:t>
      </w:r>
      <w:r w:rsidR="002E55E2" w:rsidRPr="00F740D9">
        <w:rPr>
          <w:rFonts w:ascii="Book Antiqua" w:hAnsi="Book Antiqua"/>
          <w:color w:val="000000" w:themeColor="text1"/>
          <w:szCs w:val="24"/>
        </w:rPr>
        <w:t>blockade</w:t>
      </w:r>
      <w:r w:rsidR="00306159" w:rsidRPr="00F740D9">
        <w:rPr>
          <w:rFonts w:ascii="Book Antiqua" w:hAnsi="Book Antiqua"/>
          <w:color w:val="000000" w:themeColor="text1"/>
          <w:szCs w:val="24"/>
        </w:rPr>
        <w:t>)</w:t>
      </w:r>
      <w:r w:rsidR="00E12810" w:rsidRPr="00F740D9">
        <w:rPr>
          <w:rFonts w:ascii="Book Antiqua" w:hAnsi="Book Antiqua"/>
          <w:color w:val="000000" w:themeColor="text1"/>
          <w:szCs w:val="24"/>
        </w:rPr>
        <w:t xml:space="preserve"> and loco-regional therapy. </w:t>
      </w:r>
      <w:r w:rsidR="006F0B47" w:rsidRPr="00F740D9">
        <w:rPr>
          <w:rFonts w:ascii="Book Antiqua" w:hAnsi="Book Antiqua"/>
          <w:color w:val="000000" w:themeColor="text1"/>
          <w:szCs w:val="24"/>
        </w:rPr>
        <w:t>Twenty-</w:t>
      </w:r>
      <w:r w:rsidR="008F18D0" w:rsidRPr="00F740D9">
        <w:rPr>
          <w:rFonts w:ascii="Book Antiqua" w:hAnsi="Book Antiqua"/>
          <w:color w:val="000000" w:themeColor="text1"/>
          <w:szCs w:val="24"/>
        </w:rPr>
        <w:t>seven</w:t>
      </w:r>
      <w:r w:rsidR="006F0B47" w:rsidRPr="00F740D9">
        <w:rPr>
          <w:rFonts w:ascii="Book Antiqua" w:hAnsi="Book Antiqua"/>
          <w:color w:val="000000" w:themeColor="text1"/>
          <w:szCs w:val="24"/>
        </w:rPr>
        <w:t xml:space="preserve"> patients (3</w:t>
      </w:r>
      <w:r w:rsidR="002116C9" w:rsidRPr="00F740D9">
        <w:rPr>
          <w:rFonts w:ascii="Book Antiqua" w:hAnsi="Book Antiqua"/>
          <w:color w:val="000000" w:themeColor="text1"/>
          <w:szCs w:val="24"/>
        </w:rPr>
        <w:t>5</w:t>
      </w:r>
      <w:r w:rsidR="006F0B47" w:rsidRPr="00F740D9">
        <w:rPr>
          <w:rFonts w:ascii="Book Antiqua" w:hAnsi="Book Antiqua"/>
          <w:color w:val="000000" w:themeColor="text1"/>
          <w:szCs w:val="24"/>
        </w:rPr>
        <w:t xml:space="preserve">%) in the study arm </w:t>
      </w:r>
      <w:r w:rsidR="00306159" w:rsidRPr="00F740D9">
        <w:rPr>
          <w:rFonts w:ascii="Book Antiqua" w:hAnsi="Book Antiqua"/>
          <w:color w:val="000000" w:themeColor="text1"/>
          <w:szCs w:val="24"/>
        </w:rPr>
        <w:t>received</w:t>
      </w:r>
      <w:r w:rsidR="006F0B47" w:rsidRPr="00F740D9">
        <w:rPr>
          <w:rFonts w:ascii="Book Antiqua" w:hAnsi="Book Antiqua"/>
          <w:color w:val="000000" w:themeColor="text1"/>
          <w:szCs w:val="24"/>
        </w:rPr>
        <w:t xml:space="preserve"> curative</w:t>
      </w:r>
      <w:r w:rsidR="00306159" w:rsidRPr="00F740D9">
        <w:rPr>
          <w:rFonts w:ascii="Book Antiqua" w:hAnsi="Book Antiqua"/>
          <w:color w:val="000000" w:themeColor="text1"/>
          <w:szCs w:val="24"/>
        </w:rPr>
        <w:t xml:space="preserve"> treatment</w:t>
      </w:r>
      <w:r w:rsidR="00E967BA" w:rsidRPr="00F740D9">
        <w:rPr>
          <w:rFonts w:ascii="Book Antiqua" w:hAnsi="Book Antiqua"/>
          <w:color w:val="000000" w:themeColor="text1"/>
          <w:szCs w:val="24"/>
        </w:rPr>
        <w:t>. T</w:t>
      </w:r>
      <w:r w:rsidR="006F0B47" w:rsidRPr="00F740D9">
        <w:rPr>
          <w:rFonts w:ascii="Book Antiqua" w:hAnsi="Book Antiqua"/>
          <w:color w:val="000000" w:themeColor="text1"/>
          <w:szCs w:val="24"/>
        </w:rPr>
        <w:t>he 3-year post-recurrence survival reached 2</w:t>
      </w:r>
      <w:r w:rsidR="00123CA2" w:rsidRPr="00F740D9">
        <w:rPr>
          <w:rFonts w:ascii="Book Antiqua" w:hAnsi="Book Antiqua"/>
          <w:color w:val="000000" w:themeColor="text1"/>
          <w:szCs w:val="24"/>
        </w:rPr>
        <w:t>7.1</w:t>
      </w:r>
      <w:r w:rsidR="006F0B47" w:rsidRPr="00F740D9">
        <w:rPr>
          <w:rFonts w:ascii="Book Antiqua" w:hAnsi="Book Antiqua"/>
          <w:color w:val="000000" w:themeColor="text1"/>
          <w:szCs w:val="24"/>
        </w:rPr>
        <w:t>%</w:t>
      </w:r>
      <w:r w:rsidR="00E967BA" w:rsidRPr="00F740D9">
        <w:rPr>
          <w:rFonts w:ascii="Book Antiqua" w:hAnsi="Book Antiqua"/>
          <w:color w:val="000000" w:themeColor="text1"/>
          <w:szCs w:val="24"/>
        </w:rPr>
        <w:t xml:space="preserve"> in the entire mTOR inhibitor group</w:t>
      </w:r>
      <w:r w:rsidR="00306159" w:rsidRPr="00F740D9">
        <w:rPr>
          <w:rFonts w:ascii="Book Antiqua" w:hAnsi="Book Antiqua"/>
          <w:color w:val="000000" w:themeColor="text1"/>
          <w:szCs w:val="24"/>
        </w:rPr>
        <w:t xml:space="preserve">. </w:t>
      </w:r>
      <w:r w:rsidR="00BC140E">
        <w:rPr>
          <w:rFonts w:ascii="Book Antiqua" w:hAnsi="Book Antiqua"/>
          <w:color w:val="000000" w:themeColor="text1"/>
          <w:szCs w:val="24"/>
        </w:rPr>
        <w:t>The r</w:t>
      </w:r>
      <w:r w:rsidR="00306159" w:rsidRPr="00F740D9">
        <w:rPr>
          <w:rFonts w:ascii="Book Antiqua" w:hAnsi="Book Antiqua"/>
          <w:color w:val="000000" w:themeColor="text1"/>
          <w:szCs w:val="24"/>
        </w:rPr>
        <w:t>esults</w:t>
      </w:r>
      <w:r w:rsidR="00E12810" w:rsidRPr="00F740D9">
        <w:rPr>
          <w:rFonts w:ascii="Book Antiqua" w:hAnsi="Book Antiqua"/>
          <w:color w:val="000000" w:themeColor="text1"/>
          <w:szCs w:val="24"/>
        </w:rPr>
        <w:t xml:space="preserve"> in this study</w:t>
      </w:r>
      <w:r w:rsidR="00306159" w:rsidRPr="00F740D9">
        <w:rPr>
          <w:rFonts w:ascii="Book Antiqua" w:hAnsi="Book Antiqua"/>
          <w:color w:val="000000" w:themeColor="text1"/>
          <w:szCs w:val="24"/>
        </w:rPr>
        <w:t xml:space="preserve"> </w:t>
      </w:r>
      <w:r w:rsidR="00BC140E">
        <w:rPr>
          <w:rFonts w:ascii="Book Antiqua" w:hAnsi="Book Antiqua"/>
          <w:color w:val="000000" w:themeColor="text1"/>
          <w:szCs w:val="24"/>
        </w:rPr>
        <w:t>indicate</w:t>
      </w:r>
      <w:r w:rsidR="00306159" w:rsidRPr="00F740D9">
        <w:rPr>
          <w:rFonts w:ascii="Book Antiqua" w:hAnsi="Book Antiqua"/>
          <w:color w:val="000000" w:themeColor="text1"/>
          <w:szCs w:val="24"/>
        </w:rPr>
        <w:t xml:space="preserve"> that long</w:t>
      </w:r>
      <w:r w:rsidR="00BC140E">
        <w:rPr>
          <w:rFonts w:ascii="Book Antiqua" w:hAnsi="Book Antiqua"/>
          <w:color w:val="000000" w:themeColor="text1"/>
          <w:szCs w:val="24"/>
        </w:rPr>
        <w:t>-</w:t>
      </w:r>
      <w:r w:rsidR="00306159" w:rsidRPr="00F740D9">
        <w:rPr>
          <w:rFonts w:ascii="Book Antiqua" w:hAnsi="Book Antiqua"/>
          <w:color w:val="000000" w:themeColor="text1"/>
          <w:szCs w:val="24"/>
        </w:rPr>
        <w:t xml:space="preserve">term survival </w:t>
      </w:r>
      <w:r w:rsidR="00034014" w:rsidRPr="00F740D9">
        <w:rPr>
          <w:rFonts w:ascii="Book Antiqua" w:hAnsi="Book Antiqua"/>
          <w:color w:val="000000" w:themeColor="text1"/>
          <w:szCs w:val="24"/>
        </w:rPr>
        <w:t>i</w:t>
      </w:r>
      <w:r w:rsidR="006F0B47" w:rsidRPr="00F740D9">
        <w:rPr>
          <w:rFonts w:ascii="Book Antiqua" w:hAnsi="Book Antiqua"/>
          <w:color w:val="000000" w:themeColor="text1"/>
          <w:szCs w:val="24"/>
        </w:rPr>
        <w:t>s</w:t>
      </w:r>
      <w:r w:rsidR="00306159" w:rsidRPr="00F740D9">
        <w:rPr>
          <w:rFonts w:ascii="Book Antiqua" w:hAnsi="Book Antiqua"/>
          <w:color w:val="000000" w:themeColor="text1"/>
          <w:szCs w:val="24"/>
        </w:rPr>
        <w:t xml:space="preserve"> not impossible and </w:t>
      </w:r>
      <w:r w:rsidR="006F0B47" w:rsidRPr="00F740D9">
        <w:rPr>
          <w:rFonts w:ascii="Book Antiqua" w:hAnsi="Book Antiqua"/>
          <w:color w:val="000000" w:themeColor="text1"/>
          <w:szCs w:val="24"/>
        </w:rPr>
        <w:t>reinforce</w:t>
      </w:r>
      <w:r w:rsidR="00BC140E">
        <w:rPr>
          <w:rFonts w:ascii="Book Antiqua" w:hAnsi="Book Antiqua"/>
          <w:color w:val="000000" w:themeColor="text1"/>
          <w:szCs w:val="24"/>
        </w:rPr>
        <w:t>s</w:t>
      </w:r>
      <w:r w:rsidR="006F0B47" w:rsidRPr="00F740D9">
        <w:rPr>
          <w:rFonts w:ascii="Book Antiqua" w:hAnsi="Book Antiqua"/>
          <w:color w:val="000000" w:themeColor="text1"/>
          <w:szCs w:val="24"/>
        </w:rPr>
        <w:t xml:space="preserve"> </w:t>
      </w:r>
      <w:r w:rsidR="00306159" w:rsidRPr="00F740D9">
        <w:rPr>
          <w:rFonts w:ascii="Book Antiqua" w:hAnsi="Book Antiqua"/>
          <w:color w:val="000000" w:themeColor="text1"/>
          <w:szCs w:val="24"/>
        </w:rPr>
        <w:t>our treatment strategy.</w:t>
      </w:r>
    </w:p>
    <w:p w14:paraId="10BF479D" w14:textId="273C2054" w:rsidR="001A38AC" w:rsidRPr="00F740D9" w:rsidRDefault="004117FC" w:rsidP="00BE6C9D">
      <w:pPr>
        <w:snapToGrid w:val="0"/>
        <w:spacing w:line="360" w:lineRule="auto"/>
        <w:ind w:firstLineChars="100" w:firstLine="240"/>
        <w:jc w:val="both"/>
        <w:rPr>
          <w:rFonts w:ascii="Book Antiqua" w:hAnsi="Book Antiqua"/>
          <w:color w:val="000000" w:themeColor="text1"/>
          <w:szCs w:val="24"/>
        </w:rPr>
      </w:pPr>
      <w:r w:rsidRPr="00F740D9">
        <w:rPr>
          <w:rFonts w:ascii="Book Antiqua" w:hAnsi="Book Antiqua"/>
          <w:color w:val="000000" w:themeColor="text1"/>
          <w:szCs w:val="24"/>
        </w:rPr>
        <w:t>A</w:t>
      </w:r>
      <w:r w:rsidR="00B22957" w:rsidRPr="00F740D9">
        <w:rPr>
          <w:rFonts w:ascii="Book Antiqua" w:hAnsi="Book Antiqua"/>
          <w:color w:val="000000" w:themeColor="text1"/>
          <w:szCs w:val="24"/>
        </w:rPr>
        <w:t xml:space="preserve">nother consideration </w:t>
      </w:r>
      <w:r w:rsidR="00A11988" w:rsidRPr="00F740D9">
        <w:rPr>
          <w:rFonts w:ascii="Book Antiqua" w:hAnsi="Book Antiqua"/>
          <w:color w:val="000000" w:themeColor="text1"/>
          <w:szCs w:val="24"/>
        </w:rPr>
        <w:t>is</w:t>
      </w:r>
      <w:r w:rsidRPr="00F740D9">
        <w:rPr>
          <w:rFonts w:ascii="Book Antiqua" w:hAnsi="Book Antiqua"/>
          <w:color w:val="000000" w:themeColor="text1"/>
          <w:szCs w:val="24"/>
        </w:rPr>
        <w:t xml:space="preserve"> whether</w:t>
      </w:r>
      <w:r w:rsidR="00B22957" w:rsidRPr="00F740D9">
        <w:rPr>
          <w:rFonts w:ascii="Book Antiqua" w:hAnsi="Book Antiqua"/>
          <w:color w:val="000000" w:themeColor="text1"/>
          <w:szCs w:val="24"/>
        </w:rPr>
        <w:t xml:space="preserve"> mTOR inhibitor monotherapy</w:t>
      </w:r>
      <w:r w:rsidRPr="00F740D9">
        <w:rPr>
          <w:rFonts w:ascii="Book Antiqua" w:hAnsi="Book Antiqua"/>
          <w:color w:val="000000" w:themeColor="text1"/>
          <w:szCs w:val="24"/>
        </w:rPr>
        <w:t xml:space="preserve"> offer</w:t>
      </w:r>
      <w:r w:rsidR="00A11988" w:rsidRPr="00F740D9">
        <w:rPr>
          <w:rFonts w:ascii="Book Antiqua" w:hAnsi="Book Antiqua"/>
          <w:color w:val="000000" w:themeColor="text1"/>
          <w:szCs w:val="24"/>
        </w:rPr>
        <w:t>s</w:t>
      </w:r>
      <w:r w:rsidRPr="00F740D9">
        <w:rPr>
          <w:rFonts w:ascii="Book Antiqua" w:hAnsi="Book Antiqua"/>
          <w:color w:val="000000" w:themeColor="text1"/>
          <w:szCs w:val="24"/>
        </w:rPr>
        <w:t xml:space="preserve"> superior survival outcomes over </w:t>
      </w:r>
      <w:r w:rsidR="00B22957" w:rsidRPr="00F740D9">
        <w:rPr>
          <w:rFonts w:ascii="Book Antiqua" w:hAnsi="Book Antiqua"/>
          <w:color w:val="000000" w:themeColor="text1"/>
          <w:szCs w:val="24"/>
        </w:rPr>
        <w:t xml:space="preserve">combination with CNI. </w:t>
      </w:r>
      <w:r w:rsidR="001A38AC" w:rsidRPr="00F740D9">
        <w:rPr>
          <w:rFonts w:ascii="Book Antiqua" w:hAnsi="Book Antiqua"/>
          <w:color w:val="000000" w:themeColor="text1"/>
          <w:szCs w:val="24"/>
        </w:rPr>
        <w:t xml:space="preserve">Results from the SiLVER study </w:t>
      </w:r>
      <w:r w:rsidR="00C966DD" w:rsidRPr="00F740D9">
        <w:rPr>
          <w:rFonts w:ascii="Book Antiqua" w:hAnsi="Book Antiqua"/>
          <w:color w:val="000000" w:themeColor="text1"/>
          <w:szCs w:val="24"/>
        </w:rPr>
        <w:t xml:space="preserve">revealed that patients receiving sirolimus monotherapy had fewer recurrences </w:t>
      </w:r>
      <w:r w:rsidRPr="00F740D9">
        <w:rPr>
          <w:rFonts w:ascii="Book Antiqua" w:hAnsi="Book Antiqua"/>
          <w:color w:val="000000" w:themeColor="text1"/>
          <w:szCs w:val="24"/>
        </w:rPr>
        <w:t xml:space="preserve">than </w:t>
      </w:r>
      <w:r w:rsidR="00C966DD" w:rsidRPr="00F740D9">
        <w:rPr>
          <w:rFonts w:ascii="Book Antiqua" w:hAnsi="Book Antiqua"/>
          <w:color w:val="000000" w:themeColor="text1"/>
          <w:szCs w:val="24"/>
        </w:rPr>
        <w:t xml:space="preserve">those </w:t>
      </w:r>
      <w:r w:rsidRPr="00F740D9">
        <w:rPr>
          <w:rFonts w:ascii="Book Antiqua" w:hAnsi="Book Antiqua"/>
          <w:color w:val="000000" w:themeColor="text1"/>
          <w:szCs w:val="24"/>
        </w:rPr>
        <w:t>receiving</w:t>
      </w:r>
      <w:r w:rsidR="00C966DD" w:rsidRPr="00F740D9">
        <w:rPr>
          <w:rFonts w:ascii="Book Antiqua" w:hAnsi="Book Antiqua"/>
          <w:color w:val="000000" w:themeColor="text1"/>
          <w:szCs w:val="24"/>
        </w:rPr>
        <w:t xml:space="preserve"> combination therapy. </w:t>
      </w:r>
      <w:r w:rsidRPr="00F740D9">
        <w:rPr>
          <w:rFonts w:ascii="Book Antiqua" w:hAnsi="Book Antiqua"/>
          <w:color w:val="000000" w:themeColor="text1"/>
          <w:szCs w:val="24"/>
        </w:rPr>
        <w:t xml:space="preserve">The major concern with </w:t>
      </w:r>
      <w:r w:rsidR="00BC140E">
        <w:rPr>
          <w:rFonts w:ascii="Book Antiqua" w:hAnsi="Book Antiqua"/>
          <w:color w:val="000000" w:themeColor="text1"/>
          <w:szCs w:val="24"/>
        </w:rPr>
        <w:t xml:space="preserve">the </w:t>
      </w:r>
      <w:r w:rsidRPr="00F740D9">
        <w:rPr>
          <w:rFonts w:ascii="Book Antiqua" w:hAnsi="Book Antiqua"/>
          <w:color w:val="000000" w:themeColor="text1"/>
          <w:szCs w:val="24"/>
        </w:rPr>
        <w:t>CNI sparing</w:t>
      </w:r>
      <w:r w:rsidR="00A11988" w:rsidRPr="00F740D9">
        <w:rPr>
          <w:rFonts w:ascii="Book Antiqua" w:hAnsi="Book Antiqua"/>
          <w:color w:val="000000" w:themeColor="text1"/>
          <w:szCs w:val="24"/>
        </w:rPr>
        <w:t xml:space="preserve"> regime</w:t>
      </w:r>
      <w:r w:rsidRPr="00F740D9">
        <w:rPr>
          <w:rFonts w:ascii="Book Antiqua" w:hAnsi="Book Antiqua"/>
          <w:color w:val="000000" w:themeColor="text1"/>
          <w:szCs w:val="24"/>
        </w:rPr>
        <w:t xml:space="preserve"> </w:t>
      </w:r>
      <w:r w:rsidR="00A11988" w:rsidRPr="00F740D9">
        <w:rPr>
          <w:rFonts w:ascii="Book Antiqua" w:hAnsi="Book Antiqua"/>
          <w:color w:val="000000" w:themeColor="text1"/>
          <w:szCs w:val="24"/>
        </w:rPr>
        <w:t>is the risk of</w:t>
      </w:r>
      <w:r w:rsidRPr="00F740D9">
        <w:rPr>
          <w:rFonts w:ascii="Book Antiqua" w:hAnsi="Book Antiqua"/>
          <w:color w:val="000000" w:themeColor="text1"/>
          <w:szCs w:val="24"/>
        </w:rPr>
        <w:t xml:space="preserve"> </w:t>
      </w:r>
      <w:r w:rsidR="00A11988" w:rsidRPr="00F740D9">
        <w:rPr>
          <w:rFonts w:ascii="Book Antiqua" w:hAnsi="Book Antiqua"/>
          <w:color w:val="000000" w:themeColor="text1"/>
          <w:szCs w:val="24"/>
        </w:rPr>
        <w:t xml:space="preserve">acute rejection. </w:t>
      </w:r>
      <w:r w:rsidR="00BC140E">
        <w:rPr>
          <w:rFonts w:ascii="Book Antiqua" w:hAnsi="Book Antiqua"/>
          <w:color w:val="000000" w:themeColor="text1"/>
          <w:szCs w:val="24"/>
        </w:rPr>
        <w:t>A p</w:t>
      </w:r>
      <w:r w:rsidR="00A11988" w:rsidRPr="00F740D9">
        <w:rPr>
          <w:rFonts w:ascii="Book Antiqua" w:hAnsi="Book Antiqua"/>
          <w:color w:val="000000" w:themeColor="text1"/>
          <w:szCs w:val="24"/>
        </w:rPr>
        <w:t>revious study show</w:t>
      </w:r>
      <w:r w:rsidR="00BC140E">
        <w:rPr>
          <w:rFonts w:ascii="Book Antiqua" w:hAnsi="Book Antiqua"/>
          <w:color w:val="000000" w:themeColor="text1"/>
          <w:szCs w:val="24"/>
        </w:rPr>
        <w:t>ed</w:t>
      </w:r>
      <w:r w:rsidR="00A11988" w:rsidRPr="00F740D9">
        <w:rPr>
          <w:rFonts w:ascii="Book Antiqua" w:hAnsi="Book Antiqua"/>
          <w:color w:val="000000" w:themeColor="text1"/>
          <w:szCs w:val="24"/>
        </w:rPr>
        <w:t xml:space="preserve"> that mTOR inhibitor monotherapy was associated with </w:t>
      </w:r>
      <w:r w:rsidR="00BC140E">
        <w:rPr>
          <w:rFonts w:ascii="Book Antiqua" w:hAnsi="Book Antiqua"/>
          <w:color w:val="000000" w:themeColor="text1"/>
          <w:szCs w:val="24"/>
        </w:rPr>
        <w:t xml:space="preserve">a </w:t>
      </w:r>
      <w:r w:rsidR="00A11988" w:rsidRPr="00F740D9">
        <w:rPr>
          <w:rFonts w:ascii="Book Antiqua" w:hAnsi="Book Antiqua"/>
          <w:color w:val="000000" w:themeColor="text1"/>
          <w:szCs w:val="24"/>
        </w:rPr>
        <w:t>significantly higher rejection rate despite combination with CNI u</w:t>
      </w:r>
      <w:r w:rsidR="00BC140E">
        <w:rPr>
          <w:rFonts w:ascii="Book Antiqua" w:hAnsi="Book Antiqua"/>
          <w:color w:val="000000" w:themeColor="text1"/>
          <w:szCs w:val="24"/>
        </w:rPr>
        <w:t>p to</w:t>
      </w:r>
      <w:r w:rsidR="00A11988" w:rsidRPr="00F740D9">
        <w:rPr>
          <w:rFonts w:ascii="Book Antiqua" w:hAnsi="Book Antiqua"/>
          <w:color w:val="000000" w:themeColor="text1"/>
          <w:szCs w:val="24"/>
        </w:rPr>
        <w:t xml:space="preserve"> 4</w:t>
      </w:r>
      <w:r w:rsidR="00F65509" w:rsidRPr="00F740D9">
        <w:rPr>
          <w:rFonts w:ascii="Book Antiqua" w:hAnsi="Book Antiqua"/>
          <w:color w:val="000000" w:themeColor="text1"/>
          <w:szCs w:val="24"/>
        </w:rPr>
        <w:t xml:space="preserve"> </w:t>
      </w:r>
      <w:r w:rsidR="00A11988" w:rsidRPr="00F740D9">
        <w:rPr>
          <w:rFonts w:ascii="Book Antiqua" w:hAnsi="Book Antiqua"/>
          <w:color w:val="000000" w:themeColor="text1"/>
          <w:szCs w:val="24"/>
        </w:rPr>
        <w:t xml:space="preserve">mo </w:t>
      </w:r>
      <w:r w:rsidR="00A11988" w:rsidRPr="00F740D9">
        <w:rPr>
          <w:rFonts w:ascii="Book Antiqua" w:hAnsi="Book Antiqua"/>
          <w:color w:val="000000" w:themeColor="text1"/>
          <w:szCs w:val="24"/>
        </w:rPr>
        <w:lastRenderedPageBreak/>
        <w:t>after transplant</w:t>
      </w:r>
      <w:r w:rsidR="00AF289B" w:rsidRPr="00F740D9">
        <w:rPr>
          <w:rFonts w:ascii="Book Antiqua" w:hAnsi="Book Antiqua"/>
          <w:color w:val="000000" w:themeColor="text1"/>
          <w:szCs w:val="24"/>
          <w:vertAlign w:val="superscript"/>
        </w:rPr>
        <w:t>[</w:t>
      </w:r>
      <w:r w:rsidRPr="00F740D9">
        <w:rPr>
          <w:rFonts w:ascii="Book Antiqua" w:hAnsi="Book Antiqua"/>
          <w:color w:val="000000" w:themeColor="text1"/>
          <w:szCs w:val="24"/>
          <w:vertAlign w:val="superscript"/>
        </w:rPr>
        <w:fldChar w:fldCharType="begin" w:fldLock="1"/>
      </w:r>
      <w:r w:rsidR="00A228B7" w:rsidRPr="00F740D9">
        <w:rPr>
          <w:rFonts w:ascii="Book Antiqua" w:hAnsi="Book Antiqua"/>
          <w:color w:val="000000" w:themeColor="text1"/>
          <w:szCs w:val="24"/>
          <w:vertAlign w:val="superscript"/>
        </w:rPr>
        <w:instrText>ADDIN CSL_CITATION {"citationItems":[{"id":"ITEM-1","itemData":{"DOI":"10.1097/TP.0000000000000555","ISSN":"00411337","abstract":"Data are lacking regarding the long-term effect of preemptive conversion to everolimus from calcineurin inhibitors early after liver transplantation to avoid renal deterioration. Methods In a prospective, multicenter, open-label study, de novo liver transplant patients were randomized at day 30 to (i) everolimus + reduced exposure tacrolimus (EVR + Reduced TAC), (ii) everolimus + tacrolimus elimination (TAC Elimination), or (iii) standard exposure tacrolimus (TAC Control). Results Randomization to TAC Elimination was terminated prematurely due to a higher rate of treated biopsy-proven acute rejection (tBPAR) during TAC withdrawal. Of 370 patients who completed the 24-month core study on-treatment, 282 (76.2%) entered an additional 12-month extension phase. The composite efficacy failure endpoint (tBPAR, graft loss or death) occurred in 11.5% of EVR+Reduced TAC patients versus 14.6% TAC Controls from randomization to month 36 (difference,-3.2%; 95% confidence interval,-10.5% to 4.2%; P = 0.334). Treated BPAR occurred in 4.8% versus 9.2% of patients (P = 0.076). From randomization to month 36, mean (SD) estimated glomerular filtration rate decreased by 7.0 (31.3) mL/min per 1.73 m2 in the EVR+Reduced TAC group, and 15.5 (22.7) mL/min per 1.73 m2 in the TAC Control group (P = 0.005). Rates of adverse events, serious adverse events, and discontinuation due to adverse events were similar in both groups during the extension. Conclusions A clinically relevant renal benefit after introduction of everolimus with reduced-exposure tacrolimus at 1 month after liver transplantation was maintained to 3 years in patients who continued everolimus therapy to the end of the core study, with comparable efficacy and no late safety concerns.","author":[{"dropping-particle":"","family":"Fischer","given":"Lutz","non-dropping-particle":"","parse-names":false,"suffix":""},{"dropping-particle":"","family":"Saliba","given":"Faouzi","non-dropping-particle":"","parse-names":false,"suffix":""},{"dropping-particle":"","family":"Kaiser","given":"Gernot M.","non-dropping-particle":"","parse-names":false,"suffix":""},{"dropping-particle":"","family":"Carlis","given":"Luciano","non-dropping-particle":"De","parse-names":false,"suffix":""},{"dropping-particle":"","family":"Metselaar","given":"Herold J.","non-dropping-particle":"","parse-names":false,"suffix":""},{"dropping-particle":"","family":"Simone","given":"Paolo","non-dropping-particle":"De","parse-names":false,"suffix":""},{"dropping-particle":"","family":"Duvoux","given":"Christophe","non-dropping-particle":"","parse-names":false,"suffix":""},{"dropping-particle":"","family":"Nevens","given":"Frederik","non-dropping-particle":"","parse-names":false,"suffix":""},{"dropping-particle":"","family":"Fung","given":"John J.","non-dropping-particle":"","parse-names":false,"suffix":""},{"dropping-particle":"","family":"Dong","given":"Gaohong","non-dropping-particle":"","parse-names":false,"suffix":""},{"dropping-particle":"","family":"Rauer","given":"Barbara","non-dropping-particle":"","parse-names":false,"suffix":""},{"dropping-particle":"","family":"Junge","given":"Guido","non-dropping-particle":"","parse-names":false,"suffix":""}],"container-title":"Transplantation","id":"ITEM-1","issue":"7","issued":{"date-parts":[["2015","7","2"]]},"page":"1455-1462","publisher":"Lippincott Williams and Wilkins","title":"Three-year Outcomes in de Novo Liver Transplant Patients Receiving Everolimus with Reduced Tacrolimus: Follow-Up Results from a Randomized, Multicenter Study","type":"article-journal","volume":"99"},"uris":["http://www.mendeley.com/documents/?uuid=1a6fa07a-922c-3e90-8d5f-266bcdc848f3"]}],"mendeley":{"formattedCitation":"&lt;sup&gt;24&lt;/sup&gt;","plainTextFormattedCitation":"24","previouslyFormattedCitation":"&lt;sup&gt;24&lt;/sup&gt;"},"properties":{"noteIndex":0},"schema":"https://github.com/citation-style-language/schema/raw/master/csl-citation.json"}</w:instrText>
      </w:r>
      <w:r w:rsidRPr="00F740D9">
        <w:rPr>
          <w:rFonts w:ascii="Book Antiqua" w:hAnsi="Book Antiqua"/>
          <w:color w:val="000000" w:themeColor="text1"/>
          <w:szCs w:val="24"/>
          <w:vertAlign w:val="superscript"/>
        </w:rPr>
        <w:fldChar w:fldCharType="separate"/>
      </w:r>
      <w:r w:rsidR="00A228B7" w:rsidRPr="00F740D9">
        <w:rPr>
          <w:rFonts w:ascii="Book Antiqua" w:hAnsi="Book Antiqua"/>
          <w:noProof/>
          <w:color w:val="000000" w:themeColor="text1"/>
          <w:szCs w:val="24"/>
          <w:vertAlign w:val="superscript"/>
        </w:rPr>
        <w:t>24</w:t>
      </w:r>
      <w:r w:rsidRPr="00F740D9">
        <w:rPr>
          <w:rFonts w:ascii="Book Antiqua" w:hAnsi="Book Antiqua"/>
          <w:color w:val="000000" w:themeColor="text1"/>
          <w:szCs w:val="24"/>
          <w:vertAlign w:val="superscript"/>
        </w:rPr>
        <w:fldChar w:fldCharType="end"/>
      </w:r>
      <w:r w:rsidR="00AF289B" w:rsidRPr="00F740D9">
        <w:rPr>
          <w:rFonts w:ascii="Book Antiqua" w:hAnsi="Book Antiqua"/>
          <w:color w:val="000000" w:themeColor="text1"/>
          <w:szCs w:val="24"/>
          <w:vertAlign w:val="superscript"/>
        </w:rPr>
        <w:t>]</w:t>
      </w:r>
      <w:r w:rsidR="00A11988" w:rsidRPr="00F740D9">
        <w:rPr>
          <w:rFonts w:ascii="Book Antiqua" w:hAnsi="Book Antiqua"/>
          <w:color w:val="000000" w:themeColor="text1"/>
          <w:szCs w:val="24"/>
        </w:rPr>
        <w:t xml:space="preserve">. </w:t>
      </w:r>
      <w:r w:rsidR="008103EB" w:rsidRPr="00F740D9">
        <w:rPr>
          <w:rFonts w:ascii="Book Antiqua" w:hAnsi="Book Antiqua"/>
          <w:color w:val="000000" w:themeColor="text1"/>
          <w:szCs w:val="24"/>
        </w:rPr>
        <w:t>R</w:t>
      </w:r>
      <w:r w:rsidR="00A11988" w:rsidRPr="00F740D9">
        <w:rPr>
          <w:rFonts w:ascii="Book Antiqua" w:hAnsi="Book Antiqua"/>
          <w:color w:val="000000" w:themeColor="text1"/>
          <w:szCs w:val="24"/>
        </w:rPr>
        <w:t xml:space="preserve">ejection might become less of a problem at the time of recurrence (median </w:t>
      </w:r>
      <w:r w:rsidR="008103EB" w:rsidRPr="00F740D9">
        <w:rPr>
          <w:rFonts w:ascii="Book Antiqua" w:hAnsi="Book Antiqua"/>
          <w:color w:val="000000" w:themeColor="text1"/>
          <w:szCs w:val="24"/>
        </w:rPr>
        <w:t xml:space="preserve">time </w:t>
      </w:r>
      <w:r w:rsidR="00A11988" w:rsidRPr="00F740D9">
        <w:rPr>
          <w:rFonts w:ascii="Book Antiqua" w:hAnsi="Book Antiqua"/>
          <w:color w:val="000000" w:themeColor="text1"/>
          <w:szCs w:val="24"/>
        </w:rPr>
        <w:t>from transplant</w:t>
      </w:r>
      <w:r w:rsidR="008103EB" w:rsidRPr="00F740D9">
        <w:rPr>
          <w:rFonts w:ascii="Book Antiqua" w:hAnsi="Book Antiqua"/>
          <w:color w:val="000000" w:themeColor="text1"/>
          <w:szCs w:val="24"/>
        </w:rPr>
        <w:t xml:space="preserve"> 12 mo</w:t>
      </w:r>
      <w:r w:rsidR="00A11988" w:rsidRPr="00F740D9">
        <w:rPr>
          <w:rFonts w:ascii="Book Antiqua" w:hAnsi="Book Antiqua"/>
          <w:color w:val="000000" w:themeColor="text1"/>
          <w:szCs w:val="24"/>
        </w:rPr>
        <w:t>)</w:t>
      </w:r>
      <w:r w:rsidR="008103EB" w:rsidRPr="00F740D9">
        <w:rPr>
          <w:rFonts w:ascii="Book Antiqua" w:hAnsi="Book Antiqua"/>
          <w:color w:val="000000" w:themeColor="text1"/>
          <w:szCs w:val="24"/>
        </w:rPr>
        <w:t xml:space="preserve">. </w:t>
      </w:r>
      <w:r w:rsidR="00322AD9" w:rsidRPr="00F740D9">
        <w:rPr>
          <w:rFonts w:ascii="Book Antiqua" w:hAnsi="Book Antiqua"/>
          <w:color w:val="000000" w:themeColor="text1"/>
          <w:szCs w:val="24"/>
        </w:rPr>
        <w:t>Our study results were produced with a case mix of monotherapy and combination therapy. Two</w:t>
      </w:r>
      <w:r w:rsidR="00D07586" w:rsidRPr="00F740D9">
        <w:rPr>
          <w:rFonts w:ascii="Book Antiqua" w:hAnsi="Book Antiqua"/>
          <w:color w:val="000000" w:themeColor="text1"/>
          <w:szCs w:val="24"/>
        </w:rPr>
        <w:t xml:space="preserve"> episodes of biopsy proven acute rejection occurred in the combination therapy group</w:t>
      </w:r>
      <w:r w:rsidR="009F3091" w:rsidRPr="00F740D9">
        <w:rPr>
          <w:rFonts w:ascii="Book Antiqua" w:hAnsi="Book Antiqua"/>
          <w:color w:val="000000" w:themeColor="text1"/>
          <w:szCs w:val="24"/>
        </w:rPr>
        <w:t xml:space="preserve"> and none occurred in the monotherapy group</w:t>
      </w:r>
      <w:r w:rsidR="00D07586" w:rsidRPr="00F740D9">
        <w:rPr>
          <w:rFonts w:ascii="Book Antiqua" w:hAnsi="Book Antiqua"/>
          <w:color w:val="000000" w:themeColor="text1"/>
          <w:szCs w:val="24"/>
        </w:rPr>
        <w:t xml:space="preserve">. However, </w:t>
      </w:r>
      <w:r w:rsidR="00C8260A" w:rsidRPr="00F740D9">
        <w:rPr>
          <w:rFonts w:ascii="Book Antiqua" w:hAnsi="Book Antiqua"/>
          <w:color w:val="000000" w:themeColor="text1"/>
          <w:szCs w:val="24"/>
        </w:rPr>
        <w:t xml:space="preserve">we did not perform protocol biopsy and mild episodes of rejection </w:t>
      </w:r>
      <w:r w:rsidR="002242F1" w:rsidRPr="00F740D9">
        <w:rPr>
          <w:rFonts w:ascii="Book Antiqua" w:hAnsi="Book Antiqua"/>
          <w:color w:val="000000" w:themeColor="text1"/>
          <w:szCs w:val="24"/>
        </w:rPr>
        <w:t xml:space="preserve">were not </w:t>
      </w:r>
      <w:r w:rsidR="006C1EC6" w:rsidRPr="00F740D9">
        <w:rPr>
          <w:rFonts w:ascii="Book Antiqua" w:hAnsi="Book Antiqua"/>
          <w:color w:val="000000" w:themeColor="text1"/>
          <w:szCs w:val="24"/>
        </w:rPr>
        <w:t>studied</w:t>
      </w:r>
      <w:r w:rsidR="00C8260A" w:rsidRPr="00F740D9">
        <w:rPr>
          <w:rFonts w:ascii="Book Antiqua" w:hAnsi="Book Antiqua"/>
          <w:color w:val="000000" w:themeColor="text1"/>
          <w:szCs w:val="24"/>
        </w:rPr>
        <w:t xml:space="preserve">. </w:t>
      </w:r>
      <w:r w:rsidR="002242F1" w:rsidRPr="00F740D9">
        <w:rPr>
          <w:rFonts w:ascii="Book Antiqua" w:hAnsi="Book Antiqua"/>
          <w:color w:val="000000" w:themeColor="text1"/>
          <w:szCs w:val="24"/>
        </w:rPr>
        <w:t>G</w:t>
      </w:r>
      <w:r w:rsidR="00D07586" w:rsidRPr="00F740D9">
        <w:rPr>
          <w:rFonts w:ascii="Book Antiqua" w:hAnsi="Book Antiqua"/>
          <w:color w:val="000000" w:themeColor="text1"/>
          <w:szCs w:val="24"/>
        </w:rPr>
        <w:t>iven the low incidence of acute rejection</w:t>
      </w:r>
      <w:r w:rsidR="00BC140E">
        <w:rPr>
          <w:rFonts w:ascii="Book Antiqua" w:hAnsi="Book Antiqua"/>
          <w:color w:val="000000" w:themeColor="text1"/>
          <w:szCs w:val="24"/>
        </w:rPr>
        <w:t xml:space="preserve">, </w:t>
      </w:r>
      <w:r w:rsidR="00D07586" w:rsidRPr="00F740D9">
        <w:rPr>
          <w:rFonts w:ascii="Book Antiqua" w:hAnsi="Book Antiqua"/>
          <w:color w:val="000000" w:themeColor="text1"/>
          <w:szCs w:val="24"/>
        </w:rPr>
        <w:t xml:space="preserve">the current study </w:t>
      </w:r>
      <w:r w:rsidR="00AD0189" w:rsidRPr="00F740D9">
        <w:rPr>
          <w:rFonts w:ascii="Book Antiqua" w:hAnsi="Book Antiqua"/>
          <w:color w:val="000000" w:themeColor="text1"/>
          <w:szCs w:val="24"/>
        </w:rPr>
        <w:t xml:space="preserve">would </w:t>
      </w:r>
      <w:r w:rsidR="00621EBF" w:rsidRPr="00F740D9">
        <w:rPr>
          <w:rFonts w:ascii="Book Antiqua" w:hAnsi="Book Antiqua"/>
          <w:color w:val="000000" w:themeColor="text1"/>
          <w:szCs w:val="24"/>
        </w:rPr>
        <w:t>be</w:t>
      </w:r>
      <w:r w:rsidR="00D07586" w:rsidRPr="00F740D9">
        <w:rPr>
          <w:rFonts w:ascii="Book Antiqua" w:hAnsi="Book Antiqua"/>
          <w:color w:val="000000" w:themeColor="text1"/>
          <w:szCs w:val="24"/>
        </w:rPr>
        <w:t xml:space="preserve"> underpowered to detect any differences. </w:t>
      </w:r>
      <w:r w:rsidR="0081501C" w:rsidRPr="00F740D9">
        <w:rPr>
          <w:rFonts w:ascii="Book Antiqua" w:hAnsi="Book Antiqua"/>
          <w:color w:val="000000" w:themeColor="text1"/>
          <w:szCs w:val="24"/>
        </w:rPr>
        <w:t>Th</w:t>
      </w:r>
      <w:r w:rsidR="00E10F23" w:rsidRPr="00F740D9">
        <w:rPr>
          <w:rFonts w:ascii="Book Antiqua" w:hAnsi="Book Antiqua"/>
          <w:color w:val="000000" w:themeColor="text1"/>
          <w:szCs w:val="24"/>
        </w:rPr>
        <w:t>e sample size might well be insufficient to study any differences in survival</w:t>
      </w:r>
      <w:r w:rsidR="0081501C" w:rsidRPr="00F740D9">
        <w:rPr>
          <w:rFonts w:ascii="Book Antiqua" w:hAnsi="Book Antiqua"/>
          <w:color w:val="000000" w:themeColor="text1"/>
          <w:szCs w:val="24"/>
        </w:rPr>
        <w:t xml:space="preserve">. </w:t>
      </w:r>
      <w:r w:rsidR="00D07586" w:rsidRPr="00F740D9">
        <w:rPr>
          <w:rFonts w:ascii="Book Antiqua" w:hAnsi="Book Antiqua"/>
          <w:color w:val="000000" w:themeColor="text1"/>
          <w:szCs w:val="24"/>
        </w:rPr>
        <w:t xml:space="preserve">We </w:t>
      </w:r>
      <w:r w:rsidR="00D6003A" w:rsidRPr="00F740D9">
        <w:rPr>
          <w:rFonts w:ascii="Book Antiqua" w:hAnsi="Book Antiqua"/>
          <w:color w:val="000000" w:themeColor="text1"/>
          <w:szCs w:val="24"/>
        </w:rPr>
        <w:t>c</w:t>
      </w:r>
      <w:r w:rsidR="00BC140E">
        <w:rPr>
          <w:rFonts w:ascii="Book Antiqua" w:hAnsi="Book Antiqua"/>
          <w:color w:val="000000" w:themeColor="text1"/>
          <w:szCs w:val="24"/>
        </w:rPr>
        <w:t>an</w:t>
      </w:r>
      <w:r w:rsidR="00D6003A" w:rsidRPr="00F740D9">
        <w:rPr>
          <w:rFonts w:ascii="Book Antiqua" w:hAnsi="Book Antiqua"/>
          <w:color w:val="000000" w:themeColor="text1"/>
          <w:szCs w:val="24"/>
        </w:rPr>
        <w:t xml:space="preserve"> not</w:t>
      </w:r>
      <w:r w:rsidR="00D07586" w:rsidRPr="00F740D9">
        <w:rPr>
          <w:rFonts w:ascii="Book Antiqua" w:hAnsi="Book Antiqua"/>
          <w:color w:val="000000" w:themeColor="text1"/>
          <w:szCs w:val="24"/>
        </w:rPr>
        <w:t xml:space="preserve"> </w:t>
      </w:r>
      <w:r w:rsidR="00BC140E">
        <w:rPr>
          <w:rFonts w:ascii="Book Antiqua" w:hAnsi="Book Antiqua"/>
          <w:color w:val="000000" w:themeColor="text1"/>
          <w:szCs w:val="24"/>
        </w:rPr>
        <w:t>provide</w:t>
      </w:r>
      <w:r w:rsidR="00D90309" w:rsidRPr="00F740D9">
        <w:rPr>
          <w:rFonts w:ascii="Book Antiqua" w:hAnsi="Book Antiqua"/>
          <w:color w:val="000000" w:themeColor="text1"/>
          <w:szCs w:val="24"/>
        </w:rPr>
        <w:t xml:space="preserve"> </w:t>
      </w:r>
      <w:r w:rsidR="001C3F15" w:rsidRPr="00F740D9">
        <w:rPr>
          <w:rFonts w:ascii="Book Antiqua" w:hAnsi="Book Antiqua"/>
          <w:color w:val="000000" w:themeColor="text1"/>
          <w:szCs w:val="24"/>
        </w:rPr>
        <w:t>any recommendation</w:t>
      </w:r>
      <w:r w:rsidR="00E83878" w:rsidRPr="00F740D9">
        <w:rPr>
          <w:rFonts w:ascii="Book Antiqua" w:hAnsi="Book Antiqua"/>
          <w:color w:val="000000" w:themeColor="text1"/>
          <w:szCs w:val="24"/>
        </w:rPr>
        <w:t>s</w:t>
      </w:r>
      <w:r w:rsidR="001C3F15" w:rsidRPr="00F740D9">
        <w:rPr>
          <w:rFonts w:ascii="Book Antiqua" w:hAnsi="Book Antiqua"/>
          <w:color w:val="000000" w:themeColor="text1"/>
          <w:szCs w:val="24"/>
        </w:rPr>
        <w:t xml:space="preserve"> </w:t>
      </w:r>
      <w:r w:rsidR="00E83878" w:rsidRPr="00F740D9">
        <w:rPr>
          <w:rFonts w:ascii="Book Antiqua" w:hAnsi="Book Antiqua"/>
          <w:color w:val="000000" w:themeColor="text1"/>
          <w:szCs w:val="24"/>
        </w:rPr>
        <w:t>regarding</w:t>
      </w:r>
      <w:r w:rsidR="001C3F15" w:rsidRPr="00F740D9">
        <w:rPr>
          <w:rFonts w:ascii="Book Antiqua" w:hAnsi="Book Antiqua"/>
          <w:color w:val="000000" w:themeColor="text1"/>
          <w:szCs w:val="24"/>
        </w:rPr>
        <w:t xml:space="preserve"> monotherapy </w:t>
      </w:r>
      <w:r w:rsidR="00FA67C0" w:rsidRPr="00F740D9">
        <w:rPr>
          <w:rFonts w:ascii="Book Antiqua" w:hAnsi="Book Antiqua"/>
          <w:color w:val="000000" w:themeColor="text1"/>
          <w:szCs w:val="24"/>
        </w:rPr>
        <w:t>versus</w:t>
      </w:r>
      <w:r w:rsidR="001C3F15" w:rsidRPr="00F740D9">
        <w:rPr>
          <w:rFonts w:ascii="Book Antiqua" w:hAnsi="Book Antiqua"/>
          <w:color w:val="000000" w:themeColor="text1"/>
          <w:szCs w:val="24"/>
        </w:rPr>
        <w:t xml:space="preserve"> combination therapy</w:t>
      </w:r>
      <w:r w:rsidR="00A11988" w:rsidRPr="00F740D9">
        <w:rPr>
          <w:rFonts w:ascii="Book Antiqua" w:hAnsi="Book Antiqua"/>
          <w:color w:val="000000" w:themeColor="text1"/>
          <w:szCs w:val="24"/>
        </w:rPr>
        <w:t>.</w:t>
      </w:r>
    </w:p>
    <w:p w14:paraId="203D39BB" w14:textId="7690B57C" w:rsidR="004A3706" w:rsidRPr="00F740D9" w:rsidRDefault="003563FB" w:rsidP="00BE6C9D">
      <w:pPr>
        <w:snapToGrid w:val="0"/>
        <w:spacing w:line="360" w:lineRule="auto"/>
        <w:ind w:firstLineChars="100" w:firstLine="240"/>
        <w:jc w:val="both"/>
        <w:rPr>
          <w:rFonts w:ascii="Book Antiqua" w:hAnsi="Book Antiqua"/>
          <w:color w:val="000000" w:themeColor="text1"/>
          <w:szCs w:val="24"/>
        </w:rPr>
      </w:pPr>
      <w:r w:rsidRPr="00F740D9">
        <w:rPr>
          <w:rFonts w:ascii="Book Antiqua" w:hAnsi="Book Antiqua"/>
          <w:color w:val="000000" w:themeColor="text1"/>
          <w:szCs w:val="24"/>
        </w:rPr>
        <w:t>T</w:t>
      </w:r>
      <w:r w:rsidR="000B1DD6" w:rsidRPr="00F740D9">
        <w:rPr>
          <w:rFonts w:ascii="Book Antiqua" w:hAnsi="Book Antiqua"/>
          <w:color w:val="000000" w:themeColor="text1"/>
          <w:szCs w:val="24"/>
        </w:rPr>
        <w:t xml:space="preserve">he current study was limited </w:t>
      </w:r>
      <w:r w:rsidR="00B52007" w:rsidRPr="00F740D9">
        <w:rPr>
          <w:rFonts w:ascii="Book Antiqua" w:hAnsi="Book Antiqua"/>
          <w:color w:val="000000" w:themeColor="text1"/>
          <w:szCs w:val="24"/>
        </w:rPr>
        <w:t xml:space="preserve">by its retrospective nature. Selection bias was inevitable. </w:t>
      </w:r>
      <w:r w:rsidR="00F90DBD" w:rsidRPr="00F740D9">
        <w:rPr>
          <w:rFonts w:ascii="Book Antiqua" w:hAnsi="Book Antiqua"/>
          <w:color w:val="000000" w:themeColor="text1"/>
          <w:szCs w:val="24"/>
        </w:rPr>
        <w:t>The non-mTOR inhibitor group had</w:t>
      </w:r>
      <w:r w:rsidR="00FA67C0" w:rsidRPr="00F740D9">
        <w:rPr>
          <w:rFonts w:ascii="Book Antiqua" w:hAnsi="Book Antiqua"/>
          <w:color w:val="000000" w:themeColor="text1"/>
          <w:szCs w:val="24"/>
        </w:rPr>
        <w:t xml:space="preserve"> </w:t>
      </w:r>
      <w:r w:rsidR="0022517A" w:rsidRPr="00F740D9">
        <w:rPr>
          <w:rFonts w:ascii="Book Antiqua" w:hAnsi="Book Antiqua"/>
          <w:color w:val="000000" w:themeColor="text1"/>
          <w:szCs w:val="24"/>
        </w:rPr>
        <w:t>modestly</w:t>
      </w:r>
      <w:r w:rsidR="00FA67C0" w:rsidRPr="00F740D9">
        <w:rPr>
          <w:rFonts w:ascii="Book Antiqua" w:hAnsi="Book Antiqua"/>
          <w:color w:val="000000" w:themeColor="text1"/>
          <w:szCs w:val="24"/>
        </w:rPr>
        <w:t xml:space="preserve"> </w:t>
      </w:r>
      <w:r w:rsidR="00F90DBD" w:rsidRPr="00F740D9">
        <w:rPr>
          <w:rFonts w:ascii="Book Antiqua" w:hAnsi="Book Antiqua"/>
          <w:color w:val="000000" w:themeColor="text1"/>
          <w:szCs w:val="24"/>
        </w:rPr>
        <w:t xml:space="preserve">more advanced disease. </w:t>
      </w:r>
      <w:r w:rsidR="0041012E" w:rsidRPr="00F740D9">
        <w:rPr>
          <w:rFonts w:ascii="Book Antiqua" w:hAnsi="Book Antiqua"/>
          <w:color w:val="000000" w:themeColor="text1"/>
          <w:szCs w:val="24"/>
        </w:rPr>
        <w:t xml:space="preserve">The </w:t>
      </w:r>
      <w:r w:rsidR="00C27042" w:rsidRPr="00F740D9">
        <w:rPr>
          <w:rFonts w:ascii="Book Antiqua" w:hAnsi="Book Antiqua"/>
          <w:color w:val="000000" w:themeColor="text1"/>
          <w:szCs w:val="24"/>
        </w:rPr>
        <w:t xml:space="preserve">performance status </w:t>
      </w:r>
      <w:r w:rsidR="0041012E" w:rsidRPr="00F740D9">
        <w:rPr>
          <w:rFonts w:ascii="Book Antiqua" w:hAnsi="Book Antiqua"/>
          <w:color w:val="000000" w:themeColor="text1"/>
          <w:szCs w:val="24"/>
        </w:rPr>
        <w:t xml:space="preserve">of our </w:t>
      </w:r>
      <w:r w:rsidR="0029351F" w:rsidRPr="00F740D9">
        <w:rPr>
          <w:rFonts w:ascii="Book Antiqua" w:hAnsi="Book Antiqua"/>
          <w:color w:val="000000" w:themeColor="text1"/>
          <w:szCs w:val="24"/>
        </w:rPr>
        <w:t xml:space="preserve">patients </w:t>
      </w:r>
      <w:r w:rsidR="00C5223F" w:rsidRPr="00F740D9">
        <w:rPr>
          <w:rFonts w:ascii="Book Antiqua" w:hAnsi="Book Antiqua"/>
          <w:color w:val="000000" w:themeColor="text1"/>
          <w:szCs w:val="24"/>
        </w:rPr>
        <w:t>was</w:t>
      </w:r>
      <w:r w:rsidR="0029351F" w:rsidRPr="00F740D9">
        <w:rPr>
          <w:rFonts w:ascii="Book Antiqua" w:hAnsi="Book Antiqua"/>
          <w:color w:val="000000" w:themeColor="text1"/>
          <w:szCs w:val="24"/>
        </w:rPr>
        <w:t xml:space="preserve"> </w:t>
      </w:r>
      <w:r w:rsidR="0022517A" w:rsidRPr="00F740D9">
        <w:rPr>
          <w:rFonts w:ascii="Book Antiqua" w:hAnsi="Book Antiqua"/>
          <w:color w:val="000000" w:themeColor="text1"/>
          <w:szCs w:val="24"/>
        </w:rPr>
        <w:t xml:space="preserve">not </w:t>
      </w:r>
      <w:r w:rsidR="0041012E" w:rsidRPr="00F740D9">
        <w:rPr>
          <w:rFonts w:ascii="Book Antiqua" w:hAnsi="Book Antiqua"/>
          <w:color w:val="000000" w:themeColor="text1"/>
          <w:szCs w:val="24"/>
        </w:rPr>
        <w:t xml:space="preserve">quantified in </w:t>
      </w:r>
      <w:r w:rsidR="00C27042" w:rsidRPr="00F740D9">
        <w:rPr>
          <w:rFonts w:ascii="Book Antiqua" w:hAnsi="Book Antiqua"/>
          <w:color w:val="000000" w:themeColor="text1"/>
          <w:szCs w:val="24"/>
        </w:rPr>
        <w:t xml:space="preserve">our pre-existing database. </w:t>
      </w:r>
      <w:r w:rsidRPr="00F740D9">
        <w:rPr>
          <w:rFonts w:ascii="Book Antiqua" w:hAnsi="Book Antiqua"/>
          <w:color w:val="000000" w:themeColor="text1"/>
          <w:szCs w:val="24"/>
        </w:rPr>
        <w:t xml:space="preserve">Patients with </w:t>
      </w:r>
      <w:r w:rsidR="007B302F" w:rsidRPr="00F740D9">
        <w:rPr>
          <w:rFonts w:ascii="Book Antiqua" w:hAnsi="Book Antiqua"/>
          <w:color w:val="000000" w:themeColor="text1"/>
          <w:szCs w:val="24"/>
        </w:rPr>
        <w:t xml:space="preserve">inferior performance status could be poorer candidates for mTOR inhibitor therapy due to </w:t>
      </w:r>
      <w:r w:rsidR="008103EB" w:rsidRPr="00F740D9">
        <w:rPr>
          <w:rFonts w:ascii="Book Antiqua" w:hAnsi="Book Antiqua"/>
          <w:color w:val="000000" w:themeColor="text1"/>
          <w:szCs w:val="24"/>
        </w:rPr>
        <w:t xml:space="preserve">potential </w:t>
      </w:r>
      <w:r w:rsidR="007B302F" w:rsidRPr="00F740D9">
        <w:rPr>
          <w:rFonts w:ascii="Book Antiqua" w:hAnsi="Book Antiqua"/>
          <w:color w:val="000000" w:themeColor="text1"/>
          <w:szCs w:val="24"/>
        </w:rPr>
        <w:t>side effects.</w:t>
      </w:r>
      <w:r w:rsidR="00C27042" w:rsidRPr="00F740D9">
        <w:rPr>
          <w:rFonts w:ascii="Book Antiqua" w:hAnsi="Book Antiqua"/>
          <w:color w:val="000000" w:themeColor="text1"/>
          <w:szCs w:val="24"/>
        </w:rPr>
        <w:t xml:space="preserve"> </w:t>
      </w:r>
      <w:r w:rsidR="00D02878" w:rsidRPr="00F740D9">
        <w:rPr>
          <w:rFonts w:ascii="Book Antiqua" w:hAnsi="Book Antiqua"/>
          <w:color w:val="000000" w:themeColor="text1"/>
          <w:szCs w:val="24"/>
        </w:rPr>
        <w:t>T</w:t>
      </w:r>
      <w:r w:rsidR="00F277D5" w:rsidRPr="00F740D9">
        <w:rPr>
          <w:rFonts w:ascii="Book Antiqua" w:hAnsi="Book Antiqua"/>
          <w:color w:val="000000" w:themeColor="text1"/>
          <w:szCs w:val="24"/>
        </w:rPr>
        <w:t xml:space="preserve">he decision to </w:t>
      </w:r>
      <w:r w:rsidR="00BC140E">
        <w:rPr>
          <w:rFonts w:ascii="Book Antiqua" w:hAnsi="Book Antiqua"/>
          <w:color w:val="000000" w:themeColor="text1"/>
          <w:szCs w:val="24"/>
        </w:rPr>
        <w:t xml:space="preserve">administer </w:t>
      </w:r>
      <w:r w:rsidR="00F277D5" w:rsidRPr="00F740D9">
        <w:rPr>
          <w:rFonts w:ascii="Book Antiqua" w:hAnsi="Book Antiqua"/>
          <w:color w:val="000000" w:themeColor="text1"/>
          <w:szCs w:val="24"/>
        </w:rPr>
        <w:t xml:space="preserve">mTOR inhibitor was primarily </w:t>
      </w:r>
      <w:r w:rsidR="009353BE" w:rsidRPr="00F740D9">
        <w:rPr>
          <w:rFonts w:ascii="Book Antiqua" w:hAnsi="Book Antiqua"/>
          <w:color w:val="000000" w:themeColor="text1"/>
          <w:szCs w:val="24"/>
        </w:rPr>
        <w:t xml:space="preserve">based on </w:t>
      </w:r>
      <w:r w:rsidR="00F277D5" w:rsidRPr="00F740D9">
        <w:rPr>
          <w:rFonts w:ascii="Book Antiqua" w:hAnsi="Book Antiqua"/>
          <w:color w:val="000000" w:themeColor="text1"/>
          <w:szCs w:val="24"/>
        </w:rPr>
        <w:t>clinical</w:t>
      </w:r>
      <w:r w:rsidR="00EC3F03" w:rsidRPr="00F740D9">
        <w:rPr>
          <w:rFonts w:ascii="Book Antiqua" w:hAnsi="Book Antiqua"/>
          <w:color w:val="000000" w:themeColor="text1"/>
          <w:szCs w:val="24"/>
        </w:rPr>
        <w:t xml:space="preserve"> judgement </w:t>
      </w:r>
      <w:r w:rsidR="00BC140E">
        <w:rPr>
          <w:rFonts w:ascii="Book Antiqua" w:hAnsi="Book Antiqua"/>
          <w:color w:val="000000" w:themeColor="text1"/>
          <w:szCs w:val="24"/>
        </w:rPr>
        <w:t>and was</w:t>
      </w:r>
      <w:r w:rsidR="00EC3F03" w:rsidRPr="00F740D9">
        <w:rPr>
          <w:rFonts w:ascii="Book Antiqua" w:hAnsi="Book Antiqua"/>
          <w:color w:val="000000" w:themeColor="text1"/>
          <w:szCs w:val="24"/>
        </w:rPr>
        <w:t xml:space="preserve"> </w:t>
      </w:r>
      <w:r w:rsidR="00F277D5" w:rsidRPr="00F740D9">
        <w:rPr>
          <w:rFonts w:ascii="Book Antiqua" w:hAnsi="Book Antiqua"/>
          <w:color w:val="000000" w:themeColor="text1"/>
          <w:szCs w:val="24"/>
        </w:rPr>
        <w:t xml:space="preserve">not protocol driven. Our data could not </w:t>
      </w:r>
      <w:r w:rsidR="00BC140E">
        <w:rPr>
          <w:rFonts w:ascii="Book Antiqua" w:hAnsi="Book Antiqua"/>
          <w:color w:val="000000" w:themeColor="text1"/>
          <w:szCs w:val="24"/>
        </w:rPr>
        <w:t>provide</w:t>
      </w:r>
      <w:r w:rsidR="00F277D5" w:rsidRPr="00F740D9">
        <w:rPr>
          <w:rFonts w:ascii="Book Antiqua" w:hAnsi="Book Antiqua"/>
          <w:color w:val="000000" w:themeColor="text1"/>
          <w:szCs w:val="24"/>
        </w:rPr>
        <w:t xml:space="preserve"> recommendations for patient selection. Results from previous studies showed that </w:t>
      </w:r>
      <w:r w:rsidR="00BC140E">
        <w:rPr>
          <w:rFonts w:ascii="Book Antiqua" w:hAnsi="Book Antiqua"/>
          <w:color w:val="000000" w:themeColor="text1"/>
          <w:szCs w:val="24"/>
        </w:rPr>
        <w:t xml:space="preserve">the </w:t>
      </w:r>
      <w:r w:rsidR="00F277D5" w:rsidRPr="00F740D9">
        <w:rPr>
          <w:rFonts w:ascii="Book Antiqua" w:hAnsi="Book Antiqua"/>
          <w:color w:val="000000" w:themeColor="text1"/>
          <w:szCs w:val="24"/>
        </w:rPr>
        <w:t>mTOR pathway was not universally upregulated in all patients transplanted for HCC</w:t>
      </w:r>
      <w:r w:rsidR="005452DB" w:rsidRPr="00F740D9">
        <w:rPr>
          <w:rFonts w:ascii="Book Antiqua" w:hAnsi="Book Antiqua"/>
          <w:color w:val="000000" w:themeColor="text1"/>
          <w:szCs w:val="24"/>
          <w:vertAlign w:val="superscript"/>
        </w:rPr>
        <w:t>[</w:t>
      </w:r>
      <w:r w:rsidR="00DF23CD" w:rsidRPr="00F740D9">
        <w:rPr>
          <w:rFonts w:ascii="Book Antiqua" w:hAnsi="Book Antiqua"/>
          <w:color w:val="000000" w:themeColor="text1"/>
          <w:szCs w:val="24"/>
          <w:vertAlign w:val="superscript"/>
        </w:rPr>
        <w:fldChar w:fldCharType="begin" w:fldLock="1"/>
      </w:r>
      <w:r w:rsidR="00A228B7" w:rsidRPr="00F740D9">
        <w:rPr>
          <w:rFonts w:ascii="Book Antiqua" w:hAnsi="Book Antiqua"/>
          <w:color w:val="000000" w:themeColor="text1"/>
          <w:szCs w:val="24"/>
          <w:vertAlign w:val="superscript"/>
        </w:rPr>
        <w:instrText>ADDIN CSL_CITATION {"citationItems":[{"id":"ITEM-1","itemData":{"DOI":"10.1038/nrc1362","ISSN":"1474-175X","PMID":"15122205","author":[{"dropping-particle":"","family":"Bjornsti","given":"Mary-Ann","non-dropping-particle":"","parse-names":false,"suffix":""},{"dropping-particle":"","family":"Houghton","given":"Peter J.","non-dropping-particle":"","parse-names":false,"suffix":""}],"container-title":"Nature Reviews Cancer","id":"ITEM-1","issue":"5","issued":{"date-parts":[["2004","5","1"]]},"page":"335-348","title":"The tor pathway: a target for cancer therapy","type":"article-journal","volume":"4"},"uris":["http://www.mendeley.com/documents/?uuid=44c262e1-1cd0-3bb6-af23-4b0478ad0143"]},{"id":"ITEM-2","itemData":{"DOI":"10.1097/01.tp.0000252780.42104.95","ISSN":"00411337","abstract":"BACKGROUND. Because mammalian target of rapamycin (mTOR) inhibitors combine anticancer and immunosuppressive properties we investigated: 1) the activation status and prognostic significance of the mTOR pathway in hepatocellular carcinoma (HCC) tissues of patients undergoing orthotopic liver transplantation (OLT) for HCC, and 2) the single and combinatorial efficacy of RAD001 in HCC cells. METHODS. PTEN, p-AKT, p-mTOR, p-p70S6K, and p-4EBP-1 were analyzed by immunohistochemistry in explanted HCCs of 166 patients undergoing OLT. Efficacy of RAD001 as mono- and combination therapy with doxorubicin was tested in Hep3B and SNU398 cells. RESULTS. The mTOR pathway is activated in about 40% of patients undergoing OLT for HCC but no direct correlation between up- and downstream proteins was observed. We found no influence of mTOR pathway protein expression on disease free survival (DFS) or overall survival (OS). There was a marked single agent and chemo-sensitizing effect of RAD001 against HCC cells in vitro. CONCLUSION. The mTOR pathway is active in 40% of patients with HCC undergoing OLT, but has no influence of DFS or OS. No direct correlation was observed between up- and downstream proteins limiting the use of upstream proteins to predict mTOR activity. Prospective clinical trials are needed to test whether the activation status of the mTOR pathway in HCCs predicts the antitumor effect of rapamycin derivative in the posttransplantation course. © 2007 Lippincott Williams &amp; Wilkins, Inc.","author":[{"dropping-particle":"","family":"Sieghart","given":"Wolfgang","non-dropping-particle":"","parse-names":false,"suffix":""},{"dropping-particle":"","family":"Fuereder","given":"Thorsten","non-dropping-particle":"","parse-names":false,"suffix":""},{"dropping-particle":"","family":"Schmid","given":"Katharina","non-dropping-particle":"","parse-names":false,"suffix":""},{"dropping-particle":"","family":"Cejka","given":"Daniel","non-dropping-particle":"","parse-names":false,"suffix":""},{"dropping-particle":"","family":"Werzowa","given":"Johannes","non-dropping-particle":"","parse-names":false,"suffix":""},{"dropping-particle":"","family":"Wrba","given":"Fritz","non-dropping-particle":"","parse-names":false,"suffix":""},{"dropping-particle":"","family":"Wang","given":"Xiaowei","non-dropping-particle":"","parse-names":false,"suffix":""},{"dropping-particle":"","family":"Gruber","given":"Diego","non-dropping-particle":"","parse-names":false,"suffix":""},{"dropping-particle":"","family":"Rasoul-Rockenschaub","given":"Susanne","non-dropping-particle":"","parse-names":false,"suffix":""},{"dropping-particle":"","family":"Peck-Radosavljevic","given":"Markus","non-dropping-particle":"","parse-names":false,"suffix":""},{"dropping-particle":"","family":"Wacheck","given":"Volker","non-dropping-particle":"","parse-names":false,"suffix":""}],"container-title":"Transplantation","id":"ITEM-2","issue":"4","issued":{"date-parts":[["2007","2"]]},"page":"425-432","title":"Mammalian target of rapamycin pathway activity in hepatocellular carcinomas of patients undergoing liver transplantation","type":"article-journal","volume":"83"},"uris":["http://www.mendeley.com/documents/?uuid=b9398097-70bc-341f-962d-0cd2c5895b6d"]}],"mendeley":{"formattedCitation":"&lt;sup&gt;25,26&lt;/sup&gt;","plainTextFormattedCitation":"25,26","previouslyFormattedCitation":"&lt;sup&gt;25,26&lt;/sup&gt;"},"properties":{"noteIndex":0},"schema":"https://github.com/citation-style-language/schema/raw/master/csl-citation.json"}</w:instrText>
      </w:r>
      <w:r w:rsidR="00DF23CD" w:rsidRPr="00F740D9">
        <w:rPr>
          <w:rFonts w:ascii="Book Antiqua" w:hAnsi="Book Antiqua"/>
          <w:color w:val="000000" w:themeColor="text1"/>
          <w:szCs w:val="24"/>
          <w:vertAlign w:val="superscript"/>
        </w:rPr>
        <w:fldChar w:fldCharType="separate"/>
      </w:r>
      <w:r w:rsidR="00A228B7" w:rsidRPr="00F740D9">
        <w:rPr>
          <w:rFonts w:ascii="Book Antiqua" w:hAnsi="Book Antiqua"/>
          <w:noProof/>
          <w:color w:val="000000" w:themeColor="text1"/>
          <w:szCs w:val="24"/>
          <w:vertAlign w:val="superscript"/>
        </w:rPr>
        <w:t>25,26</w:t>
      </w:r>
      <w:r w:rsidR="00DF23CD" w:rsidRPr="00F740D9">
        <w:rPr>
          <w:rFonts w:ascii="Book Antiqua" w:hAnsi="Book Antiqua"/>
          <w:color w:val="000000" w:themeColor="text1"/>
          <w:szCs w:val="24"/>
          <w:vertAlign w:val="superscript"/>
        </w:rPr>
        <w:fldChar w:fldCharType="end"/>
      </w:r>
      <w:r w:rsidR="005452DB" w:rsidRPr="00F740D9">
        <w:rPr>
          <w:rFonts w:ascii="Book Antiqua" w:hAnsi="Book Antiqua"/>
          <w:color w:val="000000" w:themeColor="text1"/>
          <w:szCs w:val="24"/>
          <w:vertAlign w:val="superscript"/>
        </w:rPr>
        <w:t>]</w:t>
      </w:r>
      <w:r w:rsidR="00DF23CD" w:rsidRPr="00F740D9">
        <w:rPr>
          <w:rFonts w:ascii="Book Antiqua" w:hAnsi="Book Antiqua"/>
          <w:color w:val="000000" w:themeColor="text1"/>
          <w:szCs w:val="24"/>
        </w:rPr>
        <w:t xml:space="preserve">. </w:t>
      </w:r>
      <w:r w:rsidR="00F277D5" w:rsidRPr="00F740D9">
        <w:rPr>
          <w:rFonts w:ascii="Book Antiqua" w:hAnsi="Book Antiqua"/>
          <w:color w:val="000000" w:themeColor="text1"/>
          <w:szCs w:val="24"/>
        </w:rPr>
        <w:t>Whether</w:t>
      </w:r>
      <w:r w:rsidR="00524EF1" w:rsidRPr="00F740D9">
        <w:rPr>
          <w:rFonts w:ascii="Book Antiqua" w:hAnsi="Book Antiqua"/>
          <w:color w:val="000000" w:themeColor="text1"/>
          <w:szCs w:val="24"/>
        </w:rPr>
        <w:t xml:space="preserve"> a subgroup of</w:t>
      </w:r>
      <w:r w:rsidR="00F277D5" w:rsidRPr="00F740D9">
        <w:rPr>
          <w:rFonts w:ascii="Book Antiqua" w:hAnsi="Book Antiqua"/>
          <w:color w:val="000000" w:themeColor="text1"/>
          <w:szCs w:val="24"/>
        </w:rPr>
        <w:t xml:space="preserve"> patients benefit</w:t>
      </w:r>
      <w:r w:rsidR="00524EF1" w:rsidRPr="00F740D9">
        <w:rPr>
          <w:rFonts w:ascii="Book Antiqua" w:hAnsi="Book Antiqua"/>
          <w:color w:val="000000" w:themeColor="text1"/>
          <w:szCs w:val="24"/>
        </w:rPr>
        <w:t xml:space="preserve"> more</w:t>
      </w:r>
      <w:r w:rsidR="00F277D5" w:rsidRPr="00F740D9">
        <w:rPr>
          <w:rFonts w:ascii="Book Antiqua" w:hAnsi="Book Antiqua"/>
          <w:color w:val="000000" w:themeColor="text1"/>
          <w:szCs w:val="24"/>
        </w:rPr>
        <w:t xml:space="preserve"> from mTOR blockade remains to be answered by future studies. </w:t>
      </w:r>
      <w:r w:rsidR="00DF1C1B" w:rsidRPr="00F740D9">
        <w:rPr>
          <w:rFonts w:ascii="Book Antiqua" w:hAnsi="Book Antiqua"/>
          <w:color w:val="000000" w:themeColor="text1"/>
          <w:szCs w:val="24"/>
        </w:rPr>
        <w:t xml:space="preserve">In summary, the current study adds to the literature </w:t>
      </w:r>
      <w:r w:rsidR="00F277D5" w:rsidRPr="00F740D9">
        <w:rPr>
          <w:rFonts w:ascii="Book Antiqua" w:hAnsi="Book Antiqua"/>
          <w:color w:val="000000" w:themeColor="text1"/>
          <w:szCs w:val="24"/>
        </w:rPr>
        <w:t>confirming</w:t>
      </w:r>
      <w:r w:rsidR="00DF1C1B" w:rsidRPr="00F740D9">
        <w:rPr>
          <w:rFonts w:ascii="Book Antiqua" w:hAnsi="Book Antiqua"/>
          <w:color w:val="000000" w:themeColor="text1"/>
          <w:szCs w:val="24"/>
        </w:rPr>
        <w:t xml:space="preserve"> </w:t>
      </w:r>
      <w:r w:rsidR="00F70628">
        <w:rPr>
          <w:rFonts w:ascii="Book Antiqua" w:hAnsi="Book Antiqua"/>
          <w:color w:val="000000" w:themeColor="text1"/>
          <w:szCs w:val="24"/>
        </w:rPr>
        <w:t xml:space="preserve">the </w:t>
      </w:r>
      <w:r w:rsidR="001A38AC" w:rsidRPr="00F740D9">
        <w:rPr>
          <w:rFonts w:ascii="Book Antiqua" w:hAnsi="Book Antiqua"/>
          <w:color w:val="000000" w:themeColor="text1"/>
          <w:szCs w:val="24"/>
        </w:rPr>
        <w:t xml:space="preserve">clear </w:t>
      </w:r>
      <w:r w:rsidR="00DF1C1B" w:rsidRPr="00F740D9">
        <w:rPr>
          <w:rFonts w:ascii="Book Antiqua" w:hAnsi="Book Antiqua"/>
          <w:color w:val="000000" w:themeColor="text1"/>
          <w:szCs w:val="24"/>
        </w:rPr>
        <w:t xml:space="preserve">survival </w:t>
      </w:r>
      <w:r w:rsidR="001A38AC" w:rsidRPr="00F740D9">
        <w:rPr>
          <w:rFonts w:ascii="Book Antiqua" w:hAnsi="Book Antiqua"/>
          <w:color w:val="000000" w:themeColor="text1"/>
          <w:szCs w:val="24"/>
        </w:rPr>
        <w:t>benefit</w:t>
      </w:r>
      <w:r w:rsidR="004B1DA5" w:rsidRPr="00F740D9">
        <w:rPr>
          <w:rFonts w:ascii="Book Antiqua" w:hAnsi="Book Antiqua"/>
          <w:color w:val="000000" w:themeColor="text1"/>
          <w:szCs w:val="24"/>
        </w:rPr>
        <w:t>s</w:t>
      </w:r>
      <w:r w:rsidR="001A38AC" w:rsidRPr="00F740D9">
        <w:rPr>
          <w:rFonts w:ascii="Book Antiqua" w:hAnsi="Book Antiqua"/>
          <w:color w:val="000000" w:themeColor="text1"/>
          <w:szCs w:val="24"/>
        </w:rPr>
        <w:t xml:space="preserve"> </w:t>
      </w:r>
      <w:r w:rsidR="00F70628">
        <w:rPr>
          <w:rFonts w:ascii="Book Antiqua" w:hAnsi="Book Antiqua"/>
          <w:color w:val="000000" w:themeColor="text1"/>
          <w:szCs w:val="24"/>
        </w:rPr>
        <w:t xml:space="preserve">of </w:t>
      </w:r>
      <w:r w:rsidR="00F70628" w:rsidRPr="00F740D9">
        <w:rPr>
          <w:rFonts w:ascii="Book Antiqua" w:hAnsi="Book Antiqua"/>
          <w:color w:val="000000" w:themeColor="text1"/>
          <w:szCs w:val="24"/>
        </w:rPr>
        <w:t>mTOR inhibitor-based immunosuppression</w:t>
      </w:r>
      <w:r w:rsidR="00F70628">
        <w:rPr>
          <w:rFonts w:ascii="Book Antiqua" w:hAnsi="Book Antiqua"/>
          <w:color w:val="000000" w:themeColor="text1"/>
          <w:szCs w:val="24"/>
        </w:rPr>
        <w:t>,</w:t>
      </w:r>
      <w:r w:rsidR="00F70628" w:rsidRPr="00F740D9">
        <w:rPr>
          <w:rFonts w:ascii="Book Antiqua" w:hAnsi="Book Antiqua"/>
          <w:color w:val="000000" w:themeColor="text1"/>
          <w:szCs w:val="24"/>
        </w:rPr>
        <w:t xml:space="preserve"> </w:t>
      </w:r>
      <w:r w:rsidR="00F277D5" w:rsidRPr="00F740D9">
        <w:rPr>
          <w:rFonts w:ascii="Book Antiqua" w:hAnsi="Book Antiqua"/>
          <w:color w:val="000000" w:themeColor="text1"/>
          <w:szCs w:val="24"/>
        </w:rPr>
        <w:t>and provid</w:t>
      </w:r>
      <w:r w:rsidR="00BC140E">
        <w:rPr>
          <w:rFonts w:ascii="Book Antiqua" w:hAnsi="Book Antiqua"/>
          <w:color w:val="000000" w:themeColor="text1"/>
          <w:szCs w:val="24"/>
        </w:rPr>
        <w:t>es</w:t>
      </w:r>
      <w:r w:rsidR="00F277D5" w:rsidRPr="00F740D9">
        <w:rPr>
          <w:rFonts w:ascii="Book Antiqua" w:hAnsi="Book Antiqua"/>
          <w:color w:val="000000" w:themeColor="text1"/>
          <w:szCs w:val="24"/>
        </w:rPr>
        <w:t xml:space="preserve"> a foundation for</w:t>
      </w:r>
      <w:r w:rsidR="00DF1C1B" w:rsidRPr="00F740D9">
        <w:rPr>
          <w:rFonts w:ascii="Book Antiqua" w:hAnsi="Book Antiqua"/>
          <w:color w:val="000000" w:themeColor="text1"/>
          <w:szCs w:val="24"/>
        </w:rPr>
        <w:t xml:space="preserve"> </w:t>
      </w:r>
      <w:r w:rsidR="00F70628">
        <w:rPr>
          <w:rFonts w:ascii="Book Antiqua" w:hAnsi="Book Antiqua"/>
          <w:color w:val="000000" w:themeColor="text1"/>
          <w:szCs w:val="24"/>
        </w:rPr>
        <w:t xml:space="preserve">this therapy </w:t>
      </w:r>
      <w:r w:rsidR="007B302F" w:rsidRPr="00F740D9">
        <w:rPr>
          <w:rFonts w:ascii="Book Antiqua" w:hAnsi="Book Antiqua"/>
          <w:color w:val="000000" w:themeColor="text1"/>
          <w:szCs w:val="24"/>
        </w:rPr>
        <w:t xml:space="preserve">in post-transplant HCC recurrence. </w:t>
      </w:r>
      <w:r w:rsidR="00114765" w:rsidRPr="00F740D9">
        <w:rPr>
          <w:rFonts w:ascii="Book Antiqua" w:hAnsi="Book Antiqua"/>
          <w:color w:val="000000" w:themeColor="text1"/>
          <w:szCs w:val="24"/>
        </w:rPr>
        <w:t xml:space="preserve">It </w:t>
      </w:r>
      <w:r w:rsidR="001A38AC" w:rsidRPr="00F740D9">
        <w:rPr>
          <w:rFonts w:ascii="Book Antiqua" w:hAnsi="Book Antiqua"/>
          <w:color w:val="000000" w:themeColor="text1"/>
          <w:szCs w:val="24"/>
        </w:rPr>
        <w:t>i</w:t>
      </w:r>
      <w:r w:rsidR="00114765" w:rsidRPr="00F740D9">
        <w:rPr>
          <w:rFonts w:ascii="Book Antiqua" w:hAnsi="Book Antiqua"/>
          <w:color w:val="000000" w:themeColor="text1"/>
          <w:szCs w:val="24"/>
        </w:rPr>
        <w:t xml:space="preserve">s not too late to </w:t>
      </w:r>
      <w:r w:rsidR="00F70628">
        <w:rPr>
          <w:rFonts w:ascii="Book Antiqua" w:hAnsi="Book Antiqua"/>
          <w:color w:val="000000" w:themeColor="text1"/>
          <w:szCs w:val="24"/>
        </w:rPr>
        <w:t>offer</w:t>
      </w:r>
      <w:r w:rsidR="00114765" w:rsidRPr="00F740D9">
        <w:rPr>
          <w:rFonts w:ascii="Book Antiqua" w:hAnsi="Book Antiqua"/>
          <w:color w:val="000000" w:themeColor="text1"/>
          <w:szCs w:val="24"/>
        </w:rPr>
        <w:t xml:space="preserve"> mTOR blockade </w:t>
      </w:r>
      <w:r w:rsidR="00F70628">
        <w:rPr>
          <w:rFonts w:ascii="Book Antiqua" w:hAnsi="Book Antiqua"/>
          <w:color w:val="000000" w:themeColor="text1"/>
          <w:szCs w:val="24"/>
        </w:rPr>
        <w:t>following</w:t>
      </w:r>
      <w:r w:rsidR="00114765" w:rsidRPr="00F740D9">
        <w:rPr>
          <w:rFonts w:ascii="Book Antiqua" w:hAnsi="Book Antiqua"/>
          <w:color w:val="000000" w:themeColor="text1"/>
          <w:szCs w:val="24"/>
        </w:rPr>
        <w:t xml:space="preserve"> </w:t>
      </w:r>
      <w:r w:rsidR="00F70628">
        <w:rPr>
          <w:rFonts w:ascii="Book Antiqua" w:hAnsi="Book Antiqua"/>
          <w:color w:val="000000" w:themeColor="text1"/>
          <w:szCs w:val="24"/>
        </w:rPr>
        <w:t xml:space="preserve">the development of </w:t>
      </w:r>
      <w:r w:rsidR="00114765" w:rsidRPr="00F740D9">
        <w:rPr>
          <w:rFonts w:ascii="Book Antiqua" w:hAnsi="Book Antiqua"/>
          <w:color w:val="000000" w:themeColor="text1"/>
          <w:szCs w:val="24"/>
        </w:rPr>
        <w:t>recurrence.</w:t>
      </w:r>
    </w:p>
    <w:p w14:paraId="7F48923A" w14:textId="1E1EC384" w:rsidR="006250CB" w:rsidRPr="00F740D9" w:rsidRDefault="006250CB" w:rsidP="00BE6C9D">
      <w:pPr>
        <w:snapToGrid w:val="0"/>
        <w:spacing w:line="360" w:lineRule="auto"/>
        <w:jc w:val="both"/>
        <w:rPr>
          <w:rFonts w:ascii="Book Antiqua" w:hAnsi="Book Antiqua"/>
          <w:color w:val="000000" w:themeColor="text1"/>
          <w:szCs w:val="24"/>
        </w:rPr>
      </w:pPr>
    </w:p>
    <w:p w14:paraId="78C6AAC8" w14:textId="77777777" w:rsidR="00731DC4" w:rsidRPr="00F740D9" w:rsidRDefault="00731DC4" w:rsidP="00BE6C9D">
      <w:pPr>
        <w:adjustRightInd w:val="0"/>
        <w:snapToGrid w:val="0"/>
        <w:spacing w:line="360" w:lineRule="auto"/>
        <w:jc w:val="both"/>
        <w:rPr>
          <w:rFonts w:ascii="Book Antiqua" w:hAnsi="Book Antiqua"/>
          <w:b/>
          <w:color w:val="000000"/>
          <w:szCs w:val="24"/>
          <w:u w:val="single"/>
        </w:rPr>
      </w:pPr>
      <w:r w:rsidRPr="00F740D9">
        <w:rPr>
          <w:rFonts w:ascii="Book Antiqua" w:hAnsi="Book Antiqua"/>
          <w:b/>
          <w:color w:val="000000"/>
          <w:szCs w:val="24"/>
          <w:u w:val="single"/>
        </w:rPr>
        <w:t>ARTICLE HIGHLIGHTS</w:t>
      </w:r>
    </w:p>
    <w:p w14:paraId="516681C6" w14:textId="77777777" w:rsidR="006250CB" w:rsidRPr="00F740D9" w:rsidRDefault="006250CB" w:rsidP="00BE6C9D">
      <w:pPr>
        <w:adjustRightInd w:val="0"/>
        <w:snapToGrid w:val="0"/>
        <w:spacing w:line="360" w:lineRule="auto"/>
        <w:jc w:val="both"/>
        <w:rPr>
          <w:rFonts w:ascii="Book Antiqua" w:hAnsi="Book Antiqua"/>
          <w:b/>
          <w:i/>
          <w:color w:val="000000" w:themeColor="text1"/>
          <w:szCs w:val="24"/>
        </w:rPr>
      </w:pPr>
      <w:r w:rsidRPr="00F740D9">
        <w:rPr>
          <w:rFonts w:ascii="Book Antiqua" w:hAnsi="Book Antiqua"/>
          <w:b/>
          <w:i/>
          <w:color w:val="000000" w:themeColor="text1"/>
          <w:szCs w:val="24"/>
        </w:rPr>
        <w:t>Research background</w:t>
      </w:r>
    </w:p>
    <w:p w14:paraId="648D6FF4" w14:textId="288F49F6" w:rsidR="006250CB" w:rsidRPr="00F740D9" w:rsidRDefault="00145789" w:rsidP="00BE6C9D">
      <w:pPr>
        <w:adjustRightInd w:val="0"/>
        <w:snapToGrid w:val="0"/>
        <w:spacing w:line="360" w:lineRule="auto"/>
        <w:jc w:val="both"/>
        <w:rPr>
          <w:rFonts w:ascii="Book Antiqua" w:hAnsi="Book Antiqua"/>
          <w:bCs/>
          <w:iCs/>
          <w:color w:val="000000" w:themeColor="text1"/>
          <w:szCs w:val="24"/>
        </w:rPr>
      </w:pPr>
      <w:r w:rsidRPr="00F740D9">
        <w:rPr>
          <w:rFonts w:ascii="Book Antiqua" w:hAnsi="Book Antiqua"/>
          <w:bCs/>
          <w:iCs/>
          <w:color w:val="000000" w:themeColor="text1"/>
          <w:szCs w:val="24"/>
        </w:rPr>
        <w:t xml:space="preserve">Mammalian target of rapamycin (mTOR) inhibitors have been shown to reduce the risk of tumour recurrence after liver transplantation for hepatocellular carcinoma (HCC). However, </w:t>
      </w:r>
      <w:r w:rsidR="00F70628">
        <w:rPr>
          <w:rFonts w:ascii="Book Antiqua" w:hAnsi="Book Antiqua"/>
          <w:bCs/>
          <w:iCs/>
          <w:color w:val="000000" w:themeColor="text1"/>
          <w:szCs w:val="24"/>
        </w:rPr>
        <w:t>their</w:t>
      </w:r>
      <w:r w:rsidRPr="00F740D9">
        <w:rPr>
          <w:rFonts w:ascii="Book Antiqua" w:hAnsi="Book Antiqua"/>
          <w:bCs/>
          <w:iCs/>
          <w:color w:val="000000" w:themeColor="text1"/>
          <w:szCs w:val="24"/>
        </w:rPr>
        <w:t xml:space="preserve"> role in established post-transplant HCC recurrence is uncertain.</w:t>
      </w:r>
    </w:p>
    <w:p w14:paraId="5C06A287" w14:textId="77777777" w:rsidR="00145789" w:rsidRPr="00F740D9" w:rsidRDefault="00145789" w:rsidP="00BE6C9D">
      <w:pPr>
        <w:adjustRightInd w:val="0"/>
        <w:snapToGrid w:val="0"/>
        <w:spacing w:line="360" w:lineRule="auto"/>
        <w:jc w:val="both"/>
        <w:rPr>
          <w:rFonts w:ascii="Book Antiqua" w:hAnsi="Book Antiqua"/>
          <w:bCs/>
          <w:i/>
          <w:color w:val="000000" w:themeColor="text1"/>
          <w:szCs w:val="24"/>
        </w:rPr>
      </w:pPr>
    </w:p>
    <w:p w14:paraId="210CDA7B" w14:textId="77777777" w:rsidR="006250CB" w:rsidRPr="00F740D9" w:rsidRDefault="006250CB" w:rsidP="00BE6C9D">
      <w:pPr>
        <w:adjustRightInd w:val="0"/>
        <w:snapToGrid w:val="0"/>
        <w:spacing w:line="360" w:lineRule="auto"/>
        <w:jc w:val="both"/>
        <w:rPr>
          <w:rFonts w:ascii="Book Antiqua" w:hAnsi="Book Antiqua"/>
          <w:b/>
          <w:i/>
          <w:color w:val="000000" w:themeColor="text1"/>
          <w:szCs w:val="24"/>
        </w:rPr>
      </w:pPr>
      <w:r w:rsidRPr="00F740D9">
        <w:rPr>
          <w:rFonts w:ascii="Book Antiqua" w:hAnsi="Book Antiqua"/>
          <w:b/>
          <w:i/>
          <w:color w:val="000000" w:themeColor="text1"/>
          <w:szCs w:val="24"/>
        </w:rPr>
        <w:t>Research motivation</w:t>
      </w:r>
    </w:p>
    <w:p w14:paraId="0526574F" w14:textId="3206A8D7" w:rsidR="006250CB" w:rsidRPr="00F740D9" w:rsidRDefault="00F70628" w:rsidP="00BE6C9D">
      <w:pPr>
        <w:adjustRightInd w:val="0"/>
        <w:snapToGrid w:val="0"/>
        <w:spacing w:line="360" w:lineRule="auto"/>
        <w:jc w:val="both"/>
        <w:rPr>
          <w:rFonts w:ascii="Book Antiqua" w:hAnsi="Book Antiqua"/>
          <w:bCs/>
          <w:iCs/>
          <w:color w:val="000000" w:themeColor="text1"/>
          <w:szCs w:val="24"/>
        </w:rPr>
      </w:pPr>
      <w:r>
        <w:rPr>
          <w:rFonts w:ascii="Book Antiqua" w:hAnsi="Book Antiqua"/>
          <w:bCs/>
          <w:iCs/>
          <w:color w:val="000000" w:themeColor="text1"/>
          <w:szCs w:val="24"/>
        </w:rPr>
        <w:t>It is unknown w</w:t>
      </w:r>
      <w:r w:rsidR="00145789" w:rsidRPr="00F740D9">
        <w:rPr>
          <w:rFonts w:ascii="Book Antiqua" w:hAnsi="Book Antiqua"/>
          <w:bCs/>
          <w:iCs/>
          <w:color w:val="000000" w:themeColor="text1"/>
          <w:szCs w:val="24"/>
        </w:rPr>
        <w:t xml:space="preserve">hether mTOR inhibitor still confers survival benefits following HCC recurrence. Recommendations for mTOR inhibitor under this context </w:t>
      </w:r>
      <w:r>
        <w:rPr>
          <w:rFonts w:ascii="Book Antiqua" w:hAnsi="Book Antiqua"/>
          <w:bCs/>
          <w:iCs/>
          <w:color w:val="000000" w:themeColor="text1"/>
          <w:szCs w:val="24"/>
        </w:rPr>
        <w:t>are</w:t>
      </w:r>
      <w:r w:rsidR="00145789" w:rsidRPr="00F740D9">
        <w:rPr>
          <w:rFonts w:ascii="Book Antiqua" w:hAnsi="Book Antiqua"/>
          <w:bCs/>
          <w:iCs/>
          <w:color w:val="000000" w:themeColor="text1"/>
          <w:szCs w:val="24"/>
        </w:rPr>
        <w:t xml:space="preserve"> based on expert opinions. To address this knowledge gap in the literature, the current study was undertaken to quantify survival following post-transplant HCC recurrence with regard to </w:t>
      </w:r>
      <w:r>
        <w:rPr>
          <w:rFonts w:ascii="Book Antiqua" w:hAnsi="Book Antiqua"/>
          <w:bCs/>
          <w:iCs/>
          <w:color w:val="000000" w:themeColor="text1"/>
          <w:szCs w:val="24"/>
        </w:rPr>
        <w:t>the administration</w:t>
      </w:r>
      <w:r w:rsidR="00145789" w:rsidRPr="00F740D9">
        <w:rPr>
          <w:rFonts w:ascii="Book Antiqua" w:hAnsi="Book Antiqua"/>
          <w:bCs/>
          <w:iCs/>
          <w:color w:val="000000" w:themeColor="text1"/>
          <w:szCs w:val="24"/>
        </w:rPr>
        <w:t xml:space="preserve"> of mTOR inhibitors.</w:t>
      </w:r>
    </w:p>
    <w:p w14:paraId="6E7F544C" w14:textId="77777777" w:rsidR="00145789" w:rsidRPr="00F740D9" w:rsidRDefault="00145789" w:rsidP="00BE6C9D">
      <w:pPr>
        <w:adjustRightInd w:val="0"/>
        <w:snapToGrid w:val="0"/>
        <w:spacing w:line="360" w:lineRule="auto"/>
        <w:jc w:val="both"/>
        <w:rPr>
          <w:rFonts w:ascii="Book Antiqua" w:hAnsi="Book Antiqua"/>
          <w:bCs/>
          <w:i/>
          <w:color w:val="000000" w:themeColor="text1"/>
          <w:szCs w:val="24"/>
        </w:rPr>
      </w:pPr>
    </w:p>
    <w:p w14:paraId="2AF03523" w14:textId="77777777" w:rsidR="006250CB" w:rsidRPr="00F740D9" w:rsidRDefault="006250CB" w:rsidP="00BE6C9D">
      <w:pPr>
        <w:adjustRightInd w:val="0"/>
        <w:snapToGrid w:val="0"/>
        <w:spacing w:line="360" w:lineRule="auto"/>
        <w:jc w:val="both"/>
        <w:rPr>
          <w:rFonts w:ascii="Book Antiqua" w:hAnsi="Book Antiqua"/>
          <w:b/>
          <w:i/>
          <w:color w:val="000000" w:themeColor="text1"/>
          <w:szCs w:val="24"/>
        </w:rPr>
      </w:pPr>
      <w:r w:rsidRPr="00F740D9">
        <w:rPr>
          <w:rFonts w:ascii="Book Antiqua" w:hAnsi="Book Antiqua"/>
          <w:b/>
          <w:i/>
          <w:color w:val="000000" w:themeColor="text1"/>
          <w:szCs w:val="24"/>
        </w:rPr>
        <w:t>Research objectives</w:t>
      </w:r>
    </w:p>
    <w:p w14:paraId="5C334579" w14:textId="448807F6" w:rsidR="006250CB" w:rsidRPr="00F740D9" w:rsidRDefault="00145789" w:rsidP="00BE6C9D">
      <w:pPr>
        <w:adjustRightInd w:val="0"/>
        <w:snapToGrid w:val="0"/>
        <w:spacing w:line="360" w:lineRule="auto"/>
        <w:jc w:val="both"/>
        <w:rPr>
          <w:rFonts w:ascii="Book Antiqua" w:hAnsi="Book Antiqua"/>
          <w:bCs/>
          <w:iCs/>
          <w:color w:val="000000" w:themeColor="text1"/>
          <w:szCs w:val="24"/>
        </w:rPr>
      </w:pPr>
      <w:r w:rsidRPr="00F740D9">
        <w:rPr>
          <w:rFonts w:ascii="Book Antiqua" w:hAnsi="Book Antiqua"/>
          <w:bCs/>
          <w:iCs/>
          <w:color w:val="000000" w:themeColor="text1"/>
          <w:szCs w:val="24"/>
        </w:rPr>
        <w:t xml:space="preserve">The objective </w:t>
      </w:r>
      <w:r w:rsidR="00F70628">
        <w:rPr>
          <w:rFonts w:ascii="Book Antiqua" w:hAnsi="Book Antiqua"/>
          <w:bCs/>
          <w:iCs/>
          <w:color w:val="000000" w:themeColor="text1"/>
          <w:szCs w:val="24"/>
        </w:rPr>
        <w:t>was</w:t>
      </w:r>
      <w:r w:rsidRPr="00F740D9">
        <w:rPr>
          <w:rFonts w:ascii="Book Antiqua" w:hAnsi="Book Antiqua"/>
          <w:bCs/>
          <w:iCs/>
          <w:color w:val="000000" w:themeColor="text1"/>
          <w:szCs w:val="24"/>
        </w:rPr>
        <w:t xml:space="preserve"> to ascertain any survival benefits conferred by mTOR inhibitors following HCC recurrence after liver transplantation.</w:t>
      </w:r>
    </w:p>
    <w:p w14:paraId="5B7E8761" w14:textId="77777777" w:rsidR="00145789" w:rsidRPr="00F740D9" w:rsidRDefault="00145789" w:rsidP="00BE6C9D">
      <w:pPr>
        <w:adjustRightInd w:val="0"/>
        <w:snapToGrid w:val="0"/>
        <w:spacing w:line="360" w:lineRule="auto"/>
        <w:jc w:val="both"/>
        <w:rPr>
          <w:rFonts w:ascii="Book Antiqua" w:hAnsi="Book Antiqua"/>
          <w:b/>
          <w:i/>
          <w:color w:val="000000" w:themeColor="text1"/>
          <w:szCs w:val="24"/>
        </w:rPr>
      </w:pPr>
    </w:p>
    <w:p w14:paraId="35FD10EB" w14:textId="77777777" w:rsidR="006250CB" w:rsidRPr="00F740D9" w:rsidRDefault="006250CB" w:rsidP="00BE6C9D">
      <w:pPr>
        <w:adjustRightInd w:val="0"/>
        <w:snapToGrid w:val="0"/>
        <w:spacing w:line="360" w:lineRule="auto"/>
        <w:jc w:val="both"/>
        <w:rPr>
          <w:rFonts w:ascii="Book Antiqua" w:hAnsi="Book Antiqua"/>
          <w:b/>
          <w:i/>
          <w:color w:val="000000" w:themeColor="text1"/>
          <w:szCs w:val="24"/>
        </w:rPr>
      </w:pPr>
      <w:r w:rsidRPr="00F740D9">
        <w:rPr>
          <w:rFonts w:ascii="Book Antiqua" w:hAnsi="Book Antiqua"/>
          <w:b/>
          <w:i/>
          <w:color w:val="000000" w:themeColor="text1"/>
          <w:szCs w:val="24"/>
        </w:rPr>
        <w:t>Research methods</w:t>
      </w:r>
    </w:p>
    <w:p w14:paraId="487ED8AB" w14:textId="31A649A0" w:rsidR="006250CB" w:rsidRPr="00F740D9" w:rsidRDefault="00145789" w:rsidP="00BE6C9D">
      <w:pPr>
        <w:adjustRightInd w:val="0"/>
        <w:snapToGrid w:val="0"/>
        <w:spacing w:line="360" w:lineRule="auto"/>
        <w:jc w:val="both"/>
        <w:rPr>
          <w:rFonts w:ascii="Book Antiqua" w:hAnsi="Book Antiqua"/>
          <w:bCs/>
          <w:iCs/>
          <w:color w:val="000000" w:themeColor="text1"/>
          <w:szCs w:val="24"/>
        </w:rPr>
      </w:pPr>
      <w:r w:rsidRPr="00F740D9">
        <w:rPr>
          <w:rFonts w:ascii="Book Antiqua" w:hAnsi="Book Antiqua"/>
          <w:bCs/>
          <w:iCs/>
          <w:color w:val="000000" w:themeColor="text1"/>
          <w:szCs w:val="24"/>
        </w:rPr>
        <w:t>A retrospective study of 143 patients who developed HCC recurrence after liver transplantation was performed. The</w:t>
      </w:r>
      <w:r w:rsidR="00F70628">
        <w:rPr>
          <w:rFonts w:ascii="Book Antiqua" w:hAnsi="Book Antiqua"/>
          <w:bCs/>
          <w:iCs/>
          <w:color w:val="000000" w:themeColor="text1"/>
          <w:szCs w:val="24"/>
        </w:rPr>
        <w:t xml:space="preserve"> patients </w:t>
      </w:r>
      <w:r w:rsidRPr="00F740D9">
        <w:rPr>
          <w:rFonts w:ascii="Book Antiqua" w:hAnsi="Book Antiqua"/>
          <w:bCs/>
          <w:iCs/>
          <w:color w:val="000000" w:themeColor="text1"/>
          <w:szCs w:val="24"/>
        </w:rPr>
        <w:t>were divided into 2 groups based on whether they had received mTOR inhibitor-based immunosuppression. The primary endpoint was post-recurrence survival.</w:t>
      </w:r>
    </w:p>
    <w:p w14:paraId="1422EF68" w14:textId="77777777" w:rsidR="00145789" w:rsidRPr="00F740D9" w:rsidRDefault="00145789" w:rsidP="00BE6C9D">
      <w:pPr>
        <w:adjustRightInd w:val="0"/>
        <w:snapToGrid w:val="0"/>
        <w:spacing w:line="360" w:lineRule="auto"/>
        <w:jc w:val="both"/>
        <w:rPr>
          <w:rFonts w:ascii="Book Antiqua" w:hAnsi="Book Antiqua"/>
          <w:bCs/>
          <w:i/>
          <w:color w:val="000000" w:themeColor="text1"/>
          <w:szCs w:val="24"/>
        </w:rPr>
      </w:pPr>
    </w:p>
    <w:p w14:paraId="454AF508" w14:textId="77777777" w:rsidR="006250CB" w:rsidRPr="00F740D9" w:rsidRDefault="006250CB" w:rsidP="00BE6C9D">
      <w:pPr>
        <w:adjustRightInd w:val="0"/>
        <w:snapToGrid w:val="0"/>
        <w:spacing w:line="360" w:lineRule="auto"/>
        <w:jc w:val="both"/>
        <w:rPr>
          <w:rFonts w:ascii="Book Antiqua" w:hAnsi="Book Antiqua"/>
          <w:b/>
          <w:i/>
          <w:color w:val="000000" w:themeColor="text1"/>
          <w:szCs w:val="24"/>
        </w:rPr>
      </w:pPr>
      <w:r w:rsidRPr="00F740D9">
        <w:rPr>
          <w:rFonts w:ascii="Book Antiqua" w:hAnsi="Book Antiqua"/>
          <w:b/>
          <w:i/>
          <w:color w:val="000000" w:themeColor="text1"/>
          <w:szCs w:val="24"/>
        </w:rPr>
        <w:t>Research results</w:t>
      </w:r>
    </w:p>
    <w:p w14:paraId="67A716BC" w14:textId="5569DEC9" w:rsidR="006250CB" w:rsidRPr="00F740D9" w:rsidRDefault="00145789" w:rsidP="00BE6C9D">
      <w:pPr>
        <w:adjustRightInd w:val="0"/>
        <w:snapToGrid w:val="0"/>
        <w:spacing w:line="360" w:lineRule="auto"/>
        <w:jc w:val="both"/>
        <w:rPr>
          <w:rFonts w:ascii="Book Antiqua" w:hAnsi="Book Antiqua"/>
          <w:bCs/>
          <w:iCs/>
          <w:color w:val="000000" w:themeColor="text1"/>
          <w:szCs w:val="24"/>
        </w:rPr>
      </w:pPr>
      <w:r w:rsidRPr="00F740D9">
        <w:rPr>
          <w:rFonts w:ascii="Book Antiqua" w:hAnsi="Book Antiqua"/>
          <w:bCs/>
          <w:iCs/>
          <w:color w:val="000000" w:themeColor="text1"/>
          <w:szCs w:val="24"/>
        </w:rPr>
        <w:t xml:space="preserve">Seventy-nine (55%) patients received </w:t>
      </w:r>
      <w:r w:rsidR="00F70628">
        <w:rPr>
          <w:rFonts w:ascii="Book Antiqua" w:hAnsi="Book Antiqua"/>
          <w:bCs/>
          <w:iCs/>
          <w:color w:val="000000" w:themeColor="text1"/>
          <w:szCs w:val="24"/>
        </w:rPr>
        <w:t xml:space="preserve">an </w:t>
      </w:r>
      <w:r w:rsidRPr="00F740D9">
        <w:rPr>
          <w:rFonts w:ascii="Book Antiqua" w:hAnsi="Book Antiqua"/>
          <w:bCs/>
          <w:iCs/>
          <w:color w:val="000000" w:themeColor="text1"/>
          <w:szCs w:val="24"/>
        </w:rPr>
        <w:t>mTOR inhibitor-based immunosuppressive regime</w:t>
      </w:r>
      <w:r w:rsidR="00F70628">
        <w:rPr>
          <w:rFonts w:ascii="Book Antiqua" w:hAnsi="Book Antiqua"/>
          <w:bCs/>
          <w:iCs/>
          <w:color w:val="000000" w:themeColor="text1"/>
          <w:szCs w:val="24"/>
        </w:rPr>
        <w:t>,</w:t>
      </w:r>
      <w:r w:rsidRPr="00F740D9">
        <w:rPr>
          <w:rFonts w:ascii="Book Antiqua" w:hAnsi="Book Antiqua"/>
          <w:bCs/>
          <w:iCs/>
          <w:color w:val="000000" w:themeColor="text1"/>
          <w:szCs w:val="24"/>
        </w:rPr>
        <w:t xml:space="preserve"> while 64 (45%) </w:t>
      </w:r>
      <w:r w:rsidR="00A96B95">
        <w:rPr>
          <w:rFonts w:ascii="Book Antiqua" w:hAnsi="Book Antiqua"/>
          <w:bCs/>
          <w:iCs/>
          <w:color w:val="000000" w:themeColor="text1"/>
          <w:szCs w:val="24"/>
        </w:rPr>
        <w:t xml:space="preserve">patients </w:t>
      </w:r>
      <w:r w:rsidRPr="00F740D9">
        <w:rPr>
          <w:rFonts w:ascii="Book Antiqua" w:hAnsi="Book Antiqua"/>
          <w:bCs/>
          <w:iCs/>
          <w:color w:val="000000" w:themeColor="text1"/>
          <w:szCs w:val="24"/>
        </w:rPr>
        <w:t xml:space="preserve">did not. The mTOR inhibitor group had a lower number of recurrent tumours (2 </w:t>
      </w:r>
      <w:r w:rsidR="00AF289B" w:rsidRPr="00F740D9">
        <w:rPr>
          <w:rFonts w:ascii="Book Antiqua" w:hAnsi="Book Antiqua"/>
          <w:bCs/>
          <w:i/>
          <w:iCs/>
          <w:color w:val="000000" w:themeColor="text1"/>
          <w:szCs w:val="24"/>
        </w:rPr>
        <w:t>vs</w:t>
      </w:r>
      <w:r w:rsidRPr="00F740D9">
        <w:rPr>
          <w:rFonts w:ascii="Book Antiqua" w:hAnsi="Book Antiqua"/>
          <w:bCs/>
          <w:iCs/>
          <w:color w:val="000000" w:themeColor="text1"/>
          <w:szCs w:val="24"/>
        </w:rPr>
        <w:t xml:space="preserve"> 5, </w:t>
      </w:r>
      <w:r w:rsidR="00AF289B" w:rsidRPr="00F740D9">
        <w:rPr>
          <w:rFonts w:ascii="Book Antiqua" w:hAnsi="Book Antiqua"/>
          <w:bCs/>
          <w:i/>
          <w:iCs/>
          <w:color w:val="000000" w:themeColor="text1"/>
          <w:szCs w:val="24"/>
        </w:rPr>
        <w:t xml:space="preserve">P </w:t>
      </w:r>
      <w:r w:rsidRPr="00F740D9">
        <w:rPr>
          <w:rFonts w:ascii="Book Antiqua" w:hAnsi="Book Antiqua"/>
          <w:bCs/>
          <w:iCs/>
          <w:color w:val="000000" w:themeColor="text1"/>
          <w:szCs w:val="24"/>
        </w:rPr>
        <w:t>=</w:t>
      </w:r>
      <w:r w:rsidR="00AF289B" w:rsidRPr="00F740D9">
        <w:rPr>
          <w:rFonts w:ascii="Book Antiqua" w:hAnsi="Book Antiqua"/>
          <w:bCs/>
          <w:iCs/>
          <w:color w:val="000000" w:themeColor="text1"/>
          <w:szCs w:val="24"/>
        </w:rPr>
        <w:t xml:space="preserve"> </w:t>
      </w:r>
      <w:r w:rsidRPr="00F740D9">
        <w:rPr>
          <w:rFonts w:ascii="Book Antiqua" w:hAnsi="Book Antiqua"/>
          <w:bCs/>
          <w:iCs/>
          <w:color w:val="000000" w:themeColor="text1"/>
          <w:szCs w:val="24"/>
        </w:rPr>
        <w:t xml:space="preserve">0.02) and received more active treatments including radiotherapy (39 </w:t>
      </w:r>
      <w:r w:rsidR="00AF289B" w:rsidRPr="00F740D9">
        <w:rPr>
          <w:rFonts w:ascii="Book Antiqua" w:hAnsi="Book Antiqua"/>
          <w:bCs/>
          <w:i/>
          <w:iCs/>
          <w:color w:val="000000" w:themeColor="text1"/>
          <w:szCs w:val="24"/>
        </w:rPr>
        <w:t>vs</w:t>
      </w:r>
      <w:r w:rsidRPr="00F740D9">
        <w:rPr>
          <w:rFonts w:ascii="Book Antiqua" w:hAnsi="Book Antiqua"/>
          <w:bCs/>
          <w:iCs/>
          <w:color w:val="000000" w:themeColor="text1"/>
          <w:szCs w:val="24"/>
        </w:rPr>
        <w:t xml:space="preserve"> 22%, </w:t>
      </w:r>
      <w:r w:rsidR="00AF289B" w:rsidRPr="00F740D9">
        <w:rPr>
          <w:rFonts w:ascii="Book Antiqua" w:hAnsi="Book Antiqua"/>
          <w:bCs/>
          <w:i/>
          <w:iCs/>
          <w:color w:val="000000" w:themeColor="text1"/>
          <w:szCs w:val="24"/>
        </w:rPr>
        <w:t xml:space="preserve">P </w:t>
      </w:r>
      <w:r w:rsidRPr="00F740D9">
        <w:rPr>
          <w:rFonts w:ascii="Book Antiqua" w:hAnsi="Book Antiqua"/>
          <w:bCs/>
          <w:iCs/>
          <w:color w:val="000000" w:themeColor="text1"/>
          <w:szCs w:val="24"/>
        </w:rPr>
        <w:t>=</w:t>
      </w:r>
      <w:r w:rsidR="00AF289B" w:rsidRPr="00F740D9">
        <w:rPr>
          <w:rFonts w:ascii="Book Antiqua" w:hAnsi="Book Antiqua"/>
          <w:bCs/>
          <w:iCs/>
          <w:color w:val="000000" w:themeColor="text1"/>
          <w:szCs w:val="24"/>
        </w:rPr>
        <w:t xml:space="preserve"> </w:t>
      </w:r>
      <w:r w:rsidRPr="00F740D9">
        <w:rPr>
          <w:rFonts w:ascii="Book Antiqua" w:hAnsi="Book Antiqua"/>
          <w:bCs/>
          <w:iCs/>
          <w:color w:val="000000" w:themeColor="text1"/>
          <w:szCs w:val="24"/>
        </w:rPr>
        <w:t xml:space="preserve">0.03) and targeted therapy (59 </w:t>
      </w:r>
      <w:r w:rsidR="00AF289B" w:rsidRPr="00F740D9">
        <w:rPr>
          <w:rFonts w:ascii="Book Antiqua" w:hAnsi="Book Antiqua"/>
          <w:bCs/>
          <w:i/>
          <w:iCs/>
          <w:color w:val="000000" w:themeColor="text1"/>
          <w:szCs w:val="24"/>
        </w:rPr>
        <w:t>vs</w:t>
      </w:r>
      <w:r w:rsidRPr="00F740D9">
        <w:rPr>
          <w:rFonts w:ascii="Book Antiqua" w:hAnsi="Book Antiqua"/>
          <w:bCs/>
          <w:iCs/>
          <w:color w:val="000000" w:themeColor="text1"/>
          <w:szCs w:val="24"/>
        </w:rPr>
        <w:t xml:space="preserve"> 23%, </w:t>
      </w:r>
      <w:r w:rsidR="00AF289B" w:rsidRPr="00F740D9">
        <w:rPr>
          <w:rFonts w:ascii="Book Antiqua" w:hAnsi="Book Antiqua"/>
          <w:bCs/>
          <w:i/>
          <w:iCs/>
          <w:color w:val="000000" w:themeColor="text1"/>
          <w:szCs w:val="24"/>
        </w:rPr>
        <w:t xml:space="preserve">P </w:t>
      </w:r>
      <w:r w:rsidRPr="00F740D9">
        <w:rPr>
          <w:rFonts w:ascii="Book Antiqua" w:hAnsi="Book Antiqua"/>
          <w:bCs/>
          <w:iCs/>
          <w:color w:val="000000" w:themeColor="text1"/>
          <w:szCs w:val="24"/>
        </w:rPr>
        <w:t>&lt;</w:t>
      </w:r>
      <w:r w:rsidR="00AF289B" w:rsidRPr="00F740D9">
        <w:rPr>
          <w:rFonts w:ascii="Book Antiqua" w:hAnsi="Book Antiqua"/>
          <w:bCs/>
          <w:iCs/>
          <w:color w:val="000000" w:themeColor="text1"/>
          <w:szCs w:val="24"/>
        </w:rPr>
        <w:t xml:space="preserve"> </w:t>
      </w:r>
      <w:r w:rsidRPr="00F740D9">
        <w:rPr>
          <w:rFonts w:ascii="Book Antiqua" w:hAnsi="Book Antiqua"/>
          <w:bCs/>
          <w:iCs/>
          <w:color w:val="000000" w:themeColor="text1"/>
          <w:szCs w:val="24"/>
        </w:rPr>
        <w:t>0.001). The median post-recurrence survival was 21.0</w:t>
      </w:r>
      <w:r w:rsidR="00AF289B" w:rsidRPr="00F740D9">
        <w:rPr>
          <w:rFonts w:ascii="Book Antiqua" w:hAnsi="Book Antiqua"/>
          <w:bCs/>
          <w:iCs/>
          <w:color w:val="000000" w:themeColor="text1"/>
          <w:szCs w:val="24"/>
        </w:rPr>
        <w:t xml:space="preserve"> </w:t>
      </w:r>
      <w:r w:rsidRPr="00F740D9">
        <w:rPr>
          <w:rFonts w:ascii="Book Antiqua" w:hAnsi="Book Antiqua"/>
          <w:bCs/>
          <w:iCs/>
          <w:color w:val="000000" w:themeColor="text1"/>
          <w:szCs w:val="24"/>
        </w:rPr>
        <w:t>±</w:t>
      </w:r>
      <w:r w:rsidR="00AF289B" w:rsidRPr="00F740D9">
        <w:rPr>
          <w:rFonts w:ascii="Book Antiqua" w:hAnsi="Book Antiqua"/>
          <w:bCs/>
          <w:iCs/>
          <w:color w:val="000000" w:themeColor="text1"/>
          <w:szCs w:val="24"/>
        </w:rPr>
        <w:t xml:space="preserve"> </w:t>
      </w:r>
      <w:r w:rsidRPr="00F740D9">
        <w:rPr>
          <w:rFonts w:ascii="Book Antiqua" w:hAnsi="Book Antiqua"/>
          <w:bCs/>
          <w:iCs/>
          <w:color w:val="000000" w:themeColor="text1"/>
          <w:szCs w:val="24"/>
        </w:rPr>
        <w:t xml:space="preserve">4.1 mo in </w:t>
      </w:r>
      <w:r w:rsidR="00F70628">
        <w:rPr>
          <w:rFonts w:ascii="Book Antiqua" w:hAnsi="Book Antiqua"/>
          <w:bCs/>
          <w:iCs/>
          <w:color w:val="000000" w:themeColor="text1"/>
          <w:szCs w:val="24"/>
        </w:rPr>
        <w:t xml:space="preserve">the </w:t>
      </w:r>
      <w:r w:rsidRPr="00F740D9">
        <w:rPr>
          <w:rFonts w:ascii="Book Antiqua" w:hAnsi="Book Antiqua"/>
          <w:bCs/>
          <w:iCs/>
          <w:color w:val="000000" w:themeColor="text1"/>
          <w:szCs w:val="24"/>
        </w:rPr>
        <w:t>mTOR inhibitor group and 11.2</w:t>
      </w:r>
      <w:r w:rsidR="00AF289B" w:rsidRPr="00F740D9">
        <w:rPr>
          <w:rFonts w:ascii="Book Antiqua" w:hAnsi="Book Antiqua"/>
          <w:bCs/>
          <w:iCs/>
          <w:color w:val="000000" w:themeColor="text1"/>
          <w:szCs w:val="24"/>
        </w:rPr>
        <w:t xml:space="preserve"> </w:t>
      </w:r>
      <w:r w:rsidRPr="00F740D9">
        <w:rPr>
          <w:rFonts w:ascii="Book Antiqua" w:hAnsi="Book Antiqua"/>
          <w:bCs/>
          <w:iCs/>
          <w:color w:val="000000" w:themeColor="text1"/>
          <w:szCs w:val="24"/>
        </w:rPr>
        <w:t>±</w:t>
      </w:r>
      <w:r w:rsidR="00AF289B" w:rsidRPr="00F740D9">
        <w:rPr>
          <w:rFonts w:ascii="Book Antiqua" w:hAnsi="Book Antiqua"/>
          <w:bCs/>
          <w:iCs/>
          <w:color w:val="000000" w:themeColor="text1"/>
          <w:szCs w:val="24"/>
        </w:rPr>
        <w:t xml:space="preserve"> </w:t>
      </w:r>
      <w:r w:rsidRPr="00F740D9">
        <w:rPr>
          <w:rFonts w:ascii="Book Antiqua" w:hAnsi="Book Antiqua"/>
          <w:bCs/>
          <w:iCs/>
          <w:color w:val="000000" w:themeColor="text1"/>
          <w:szCs w:val="24"/>
        </w:rPr>
        <w:t xml:space="preserve">2.5 mo in the control group. Multivariate </w:t>
      </w:r>
      <w:r w:rsidR="00F70628">
        <w:rPr>
          <w:rFonts w:ascii="Book Antiqua" w:hAnsi="Book Antiqua"/>
          <w:bCs/>
          <w:iCs/>
          <w:color w:val="000000" w:themeColor="text1"/>
          <w:szCs w:val="24"/>
        </w:rPr>
        <w:t>C</w:t>
      </w:r>
      <w:r w:rsidRPr="00F740D9">
        <w:rPr>
          <w:rFonts w:ascii="Book Antiqua" w:hAnsi="Book Antiqua"/>
          <w:bCs/>
          <w:iCs/>
          <w:color w:val="000000" w:themeColor="text1"/>
          <w:szCs w:val="24"/>
        </w:rPr>
        <w:t xml:space="preserve">ox regression analysis confirmed </w:t>
      </w:r>
      <w:r w:rsidR="00F70628">
        <w:rPr>
          <w:rFonts w:ascii="Book Antiqua" w:hAnsi="Book Antiqua"/>
          <w:bCs/>
          <w:iCs/>
          <w:color w:val="000000" w:themeColor="text1"/>
          <w:szCs w:val="24"/>
        </w:rPr>
        <w:t xml:space="preserve">that </w:t>
      </w:r>
      <w:r w:rsidRPr="00F740D9">
        <w:rPr>
          <w:rFonts w:ascii="Book Antiqua" w:hAnsi="Book Antiqua"/>
          <w:bCs/>
          <w:iCs/>
          <w:color w:val="000000" w:themeColor="text1"/>
          <w:szCs w:val="24"/>
        </w:rPr>
        <w:t xml:space="preserve">mTOR inhibitor </w:t>
      </w:r>
      <w:r w:rsidR="00F70628">
        <w:rPr>
          <w:rFonts w:ascii="Book Antiqua" w:hAnsi="Book Antiqua"/>
          <w:bCs/>
          <w:iCs/>
          <w:color w:val="000000" w:themeColor="text1"/>
          <w:szCs w:val="24"/>
        </w:rPr>
        <w:t xml:space="preserve">therapy </w:t>
      </w:r>
      <w:r w:rsidRPr="00F740D9">
        <w:rPr>
          <w:rFonts w:ascii="Book Antiqua" w:hAnsi="Book Antiqua"/>
          <w:bCs/>
          <w:iCs/>
          <w:color w:val="000000" w:themeColor="text1"/>
          <w:szCs w:val="24"/>
        </w:rPr>
        <w:t>was independently associated with improved post-recurrence survival (</w:t>
      </w:r>
      <w:r w:rsidR="00AF289B" w:rsidRPr="00F740D9">
        <w:rPr>
          <w:rFonts w:ascii="Book Antiqua" w:hAnsi="Book Antiqua"/>
          <w:bCs/>
          <w:i/>
          <w:iCs/>
          <w:color w:val="000000" w:themeColor="text1"/>
          <w:szCs w:val="24"/>
        </w:rPr>
        <w:t xml:space="preserve">P </w:t>
      </w:r>
      <w:r w:rsidRPr="00F740D9">
        <w:rPr>
          <w:rFonts w:ascii="Book Antiqua" w:hAnsi="Book Antiqua"/>
          <w:bCs/>
          <w:iCs/>
          <w:color w:val="000000" w:themeColor="text1"/>
          <w:szCs w:val="24"/>
        </w:rPr>
        <w:t>=</w:t>
      </w:r>
      <w:r w:rsidR="00AF289B" w:rsidRPr="00F740D9">
        <w:rPr>
          <w:rFonts w:ascii="Book Antiqua" w:hAnsi="Book Antiqua"/>
          <w:bCs/>
          <w:iCs/>
          <w:color w:val="000000" w:themeColor="text1"/>
          <w:szCs w:val="24"/>
        </w:rPr>
        <w:t xml:space="preserve"> </w:t>
      </w:r>
      <w:r w:rsidRPr="00F740D9">
        <w:rPr>
          <w:rFonts w:ascii="Book Antiqua" w:hAnsi="Book Antiqua"/>
          <w:bCs/>
          <w:iCs/>
          <w:color w:val="000000" w:themeColor="text1"/>
          <w:szCs w:val="24"/>
        </w:rPr>
        <w:t>0.04, OR 0.482, 95%CI</w:t>
      </w:r>
      <w:r w:rsidR="00AF289B" w:rsidRPr="00F740D9">
        <w:rPr>
          <w:rFonts w:ascii="Book Antiqua" w:hAnsi="Book Antiqua"/>
          <w:bCs/>
          <w:iCs/>
          <w:color w:val="000000" w:themeColor="text1"/>
          <w:szCs w:val="24"/>
        </w:rPr>
        <w:t>:</w:t>
      </w:r>
      <w:r w:rsidRPr="00F740D9">
        <w:rPr>
          <w:rFonts w:ascii="Book Antiqua" w:hAnsi="Book Antiqua"/>
          <w:bCs/>
          <w:iCs/>
          <w:color w:val="000000" w:themeColor="text1"/>
          <w:szCs w:val="24"/>
        </w:rPr>
        <w:t xml:space="preserve"> 0.241-0.966). </w:t>
      </w:r>
      <w:r w:rsidR="00F70628">
        <w:rPr>
          <w:rFonts w:ascii="Book Antiqua" w:hAnsi="Book Antiqua"/>
          <w:bCs/>
          <w:iCs/>
          <w:color w:val="000000" w:themeColor="text1"/>
          <w:szCs w:val="24"/>
        </w:rPr>
        <w:t>The n</w:t>
      </w:r>
      <w:r w:rsidRPr="00F740D9">
        <w:rPr>
          <w:rFonts w:ascii="Book Antiqua" w:hAnsi="Book Antiqua"/>
          <w:bCs/>
          <w:iCs/>
          <w:color w:val="000000" w:themeColor="text1"/>
          <w:szCs w:val="24"/>
        </w:rPr>
        <w:t xml:space="preserve">umber of recurrent tumours and use of other treatment modalities did not affect survival. There were no survival differences </w:t>
      </w:r>
      <w:r w:rsidR="00F70628">
        <w:rPr>
          <w:rFonts w:ascii="Book Antiqua" w:hAnsi="Book Antiqua"/>
          <w:bCs/>
          <w:iCs/>
          <w:color w:val="000000" w:themeColor="text1"/>
          <w:szCs w:val="24"/>
        </w:rPr>
        <w:t xml:space="preserve">between patients treated with </w:t>
      </w:r>
      <w:r w:rsidRPr="00F740D9">
        <w:rPr>
          <w:rFonts w:ascii="Book Antiqua" w:hAnsi="Book Antiqua"/>
          <w:bCs/>
          <w:iCs/>
          <w:color w:val="000000" w:themeColor="text1"/>
          <w:szCs w:val="24"/>
        </w:rPr>
        <w:t xml:space="preserve">mTOR inhibitor monotherapy and combination therapy with calcineurin </w:t>
      </w:r>
      <w:r w:rsidRPr="00F740D9">
        <w:rPr>
          <w:rFonts w:ascii="Book Antiqua" w:hAnsi="Book Antiqua"/>
          <w:bCs/>
          <w:iCs/>
          <w:color w:val="000000" w:themeColor="text1"/>
          <w:szCs w:val="24"/>
        </w:rPr>
        <w:lastRenderedPageBreak/>
        <w:t>inhibitor.</w:t>
      </w:r>
    </w:p>
    <w:p w14:paraId="7E9372C2" w14:textId="77777777" w:rsidR="00145789" w:rsidRPr="00F740D9" w:rsidRDefault="00145789" w:rsidP="00BE6C9D">
      <w:pPr>
        <w:adjustRightInd w:val="0"/>
        <w:snapToGrid w:val="0"/>
        <w:spacing w:line="360" w:lineRule="auto"/>
        <w:jc w:val="both"/>
        <w:rPr>
          <w:rFonts w:ascii="Book Antiqua" w:hAnsi="Book Antiqua"/>
          <w:bCs/>
          <w:i/>
          <w:color w:val="000000" w:themeColor="text1"/>
          <w:szCs w:val="24"/>
        </w:rPr>
      </w:pPr>
    </w:p>
    <w:p w14:paraId="10201A8B" w14:textId="77777777" w:rsidR="006250CB" w:rsidRPr="00F740D9" w:rsidRDefault="006250CB" w:rsidP="00BE6C9D">
      <w:pPr>
        <w:adjustRightInd w:val="0"/>
        <w:snapToGrid w:val="0"/>
        <w:spacing w:line="360" w:lineRule="auto"/>
        <w:jc w:val="both"/>
        <w:rPr>
          <w:rFonts w:ascii="Book Antiqua" w:hAnsi="Book Antiqua"/>
          <w:b/>
          <w:i/>
          <w:color w:val="000000" w:themeColor="text1"/>
          <w:szCs w:val="24"/>
        </w:rPr>
      </w:pPr>
      <w:r w:rsidRPr="00F740D9">
        <w:rPr>
          <w:rFonts w:ascii="Book Antiqua" w:hAnsi="Book Antiqua"/>
          <w:b/>
          <w:i/>
          <w:color w:val="000000" w:themeColor="text1"/>
          <w:szCs w:val="24"/>
        </w:rPr>
        <w:t>Research conclusions</w:t>
      </w:r>
    </w:p>
    <w:p w14:paraId="3AA6FDB8" w14:textId="32CC78E2" w:rsidR="006250CB" w:rsidRPr="00F740D9" w:rsidRDefault="00145789" w:rsidP="00BE6C9D">
      <w:pPr>
        <w:adjustRightInd w:val="0"/>
        <w:snapToGrid w:val="0"/>
        <w:spacing w:line="360" w:lineRule="auto"/>
        <w:jc w:val="both"/>
        <w:rPr>
          <w:rFonts w:ascii="Book Antiqua" w:hAnsi="Book Antiqua"/>
          <w:bCs/>
          <w:iCs/>
          <w:color w:val="000000" w:themeColor="text1"/>
          <w:szCs w:val="24"/>
        </w:rPr>
      </w:pPr>
      <w:r w:rsidRPr="00F740D9">
        <w:rPr>
          <w:rFonts w:ascii="Book Antiqua" w:hAnsi="Book Antiqua"/>
          <w:bCs/>
          <w:iCs/>
          <w:color w:val="000000" w:themeColor="text1"/>
          <w:szCs w:val="24"/>
        </w:rPr>
        <w:t>mTOR inhibitors prolonged survival after post-transplant HCC recurrence.</w:t>
      </w:r>
    </w:p>
    <w:p w14:paraId="014F44E1" w14:textId="77777777" w:rsidR="00145789" w:rsidRPr="00F740D9" w:rsidRDefault="00145789" w:rsidP="00BE6C9D">
      <w:pPr>
        <w:adjustRightInd w:val="0"/>
        <w:snapToGrid w:val="0"/>
        <w:spacing w:line="360" w:lineRule="auto"/>
        <w:jc w:val="both"/>
        <w:rPr>
          <w:rFonts w:ascii="Book Antiqua" w:hAnsi="Book Antiqua"/>
          <w:b/>
          <w:i/>
          <w:color w:val="000000" w:themeColor="text1"/>
          <w:szCs w:val="24"/>
        </w:rPr>
      </w:pPr>
    </w:p>
    <w:p w14:paraId="336050AA" w14:textId="0B110F24" w:rsidR="006250CB" w:rsidRPr="00F740D9" w:rsidRDefault="006250CB" w:rsidP="00BE6C9D">
      <w:pPr>
        <w:adjustRightInd w:val="0"/>
        <w:snapToGrid w:val="0"/>
        <w:spacing w:line="360" w:lineRule="auto"/>
        <w:jc w:val="both"/>
        <w:rPr>
          <w:rFonts w:ascii="Book Antiqua" w:hAnsi="Book Antiqua"/>
          <w:b/>
          <w:i/>
          <w:color w:val="000000" w:themeColor="text1"/>
          <w:szCs w:val="24"/>
        </w:rPr>
      </w:pPr>
      <w:r w:rsidRPr="00F740D9">
        <w:rPr>
          <w:rFonts w:ascii="Book Antiqua" w:hAnsi="Book Antiqua"/>
          <w:b/>
          <w:i/>
          <w:color w:val="000000" w:themeColor="text1"/>
          <w:szCs w:val="24"/>
        </w:rPr>
        <w:t>Research perspectives</w:t>
      </w:r>
    </w:p>
    <w:p w14:paraId="287E98BE" w14:textId="299358C5" w:rsidR="00145789" w:rsidRPr="00F740D9" w:rsidRDefault="00145789" w:rsidP="00BE6C9D">
      <w:pPr>
        <w:adjustRightInd w:val="0"/>
        <w:snapToGrid w:val="0"/>
        <w:spacing w:line="360" w:lineRule="auto"/>
        <w:jc w:val="both"/>
        <w:rPr>
          <w:rFonts w:ascii="Book Antiqua" w:hAnsi="Book Antiqua"/>
          <w:bCs/>
          <w:iCs/>
          <w:color w:val="000000" w:themeColor="text1"/>
          <w:szCs w:val="24"/>
        </w:rPr>
      </w:pPr>
      <w:r w:rsidRPr="00F740D9">
        <w:rPr>
          <w:rFonts w:ascii="Book Antiqua" w:hAnsi="Book Antiqua"/>
          <w:bCs/>
          <w:iCs/>
          <w:color w:val="000000" w:themeColor="text1"/>
          <w:szCs w:val="24"/>
        </w:rPr>
        <w:t xml:space="preserve">The role of mTOR inhibitor therapy in post-transplant HCC recurrences </w:t>
      </w:r>
      <w:r w:rsidR="00F70628">
        <w:rPr>
          <w:rFonts w:ascii="Book Antiqua" w:hAnsi="Book Antiqua"/>
          <w:bCs/>
          <w:iCs/>
          <w:color w:val="000000" w:themeColor="text1"/>
          <w:szCs w:val="24"/>
        </w:rPr>
        <w:t>sh</w:t>
      </w:r>
      <w:r w:rsidRPr="00F740D9">
        <w:rPr>
          <w:rFonts w:ascii="Book Antiqua" w:hAnsi="Book Antiqua"/>
          <w:bCs/>
          <w:iCs/>
          <w:color w:val="000000" w:themeColor="text1"/>
          <w:szCs w:val="24"/>
        </w:rPr>
        <w:t>ould be confirmed with further prospective randomized stud</w:t>
      </w:r>
      <w:r w:rsidR="00F70628">
        <w:rPr>
          <w:rFonts w:ascii="Book Antiqua" w:hAnsi="Book Antiqua"/>
          <w:bCs/>
          <w:iCs/>
          <w:color w:val="000000" w:themeColor="text1"/>
          <w:szCs w:val="24"/>
        </w:rPr>
        <w:t>ies</w:t>
      </w:r>
      <w:r w:rsidRPr="00F740D9">
        <w:rPr>
          <w:rFonts w:ascii="Book Antiqua" w:hAnsi="Book Antiqua"/>
          <w:bCs/>
          <w:iCs/>
          <w:color w:val="000000" w:themeColor="text1"/>
          <w:szCs w:val="24"/>
        </w:rPr>
        <w:t xml:space="preserve">. </w:t>
      </w:r>
      <w:r w:rsidR="00F70628">
        <w:rPr>
          <w:rFonts w:ascii="Book Antiqua" w:hAnsi="Book Antiqua"/>
          <w:bCs/>
          <w:iCs/>
          <w:color w:val="000000" w:themeColor="text1"/>
          <w:szCs w:val="24"/>
        </w:rPr>
        <w:t>A f</w:t>
      </w:r>
      <w:r w:rsidRPr="00F740D9">
        <w:rPr>
          <w:rFonts w:ascii="Book Antiqua" w:hAnsi="Book Antiqua"/>
          <w:bCs/>
          <w:iCs/>
          <w:color w:val="000000" w:themeColor="text1"/>
          <w:szCs w:val="24"/>
        </w:rPr>
        <w:t xml:space="preserve">urther </w:t>
      </w:r>
      <w:r w:rsidR="00F70628">
        <w:rPr>
          <w:rFonts w:ascii="Book Antiqua" w:hAnsi="Book Antiqua"/>
          <w:bCs/>
          <w:iCs/>
          <w:color w:val="000000" w:themeColor="text1"/>
          <w:szCs w:val="24"/>
        </w:rPr>
        <w:t>area</w:t>
      </w:r>
      <w:r w:rsidRPr="00F740D9">
        <w:rPr>
          <w:rFonts w:ascii="Book Antiqua" w:hAnsi="Book Antiqua"/>
          <w:bCs/>
          <w:iCs/>
          <w:color w:val="000000" w:themeColor="text1"/>
          <w:szCs w:val="24"/>
        </w:rPr>
        <w:t xml:space="preserve"> of study </w:t>
      </w:r>
      <w:r w:rsidR="00F70628">
        <w:rPr>
          <w:rFonts w:ascii="Book Antiqua" w:hAnsi="Book Antiqua"/>
          <w:bCs/>
          <w:iCs/>
          <w:color w:val="000000" w:themeColor="text1"/>
          <w:szCs w:val="24"/>
        </w:rPr>
        <w:t xml:space="preserve">should </w:t>
      </w:r>
      <w:r w:rsidRPr="00F740D9">
        <w:rPr>
          <w:rFonts w:ascii="Book Antiqua" w:hAnsi="Book Antiqua"/>
          <w:bCs/>
          <w:iCs/>
          <w:color w:val="000000" w:themeColor="text1"/>
          <w:szCs w:val="24"/>
        </w:rPr>
        <w:t>include patient selection for mTOR inhibitor treatment following HCC recurrence.</w:t>
      </w:r>
    </w:p>
    <w:p w14:paraId="27D4B096" w14:textId="25FB6AA2" w:rsidR="006250CB" w:rsidRPr="00F740D9" w:rsidRDefault="006250CB" w:rsidP="00BE6C9D">
      <w:pPr>
        <w:snapToGrid w:val="0"/>
        <w:spacing w:line="360" w:lineRule="auto"/>
        <w:jc w:val="both"/>
        <w:rPr>
          <w:rFonts w:ascii="Book Antiqua" w:hAnsi="Book Antiqua"/>
          <w:color w:val="000000" w:themeColor="text1"/>
          <w:szCs w:val="24"/>
        </w:rPr>
      </w:pPr>
    </w:p>
    <w:p w14:paraId="030CF4D3" w14:textId="77777777" w:rsidR="00731DC4" w:rsidRPr="00F740D9" w:rsidRDefault="00731DC4" w:rsidP="00BE6C9D">
      <w:pPr>
        <w:adjustRightInd w:val="0"/>
        <w:snapToGrid w:val="0"/>
        <w:spacing w:line="360" w:lineRule="auto"/>
        <w:jc w:val="both"/>
        <w:rPr>
          <w:rFonts w:ascii="Book Antiqua" w:hAnsi="Book Antiqua"/>
          <w:b/>
          <w:color w:val="000000"/>
          <w:szCs w:val="24"/>
        </w:rPr>
      </w:pPr>
      <w:r w:rsidRPr="00F740D9">
        <w:rPr>
          <w:rFonts w:ascii="Book Antiqua" w:hAnsi="Book Antiqua"/>
          <w:b/>
          <w:color w:val="000000"/>
          <w:szCs w:val="24"/>
        </w:rPr>
        <w:t>REFERENCES</w:t>
      </w:r>
    </w:p>
    <w:p w14:paraId="4C2D7945" w14:textId="77777777" w:rsidR="00AF289B" w:rsidRPr="00F740D9" w:rsidRDefault="00AF289B" w:rsidP="00BE6C9D">
      <w:pPr>
        <w:snapToGrid w:val="0"/>
        <w:spacing w:line="360" w:lineRule="auto"/>
        <w:jc w:val="both"/>
        <w:rPr>
          <w:rFonts w:ascii="Book Antiqua" w:hAnsi="Book Antiqua"/>
          <w:color w:val="000000" w:themeColor="text1"/>
          <w:szCs w:val="24"/>
        </w:rPr>
      </w:pPr>
      <w:r w:rsidRPr="00F740D9">
        <w:rPr>
          <w:rFonts w:ascii="Book Antiqua" w:hAnsi="Book Antiqua"/>
          <w:color w:val="000000" w:themeColor="text1"/>
          <w:szCs w:val="24"/>
        </w:rPr>
        <w:t xml:space="preserve">1 </w:t>
      </w:r>
      <w:r w:rsidRPr="00F740D9">
        <w:rPr>
          <w:rFonts w:ascii="Book Antiqua" w:hAnsi="Book Antiqua"/>
          <w:b/>
          <w:color w:val="000000" w:themeColor="text1"/>
          <w:szCs w:val="24"/>
        </w:rPr>
        <w:t>Hojo M</w:t>
      </w:r>
      <w:r w:rsidRPr="00F740D9">
        <w:rPr>
          <w:rFonts w:ascii="Book Antiqua" w:hAnsi="Book Antiqua"/>
          <w:color w:val="000000" w:themeColor="text1"/>
          <w:szCs w:val="24"/>
        </w:rPr>
        <w:t xml:space="preserve">, Morimoto T, Maluccio M, Asano T, Morimoto K, Lagman M, Shimbo T, Suthanthiran M. Cyclosporine induces cancer progression by a cell-autonomous mechanism. </w:t>
      </w:r>
      <w:r w:rsidRPr="00F740D9">
        <w:rPr>
          <w:rFonts w:ascii="Book Antiqua" w:hAnsi="Book Antiqua"/>
          <w:i/>
          <w:color w:val="000000" w:themeColor="text1"/>
          <w:szCs w:val="24"/>
        </w:rPr>
        <w:t>Nature</w:t>
      </w:r>
      <w:r w:rsidRPr="00F740D9">
        <w:rPr>
          <w:rFonts w:ascii="Book Antiqua" w:hAnsi="Book Antiqua"/>
          <w:color w:val="000000" w:themeColor="text1"/>
          <w:szCs w:val="24"/>
        </w:rPr>
        <w:t xml:space="preserve"> 1999; </w:t>
      </w:r>
      <w:r w:rsidRPr="00F740D9">
        <w:rPr>
          <w:rFonts w:ascii="Book Antiqua" w:hAnsi="Book Antiqua"/>
          <w:b/>
          <w:color w:val="000000" w:themeColor="text1"/>
          <w:szCs w:val="24"/>
        </w:rPr>
        <w:t>397</w:t>
      </w:r>
      <w:r w:rsidRPr="00F740D9">
        <w:rPr>
          <w:rFonts w:ascii="Book Antiqua" w:hAnsi="Book Antiqua"/>
          <w:color w:val="000000" w:themeColor="text1"/>
          <w:szCs w:val="24"/>
        </w:rPr>
        <w:t>: 530-534 [PMID: 10028970 DOI: 10.1038/17401]</w:t>
      </w:r>
    </w:p>
    <w:p w14:paraId="07922276" w14:textId="77777777" w:rsidR="00AF289B" w:rsidRPr="00F740D9" w:rsidRDefault="00AF289B" w:rsidP="00BE6C9D">
      <w:pPr>
        <w:snapToGrid w:val="0"/>
        <w:spacing w:line="360" w:lineRule="auto"/>
        <w:jc w:val="both"/>
        <w:rPr>
          <w:rFonts w:ascii="Book Antiqua" w:hAnsi="Book Antiqua"/>
          <w:color w:val="000000" w:themeColor="text1"/>
          <w:szCs w:val="24"/>
        </w:rPr>
      </w:pPr>
      <w:r w:rsidRPr="00F740D9">
        <w:rPr>
          <w:rFonts w:ascii="Book Antiqua" w:hAnsi="Book Antiqua"/>
          <w:color w:val="000000" w:themeColor="text1"/>
          <w:szCs w:val="24"/>
        </w:rPr>
        <w:t xml:space="preserve">2 </w:t>
      </w:r>
      <w:r w:rsidRPr="00F740D9">
        <w:rPr>
          <w:rFonts w:ascii="Book Antiqua" w:hAnsi="Book Antiqua"/>
          <w:b/>
          <w:color w:val="000000" w:themeColor="text1"/>
          <w:szCs w:val="24"/>
        </w:rPr>
        <w:t>Vivarelli M</w:t>
      </w:r>
      <w:r w:rsidRPr="00F740D9">
        <w:rPr>
          <w:rFonts w:ascii="Book Antiqua" w:hAnsi="Book Antiqua"/>
          <w:color w:val="000000" w:themeColor="text1"/>
          <w:szCs w:val="24"/>
        </w:rPr>
        <w:t xml:space="preserve">, Cucchetti A, Piscaglia F, La Barba G, Bolondi L, Cavallari A, Pinna AD. Analysis of risk factors for tumor recurrence after liver transplantation for hepatocellular carcinoma: key role of immunosuppression. </w:t>
      </w:r>
      <w:r w:rsidRPr="00F740D9">
        <w:rPr>
          <w:rFonts w:ascii="Book Antiqua" w:hAnsi="Book Antiqua"/>
          <w:i/>
          <w:color w:val="000000" w:themeColor="text1"/>
          <w:szCs w:val="24"/>
        </w:rPr>
        <w:t>Liver Transpl</w:t>
      </w:r>
      <w:r w:rsidRPr="00F740D9">
        <w:rPr>
          <w:rFonts w:ascii="Book Antiqua" w:hAnsi="Book Antiqua"/>
          <w:color w:val="000000" w:themeColor="text1"/>
          <w:szCs w:val="24"/>
        </w:rPr>
        <w:t xml:space="preserve"> 2005; </w:t>
      </w:r>
      <w:r w:rsidRPr="00F740D9">
        <w:rPr>
          <w:rFonts w:ascii="Book Antiqua" w:hAnsi="Book Antiqua"/>
          <w:b/>
          <w:color w:val="000000" w:themeColor="text1"/>
          <w:szCs w:val="24"/>
        </w:rPr>
        <w:t>11</w:t>
      </w:r>
      <w:r w:rsidRPr="00F740D9">
        <w:rPr>
          <w:rFonts w:ascii="Book Antiqua" w:hAnsi="Book Antiqua"/>
          <w:color w:val="000000" w:themeColor="text1"/>
          <w:szCs w:val="24"/>
        </w:rPr>
        <w:t>: 497-503 [PMID: 15838913 DOI: 10.1002/lt.20391]</w:t>
      </w:r>
    </w:p>
    <w:p w14:paraId="0C40CCE8" w14:textId="77777777" w:rsidR="00AF289B" w:rsidRPr="00F740D9" w:rsidRDefault="00AF289B" w:rsidP="00BE6C9D">
      <w:pPr>
        <w:snapToGrid w:val="0"/>
        <w:spacing w:line="360" w:lineRule="auto"/>
        <w:jc w:val="both"/>
        <w:rPr>
          <w:rFonts w:ascii="Book Antiqua" w:hAnsi="Book Antiqua"/>
          <w:color w:val="000000" w:themeColor="text1"/>
          <w:szCs w:val="24"/>
        </w:rPr>
      </w:pPr>
      <w:r w:rsidRPr="00F740D9">
        <w:rPr>
          <w:rFonts w:ascii="Book Antiqua" w:hAnsi="Book Antiqua"/>
          <w:color w:val="000000" w:themeColor="text1"/>
          <w:szCs w:val="24"/>
        </w:rPr>
        <w:t xml:space="preserve">3 </w:t>
      </w:r>
      <w:r w:rsidRPr="00F740D9">
        <w:rPr>
          <w:rFonts w:ascii="Book Antiqua" w:hAnsi="Book Antiqua"/>
          <w:b/>
          <w:color w:val="000000" w:themeColor="text1"/>
          <w:szCs w:val="24"/>
        </w:rPr>
        <w:t>Rodríguez-Perálvarez M</w:t>
      </w:r>
      <w:r w:rsidRPr="00F740D9">
        <w:rPr>
          <w:rFonts w:ascii="Book Antiqua" w:hAnsi="Book Antiqua"/>
          <w:color w:val="000000" w:themeColor="text1"/>
          <w:szCs w:val="24"/>
        </w:rPr>
        <w:t xml:space="preserve">, Tsochatzis E, Naveas MC, Pieri G, García-Caparrós C, O'Beirne J, Poyato-González A, Ferrín-Sánchez G, Montero-Álvarez JL, Patch D, Thorburn D, Briceño J, De la Mata M, Burroughs AK. Reduced exposure to calcineurin inhibitors early after liver transplantation prevents recurrence of hepatocellular carcinoma. </w:t>
      </w:r>
      <w:r w:rsidRPr="00F740D9">
        <w:rPr>
          <w:rFonts w:ascii="Book Antiqua" w:hAnsi="Book Antiqua"/>
          <w:i/>
          <w:color w:val="000000" w:themeColor="text1"/>
          <w:szCs w:val="24"/>
        </w:rPr>
        <w:t>J Hepatol</w:t>
      </w:r>
      <w:r w:rsidRPr="00F740D9">
        <w:rPr>
          <w:rFonts w:ascii="Book Antiqua" w:hAnsi="Book Antiqua"/>
          <w:color w:val="000000" w:themeColor="text1"/>
          <w:szCs w:val="24"/>
        </w:rPr>
        <w:t xml:space="preserve"> 2013; </w:t>
      </w:r>
      <w:r w:rsidRPr="00F740D9">
        <w:rPr>
          <w:rFonts w:ascii="Book Antiqua" w:hAnsi="Book Antiqua"/>
          <w:b/>
          <w:color w:val="000000" w:themeColor="text1"/>
          <w:szCs w:val="24"/>
        </w:rPr>
        <w:t>59</w:t>
      </w:r>
      <w:r w:rsidRPr="00F740D9">
        <w:rPr>
          <w:rFonts w:ascii="Book Antiqua" w:hAnsi="Book Antiqua"/>
          <w:color w:val="000000" w:themeColor="text1"/>
          <w:szCs w:val="24"/>
        </w:rPr>
        <w:t>: 1193-1199 [PMID: 23867318 DOI: 10.1016/j.jhep.2013.07.012]</w:t>
      </w:r>
    </w:p>
    <w:p w14:paraId="2D019110" w14:textId="77777777" w:rsidR="00AF289B" w:rsidRPr="00F740D9" w:rsidRDefault="00AF289B" w:rsidP="00BE6C9D">
      <w:pPr>
        <w:snapToGrid w:val="0"/>
        <w:spacing w:line="360" w:lineRule="auto"/>
        <w:jc w:val="both"/>
        <w:rPr>
          <w:rFonts w:ascii="Book Antiqua" w:hAnsi="Book Antiqua"/>
          <w:color w:val="000000" w:themeColor="text1"/>
          <w:szCs w:val="24"/>
        </w:rPr>
      </w:pPr>
      <w:r w:rsidRPr="00F740D9">
        <w:rPr>
          <w:rFonts w:ascii="Book Antiqua" w:hAnsi="Book Antiqua"/>
          <w:color w:val="000000" w:themeColor="text1"/>
          <w:szCs w:val="24"/>
        </w:rPr>
        <w:t xml:space="preserve">4 </w:t>
      </w:r>
      <w:r w:rsidRPr="00F740D9">
        <w:rPr>
          <w:rFonts w:ascii="Book Antiqua" w:hAnsi="Book Antiqua"/>
          <w:b/>
          <w:color w:val="000000" w:themeColor="text1"/>
          <w:szCs w:val="24"/>
        </w:rPr>
        <w:t>Guba M</w:t>
      </w:r>
      <w:r w:rsidRPr="00F740D9">
        <w:rPr>
          <w:rFonts w:ascii="Book Antiqua" w:hAnsi="Book Antiqua"/>
          <w:color w:val="000000" w:themeColor="text1"/>
          <w:szCs w:val="24"/>
        </w:rPr>
        <w:t xml:space="preserve">, von Breitenbuch P, Steinbauer M, Koehl G, Flegel S, Hornung M, Bruns CJ, Zuelke C, Farkas S, Anthuber M, Jauch KW, Geissler EK. Rapamycin inhibits primary and metastatic tumor growth by antiangiogenesis: involvement of vascular endothelial growth factor. </w:t>
      </w:r>
      <w:r w:rsidRPr="00F740D9">
        <w:rPr>
          <w:rFonts w:ascii="Book Antiqua" w:hAnsi="Book Antiqua"/>
          <w:i/>
          <w:color w:val="000000" w:themeColor="text1"/>
          <w:szCs w:val="24"/>
        </w:rPr>
        <w:t>Nat Med</w:t>
      </w:r>
      <w:r w:rsidRPr="00F740D9">
        <w:rPr>
          <w:rFonts w:ascii="Book Antiqua" w:hAnsi="Book Antiqua"/>
          <w:color w:val="000000" w:themeColor="text1"/>
          <w:szCs w:val="24"/>
        </w:rPr>
        <w:t xml:space="preserve"> 2002; </w:t>
      </w:r>
      <w:r w:rsidRPr="00F740D9">
        <w:rPr>
          <w:rFonts w:ascii="Book Antiqua" w:hAnsi="Book Antiqua"/>
          <w:b/>
          <w:color w:val="000000" w:themeColor="text1"/>
          <w:szCs w:val="24"/>
        </w:rPr>
        <w:t>8</w:t>
      </w:r>
      <w:r w:rsidRPr="00F740D9">
        <w:rPr>
          <w:rFonts w:ascii="Book Antiqua" w:hAnsi="Book Antiqua"/>
          <w:color w:val="000000" w:themeColor="text1"/>
          <w:szCs w:val="24"/>
        </w:rPr>
        <w:t>: 128-135 [PMID: 11821896 DOI: 10.1038/nm0202-128]</w:t>
      </w:r>
    </w:p>
    <w:p w14:paraId="3026CFCE" w14:textId="77777777" w:rsidR="00AF289B" w:rsidRPr="00F740D9" w:rsidRDefault="00AF289B" w:rsidP="00BE6C9D">
      <w:pPr>
        <w:snapToGrid w:val="0"/>
        <w:spacing w:line="360" w:lineRule="auto"/>
        <w:jc w:val="both"/>
        <w:rPr>
          <w:rFonts w:ascii="Book Antiqua" w:hAnsi="Book Antiqua"/>
          <w:color w:val="000000" w:themeColor="text1"/>
          <w:szCs w:val="24"/>
        </w:rPr>
      </w:pPr>
      <w:r w:rsidRPr="00F740D9">
        <w:rPr>
          <w:rFonts w:ascii="Book Antiqua" w:hAnsi="Book Antiqua"/>
          <w:color w:val="000000" w:themeColor="text1"/>
          <w:szCs w:val="24"/>
        </w:rPr>
        <w:t xml:space="preserve">5 </w:t>
      </w:r>
      <w:r w:rsidRPr="00F740D9">
        <w:rPr>
          <w:rFonts w:ascii="Book Antiqua" w:hAnsi="Book Antiqua"/>
          <w:b/>
          <w:color w:val="000000" w:themeColor="text1"/>
          <w:szCs w:val="24"/>
        </w:rPr>
        <w:t>Sehgal SN</w:t>
      </w:r>
      <w:r w:rsidRPr="00F740D9">
        <w:rPr>
          <w:rFonts w:ascii="Book Antiqua" w:hAnsi="Book Antiqua"/>
          <w:color w:val="000000" w:themeColor="text1"/>
          <w:szCs w:val="24"/>
        </w:rPr>
        <w:t xml:space="preserve">. Rapamune (RAPA, rapamycin, sirolimus): mechanism of action </w:t>
      </w:r>
      <w:r w:rsidRPr="00F740D9">
        <w:rPr>
          <w:rFonts w:ascii="Book Antiqua" w:hAnsi="Book Antiqua"/>
          <w:color w:val="000000" w:themeColor="text1"/>
          <w:szCs w:val="24"/>
        </w:rPr>
        <w:lastRenderedPageBreak/>
        <w:t xml:space="preserve">immunosuppressive effect results from blockade of signal transduction and inhibition of cell cycle progression. </w:t>
      </w:r>
      <w:r w:rsidRPr="00F740D9">
        <w:rPr>
          <w:rFonts w:ascii="Book Antiqua" w:hAnsi="Book Antiqua"/>
          <w:i/>
          <w:color w:val="000000" w:themeColor="text1"/>
          <w:szCs w:val="24"/>
        </w:rPr>
        <w:t>Clin Biochem</w:t>
      </w:r>
      <w:r w:rsidRPr="00F740D9">
        <w:rPr>
          <w:rFonts w:ascii="Book Antiqua" w:hAnsi="Book Antiqua"/>
          <w:color w:val="000000" w:themeColor="text1"/>
          <w:szCs w:val="24"/>
        </w:rPr>
        <w:t xml:space="preserve"> 1998; </w:t>
      </w:r>
      <w:r w:rsidRPr="00F740D9">
        <w:rPr>
          <w:rFonts w:ascii="Book Antiqua" w:hAnsi="Book Antiqua"/>
          <w:b/>
          <w:color w:val="000000" w:themeColor="text1"/>
          <w:szCs w:val="24"/>
        </w:rPr>
        <w:t>31</w:t>
      </w:r>
      <w:r w:rsidRPr="00F740D9">
        <w:rPr>
          <w:rFonts w:ascii="Book Antiqua" w:hAnsi="Book Antiqua"/>
          <w:color w:val="000000" w:themeColor="text1"/>
          <w:szCs w:val="24"/>
        </w:rPr>
        <w:t>: 335-340 [PMID: 9721431 DOI: 10.1016/s0009-9120(98)00045-9]</w:t>
      </w:r>
    </w:p>
    <w:p w14:paraId="5BFEE621" w14:textId="77777777" w:rsidR="00AF289B" w:rsidRPr="00F740D9" w:rsidRDefault="00AF289B" w:rsidP="00BE6C9D">
      <w:pPr>
        <w:snapToGrid w:val="0"/>
        <w:spacing w:line="360" w:lineRule="auto"/>
        <w:jc w:val="both"/>
        <w:rPr>
          <w:rFonts w:ascii="Book Antiqua" w:hAnsi="Book Antiqua"/>
          <w:color w:val="000000" w:themeColor="text1"/>
          <w:szCs w:val="24"/>
        </w:rPr>
      </w:pPr>
      <w:r w:rsidRPr="00F740D9">
        <w:rPr>
          <w:rFonts w:ascii="Book Antiqua" w:hAnsi="Book Antiqua"/>
          <w:color w:val="000000" w:themeColor="text1"/>
          <w:szCs w:val="24"/>
        </w:rPr>
        <w:t xml:space="preserve">6 </w:t>
      </w:r>
      <w:r w:rsidRPr="00F740D9">
        <w:rPr>
          <w:rFonts w:ascii="Book Antiqua" w:hAnsi="Book Antiqua"/>
          <w:b/>
          <w:color w:val="000000" w:themeColor="text1"/>
          <w:szCs w:val="24"/>
        </w:rPr>
        <w:t>Menon KV</w:t>
      </w:r>
      <w:r w:rsidRPr="00F740D9">
        <w:rPr>
          <w:rFonts w:ascii="Book Antiqua" w:hAnsi="Book Antiqua"/>
          <w:color w:val="000000" w:themeColor="text1"/>
          <w:szCs w:val="24"/>
        </w:rPr>
        <w:t xml:space="preserve">, Hakeem AR, Heaton ND. Meta-analysis: recurrence and survival following the use of sirolimus in liver transplantation for hepatocellular carcinoma. </w:t>
      </w:r>
      <w:r w:rsidRPr="00F740D9">
        <w:rPr>
          <w:rFonts w:ascii="Book Antiqua" w:hAnsi="Book Antiqua"/>
          <w:i/>
          <w:color w:val="000000" w:themeColor="text1"/>
          <w:szCs w:val="24"/>
        </w:rPr>
        <w:t>Aliment Pharmacol Ther</w:t>
      </w:r>
      <w:r w:rsidRPr="00F740D9">
        <w:rPr>
          <w:rFonts w:ascii="Book Antiqua" w:hAnsi="Book Antiqua"/>
          <w:color w:val="000000" w:themeColor="text1"/>
          <w:szCs w:val="24"/>
        </w:rPr>
        <w:t xml:space="preserve"> 2013; </w:t>
      </w:r>
      <w:r w:rsidRPr="00F740D9">
        <w:rPr>
          <w:rFonts w:ascii="Book Antiqua" w:hAnsi="Book Antiqua"/>
          <w:b/>
          <w:color w:val="000000" w:themeColor="text1"/>
          <w:szCs w:val="24"/>
        </w:rPr>
        <w:t>37</w:t>
      </w:r>
      <w:r w:rsidRPr="00F740D9">
        <w:rPr>
          <w:rFonts w:ascii="Book Antiqua" w:hAnsi="Book Antiqua"/>
          <w:color w:val="000000" w:themeColor="text1"/>
          <w:szCs w:val="24"/>
        </w:rPr>
        <w:t>: 411-419 [PMID: 23278125 DOI: 10.1111/apt.12185]</w:t>
      </w:r>
    </w:p>
    <w:p w14:paraId="5CCF6717" w14:textId="77777777" w:rsidR="00AF289B" w:rsidRPr="00F740D9" w:rsidRDefault="00AF289B" w:rsidP="00BE6C9D">
      <w:pPr>
        <w:snapToGrid w:val="0"/>
        <w:spacing w:line="360" w:lineRule="auto"/>
        <w:jc w:val="both"/>
        <w:rPr>
          <w:rFonts w:ascii="Book Antiqua" w:hAnsi="Book Antiqua"/>
          <w:color w:val="000000" w:themeColor="text1"/>
          <w:szCs w:val="24"/>
        </w:rPr>
      </w:pPr>
      <w:r w:rsidRPr="00F740D9">
        <w:rPr>
          <w:rFonts w:ascii="Book Antiqua" w:hAnsi="Book Antiqua"/>
          <w:color w:val="000000" w:themeColor="text1"/>
          <w:szCs w:val="24"/>
        </w:rPr>
        <w:t xml:space="preserve">7 </w:t>
      </w:r>
      <w:r w:rsidRPr="00F740D9">
        <w:rPr>
          <w:rFonts w:ascii="Book Antiqua" w:hAnsi="Book Antiqua"/>
          <w:b/>
          <w:color w:val="000000" w:themeColor="text1"/>
          <w:szCs w:val="24"/>
        </w:rPr>
        <w:t>Liang W</w:t>
      </w:r>
      <w:r w:rsidRPr="00F740D9">
        <w:rPr>
          <w:rFonts w:ascii="Book Antiqua" w:hAnsi="Book Antiqua"/>
          <w:color w:val="000000" w:themeColor="text1"/>
          <w:szCs w:val="24"/>
        </w:rPr>
        <w:t xml:space="preserve">, Wang D, Ling X, Kao AA, Kong Y, Shang Y, Guo Z, He X. Sirolimus-based immunosuppression in liver transplantation for hepatocellular carcinoma: a meta-analysis. </w:t>
      </w:r>
      <w:r w:rsidRPr="00F740D9">
        <w:rPr>
          <w:rFonts w:ascii="Book Antiqua" w:hAnsi="Book Antiqua"/>
          <w:i/>
          <w:color w:val="000000" w:themeColor="text1"/>
          <w:szCs w:val="24"/>
        </w:rPr>
        <w:t>Liver Transpl</w:t>
      </w:r>
      <w:r w:rsidRPr="00F740D9">
        <w:rPr>
          <w:rFonts w:ascii="Book Antiqua" w:hAnsi="Book Antiqua"/>
          <w:color w:val="000000" w:themeColor="text1"/>
          <w:szCs w:val="24"/>
        </w:rPr>
        <w:t xml:space="preserve"> 2012; </w:t>
      </w:r>
      <w:r w:rsidRPr="00F740D9">
        <w:rPr>
          <w:rFonts w:ascii="Book Antiqua" w:hAnsi="Book Antiqua"/>
          <w:b/>
          <w:color w:val="000000" w:themeColor="text1"/>
          <w:szCs w:val="24"/>
        </w:rPr>
        <w:t>18</w:t>
      </w:r>
      <w:r w:rsidRPr="00F740D9">
        <w:rPr>
          <w:rFonts w:ascii="Book Antiqua" w:hAnsi="Book Antiqua"/>
          <w:color w:val="000000" w:themeColor="text1"/>
          <w:szCs w:val="24"/>
        </w:rPr>
        <w:t>: 62-69 [PMID: 21964956 DOI: 10.1002/lt.22441]</w:t>
      </w:r>
    </w:p>
    <w:p w14:paraId="1BB2B4CD" w14:textId="77777777" w:rsidR="00AF289B" w:rsidRPr="00F740D9" w:rsidRDefault="00AF289B" w:rsidP="00BE6C9D">
      <w:pPr>
        <w:snapToGrid w:val="0"/>
        <w:spacing w:line="360" w:lineRule="auto"/>
        <w:jc w:val="both"/>
        <w:rPr>
          <w:rFonts w:ascii="Book Antiqua" w:hAnsi="Book Antiqua"/>
          <w:color w:val="000000" w:themeColor="text1"/>
          <w:szCs w:val="24"/>
        </w:rPr>
      </w:pPr>
      <w:r w:rsidRPr="00F740D9">
        <w:rPr>
          <w:rFonts w:ascii="Book Antiqua" w:hAnsi="Book Antiqua"/>
          <w:color w:val="000000" w:themeColor="text1"/>
          <w:szCs w:val="24"/>
        </w:rPr>
        <w:t xml:space="preserve">8 </w:t>
      </w:r>
      <w:r w:rsidRPr="00F740D9">
        <w:rPr>
          <w:rFonts w:ascii="Book Antiqua" w:hAnsi="Book Antiqua"/>
          <w:b/>
          <w:color w:val="000000" w:themeColor="text1"/>
          <w:szCs w:val="24"/>
        </w:rPr>
        <w:t>Chinnakotla S</w:t>
      </w:r>
      <w:r w:rsidRPr="00F740D9">
        <w:rPr>
          <w:rFonts w:ascii="Book Antiqua" w:hAnsi="Book Antiqua"/>
          <w:color w:val="000000" w:themeColor="text1"/>
          <w:szCs w:val="24"/>
        </w:rPr>
        <w:t xml:space="preserve">, Davis GL, Vasani S, Kim P, Tomiyama K, Sanchez E, Onaca N, Goldstein R, Levy M, Klintmalm GB. Impact of sirolimus on the recurrence of hepatocellular carcinoma after liver transplantation. </w:t>
      </w:r>
      <w:r w:rsidRPr="00F740D9">
        <w:rPr>
          <w:rFonts w:ascii="Book Antiqua" w:hAnsi="Book Antiqua"/>
          <w:i/>
          <w:color w:val="000000" w:themeColor="text1"/>
          <w:szCs w:val="24"/>
        </w:rPr>
        <w:t>Liver Transpl</w:t>
      </w:r>
      <w:r w:rsidRPr="00F740D9">
        <w:rPr>
          <w:rFonts w:ascii="Book Antiqua" w:hAnsi="Book Antiqua"/>
          <w:color w:val="000000" w:themeColor="text1"/>
          <w:szCs w:val="24"/>
        </w:rPr>
        <w:t xml:space="preserve"> 2009; </w:t>
      </w:r>
      <w:r w:rsidRPr="00F740D9">
        <w:rPr>
          <w:rFonts w:ascii="Book Antiqua" w:hAnsi="Book Antiqua"/>
          <w:b/>
          <w:color w:val="000000" w:themeColor="text1"/>
          <w:szCs w:val="24"/>
        </w:rPr>
        <w:t>15</w:t>
      </w:r>
      <w:r w:rsidRPr="00F740D9">
        <w:rPr>
          <w:rFonts w:ascii="Book Antiqua" w:hAnsi="Book Antiqua"/>
          <w:color w:val="000000" w:themeColor="text1"/>
          <w:szCs w:val="24"/>
        </w:rPr>
        <w:t>: 1834-1842 [PMID: 19938137 DOI: 10.1002/lt.21953]</w:t>
      </w:r>
    </w:p>
    <w:p w14:paraId="31CECEFA" w14:textId="77777777" w:rsidR="00AF289B" w:rsidRPr="00F740D9" w:rsidRDefault="00AF289B" w:rsidP="00BE6C9D">
      <w:pPr>
        <w:snapToGrid w:val="0"/>
        <w:spacing w:line="360" w:lineRule="auto"/>
        <w:jc w:val="both"/>
        <w:rPr>
          <w:rFonts w:ascii="Book Antiqua" w:hAnsi="Book Antiqua"/>
          <w:color w:val="000000" w:themeColor="text1"/>
          <w:szCs w:val="24"/>
        </w:rPr>
      </w:pPr>
      <w:r w:rsidRPr="00F740D9">
        <w:rPr>
          <w:rFonts w:ascii="Book Antiqua" w:hAnsi="Book Antiqua"/>
          <w:color w:val="000000" w:themeColor="text1"/>
          <w:szCs w:val="24"/>
        </w:rPr>
        <w:t xml:space="preserve">9 </w:t>
      </w:r>
      <w:r w:rsidRPr="00F740D9">
        <w:rPr>
          <w:rFonts w:ascii="Book Antiqua" w:hAnsi="Book Antiqua"/>
          <w:b/>
          <w:color w:val="000000" w:themeColor="text1"/>
          <w:szCs w:val="24"/>
        </w:rPr>
        <w:t>Toso C</w:t>
      </w:r>
      <w:r w:rsidRPr="00F740D9">
        <w:rPr>
          <w:rFonts w:ascii="Book Antiqua" w:hAnsi="Book Antiqua"/>
          <w:color w:val="000000" w:themeColor="text1"/>
          <w:szCs w:val="24"/>
        </w:rPr>
        <w:t xml:space="preserve">, Merani S, Bigam DL, Shapiro AM, Kneteman NM. Sirolimus-based immunosuppression is associated with increased survival after liver transplantation for hepatocellular carcinoma. </w:t>
      </w:r>
      <w:r w:rsidRPr="00F740D9">
        <w:rPr>
          <w:rFonts w:ascii="Book Antiqua" w:hAnsi="Book Antiqua"/>
          <w:i/>
          <w:color w:val="000000" w:themeColor="text1"/>
          <w:szCs w:val="24"/>
        </w:rPr>
        <w:t>Hepatology</w:t>
      </w:r>
      <w:r w:rsidRPr="00F740D9">
        <w:rPr>
          <w:rFonts w:ascii="Book Antiqua" w:hAnsi="Book Antiqua"/>
          <w:color w:val="000000" w:themeColor="text1"/>
          <w:szCs w:val="24"/>
        </w:rPr>
        <w:t xml:space="preserve"> 2010; </w:t>
      </w:r>
      <w:r w:rsidRPr="00F740D9">
        <w:rPr>
          <w:rFonts w:ascii="Book Antiqua" w:hAnsi="Book Antiqua"/>
          <w:b/>
          <w:color w:val="000000" w:themeColor="text1"/>
          <w:szCs w:val="24"/>
        </w:rPr>
        <w:t>51</w:t>
      </w:r>
      <w:r w:rsidRPr="00F740D9">
        <w:rPr>
          <w:rFonts w:ascii="Book Antiqua" w:hAnsi="Book Antiqua"/>
          <w:color w:val="000000" w:themeColor="text1"/>
          <w:szCs w:val="24"/>
        </w:rPr>
        <w:t>: 1237-1243 [PMID: 20187107 DOI: 10.1002/hep.23437]</w:t>
      </w:r>
    </w:p>
    <w:p w14:paraId="65E710A1" w14:textId="77777777" w:rsidR="00AF289B" w:rsidRPr="00F740D9" w:rsidRDefault="00AF289B" w:rsidP="00BE6C9D">
      <w:pPr>
        <w:snapToGrid w:val="0"/>
        <w:spacing w:line="360" w:lineRule="auto"/>
        <w:jc w:val="both"/>
        <w:rPr>
          <w:rFonts w:ascii="Book Antiqua" w:hAnsi="Book Antiqua"/>
          <w:color w:val="000000" w:themeColor="text1"/>
          <w:szCs w:val="24"/>
        </w:rPr>
      </w:pPr>
      <w:r w:rsidRPr="00F740D9">
        <w:rPr>
          <w:rFonts w:ascii="Book Antiqua" w:hAnsi="Book Antiqua"/>
          <w:color w:val="000000" w:themeColor="text1"/>
          <w:szCs w:val="24"/>
        </w:rPr>
        <w:t xml:space="preserve">10 </w:t>
      </w:r>
      <w:r w:rsidRPr="00F740D9">
        <w:rPr>
          <w:rFonts w:ascii="Book Antiqua" w:hAnsi="Book Antiqua"/>
          <w:b/>
          <w:color w:val="000000" w:themeColor="text1"/>
          <w:szCs w:val="24"/>
        </w:rPr>
        <w:t>Schnitzbauer AA</w:t>
      </w:r>
      <w:r w:rsidRPr="00F740D9">
        <w:rPr>
          <w:rFonts w:ascii="Book Antiqua" w:hAnsi="Book Antiqua"/>
          <w:color w:val="000000" w:themeColor="text1"/>
          <w:szCs w:val="24"/>
        </w:rPr>
        <w:t xml:space="preserve">, Schlitt HJ, Geissler EK. Influence of immunosuppressive drugs on the recurrence of hepatocellular carcinoma after liver transplantation: a gap between basic science and clinical evidence. </w:t>
      </w:r>
      <w:r w:rsidRPr="00F740D9">
        <w:rPr>
          <w:rFonts w:ascii="Book Antiqua" w:hAnsi="Book Antiqua"/>
          <w:i/>
          <w:color w:val="000000" w:themeColor="text1"/>
          <w:szCs w:val="24"/>
        </w:rPr>
        <w:t>Transplantation</w:t>
      </w:r>
      <w:r w:rsidRPr="00F740D9">
        <w:rPr>
          <w:rFonts w:ascii="Book Antiqua" w:hAnsi="Book Antiqua"/>
          <w:color w:val="000000" w:themeColor="text1"/>
          <w:szCs w:val="24"/>
        </w:rPr>
        <w:t xml:space="preserve"> 2011; </w:t>
      </w:r>
      <w:r w:rsidRPr="00F740D9">
        <w:rPr>
          <w:rFonts w:ascii="Book Antiqua" w:hAnsi="Book Antiqua"/>
          <w:b/>
          <w:color w:val="000000" w:themeColor="text1"/>
          <w:szCs w:val="24"/>
        </w:rPr>
        <w:t>91</w:t>
      </w:r>
      <w:r w:rsidRPr="00F740D9">
        <w:rPr>
          <w:rFonts w:ascii="Book Antiqua" w:hAnsi="Book Antiqua"/>
          <w:color w:val="000000" w:themeColor="text1"/>
          <w:szCs w:val="24"/>
        </w:rPr>
        <w:t>: 1173-1176 [PMID: 21427632 DOI: 10.1097/TP.0b013e318215e72b]</w:t>
      </w:r>
    </w:p>
    <w:p w14:paraId="6C75D916" w14:textId="77777777" w:rsidR="00AF289B" w:rsidRPr="00F740D9" w:rsidRDefault="00AF289B" w:rsidP="00BE6C9D">
      <w:pPr>
        <w:snapToGrid w:val="0"/>
        <w:spacing w:line="360" w:lineRule="auto"/>
        <w:jc w:val="both"/>
        <w:rPr>
          <w:rFonts w:ascii="Book Antiqua" w:hAnsi="Book Antiqua"/>
          <w:color w:val="000000" w:themeColor="text1"/>
          <w:szCs w:val="24"/>
        </w:rPr>
      </w:pPr>
      <w:r w:rsidRPr="00F740D9">
        <w:rPr>
          <w:rFonts w:ascii="Book Antiqua" w:hAnsi="Book Antiqua"/>
          <w:color w:val="000000" w:themeColor="text1"/>
          <w:szCs w:val="24"/>
        </w:rPr>
        <w:t xml:space="preserve">11 </w:t>
      </w:r>
      <w:r w:rsidRPr="00F740D9">
        <w:rPr>
          <w:rFonts w:ascii="Book Antiqua" w:hAnsi="Book Antiqua"/>
          <w:b/>
          <w:color w:val="000000" w:themeColor="text1"/>
          <w:szCs w:val="24"/>
        </w:rPr>
        <w:t>Schnitzbauer AA</w:t>
      </w:r>
      <w:r w:rsidRPr="00F740D9">
        <w:rPr>
          <w:rFonts w:ascii="Book Antiqua" w:hAnsi="Book Antiqua"/>
          <w:color w:val="000000" w:themeColor="text1"/>
          <w:szCs w:val="24"/>
        </w:rPr>
        <w:t xml:space="preserve">, Zuelke C, Graeb C, Rochon J, Bilbao I, Burra P, de Jong KP, Duvoux C, Kneteman NM, Adam R, Bechstein WO, Becker T, Beckebaum S, Chazouillères O, Cillo U, Colledan M, Fändrich F, Gugenheim J, Hauss JP, Heise M, Hidalgo E, Jamieson N, Königsrainer A, Lamby PE, Lerut JP, Mäkisalo H, Margreiter R, Mazzaferro V, Mutzbauer I, Otto G, Pageaux GP, Pinna AD, Pirenne J, Rizell M, Rossi G, Rostaing L, Roy A, Turrion VS, Schmidt J, Troisi RI, van Hoek B, Valente U, Wolf P, Wolters H, Mirza DF, Scholz T, Steininger R, Soderdahl G, Strasser SI, Jauch KW, Neuhaus P, Schlitt </w:t>
      </w:r>
      <w:r w:rsidRPr="00F740D9">
        <w:rPr>
          <w:rFonts w:ascii="Book Antiqua" w:hAnsi="Book Antiqua"/>
          <w:color w:val="000000" w:themeColor="text1"/>
          <w:szCs w:val="24"/>
        </w:rPr>
        <w:lastRenderedPageBreak/>
        <w:t xml:space="preserve">HJ, Geissler EK. A prospective randomised, open-labeled, trial comparing sirolimus-containing versus mTOR-inhibitor-free immunosuppression in patients undergoing liver transplantation for hepatocellular carcinoma. </w:t>
      </w:r>
      <w:r w:rsidRPr="00F740D9">
        <w:rPr>
          <w:rFonts w:ascii="Book Antiqua" w:hAnsi="Book Antiqua"/>
          <w:i/>
          <w:color w:val="000000" w:themeColor="text1"/>
          <w:szCs w:val="24"/>
        </w:rPr>
        <w:t>BMC Cancer</w:t>
      </w:r>
      <w:r w:rsidRPr="00F740D9">
        <w:rPr>
          <w:rFonts w:ascii="Book Antiqua" w:hAnsi="Book Antiqua"/>
          <w:color w:val="000000" w:themeColor="text1"/>
          <w:szCs w:val="24"/>
        </w:rPr>
        <w:t xml:space="preserve"> 2010; </w:t>
      </w:r>
      <w:r w:rsidRPr="00F740D9">
        <w:rPr>
          <w:rFonts w:ascii="Book Antiqua" w:hAnsi="Book Antiqua"/>
          <w:b/>
          <w:color w:val="000000" w:themeColor="text1"/>
          <w:szCs w:val="24"/>
        </w:rPr>
        <w:t>10</w:t>
      </w:r>
      <w:r w:rsidRPr="00F740D9">
        <w:rPr>
          <w:rFonts w:ascii="Book Antiqua" w:hAnsi="Book Antiqua"/>
          <w:color w:val="000000" w:themeColor="text1"/>
          <w:szCs w:val="24"/>
        </w:rPr>
        <w:t>: 190 [PMID: 20459775 DOI: 10.1186/1471-2407-10-190]</w:t>
      </w:r>
    </w:p>
    <w:p w14:paraId="001610B7" w14:textId="77777777" w:rsidR="00AF289B" w:rsidRPr="00F740D9" w:rsidRDefault="00AF289B" w:rsidP="00BE6C9D">
      <w:pPr>
        <w:snapToGrid w:val="0"/>
        <w:spacing w:line="360" w:lineRule="auto"/>
        <w:jc w:val="both"/>
        <w:rPr>
          <w:rFonts w:ascii="Book Antiqua" w:hAnsi="Book Antiqua"/>
          <w:color w:val="000000" w:themeColor="text1"/>
          <w:szCs w:val="24"/>
        </w:rPr>
      </w:pPr>
      <w:r w:rsidRPr="00F740D9">
        <w:rPr>
          <w:rFonts w:ascii="Book Antiqua" w:hAnsi="Book Antiqua"/>
          <w:color w:val="000000" w:themeColor="text1"/>
          <w:szCs w:val="24"/>
        </w:rPr>
        <w:t xml:space="preserve">12 </w:t>
      </w:r>
      <w:r w:rsidRPr="00F740D9">
        <w:rPr>
          <w:rFonts w:ascii="Book Antiqua" w:hAnsi="Book Antiqua"/>
          <w:b/>
          <w:color w:val="000000" w:themeColor="text1"/>
          <w:szCs w:val="24"/>
        </w:rPr>
        <w:t>Geissler EK</w:t>
      </w:r>
      <w:r w:rsidRPr="00F740D9">
        <w:rPr>
          <w:rFonts w:ascii="Book Antiqua" w:hAnsi="Book Antiqua"/>
          <w:color w:val="000000" w:themeColor="text1"/>
          <w:szCs w:val="24"/>
        </w:rPr>
        <w:t xml:space="preserve">, Schnitzbauer AA, Zülke C, Lamby PE, Proneth A, Duvoux C, Burra P, Jauch KW, Rentsch M, Ganten TM, Schmidt J, Settmacher U, Heise M, Rossi G, Cillo U, Kneteman N, Adam R, van Hoek B, Bachellier P, Wolf P, Rostaing L, Bechstein WO, Rizell M, Powell J, Hidalgo E, Gugenheim J, Wolters H, Brockmann J, Roy A, Mutzbauer I, Schlitt A, Beckebaum S, Graeb C, Nadalin S, Valente U, Turrión VS, Jamieson N, Scholz T, Colledan M, Fändrich F, Becker T, Söderdahl G, Chazouillères O, Mäkisalo H, Pageaux GP, Steininger R, Soliman T, de Jong KP, Pirenne J, Margreiter R, Pratschke J, Pinna AD, Hauss J, Schreiber S, Strasser S, Klempnauer J, Troisi RI, Bhoori S, Lerut J, Bilbao I, Klein CG, Königsrainer A, Mirza DF, Otto G, Mazzaferro V, Neuhaus P, Schlitt HJ. Sirolimus Use in Liver Transplant Recipients With Hepatocellular Carcinoma: A Randomized, Multicenter, Open-Label Phase 3 Trial. </w:t>
      </w:r>
      <w:r w:rsidRPr="00F740D9">
        <w:rPr>
          <w:rFonts w:ascii="Book Antiqua" w:hAnsi="Book Antiqua"/>
          <w:i/>
          <w:color w:val="000000" w:themeColor="text1"/>
          <w:szCs w:val="24"/>
        </w:rPr>
        <w:t>Transplantation</w:t>
      </w:r>
      <w:r w:rsidRPr="00F740D9">
        <w:rPr>
          <w:rFonts w:ascii="Book Antiqua" w:hAnsi="Book Antiqua"/>
          <w:color w:val="000000" w:themeColor="text1"/>
          <w:szCs w:val="24"/>
        </w:rPr>
        <w:t xml:space="preserve"> 2016; </w:t>
      </w:r>
      <w:r w:rsidRPr="00F740D9">
        <w:rPr>
          <w:rFonts w:ascii="Book Antiqua" w:hAnsi="Book Antiqua"/>
          <w:b/>
          <w:color w:val="000000" w:themeColor="text1"/>
          <w:szCs w:val="24"/>
        </w:rPr>
        <w:t>100</w:t>
      </w:r>
      <w:r w:rsidRPr="00F740D9">
        <w:rPr>
          <w:rFonts w:ascii="Book Antiqua" w:hAnsi="Book Antiqua"/>
          <w:color w:val="000000" w:themeColor="text1"/>
          <w:szCs w:val="24"/>
        </w:rPr>
        <w:t>: 116-125 [PMID: 26555945 DOI: 10.1097/TP.0000000000000965]</w:t>
      </w:r>
    </w:p>
    <w:p w14:paraId="698BE95C" w14:textId="77777777" w:rsidR="00AF289B" w:rsidRPr="00F740D9" w:rsidRDefault="00AF289B" w:rsidP="00BE6C9D">
      <w:pPr>
        <w:snapToGrid w:val="0"/>
        <w:spacing w:line="360" w:lineRule="auto"/>
        <w:jc w:val="both"/>
        <w:rPr>
          <w:rFonts w:ascii="Book Antiqua" w:hAnsi="Book Antiqua"/>
          <w:color w:val="000000" w:themeColor="text1"/>
          <w:szCs w:val="24"/>
        </w:rPr>
      </w:pPr>
      <w:r w:rsidRPr="00F740D9">
        <w:rPr>
          <w:rFonts w:ascii="Book Antiqua" w:hAnsi="Book Antiqua"/>
          <w:color w:val="000000" w:themeColor="text1"/>
          <w:szCs w:val="24"/>
        </w:rPr>
        <w:t xml:space="preserve">13 </w:t>
      </w:r>
      <w:r w:rsidRPr="00F740D9">
        <w:rPr>
          <w:rFonts w:ascii="Book Antiqua" w:hAnsi="Book Antiqua"/>
          <w:b/>
          <w:color w:val="000000" w:themeColor="text1"/>
          <w:szCs w:val="24"/>
        </w:rPr>
        <w:t>Au KP</w:t>
      </w:r>
      <w:r w:rsidRPr="00F740D9">
        <w:rPr>
          <w:rFonts w:ascii="Book Antiqua" w:hAnsi="Book Antiqua"/>
          <w:color w:val="000000" w:themeColor="text1"/>
          <w:szCs w:val="24"/>
        </w:rPr>
        <w:t xml:space="preserve">, Chok KSH. Multidisciplinary approach for post-liver transplant recurrence of hepatocellular carcinoma: A proposed management algorithm. </w:t>
      </w:r>
      <w:r w:rsidRPr="00F740D9">
        <w:rPr>
          <w:rFonts w:ascii="Book Antiqua" w:hAnsi="Book Antiqua"/>
          <w:i/>
          <w:color w:val="000000" w:themeColor="text1"/>
          <w:szCs w:val="24"/>
        </w:rPr>
        <w:t>World J Gastroenterol</w:t>
      </w:r>
      <w:r w:rsidRPr="00F740D9">
        <w:rPr>
          <w:rFonts w:ascii="Book Antiqua" w:hAnsi="Book Antiqua"/>
          <w:color w:val="000000" w:themeColor="text1"/>
          <w:szCs w:val="24"/>
        </w:rPr>
        <w:t xml:space="preserve"> 2018; </w:t>
      </w:r>
      <w:r w:rsidRPr="00F740D9">
        <w:rPr>
          <w:rFonts w:ascii="Book Antiqua" w:hAnsi="Book Antiqua"/>
          <w:b/>
          <w:color w:val="000000" w:themeColor="text1"/>
          <w:szCs w:val="24"/>
        </w:rPr>
        <w:t>24</w:t>
      </w:r>
      <w:r w:rsidRPr="00F740D9">
        <w:rPr>
          <w:rFonts w:ascii="Book Antiqua" w:hAnsi="Book Antiqua"/>
          <w:color w:val="000000" w:themeColor="text1"/>
          <w:szCs w:val="24"/>
        </w:rPr>
        <w:t>: 5081-5094 [PMID: 30568386 DOI: 10.3748/wjg.v24.i45.5081]</w:t>
      </w:r>
    </w:p>
    <w:p w14:paraId="3784670F" w14:textId="77777777" w:rsidR="00AF289B" w:rsidRPr="00F740D9" w:rsidRDefault="00AF289B" w:rsidP="00BE6C9D">
      <w:pPr>
        <w:snapToGrid w:val="0"/>
        <w:spacing w:line="360" w:lineRule="auto"/>
        <w:jc w:val="both"/>
        <w:rPr>
          <w:rFonts w:ascii="Book Antiqua" w:hAnsi="Book Antiqua"/>
          <w:color w:val="000000" w:themeColor="text1"/>
          <w:szCs w:val="24"/>
          <w:lang w:eastAsia="zh-CN"/>
        </w:rPr>
      </w:pPr>
      <w:r w:rsidRPr="00F740D9">
        <w:rPr>
          <w:rFonts w:ascii="Book Antiqua" w:hAnsi="Book Antiqua"/>
          <w:color w:val="000000" w:themeColor="text1"/>
          <w:szCs w:val="24"/>
        </w:rPr>
        <w:t xml:space="preserve">14 </w:t>
      </w:r>
      <w:r w:rsidRPr="00F740D9">
        <w:rPr>
          <w:rFonts w:ascii="Book Antiqua" w:hAnsi="Book Antiqua"/>
          <w:b/>
          <w:color w:val="000000" w:themeColor="text1"/>
          <w:szCs w:val="24"/>
        </w:rPr>
        <w:t>Piñero F,</w:t>
      </w:r>
      <w:r w:rsidRPr="00F740D9">
        <w:rPr>
          <w:rFonts w:ascii="Book Antiqua" w:hAnsi="Book Antiqua"/>
          <w:color w:val="000000" w:themeColor="text1"/>
          <w:szCs w:val="24"/>
        </w:rPr>
        <w:t xml:space="preserve"> Marciano S, Anders M. Sorafenib for Recurrent Hepatocellular Carcinoma after Liver Transplantation: A South American Experience. 2016</w:t>
      </w:r>
      <w:r w:rsidRPr="00F740D9">
        <w:rPr>
          <w:rFonts w:ascii="Book Antiqua" w:hAnsi="Book Antiqua"/>
          <w:color w:val="000000" w:themeColor="text1"/>
          <w:szCs w:val="24"/>
          <w:lang w:eastAsia="zh-CN"/>
        </w:rPr>
        <w:t xml:space="preserve">; </w:t>
      </w:r>
      <w:r w:rsidRPr="00F740D9">
        <w:rPr>
          <w:rFonts w:ascii="Book Antiqua" w:hAnsi="Book Antiqua"/>
          <w:b/>
          <w:bCs/>
          <w:color w:val="000000" w:themeColor="text1"/>
          <w:szCs w:val="24"/>
          <w:lang w:eastAsia="zh-CN"/>
        </w:rPr>
        <w:t>46</w:t>
      </w:r>
    </w:p>
    <w:p w14:paraId="6D727C7E" w14:textId="77777777" w:rsidR="00AF289B" w:rsidRPr="00F740D9" w:rsidRDefault="00AF289B" w:rsidP="00BE6C9D">
      <w:pPr>
        <w:snapToGrid w:val="0"/>
        <w:spacing w:line="360" w:lineRule="auto"/>
        <w:jc w:val="both"/>
        <w:rPr>
          <w:rFonts w:ascii="Book Antiqua" w:hAnsi="Book Antiqua"/>
          <w:color w:val="000000" w:themeColor="text1"/>
          <w:szCs w:val="24"/>
        </w:rPr>
      </w:pPr>
      <w:r w:rsidRPr="00F740D9">
        <w:rPr>
          <w:rFonts w:ascii="Book Antiqua" w:hAnsi="Book Antiqua"/>
          <w:color w:val="000000" w:themeColor="text1"/>
          <w:szCs w:val="24"/>
        </w:rPr>
        <w:t xml:space="preserve">15 </w:t>
      </w:r>
      <w:r w:rsidRPr="00F740D9">
        <w:rPr>
          <w:rFonts w:ascii="Book Antiqua" w:hAnsi="Book Antiqua"/>
          <w:b/>
          <w:color w:val="000000" w:themeColor="text1"/>
          <w:szCs w:val="24"/>
        </w:rPr>
        <w:t>Fallah-Rad N,</w:t>
      </w:r>
      <w:r w:rsidRPr="00F740D9">
        <w:rPr>
          <w:rFonts w:ascii="Book Antiqua" w:hAnsi="Book Antiqua"/>
          <w:color w:val="000000" w:themeColor="text1"/>
          <w:szCs w:val="24"/>
        </w:rPr>
        <w:t xml:space="preserve"> Cao Y, Knox JJ, Jang RWJ, Dhani NC, Sapisochin G, Grant D, Greig PD, Lilly L, Chen E. Sorafenib treatment in recurrent hepatocellular carcinoma post liver transplantation. </w:t>
      </w:r>
      <w:r w:rsidRPr="00F740D9">
        <w:rPr>
          <w:rFonts w:ascii="Book Antiqua" w:hAnsi="Book Antiqua"/>
          <w:i/>
          <w:iCs/>
          <w:color w:val="000000" w:themeColor="text1"/>
          <w:szCs w:val="24"/>
        </w:rPr>
        <w:t xml:space="preserve">J Clin Oncol </w:t>
      </w:r>
      <w:r w:rsidRPr="00F740D9">
        <w:rPr>
          <w:rFonts w:ascii="Book Antiqua" w:hAnsi="Book Antiqua"/>
          <w:color w:val="000000" w:themeColor="text1"/>
          <w:szCs w:val="24"/>
        </w:rPr>
        <w:t xml:space="preserve">2017; </w:t>
      </w:r>
      <w:r w:rsidRPr="00F740D9">
        <w:rPr>
          <w:rFonts w:ascii="Book Antiqua" w:hAnsi="Book Antiqua"/>
          <w:b/>
          <w:bCs/>
          <w:color w:val="000000" w:themeColor="text1"/>
          <w:szCs w:val="24"/>
        </w:rPr>
        <w:t>35</w:t>
      </w:r>
      <w:r w:rsidRPr="00F740D9">
        <w:rPr>
          <w:rFonts w:ascii="Book Antiqua" w:hAnsi="Book Antiqua"/>
          <w:color w:val="000000" w:themeColor="text1"/>
          <w:szCs w:val="24"/>
        </w:rPr>
        <w:t>: 479-479 [DOI: 10.1200/JCO.2017.35.4_suppl.479]</w:t>
      </w:r>
    </w:p>
    <w:p w14:paraId="5C1EEA01" w14:textId="77777777" w:rsidR="00AF289B" w:rsidRPr="00F740D9" w:rsidRDefault="00AF289B" w:rsidP="00BE6C9D">
      <w:pPr>
        <w:snapToGrid w:val="0"/>
        <w:spacing w:line="360" w:lineRule="auto"/>
        <w:jc w:val="both"/>
        <w:rPr>
          <w:rFonts w:ascii="Book Antiqua" w:hAnsi="Book Antiqua"/>
          <w:color w:val="000000" w:themeColor="text1"/>
          <w:szCs w:val="24"/>
        </w:rPr>
      </w:pPr>
      <w:r w:rsidRPr="00F740D9">
        <w:rPr>
          <w:rFonts w:ascii="Book Antiqua" w:hAnsi="Book Antiqua"/>
          <w:color w:val="000000" w:themeColor="text1"/>
          <w:szCs w:val="24"/>
        </w:rPr>
        <w:t xml:space="preserve">16 </w:t>
      </w:r>
      <w:r w:rsidRPr="00F740D9">
        <w:rPr>
          <w:rFonts w:ascii="Book Antiqua" w:hAnsi="Book Antiqua"/>
          <w:b/>
          <w:color w:val="000000" w:themeColor="text1"/>
          <w:szCs w:val="24"/>
        </w:rPr>
        <w:t>Kornberg A</w:t>
      </w:r>
      <w:r w:rsidRPr="00F740D9">
        <w:rPr>
          <w:rFonts w:ascii="Book Antiqua" w:hAnsi="Book Antiqua"/>
          <w:color w:val="000000" w:themeColor="text1"/>
          <w:szCs w:val="24"/>
        </w:rPr>
        <w:t xml:space="preserve">, Küpper B, Tannapfel A, Katenkamp K, Thrum K, Habrecht O, Wilberg J. Long-term survival after recurrent hepatocellular carcinoma in liver transplant patients: clinical patterns and outcome variables. </w:t>
      </w:r>
      <w:r w:rsidRPr="00F740D9">
        <w:rPr>
          <w:rFonts w:ascii="Book Antiqua" w:hAnsi="Book Antiqua"/>
          <w:i/>
          <w:color w:val="000000" w:themeColor="text1"/>
          <w:szCs w:val="24"/>
        </w:rPr>
        <w:t xml:space="preserve">Eur J Surg </w:t>
      </w:r>
      <w:r w:rsidRPr="00F740D9">
        <w:rPr>
          <w:rFonts w:ascii="Book Antiqua" w:hAnsi="Book Antiqua"/>
          <w:i/>
          <w:color w:val="000000" w:themeColor="text1"/>
          <w:szCs w:val="24"/>
        </w:rPr>
        <w:lastRenderedPageBreak/>
        <w:t>Oncol</w:t>
      </w:r>
      <w:r w:rsidRPr="00F740D9">
        <w:rPr>
          <w:rFonts w:ascii="Book Antiqua" w:hAnsi="Book Antiqua"/>
          <w:color w:val="000000" w:themeColor="text1"/>
          <w:szCs w:val="24"/>
        </w:rPr>
        <w:t xml:space="preserve"> 2010; </w:t>
      </w:r>
      <w:r w:rsidRPr="00F740D9">
        <w:rPr>
          <w:rFonts w:ascii="Book Antiqua" w:hAnsi="Book Antiqua"/>
          <w:b/>
          <w:color w:val="000000" w:themeColor="text1"/>
          <w:szCs w:val="24"/>
        </w:rPr>
        <w:t>36</w:t>
      </w:r>
      <w:r w:rsidRPr="00F740D9">
        <w:rPr>
          <w:rFonts w:ascii="Book Antiqua" w:hAnsi="Book Antiqua"/>
          <w:color w:val="000000" w:themeColor="text1"/>
          <w:szCs w:val="24"/>
        </w:rPr>
        <w:t>: 275-280 [PMID: 19857941 DOI: 10.1016/j.ejso.2009.10.001]</w:t>
      </w:r>
    </w:p>
    <w:p w14:paraId="2904087F" w14:textId="77777777" w:rsidR="00AF289B" w:rsidRPr="00F740D9" w:rsidRDefault="00AF289B" w:rsidP="00BE6C9D">
      <w:pPr>
        <w:snapToGrid w:val="0"/>
        <w:spacing w:line="360" w:lineRule="auto"/>
        <w:jc w:val="both"/>
        <w:rPr>
          <w:rFonts w:ascii="Book Antiqua" w:hAnsi="Book Antiqua"/>
          <w:color w:val="000000" w:themeColor="text1"/>
          <w:szCs w:val="24"/>
        </w:rPr>
      </w:pPr>
      <w:r w:rsidRPr="00F740D9">
        <w:rPr>
          <w:rFonts w:ascii="Book Antiqua" w:hAnsi="Book Antiqua"/>
          <w:color w:val="000000" w:themeColor="text1"/>
          <w:szCs w:val="24"/>
        </w:rPr>
        <w:t xml:space="preserve">17 </w:t>
      </w:r>
      <w:r w:rsidRPr="00F740D9">
        <w:rPr>
          <w:rFonts w:ascii="Book Antiqua" w:hAnsi="Book Antiqua"/>
          <w:b/>
          <w:color w:val="000000" w:themeColor="text1"/>
          <w:szCs w:val="24"/>
        </w:rPr>
        <w:t>Sapisochin G</w:t>
      </w:r>
      <w:r w:rsidRPr="00F740D9">
        <w:rPr>
          <w:rFonts w:ascii="Book Antiqua" w:hAnsi="Book Antiqua"/>
          <w:color w:val="000000" w:themeColor="text1"/>
          <w:szCs w:val="24"/>
        </w:rPr>
        <w:t xml:space="preserve">, Goldaracena N, Astete S, Laurence JM, Davidson D, Rafael E, Castells L, Sandroussi C, Bilbao I, Dopazo C, Grant DR, Lázaro JL, Caralt M, Ghanekar A, McGilvray ID, Lilly L, Cattral MS, Selzner M, Charco R, Greig PD. Benefit of Treating Hepatocellular Carcinoma Recurrence after Liver Transplantation and Analysis of Prognostic Factors for Survival in a Large Euro-American Series. </w:t>
      </w:r>
      <w:r w:rsidRPr="00F740D9">
        <w:rPr>
          <w:rFonts w:ascii="Book Antiqua" w:hAnsi="Book Antiqua"/>
          <w:i/>
          <w:color w:val="000000" w:themeColor="text1"/>
          <w:szCs w:val="24"/>
        </w:rPr>
        <w:t>Ann Surg Oncol</w:t>
      </w:r>
      <w:r w:rsidRPr="00F740D9">
        <w:rPr>
          <w:rFonts w:ascii="Book Antiqua" w:hAnsi="Book Antiqua"/>
          <w:color w:val="000000" w:themeColor="text1"/>
          <w:szCs w:val="24"/>
        </w:rPr>
        <w:t xml:space="preserve"> 2015; </w:t>
      </w:r>
      <w:r w:rsidRPr="00F740D9">
        <w:rPr>
          <w:rFonts w:ascii="Book Antiqua" w:hAnsi="Book Antiqua"/>
          <w:b/>
          <w:color w:val="000000" w:themeColor="text1"/>
          <w:szCs w:val="24"/>
        </w:rPr>
        <w:t>22</w:t>
      </w:r>
      <w:r w:rsidRPr="00F740D9">
        <w:rPr>
          <w:rFonts w:ascii="Book Antiqua" w:hAnsi="Book Antiqua"/>
          <w:color w:val="000000" w:themeColor="text1"/>
          <w:szCs w:val="24"/>
        </w:rPr>
        <w:t>: 2286-2294 [PMID: 25472651 DOI: 10.1245/s10434-014-4273-6]</w:t>
      </w:r>
    </w:p>
    <w:p w14:paraId="1AC6CBB4" w14:textId="77777777" w:rsidR="00AF289B" w:rsidRPr="00F740D9" w:rsidRDefault="00AF289B" w:rsidP="00BE6C9D">
      <w:pPr>
        <w:snapToGrid w:val="0"/>
        <w:spacing w:line="360" w:lineRule="auto"/>
        <w:jc w:val="both"/>
        <w:rPr>
          <w:rFonts w:ascii="Book Antiqua" w:hAnsi="Book Antiqua"/>
          <w:color w:val="000000" w:themeColor="text1"/>
          <w:szCs w:val="24"/>
        </w:rPr>
      </w:pPr>
      <w:r w:rsidRPr="00F740D9">
        <w:rPr>
          <w:rFonts w:ascii="Book Antiqua" w:hAnsi="Book Antiqua"/>
          <w:color w:val="000000" w:themeColor="text1"/>
          <w:szCs w:val="24"/>
        </w:rPr>
        <w:t xml:space="preserve">18 </w:t>
      </w:r>
      <w:r w:rsidRPr="00F740D9">
        <w:rPr>
          <w:rFonts w:ascii="Book Antiqua" w:hAnsi="Book Antiqua"/>
          <w:b/>
          <w:color w:val="000000" w:themeColor="text1"/>
          <w:szCs w:val="24"/>
        </w:rPr>
        <w:t>Bodzin AS</w:t>
      </w:r>
      <w:r w:rsidRPr="00F740D9">
        <w:rPr>
          <w:rFonts w:ascii="Book Antiqua" w:hAnsi="Book Antiqua"/>
          <w:color w:val="000000" w:themeColor="text1"/>
          <w:szCs w:val="24"/>
        </w:rPr>
        <w:t xml:space="preserve">, Lunsford KE, Markovic D, Harlander-Locke MP, Busuttil RW, Agopian VG. Predicting Mortality in Patients Developing Recurrent Hepatocellular Carcinoma After Liver Transplantation: Impact of Treatment Modality and Recurrence Characteristics. </w:t>
      </w:r>
      <w:r w:rsidRPr="00F740D9">
        <w:rPr>
          <w:rFonts w:ascii="Book Antiqua" w:hAnsi="Book Antiqua"/>
          <w:i/>
          <w:color w:val="000000" w:themeColor="text1"/>
          <w:szCs w:val="24"/>
        </w:rPr>
        <w:t>Ann Surg</w:t>
      </w:r>
      <w:r w:rsidRPr="00F740D9">
        <w:rPr>
          <w:rFonts w:ascii="Book Antiqua" w:hAnsi="Book Antiqua"/>
          <w:color w:val="000000" w:themeColor="text1"/>
          <w:szCs w:val="24"/>
        </w:rPr>
        <w:t xml:space="preserve"> 2017; </w:t>
      </w:r>
      <w:r w:rsidRPr="00F740D9">
        <w:rPr>
          <w:rFonts w:ascii="Book Antiqua" w:hAnsi="Book Antiqua"/>
          <w:b/>
          <w:color w:val="000000" w:themeColor="text1"/>
          <w:szCs w:val="24"/>
        </w:rPr>
        <w:t>266</w:t>
      </w:r>
      <w:r w:rsidRPr="00F740D9">
        <w:rPr>
          <w:rFonts w:ascii="Book Antiqua" w:hAnsi="Book Antiqua"/>
          <w:color w:val="000000" w:themeColor="text1"/>
          <w:szCs w:val="24"/>
        </w:rPr>
        <w:t>: 118-125 [PMID: 27433914 DOI: 10.1097/SLA.0000000000001894]</w:t>
      </w:r>
    </w:p>
    <w:p w14:paraId="57816A84" w14:textId="77777777" w:rsidR="00AF289B" w:rsidRPr="00F740D9" w:rsidRDefault="00AF289B" w:rsidP="00BE6C9D">
      <w:pPr>
        <w:snapToGrid w:val="0"/>
        <w:spacing w:line="360" w:lineRule="auto"/>
        <w:jc w:val="both"/>
        <w:rPr>
          <w:rFonts w:ascii="Book Antiqua" w:hAnsi="Book Antiqua"/>
          <w:color w:val="000000" w:themeColor="text1"/>
          <w:szCs w:val="24"/>
        </w:rPr>
      </w:pPr>
      <w:r w:rsidRPr="00F740D9">
        <w:rPr>
          <w:rFonts w:ascii="Book Antiqua" w:hAnsi="Book Antiqua"/>
          <w:color w:val="000000" w:themeColor="text1"/>
          <w:szCs w:val="24"/>
        </w:rPr>
        <w:t xml:space="preserve">19 </w:t>
      </w:r>
      <w:r w:rsidRPr="00F740D9">
        <w:rPr>
          <w:rFonts w:ascii="Book Antiqua" w:hAnsi="Book Antiqua"/>
          <w:b/>
          <w:color w:val="000000" w:themeColor="text1"/>
          <w:szCs w:val="24"/>
        </w:rPr>
        <w:t>Fernandez-Sevilla E</w:t>
      </w:r>
      <w:r w:rsidRPr="00F740D9">
        <w:rPr>
          <w:rFonts w:ascii="Book Antiqua" w:hAnsi="Book Antiqua"/>
          <w:color w:val="000000" w:themeColor="text1"/>
          <w:szCs w:val="24"/>
        </w:rPr>
        <w:t xml:space="preserve">, Allard MA, Selten J, Golse N, Vibert E, Sa Cunha A, Cherqui D, Castaing D, Adam R. Recurrence of hepatocellular carcinoma after liver transplantation: Is there a place for resection? </w:t>
      </w:r>
      <w:r w:rsidRPr="00F740D9">
        <w:rPr>
          <w:rFonts w:ascii="Book Antiqua" w:hAnsi="Book Antiqua"/>
          <w:i/>
          <w:color w:val="000000" w:themeColor="text1"/>
          <w:szCs w:val="24"/>
        </w:rPr>
        <w:t>Liver Transpl</w:t>
      </w:r>
      <w:r w:rsidRPr="00F740D9">
        <w:rPr>
          <w:rFonts w:ascii="Book Antiqua" w:hAnsi="Book Antiqua"/>
          <w:color w:val="000000" w:themeColor="text1"/>
          <w:szCs w:val="24"/>
        </w:rPr>
        <w:t xml:space="preserve"> 2017; </w:t>
      </w:r>
      <w:r w:rsidRPr="00F740D9">
        <w:rPr>
          <w:rFonts w:ascii="Book Antiqua" w:hAnsi="Book Antiqua"/>
          <w:b/>
          <w:color w:val="000000" w:themeColor="text1"/>
          <w:szCs w:val="24"/>
        </w:rPr>
        <w:t>23</w:t>
      </w:r>
      <w:r w:rsidRPr="00F740D9">
        <w:rPr>
          <w:rFonts w:ascii="Book Antiqua" w:hAnsi="Book Antiqua"/>
          <w:color w:val="000000" w:themeColor="text1"/>
          <w:szCs w:val="24"/>
        </w:rPr>
        <w:t>: 440-447 [PMID: 28187493 DOI: 10.1002/lt.24742]</w:t>
      </w:r>
    </w:p>
    <w:p w14:paraId="1AE037A7" w14:textId="77777777" w:rsidR="00AF289B" w:rsidRPr="00F740D9" w:rsidRDefault="00AF289B" w:rsidP="00BE6C9D">
      <w:pPr>
        <w:snapToGrid w:val="0"/>
        <w:spacing w:line="360" w:lineRule="auto"/>
        <w:jc w:val="both"/>
        <w:rPr>
          <w:rFonts w:ascii="Book Antiqua" w:hAnsi="Book Antiqua"/>
          <w:color w:val="000000" w:themeColor="text1"/>
          <w:szCs w:val="24"/>
        </w:rPr>
      </w:pPr>
      <w:r w:rsidRPr="00F740D9">
        <w:rPr>
          <w:rFonts w:ascii="Book Antiqua" w:hAnsi="Book Antiqua"/>
          <w:color w:val="000000" w:themeColor="text1"/>
          <w:szCs w:val="24"/>
        </w:rPr>
        <w:t xml:space="preserve">20 </w:t>
      </w:r>
      <w:r w:rsidRPr="00F740D9">
        <w:rPr>
          <w:rFonts w:ascii="Book Antiqua" w:hAnsi="Book Antiqua"/>
          <w:b/>
          <w:color w:val="000000" w:themeColor="text1"/>
          <w:szCs w:val="24"/>
        </w:rPr>
        <w:t>Roayaie S</w:t>
      </w:r>
      <w:r w:rsidRPr="00F740D9">
        <w:rPr>
          <w:rFonts w:ascii="Book Antiqua" w:hAnsi="Book Antiqua"/>
          <w:color w:val="000000" w:themeColor="text1"/>
          <w:szCs w:val="24"/>
        </w:rPr>
        <w:t xml:space="preserve">, Schwartz JD, Sung MW, Emre SH, Miller CM, Gondolesi GE, Krieger NR, Schwartz ME. Recurrence of hepatocellular carcinoma after liver transplant: patterns and prognosis. </w:t>
      </w:r>
      <w:r w:rsidRPr="00F740D9">
        <w:rPr>
          <w:rFonts w:ascii="Book Antiqua" w:hAnsi="Book Antiqua"/>
          <w:i/>
          <w:color w:val="000000" w:themeColor="text1"/>
          <w:szCs w:val="24"/>
        </w:rPr>
        <w:t>Liver Transpl</w:t>
      </w:r>
      <w:r w:rsidRPr="00F740D9">
        <w:rPr>
          <w:rFonts w:ascii="Book Antiqua" w:hAnsi="Book Antiqua"/>
          <w:color w:val="000000" w:themeColor="text1"/>
          <w:szCs w:val="24"/>
        </w:rPr>
        <w:t xml:space="preserve"> 2004; </w:t>
      </w:r>
      <w:r w:rsidRPr="00F740D9">
        <w:rPr>
          <w:rFonts w:ascii="Book Antiqua" w:hAnsi="Book Antiqua"/>
          <w:b/>
          <w:color w:val="000000" w:themeColor="text1"/>
          <w:szCs w:val="24"/>
        </w:rPr>
        <w:t>10</w:t>
      </w:r>
      <w:r w:rsidRPr="00F740D9">
        <w:rPr>
          <w:rFonts w:ascii="Book Antiqua" w:hAnsi="Book Antiqua"/>
          <w:color w:val="000000" w:themeColor="text1"/>
          <w:szCs w:val="24"/>
        </w:rPr>
        <w:t>: 534-540 [PMID: 15048797 DOI: 10.1002/lt.20128]</w:t>
      </w:r>
    </w:p>
    <w:p w14:paraId="26C3B226" w14:textId="77777777" w:rsidR="00AF289B" w:rsidRPr="00F740D9" w:rsidRDefault="00AF289B" w:rsidP="00BE6C9D">
      <w:pPr>
        <w:snapToGrid w:val="0"/>
        <w:spacing w:line="360" w:lineRule="auto"/>
        <w:jc w:val="both"/>
        <w:rPr>
          <w:rFonts w:ascii="Book Antiqua" w:hAnsi="Book Antiqua"/>
          <w:color w:val="000000" w:themeColor="text1"/>
          <w:szCs w:val="24"/>
        </w:rPr>
      </w:pPr>
      <w:r w:rsidRPr="00F740D9">
        <w:rPr>
          <w:rFonts w:ascii="Book Antiqua" w:hAnsi="Book Antiqua"/>
          <w:color w:val="000000" w:themeColor="text1"/>
          <w:szCs w:val="24"/>
        </w:rPr>
        <w:t xml:space="preserve">21 </w:t>
      </w:r>
      <w:r w:rsidRPr="00F740D9">
        <w:rPr>
          <w:rFonts w:ascii="Book Antiqua" w:hAnsi="Book Antiqua"/>
          <w:b/>
          <w:color w:val="000000" w:themeColor="text1"/>
          <w:szCs w:val="24"/>
        </w:rPr>
        <w:t>Zimmerman MA</w:t>
      </w:r>
      <w:r w:rsidRPr="00F740D9">
        <w:rPr>
          <w:rFonts w:ascii="Book Antiqua" w:hAnsi="Book Antiqua"/>
          <w:color w:val="000000" w:themeColor="text1"/>
          <w:szCs w:val="24"/>
        </w:rPr>
        <w:t xml:space="preserve">, Ghobrial RM, Tong MJ, Hiatt JR, Cameron AM, Hong J, Busuttil RW. Recurrence of hepatocellular carcinoma following liver transplantation: a review of preoperative and postoperative prognostic indicators. </w:t>
      </w:r>
      <w:r w:rsidRPr="00F740D9">
        <w:rPr>
          <w:rFonts w:ascii="Book Antiqua" w:hAnsi="Book Antiqua"/>
          <w:i/>
          <w:color w:val="000000" w:themeColor="text1"/>
          <w:szCs w:val="24"/>
        </w:rPr>
        <w:t>Arch Surg</w:t>
      </w:r>
      <w:r w:rsidRPr="00F740D9">
        <w:rPr>
          <w:rFonts w:ascii="Book Antiqua" w:hAnsi="Book Antiqua"/>
          <w:color w:val="000000" w:themeColor="text1"/>
          <w:szCs w:val="24"/>
        </w:rPr>
        <w:t xml:space="preserve"> 2008; </w:t>
      </w:r>
      <w:r w:rsidRPr="00F740D9">
        <w:rPr>
          <w:rFonts w:ascii="Book Antiqua" w:hAnsi="Book Antiqua"/>
          <w:b/>
          <w:color w:val="000000" w:themeColor="text1"/>
          <w:szCs w:val="24"/>
        </w:rPr>
        <w:t>143</w:t>
      </w:r>
      <w:r w:rsidRPr="00F740D9">
        <w:rPr>
          <w:rFonts w:ascii="Book Antiqua" w:hAnsi="Book Antiqua"/>
          <w:color w:val="000000" w:themeColor="text1"/>
          <w:szCs w:val="24"/>
        </w:rPr>
        <w:t>: 182-8; discussion 188 [PMID: 18283144 DOI: 10.1001/archsurg.2007.39]</w:t>
      </w:r>
    </w:p>
    <w:p w14:paraId="3C962349" w14:textId="77777777" w:rsidR="00AF289B" w:rsidRPr="00F740D9" w:rsidRDefault="00AF289B" w:rsidP="00BE6C9D">
      <w:pPr>
        <w:snapToGrid w:val="0"/>
        <w:spacing w:line="360" w:lineRule="auto"/>
        <w:jc w:val="both"/>
        <w:rPr>
          <w:rFonts w:ascii="Book Antiqua" w:hAnsi="Book Antiqua"/>
          <w:color w:val="000000" w:themeColor="text1"/>
          <w:szCs w:val="24"/>
        </w:rPr>
      </w:pPr>
      <w:r w:rsidRPr="00F740D9">
        <w:rPr>
          <w:rFonts w:ascii="Book Antiqua" w:hAnsi="Book Antiqua"/>
          <w:color w:val="000000" w:themeColor="text1"/>
          <w:szCs w:val="24"/>
        </w:rPr>
        <w:t xml:space="preserve">22 </w:t>
      </w:r>
      <w:r w:rsidRPr="00F740D9">
        <w:rPr>
          <w:rFonts w:ascii="Book Antiqua" w:hAnsi="Book Antiqua"/>
          <w:b/>
          <w:color w:val="000000" w:themeColor="text1"/>
          <w:szCs w:val="24"/>
        </w:rPr>
        <w:t>Mazzaferro V</w:t>
      </w:r>
      <w:r w:rsidRPr="00F740D9">
        <w:rPr>
          <w:rFonts w:ascii="Book Antiqua" w:hAnsi="Book Antiqua"/>
          <w:color w:val="000000" w:themeColor="text1"/>
          <w:szCs w:val="24"/>
        </w:rPr>
        <w:t xml:space="preserve">, Regalia E, Doci R, Andreola S, Pulvirenti A, Bozzetti F, Montalto F, Ammatuna M, Morabito A, Gennari L. Liver transplantation for the treatment of small hepatocellular carcinomas in patients with cirrhosis. </w:t>
      </w:r>
      <w:r w:rsidRPr="00F740D9">
        <w:rPr>
          <w:rFonts w:ascii="Book Antiqua" w:hAnsi="Book Antiqua"/>
          <w:i/>
          <w:color w:val="000000" w:themeColor="text1"/>
          <w:szCs w:val="24"/>
        </w:rPr>
        <w:t>N Engl J Med</w:t>
      </w:r>
      <w:r w:rsidRPr="00F740D9">
        <w:rPr>
          <w:rFonts w:ascii="Book Antiqua" w:hAnsi="Book Antiqua"/>
          <w:color w:val="000000" w:themeColor="text1"/>
          <w:szCs w:val="24"/>
        </w:rPr>
        <w:t xml:space="preserve"> 1996; </w:t>
      </w:r>
      <w:r w:rsidRPr="00F740D9">
        <w:rPr>
          <w:rFonts w:ascii="Book Antiqua" w:hAnsi="Book Antiqua"/>
          <w:b/>
          <w:color w:val="000000" w:themeColor="text1"/>
          <w:szCs w:val="24"/>
        </w:rPr>
        <w:t>334</w:t>
      </w:r>
      <w:r w:rsidRPr="00F740D9">
        <w:rPr>
          <w:rFonts w:ascii="Book Antiqua" w:hAnsi="Book Antiqua"/>
          <w:color w:val="000000" w:themeColor="text1"/>
          <w:szCs w:val="24"/>
        </w:rPr>
        <w:t>: 693-699 [PMID: 8594428 DOI: 10.1056/NEJM199603143341104]</w:t>
      </w:r>
    </w:p>
    <w:p w14:paraId="66D48C4C" w14:textId="77777777" w:rsidR="00AF289B" w:rsidRPr="00F740D9" w:rsidRDefault="00AF289B" w:rsidP="00BE6C9D">
      <w:pPr>
        <w:snapToGrid w:val="0"/>
        <w:spacing w:line="360" w:lineRule="auto"/>
        <w:jc w:val="both"/>
        <w:rPr>
          <w:rFonts w:ascii="Book Antiqua" w:hAnsi="Book Antiqua"/>
          <w:color w:val="000000" w:themeColor="text1"/>
          <w:szCs w:val="24"/>
        </w:rPr>
      </w:pPr>
      <w:r w:rsidRPr="00F740D9">
        <w:rPr>
          <w:rFonts w:ascii="Book Antiqua" w:hAnsi="Book Antiqua"/>
          <w:color w:val="000000" w:themeColor="text1"/>
          <w:szCs w:val="24"/>
        </w:rPr>
        <w:t xml:space="preserve">23 </w:t>
      </w:r>
      <w:r w:rsidRPr="00F740D9">
        <w:rPr>
          <w:rFonts w:ascii="Book Antiqua" w:hAnsi="Book Antiqua"/>
          <w:b/>
          <w:color w:val="000000" w:themeColor="text1"/>
          <w:szCs w:val="24"/>
        </w:rPr>
        <w:t>Hellman S</w:t>
      </w:r>
      <w:r w:rsidRPr="00F740D9">
        <w:rPr>
          <w:rFonts w:ascii="Book Antiqua" w:hAnsi="Book Antiqua"/>
          <w:color w:val="000000" w:themeColor="text1"/>
          <w:szCs w:val="24"/>
        </w:rPr>
        <w:t xml:space="preserve">, Weichselbaum RR. Oligometastases. </w:t>
      </w:r>
      <w:r w:rsidRPr="00F740D9">
        <w:rPr>
          <w:rFonts w:ascii="Book Antiqua" w:hAnsi="Book Antiqua"/>
          <w:i/>
          <w:color w:val="000000" w:themeColor="text1"/>
          <w:szCs w:val="24"/>
        </w:rPr>
        <w:t>J Clin Oncol</w:t>
      </w:r>
      <w:r w:rsidRPr="00F740D9">
        <w:rPr>
          <w:rFonts w:ascii="Book Antiqua" w:hAnsi="Book Antiqua"/>
          <w:color w:val="000000" w:themeColor="text1"/>
          <w:szCs w:val="24"/>
        </w:rPr>
        <w:t xml:space="preserve"> 1995; </w:t>
      </w:r>
      <w:r w:rsidRPr="00F740D9">
        <w:rPr>
          <w:rFonts w:ascii="Book Antiqua" w:hAnsi="Book Antiqua"/>
          <w:b/>
          <w:color w:val="000000" w:themeColor="text1"/>
          <w:szCs w:val="24"/>
        </w:rPr>
        <w:t>13</w:t>
      </w:r>
      <w:r w:rsidRPr="00F740D9">
        <w:rPr>
          <w:rFonts w:ascii="Book Antiqua" w:hAnsi="Book Antiqua"/>
          <w:color w:val="000000" w:themeColor="text1"/>
          <w:szCs w:val="24"/>
        </w:rPr>
        <w:t xml:space="preserve">: 8-10 </w:t>
      </w:r>
      <w:r w:rsidRPr="00F740D9">
        <w:rPr>
          <w:rFonts w:ascii="Book Antiqua" w:hAnsi="Book Antiqua"/>
          <w:color w:val="000000" w:themeColor="text1"/>
          <w:szCs w:val="24"/>
        </w:rPr>
        <w:lastRenderedPageBreak/>
        <w:t>[PMID: 7799047 DOI: 10.1200/JCO.1995.13.1.8]</w:t>
      </w:r>
    </w:p>
    <w:p w14:paraId="03172537" w14:textId="77777777" w:rsidR="00AF289B" w:rsidRPr="00F740D9" w:rsidRDefault="00AF289B" w:rsidP="00BE6C9D">
      <w:pPr>
        <w:snapToGrid w:val="0"/>
        <w:spacing w:line="360" w:lineRule="auto"/>
        <w:jc w:val="both"/>
        <w:rPr>
          <w:rFonts w:ascii="Book Antiqua" w:hAnsi="Book Antiqua"/>
          <w:color w:val="000000" w:themeColor="text1"/>
          <w:szCs w:val="24"/>
        </w:rPr>
      </w:pPr>
      <w:r w:rsidRPr="00F740D9">
        <w:rPr>
          <w:rFonts w:ascii="Book Antiqua" w:hAnsi="Book Antiqua"/>
          <w:color w:val="000000" w:themeColor="text1"/>
          <w:szCs w:val="24"/>
        </w:rPr>
        <w:t xml:space="preserve">24 </w:t>
      </w:r>
      <w:r w:rsidRPr="00F740D9">
        <w:rPr>
          <w:rFonts w:ascii="Book Antiqua" w:hAnsi="Book Antiqua"/>
          <w:b/>
          <w:color w:val="000000" w:themeColor="text1"/>
          <w:szCs w:val="24"/>
        </w:rPr>
        <w:t>Fischer L</w:t>
      </w:r>
      <w:r w:rsidRPr="00F740D9">
        <w:rPr>
          <w:rFonts w:ascii="Book Antiqua" w:hAnsi="Book Antiqua"/>
          <w:color w:val="000000" w:themeColor="text1"/>
          <w:szCs w:val="24"/>
        </w:rPr>
        <w:t xml:space="preserve">, Saliba F, Kaiser GM, De Carlis L, Metselaar HJ, De Simone P, Duvoux C, Nevens F, Fung JJ, Dong G, Rauer B, Junge G; H2304 Study Group. Three-year Outcomes in De Novo Liver Transplant Patients Receiving Everolimus With Reduced Tacrolimus: Follow-Up Results From a Randomized, Multicenter Study. </w:t>
      </w:r>
      <w:r w:rsidRPr="00F740D9">
        <w:rPr>
          <w:rFonts w:ascii="Book Antiqua" w:hAnsi="Book Antiqua"/>
          <w:i/>
          <w:color w:val="000000" w:themeColor="text1"/>
          <w:szCs w:val="24"/>
        </w:rPr>
        <w:t>Transplantation</w:t>
      </w:r>
      <w:r w:rsidRPr="00F740D9">
        <w:rPr>
          <w:rFonts w:ascii="Book Antiqua" w:hAnsi="Book Antiqua"/>
          <w:color w:val="000000" w:themeColor="text1"/>
          <w:szCs w:val="24"/>
        </w:rPr>
        <w:t xml:space="preserve"> 2015; </w:t>
      </w:r>
      <w:r w:rsidRPr="00F740D9">
        <w:rPr>
          <w:rFonts w:ascii="Book Antiqua" w:hAnsi="Book Antiqua"/>
          <w:b/>
          <w:color w:val="000000" w:themeColor="text1"/>
          <w:szCs w:val="24"/>
        </w:rPr>
        <w:t>99</w:t>
      </w:r>
      <w:r w:rsidRPr="00F740D9">
        <w:rPr>
          <w:rFonts w:ascii="Book Antiqua" w:hAnsi="Book Antiqua"/>
          <w:color w:val="000000" w:themeColor="text1"/>
          <w:szCs w:val="24"/>
        </w:rPr>
        <w:t>: 1455-1462 [PMID: 26151607 DOI: 10.1097/TP.0000000000000555]</w:t>
      </w:r>
    </w:p>
    <w:p w14:paraId="29FB6E26" w14:textId="77777777" w:rsidR="00AF289B" w:rsidRPr="00F740D9" w:rsidRDefault="00AF289B" w:rsidP="00BE6C9D">
      <w:pPr>
        <w:snapToGrid w:val="0"/>
        <w:spacing w:line="360" w:lineRule="auto"/>
        <w:jc w:val="both"/>
        <w:rPr>
          <w:rFonts w:ascii="Book Antiqua" w:hAnsi="Book Antiqua"/>
          <w:color w:val="000000" w:themeColor="text1"/>
          <w:szCs w:val="24"/>
        </w:rPr>
      </w:pPr>
      <w:r w:rsidRPr="00F740D9">
        <w:rPr>
          <w:rFonts w:ascii="Book Antiqua" w:hAnsi="Book Antiqua"/>
          <w:color w:val="000000" w:themeColor="text1"/>
          <w:szCs w:val="24"/>
        </w:rPr>
        <w:t xml:space="preserve">25 </w:t>
      </w:r>
      <w:r w:rsidRPr="00F740D9">
        <w:rPr>
          <w:rFonts w:ascii="Book Antiqua" w:hAnsi="Book Antiqua"/>
          <w:b/>
          <w:color w:val="000000" w:themeColor="text1"/>
          <w:szCs w:val="24"/>
        </w:rPr>
        <w:t>Bjornsti MA</w:t>
      </w:r>
      <w:r w:rsidRPr="00F740D9">
        <w:rPr>
          <w:rFonts w:ascii="Book Antiqua" w:hAnsi="Book Antiqua"/>
          <w:color w:val="000000" w:themeColor="text1"/>
          <w:szCs w:val="24"/>
        </w:rPr>
        <w:t xml:space="preserve">, Houghton PJ. The TOR pathway: a target for cancer therapy. </w:t>
      </w:r>
      <w:r w:rsidRPr="00F740D9">
        <w:rPr>
          <w:rFonts w:ascii="Book Antiqua" w:hAnsi="Book Antiqua"/>
          <w:i/>
          <w:color w:val="000000" w:themeColor="text1"/>
          <w:szCs w:val="24"/>
        </w:rPr>
        <w:t>Nat Rev Cancer</w:t>
      </w:r>
      <w:r w:rsidRPr="00F740D9">
        <w:rPr>
          <w:rFonts w:ascii="Book Antiqua" w:hAnsi="Book Antiqua"/>
          <w:color w:val="000000" w:themeColor="text1"/>
          <w:szCs w:val="24"/>
        </w:rPr>
        <w:t xml:space="preserve"> 2004; </w:t>
      </w:r>
      <w:r w:rsidRPr="00F740D9">
        <w:rPr>
          <w:rFonts w:ascii="Book Antiqua" w:hAnsi="Book Antiqua"/>
          <w:b/>
          <w:color w:val="000000" w:themeColor="text1"/>
          <w:szCs w:val="24"/>
        </w:rPr>
        <w:t>4</w:t>
      </w:r>
      <w:r w:rsidRPr="00F740D9">
        <w:rPr>
          <w:rFonts w:ascii="Book Antiqua" w:hAnsi="Book Antiqua"/>
          <w:color w:val="000000" w:themeColor="text1"/>
          <w:szCs w:val="24"/>
        </w:rPr>
        <w:t>: 335-348 [PMID: 15122205 DOI: 10.1038/nrc1362]</w:t>
      </w:r>
    </w:p>
    <w:p w14:paraId="2DBD6001" w14:textId="77777777" w:rsidR="00AF289B" w:rsidRPr="00F740D9" w:rsidRDefault="00AF289B" w:rsidP="00BE6C9D">
      <w:pPr>
        <w:snapToGrid w:val="0"/>
        <w:spacing w:line="360" w:lineRule="auto"/>
        <w:jc w:val="both"/>
        <w:rPr>
          <w:rFonts w:ascii="Book Antiqua" w:hAnsi="Book Antiqua"/>
          <w:color w:val="000000" w:themeColor="text1"/>
          <w:szCs w:val="24"/>
        </w:rPr>
      </w:pPr>
      <w:r w:rsidRPr="00F740D9">
        <w:rPr>
          <w:rFonts w:ascii="Book Antiqua" w:hAnsi="Book Antiqua"/>
          <w:color w:val="000000" w:themeColor="text1"/>
          <w:szCs w:val="24"/>
        </w:rPr>
        <w:t xml:space="preserve">26 </w:t>
      </w:r>
      <w:r w:rsidRPr="00F740D9">
        <w:rPr>
          <w:rFonts w:ascii="Book Antiqua" w:hAnsi="Book Antiqua"/>
          <w:b/>
          <w:color w:val="000000" w:themeColor="text1"/>
          <w:szCs w:val="24"/>
        </w:rPr>
        <w:t>Sieghart W</w:t>
      </w:r>
      <w:r w:rsidRPr="00F740D9">
        <w:rPr>
          <w:rFonts w:ascii="Book Antiqua" w:hAnsi="Book Antiqua"/>
          <w:color w:val="000000" w:themeColor="text1"/>
          <w:szCs w:val="24"/>
        </w:rPr>
        <w:t xml:space="preserve">, Fuereder T, Schmid K, Cejka D, Werzowa J, Wrba F, Wang X, Gruber D, Rasoul-Rockenschaub S, Peck-Radosavljevic M, Wacheck V. Mammalian target of rapamycin pathway activity in hepatocellular carcinomas of patients undergoing liver transplantation. </w:t>
      </w:r>
      <w:r w:rsidRPr="00F740D9">
        <w:rPr>
          <w:rFonts w:ascii="Book Antiqua" w:hAnsi="Book Antiqua"/>
          <w:i/>
          <w:color w:val="000000" w:themeColor="text1"/>
          <w:szCs w:val="24"/>
        </w:rPr>
        <w:t>Transplantation</w:t>
      </w:r>
      <w:r w:rsidRPr="00F740D9">
        <w:rPr>
          <w:rFonts w:ascii="Book Antiqua" w:hAnsi="Book Antiqua"/>
          <w:color w:val="000000" w:themeColor="text1"/>
          <w:szCs w:val="24"/>
        </w:rPr>
        <w:t xml:space="preserve"> 2007; </w:t>
      </w:r>
      <w:r w:rsidRPr="00F740D9">
        <w:rPr>
          <w:rFonts w:ascii="Book Antiqua" w:hAnsi="Book Antiqua"/>
          <w:b/>
          <w:color w:val="000000" w:themeColor="text1"/>
          <w:szCs w:val="24"/>
        </w:rPr>
        <w:t>83</w:t>
      </w:r>
      <w:r w:rsidRPr="00F740D9">
        <w:rPr>
          <w:rFonts w:ascii="Book Antiqua" w:hAnsi="Book Antiqua"/>
          <w:color w:val="000000" w:themeColor="text1"/>
          <w:szCs w:val="24"/>
        </w:rPr>
        <w:t>: 425-432 [PMID: 17318075 DOI: 10.1097/01.tp.0000252780.42104.95]</w:t>
      </w:r>
    </w:p>
    <w:p w14:paraId="3936859F" w14:textId="4F541E14" w:rsidR="00731DC4" w:rsidRPr="00F740D9" w:rsidRDefault="00731DC4" w:rsidP="00BE6C9D">
      <w:pPr>
        <w:widowControl/>
        <w:snapToGrid w:val="0"/>
        <w:spacing w:line="360" w:lineRule="auto"/>
        <w:jc w:val="both"/>
        <w:rPr>
          <w:rFonts w:ascii="Book Antiqua" w:hAnsi="Book Antiqua"/>
          <w:color w:val="000000" w:themeColor="text1"/>
          <w:szCs w:val="24"/>
        </w:rPr>
      </w:pPr>
      <w:r w:rsidRPr="00F740D9">
        <w:rPr>
          <w:rFonts w:ascii="Book Antiqua" w:hAnsi="Book Antiqua"/>
          <w:color w:val="000000" w:themeColor="text1"/>
          <w:szCs w:val="24"/>
        </w:rPr>
        <w:br w:type="page"/>
      </w:r>
    </w:p>
    <w:p w14:paraId="0B00561B" w14:textId="77777777" w:rsidR="00731DC4" w:rsidRPr="00F740D9" w:rsidRDefault="00731DC4" w:rsidP="00BE6C9D">
      <w:pPr>
        <w:adjustRightInd w:val="0"/>
        <w:snapToGrid w:val="0"/>
        <w:spacing w:line="360" w:lineRule="auto"/>
        <w:jc w:val="both"/>
        <w:rPr>
          <w:rFonts w:ascii="Book Antiqua" w:hAnsi="Book Antiqua"/>
          <w:b/>
          <w:szCs w:val="24"/>
        </w:rPr>
      </w:pPr>
      <w:r w:rsidRPr="00F740D9">
        <w:rPr>
          <w:rFonts w:ascii="Book Antiqua" w:hAnsi="Book Antiqua"/>
          <w:b/>
          <w:szCs w:val="24"/>
        </w:rPr>
        <w:lastRenderedPageBreak/>
        <w:t>Footnotes</w:t>
      </w:r>
    </w:p>
    <w:p w14:paraId="612796A9" w14:textId="5415B290" w:rsidR="00731DC4" w:rsidRPr="00F740D9" w:rsidRDefault="00731DC4" w:rsidP="00BE6C9D">
      <w:pPr>
        <w:pStyle w:val="Default"/>
        <w:snapToGrid w:val="0"/>
        <w:spacing w:line="360" w:lineRule="auto"/>
        <w:jc w:val="both"/>
      </w:pPr>
      <w:r w:rsidRPr="00F740D9">
        <w:rPr>
          <w:b/>
        </w:rPr>
        <w:t>Institutional review board statement</w:t>
      </w:r>
      <w:r w:rsidRPr="00F740D9">
        <w:rPr>
          <w:b/>
          <w:bCs/>
          <w:iCs/>
        </w:rPr>
        <w:t>:</w:t>
      </w:r>
      <w:r w:rsidR="00F740D9" w:rsidRPr="00F740D9">
        <w:t xml:space="preserve"> Institutional review board approval was not required for this study </w:t>
      </w:r>
      <w:r w:rsidR="00BE271A">
        <w:t>as</w:t>
      </w:r>
      <w:r w:rsidR="00F740D9" w:rsidRPr="00F740D9">
        <w:t xml:space="preserve"> it </w:t>
      </w:r>
      <w:r w:rsidR="00BE271A">
        <w:t>was</w:t>
      </w:r>
      <w:r w:rsidR="00F740D9" w:rsidRPr="00F740D9">
        <w:t xml:space="preserve"> a retrospective analysis of data and thus treatments given to patients were not affected by the study.</w:t>
      </w:r>
    </w:p>
    <w:p w14:paraId="62D53E71" w14:textId="77777777" w:rsidR="00F740D9" w:rsidRPr="00F740D9" w:rsidRDefault="00F740D9" w:rsidP="00BE6C9D">
      <w:pPr>
        <w:pStyle w:val="Default"/>
        <w:snapToGrid w:val="0"/>
        <w:spacing w:line="360" w:lineRule="auto"/>
        <w:jc w:val="both"/>
      </w:pPr>
    </w:p>
    <w:p w14:paraId="49B19F2B" w14:textId="5F701634" w:rsidR="00731DC4" w:rsidRPr="00F740D9" w:rsidRDefault="00731DC4" w:rsidP="00BE6C9D">
      <w:pPr>
        <w:pStyle w:val="Default"/>
        <w:snapToGrid w:val="0"/>
        <w:spacing w:line="360" w:lineRule="auto"/>
        <w:jc w:val="both"/>
      </w:pPr>
      <w:r w:rsidRPr="00F740D9">
        <w:rPr>
          <w:b/>
        </w:rPr>
        <w:t>Informed consent statement</w:t>
      </w:r>
      <w:r w:rsidRPr="00F740D9">
        <w:rPr>
          <w:b/>
          <w:bCs/>
          <w:iCs/>
        </w:rPr>
        <w:t>:</w:t>
      </w:r>
      <w:r w:rsidR="00F740D9" w:rsidRPr="00F740D9">
        <w:t xml:space="preserve"> No informed consent forms were required as this </w:t>
      </w:r>
      <w:r w:rsidR="00BE271A">
        <w:t>was</w:t>
      </w:r>
      <w:r w:rsidR="00F740D9" w:rsidRPr="00F740D9">
        <w:t xml:space="preserve"> a retrospective cohort study.</w:t>
      </w:r>
    </w:p>
    <w:p w14:paraId="704EFD30" w14:textId="77777777" w:rsidR="00731DC4" w:rsidRPr="00F740D9" w:rsidRDefault="00731DC4" w:rsidP="00BE6C9D">
      <w:pPr>
        <w:snapToGrid w:val="0"/>
        <w:spacing w:line="360" w:lineRule="auto"/>
        <w:jc w:val="both"/>
        <w:rPr>
          <w:rFonts w:ascii="Book Antiqua" w:hAnsi="Book Antiqua"/>
          <w:b/>
          <w:bCs/>
          <w:iCs/>
          <w:color w:val="000000"/>
          <w:kern w:val="0"/>
          <w:szCs w:val="24"/>
        </w:rPr>
      </w:pPr>
    </w:p>
    <w:p w14:paraId="5D387463" w14:textId="5F20D3C8" w:rsidR="00731DC4" w:rsidRPr="00F740D9" w:rsidRDefault="00731DC4" w:rsidP="00BE6C9D">
      <w:pPr>
        <w:snapToGrid w:val="0"/>
        <w:spacing w:line="360" w:lineRule="auto"/>
        <w:jc w:val="both"/>
        <w:rPr>
          <w:rFonts w:ascii="Book Antiqua" w:hAnsi="Book Antiqua"/>
          <w:color w:val="000000" w:themeColor="text1"/>
          <w:szCs w:val="24"/>
        </w:rPr>
      </w:pPr>
      <w:r w:rsidRPr="00F740D9">
        <w:rPr>
          <w:rFonts w:ascii="Book Antiqua" w:hAnsi="Book Antiqua"/>
          <w:b/>
          <w:color w:val="000000"/>
          <w:szCs w:val="24"/>
        </w:rPr>
        <w:t>Conflict-of-interest statement</w:t>
      </w:r>
      <w:r w:rsidRPr="00F740D9">
        <w:rPr>
          <w:rFonts w:ascii="Book Antiqua" w:hAnsi="Book Antiqua" w:cs="TimesNewRomanPS-BoldItalicMT"/>
          <w:b/>
          <w:bCs/>
          <w:iCs/>
          <w:color w:val="000000"/>
          <w:szCs w:val="24"/>
        </w:rPr>
        <w:t xml:space="preserve">: </w:t>
      </w:r>
      <w:r w:rsidRPr="00F740D9">
        <w:rPr>
          <w:rFonts w:ascii="Book Antiqua" w:hAnsi="Book Antiqua"/>
          <w:color w:val="000000" w:themeColor="text1"/>
          <w:szCs w:val="24"/>
        </w:rPr>
        <w:t>None of the authors has any conflict of interest.</w:t>
      </w:r>
    </w:p>
    <w:p w14:paraId="7CC0A545" w14:textId="77777777" w:rsidR="00731DC4" w:rsidRPr="00F740D9" w:rsidRDefault="00731DC4" w:rsidP="00BE6C9D">
      <w:pPr>
        <w:snapToGrid w:val="0"/>
        <w:spacing w:line="360" w:lineRule="auto"/>
        <w:jc w:val="both"/>
        <w:rPr>
          <w:rFonts w:ascii="Book Antiqua" w:hAnsi="Book Antiqua" w:cs="TimesNewRomanPS-BoldItalicMT"/>
          <w:b/>
          <w:bCs/>
          <w:iCs/>
          <w:color w:val="000000"/>
          <w:szCs w:val="24"/>
        </w:rPr>
      </w:pPr>
    </w:p>
    <w:p w14:paraId="207AAD6B" w14:textId="77777777" w:rsidR="00731DC4" w:rsidRPr="00F740D9" w:rsidRDefault="00731DC4" w:rsidP="00BE6C9D">
      <w:pPr>
        <w:autoSpaceDE w:val="0"/>
        <w:autoSpaceDN w:val="0"/>
        <w:adjustRightInd w:val="0"/>
        <w:snapToGrid w:val="0"/>
        <w:spacing w:line="360" w:lineRule="auto"/>
        <w:jc w:val="both"/>
        <w:rPr>
          <w:rFonts w:ascii="Book Antiqua" w:hAnsi="Book Antiqua"/>
          <w:color w:val="000000"/>
          <w:szCs w:val="24"/>
        </w:rPr>
      </w:pPr>
      <w:r w:rsidRPr="00F740D9">
        <w:rPr>
          <w:rFonts w:ascii="Book Antiqua" w:hAnsi="Book Antiqua"/>
          <w:b/>
          <w:color w:val="000000"/>
          <w:szCs w:val="24"/>
        </w:rPr>
        <w:t>Data sharing statement</w:t>
      </w:r>
      <w:r w:rsidRPr="00F740D9">
        <w:rPr>
          <w:rFonts w:ascii="Book Antiqua" w:hAnsi="Book Antiqua" w:cs="TimesNewRomanPS-BoldItalicMT"/>
          <w:b/>
          <w:bCs/>
          <w:iCs/>
          <w:color w:val="000000"/>
          <w:szCs w:val="24"/>
        </w:rPr>
        <w:t>:</w:t>
      </w:r>
      <w:r w:rsidRPr="00F740D9">
        <w:rPr>
          <w:rFonts w:ascii="Book Antiqua" w:eastAsia="Times New Roman" w:hAnsi="Book Antiqua"/>
          <w:color w:val="000000"/>
          <w:szCs w:val="24"/>
        </w:rPr>
        <w:t xml:space="preserve"> </w:t>
      </w:r>
      <w:r w:rsidRPr="00F740D9">
        <w:rPr>
          <w:rFonts w:ascii="Book Antiqua" w:hAnsi="Book Antiqua"/>
          <w:bCs/>
          <w:iCs/>
          <w:color w:val="000000"/>
          <w:kern w:val="0"/>
          <w:szCs w:val="24"/>
        </w:rPr>
        <w:t>No additional data are available.</w:t>
      </w:r>
    </w:p>
    <w:p w14:paraId="1D5BA9BB" w14:textId="77777777" w:rsidR="00731DC4" w:rsidRPr="00F740D9" w:rsidRDefault="00731DC4" w:rsidP="00BE6C9D">
      <w:pPr>
        <w:adjustRightInd w:val="0"/>
        <w:snapToGrid w:val="0"/>
        <w:spacing w:line="360" w:lineRule="auto"/>
        <w:jc w:val="both"/>
        <w:rPr>
          <w:rFonts w:ascii="Book Antiqua" w:hAnsi="Book Antiqua"/>
          <w:color w:val="000000"/>
          <w:szCs w:val="24"/>
        </w:rPr>
      </w:pPr>
    </w:p>
    <w:p w14:paraId="0F513F73" w14:textId="54F7AAF3" w:rsidR="00731DC4" w:rsidRPr="00F740D9" w:rsidRDefault="00731DC4" w:rsidP="00BE6C9D">
      <w:pPr>
        <w:snapToGrid w:val="0"/>
        <w:spacing w:line="360" w:lineRule="auto"/>
        <w:jc w:val="both"/>
        <w:rPr>
          <w:rFonts w:ascii="Book Antiqua" w:hAnsi="Book Antiqua"/>
          <w:color w:val="000000" w:themeColor="text1"/>
          <w:szCs w:val="24"/>
        </w:rPr>
      </w:pPr>
      <w:r w:rsidRPr="00F740D9">
        <w:rPr>
          <w:rFonts w:ascii="Book Antiqua" w:hAnsi="Book Antiqua"/>
          <w:b/>
          <w:color w:val="000000"/>
          <w:szCs w:val="24"/>
        </w:rPr>
        <w:t xml:space="preserve">STROBE statement: </w:t>
      </w:r>
      <w:r w:rsidRPr="00F740D9">
        <w:rPr>
          <w:rFonts w:ascii="Book Antiqua" w:hAnsi="Book Antiqua"/>
          <w:color w:val="000000" w:themeColor="text1"/>
          <w:szCs w:val="24"/>
        </w:rPr>
        <w:t>The guidelines of the STROBE Statement have been adopted.</w:t>
      </w:r>
    </w:p>
    <w:p w14:paraId="3AFBD733" w14:textId="77777777" w:rsidR="00731DC4" w:rsidRPr="00F740D9" w:rsidRDefault="00731DC4" w:rsidP="00BE6C9D">
      <w:pPr>
        <w:snapToGrid w:val="0"/>
        <w:spacing w:line="360" w:lineRule="auto"/>
        <w:jc w:val="both"/>
        <w:rPr>
          <w:rFonts w:ascii="Book Antiqua" w:hAnsi="Book Antiqua"/>
          <w:color w:val="000000" w:themeColor="text1"/>
          <w:szCs w:val="24"/>
        </w:rPr>
      </w:pPr>
    </w:p>
    <w:p w14:paraId="408AC8BF" w14:textId="77777777" w:rsidR="00731DC4" w:rsidRPr="00F740D9" w:rsidRDefault="00731DC4" w:rsidP="00BE6C9D">
      <w:pPr>
        <w:adjustRightInd w:val="0"/>
        <w:snapToGrid w:val="0"/>
        <w:spacing w:line="360" w:lineRule="auto"/>
        <w:jc w:val="both"/>
        <w:rPr>
          <w:rFonts w:ascii="Book Antiqua" w:hAnsi="Book Antiqua"/>
          <w:color w:val="000000"/>
          <w:szCs w:val="24"/>
        </w:rPr>
      </w:pPr>
      <w:r w:rsidRPr="00F740D9">
        <w:rPr>
          <w:rFonts w:ascii="Book Antiqua" w:hAnsi="Book Antiqua"/>
          <w:b/>
          <w:color w:val="000000"/>
          <w:szCs w:val="24"/>
        </w:rPr>
        <w:t>Open-Access:</w:t>
      </w:r>
      <w:r w:rsidRPr="00F740D9">
        <w:rPr>
          <w:rFonts w:ascii="Book Antiqua" w:hAnsi="Book Antiqua"/>
          <w:color w:val="000000"/>
          <w:szCs w:val="24"/>
        </w:rPr>
        <w:t xml:space="preserve"> This article is an open-access </w:t>
      </w:r>
      <w:r w:rsidRPr="00F740D9">
        <w:rPr>
          <w:rFonts w:ascii="Book Antiqua" w:hAnsi="Book Antiqua"/>
          <w:szCs w:val="24"/>
        </w:rPr>
        <w:t xml:space="preserve">article that was selected </w:t>
      </w:r>
      <w:r w:rsidRPr="00F740D9">
        <w:rPr>
          <w:rFonts w:ascii="Book Antiqua" w:hAnsi="Book Antiqua"/>
          <w:color w:val="000000"/>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7442E0A" w14:textId="77777777" w:rsidR="00731DC4" w:rsidRPr="00F740D9" w:rsidRDefault="00731DC4" w:rsidP="00BE6C9D">
      <w:pPr>
        <w:adjustRightInd w:val="0"/>
        <w:snapToGrid w:val="0"/>
        <w:spacing w:line="360" w:lineRule="auto"/>
        <w:jc w:val="both"/>
        <w:rPr>
          <w:rFonts w:ascii="Book Antiqua" w:hAnsi="Book Antiqua"/>
          <w:color w:val="000000"/>
          <w:szCs w:val="24"/>
        </w:rPr>
      </w:pPr>
    </w:p>
    <w:p w14:paraId="7DA709A0" w14:textId="3CDEED23" w:rsidR="00731DC4" w:rsidRPr="00F740D9" w:rsidRDefault="00731DC4" w:rsidP="00BE6C9D">
      <w:pPr>
        <w:adjustRightInd w:val="0"/>
        <w:snapToGrid w:val="0"/>
        <w:spacing w:line="360" w:lineRule="auto"/>
        <w:jc w:val="both"/>
        <w:rPr>
          <w:rFonts w:ascii="Book Antiqua" w:hAnsi="Book Antiqua"/>
          <w:bCs/>
          <w:color w:val="000000"/>
          <w:szCs w:val="24"/>
        </w:rPr>
      </w:pPr>
      <w:r w:rsidRPr="00F740D9">
        <w:rPr>
          <w:rFonts w:ascii="Book Antiqua" w:hAnsi="Book Antiqua"/>
          <w:b/>
          <w:bCs/>
          <w:color w:val="000000"/>
          <w:szCs w:val="24"/>
          <w:lang w:eastAsia="pl-PL"/>
        </w:rPr>
        <w:t>Manuscript source:</w:t>
      </w:r>
      <w:r w:rsidRPr="00F740D9">
        <w:rPr>
          <w:rFonts w:ascii="Book Antiqua" w:hAnsi="Book Antiqua"/>
          <w:b/>
          <w:bCs/>
          <w:color w:val="000000"/>
          <w:szCs w:val="24"/>
        </w:rPr>
        <w:t xml:space="preserve"> </w:t>
      </w:r>
      <w:r w:rsidRPr="00F740D9">
        <w:rPr>
          <w:rFonts w:ascii="Book Antiqua" w:hAnsi="Book Antiqua"/>
          <w:bCs/>
          <w:color w:val="000000"/>
          <w:szCs w:val="24"/>
          <w:lang w:eastAsia="pl-PL"/>
        </w:rPr>
        <w:t>Invited manuscript</w:t>
      </w:r>
    </w:p>
    <w:p w14:paraId="0C2930B8" w14:textId="77777777" w:rsidR="00731DC4" w:rsidRPr="00F740D9" w:rsidRDefault="00731DC4" w:rsidP="00BE6C9D">
      <w:pPr>
        <w:adjustRightInd w:val="0"/>
        <w:snapToGrid w:val="0"/>
        <w:spacing w:line="360" w:lineRule="auto"/>
        <w:jc w:val="both"/>
        <w:rPr>
          <w:rFonts w:ascii="Book Antiqua" w:hAnsi="Book Antiqua"/>
          <w:b/>
          <w:bCs/>
          <w:color w:val="000000"/>
          <w:szCs w:val="24"/>
        </w:rPr>
      </w:pPr>
    </w:p>
    <w:p w14:paraId="6B9000B3" w14:textId="1DC46982" w:rsidR="00731DC4" w:rsidRPr="00F740D9" w:rsidRDefault="00731DC4" w:rsidP="00BE6C9D">
      <w:pPr>
        <w:adjustRightInd w:val="0"/>
        <w:snapToGrid w:val="0"/>
        <w:spacing w:line="360" w:lineRule="auto"/>
        <w:jc w:val="both"/>
        <w:rPr>
          <w:rFonts w:ascii="Book Antiqua" w:hAnsi="Book Antiqua"/>
          <w:b/>
          <w:szCs w:val="24"/>
        </w:rPr>
      </w:pPr>
      <w:r w:rsidRPr="00F740D9">
        <w:rPr>
          <w:rFonts w:ascii="Book Antiqua" w:hAnsi="Book Antiqua"/>
          <w:b/>
          <w:szCs w:val="24"/>
        </w:rPr>
        <w:t xml:space="preserve">Peer-review started: </w:t>
      </w:r>
      <w:r w:rsidRPr="00F740D9">
        <w:rPr>
          <w:rFonts w:ascii="Book Antiqua" w:hAnsi="Book Antiqua"/>
          <w:bCs/>
          <w:szCs w:val="24"/>
          <w:lang w:eastAsia="zh-CN"/>
        </w:rPr>
        <w:t>December</w:t>
      </w:r>
      <w:r w:rsidRPr="00F740D9">
        <w:rPr>
          <w:rFonts w:ascii="Book Antiqua" w:hAnsi="Book Antiqua"/>
          <w:b/>
          <w:szCs w:val="24"/>
          <w:lang w:eastAsia="zh-CN"/>
        </w:rPr>
        <w:t xml:space="preserve"> </w:t>
      </w:r>
      <w:r w:rsidRPr="00F740D9">
        <w:rPr>
          <w:rFonts w:ascii="Book Antiqua" w:hAnsi="Book Antiqua"/>
          <w:szCs w:val="24"/>
          <w:lang w:eastAsia="zh-CN"/>
        </w:rPr>
        <w:t>30</w:t>
      </w:r>
      <w:r w:rsidRPr="00F740D9">
        <w:rPr>
          <w:rFonts w:ascii="Book Antiqua" w:hAnsi="Book Antiqua"/>
          <w:szCs w:val="24"/>
        </w:rPr>
        <w:t>, 2019</w:t>
      </w:r>
    </w:p>
    <w:p w14:paraId="0E77C153" w14:textId="17C84700" w:rsidR="00731DC4" w:rsidRPr="00F740D9" w:rsidRDefault="00731DC4" w:rsidP="00BE6C9D">
      <w:pPr>
        <w:adjustRightInd w:val="0"/>
        <w:snapToGrid w:val="0"/>
        <w:spacing w:line="360" w:lineRule="auto"/>
        <w:jc w:val="both"/>
        <w:rPr>
          <w:rFonts w:ascii="Book Antiqua" w:hAnsi="Book Antiqua"/>
          <w:b/>
          <w:szCs w:val="24"/>
        </w:rPr>
      </w:pPr>
      <w:r w:rsidRPr="00F740D9">
        <w:rPr>
          <w:rFonts w:ascii="Book Antiqua" w:hAnsi="Book Antiqua"/>
          <w:b/>
          <w:szCs w:val="24"/>
        </w:rPr>
        <w:t xml:space="preserve">First decision: </w:t>
      </w:r>
      <w:r w:rsidRPr="00F740D9">
        <w:rPr>
          <w:rFonts w:ascii="Book Antiqua" w:hAnsi="Book Antiqua"/>
          <w:bCs/>
          <w:szCs w:val="24"/>
          <w:lang w:eastAsia="zh-CN"/>
        </w:rPr>
        <w:t>January</w:t>
      </w:r>
      <w:r w:rsidRPr="00F740D9">
        <w:rPr>
          <w:rFonts w:ascii="Book Antiqua" w:hAnsi="Book Antiqua"/>
          <w:b/>
          <w:szCs w:val="24"/>
          <w:lang w:eastAsia="zh-CN"/>
        </w:rPr>
        <w:t xml:space="preserve"> </w:t>
      </w:r>
      <w:r w:rsidRPr="00F740D9">
        <w:rPr>
          <w:rFonts w:ascii="Book Antiqua" w:hAnsi="Book Antiqua"/>
          <w:szCs w:val="24"/>
        </w:rPr>
        <w:t>28, 2020</w:t>
      </w:r>
    </w:p>
    <w:p w14:paraId="23404F04" w14:textId="77777777" w:rsidR="00731DC4" w:rsidRPr="00F740D9" w:rsidRDefault="00731DC4" w:rsidP="00BE6C9D">
      <w:pPr>
        <w:adjustRightInd w:val="0"/>
        <w:snapToGrid w:val="0"/>
        <w:spacing w:line="360" w:lineRule="auto"/>
        <w:jc w:val="both"/>
        <w:rPr>
          <w:rFonts w:ascii="Book Antiqua" w:hAnsi="Book Antiqua"/>
          <w:b/>
          <w:szCs w:val="24"/>
        </w:rPr>
      </w:pPr>
      <w:r w:rsidRPr="00F740D9">
        <w:rPr>
          <w:rFonts w:ascii="Book Antiqua" w:hAnsi="Book Antiqua"/>
          <w:b/>
          <w:szCs w:val="24"/>
        </w:rPr>
        <w:t>Article in press:</w:t>
      </w:r>
    </w:p>
    <w:p w14:paraId="75241954" w14:textId="77777777" w:rsidR="00731DC4" w:rsidRPr="00F740D9" w:rsidRDefault="00731DC4" w:rsidP="00BE6C9D">
      <w:pPr>
        <w:adjustRightInd w:val="0"/>
        <w:snapToGrid w:val="0"/>
        <w:spacing w:line="360" w:lineRule="auto"/>
        <w:jc w:val="both"/>
        <w:rPr>
          <w:rFonts w:ascii="Book Antiqua" w:hAnsi="Book Antiqua"/>
          <w:b/>
          <w:szCs w:val="24"/>
        </w:rPr>
      </w:pPr>
    </w:p>
    <w:p w14:paraId="04EC934C" w14:textId="77777777" w:rsidR="00731DC4" w:rsidRPr="00F740D9" w:rsidRDefault="00731DC4" w:rsidP="00BE6C9D">
      <w:pPr>
        <w:adjustRightInd w:val="0"/>
        <w:snapToGrid w:val="0"/>
        <w:spacing w:line="360" w:lineRule="auto"/>
        <w:jc w:val="both"/>
        <w:rPr>
          <w:rFonts w:ascii="Book Antiqua" w:eastAsia="微软雅黑" w:hAnsi="Book Antiqua" w:cs="宋体"/>
          <w:szCs w:val="24"/>
        </w:rPr>
      </w:pPr>
      <w:r w:rsidRPr="00F740D9">
        <w:rPr>
          <w:rFonts w:ascii="Book Antiqua" w:hAnsi="Book Antiqua" w:cs="宋体"/>
          <w:b/>
          <w:szCs w:val="24"/>
        </w:rPr>
        <w:t xml:space="preserve">Specialty type: </w:t>
      </w:r>
      <w:r w:rsidRPr="00F740D9">
        <w:rPr>
          <w:rFonts w:ascii="Book Antiqua" w:eastAsia="微软雅黑" w:hAnsi="Book Antiqua" w:cs="宋体"/>
          <w:szCs w:val="24"/>
        </w:rPr>
        <w:t>Gastroenterology and hepatology</w:t>
      </w:r>
    </w:p>
    <w:p w14:paraId="02DB6DC1" w14:textId="77777777" w:rsidR="00731DC4" w:rsidRPr="00F740D9" w:rsidRDefault="00731DC4" w:rsidP="00BE6C9D">
      <w:pPr>
        <w:adjustRightInd w:val="0"/>
        <w:snapToGrid w:val="0"/>
        <w:spacing w:line="360" w:lineRule="auto"/>
        <w:jc w:val="both"/>
        <w:rPr>
          <w:rFonts w:ascii="Book Antiqua" w:hAnsi="Book Antiqua" w:cs="宋体"/>
          <w:szCs w:val="24"/>
        </w:rPr>
      </w:pPr>
      <w:r w:rsidRPr="00F740D9">
        <w:rPr>
          <w:rFonts w:ascii="Book Antiqua" w:hAnsi="Book Antiqua" w:cs="宋体"/>
          <w:b/>
          <w:szCs w:val="24"/>
        </w:rPr>
        <w:lastRenderedPageBreak/>
        <w:t xml:space="preserve">Country of origin: </w:t>
      </w:r>
      <w:r w:rsidRPr="00F740D9">
        <w:rPr>
          <w:rFonts w:ascii="Book Antiqua" w:hAnsi="Book Antiqua" w:cs="宋体"/>
          <w:szCs w:val="24"/>
        </w:rPr>
        <w:t>China</w:t>
      </w:r>
    </w:p>
    <w:p w14:paraId="370E3FDC" w14:textId="77777777" w:rsidR="00731DC4" w:rsidRPr="00F740D9" w:rsidRDefault="00731DC4" w:rsidP="00BE6C9D">
      <w:pPr>
        <w:adjustRightInd w:val="0"/>
        <w:snapToGrid w:val="0"/>
        <w:spacing w:line="360" w:lineRule="auto"/>
        <w:jc w:val="both"/>
        <w:rPr>
          <w:rFonts w:ascii="Book Antiqua" w:hAnsi="Book Antiqua" w:cs="宋体"/>
          <w:b/>
          <w:szCs w:val="24"/>
        </w:rPr>
      </w:pPr>
      <w:r w:rsidRPr="00F740D9">
        <w:rPr>
          <w:rFonts w:ascii="Book Antiqua" w:hAnsi="Book Antiqua" w:cs="宋体"/>
          <w:b/>
          <w:szCs w:val="24"/>
        </w:rPr>
        <w:t>Peer-review report classification</w:t>
      </w:r>
    </w:p>
    <w:p w14:paraId="38B49DFC" w14:textId="77777777" w:rsidR="00731DC4" w:rsidRPr="00F740D9" w:rsidRDefault="00731DC4" w:rsidP="00BE6C9D">
      <w:pPr>
        <w:adjustRightInd w:val="0"/>
        <w:snapToGrid w:val="0"/>
        <w:spacing w:line="360" w:lineRule="auto"/>
        <w:jc w:val="both"/>
        <w:rPr>
          <w:rFonts w:ascii="Book Antiqua" w:hAnsi="Book Antiqua" w:cs="宋体"/>
          <w:szCs w:val="24"/>
        </w:rPr>
      </w:pPr>
      <w:r w:rsidRPr="00F740D9">
        <w:rPr>
          <w:rFonts w:ascii="Book Antiqua" w:hAnsi="Book Antiqua" w:cs="宋体"/>
          <w:szCs w:val="24"/>
        </w:rPr>
        <w:t>Grade A (Excellent): 0</w:t>
      </w:r>
    </w:p>
    <w:p w14:paraId="041DACD5" w14:textId="77777777" w:rsidR="00731DC4" w:rsidRPr="00F740D9" w:rsidRDefault="00731DC4" w:rsidP="00BE6C9D">
      <w:pPr>
        <w:adjustRightInd w:val="0"/>
        <w:snapToGrid w:val="0"/>
        <w:spacing w:line="360" w:lineRule="auto"/>
        <w:jc w:val="both"/>
        <w:rPr>
          <w:rFonts w:ascii="Book Antiqua" w:hAnsi="Book Antiqua" w:cs="宋体"/>
          <w:szCs w:val="24"/>
        </w:rPr>
      </w:pPr>
      <w:r w:rsidRPr="00F740D9">
        <w:rPr>
          <w:rFonts w:ascii="Book Antiqua" w:hAnsi="Book Antiqua" w:cs="宋体"/>
          <w:szCs w:val="24"/>
        </w:rPr>
        <w:t>Grade B (Very good): 0</w:t>
      </w:r>
    </w:p>
    <w:p w14:paraId="017C2A85" w14:textId="0361A375" w:rsidR="00731DC4" w:rsidRPr="00F740D9" w:rsidRDefault="00731DC4" w:rsidP="00BE6C9D">
      <w:pPr>
        <w:adjustRightInd w:val="0"/>
        <w:snapToGrid w:val="0"/>
        <w:spacing w:line="360" w:lineRule="auto"/>
        <w:jc w:val="both"/>
        <w:rPr>
          <w:rFonts w:ascii="Book Antiqua" w:hAnsi="Book Antiqua" w:cs="宋体"/>
          <w:szCs w:val="24"/>
          <w:lang w:eastAsia="zh-CN"/>
        </w:rPr>
      </w:pPr>
      <w:r w:rsidRPr="00F740D9">
        <w:rPr>
          <w:rFonts w:ascii="Book Antiqua" w:hAnsi="Book Antiqua" w:cs="宋体"/>
          <w:szCs w:val="24"/>
        </w:rPr>
        <w:t>Grade C (Good): C</w:t>
      </w:r>
      <w:r w:rsidRPr="00F740D9">
        <w:rPr>
          <w:rFonts w:ascii="Book Antiqua" w:hAnsi="Book Antiqua" w:cs="宋体"/>
          <w:szCs w:val="24"/>
          <w:lang w:eastAsia="zh-CN"/>
        </w:rPr>
        <w:t>, C</w:t>
      </w:r>
    </w:p>
    <w:p w14:paraId="1377DA34" w14:textId="77777777" w:rsidR="00731DC4" w:rsidRPr="00F740D9" w:rsidRDefault="00731DC4" w:rsidP="00BE6C9D">
      <w:pPr>
        <w:adjustRightInd w:val="0"/>
        <w:snapToGrid w:val="0"/>
        <w:spacing w:line="360" w:lineRule="auto"/>
        <w:jc w:val="both"/>
        <w:rPr>
          <w:rFonts w:ascii="Book Antiqua" w:hAnsi="Book Antiqua" w:cs="宋体"/>
          <w:szCs w:val="24"/>
        </w:rPr>
      </w:pPr>
      <w:r w:rsidRPr="00F740D9">
        <w:rPr>
          <w:rFonts w:ascii="Book Antiqua" w:hAnsi="Book Antiqua" w:cs="宋体"/>
          <w:szCs w:val="24"/>
        </w:rPr>
        <w:t>Grade D (Fair): 0</w:t>
      </w:r>
    </w:p>
    <w:p w14:paraId="77FAC4F8" w14:textId="77777777" w:rsidR="00731DC4" w:rsidRPr="00F740D9" w:rsidRDefault="00731DC4" w:rsidP="00BE6C9D">
      <w:pPr>
        <w:adjustRightInd w:val="0"/>
        <w:snapToGrid w:val="0"/>
        <w:spacing w:line="360" w:lineRule="auto"/>
        <w:jc w:val="both"/>
        <w:rPr>
          <w:rFonts w:ascii="Book Antiqua" w:eastAsia="DengXian" w:hAnsi="Book Antiqua"/>
          <w:szCs w:val="24"/>
          <w:lang w:val="hu-HU"/>
        </w:rPr>
      </w:pPr>
      <w:r w:rsidRPr="00F740D9">
        <w:rPr>
          <w:rFonts w:ascii="Book Antiqua" w:hAnsi="Book Antiqua" w:cs="宋体"/>
          <w:szCs w:val="24"/>
        </w:rPr>
        <w:t>Grade E (Poor): 0</w:t>
      </w:r>
    </w:p>
    <w:p w14:paraId="6A635FC1" w14:textId="77777777" w:rsidR="00731DC4" w:rsidRPr="00F740D9" w:rsidRDefault="00731DC4" w:rsidP="00BE6C9D">
      <w:pPr>
        <w:adjustRightInd w:val="0"/>
        <w:snapToGrid w:val="0"/>
        <w:spacing w:line="360" w:lineRule="auto"/>
        <w:jc w:val="both"/>
        <w:rPr>
          <w:rFonts w:ascii="Book Antiqua" w:hAnsi="Book Antiqua"/>
          <w:b/>
          <w:bCs/>
          <w:color w:val="000000"/>
          <w:szCs w:val="24"/>
          <w:lang w:val="hu-HU"/>
        </w:rPr>
      </w:pPr>
    </w:p>
    <w:p w14:paraId="015D68E0" w14:textId="3E8DE59A" w:rsidR="00731DC4" w:rsidRPr="00F740D9" w:rsidRDefault="00731DC4" w:rsidP="00BE6C9D">
      <w:pPr>
        <w:adjustRightInd w:val="0"/>
        <w:snapToGrid w:val="0"/>
        <w:spacing w:line="360" w:lineRule="auto"/>
        <w:jc w:val="both"/>
        <w:rPr>
          <w:rFonts w:ascii="Book Antiqua" w:hAnsi="Book Antiqua"/>
          <w:b/>
          <w:bCs/>
          <w:color w:val="000000"/>
          <w:szCs w:val="24"/>
        </w:rPr>
      </w:pPr>
      <w:r w:rsidRPr="00F740D9">
        <w:rPr>
          <w:rFonts w:ascii="Book Antiqua" w:hAnsi="Book Antiqua"/>
          <w:b/>
          <w:bCs/>
          <w:color w:val="000000"/>
          <w:szCs w:val="24"/>
        </w:rPr>
        <w:t xml:space="preserve">P-Reviewer: </w:t>
      </w:r>
      <w:r w:rsidRPr="00F740D9">
        <w:rPr>
          <w:rFonts w:ascii="Book Antiqua" w:hAnsi="Book Antiqua"/>
          <w:bCs/>
          <w:color w:val="000000"/>
          <w:szCs w:val="24"/>
        </w:rPr>
        <w:t>Corrales FJ, Mizuguchi T</w:t>
      </w:r>
      <w:r w:rsidRPr="00F740D9">
        <w:rPr>
          <w:rFonts w:ascii="Book Antiqua" w:hAnsi="Book Antiqua"/>
          <w:b/>
          <w:bCs/>
          <w:color w:val="000000"/>
          <w:szCs w:val="24"/>
        </w:rPr>
        <w:t xml:space="preserve"> S-Editor:</w:t>
      </w:r>
      <w:r w:rsidRPr="00F740D9">
        <w:rPr>
          <w:rFonts w:ascii="Book Antiqua" w:hAnsi="Book Antiqua"/>
          <w:color w:val="000000"/>
          <w:szCs w:val="24"/>
        </w:rPr>
        <w:t xml:space="preserve"> Dou Y </w:t>
      </w:r>
      <w:r w:rsidRPr="00F740D9">
        <w:rPr>
          <w:rFonts w:ascii="Book Antiqua" w:hAnsi="Book Antiqua"/>
          <w:b/>
          <w:bCs/>
          <w:color w:val="000000"/>
          <w:szCs w:val="24"/>
        </w:rPr>
        <w:t>L-Editor:</w:t>
      </w:r>
      <w:r w:rsidRPr="00F740D9">
        <w:rPr>
          <w:rFonts w:ascii="Book Antiqua" w:hAnsi="Book Antiqua"/>
          <w:color w:val="000000"/>
          <w:szCs w:val="24"/>
        </w:rPr>
        <w:t xml:space="preserve"> </w:t>
      </w:r>
      <w:r w:rsidR="00BE271A">
        <w:rPr>
          <w:rFonts w:ascii="Book Antiqua" w:hAnsi="Book Antiqua"/>
          <w:color w:val="000000"/>
          <w:szCs w:val="24"/>
        </w:rPr>
        <w:t xml:space="preserve">Webster JR </w:t>
      </w:r>
      <w:r w:rsidRPr="00F740D9">
        <w:rPr>
          <w:rFonts w:ascii="Book Antiqua" w:hAnsi="Book Antiqua"/>
          <w:b/>
          <w:bCs/>
          <w:color w:val="000000"/>
          <w:szCs w:val="24"/>
        </w:rPr>
        <w:t>E-Editor:</w:t>
      </w:r>
    </w:p>
    <w:p w14:paraId="749366FB" w14:textId="08ED4C96" w:rsidR="001647B6" w:rsidRPr="00F740D9" w:rsidRDefault="001647B6" w:rsidP="00BE6C9D">
      <w:pPr>
        <w:widowControl/>
        <w:snapToGrid w:val="0"/>
        <w:spacing w:line="360" w:lineRule="auto"/>
        <w:jc w:val="both"/>
        <w:rPr>
          <w:rFonts w:ascii="Book Antiqua" w:hAnsi="Book Antiqua"/>
          <w:color w:val="000000" w:themeColor="text1"/>
          <w:szCs w:val="24"/>
        </w:rPr>
      </w:pPr>
      <w:r w:rsidRPr="00F740D9">
        <w:rPr>
          <w:rFonts w:ascii="Book Antiqua" w:hAnsi="Book Antiqua"/>
          <w:color w:val="000000" w:themeColor="text1"/>
          <w:szCs w:val="24"/>
        </w:rPr>
        <w:br w:type="page"/>
      </w:r>
    </w:p>
    <w:p w14:paraId="07AAE72A" w14:textId="77777777" w:rsidR="00731DC4" w:rsidRPr="00F740D9" w:rsidRDefault="00731DC4" w:rsidP="00BE6C9D">
      <w:pPr>
        <w:adjustRightInd w:val="0"/>
        <w:snapToGrid w:val="0"/>
        <w:spacing w:line="360" w:lineRule="auto"/>
        <w:jc w:val="both"/>
        <w:rPr>
          <w:rFonts w:ascii="Book Antiqua" w:hAnsi="Book Antiqua"/>
          <w:b/>
          <w:szCs w:val="24"/>
        </w:rPr>
      </w:pPr>
      <w:r w:rsidRPr="00F740D9">
        <w:rPr>
          <w:rFonts w:ascii="Book Antiqua" w:hAnsi="Book Antiqua"/>
          <w:b/>
          <w:szCs w:val="24"/>
        </w:rPr>
        <w:lastRenderedPageBreak/>
        <w:t>Figure Legends</w:t>
      </w:r>
    </w:p>
    <w:p w14:paraId="4D08BF7F" w14:textId="58F13E31" w:rsidR="006174DE" w:rsidRPr="00F740D9" w:rsidRDefault="00F740D9" w:rsidP="00BE6C9D">
      <w:pPr>
        <w:widowControl/>
        <w:autoSpaceDE w:val="0"/>
        <w:autoSpaceDN w:val="0"/>
        <w:adjustRightInd w:val="0"/>
        <w:snapToGrid w:val="0"/>
        <w:spacing w:line="360" w:lineRule="auto"/>
        <w:jc w:val="both"/>
        <w:rPr>
          <w:rFonts w:ascii="Book Antiqua" w:hAnsi="Book Antiqua" w:cs="Times New Roman"/>
          <w:color w:val="000000" w:themeColor="text1"/>
          <w:kern w:val="0"/>
          <w:szCs w:val="24"/>
        </w:rPr>
      </w:pPr>
      <w:r w:rsidRPr="00F740D9">
        <w:rPr>
          <w:rFonts w:ascii="Book Antiqua" w:hAnsi="Book Antiqua" w:cs="Times New Roman"/>
          <w:noProof/>
          <w:color w:val="000000" w:themeColor="text1"/>
          <w:kern w:val="0"/>
          <w:szCs w:val="24"/>
          <w:lang w:val="en-GB" w:eastAsia="en-GB"/>
        </w:rPr>
        <w:drawing>
          <wp:inline distT="0" distB="0" distL="0" distR="0" wp14:anchorId="39EBB877" wp14:editId="294E47CE">
            <wp:extent cx="5274310" cy="2987040"/>
            <wp:effectExtent l="0" t="0" r="0" b="0"/>
            <wp:docPr id="6" name="图片 6" descr="图片包含 游戏机, 文字, 地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4310" cy="2987040"/>
                    </a:xfrm>
                    <a:prstGeom prst="rect">
                      <a:avLst/>
                    </a:prstGeom>
                  </pic:spPr>
                </pic:pic>
              </a:graphicData>
            </a:graphic>
          </wp:inline>
        </w:drawing>
      </w:r>
    </w:p>
    <w:p w14:paraId="07EC60AF" w14:textId="6A10A533" w:rsidR="00FC6297" w:rsidRPr="00F740D9" w:rsidRDefault="00397895" w:rsidP="00BE6C9D">
      <w:pPr>
        <w:widowControl/>
        <w:snapToGrid w:val="0"/>
        <w:spacing w:line="360" w:lineRule="auto"/>
        <w:jc w:val="both"/>
        <w:rPr>
          <w:rFonts w:ascii="Book Antiqua" w:hAnsi="Book Antiqua"/>
          <w:color w:val="000000" w:themeColor="text1"/>
          <w:szCs w:val="24"/>
        </w:rPr>
      </w:pPr>
      <w:r w:rsidRPr="00F740D9">
        <w:rPr>
          <w:rFonts w:ascii="Book Antiqua" w:hAnsi="Book Antiqua"/>
          <w:b/>
          <w:bCs/>
          <w:color w:val="000000" w:themeColor="text1"/>
          <w:szCs w:val="24"/>
        </w:rPr>
        <w:t xml:space="preserve">Figure 1 Survival of patients with </w:t>
      </w:r>
      <w:r w:rsidR="00771EAB" w:rsidRPr="00F740D9">
        <w:rPr>
          <w:rFonts w:ascii="Book Antiqua" w:hAnsi="Book Antiqua"/>
          <w:b/>
          <w:bCs/>
          <w:color w:val="000000" w:themeColor="text1"/>
          <w:szCs w:val="24"/>
        </w:rPr>
        <w:t xml:space="preserve">mammalian target of rapamycin </w:t>
      </w:r>
      <w:r w:rsidRPr="00F740D9">
        <w:rPr>
          <w:rFonts w:ascii="Book Antiqua" w:hAnsi="Book Antiqua"/>
          <w:b/>
          <w:bCs/>
          <w:color w:val="000000" w:themeColor="text1"/>
          <w:szCs w:val="24"/>
        </w:rPr>
        <w:t xml:space="preserve">inhibitor </w:t>
      </w:r>
      <w:r w:rsidRPr="00F740D9">
        <w:rPr>
          <w:rFonts w:ascii="Book Antiqua" w:hAnsi="Book Antiqua"/>
          <w:b/>
          <w:bCs/>
          <w:i/>
          <w:iCs/>
          <w:color w:val="000000" w:themeColor="text1"/>
          <w:szCs w:val="24"/>
        </w:rPr>
        <w:t>vs</w:t>
      </w:r>
      <w:r w:rsidRPr="00F740D9">
        <w:rPr>
          <w:rFonts w:ascii="Book Antiqua" w:hAnsi="Book Antiqua"/>
          <w:b/>
          <w:bCs/>
          <w:color w:val="000000" w:themeColor="text1"/>
          <w:szCs w:val="24"/>
        </w:rPr>
        <w:t xml:space="preserve"> no </w:t>
      </w:r>
      <w:r w:rsidR="00771EAB" w:rsidRPr="00F740D9">
        <w:rPr>
          <w:rFonts w:ascii="Book Antiqua" w:hAnsi="Book Antiqua"/>
          <w:b/>
          <w:bCs/>
          <w:color w:val="000000" w:themeColor="text1"/>
          <w:szCs w:val="24"/>
        </w:rPr>
        <w:t xml:space="preserve">mammalian target of rapamycin </w:t>
      </w:r>
      <w:r w:rsidRPr="00F740D9">
        <w:rPr>
          <w:rFonts w:ascii="Book Antiqua" w:hAnsi="Book Antiqua"/>
          <w:b/>
          <w:bCs/>
          <w:color w:val="000000" w:themeColor="text1"/>
          <w:szCs w:val="24"/>
        </w:rPr>
        <w:t xml:space="preserve">inhibitor (survival 21.0 </w:t>
      </w:r>
      <w:r w:rsidRPr="00F740D9">
        <w:rPr>
          <w:rFonts w:ascii="Book Antiqua" w:hAnsi="Book Antiqua" w:cstheme="minorHAnsi"/>
          <w:b/>
          <w:bCs/>
          <w:color w:val="000000" w:themeColor="text1"/>
          <w:szCs w:val="24"/>
        </w:rPr>
        <w:t xml:space="preserve">± </w:t>
      </w:r>
      <w:r w:rsidRPr="00F740D9">
        <w:rPr>
          <w:rFonts w:ascii="Book Antiqua" w:hAnsi="Book Antiqua"/>
          <w:b/>
          <w:bCs/>
          <w:color w:val="000000" w:themeColor="text1"/>
          <w:szCs w:val="24"/>
        </w:rPr>
        <w:t xml:space="preserve">4.1 </w:t>
      </w:r>
      <w:r w:rsidR="00AF289B" w:rsidRPr="00F740D9">
        <w:rPr>
          <w:rFonts w:ascii="Book Antiqua" w:hAnsi="Book Antiqua"/>
          <w:b/>
          <w:bCs/>
          <w:i/>
          <w:color w:val="000000" w:themeColor="text1"/>
          <w:szCs w:val="24"/>
        </w:rPr>
        <w:t>vs</w:t>
      </w:r>
      <w:r w:rsidRPr="00F740D9">
        <w:rPr>
          <w:rFonts w:ascii="Book Antiqua" w:hAnsi="Book Antiqua"/>
          <w:b/>
          <w:bCs/>
          <w:color w:val="000000" w:themeColor="text1"/>
          <w:szCs w:val="24"/>
        </w:rPr>
        <w:t xml:space="preserve"> 11.2 </w:t>
      </w:r>
      <w:r w:rsidRPr="00F740D9">
        <w:rPr>
          <w:rFonts w:ascii="Book Antiqua" w:hAnsi="Book Antiqua" w:cstheme="minorHAnsi"/>
          <w:b/>
          <w:bCs/>
          <w:color w:val="000000" w:themeColor="text1"/>
          <w:szCs w:val="24"/>
        </w:rPr>
        <w:t xml:space="preserve">± </w:t>
      </w:r>
      <w:r w:rsidRPr="00F740D9">
        <w:rPr>
          <w:rFonts w:ascii="Book Antiqua" w:hAnsi="Book Antiqua"/>
          <w:b/>
          <w:bCs/>
          <w:color w:val="000000" w:themeColor="text1"/>
          <w:szCs w:val="24"/>
        </w:rPr>
        <w:t xml:space="preserve">2.5 mo, </w:t>
      </w:r>
      <w:r w:rsidR="00AF289B" w:rsidRPr="00F740D9">
        <w:rPr>
          <w:rFonts w:ascii="Book Antiqua" w:hAnsi="Book Antiqua"/>
          <w:b/>
          <w:bCs/>
          <w:i/>
          <w:color w:val="000000" w:themeColor="text1"/>
          <w:szCs w:val="24"/>
        </w:rPr>
        <w:t xml:space="preserve">P </w:t>
      </w:r>
      <w:r w:rsidRPr="00F740D9">
        <w:rPr>
          <w:rFonts w:ascii="Book Antiqua" w:hAnsi="Book Antiqua"/>
          <w:b/>
          <w:bCs/>
          <w:color w:val="000000" w:themeColor="text1"/>
          <w:szCs w:val="24"/>
        </w:rPr>
        <w:t>=</w:t>
      </w:r>
      <w:r w:rsidR="00AF289B" w:rsidRPr="00F740D9">
        <w:rPr>
          <w:rFonts w:ascii="Book Antiqua" w:hAnsi="Book Antiqua"/>
          <w:b/>
          <w:bCs/>
          <w:color w:val="000000" w:themeColor="text1"/>
          <w:szCs w:val="24"/>
        </w:rPr>
        <w:t xml:space="preserve"> </w:t>
      </w:r>
      <w:r w:rsidRPr="00F740D9">
        <w:rPr>
          <w:rFonts w:ascii="Book Antiqua" w:hAnsi="Book Antiqua"/>
          <w:b/>
          <w:bCs/>
          <w:color w:val="000000" w:themeColor="text1"/>
          <w:szCs w:val="24"/>
        </w:rPr>
        <w:t>0.04).</w:t>
      </w:r>
      <w:r w:rsidR="00771EAB" w:rsidRPr="00F740D9">
        <w:rPr>
          <w:rFonts w:ascii="Book Antiqua" w:hAnsi="Book Antiqua"/>
          <w:b/>
          <w:bCs/>
          <w:color w:val="000000" w:themeColor="text1"/>
          <w:szCs w:val="24"/>
        </w:rPr>
        <w:t xml:space="preserve"> </w:t>
      </w:r>
      <w:r w:rsidR="00771EAB" w:rsidRPr="00F740D9">
        <w:rPr>
          <w:rFonts w:ascii="Book Antiqua" w:hAnsi="Book Antiqua"/>
          <w:color w:val="000000" w:themeColor="text1"/>
          <w:szCs w:val="24"/>
        </w:rPr>
        <w:t>mTOR: Mammalian target of rapamycin.</w:t>
      </w:r>
    </w:p>
    <w:p w14:paraId="023591BC" w14:textId="77777777" w:rsidR="006174DE" w:rsidRPr="00F740D9" w:rsidRDefault="006174DE" w:rsidP="00BE6C9D">
      <w:pPr>
        <w:widowControl/>
        <w:snapToGrid w:val="0"/>
        <w:spacing w:line="360" w:lineRule="auto"/>
        <w:jc w:val="both"/>
        <w:rPr>
          <w:rFonts w:ascii="Book Antiqua" w:hAnsi="Book Antiqua"/>
          <w:color w:val="000000" w:themeColor="text1"/>
          <w:szCs w:val="24"/>
        </w:rPr>
      </w:pPr>
      <w:r w:rsidRPr="00F740D9">
        <w:rPr>
          <w:rFonts w:ascii="Book Antiqua" w:hAnsi="Book Antiqua"/>
          <w:color w:val="000000" w:themeColor="text1"/>
          <w:szCs w:val="24"/>
        </w:rPr>
        <w:br w:type="page"/>
      </w:r>
    </w:p>
    <w:p w14:paraId="5D87B4C1" w14:textId="7EAF7DDC" w:rsidR="0015441E" w:rsidRPr="00F740D9" w:rsidRDefault="00F740D9" w:rsidP="00BE6C9D">
      <w:pPr>
        <w:widowControl/>
        <w:autoSpaceDE w:val="0"/>
        <w:autoSpaceDN w:val="0"/>
        <w:adjustRightInd w:val="0"/>
        <w:snapToGrid w:val="0"/>
        <w:spacing w:line="360" w:lineRule="auto"/>
        <w:jc w:val="both"/>
        <w:rPr>
          <w:rFonts w:ascii="Book Antiqua" w:hAnsi="Book Antiqua" w:cs="Times New Roman"/>
          <w:color w:val="000000" w:themeColor="text1"/>
          <w:kern w:val="0"/>
          <w:szCs w:val="24"/>
        </w:rPr>
      </w:pPr>
      <w:r w:rsidRPr="00F740D9">
        <w:rPr>
          <w:rFonts w:ascii="Book Antiqua" w:hAnsi="Book Antiqua" w:cs="Times New Roman"/>
          <w:noProof/>
          <w:color w:val="000000" w:themeColor="text1"/>
          <w:kern w:val="0"/>
          <w:szCs w:val="24"/>
          <w:lang w:val="en-GB" w:eastAsia="en-GB"/>
        </w:rPr>
        <w:lastRenderedPageBreak/>
        <w:drawing>
          <wp:inline distT="0" distB="0" distL="0" distR="0" wp14:anchorId="2D7C5BA8" wp14:editId="19643EE9">
            <wp:extent cx="5274310" cy="3174365"/>
            <wp:effectExtent l="0" t="0" r="0" b="635"/>
            <wp:docPr id="5" name="图片 5" descr="图片包含 文字, 游戏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3174365"/>
                    </a:xfrm>
                    <a:prstGeom prst="rect">
                      <a:avLst/>
                    </a:prstGeom>
                  </pic:spPr>
                </pic:pic>
              </a:graphicData>
            </a:graphic>
          </wp:inline>
        </w:drawing>
      </w:r>
    </w:p>
    <w:p w14:paraId="3A2E4288" w14:textId="1B9E8D57" w:rsidR="0015441E" w:rsidRPr="00F740D9" w:rsidRDefault="00397895" w:rsidP="00BE6C9D">
      <w:pPr>
        <w:widowControl/>
        <w:snapToGrid w:val="0"/>
        <w:spacing w:line="360" w:lineRule="auto"/>
        <w:jc w:val="both"/>
        <w:rPr>
          <w:rFonts w:ascii="Book Antiqua" w:hAnsi="Book Antiqua"/>
          <w:b/>
          <w:bCs/>
          <w:color w:val="000000" w:themeColor="text1"/>
          <w:szCs w:val="24"/>
        </w:rPr>
      </w:pPr>
      <w:r w:rsidRPr="00F740D9">
        <w:rPr>
          <w:rFonts w:ascii="Book Antiqua" w:hAnsi="Book Antiqua"/>
          <w:b/>
          <w:bCs/>
          <w:color w:val="000000" w:themeColor="text1"/>
          <w:szCs w:val="24"/>
        </w:rPr>
        <w:t xml:space="preserve">Figure 2 Survival of patients stratified by sirolimus </w:t>
      </w:r>
      <w:r w:rsidRPr="00F740D9">
        <w:rPr>
          <w:rFonts w:ascii="Book Antiqua" w:hAnsi="Book Antiqua"/>
          <w:b/>
          <w:bCs/>
          <w:i/>
          <w:iCs/>
          <w:color w:val="000000" w:themeColor="text1"/>
          <w:szCs w:val="24"/>
        </w:rPr>
        <w:t>vs</w:t>
      </w:r>
      <w:r w:rsidRPr="00F740D9">
        <w:rPr>
          <w:rFonts w:ascii="Book Antiqua" w:hAnsi="Book Antiqua"/>
          <w:b/>
          <w:bCs/>
          <w:color w:val="000000" w:themeColor="text1"/>
          <w:szCs w:val="24"/>
        </w:rPr>
        <w:t xml:space="preserve"> everolimus (</w:t>
      </w:r>
      <w:r w:rsidR="00AF289B" w:rsidRPr="00F740D9">
        <w:rPr>
          <w:rFonts w:ascii="Book Antiqua" w:hAnsi="Book Antiqua"/>
          <w:b/>
          <w:bCs/>
          <w:i/>
          <w:color w:val="000000" w:themeColor="text1"/>
          <w:szCs w:val="24"/>
        </w:rPr>
        <w:t xml:space="preserve">P </w:t>
      </w:r>
      <w:r w:rsidRPr="00F740D9">
        <w:rPr>
          <w:rFonts w:ascii="Book Antiqua" w:hAnsi="Book Antiqua"/>
          <w:b/>
          <w:bCs/>
          <w:color w:val="000000" w:themeColor="text1"/>
          <w:szCs w:val="24"/>
        </w:rPr>
        <w:t>=</w:t>
      </w:r>
      <w:r w:rsidR="00AF289B" w:rsidRPr="00F740D9">
        <w:rPr>
          <w:rFonts w:ascii="Book Antiqua" w:hAnsi="Book Antiqua"/>
          <w:b/>
          <w:bCs/>
          <w:color w:val="000000" w:themeColor="text1"/>
          <w:szCs w:val="24"/>
        </w:rPr>
        <w:t xml:space="preserve"> </w:t>
      </w:r>
      <w:r w:rsidRPr="00F740D9">
        <w:rPr>
          <w:rFonts w:ascii="Book Antiqua" w:hAnsi="Book Antiqua"/>
          <w:b/>
          <w:bCs/>
          <w:color w:val="000000" w:themeColor="text1"/>
          <w:szCs w:val="24"/>
        </w:rPr>
        <w:t>0.88).</w:t>
      </w:r>
      <w:r w:rsidR="00771EAB" w:rsidRPr="00F740D9">
        <w:rPr>
          <w:rFonts w:ascii="Book Antiqua" w:hAnsi="Book Antiqua"/>
          <w:b/>
          <w:bCs/>
          <w:color w:val="000000" w:themeColor="text1"/>
          <w:szCs w:val="24"/>
        </w:rPr>
        <w:t xml:space="preserve"> </w:t>
      </w:r>
      <w:r w:rsidR="00771EAB" w:rsidRPr="00F740D9">
        <w:rPr>
          <w:rFonts w:ascii="Book Antiqua" w:hAnsi="Book Antiqua"/>
          <w:color w:val="000000" w:themeColor="text1"/>
          <w:szCs w:val="24"/>
        </w:rPr>
        <w:t>mTOR: Mammalian target of rapamycin.</w:t>
      </w:r>
    </w:p>
    <w:p w14:paraId="286F89D0" w14:textId="5C2492FE" w:rsidR="0074312B" w:rsidRPr="00F740D9" w:rsidRDefault="0074312B" w:rsidP="00BE6C9D">
      <w:pPr>
        <w:widowControl/>
        <w:snapToGrid w:val="0"/>
        <w:spacing w:line="360" w:lineRule="auto"/>
        <w:jc w:val="both"/>
        <w:rPr>
          <w:rFonts w:ascii="Book Antiqua" w:hAnsi="Book Antiqua"/>
          <w:color w:val="000000" w:themeColor="text1"/>
          <w:szCs w:val="24"/>
        </w:rPr>
      </w:pPr>
      <w:r w:rsidRPr="00F740D9">
        <w:rPr>
          <w:rFonts w:ascii="Book Antiqua" w:hAnsi="Book Antiqua"/>
          <w:color w:val="000000" w:themeColor="text1"/>
          <w:szCs w:val="24"/>
        </w:rPr>
        <w:br w:type="page"/>
      </w:r>
    </w:p>
    <w:p w14:paraId="3B064DB3" w14:textId="47F11038" w:rsidR="004A26B4" w:rsidRPr="00F740D9" w:rsidRDefault="00F740D9" w:rsidP="00BE6C9D">
      <w:pPr>
        <w:widowControl/>
        <w:autoSpaceDE w:val="0"/>
        <w:autoSpaceDN w:val="0"/>
        <w:adjustRightInd w:val="0"/>
        <w:snapToGrid w:val="0"/>
        <w:spacing w:line="360" w:lineRule="auto"/>
        <w:jc w:val="both"/>
        <w:rPr>
          <w:rFonts w:ascii="Book Antiqua" w:hAnsi="Book Antiqua" w:cs="Times New Roman"/>
          <w:color w:val="000000" w:themeColor="text1"/>
          <w:kern w:val="0"/>
          <w:szCs w:val="24"/>
        </w:rPr>
      </w:pPr>
      <w:r w:rsidRPr="00F740D9">
        <w:rPr>
          <w:rFonts w:ascii="Book Antiqua" w:hAnsi="Book Antiqua" w:cs="Times New Roman"/>
          <w:noProof/>
          <w:color w:val="000000" w:themeColor="text1"/>
          <w:kern w:val="0"/>
          <w:szCs w:val="24"/>
          <w:lang w:val="en-GB" w:eastAsia="en-GB"/>
        </w:rPr>
        <w:lastRenderedPageBreak/>
        <w:drawing>
          <wp:inline distT="0" distB="0" distL="0" distR="0" wp14:anchorId="0608123C" wp14:editId="2406215B">
            <wp:extent cx="5274310" cy="3115310"/>
            <wp:effectExtent l="0" t="0" r="0" b="0"/>
            <wp:docPr id="4" name="图片 4" descr="图片包含 文字, 游戏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4310" cy="3115310"/>
                    </a:xfrm>
                    <a:prstGeom prst="rect">
                      <a:avLst/>
                    </a:prstGeom>
                  </pic:spPr>
                </pic:pic>
              </a:graphicData>
            </a:graphic>
          </wp:inline>
        </w:drawing>
      </w:r>
    </w:p>
    <w:p w14:paraId="7BDF8CC3" w14:textId="2CA10717" w:rsidR="004A26B4" w:rsidRPr="00F740D9" w:rsidRDefault="00397895" w:rsidP="00BE6C9D">
      <w:pPr>
        <w:widowControl/>
        <w:snapToGrid w:val="0"/>
        <w:spacing w:line="360" w:lineRule="auto"/>
        <w:jc w:val="both"/>
        <w:rPr>
          <w:rFonts w:ascii="Book Antiqua" w:hAnsi="Book Antiqua"/>
          <w:color w:val="000000" w:themeColor="text1"/>
          <w:szCs w:val="24"/>
        </w:rPr>
      </w:pPr>
      <w:r w:rsidRPr="00F740D9">
        <w:rPr>
          <w:rFonts w:ascii="Book Antiqua" w:hAnsi="Book Antiqua"/>
          <w:b/>
          <w:bCs/>
          <w:color w:val="000000" w:themeColor="text1"/>
          <w:szCs w:val="24"/>
        </w:rPr>
        <w:t xml:space="preserve">Figure 3 Survival of patients stratified by </w:t>
      </w:r>
      <w:r w:rsidR="00771EAB" w:rsidRPr="00F740D9">
        <w:rPr>
          <w:rFonts w:ascii="Book Antiqua" w:hAnsi="Book Antiqua"/>
          <w:b/>
          <w:bCs/>
          <w:color w:val="000000" w:themeColor="text1"/>
          <w:szCs w:val="24"/>
        </w:rPr>
        <w:t xml:space="preserve">mammalian target of rapamycin </w:t>
      </w:r>
      <w:r w:rsidRPr="00F740D9">
        <w:rPr>
          <w:rFonts w:ascii="Book Antiqua" w:hAnsi="Book Antiqua"/>
          <w:b/>
          <w:bCs/>
          <w:color w:val="000000" w:themeColor="text1"/>
          <w:szCs w:val="24"/>
        </w:rPr>
        <w:t xml:space="preserve">inhibitor monotherapy </w:t>
      </w:r>
      <w:r w:rsidRPr="00F740D9">
        <w:rPr>
          <w:rFonts w:ascii="Book Antiqua" w:hAnsi="Book Antiqua"/>
          <w:b/>
          <w:bCs/>
          <w:i/>
          <w:iCs/>
          <w:color w:val="000000" w:themeColor="text1"/>
          <w:szCs w:val="24"/>
        </w:rPr>
        <w:t>vs</w:t>
      </w:r>
      <w:r w:rsidRPr="00F740D9">
        <w:rPr>
          <w:rFonts w:ascii="Book Antiqua" w:hAnsi="Book Antiqua"/>
          <w:b/>
          <w:bCs/>
          <w:color w:val="000000" w:themeColor="text1"/>
          <w:szCs w:val="24"/>
        </w:rPr>
        <w:t xml:space="preserve"> combination therapy with </w:t>
      </w:r>
      <w:r w:rsidR="00AF289B" w:rsidRPr="00F740D9">
        <w:rPr>
          <w:rFonts w:ascii="Book Antiqua" w:hAnsi="Book Antiqua"/>
          <w:b/>
          <w:bCs/>
          <w:color w:val="000000" w:themeColor="text1"/>
          <w:szCs w:val="24"/>
        </w:rPr>
        <w:t xml:space="preserve">calcineurin inhibitor </w:t>
      </w:r>
      <w:r w:rsidRPr="00F740D9">
        <w:rPr>
          <w:rFonts w:ascii="Book Antiqua" w:hAnsi="Book Antiqua"/>
          <w:b/>
          <w:bCs/>
          <w:color w:val="000000" w:themeColor="text1"/>
          <w:szCs w:val="24"/>
        </w:rPr>
        <w:t>(</w:t>
      </w:r>
      <w:r w:rsidR="00AF289B" w:rsidRPr="00F740D9">
        <w:rPr>
          <w:rFonts w:ascii="Book Antiqua" w:hAnsi="Book Antiqua"/>
          <w:b/>
          <w:bCs/>
          <w:i/>
          <w:color w:val="000000" w:themeColor="text1"/>
          <w:szCs w:val="24"/>
        </w:rPr>
        <w:t xml:space="preserve">P </w:t>
      </w:r>
      <w:r w:rsidRPr="00F740D9">
        <w:rPr>
          <w:rFonts w:ascii="Book Antiqua" w:hAnsi="Book Antiqua"/>
          <w:b/>
          <w:bCs/>
          <w:color w:val="000000" w:themeColor="text1"/>
          <w:szCs w:val="24"/>
        </w:rPr>
        <w:t>=</w:t>
      </w:r>
      <w:r w:rsidR="00AF289B" w:rsidRPr="00F740D9">
        <w:rPr>
          <w:rFonts w:ascii="Book Antiqua" w:hAnsi="Book Antiqua"/>
          <w:b/>
          <w:bCs/>
          <w:color w:val="000000" w:themeColor="text1"/>
          <w:szCs w:val="24"/>
        </w:rPr>
        <w:t xml:space="preserve"> </w:t>
      </w:r>
      <w:r w:rsidRPr="00F740D9">
        <w:rPr>
          <w:rFonts w:ascii="Book Antiqua" w:hAnsi="Book Antiqua"/>
          <w:b/>
          <w:bCs/>
          <w:color w:val="000000" w:themeColor="text1"/>
          <w:szCs w:val="24"/>
        </w:rPr>
        <w:t>0.59).</w:t>
      </w:r>
      <w:r w:rsidR="00771EAB" w:rsidRPr="00F740D9">
        <w:rPr>
          <w:rFonts w:ascii="Book Antiqua" w:hAnsi="Book Antiqua"/>
          <w:b/>
          <w:bCs/>
          <w:color w:val="000000" w:themeColor="text1"/>
          <w:szCs w:val="24"/>
        </w:rPr>
        <w:t xml:space="preserve"> </w:t>
      </w:r>
      <w:r w:rsidR="00771EAB" w:rsidRPr="00F740D9">
        <w:rPr>
          <w:rFonts w:ascii="Book Antiqua" w:hAnsi="Book Antiqua"/>
          <w:color w:val="000000" w:themeColor="text1"/>
          <w:szCs w:val="24"/>
        </w:rPr>
        <w:t>mTOR: Mammalian target of rapamycin.</w:t>
      </w:r>
    </w:p>
    <w:p w14:paraId="4A2812A5" w14:textId="607B2565" w:rsidR="00AF289B" w:rsidRPr="00F740D9" w:rsidRDefault="00AF289B" w:rsidP="00BE6C9D">
      <w:pPr>
        <w:widowControl/>
        <w:snapToGrid w:val="0"/>
        <w:spacing w:line="360" w:lineRule="auto"/>
        <w:jc w:val="both"/>
        <w:rPr>
          <w:rFonts w:ascii="Book Antiqua" w:hAnsi="Book Antiqua" w:cs="Times New Roman"/>
          <w:color w:val="000000" w:themeColor="text1"/>
          <w:kern w:val="0"/>
          <w:szCs w:val="24"/>
        </w:rPr>
      </w:pPr>
      <w:r w:rsidRPr="00F740D9">
        <w:rPr>
          <w:rFonts w:ascii="Book Antiqua" w:hAnsi="Book Antiqua" w:cs="Times New Roman"/>
          <w:color w:val="000000" w:themeColor="text1"/>
          <w:kern w:val="0"/>
          <w:szCs w:val="24"/>
        </w:rPr>
        <w:br w:type="page"/>
      </w:r>
    </w:p>
    <w:p w14:paraId="651EA4C3" w14:textId="720A4388" w:rsidR="00AF289B" w:rsidRPr="00F740D9" w:rsidRDefault="00AF289B" w:rsidP="00BE6C9D">
      <w:pPr>
        <w:snapToGrid w:val="0"/>
        <w:spacing w:line="360" w:lineRule="auto"/>
        <w:jc w:val="both"/>
        <w:rPr>
          <w:rFonts w:ascii="Book Antiqua" w:hAnsi="Book Antiqua"/>
          <w:b/>
          <w:bCs/>
          <w:color w:val="000000" w:themeColor="text1"/>
          <w:szCs w:val="24"/>
        </w:rPr>
      </w:pPr>
      <w:r w:rsidRPr="00F740D9">
        <w:rPr>
          <w:rFonts w:ascii="Book Antiqua" w:hAnsi="Book Antiqua"/>
          <w:b/>
          <w:bCs/>
          <w:color w:val="000000" w:themeColor="text1"/>
          <w:szCs w:val="24"/>
        </w:rPr>
        <w:lastRenderedPageBreak/>
        <w:t xml:space="preserve">Table 1 Baseline characteristics at </w:t>
      </w:r>
      <w:r w:rsidR="00BE271A">
        <w:rPr>
          <w:rFonts w:ascii="Book Antiqua" w:hAnsi="Book Antiqua"/>
          <w:b/>
          <w:bCs/>
          <w:color w:val="000000" w:themeColor="text1"/>
          <w:szCs w:val="24"/>
        </w:rPr>
        <w:t xml:space="preserve">the </w:t>
      </w:r>
      <w:r w:rsidRPr="00F740D9">
        <w:rPr>
          <w:rFonts w:ascii="Book Antiqua" w:hAnsi="Book Antiqua"/>
          <w:b/>
          <w:bCs/>
          <w:color w:val="000000" w:themeColor="text1"/>
          <w:szCs w:val="24"/>
        </w:rPr>
        <w:t>time of liver transplantation</w:t>
      </w:r>
    </w:p>
    <w:tbl>
      <w:tblPr>
        <w:tblW w:w="9261" w:type="dxa"/>
        <w:tblBorders>
          <w:top w:val="single" w:sz="4" w:space="0" w:color="auto"/>
          <w:bottom w:val="single" w:sz="4" w:space="0" w:color="auto"/>
        </w:tblBorders>
        <w:tblCellMar>
          <w:left w:w="28" w:type="dxa"/>
          <w:right w:w="28" w:type="dxa"/>
        </w:tblCellMar>
        <w:tblLook w:val="04A0" w:firstRow="1" w:lastRow="0" w:firstColumn="1" w:lastColumn="0" w:noHBand="0" w:noVBand="1"/>
      </w:tblPr>
      <w:tblGrid>
        <w:gridCol w:w="3280"/>
        <w:gridCol w:w="2660"/>
        <w:gridCol w:w="2421"/>
        <w:gridCol w:w="900"/>
      </w:tblGrid>
      <w:tr w:rsidR="00AF289B" w:rsidRPr="00F740D9" w14:paraId="41D01838" w14:textId="77777777" w:rsidTr="00AF289B">
        <w:trPr>
          <w:trHeight w:val="315"/>
        </w:trPr>
        <w:tc>
          <w:tcPr>
            <w:tcW w:w="3280" w:type="dxa"/>
            <w:tcBorders>
              <w:top w:val="single" w:sz="4" w:space="0" w:color="auto"/>
              <w:bottom w:val="single" w:sz="4" w:space="0" w:color="auto"/>
            </w:tcBorders>
            <w:shd w:val="clear" w:color="auto" w:fill="auto"/>
            <w:noWrap/>
            <w:vAlign w:val="center"/>
            <w:hideMark/>
          </w:tcPr>
          <w:p w14:paraId="63A3B391" w14:textId="77777777" w:rsidR="00AF289B" w:rsidRPr="00F740D9" w:rsidRDefault="00AF289B" w:rsidP="00BE6C9D">
            <w:pPr>
              <w:widowControl/>
              <w:snapToGrid w:val="0"/>
              <w:spacing w:line="360" w:lineRule="auto"/>
              <w:jc w:val="both"/>
              <w:rPr>
                <w:rFonts w:ascii="Book Antiqua" w:eastAsia="Times New Roman" w:hAnsi="Book Antiqua" w:cs="Times New Roman"/>
                <w:b/>
                <w:bCs/>
                <w:color w:val="000000" w:themeColor="text1"/>
                <w:kern w:val="0"/>
                <w:szCs w:val="24"/>
              </w:rPr>
            </w:pPr>
          </w:p>
        </w:tc>
        <w:tc>
          <w:tcPr>
            <w:tcW w:w="2660" w:type="dxa"/>
            <w:tcBorders>
              <w:top w:val="single" w:sz="4" w:space="0" w:color="auto"/>
              <w:bottom w:val="single" w:sz="4" w:space="0" w:color="auto"/>
            </w:tcBorders>
            <w:shd w:val="clear" w:color="auto" w:fill="auto"/>
            <w:noWrap/>
            <w:vAlign w:val="center"/>
            <w:hideMark/>
          </w:tcPr>
          <w:p w14:paraId="1A2C9CA4" w14:textId="0A532884" w:rsidR="00AF289B" w:rsidRPr="00F740D9" w:rsidRDefault="00AF289B" w:rsidP="00BE6C9D">
            <w:pPr>
              <w:widowControl/>
              <w:snapToGrid w:val="0"/>
              <w:spacing w:line="360" w:lineRule="auto"/>
              <w:jc w:val="both"/>
              <w:rPr>
                <w:rFonts w:ascii="Book Antiqua" w:eastAsia="PMingLiU" w:hAnsi="Book Antiqua" w:cs="PMingLiU"/>
                <w:b/>
                <w:bCs/>
                <w:color w:val="000000" w:themeColor="text1"/>
                <w:kern w:val="0"/>
                <w:szCs w:val="24"/>
              </w:rPr>
            </w:pPr>
            <w:r w:rsidRPr="00F740D9">
              <w:rPr>
                <w:rFonts w:ascii="Book Antiqua" w:eastAsia="PMingLiU" w:hAnsi="Book Antiqua" w:cs="PMingLiU"/>
                <w:b/>
                <w:bCs/>
                <w:color w:val="000000" w:themeColor="text1"/>
                <w:kern w:val="0"/>
                <w:szCs w:val="24"/>
              </w:rPr>
              <w:t>mTOR (</w:t>
            </w:r>
            <w:r w:rsidRPr="00F740D9">
              <w:rPr>
                <w:rFonts w:ascii="Book Antiqua" w:eastAsia="PMingLiU" w:hAnsi="Book Antiqua" w:cs="PMingLiU"/>
                <w:b/>
                <w:bCs/>
                <w:i/>
                <w:iCs/>
                <w:color w:val="000000" w:themeColor="text1"/>
                <w:kern w:val="0"/>
                <w:szCs w:val="24"/>
              </w:rPr>
              <w:t>n</w:t>
            </w:r>
            <w:r w:rsidRPr="00F740D9">
              <w:rPr>
                <w:rFonts w:ascii="Book Antiqua" w:eastAsia="PMingLiU" w:hAnsi="Book Antiqua" w:cs="PMingLiU"/>
                <w:b/>
                <w:bCs/>
                <w:color w:val="000000" w:themeColor="text1"/>
                <w:kern w:val="0"/>
                <w:szCs w:val="24"/>
              </w:rPr>
              <w:t xml:space="preserve"> = 79)</w:t>
            </w:r>
          </w:p>
        </w:tc>
        <w:tc>
          <w:tcPr>
            <w:tcW w:w="2421" w:type="dxa"/>
            <w:tcBorders>
              <w:top w:val="single" w:sz="4" w:space="0" w:color="auto"/>
              <w:bottom w:val="single" w:sz="4" w:space="0" w:color="auto"/>
            </w:tcBorders>
            <w:shd w:val="clear" w:color="auto" w:fill="auto"/>
            <w:noWrap/>
            <w:vAlign w:val="center"/>
            <w:hideMark/>
          </w:tcPr>
          <w:p w14:paraId="3C8206B0" w14:textId="77777777" w:rsidR="00AF289B" w:rsidRPr="00F740D9" w:rsidRDefault="00AF289B" w:rsidP="00BE6C9D">
            <w:pPr>
              <w:widowControl/>
              <w:snapToGrid w:val="0"/>
              <w:spacing w:line="360" w:lineRule="auto"/>
              <w:jc w:val="both"/>
              <w:rPr>
                <w:rFonts w:ascii="Book Antiqua" w:eastAsia="PMingLiU" w:hAnsi="Book Antiqua" w:cs="PMingLiU"/>
                <w:b/>
                <w:bCs/>
                <w:color w:val="000000" w:themeColor="text1"/>
                <w:kern w:val="0"/>
                <w:szCs w:val="24"/>
              </w:rPr>
            </w:pPr>
            <w:r w:rsidRPr="00F740D9">
              <w:rPr>
                <w:rFonts w:ascii="Book Antiqua" w:eastAsia="PMingLiU" w:hAnsi="Book Antiqua" w:cs="PMingLiU"/>
                <w:b/>
                <w:bCs/>
                <w:color w:val="000000" w:themeColor="text1"/>
                <w:kern w:val="0"/>
                <w:szCs w:val="24"/>
              </w:rPr>
              <w:t>No mTOR (</w:t>
            </w:r>
            <w:r w:rsidRPr="00F740D9">
              <w:rPr>
                <w:rFonts w:ascii="Book Antiqua" w:eastAsia="PMingLiU" w:hAnsi="Book Antiqua" w:cs="PMingLiU"/>
                <w:b/>
                <w:bCs/>
                <w:i/>
                <w:iCs/>
                <w:color w:val="000000" w:themeColor="text1"/>
                <w:kern w:val="0"/>
                <w:szCs w:val="24"/>
              </w:rPr>
              <w:t>n</w:t>
            </w:r>
            <w:r w:rsidRPr="00F740D9">
              <w:rPr>
                <w:rFonts w:ascii="Book Antiqua" w:eastAsia="PMingLiU" w:hAnsi="Book Antiqua" w:cs="PMingLiU"/>
                <w:b/>
                <w:bCs/>
                <w:color w:val="000000" w:themeColor="text1"/>
                <w:kern w:val="0"/>
                <w:szCs w:val="24"/>
              </w:rPr>
              <w:t xml:space="preserve"> = 64)</w:t>
            </w:r>
          </w:p>
        </w:tc>
        <w:tc>
          <w:tcPr>
            <w:tcW w:w="900" w:type="dxa"/>
            <w:tcBorders>
              <w:top w:val="single" w:sz="4" w:space="0" w:color="auto"/>
              <w:bottom w:val="single" w:sz="4" w:space="0" w:color="auto"/>
            </w:tcBorders>
            <w:shd w:val="clear" w:color="auto" w:fill="auto"/>
            <w:noWrap/>
            <w:vAlign w:val="center"/>
            <w:hideMark/>
          </w:tcPr>
          <w:p w14:paraId="63474FDF" w14:textId="6ED3D4D9" w:rsidR="00AF289B" w:rsidRPr="00F740D9" w:rsidRDefault="00AF289B" w:rsidP="00BE6C9D">
            <w:pPr>
              <w:widowControl/>
              <w:snapToGrid w:val="0"/>
              <w:spacing w:line="360" w:lineRule="auto"/>
              <w:jc w:val="both"/>
              <w:rPr>
                <w:rFonts w:ascii="Book Antiqua" w:eastAsia="PMingLiU" w:hAnsi="Book Antiqua" w:cs="PMingLiU"/>
                <w:b/>
                <w:bCs/>
                <w:color w:val="000000" w:themeColor="text1"/>
                <w:kern w:val="0"/>
                <w:szCs w:val="24"/>
              </w:rPr>
            </w:pPr>
            <w:r w:rsidRPr="00F740D9">
              <w:rPr>
                <w:rFonts w:ascii="Book Antiqua" w:eastAsia="PMingLiU" w:hAnsi="Book Antiqua" w:cs="PMingLiU"/>
                <w:b/>
                <w:bCs/>
                <w:i/>
                <w:iCs/>
                <w:color w:val="000000" w:themeColor="text1"/>
                <w:kern w:val="0"/>
                <w:szCs w:val="24"/>
              </w:rPr>
              <w:t>P</w:t>
            </w:r>
            <w:r w:rsidR="00AA795C">
              <w:rPr>
                <w:rFonts w:ascii="Book Antiqua" w:eastAsia="PMingLiU" w:hAnsi="Book Antiqua" w:cs="PMingLiU"/>
                <w:b/>
                <w:bCs/>
                <w:i/>
                <w:iCs/>
                <w:color w:val="000000" w:themeColor="text1"/>
                <w:kern w:val="0"/>
                <w:szCs w:val="24"/>
              </w:rPr>
              <w:t xml:space="preserve"> </w:t>
            </w:r>
            <w:r w:rsidRPr="00F740D9">
              <w:rPr>
                <w:rFonts w:ascii="Book Antiqua" w:eastAsia="PMingLiU" w:hAnsi="Book Antiqua" w:cs="PMingLiU"/>
                <w:b/>
                <w:bCs/>
                <w:color w:val="000000" w:themeColor="text1"/>
                <w:kern w:val="0"/>
                <w:szCs w:val="24"/>
              </w:rPr>
              <w:t>value</w:t>
            </w:r>
          </w:p>
        </w:tc>
      </w:tr>
      <w:tr w:rsidR="00AF289B" w:rsidRPr="00F740D9" w14:paraId="01A56969" w14:textId="77777777" w:rsidTr="00AF289B">
        <w:trPr>
          <w:trHeight w:val="315"/>
        </w:trPr>
        <w:tc>
          <w:tcPr>
            <w:tcW w:w="3280" w:type="dxa"/>
            <w:tcBorders>
              <w:top w:val="single" w:sz="4" w:space="0" w:color="auto"/>
            </w:tcBorders>
            <w:shd w:val="clear" w:color="auto" w:fill="auto"/>
            <w:noWrap/>
            <w:vAlign w:val="center"/>
            <w:hideMark/>
          </w:tcPr>
          <w:p w14:paraId="673DFFFF" w14:textId="7FFBF4C6"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Age at transplant</w:t>
            </w:r>
            <w:r w:rsidR="00BE271A">
              <w:rPr>
                <w:rFonts w:ascii="Book Antiqua" w:eastAsia="PMingLiU" w:hAnsi="Book Antiqua" w:cs="PMingLiU"/>
                <w:color w:val="000000" w:themeColor="text1"/>
                <w:kern w:val="0"/>
                <w:szCs w:val="24"/>
              </w:rPr>
              <w:t xml:space="preserve"> (years)</w:t>
            </w:r>
          </w:p>
        </w:tc>
        <w:tc>
          <w:tcPr>
            <w:tcW w:w="2660" w:type="dxa"/>
            <w:tcBorders>
              <w:top w:val="single" w:sz="4" w:space="0" w:color="auto"/>
            </w:tcBorders>
            <w:shd w:val="clear" w:color="auto" w:fill="auto"/>
            <w:noWrap/>
            <w:vAlign w:val="center"/>
            <w:hideMark/>
          </w:tcPr>
          <w:p w14:paraId="5092C9CE"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57 (50-62)</w:t>
            </w:r>
          </w:p>
        </w:tc>
        <w:tc>
          <w:tcPr>
            <w:tcW w:w="2421" w:type="dxa"/>
            <w:tcBorders>
              <w:top w:val="single" w:sz="4" w:space="0" w:color="auto"/>
            </w:tcBorders>
            <w:shd w:val="clear" w:color="auto" w:fill="auto"/>
            <w:noWrap/>
            <w:vAlign w:val="center"/>
            <w:hideMark/>
          </w:tcPr>
          <w:p w14:paraId="2A54BA74"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53</w:t>
            </w:r>
            <w:r w:rsidRPr="00F740D9">
              <w:rPr>
                <w:rFonts w:ascii="Book Antiqua" w:eastAsia="PMingLiU" w:hAnsi="Book Antiqua" w:cs="PMingLiU"/>
                <w:color w:val="000000" w:themeColor="text1"/>
                <w:kern w:val="0"/>
                <w:szCs w:val="24"/>
                <w:lang w:eastAsia="zh-CN"/>
              </w:rPr>
              <w:t xml:space="preserve"> </w:t>
            </w:r>
            <w:r w:rsidRPr="00F740D9">
              <w:rPr>
                <w:rFonts w:ascii="Book Antiqua" w:eastAsia="PMingLiU" w:hAnsi="Book Antiqua" w:cs="PMingLiU"/>
                <w:color w:val="000000" w:themeColor="text1"/>
                <w:kern w:val="0"/>
                <w:szCs w:val="24"/>
              </w:rPr>
              <w:t>(46-59)</w:t>
            </w:r>
          </w:p>
        </w:tc>
        <w:tc>
          <w:tcPr>
            <w:tcW w:w="900" w:type="dxa"/>
            <w:tcBorders>
              <w:top w:val="single" w:sz="4" w:space="0" w:color="auto"/>
            </w:tcBorders>
            <w:shd w:val="clear" w:color="auto" w:fill="auto"/>
            <w:noWrap/>
            <w:vAlign w:val="center"/>
            <w:hideMark/>
          </w:tcPr>
          <w:p w14:paraId="0F81CD15"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0.07</w:t>
            </w:r>
          </w:p>
        </w:tc>
      </w:tr>
      <w:tr w:rsidR="00AF289B" w:rsidRPr="00F740D9" w14:paraId="515F5D40" w14:textId="77777777" w:rsidTr="00AF289B">
        <w:trPr>
          <w:trHeight w:val="315"/>
        </w:trPr>
        <w:tc>
          <w:tcPr>
            <w:tcW w:w="3280" w:type="dxa"/>
            <w:shd w:val="clear" w:color="auto" w:fill="auto"/>
            <w:noWrap/>
            <w:vAlign w:val="center"/>
            <w:hideMark/>
          </w:tcPr>
          <w:p w14:paraId="41C99F43"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Gender (%M)</w:t>
            </w:r>
          </w:p>
        </w:tc>
        <w:tc>
          <w:tcPr>
            <w:tcW w:w="2660" w:type="dxa"/>
            <w:shd w:val="clear" w:color="auto" w:fill="auto"/>
            <w:noWrap/>
            <w:vAlign w:val="center"/>
            <w:hideMark/>
          </w:tcPr>
          <w:p w14:paraId="6EEF9711"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75</w:t>
            </w:r>
            <w:r w:rsidRPr="00F740D9">
              <w:rPr>
                <w:rFonts w:ascii="Book Antiqua" w:eastAsia="PMingLiU" w:hAnsi="Book Antiqua" w:cs="PMingLiU"/>
                <w:color w:val="000000" w:themeColor="text1"/>
                <w:kern w:val="0"/>
                <w:szCs w:val="24"/>
                <w:lang w:eastAsia="zh-CN"/>
              </w:rPr>
              <w:t xml:space="preserve"> </w:t>
            </w:r>
            <w:r w:rsidRPr="00F740D9">
              <w:rPr>
                <w:rFonts w:ascii="Book Antiqua" w:eastAsia="PMingLiU" w:hAnsi="Book Antiqua" w:cs="PMingLiU"/>
                <w:color w:val="000000" w:themeColor="text1"/>
                <w:kern w:val="0"/>
                <w:szCs w:val="24"/>
              </w:rPr>
              <w:t>(95%)</w:t>
            </w:r>
          </w:p>
        </w:tc>
        <w:tc>
          <w:tcPr>
            <w:tcW w:w="2421" w:type="dxa"/>
            <w:shd w:val="clear" w:color="auto" w:fill="auto"/>
            <w:noWrap/>
            <w:vAlign w:val="center"/>
            <w:hideMark/>
          </w:tcPr>
          <w:p w14:paraId="788368A6"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57</w:t>
            </w:r>
            <w:r w:rsidRPr="00F740D9">
              <w:rPr>
                <w:rFonts w:ascii="Book Antiqua" w:eastAsia="PMingLiU" w:hAnsi="Book Antiqua" w:cs="PMingLiU"/>
                <w:color w:val="000000" w:themeColor="text1"/>
                <w:kern w:val="0"/>
                <w:szCs w:val="24"/>
                <w:lang w:eastAsia="zh-CN"/>
              </w:rPr>
              <w:t xml:space="preserve"> </w:t>
            </w:r>
            <w:r w:rsidRPr="00F740D9">
              <w:rPr>
                <w:rFonts w:ascii="Book Antiqua" w:eastAsia="PMingLiU" w:hAnsi="Book Antiqua" w:cs="PMingLiU"/>
                <w:color w:val="000000" w:themeColor="text1"/>
                <w:kern w:val="0"/>
                <w:szCs w:val="24"/>
              </w:rPr>
              <w:t>(89%)</w:t>
            </w:r>
          </w:p>
        </w:tc>
        <w:tc>
          <w:tcPr>
            <w:tcW w:w="900" w:type="dxa"/>
            <w:shd w:val="clear" w:color="auto" w:fill="auto"/>
            <w:noWrap/>
            <w:vAlign w:val="center"/>
            <w:hideMark/>
          </w:tcPr>
          <w:p w14:paraId="6452A3B6"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0.19</w:t>
            </w:r>
          </w:p>
        </w:tc>
      </w:tr>
      <w:tr w:rsidR="00AF289B" w:rsidRPr="00F740D9" w14:paraId="690D8AB6" w14:textId="77777777" w:rsidTr="00AF289B">
        <w:trPr>
          <w:trHeight w:val="315"/>
        </w:trPr>
        <w:tc>
          <w:tcPr>
            <w:tcW w:w="3280" w:type="dxa"/>
            <w:shd w:val="clear" w:color="auto" w:fill="auto"/>
            <w:noWrap/>
            <w:vAlign w:val="center"/>
            <w:hideMark/>
          </w:tcPr>
          <w:p w14:paraId="52893BD0"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Etiology</w:t>
            </w:r>
          </w:p>
        </w:tc>
        <w:tc>
          <w:tcPr>
            <w:tcW w:w="5081" w:type="dxa"/>
            <w:gridSpan w:val="2"/>
            <w:shd w:val="clear" w:color="auto" w:fill="auto"/>
            <w:noWrap/>
            <w:vAlign w:val="center"/>
            <w:hideMark/>
          </w:tcPr>
          <w:p w14:paraId="75C8730D" w14:textId="77777777" w:rsidR="00AF289B" w:rsidRPr="00F740D9" w:rsidRDefault="00AF289B" w:rsidP="00BE6C9D">
            <w:pPr>
              <w:widowControl/>
              <w:snapToGrid w:val="0"/>
              <w:spacing w:line="360" w:lineRule="auto"/>
              <w:jc w:val="both"/>
              <w:rPr>
                <w:rFonts w:ascii="Book Antiqua" w:eastAsia="Times New Roman" w:hAnsi="Book Antiqua" w:cs="Times New Roman"/>
                <w:color w:val="000000" w:themeColor="text1"/>
                <w:kern w:val="0"/>
                <w:szCs w:val="24"/>
              </w:rPr>
            </w:pPr>
          </w:p>
        </w:tc>
        <w:tc>
          <w:tcPr>
            <w:tcW w:w="900" w:type="dxa"/>
            <w:shd w:val="clear" w:color="auto" w:fill="auto"/>
            <w:noWrap/>
            <w:vAlign w:val="center"/>
            <w:hideMark/>
          </w:tcPr>
          <w:p w14:paraId="25F2A76B"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0.28</w:t>
            </w:r>
          </w:p>
        </w:tc>
      </w:tr>
      <w:tr w:rsidR="00AF289B" w:rsidRPr="00F740D9" w14:paraId="4AB35A3D" w14:textId="77777777" w:rsidTr="00AF289B">
        <w:trPr>
          <w:trHeight w:val="315"/>
        </w:trPr>
        <w:tc>
          <w:tcPr>
            <w:tcW w:w="3280" w:type="dxa"/>
            <w:shd w:val="clear" w:color="auto" w:fill="auto"/>
            <w:noWrap/>
            <w:vAlign w:val="center"/>
            <w:hideMark/>
          </w:tcPr>
          <w:p w14:paraId="478F55F6" w14:textId="77777777" w:rsidR="00AF289B" w:rsidRPr="00F740D9" w:rsidRDefault="00AF289B" w:rsidP="00BE6C9D">
            <w:pPr>
              <w:widowControl/>
              <w:snapToGrid w:val="0"/>
              <w:spacing w:line="360" w:lineRule="auto"/>
              <w:ind w:firstLineChars="100" w:firstLine="240"/>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Cryptogenic</w:t>
            </w:r>
          </w:p>
        </w:tc>
        <w:tc>
          <w:tcPr>
            <w:tcW w:w="2660" w:type="dxa"/>
            <w:shd w:val="clear" w:color="auto" w:fill="auto"/>
            <w:noWrap/>
            <w:vAlign w:val="center"/>
            <w:hideMark/>
          </w:tcPr>
          <w:p w14:paraId="60E1A325"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1</w:t>
            </w:r>
            <w:r w:rsidRPr="00F740D9">
              <w:rPr>
                <w:rFonts w:ascii="Book Antiqua" w:eastAsia="PMingLiU" w:hAnsi="Book Antiqua" w:cs="PMingLiU"/>
                <w:color w:val="000000" w:themeColor="text1"/>
                <w:kern w:val="0"/>
                <w:szCs w:val="24"/>
                <w:lang w:eastAsia="zh-CN"/>
              </w:rPr>
              <w:t xml:space="preserve"> </w:t>
            </w:r>
            <w:r w:rsidRPr="00F740D9">
              <w:rPr>
                <w:rFonts w:ascii="Book Antiqua" w:eastAsia="PMingLiU" w:hAnsi="Book Antiqua" w:cs="PMingLiU"/>
                <w:color w:val="000000" w:themeColor="text1"/>
                <w:kern w:val="0"/>
                <w:szCs w:val="24"/>
              </w:rPr>
              <w:t>(1%)</w:t>
            </w:r>
          </w:p>
        </w:tc>
        <w:tc>
          <w:tcPr>
            <w:tcW w:w="2421" w:type="dxa"/>
            <w:shd w:val="clear" w:color="auto" w:fill="auto"/>
            <w:noWrap/>
            <w:vAlign w:val="center"/>
            <w:hideMark/>
          </w:tcPr>
          <w:p w14:paraId="4B3CA80B"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4</w:t>
            </w:r>
            <w:r w:rsidRPr="00F740D9">
              <w:rPr>
                <w:rFonts w:ascii="Book Antiqua" w:eastAsia="PMingLiU" w:hAnsi="Book Antiqua" w:cs="PMingLiU"/>
                <w:color w:val="000000" w:themeColor="text1"/>
                <w:kern w:val="0"/>
                <w:szCs w:val="24"/>
                <w:lang w:eastAsia="zh-CN"/>
              </w:rPr>
              <w:t xml:space="preserve"> </w:t>
            </w:r>
            <w:r w:rsidRPr="00F740D9">
              <w:rPr>
                <w:rFonts w:ascii="Book Antiqua" w:eastAsia="PMingLiU" w:hAnsi="Book Antiqua" w:cs="PMingLiU"/>
                <w:color w:val="000000" w:themeColor="text1"/>
                <w:kern w:val="0"/>
                <w:szCs w:val="24"/>
              </w:rPr>
              <w:t>(6%)</w:t>
            </w:r>
          </w:p>
        </w:tc>
        <w:tc>
          <w:tcPr>
            <w:tcW w:w="900" w:type="dxa"/>
            <w:shd w:val="clear" w:color="auto" w:fill="auto"/>
            <w:noWrap/>
            <w:vAlign w:val="center"/>
            <w:hideMark/>
          </w:tcPr>
          <w:p w14:paraId="71079385"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p>
        </w:tc>
      </w:tr>
      <w:tr w:rsidR="00AF289B" w:rsidRPr="00F740D9" w14:paraId="7C04D2D8" w14:textId="77777777" w:rsidTr="00AF289B">
        <w:trPr>
          <w:trHeight w:val="315"/>
        </w:trPr>
        <w:tc>
          <w:tcPr>
            <w:tcW w:w="3280" w:type="dxa"/>
            <w:shd w:val="clear" w:color="auto" w:fill="auto"/>
            <w:noWrap/>
            <w:vAlign w:val="center"/>
            <w:hideMark/>
          </w:tcPr>
          <w:p w14:paraId="5D99B8FD" w14:textId="77777777" w:rsidR="00AF289B" w:rsidRPr="00F740D9" w:rsidRDefault="00AF289B" w:rsidP="00BE6C9D">
            <w:pPr>
              <w:widowControl/>
              <w:snapToGrid w:val="0"/>
              <w:spacing w:line="360" w:lineRule="auto"/>
              <w:ind w:firstLineChars="100" w:firstLine="240"/>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HBV</w:t>
            </w:r>
          </w:p>
        </w:tc>
        <w:tc>
          <w:tcPr>
            <w:tcW w:w="2660" w:type="dxa"/>
            <w:shd w:val="clear" w:color="auto" w:fill="auto"/>
            <w:noWrap/>
            <w:vAlign w:val="center"/>
            <w:hideMark/>
          </w:tcPr>
          <w:p w14:paraId="6D5AB226"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72</w:t>
            </w:r>
            <w:r w:rsidRPr="00F740D9">
              <w:rPr>
                <w:rFonts w:ascii="Book Antiqua" w:eastAsia="PMingLiU" w:hAnsi="Book Antiqua" w:cs="PMingLiU"/>
                <w:color w:val="000000" w:themeColor="text1"/>
                <w:kern w:val="0"/>
                <w:szCs w:val="24"/>
                <w:lang w:eastAsia="zh-CN"/>
              </w:rPr>
              <w:t xml:space="preserve"> </w:t>
            </w:r>
            <w:r w:rsidRPr="00F740D9">
              <w:rPr>
                <w:rFonts w:ascii="Book Antiqua" w:eastAsia="PMingLiU" w:hAnsi="Book Antiqua" w:cs="PMingLiU"/>
                <w:color w:val="000000" w:themeColor="text1"/>
                <w:kern w:val="0"/>
                <w:szCs w:val="24"/>
              </w:rPr>
              <w:t>(91%)</w:t>
            </w:r>
          </w:p>
        </w:tc>
        <w:tc>
          <w:tcPr>
            <w:tcW w:w="2421" w:type="dxa"/>
            <w:shd w:val="clear" w:color="auto" w:fill="auto"/>
            <w:noWrap/>
            <w:vAlign w:val="center"/>
            <w:hideMark/>
          </w:tcPr>
          <w:p w14:paraId="4B715FC1"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59</w:t>
            </w:r>
            <w:r w:rsidRPr="00F740D9">
              <w:rPr>
                <w:rFonts w:ascii="Book Antiqua" w:eastAsia="PMingLiU" w:hAnsi="Book Antiqua" w:cs="PMingLiU"/>
                <w:color w:val="000000" w:themeColor="text1"/>
                <w:kern w:val="0"/>
                <w:szCs w:val="24"/>
                <w:lang w:eastAsia="zh-CN"/>
              </w:rPr>
              <w:t xml:space="preserve"> </w:t>
            </w:r>
            <w:r w:rsidRPr="00F740D9">
              <w:rPr>
                <w:rFonts w:ascii="Book Antiqua" w:eastAsia="PMingLiU" w:hAnsi="Book Antiqua" w:cs="PMingLiU"/>
                <w:color w:val="000000" w:themeColor="text1"/>
                <w:kern w:val="0"/>
                <w:szCs w:val="24"/>
              </w:rPr>
              <w:t>(92%)</w:t>
            </w:r>
          </w:p>
        </w:tc>
        <w:tc>
          <w:tcPr>
            <w:tcW w:w="900" w:type="dxa"/>
            <w:shd w:val="clear" w:color="auto" w:fill="auto"/>
            <w:noWrap/>
            <w:vAlign w:val="center"/>
            <w:hideMark/>
          </w:tcPr>
          <w:p w14:paraId="57734402"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p>
        </w:tc>
      </w:tr>
      <w:tr w:rsidR="00AF289B" w:rsidRPr="00F740D9" w14:paraId="4A6AD8F6" w14:textId="77777777" w:rsidTr="00AF289B">
        <w:trPr>
          <w:trHeight w:val="315"/>
        </w:trPr>
        <w:tc>
          <w:tcPr>
            <w:tcW w:w="3280" w:type="dxa"/>
            <w:shd w:val="clear" w:color="auto" w:fill="auto"/>
            <w:noWrap/>
            <w:vAlign w:val="center"/>
            <w:hideMark/>
          </w:tcPr>
          <w:p w14:paraId="6019ABAB" w14:textId="77777777" w:rsidR="00AF289B" w:rsidRPr="00F740D9" w:rsidRDefault="00AF289B" w:rsidP="00BE6C9D">
            <w:pPr>
              <w:widowControl/>
              <w:snapToGrid w:val="0"/>
              <w:spacing w:line="360" w:lineRule="auto"/>
              <w:ind w:firstLineChars="100" w:firstLine="240"/>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HCV</w:t>
            </w:r>
          </w:p>
        </w:tc>
        <w:tc>
          <w:tcPr>
            <w:tcW w:w="2660" w:type="dxa"/>
            <w:shd w:val="clear" w:color="auto" w:fill="auto"/>
            <w:noWrap/>
            <w:vAlign w:val="center"/>
            <w:hideMark/>
          </w:tcPr>
          <w:p w14:paraId="53DB9B0F"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4</w:t>
            </w:r>
            <w:r w:rsidRPr="00F740D9">
              <w:rPr>
                <w:rFonts w:ascii="Book Antiqua" w:eastAsia="PMingLiU" w:hAnsi="Book Antiqua" w:cs="PMingLiU"/>
                <w:color w:val="000000" w:themeColor="text1"/>
                <w:kern w:val="0"/>
                <w:szCs w:val="24"/>
                <w:lang w:eastAsia="zh-CN"/>
              </w:rPr>
              <w:t xml:space="preserve"> </w:t>
            </w:r>
            <w:r w:rsidRPr="00F740D9">
              <w:rPr>
                <w:rFonts w:ascii="Book Antiqua" w:eastAsia="PMingLiU" w:hAnsi="Book Antiqua" w:cs="PMingLiU"/>
                <w:color w:val="000000" w:themeColor="text1"/>
                <w:kern w:val="0"/>
                <w:szCs w:val="24"/>
              </w:rPr>
              <w:t>(5%)</w:t>
            </w:r>
          </w:p>
        </w:tc>
        <w:tc>
          <w:tcPr>
            <w:tcW w:w="3321" w:type="dxa"/>
            <w:gridSpan w:val="2"/>
            <w:shd w:val="clear" w:color="auto" w:fill="auto"/>
            <w:noWrap/>
            <w:vAlign w:val="center"/>
            <w:hideMark/>
          </w:tcPr>
          <w:p w14:paraId="2AD8636B"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1</w:t>
            </w:r>
            <w:r w:rsidRPr="00F740D9">
              <w:rPr>
                <w:rFonts w:ascii="Book Antiqua" w:eastAsia="PMingLiU" w:hAnsi="Book Antiqua" w:cs="PMingLiU"/>
                <w:color w:val="000000" w:themeColor="text1"/>
                <w:kern w:val="0"/>
                <w:szCs w:val="24"/>
                <w:lang w:eastAsia="zh-CN"/>
              </w:rPr>
              <w:t xml:space="preserve"> </w:t>
            </w:r>
            <w:r w:rsidRPr="00F740D9">
              <w:rPr>
                <w:rFonts w:ascii="Book Antiqua" w:eastAsia="PMingLiU" w:hAnsi="Book Antiqua" w:cs="PMingLiU"/>
                <w:color w:val="000000" w:themeColor="text1"/>
                <w:kern w:val="0"/>
                <w:szCs w:val="24"/>
              </w:rPr>
              <w:t>(2%)</w:t>
            </w:r>
          </w:p>
        </w:tc>
      </w:tr>
      <w:tr w:rsidR="00AF289B" w:rsidRPr="00F740D9" w14:paraId="17E9B5E6" w14:textId="77777777" w:rsidTr="00AF289B">
        <w:trPr>
          <w:trHeight w:val="315"/>
        </w:trPr>
        <w:tc>
          <w:tcPr>
            <w:tcW w:w="3280" w:type="dxa"/>
            <w:shd w:val="clear" w:color="auto" w:fill="auto"/>
            <w:noWrap/>
            <w:vAlign w:val="center"/>
            <w:hideMark/>
          </w:tcPr>
          <w:p w14:paraId="00122E16" w14:textId="77777777" w:rsidR="00AF289B" w:rsidRPr="00F740D9" w:rsidRDefault="00AF289B" w:rsidP="00BE6C9D">
            <w:pPr>
              <w:widowControl/>
              <w:snapToGrid w:val="0"/>
              <w:spacing w:line="360" w:lineRule="auto"/>
              <w:ind w:firstLineChars="100" w:firstLine="240"/>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Alcoholic liver disease</w:t>
            </w:r>
          </w:p>
        </w:tc>
        <w:tc>
          <w:tcPr>
            <w:tcW w:w="2660" w:type="dxa"/>
            <w:shd w:val="clear" w:color="auto" w:fill="auto"/>
            <w:noWrap/>
            <w:vAlign w:val="center"/>
            <w:hideMark/>
          </w:tcPr>
          <w:p w14:paraId="547EB7DD"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3</w:t>
            </w:r>
            <w:r w:rsidRPr="00F740D9">
              <w:rPr>
                <w:rFonts w:ascii="Book Antiqua" w:eastAsia="PMingLiU" w:hAnsi="Book Antiqua" w:cs="PMingLiU"/>
                <w:color w:val="000000" w:themeColor="text1"/>
                <w:kern w:val="0"/>
                <w:szCs w:val="24"/>
                <w:lang w:eastAsia="zh-CN"/>
              </w:rPr>
              <w:t xml:space="preserve"> </w:t>
            </w:r>
            <w:r w:rsidRPr="00F740D9">
              <w:rPr>
                <w:rFonts w:ascii="Book Antiqua" w:eastAsia="PMingLiU" w:hAnsi="Book Antiqua" w:cs="PMingLiU"/>
                <w:color w:val="000000" w:themeColor="text1"/>
                <w:kern w:val="0"/>
                <w:szCs w:val="24"/>
              </w:rPr>
              <w:t>(4%)</w:t>
            </w:r>
          </w:p>
        </w:tc>
        <w:tc>
          <w:tcPr>
            <w:tcW w:w="2421" w:type="dxa"/>
            <w:shd w:val="clear" w:color="auto" w:fill="auto"/>
            <w:noWrap/>
            <w:vAlign w:val="center"/>
            <w:hideMark/>
          </w:tcPr>
          <w:p w14:paraId="1C608A22"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2</w:t>
            </w:r>
            <w:r w:rsidRPr="00F740D9">
              <w:rPr>
                <w:rFonts w:ascii="Book Antiqua" w:eastAsia="PMingLiU" w:hAnsi="Book Antiqua" w:cs="PMingLiU"/>
                <w:color w:val="000000" w:themeColor="text1"/>
                <w:kern w:val="0"/>
                <w:szCs w:val="24"/>
                <w:lang w:eastAsia="zh-CN"/>
              </w:rPr>
              <w:t xml:space="preserve"> </w:t>
            </w:r>
            <w:r w:rsidRPr="00F740D9">
              <w:rPr>
                <w:rFonts w:ascii="Book Antiqua" w:eastAsia="PMingLiU" w:hAnsi="Book Antiqua" w:cs="PMingLiU"/>
                <w:color w:val="000000" w:themeColor="text1"/>
                <w:kern w:val="0"/>
                <w:szCs w:val="24"/>
              </w:rPr>
              <w:t>(3%)</w:t>
            </w:r>
          </w:p>
        </w:tc>
        <w:tc>
          <w:tcPr>
            <w:tcW w:w="900" w:type="dxa"/>
            <w:shd w:val="clear" w:color="auto" w:fill="auto"/>
            <w:noWrap/>
            <w:vAlign w:val="center"/>
            <w:hideMark/>
          </w:tcPr>
          <w:p w14:paraId="3E9FEA3B"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p>
        </w:tc>
      </w:tr>
      <w:tr w:rsidR="00AF289B" w:rsidRPr="00F740D9" w14:paraId="25ED7A89" w14:textId="77777777" w:rsidTr="00AF289B">
        <w:trPr>
          <w:trHeight w:val="315"/>
        </w:trPr>
        <w:tc>
          <w:tcPr>
            <w:tcW w:w="3280" w:type="dxa"/>
            <w:shd w:val="clear" w:color="auto" w:fill="auto"/>
            <w:noWrap/>
            <w:vAlign w:val="center"/>
            <w:hideMark/>
          </w:tcPr>
          <w:p w14:paraId="7BF3F192"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Primary/salvage transplant</w:t>
            </w:r>
          </w:p>
        </w:tc>
        <w:tc>
          <w:tcPr>
            <w:tcW w:w="2660" w:type="dxa"/>
            <w:shd w:val="clear" w:color="auto" w:fill="auto"/>
            <w:noWrap/>
            <w:vAlign w:val="center"/>
            <w:hideMark/>
          </w:tcPr>
          <w:p w14:paraId="58877702"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49/30</w:t>
            </w:r>
          </w:p>
        </w:tc>
        <w:tc>
          <w:tcPr>
            <w:tcW w:w="2421" w:type="dxa"/>
            <w:shd w:val="clear" w:color="auto" w:fill="auto"/>
            <w:noWrap/>
            <w:vAlign w:val="center"/>
            <w:hideMark/>
          </w:tcPr>
          <w:p w14:paraId="5FED6310"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43/21</w:t>
            </w:r>
          </w:p>
        </w:tc>
        <w:tc>
          <w:tcPr>
            <w:tcW w:w="900" w:type="dxa"/>
            <w:shd w:val="clear" w:color="auto" w:fill="auto"/>
            <w:noWrap/>
            <w:vAlign w:val="center"/>
            <w:hideMark/>
          </w:tcPr>
          <w:p w14:paraId="30FE46C3"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0.52</w:t>
            </w:r>
          </w:p>
        </w:tc>
      </w:tr>
      <w:tr w:rsidR="00AF289B" w:rsidRPr="00F740D9" w14:paraId="583E6FC3" w14:textId="77777777" w:rsidTr="00AF289B">
        <w:trPr>
          <w:trHeight w:val="315"/>
        </w:trPr>
        <w:tc>
          <w:tcPr>
            <w:tcW w:w="3280" w:type="dxa"/>
            <w:shd w:val="clear" w:color="auto" w:fill="auto"/>
            <w:noWrap/>
            <w:vAlign w:val="center"/>
            <w:hideMark/>
          </w:tcPr>
          <w:p w14:paraId="2282AF7D"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Cadaveric/living related</w:t>
            </w:r>
          </w:p>
        </w:tc>
        <w:tc>
          <w:tcPr>
            <w:tcW w:w="2660" w:type="dxa"/>
            <w:shd w:val="clear" w:color="auto" w:fill="auto"/>
            <w:noWrap/>
            <w:vAlign w:val="center"/>
            <w:hideMark/>
          </w:tcPr>
          <w:p w14:paraId="0A932076"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53/26</w:t>
            </w:r>
          </w:p>
        </w:tc>
        <w:tc>
          <w:tcPr>
            <w:tcW w:w="2421" w:type="dxa"/>
            <w:shd w:val="clear" w:color="auto" w:fill="auto"/>
            <w:noWrap/>
            <w:vAlign w:val="center"/>
            <w:hideMark/>
          </w:tcPr>
          <w:p w14:paraId="4950FE5F"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47/17</w:t>
            </w:r>
          </w:p>
        </w:tc>
        <w:tc>
          <w:tcPr>
            <w:tcW w:w="900" w:type="dxa"/>
            <w:shd w:val="clear" w:color="auto" w:fill="auto"/>
            <w:noWrap/>
            <w:vAlign w:val="center"/>
            <w:hideMark/>
          </w:tcPr>
          <w:p w14:paraId="433B627F"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0.41</w:t>
            </w:r>
          </w:p>
        </w:tc>
      </w:tr>
      <w:tr w:rsidR="00AF289B" w:rsidRPr="00F740D9" w14:paraId="739F6D59" w14:textId="77777777" w:rsidTr="00AF289B">
        <w:trPr>
          <w:trHeight w:val="315"/>
        </w:trPr>
        <w:tc>
          <w:tcPr>
            <w:tcW w:w="3280" w:type="dxa"/>
            <w:shd w:val="clear" w:color="auto" w:fill="auto"/>
            <w:noWrap/>
            <w:vAlign w:val="center"/>
            <w:hideMark/>
          </w:tcPr>
          <w:p w14:paraId="6E526C92"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Whole graft/partial graft</w:t>
            </w:r>
          </w:p>
        </w:tc>
        <w:tc>
          <w:tcPr>
            <w:tcW w:w="2660" w:type="dxa"/>
            <w:shd w:val="clear" w:color="auto" w:fill="auto"/>
            <w:noWrap/>
            <w:vAlign w:val="center"/>
            <w:hideMark/>
          </w:tcPr>
          <w:p w14:paraId="6B1C09FC"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53/26</w:t>
            </w:r>
          </w:p>
        </w:tc>
        <w:tc>
          <w:tcPr>
            <w:tcW w:w="2421" w:type="dxa"/>
            <w:shd w:val="clear" w:color="auto" w:fill="auto"/>
            <w:noWrap/>
            <w:vAlign w:val="center"/>
            <w:hideMark/>
          </w:tcPr>
          <w:p w14:paraId="2DB7E695"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47/17</w:t>
            </w:r>
          </w:p>
        </w:tc>
        <w:tc>
          <w:tcPr>
            <w:tcW w:w="900" w:type="dxa"/>
            <w:shd w:val="clear" w:color="auto" w:fill="auto"/>
            <w:noWrap/>
            <w:vAlign w:val="center"/>
            <w:hideMark/>
          </w:tcPr>
          <w:p w14:paraId="0315BA79"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0.41</w:t>
            </w:r>
          </w:p>
        </w:tc>
      </w:tr>
      <w:tr w:rsidR="00AF289B" w:rsidRPr="00F740D9" w14:paraId="40690EA0" w14:textId="77777777" w:rsidTr="00AF289B">
        <w:trPr>
          <w:trHeight w:val="315"/>
        </w:trPr>
        <w:tc>
          <w:tcPr>
            <w:tcW w:w="3280" w:type="dxa"/>
            <w:shd w:val="clear" w:color="auto" w:fill="auto"/>
            <w:noWrap/>
            <w:vAlign w:val="center"/>
            <w:hideMark/>
          </w:tcPr>
          <w:p w14:paraId="4632F4C8" w14:textId="7FEA4EDB"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No. of tumour</w:t>
            </w:r>
            <w:r w:rsidR="00BE271A">
              <w:rPr>
                <w:rFonts w:ascii="Book Antiqua" w:eastAsia="PMingLiU" w:hAnsi="Book Antiqua" w:cs="PMingLiU"/>
                <w:color w:val="000000" w:themeColor="text1"/>
                <w:kern w:val="0"/>
                <w:szCs w:val="24"/>
              </w:rPr>
              <w:t>s</w:t>
            </w:r>
          </w:p>
        </w:tc>
        <w:tc>
          <w:tcPr>
            <w:tcW w:w="2660" w:type="dxa"/>
            <w:shd w:val="clear" w:color="auto" w:fill="auto"/>
            <w:noWrap/>
            <w:vAlign w:val="center"/>
            <w:hideMark/>
          </w:tcPr>
          <w:p w14:paraId="2BE57A65"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2</w:t>
            </w:r>
            <w:r w:rsidRPr="00F740D9">
              <w:rPr>
                <w:rFonts w:ascii="Book Antiqua" w:eastAsia="PMingLiU" w:hAnsi="Book Antiqua" w:cs="PMingLiU"/>
                <w:color w:val="000000" w:themeColor="text1"/>
                <w:kern w:val="0"/>
                <w:szCs w:val="24"/>
                <w:lang w:eastAsia="zh-CN"/>
              </w:rPr>
              <w:t xml:space="preserve"> </w:t>
            </w:r>
            <w:r w:rsidRPr="00F740D9">
              <w:rPr>
                <w:rFonts w:ascii="Book Antiqua" w:eastAsia="PMingLiU" w:hAnsi="Book Antiqua" w:cs="PMingLiU"/>
                <w:color w:val="000000" w:themeColor="text1"/>
                <w:kern w:val="0"/>
                <w:szCs w:val="24"/>
              </w:rPr>
              <w:t>(1-5)</w:t>
            </w:r>
          </w:p>
        </w:tc>
        <w:tc>
          <w:tcPr>
            <w:tcW w:w="2421" w:type="dxa"/>
            <w:shd w:val="clear" w:color="auto" w:fill="auto"/>
            <w:noWrap/>
            <w:vAlign w:val="center"/>
            <w:hideMark/>
          </w:tcPr>
          <w:p w14:paraId="1D953116"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2</w:t>
            </w:r>
            <w:r w:rsidRPr="00F740D9">
              <w:rPr>
                <w:rFonts w:ascii="Book Antiqua" w:eastAsia="PMingLiU" w:hAnsi="Book Antiqua" w:cs="PMingLiU"/>
                <w:color w:val="000000" w:themeColor="text1"/>
                <w:kern w:val="0"/>
                <w:szCs w:val="24"/>
                <w:lang w:eastAsia="zh-CN"/>
              </w:rPr>
              <w:t xml:space="preserve"> </w:t>
            </w:r>
            <w:r w:rsidRPr="00F740D9">
              <w:rPr>
                <w:rFonts w:ascii="Book Antiqua" w:eastAsia="PMingLiU" w:hAnsi="Book Antiqua" w:cs="PMingLiU"/>
                <w:color w:val="000000" w:themeColor="text1"/>
                <w:kern w:val="0"/>
                <w:szCs w:val="24"/>
              </w:rPr>
              <w:t>(1-6)</w:t>
            </w:r>
          </w:p>
        </w:tc>
        <w:tc>
          <w:tcPr>
            <w:tcW w:w="900" w:type="dxa"/>
            <w:shd w:val="clear" w:color="auto" w:fill="auto"/>
            <w:noWrap/>
            <w:hideMark/>
          </w:tcPr>
          <w:p w14:paraId="7F88DBE6"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0.85</w:t>
            </w:r>
          </w:p>
        </w:tc>
      </w:tr>
      <w:tr w:rsidR="00AF289B" w:rsidRPr="00F740D9" w14:paraId="2B5B36C9" w14:textId="77777777" w:rsidTr="00AF289B">
        <w:trPr>
          <w:trHeight w:val="315"/>
        </w:trPr>
        <w:tc>
          <w:tcPr>
            <w:tcW w:w="3280" w:type="dxa"/>
            <w:shd w:val="clear" w:color="auto" w:fill="auto"/>
            <w:noWrap/>
            <w:vAlign w:val="center"/>
            <w:hideMark/>
          </w:tcPr>
          <w:p w14:paraId="1962E492"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Size of largest tumour (cm)</w:t>
            </w:r>
          </w:p>
        </w:tc>
        <w:tc>
          <w:tcPr>
            <w:tcW w:w="2660" w:type="dxa"/>
            <w:shd w:val="clear" w:color="auto" w:fill="auto"/>
            <w:noWrap/>
            <w:vAlign w:val="center"/>
            <w:hideMark/>
          </w:tcPr>
          <w:p w14:paraId="01E783B8"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4.3</w:t>
            </w:r>
            <w:r w:rsidRPr="00F740D9">
              <w:rPr>
                <w:rFonts w:ascii="Book Antiqua" w:eastAsia="PMingLiU" w:hAnsi="Book Antiqua" w:cs="PMingLiU"/>
                <w:color w:val="000000" w:themeColor="text1"/>
                <w:kern w:val="0"/>
                <w:szCs w:val="24"/>
                <w:lang w:eastAsia="zh-CN"/>
              </w:rPr>
              <w:t xml:space="preserve"> </w:t>
            </w:r>
            <w:r w:rsidRPr="00F740D9">
              <w:rPr>
                <w:rFonts w:ascii="Book Antiqua" w:eastAsia="PMingLiU" w:hAnsi="Book Antiqua" w:cs="PMingLiU"/>
                <w:color w:val="000000" w:themeColor="text1"/>
                <w:kern w:val="0"/>
                <w:szCs w:val="24"/>
              </w:rPr>
              <w:t>(2.9-6.6)</w:t>
            </w:r>
          </w:p>
        </w:tc>
        <w:tc>
          <w:tcPr>
            <w:tcW w:w="2421" w:type="dxa"/>
            <w:shd w:val="clear" w:color="auto" w:fill="auto"/>
            <w:noWrap/>
            <w:vAlign w:val="center"/>
            <w:hideMark/>
          </w:tcPr>
          <w:p w14:paraId="29B4D2AE"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4.0</w:t>
            </w:r>
            <w:r w:rsidRPr="00F740D9">
              <w:rPr>
                <w:rFonts w:ascii="Book Antiqua" w:eastAsia="PMingLiU" w:hAnsi="Book Antiqua" w:cs="PMingLiU"/>
                <w:color w:val="000000" w:themeColor="text1"/>
                <w:kern w:val="0"/>
                <w:szCs w:val="24"/>
                <w:lang w:eastAsia="zh-CN"/>
              </w:rPr>
              <w:t xml:space="preserve"> </w:t>
            </w:r>
            <w:r w:rsidRPr="00F740D9">
              <w:rPr>
                <w:rFonts w:ascii="Book Antiqua" w:eastAsia="PMingLiU" w:hAnsi="Book Antiqua" w:cs="PMingLiU"/>
                <w:color w:val="000000" w:themeColor="text1"/>
                <w:kern w:val="0"/>
                <w:szCs w:val="24"/>
              </w:rPr>
              <w:t>(2.5-6.5)</w:t>
            </w:r>
          </w:p>
        </w:tc>
        <w:tc>
          <w:tcPr>
            <w:tcW w:w="900" w:type="dxa"/>
            <w:shd w:val="clear" w:color="auto" w:fill="auto"/>
            <w:noWrap/>
            <w:vAlign w:val="center"/>
            <w:hideMark/>
          </w:tcPr>
          <w:p w14:paraId="190336D5"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0.68</w:t>
            </w:r>
          </w:p>
        </w:tc>
      </w:tr>
      <w:tr w:rsidR="00AF289B" w:rsidRPr="00F740D9" w14:paraId="1102F455" w14:textId="77777777" w:rsidTr="00AF289B">
        <w:trPr>
          <w:trHeight w:val="315"/>
        </w:trPr>
        <w:tc>
          <w:tcPr>
            <w:tcW w:w="3280" w:type="dxa"/>
            <w:shd w:val="clear" w:color="auto" w:fill="auto"/>
            <w:noWrap/>
            <w:vAlign w:val="center"/>
            <w:hideMark/>
          </w:tcPr>
          <w:p w14:paraId="655199B4"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AFP (ng/mL)</w:t>
            </w:r>
          </w:p>
        </w:tc>
        <w:tc>
          <w:tcPr>
            <w:tcW w:w="2660" w:type="dxa"/>
            <w:shd w:val="clear" w:color="auto" w:fill="auto"/>
            <w:noWrap/>
            <w:vAlign w:val="center"/>
            <w:hideMark/>
          </w:tcPr>
          <w:p w14:paraId="068282AF"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144</w:t>
            </w:r>
            <w:r w:rsidRPr="00F740D9">
              <w:rPr>
                <w:rFonts w:ascii="Book Antiqua" w:eastAsia="PMingLiU" w:hAnsi="Book Antiqua" w:cs="PMingLiU"/>
                <w:color w:val="000000" w:themeColor="text1"/>
                <w:kern w:val="0"/>
                <w:szCs w:val="24"/>
                <w:lang w:eastAsia="zh-CN"/>
              </w:rPr>
              <w:t xml:space="preserve"> </w:t>
            </w:r>
            <w:r w:rsidRPr="00F740D9">
              <w:rPr>
                <w:rFonts w:ascii="Book Antiqua" w:eastAsia="PMingLiU" w:hAnsi="Book Antiqua" w:cs="PMingLiU"/>
                <w:color w:val="000000" w:themeColor="text1"/>
                <w:kern w:val="0"/>
                <w:szCs w:val="24"/>
              </w:rPr>
              <w:t>(14-1388)</w:t>
            </w:r>
          </w:p>
        </w:tc>
        <w:tc>
          <w:tcPr>
            <w:tcW w:w="2421" w:type="dxa"/>
            <w:shd w:val="clear" w:color="auto" w:fill="auto"/>
            <w:noWrap/>
            <w:vAlign w:val="center"/>
            <w:hideMark/>
          </w:tcPr>
          <w:p w14:paraId="57DC2374"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111</w:t>
            </w:r>
            <w:r w:rsidRPr="00F740D9">
              <w:rPr>
                <w:rFonts w:ascii="Book Antiqua" w:eastAsia="PMingLiU" w:hAnsi="Book Antiqua" w:cs="PMingLiU"/>
                <w:color w:val="000000" w:themeColor="text1"/>
                <w:kern w:val="0"/>
                <w:szCs w:val="24"/>
                <w:lang w:eastAsia="zh-CN"/>
              </w:rPr>
              <w:t xml:space="preserve"> </w:t>
            </w:r>
            <w:r w:rsidRPr="00F740D9">
              <w:rPr>
                <w:rFonts w:ascii="Book Antiqua" w:eastAsia="PMingLiU" w:hAnsi="Book Antiqua" w:cs="PMingLiU"/>
                <w:color w:val="000000" w:themeColor="text1"/>
                <w:kern w:val="0"/>
                <w:szCs w:val="24"/>
              </w:rPr>
              <w:t>(19-817)</w:t>
            </w:r>
          </w:p>
        </w:tc>
        <w:tc>
          <w:tcPr>
            <w:tcW w:w="900" w:type="dxa"/>
            <w:shd w:val="clear" w:color="auto" w:fill="auto"/>
            <w:noWrap/>
            <w:vAlign w:val="center"/>
            <w:hideMark/>
          </w:tcPr>
          <w:p w14:paraId="3348F59A"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0.51</w:t>
            </w:r>
          </w:p>
        </w:tc>
      </w:tr>
      <w:tr w:rsidR="00AF289B" w:rsidRPr="00F740D9" w14:paraId="079BF82B" w14:textId="77777777" w:rsidTr="00AF289B">
        <w:trPr>
          <w:trHeight w:val="315"/>
        </w:trPr>
        <w:tc>
          <w:tcPr>
            <w:tcW w:w="3280" w:type="dxa"/>
            <w:shd w:val="clear" w:color="auto" w:fill="auto"/>
            <w:noWrap/>
            <w:vAlign w:val="center"/>
            <w:hideMark/>
          </w:tcPr>
          <w:p w14:paraId="39641D1F"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Within Milan criteria</w:t>
            </w:r>
          </w:p>
        </w:tc>
        <w:tc>
          <w:tcPr>
            <w:tcW w:w="2660" w:type="dxa"/>
            <w:shd w:val="clear" w:color="auto" w:fill="auto"/>
            <w:noWrap/>
            <w:vAlign w:val="center"/>
            <w:hideMark/>
          </w:tcPr>
          <w:p w14:paraId="50BE0999"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21</w:t>
            </w:r>
            <w:r w:rsidRPr="00F740D9">
              <w:rPr>
                <w:rFonts w:ascii="Book Antiqua" w:eastAsia="PMingLiU" w:hAnsi="Book Antiqua" w:cs="PMingLiU"/>
                <w:color w:val="000000" w:themeColor="text1"/>
                <w:kern w:val="0"/>
                <w:szCs w:val="24"/>
                <w:lang w:eastAsia="zh-CN"/>
              </w:rPr>
              <w:t xml:space="preserve"> </w:t>
            </w:r>
            <w:r w:rsidRPr="00F740D9">
              <w:rPr>
                <w:rFonts w:ascii="Book Antiqua" w:eastAsia="PMingLiU" w:hAnsi="Book Antiqua" w:cs="PMingLiU"/>
                <w:color w:val="000000" w:themeColor="text1"/>
                <w:kern w:val="0"/>
                <w:szCs w:val="24"/>
              </w:rPr>
              <w:t>(27%)</w:t>
            </w:r>
          </w:p>
        </w:tc>
        <w:tc>
          <w:tcPr>
            <w:tcW w:w="2421" w:type="dxa"/>
            <w:shd w:val="clear" w:color="auto" w:fill="auto"/>
            <w:noWrap/>
            <w:vAlign w:val="center"/>
            <w:hideMark/>
          </w:tcPr>
          <w:p w14:paraId="25831C88"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14</w:t>
            </w:r>
            <w:r w:rsidRPr="00F740D9">
              <w:rPr>
                <w:rFonts w:ascii="Book Antiqua" w:eastAsia="PMingLiU" w:hAnsi="Book Antiqua" w:cs="PMingLiU"/>
                <w:color w:val="000000" w:themeColor="text1"/>
                <w:kern w:val="0"/>
                <w:szCs w:val="24"/>
                <w:lang w:eastAsia="zh-CN"/>
              </w:rPr>
              <w:t xml:space="preserve"> </w:t>
            </w:r>
            <w:r w:rsidRPr="00F740D9">
              <w:rPr>
                <w:rFonts w:ascii="Book Antiqua" w:eastAsia="PMingLiU" w:hAnsi="Book Antiqua" w:cs="PMingLiU"/>
                <w:color w:val="000000" w:themeColor="text1"/>
                <w:kern w:val="0"/>
                <w:szCs w:val="24"/>
              </w:rPr>
              <w:t>(22%)</w:t>
            </w:r>
          </w:p>
        </w:tc>
        <w:tc>
          <w:tcPr>
            <w:tcW w:w="900" w:type="dxa"/>
            <w:shd w:val="clear" w:color="auto" w:fill="auto"/>
            <w:noWrap/>
            <w:vAlign w:val="center"/>
            <w:hideMark/>
          </w:tcPr>
          <w:p w14:paraId="31EA611A"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0.54</w:t>
            </w:r>
          </w:p>
        </w:tc>
      </w:tr>
      <w:tr w:rsidR="00F740D9" w:rsidRPr="00F740D9" w14:paraId="6AB2A09A" w14:textId="77777777" w:rsidTr="00AF289B">
        <w:trPr>
          <w:trHeight w:val="315"/>
        </w:trPr>
        <w:tc>
          <w:tcPr>
            <w:tcW w:w="3280" w:type="dxa"/>
            <w:shd w:val="clear" w:color="auto" w:fill="auto"/>
            <w:noWrap/>
            <w:vAlign w:val="center"/>
            <w:hideMark/>
          </w:tcPr>
          <w:p w14:paraId="058C354F"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Within UCSF criteria</w:t>
            </w:r>
          </w:p>
        </w:tc>
        <w:tc>
          <w:tcPr>
            <w:tcW w:w="2660" w:type="dxa"/>
            <w:shd w:val="clear" w:color="auto" w:fill="auto"/>
            <w:noWrap/>
            <w:vAlign w:val="center"/>
            <w:hideMark/>
          </w:tcPr>
          <w:p w14:paraId="6EE5C734"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26</w:t>
            </w:r>
            <w:r w:rsidRPr="00F740D9">
              <w:rPr>
                <w:rFonts w:ascii="Book Antiqua" w:eastAsia="PMingLiU" w:hAnsi="Book Antiqua" w:cs="PMingLiU"/>
                <w:color w:val="000000" w:themeColor="text1"/>
                <w:kern w:val="0"/>
                <w:szCs w:val="24"/>
                <w:lang w:eastAsia="zh-CN"/>
              </w:rPr>
              <w:t xml:space="preserve"> </w:t>
            </w:r>
            <w:r w:rsidRPr="00F740D9">
              <w:rPr>
                <w:rFonts w:ascii="Book Antiqua" w:eastAsia="PMingLiU" w:hAnsi="Book Antiqua" w:cs="PMingLiU"/>
                <w:color w:val="000000" w:themeColor="text1"/>
                <w:kern w:val="0"/>
                <w:szCs w:val="24"/>
              </w:rPr>
              <w:t>(33%)</w:t>
            </w:r>
          </w:p>
        </w:tc>
        <w:tc>
          <w:tcPr>
            <w:tcW w:w="2421" w:type="dxa"/>
            <w:shd w:val="clear" w:color="auto" w:fill="auto"/>
            <w:noWrap/>
            <w:vAlign w:val="center"/>
            <w:hideMark/>
          </w:tcPr>
          <w:p w14:paraId="0017F5E1"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15</w:t>
            </w:r>
            <w:r w:rsidRPr="00F740D9">
              <w:rPr>
                <w:rFonts w:ascii="Book Antiqua" w:eastAsia="PMingLiU" w:hAnsi="Book Antiqua" w:cs="PMingLiU"/>
                <w:color w:val="000000" w:themeColor="text1"/>
                <w:kern w:val="0"/>
                <w:szCs w:val="24"/>
                <w:lang w:eastAsia="zh-CN"/>
              </w:rPr>
              <w:t xml:space="preserve"> </w:t>
            </w:r>
            <w:r w:rsidRPr="00F740D9">
              <w:rPr>
                <w:rFonts w:ascii="Book Antiqua" w:eastAsia="PMingLiU" w:hAnsi="Book Antiqua" w:cs="PMingLiU"/>
                <w:color w:val="000000" w:themeColor="text1"/>
                <w:kern w:val="0"/>
                <w:szCs w:val="24"/>
              </w:rPr>
              <w:t>(23%)</w:t>
            </w:r>
          </w:p>
        </w:tc>
        <w:tc>
          <w:tcPr>
            <w:tcW w:w="900" w:type="dxa"/>
            <w:shd w:val="clear" w:color="auto" w:fill="auto"/>
            <w:noWrap/>
            <w:vAlign w:val="center"/>
            <w:hideMark/>
          </w:tcPr>
          <w:p w14:paraId="32406014"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0.22</w:t>
            </w:r>
          </w:p>
        </w:tc>
      </w:tr>
    </w:tbl>
    <w:p w14:paraId="61C82A68" w14:textId="76C9167B" w:rsidR="00AF289B" w:rsidRPr="00F740D9" w:rsidRDefault="00AF289B" w:rsidP="00BE6C9D">
      <w:pPr>
        <w:snapToGrid w:val="0"/>
        <w:spacing w:line="360" w:lineRule="auto"/>
        <w:jc w:val="both"/>
        <w:rPr>
          <w:rFonts w:ascii="Book Antiqua" w:hAnsi="Book Antiqua"/>
          <w:color w:val="000000" w:themeColor="text1"/>
          <w:szCs w:val="24"/>
          <w:lang w:eastAsia="zh-CN"/>
        </w:rPr>
      </w:pPr>
      <w:r w:rsidRPr="00F740D9">
        <w:rPr>
          <w:rFonts w:ascii="Book Antiqua" w:hAnsi="Book Antiqua"/>
          <w:color w:val="000000" w:themeColor="text1"/>
          <w:szCs w:val="24"/>
          <w:lang w:eastAsia="zh-CN"/>
        </w:rPr>
        <w:t xml:space="preserve">AFP: </w:t>
      </w:r>
      <w:r w:rsidRPr="00F740D9">
        <w:rPr>
          <w:rFonts w:ascii="Book Antiqua" w:hAnsi="Book Antiqua"/>
          <w:color w:val="000000" w:themeColor="text1"/>
          <w:szCs w:val="24"/>
        </w:rPr>
        <w:t xml:space="preserve">Alpha-fetoprotein; </w:t>
      </w:r>
      <w:r w:rsidR="00771EAB" w:rsidRPr="00F740D9">
        <w:rPr>
          <w:rFonts w:ascii="Book Antiqua" w:hAnsi="Book Antiqua"/>
          <w:color w:val="000000" w:themeColor="text1"/>
          <w:szCs w:val="24"/>
        </w:rPr>
        <w:t>HBV: Hepatitis B virus; HCV: Hepatitis C virus; mTOR: Mammalian target of rapamycin.</w:t>
      </w:r>
    </w:p>
    <w:p w14:paraId="570FB84A" w14:textId="77777777" w:rsidR="00AF289B" w:rsidRPr="00F740D9" w:rsidRDefault="00AF289B" w:rsidP="00BE6C9D">
      <w:pPr>
        <w:widowControl/>
        <w:snapToGrid w:val="0"/>
        <w:spacing w:line="360" w:lineRule="auto"/>
        <w:jc w:val="both"/>
        <w:rPr>
          <w:rFonts w:ascii="Book Antiqua" w:hAnsi="Book Antiqua"/>
          <w:color w:val="000000" w:themeColor="text1"/>
          <w:szCs w:val="24"/>
        </w:rPr>
      </w:pPr>
      <w:r w:rsidRPr="00F740D9">
        <w:rPr>
          <w:rFonts w:ascii="Book Antiqua" w:hAnsi="Book Antiqua"/>
          <w:color w:val="000000" w:themeColor="text1"/>
          <w:szCs w:val="24"/>
        </w:rPr>
        <w:br w:type="page"/>
      </w:r>
    </w:p>
    <w:p w14:paraId="111DC6ED" w14:textId="77777777" w:rsidR="00AF289B" w:rsidRPr="00F740D9" w:rsidRDefault="00AF289B" w:rsidP="00BE6C9D">
      <w:pPr>
        <w:snapToGrid w:val="0"/>
        <w:spacing w:line="360" w:lineRule="auto"/>
        <w:jc w:val="both"/>
        <w:rPr>
          <w:rFonts w:ascii="Book Antiqua" w:hAnsi="Book Antiqua"/>
          <w:b/>
          <w:bCs/>
          <w:color w:val="000000" w:themeColor="text1"/>
          <w:szCs w:val="24"/>
        </w:rPr>
      </w:pPr>
      <w:r w:rsidRPr="00F740D9">
        <w:rPr>
          <w:rFonts w:ascii="Book Antiqua" w:hAnsi="Book Antiqua"/>
          <w:b/>
          <w:bCs/>
          <w:color w:val="000000" w:themeColor="text1"/>
          <w:szCs w:val="24"/>
        </w:rPr>
        <w:lastRenderedPageBreak/>
        <w:t>Table 2 Recurrence characteristics</w:t>
      </w:r>
    </w:p>
    <w:tbl>
      <w:tblPr>
        <w:tblW w:w="9302" w:type="dxa"/>
        <w:tblBorders>
          <w:top w:val="single" w:sz="4" w:space="0" w:color="auto"/>
          <w:bottom w:val="single" w:sz="4" w:space="0" w:color="auto"/>
        </w:tblBorders>
        <w:tblCellMar>
          <w:left w:w="28" w:type="dxa"/>
          <w:right w:w="28" w:type="dxa"/>
        </w:tblCellMar>
        <w:tblLook w:val="04A0" w:firstRow="1" w:lastRow="0" w:firstColumn="1" w:lastColumn="0" w:noHBand="0" w:noVBand="1"/>
      </w:tblPr>
      <w:tblGrid>
        <w:gridCol w:w="3321"/>
        <w:gridCol w:w="2660"/>
        <w:gridCol w:w="2421"/>
        <w:gridCol w:w="900"/>
      </w:tblGrid>
      <w:tr w:rsidR="00AF289B" w:rsidRPr="00F740D9" w14:paraId="327E5E85" w14:textId="77777777" w:rsidTr="00AF289B">
        <w:trPr>
          <w:trHeight w:val="315"/>
        </w:trPr>
        <w:tc>
          <w:tcPr>
            <w:tcW w:w="3321" w:type="dxa"/>
            <w:tcBorders>
              <w:top w:val="single" w:sz="4" w:space="0" w:color="auto"/>
              <w:bottom w:val="single" w:sz="4" w:space="0" w:color="auto"/>
            </w:tcBorders>
            <w:shd w:val="clear" w:color="auto" w:fill="auto"/>
            <w:noWrap/>
            <w:vAlign w:val="center"/>
            <w:hideMark/>
          </w:tcPr>
          <w:p w14:paraId="3E6535FC" w14:textId="77777777" w:rsidR="00AF289B" w:rsidRPr="00F740D9" w:rsidRDefault="00AF289B" w:rsidP="00BE6C9D">
            <w:pPr>
              <w:widowControl/>
              <w:snapToGrid w:val="0"/>
              <w:spacing w:line="360" w:lineRule="auto"/>
              <w:jc w:val="both"/>
              <w:rPr>
                <w:rFonts w:ascii="Book Antiqua" w:eastAsia="Times New Roman" w:hAnsi="Book Antiqua" w:cs="Times New Roman"/>
                <w:b/>
                <w:bCs/>
                <w:color w:val="000000" w:themeColor="text1"/>
                <w:kern w:val="0"/>
                <w:szCs w:val="24"/>
              </w:rPr>
            </w:pPr>
          </w:p>
        </w:tc>
        <w:tc>
          <w:tcPr>
            <w:tcW w:w="2660" w:type="dxa"/>
            <w:tcBorders>
              <w:top w:val="single" w:sz="4" w:space="0" w:color="auto"/>
              <w:bottom w:val="single" w:sz="4" w:space="0" w:color="auto"/>
            </w:tcBorders>
            <w:shd w:val="clear" w:color="auto" w:fill="auto"/>
            <w:noWrap/>
            <w:vAlign w:val="center"/>
            <w:hideMark/>
          </w:tcPr>
          <w:p w14:paraId="4BD4CDC0" w14:textId="77777777" w:rsidR="00AF289B" w:rsidRPr="00F740D9" w:rsidRDefault="00AF289B" w:rsidP="00BE6C9D">
            <w:pPr>
              <w:widowControl/>
              <w:snapToGrid w:val="0"/>
              <w:spacing w:line="360" w:lineRule="auto"/>
              <w:jc w:val="both"/>
              <w:rPr>
                <w:rFonts w:ascii="Book Antiqua" w:eastAsia="PMingLiU" w:hAnsi="Book Antiqua" w:cs="PMingLiU"/>
                <w:b/>
                <w:bCs/>
                <w:color w:val="000000" w:themeColor="text1"/>
                <w:kern w:val="0"/>
                <w:szCs w:val="24"/>
              </w:rPr>
            </w:pPr>
            <w:r w:rsidRPr="00F740D9">
              <w:rPr>
                <w:rFonts w:ascii="Book Antiqua" w:eastAsia="PMingLiU" w:hAnsi="Book Antiqua" w:cs="PMingLiU"/>
                <w:b/>
                <w:bCs/>
                <w:color w:val="000000" w:themeColor="text1"/>
                <w:kern w:val="0"/>
                <w:szCs w:val="24"/>
              </w:rPr>
              <w:t>mTOR (</w:t>
            </w:r>
            <w:r w:rsidRPr="00F740D9">
              <w:rPr>
                <w:rFonts w:ascii="Book Antiqua" w:eastAsia="PMingLiU" w:hAnsi="Book Antiqua" w:cs="PMingLiU"/>
                <w:b/>
                <w:bCs/>
                <w:i/>
                <w:iCs/>
                <w:color w:val="000000" w:themeColor="text1"/>
                <w:kern w:val="0"/>
                <w:szCs w:val="24"/>
              </w:rPr>
              <w:t>n</w:t>
            </w:r>
            <w:r w:rsidRPr="00F740D9">
              <w:rPr>
                <w:rFonts w:ascii="Book Antiqua" w:eastAsia="PMingLiU" w:hAnsi="Book Antiqua" w:cs="PMingLiU"/>
                <w:b/>
                <w:bCs/>
                <w:color w:val="000000" w:themeColor="text1"/>
                <w:kern w:val="0"/>
                <w:szCs w:val="24"/>
              </w:rPr>
              <w:t xml:space="preserve"> = 79)</w:t>
            </w:r>
          </w:p>
        </w:tc>
        <w:tc>
          <w:tcPr>
            <w:tcW w:w="2421" w:type="dxa"/>
            <w:tcBorders>
              <w:top w:val="single" w:sz="4" w:space="0" w:color="auto"/>
              <w:bottom w:val="single" w:sz="4" w:space="0" w:color="auto"/>
            </w:tcBorders>
            <w:shd w:val="clear" w:color="auto" w:fill="auto"/>
            <w:noWrap/>
            <w:vAlign w:val="center"/>
            <w:hideMark/>
          </w:tcPr>
          <w:p w14:paraId="3DE62A59" w14:textId="77777777" w:rsidR="00AF289B" w:rsidRPr="00F740D9" w:rsidRDefault="00AF289B" w:rsidP="00BE6C9D">
            <w:pPr>
              <w:widowControl/>
              <w:snapToGrid w:val="0"/>
              <w:spacing w:line="360" w:lineRule="auto"/>
              <w:jc w:val="both"/>
              <w:rPr>
                <w:rFonts w:ascii="Book Antiqua" w:eastAsia="PMingLiU" w:hAnsi="Book Antiqua" w:cs="PMingLiU"/>
                <w:b/>
                <w:bCs/>
                <w:color w:val="000000" w:themeColor="text1"/>
                <w:kern w:val="0"/>
                <w:szCs w:val="24"/>
              </w:rPr>
            </w:pPr>
            <w:r w:rsidRPr="00F740D9">
              <w:rPr>
                <w:rFonts w:ascii="Book Antiqua" w:eastAsia="PMingLiU" w:hAnsi="Book Antiqua" w:cs="PMingLiU"/>
                <w:b/>
                <w:bCs/>
                <w:color w:val="000000" w:themeColor="text1"/>
                <w:kern w:val="0"/>
                <w:szCs w:val="24"/>
              </w:rPr>
              <w:t>No mTOR (</w:t>
            </w:r>
            <w:r w:rsidRPr="00F740D9">
              <w:rPr>
                <w:rFonts w:ascii="Book Antiqua" w:eastAsia="PMingLiU" w:hAnsi="Book Antiqua" w:cs="PMingLiU"/>
                <w:b/>
                <w:bCs/>
                <w:i/>
                <w:iCs/>
                <w:color w:val="000000" w:themeColor="text1"/>
                <w:kern w:val="0"/>
                <w:szCs w:val="24"/>
              </w:rPr>
              <w:t>n</w:t>
            </w:r>
            <w:r w:rsidRPr="00F740D9">
              <w:rPr>
                <w:rFonts w:ascii="Book Antiqua" w:eastAsia="PMingLiU" w:hAnsi="Book Antiqua" w:cs="PMingLiU"/>
                <w:b/>
                <w:bCs/>
                <w:color w:val="000000" w:themeColor="text1"/>
                <w:kern w:val="0"/>
                <w:szCs w:val="24"/>
              </w:rPr>
              <w:t xml:space="preserve"> = 64)</w:t>
            </w:r>
          </w:p>
        </w:tc>
        <w:tc>
          <w:tcPr>
            <w:tcW w:w="900" w:type="dxa"/>
            <w:tcBorders>
              <w:top w:val="single" w:sz="4" w:space="0" w:color="auto"/>
              <w:bottom w:val="single" w:sz="4" w:space="0" w:color="auto"/>
            </w:tcBorders>
            <w:shd w:val="clear" w:color="auto" w:fill="auto"/>
            <w:noWrap/>
            <w:vAlign w:val="center"/>
            <w:hideMark/>
          </w:tcPr>
          <w:p w14:paraId="41F36BE1" w14:textId="4C2B9E0E" w:rsidR="00AF289B" w:rsidRPr="00F740D9" w:rsidRDefault="00AF289B" w:rsidP="00BE6C9D">
            <w:pPr>
              <w:widowControl/>
              <w:snapToGrid w:val="0"/>
              <w:spacing w:line="360" w:lineRule="auto"/>
              <w:jc w:val="both"/>
              <w:rPr>
                <w:rFonts w:ascii="Book Antiqua" w:eastAsia="PMingLiU" w:hAnsi="Book Antiqua" w:cs="PMingLiU"/>
                <w:b/>
                <w:bCs/>
                <w:color w:val="000000" w:themeColor="text1"/>
                <w:kern w:val="0"/>
                <w:szCs w:val="24"/>
              </w:rPr>
            </w:pPr>
            <w:r w:rsidRPr="00F740D9">
              <w:rPr>
                <w:rFonts w:ascii="Book Antiqua" w:eastAsia="PMingLiU" w:hAnsi="Book Antiqua" w:cs="PMingLiU"/>
                <w:b/>
                <w:bCs/>
                <w:i/>
                <w:iCs/>
                <w:color w:val="000000" w:themeColor="text1"/>
                <w:kern w:val="0"/>
                <w:szCs w:val="24"/>
              </w:rPr>
              <w:t>P</w:t>
            </w:r>
            <w:r w:rsidR="00AA795C">
              <w:rPr>
                <w:rFonts w:ascii="Book Antiqua" w:eastAsia="PMingLiU" w:hAnsi="Book Antiqua" w:cs="PMingLiU"/>
                <w:b/>
                <w:bCs/>
                <w:i/>
                <w:iCs/>
                <w:color w:val="000000" w:themeColor="text1"/>
                <w:kern w:val="0"/>
                <w:szCs w:val="24"/>
              </w:rPr>
              <w:t xml:space="preserve"> </w:t>
            </w:r>
            <w:r w:rsidRPr="00F740D9">
              <w:rPr>
                <w:rFonts w:ascii="Book Antiqua" w:eastAsia="PMingLiU" w:hAnsi="Book Antiqua" w:cs="PMingLiU"/>
                <w:b/>
                <w:bCs/>
                <w:color w:val="000000" w:themeColor="text1"/>
                <w:kern w:val="0"/>
                <w:szCs w:val="24"/>
              </w:rPr>
              <w:t>value</w:t>
            </w:r>
          </w:p>
        </w:tc>
      </w:tr>
      <w:tr w:rsidR="00AF289B" w:rsidRPr="00F740D9" w14:paraId="6769E191" w14:textId="77777777" w:rsidTr="00AF289B">
        <w:trPr>
          <w:trHeight w:val="315"/>
        </w:trPr>
        <w:tc>
          <w:tcPr>
            <w:tcW w:w="3321" w:type="dxa"/>
            <w:tcBorders>
              <w:top w:val="single" w:sz="4" w:space="0" w:color="auto"/>
            </w:tcBorders>
            <w:shd w:val="clear" w:color="auto" w:fill="auto"/>
            <w:noWrap/>
            <w:vAlign w:val="center"/>
            <w:hideMark/>
          </w:tcPr>
          <w:p w14:paraId="34FCEE9B"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Date of recurrence</w:t>
            </w:r>
          </w:p>
        </w:tc>
        <w:tc>
          <w:tcPr>
            <w:tcW w:w="2660" w:type="dxa"/>
            <w:tcBorders>
              <w:top w:val="single" w:sz="4" w:space="0" w:color="auto"/>
            </w:tcBorders>
            <w:shd w:val="clear" w:color="auto" w:fill="auto"/>
            <w:noWrap/>
            <w:vAlign w:val="center"/>
            <w:hideMark/>
          </w:tcPr>
          <w:p w14:paraId="665A856D"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7/2013</w:t>
            </w:r>
          </w:p>
        </w:tc>
        <w:tc>
          <w:tcPr>
            <w:tcW w:w="2421" w:type="dxa"/>
            <w:tcBorders>
              <w:top w:val="single" w:sz="4" w:space="0" w:color="auto"/>
            </w:tcBorders>
            <w:shd w:val="clear" w:color="auto" w:fill="auto"/>
            <w:noWrap/>
            <w:vAlign w:val="center"/>
            <w:hideMark/>
          </w:tcPr>
          <w:p w14:paraId="39BD8DA0"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3/2008</w:t>
            </w:r>
          </w:p>
        </w:tc>
        <w:tc>
          <w:tcPr>
            <w:tcW w:w="900" w:type="dxa"/>
            <w:tcBorders>
              <w:top w:val="single" w:sz="4" w:space="0" w:color="auto"/>
            </w:tcBorders>
            <w:shd w:val="clear" w:color="auto" w:fill="auto"/>
            <w:noWrap/>
            <w:vAlign w:val="center"/>
            <w:hideMark/>
          </w:tcPr>
          <w:p w14:paraId="37EF0399"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&lt; 0.001</w:t>
            </w:r>
          </w:p>
        </w:tc>
      </w:tr>
      <w:tr w:rsidR="00AF289B" w:rsidRPr="00F740D9" w14:paraId="53E52922" w14:textId="77777777" w:rsidTr="00AF289B">
        <w:trPr>
          <w:trHeight w:val="315"/>
        </w:trPr>
        <w:tc>
          <w:tcPr>
            <w:tcW w:w="3321" w:type="dxa"/>
            <w:shd w:val="clear" w:color="auto" w:fill="auto"/>
            <w:noWrap/>
            <w:vAlign w:val="center"/>
            <w:hideMark/>
          </w:tcPr>
          <w:p w14:paraId="63FF6179" w14:textId="17B58513"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Age at recurrence</w:t>
            </w:r>
            <w:r w:rsidR="00BE271A">
              <w:rPr>
                <w:rFonts w:ascii="Book Antiqua" w:eastAsia="PMingLiU" w:hAnsi="Book Antiqua" w:cs="PMingLiU"/>
                <w:color w:val="000000" w:themeColor="text1"/>
                <w:kern w:val="0"/>
                <w:szCs w:val="24"/>
              </w:rPr>
              <w:t xml:space="preserve"> (years)</w:t>
            </w:r>
          </w:p>
        </w:tc>
        <w:tc>
          <w:tcPr>
            <w:tcW w:w="2660" w:type="dxa"/>
            <w:shd w:val="clear" w:color="auto" w:fill="auto"/>
            <w:noWrap/>
            <w:vAlign w:val="center"/>
            <w:hideMark/>
          </w:tcPr>
          <w:p w14:paraId="574B4B14"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58</w:t>
            </w:r>
            <w:r w:rsidRPr="00F740D9">
              <w:rPr>
                <w:rFonts w:ascii="Book Antiqua" w:eastAsia="PMingLiU" w:hAnsi="Book Antiqua" w:cs="PMingLiU"/>
                <w:color w:val="000000" w:themeColor="text1"/>
                <w:kern w:val="0"/>
                <w:szCs w:val="24"/>
                <w:lang w:eastAsia="zh-CN"/>
              </w:rPr>
              <w:t xml:space="preserve"> </w:t>
            </w:r>
            <w:r w:rsidRPr="00F740D9">
              <w:rPr>
                <w:rFonts w:ascii="Book Antiqua" w:eastAsia="PMingLiU" w:hAnsi="Book Antiqua" w:cs="PMingLiU"/>
                <w:color w:val="000000" w:themeColor="text1"/>
                <w:kern w:val="0"/>
                <w:szCs w:val="24"/>
              </w:rPr>
              <w:t>(52-64)</w:t>
            </w:r>
          </w:p>
        </w:tc>
        <w:tc>
          <w:tcPr>
            <w:tcW w:w="2421" w:type="dxa"/>
            <w:shd w:val="clear" w:color="auto" w:fill="auto"/>
            <w:noWrap/>
            <w:vAlign w:val="center"/>
            <w:hideMark/>
          </w:tcPr>
          <w:p w14:paraId="7E8C1C39"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55</w:t>
            </w:r>
            <w:r w:rsidRPr="00F740D9">
              <w:rPr>
                <w:rFonts w:ascii="Book Antiqua" w:eastAsia="PMingLiU" w:hAnsi="Book Antiqua" w:cs="PMingLiU"/>
                <w:color w:val="000000" w:themeColor="text1"/>
                <w:kern w:val="0"/>
                <w:szCs w:val="24"/>
                <w:lang w:eastAsia="zh-CN"/>
              </w:rPr>
              <w:t xml:space="preserve"> </w:t>
            </w:r>
            <w:r w:rsidRPr="00F740D9">
              <w:rPr>
                <w:rFonts w:ascii="Book Antiqua" w:eastAsia="PMingLiU" w:hAnsi="Book Antiqua" w:cs="PMingLiU"/>
                <w:color w:val="000000" w:themeColor="text1"/>
                <w:kern w:val="0"/>
                <w:szCs w:val="24"/>
              </w:rPr>
              <w:t>(46-61)</w:t>
            </w:r>
          </w:p>
        </w:tc>
        <w:tc>
          <w:tcPr>
            <w:tcW w:w="900" w:type="dxa"/>
            <w:shd w:val="clear" w:color="auto" w:fill="auto"/>
            <w:noWrap/>
            <w:vAlign w:val="center"/>
            <w:hideMark/>
          </w:tcPr>
          <w:p w14:paraId="6023AE5E"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0.06</w:t>
            </w:r>
          </w:p>
        </w:tc>
      </w:tr>
      <w:tr w:rsidR="00AF289B" w:rsidRPr="00F740D9" w14:paraId="4022E64C" w14:textId="77777777" w:rsidTr="00AF289B">
        <w:trPr>
          <w:trHeight w:val="315"/>
        </w:trPr>
        <w:tc>
          <w:tcPr>
            <w:tcW w:w="3321" w:type="dxa"/>
            <w:shd w:val="clear" w:color="auto" w:fill="auto"/>
            <w:noWrap/>
            <w:vAlign w:val="center"/>
            <w:hideMark/>
          </w:tcPr>
          <w:p w14:paraId="1967E727"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Time from transplant (mo)</w:t>
            </w:r>
          </w:p>
        </w:tc>
        <w:tc>
          <w:tcPr>
            <w:tcW w:w="2660" w:type="dxa"/>
            <w:shd w:val="clear" w:color="auto" w:fill="auto"/>
            <w:noWrap/>
            <w:vAlign w:val="center"/>
            <w:hideMark/>
          </w:tcPr>
          <w:p w14:paraId="421B88ED"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12</w:t>
            </w:r>
            <w:r w:rsidRPr="00F740D9">
              <w:rPr>
                <w:rFonts w:ascii="Book Antiqua" w:eastAsia="PMingLiU" w:hAnsi="Book Antiqua" w:cs="PMingLiU"/>
                <w:color w:val="000000" w:themeColor="text1"/>
                <w:kern w:val="0"/>
                <w:szCs w:val="24"/>
                <w:lang w:eastAsia="zh-CN"/>
              </w:rPr>
              <w:t xml:space="preserve"> </w:t>
            </w:r>
            <w:r w:rsidRPr="00F740D9">
              <w:rPr>
                <w:rFonts w:ascii="Book Antiqua" w:eastAsia="PMingLiU" w:hAnsi="Book Antiqua" w:cs="PMingLiU"/>
                <w:color w:val="000000" w:themeColor="text1"/>
                <w:kern w:val="0"/>
                <w:szCs w:val="24"/>
              </w:rPr>
              <w:t>(6-24)</w:t>
            </w:r>
          </w:p>
        </w:tc>
        <w:tc>
          <w:tcPr>
            <w:tcW w:w="2421" w:type="dxa"/>
            <w:shd w:val="clear" w:color="auto" w:fill="auto"/>
            <w:noWrap/>
            <w:vAlign w:val="center"/>
            <w:hideMark/>
          </w:tcPr>
          <w:p w14:paraId="3560CA0F"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12</w:t>
            </w:r>
            <w:r w:rsidRPr="00F740D9">
              <w:rPr>
                <w:rFonts w:ascii="Book Antiqua" w:eastAsia="PMingLiU" w:hAnsi="Book Antiqua" w:cs="PMingLiU"/>
                <w:color w:val="000000" w:themeColor="text1"/>
                <w:kern w:val="0"/>
                <w:szCs w:val="24"/>
                <w:lang w:eastAsia="zh-CN"/>
              </w:rPr>
              <w:t xml:space="preserve"> </w:t>
            </w:r>
            <w:r w:rsidRPr="00F740D9">
              <w:rPr>
                <w:rFonts w:ascii="Book Antiqua" w:eastAsia="PMingLiU" w:hAnsi="Book Antiqua" w:cs="PMingLiU"/>
                <w:color w:val="000000" w:themeColor="text1"/>
                <w:kern w:val="0"/>
                <w:szCs w:val="24"/>
              </w:rPr>
              <w:t>(5-25)</w:t>
            </w:r>
          </w:p>
        </w:tc>
        <w:tc>
          <w:tcPr>
            <w:tcW w:w="900" w:type="dxa"/>
            <w:shd w:val="clear" w:color="auto" w:fill="auto"/>
            <w:noWrap/>
            <w:vAlign w:val="center"/>
            <w:hideMark/>
          </w:tcPr>
          <w:p w14:paraId="5D3472BF"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0.73</w:t>
            </w:r>
          </w:p>
        </w:tc>
      </w:tr>
      <w:tr w:rsidR="00AF289B" w:rsidRPr="00F740D9" w14:paraId="2053A0DE" w14:textId="77777777" w:rsidTr="00AF289B">
        <w:trPr>
          <w:trHeight w:val="315"/>
        </w:trPr>
        <w:tc>
          <w:tcPr>
            <w:tcW w:w="3321" w:type="dxa"/>
            <w:shd w:val="clear" w:color="auto" w:fill="auto"/>
            <w:noWrap/>
            <w:vAlign w:val="center"/>
            <w:hideMark/>
          </w:tcPr>
          <w:p w14:paraId="15E9D471"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Number of tumours</w:t>
            </w:r>
          </w:p>
        </w:tc>
        <w:tc>
          <w:tcPr>
            <w:tcW w:w="2660" w:type="dxa"/>
            <w:shd w:val="clear" w:color="auto" w:fill="auto"/>
            <w:noWrap/>
            <w:vAlign w:val="center"/>
            <w:hideMark/>
          </w:tcPr>
          <w:p w14:paraId="4687BCEE"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2</w:t>
            </w:r>
            <w:r w:rsidRPr="00F740D9">
              <w:rPr>
                <w:rFonts w:ascii="Book Antiqua" w:eastAsia="PMingLiU" w:hAnsi="Book Antiqua" w:cs="PMingLiU"/>
                <w:color w:val="000000" w:themeColor="text1"/>
                <w:kern w:val="0"/>
                <w:szCs w:val="24"/>
                <w:lang w:eastAsia="zh-CN"/>
              </w:rPr>
              <w:t xml:space="preserve"> </w:t>
            </w:r>
            <w:r w:rsidRPr="00F740D9">
              <w:rPr>
                <w:rFonts w:ascii="Book Antiqua" w:eastAsia="PMingLiU" w:hAnsi="Book Antiqua" w:cs="PMingLiU"/>
                <w:color w:val="000000" w:themeColor="text1"/>
                <w:kern w:val="0"/>
                <w:szCs w:val="24"/>
              </w:rPr>
              <w:t>(1-5)</w:t>
            </w:r>
          </w:p>
        </w:tc>
        <w:tc>
          <w:tcPr>
            <w:tcW w:w="2421" w:type="dxa"/>
            <w:shd w:val="clear" w:color="auto" w:fill="auto"/>
            <w:noWrap/>
            <w:vAlign w:val="center"/>
            <w:hideMark/>
          </w:tcPr>
          <w:p w14:paraId="6067D40B"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5</w:t>
            </w:r>
            <w:r w:rsidRPr="00F740D9">
              <w:rPr>
                <w:rFonts w:ascii="Book Antiqua" w:eastAsia="PMingLiU" w:hAnsi="Book Antiqua" w:cs="PMingLiU"/>
                <w:color w:val="000000" w:themeColor="text1"/>
                <w:kern w:val="0"/>
                <w:szCs w:val="24"/>
                <w:lang w:eastAsia="zh-CN"/>
              </w:rPr>
              <w:t xml:space="preserve"> </w:t>
            </w:r>
            <w:r w:rsidRPr="00F740D9">
              <w:rPr>
                <w:rFonts w:ascii="Book Antiqua" w:eastAsia="PMingLiU" w:hAnsi="Book Antiqua" w:cs="PMingLiU"/>
                <w:color w:val="000000" w:themeColor="text1"/>
                <w:kern w:val="0"/>
                <w:szCs w:val="24"/>
              </w:rPr>
              <w:t>(1-9)</w:t>
            </w:r>
          </w:p>
        </w:tc>
        <w:tc>
          <w:tcPr>
            <w:tcW w:w="900" w:type="dxa"/>
            <w:shd w:val="clear" w:color="auto" w:fill="auto"/>
            <w:noWrap/>
            <w:vAlign w:val="center"/>
            <w:hideMark/>
          </w:tcPr>
          <w:p w14:paraId="0A3EA52F"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0.02</w:t>
            </w:r>
          </w:p>
        </w:tc>
      </w:tr>
      <w:tr w:rsidR="00AF289B" w:rsidRPr="00F740D9" w14:paraId="704BCCE0" w14:textId="77777777" w:rsidTr="00AF289B">
        <w:trPr>
          <w:trHeight w:val="315"/>
        </w:trPr>
        <w:tc>
          <w:tcPr>
            <w:tcW w:w="3321" w:type="dxa"/>
            <w:shd w:val="clear" w:color="auto" w:fill="auto"/>
            <w:noWrap/>
            <w:vAlign w:val="center"/>
            <w:hideMark/>
          </w:tcPr>
          <w:p w14:paraId="434F1F3E"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Size of largest tumour (cm)</w:t>
            </w:r>
          </w:p>
        </w:tc>
        <w:tc>
          <w:tcPr>
            <w:tcW w:w="2660" w:type="dxa"/>
            <w:shd w:val="clear" w:color="auto" w:fill="auto"/>
            <w:noWrap/>
            <w:vAlign w:val="center"/>
            <w:hideMark/>
          </w:tcPr>
          <w:p w14:paraId="4D6E6903"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2.0</w:t>
            </w:r>
            <w:r w:rsidRPr="00F740D9">
              <w:rPr>
                <w:rFonts w:ascii="Book Antiqua" w:eastAsia="PMingLiU" w:hAnsi="Book Antiqua" w:cs="PMingLiU"/>
                <w:color w:val="000000" w:themeColor="text1"/>
                <w:kern w:val="0"/>
                <w:szCs w:val="24"/>
                <w:lang w:eastAsia="zh-CN"/>
              </w:rPr>
              <w:t xml:space="preserve"> </w:t>
            </w:r>
            <w:r w:rsidRPr="00F740D9">
              <w:rPr>
                <w:rFonts w:ascii="Book Antiqua" w:eastAsia="PMingLiU" w:hAnsi="Book Antiqua" w:cs="PMingLiU"/>
                <w:color w:val="000000" w:themeColor="text1"/>
                <w:kern w:val="0"/>
                <w:szCs w:val="24"/>
              </w:rPr>
              <w:t>(1.1-3.2)</w:t>
            </w:r>
          </w:p>
        </w:tc>
        <w:tc>
          <w:tcPr>
            <w:tcW w:w="2421" w:type="dxa"/>
            <w:shd w:val="clear" w:color="auto" w:fill="auto"/>
            <w:noWrap/>
            <w:vAlign w:val="center"/>
            <w:hideMark/>
          </w:tcPr>
          <w:p w14:paraId="1FBF699D"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2.1</w:t>
            </w:r>
            <w:r w:rsidRPr="00F740D9">
              <w:rPr>
                <w:rFonts w:ascii="Book Antiqua" w:eastAsia="PMingLiU" w:hAnsi="Book Antiqua" w:cs="PMingLiU"/>
                <w:color w:val="000000" w:themeColor="text1"/>
                <w:kern w:val="0"/>
                <w:szCs w:val="24"/>
                <w:lang w:eastAsia="zh-CN"/>
              </w:rPr>
              <w:t xml:space="preserve"> </w:t>
            </w:r>
            <w:r w:rsidRPr="00F740D9">
              <w:rPr>
                <w:rFonts w:ascii="Book Antiqua" w:eastAsia="PMingLiU" w:hAnsi="Book Antiqua" w:cs="PMingLiU"/>
                <w:color w:val="000000" w:themeColor="text1"/>
                <w:kern w:val="0"/>
                <w:szCs w:val="24"/>
              </w:rPr>
              <w:t>(1.1-3.9)</w:t>
            </w:r>
          </w:p>
        </w:tc>
        <w:tc>
          <w:tcPr>
            <w:tcW w:w="900" w:type="dxa"/>
            <w:shd w:val="clear" w:color="auto" w:fill="auto"/>
            <w:noWrap/>
            <w:vAlign w:val="center"/>
            <w:hideMark/>
          </w:tcPr>
          <w:p w14:paraId="0D43777E"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0.74</w:t>
            </w:r>
          </w:p>
        </w:tc>
      </w:tr>
      <w:tr w:rsidR="00AF289B" w:rsidRPr="00F740D9" w14:paraId="154D4DAC" w14:textId="77777777" w:rsidTr="00AF289B">
        <w:trPr>
          <w:trHeight w:val="315"/>
        </w:trPr>
        <w:tc>
          <w:tcPr>
            <w:tcW w:w="3321" w:type="dxa"/>
            <w:shd w:val="clear" w:color="auto" w:fill="auto"/>
            <w:noWrap/>
            <w:vAlign w:val="center"/>
            <w:hideMark/>
          </w:tcPr>
          <w:p w14:paraId="26FF9EBE"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Number of organs involved</w:t>
            </w:r>
          </w:p>
        </w:tc>
        <w:tc>
          <w:tcPr>
            <w:tcW w:w="2660" w:type="dxa"/>
            <w:shd w:val="clear" w:color="auto" w:fill="auto"/>
            <w:noWrap/>
            <w:vAlign w:val="center"/>
            <w:hideMark/>
          </w:tcPr>
          <w:p w14:paraId="3779B21F"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1</w:t>
            </w:r>
            <w:r w:rsidRPr="00F740D9">
              <w:rPr>
                <w:rFonts w:ascii="Book Antiqua" w:eastAsia="PMingLiU" w:hAnsi="Book Antiqua" w:cs="PMingLiU"/>
                <w:color w:val="000000" w:themeColor="text1"/>
                <w:kern w:val="0"/>
                <w:szCs w:val="24"/>
                <w:lang w:eastAsia="zh-CN"/>
              </w:rPr>
              <w:t xml:space="preserve"> </w:t>
            </w:r>
            <w:r w:rsidRPr="00F740D9">
              <w:rPr>
                <w:rFonts w:ascii="Book Antiqua" w:eastAsia="PMingLiU" w:hAnsi="Book Antiqua" w:cs="PMingLiU"/>
                <w:color w:val="000000" w:themeColor="text1"/>
                <w:kern w:val="0"/>
                <w:szCs w:val="24"/>
              </w:rPr>
              <w:t>(1-1)</w:t>
            </w:r>
          </w:p>
        </w:tc>
        <w:tc>
          <w:tcPr>
            <w:tcW w:w="2421" w:type="dxa"/>
            <w:shd w:val="clear" w:color="auto" w:fill="auto"/>
            <w:noWrap/>
            <w:vAlign w:val="center"/>
            <w:hideMark/>
          </w:tcPr>
          <w:p w14:paraId="52B31398"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1</w:t>
            </w:r>
            <w:r w:rsidRPr="00F740D9">
              <w:rPr>
                <w:rFonts w:ascii="Book Antiqua" w:eastAsia="PMingLiU" w:hAnsi="Book Antiqua" w:cs="PMingLiU"/>
                <w:color w:val="000000" w:themeColor="text1"/>
                <w:kern w:val="0"/>
                <w:szCs w:val="24"/>
                <w:lang w:eastAsia="zh-CN"/>
              </w:rPr>
              <w:t xml:space="preserve"> </w:t>
            </w:r>
            <w:r w:rsidRPr="00F740D9">
              <w:rPr>
                <w:rFonts w:ascii="Book Antiqua" w:eastAsia="PMingLiU" w:hAnsi="Book Antiqua" w:cs="PMingLiU"/>
                <w:color w:val="000000" w:themeColor="text1"/>
                <w:kern w:val="0"/>
                <w:szCs w:val="24"/>
              </w:rPr>
              <w:t>(1-2)</w:t>
            </w:r>
          </w:p>
        </w:tc>
        <w:tc>
          <w:tcPr>
            <w:tcW w:w="900" w:type="dxa"/>
            <w:shd w:val="clear" w:color="auto" w:fill="auto"/>
            <w:noWrap/>
            <w:vAlign w:val="center"/>
            <w:hideMark/>
          </w:tcPr>
          <w:p w14:paraId="3B03A13C"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0.50</w:t>
            </w:r>
          </w:p>
        </w:tc>
      </w:tr>
      <w:tr w:rsidR="00AF289B" w:rsidRPr="00F740D9" w14:paraId="6C10E005" w14:textId="77777777" w:rsidTr="00AF289B">
        <w:trPr>
          <w:trHeight w:val="315"/>
        </w:trPr>
        <w:tc>
          <w:tcPr>
            <w:tcW w:w="9302" w:type="dxa"/>
            <w:gridSpan w:val="4"/>
            <w:shd w:val="clear" w:color="auto" w:fill="auto"/>
            <w:noWrap/>
            <w:vAlign w:val="center"/>
            <w:hideMark/>
          </w:tcPr>
          <w:p w14:paraId="51A96EEA" w14:textId="77777777" w:rsidR="00AF289B" w:rsidRPr="00F740D9" w:rsidRDefault="00AF289B" w:rsidP="00BE6C9D">
            <w:pPr>
              <w:widowControl/>
              <w:snapToGrid w:val="0"/>
              <w:spacing w:line="360" w:lineRule="auto"/>
              <w:jc w:val="both"/>
              <w:rPr>
                <w:rFonts w:ascii="Book Antiqua" w:eastAsia="Times New Roman" w:hAnsi="Book Antiqua" w:cs="Times New Roman"/>
                <w:color w:val="000000" w:themeColor="text1"/>
                <w:kern w:val="0"/>
                <w:szCs w:val="24"/>
              </w:rPr>
            </w:pPr>
            <w:r w:rsidRPr="00F740D9">
              <w:rPr>
                <w:rFonts w:ascii="Book Antiqua" w:eastAsia="PMingLiU" w:hAnsi="Book Antiqua" w:cs="PMingLiU"/>
                <w:color w:val="000000" w:themeColor="text1"/>
                <w:kern w:val="0"/>
                <w:szCs w:val="24"/>
              </w:rPr>
              <w:t>Site of recurrence</w:t>
            </w:r>
          </w:p>
        </w:tc>
      </w:tr>
      <w:tr w:rsidR="00AF289B" w:rsidRPr="00F740D9" w14:paraId="2180EA35" w14:textId="77777777" w:rsidTr="00AF289B">
        <w:trPr>
          <w:trHeight w:val="315"/>
        </w:trPr>
        <w:tc>
          <w:tcPr>
            <w:tcW w:w="3321" w:type="dxa"/>
            <w:shd w:val="clear" w:color="auto" w:fill="auto"/>
            <w:noWrap/>
            <w:vAlign w:val="center"/>
            <w:hideMark/>
          </w:tcPr>
          <w:p w14:paraId="5E6F17ED" w14:textId="77777777" w:rsidR="00AF289B" w:rsidRPr="00F740D9" w:rsidRDefault="00AF289B" w:rsidP="00BE6C9D">
            <w:pPr>
              <w:widowControl/>
              <w:snapToGrid w:val="0"/>
              <w:spacing w:line="360" w:lineRule="auto"/>
              <w:ind w:firstLineChars="100" w:firstLine="240"/>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Liver</w:t>
            </w:r>
          </w:p>
        </w:tc>
        <w:tc>
          <w:tcPr>
            <w:tcW w:w="2660" w:type="dxa"/>
            <w:shd w:val="clear" w:color="auto" w:fill="auto"/>
            <w:noWrap/>
            <w:vAlign w:val="center"/>
            <w:hideMark/>
          </w:tcPr>
          <w:p w14:paraId="66F5BF87"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34</w:t>
            </w:r>
            <w:r w:rsidRPr="00F740D9">
              <w:rPr>
                <w:rFonts w:ascii="Book Antiqua" w:eastAsia="PMingLiU" w:hAnsi="Book Antiqua" w:cs="PMingLiU"/>
                <w:color w:val="000000" w:themeColor="text1"/>
                <w:kern w:val="0"/>
                <w:szCs w:val="24"/>
                <w:lang w:eastAsia="zh-CN"/>
              </w:rPr>
              <w:t xml:space="preserve"> </w:t>
            </w:r>
            <w:r w:rsidRPr="00F740D9">
              <w:rPr>
                <w:rFonts w:ascii="Book Antiqua" w:eastAsia="PMingLiU" w:hAnsi="Book Antiqua" w:cs="PMingLiU"/>
                <w:color w:val="000000" w:themeColor="text1"/>
                <w:kern w:val="0"/>
                <w:szCs w:val="24"/>
              </w:rPr>
              <w:t>(43%)</w:t>
            </w:r>
          </w:p>
        </w:tc>
        <w:tc>
          <w:tcPr>
            <w:tcW w:w="2421" w:type="dxa"/>
            <w:shd w:val="clear" w:color="auto" w:fill="auto"/>
            <w:noWrap/>
            <w:vAlign w:val="center"/>
            <w:hideMark/>
          </w:tcPr>
          <w:p w14:paraId="7CC1957A"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28</w:t>
            </w:r>
            <w:r w:rsidRPr="00F740D9">
              <w:rPr>
                <w:rFonts w:ascii="Book Antiqua" w:eastAsia="PMingLiU" w:hAnsi="Book Antiqua" w:cs="PMingLiU"/>
                <w:color w:val="000000" w:themeColor="text1"/>
                <w:kern w:val="0"/>
                <w:szCs w:val="24"/>
                <w:lang w:eastAsia="zh-CN"/>
              </w:rPr>
              <w:t xml:space="preserve"> </w:t>
            </w:r>
            <w:r w:rsidRPr="00F740D9">
              <w:rPr>
                <w:rFonts w:ascii="Book Antiqua" w:eastAsia="PMingLiU" w:hAnsi="Book Antiqua" w:cs="PMingLiU"/>
                <w:color w:val="000000" w:themeColor="text1"/>
                <w:kern w:val="0"/>
                <w:szCs w:val="24"/>
              </w:rPr>
              <w:t>(44%)</w:t>
            </w:r>
          </w:p>
        </w:tc>
        <w:tc>
          <w:tcPr>
            <w:tcW w:w="900" w:type="dxa"/>
            <w:shd w:val="clear" w:color="auto" w:fill="auto"/>
            <w:noWrap/>
            <w:vAlign w:val="center"/>
            <w:hideMark/>
          </w:tcPr>
          <w:p w14:paraId="299057B1"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0.93</w:t>
            </w:r>
          </w:p>
        </w:tc>
      </w:tr>
      <w:tr w:rsidR="00AF289B" w:rsidRPr="00F740D9" w14:paraId="0663D47B" w14:textId="77777777" w:rsidTr="00AF289B">
        <w:trPr>
          <w:trHeight w:val="315"/>
        </w:trPr>
        <w:tc>
          <w:tcPr>
            <w:tcW w:w="3321" w:type="dxa"/>
            <w:shd w:val="clear" w:color="auto" w:fill="auto"/>
            <w:noWrap/>
            <w:vAlign w:val="center"/>
            <w:hideMark/>
          </w:tcPr>
          <w:p w14:paraId="69A5C2FA" w14:textId="77777777" w:rsidR="00AF289B" w:rsidRPr="00F740D9" w:rsidRDefault="00AF289B" w:rsidP="00BE6C9D">
            <w:pPr>
              <w:widowControl/>
              <w:snapToGrid w:val="0"/>
              <w:spacing w:line="360" w:lineRule="auto"/>
              <w:ind w:firstLineChars="100" w:firstLine="240"/>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Lung</w:t>
            </w:r>
          </w:p>
        </w:tc>
        <w:tc>
          <w:tcPr>
            <w:tcW w:w="2660" w:type="dxa"/>
            <w:shd w:val="clear" w:color="auto" w:fill="auto"/>
            <w:noWrap/>
            <w:vAlign w:val="center"/>
            <w:hideMark/>
          </w:tcPr>
          <w:p w14:paraId="1735D4DA"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36</w:t>
            </w:r>
            <w:r w:rsidRPr="00F740D9">
              <w:rPr>
                <w:rFonts w:ascii="Book Antiqua" w:eastAsia="PMingLiU" w:hAnsi="Book Antiqua" w:cs="PMingLiU"/>
                <w:color w:val="000000" w:themeColor="text1"/>
                <w:kern w:val="0"/>
                <w:szCs w:val="24"/>
                <w:lang w:eastAsia="zh-CN"/>
              </w:rPr>
              <w:t xml:space="preserve"> </w:t>
            </w:r>
            <w:r w:rsidRPr="00F740D9">
              <w:rPr>
                <w:rFonts w:ascii="Book Antiqua" w:eastAsia="PMingLiU" w:hAnsi="Book Antiqua" w:cs="PMingLiU"/>
                <w:color w:val="000000" w:themeColor="text1"/>
                <w:kern w:val="0"/>
                <w:szCs w:val="24"/>
              </w:rPr>
              <w:t>(46%)</w:t>
            </w:r>
          </w:p>
        </w:tc>
        <w:tc>
          <w:tcPr>
            <w:tcW w:w="2421" w:type="dxa"/>
            <w:shd w:val="clear" w:color="auto" w:fill="auto"/>
            <w:noWrap/>
            <w:vAlign w:val="center"/>
            <w:hideMark/>
          </w:tcPr>
          <w:p w14:paraId="0733757B"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35</w:t>
            </w:r>
            <w:r w:rsidRPr="00F740D9">
              <w:rPr>
                <w:rFonts w:ascii="Book Antiqua" w:eastAsia="PMingLiU" w:hAnsi="Book Antiqua" w:cs="PMingLiU"/>
                <w:color w:val="000000" w:themeColor="text1"/>
                <w:kern w:val="0"/>
                <w:szCs w:val="24"/>
                <w:lang w:eastAsia="zh-CN"/>
              </w:rPr>
              <w:t xml:space="preserve"> </w:t>
            </w:r>
            <w:r w:rsidRPr="00F740D9">
              <w:rPr>
                <w:rFonts w:ascii="Book Antiqua" w:eastAsia="PMingLiU" w:hAnsi="Book Antiqua" w:cs="PMingLiU"/>
                <w:color w:val="000000" w:themeColor="text1"/>
                <w:kern w:val="0"/>
                <w:szCs w:val="24"/>
              </w:rPr>
              <w:t>(55%)</w:t>
            </w:r>
          </w:p>
        </w:tc>
        <w:tc>
          <w:tcPr>
            <w:tcW w:w="900" w:type="dxa"/>
            <w:shd w:val="clear" w:color="auto" w:fill="auto"/>
            <w:noWrap/>
            <w:vAlign w:val="center"/>
            <w:hideMark/>
          </w:tcPr>
          <w:p w14:paraId="5C2EB1B2"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0.33</w:t>
            </w:r>
          </w:p>
        </w:tc>
      </w:tr>
      <w:tr w:rsidR="00AF289B" w:rsidRPr="00F740D9" w14:paraId="46FBC529" w14:textId="77777777" w:rsidTr="00AF289B">
        <w:trPr>
          <w:trHeight w:val="315"/>
        </w:trPr>
        <w:tc>
          <w:tcPr>
            <w:tcW w:w="3321" w:type="dxa"/>
            <w:shd w:val="clear" w:color="auto" w:fill="auto"/>
            <w:noWrap/>
            <w:vAlign w:val="center"/>
            <w:hideMark/>
          </w:tcPr>
          <w:p w14:paraId="3EDB2BDB" w14:textId="77777777" w:rsidR="00AF289B" w:rsidRPr="00F740D9" w:rsidRDefault="00AF289B" w:rsidP="00BE6C9D">
            <w:pPr>
              <w:widowControl/>
              <w:snapToGrid w:val="0"/>
              <w:spacing w:line="360" w:lineRule="auto"/>
              <w:ind w:firstLineChars="100" w:firstLine="240"/>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Bone</w:t>
            </w:r>
          </w:p>
        </w:tc>
        <w:tc>
          <w:tcPr>
            <w:tcW w:w="2660" w:type="dxa"/>
            <w:shd w:val="clear" w:color="auto" w:fill="auto"/>
            <w:noWrap/>
            <w:vAlign w:val="center"/>
            <w:hideMark/>
          </w:tcPr>
          <w:p w14:paraId="792E3ABC"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17</w:t>
            </w:r>
            <w:r w:rsidRPr="00F740D9">
              <w:rPr>
                <w:rFonts w:ascii="Book Antiqua" w:eastAsia="PMingLiU" w:hAnsi="Book Antiqua" w:cs="PMingLiU"/>
                <w:color w:val="000000" w:themeColor="text1"/>
                <w:kern w:val="0"/>
                <w:szCs w:val="24"/>
                <w:lang w:eastAsia="zh-CN"/>
              </w:rPr>
              <w:t xml:space="preserve"> </w:t>
            </w:r>
            <w:r w:rsidRPr="00F740D9">
              <w:rPr>
                <w:rFonts w:ascii="Book Antiqua" w:eastAsia="PMingLiU" w:hAnsi="Book Antiqua" w:cs="PMingLiU"/>
                <w:color w:val="000000" w:themeColor="text1"/>
                <w:kern w:val="0"/>
                <w:szCs w:val="24"/>
              </w:rPr>
              <w:t>(22%)</w:t>
            </w:r>
          </w:p>
        </w:tc>
        <w:tc>
          <w:tcPr>
            <w:tcW w:w="2421" w:type="dxa"/>
            <w:shd w:val="clear" w:color="auto" w:fill="auto"/>
            <w:noWrap/>
            <w:vAlign w:val="center"/>
            <w:hideMark/>
          </w:tcPr>
          <w:p w14:paraId="7D9037C1"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6</w:t>
            </w:r>
            <w:r w:rsidRPr="00F740D9">
              <w:rPr>
                <w:rFonts w:ascii="Book Antiqua" w:eastAsia="PMingLiU" w:hAnsi="Book Antiqua" w:cs="PMingLiU"/>
                <w:color w:val="000000" w:themeColor="text1"/>
                <w:kern w:val="0"/>
                <w:szCs w:val="24"/>
                <w:lang w:eastAsia="zh-CN"/>
              </w:rPr>
              <w:t xml:space="preserve"> </w:t>
            </w:r>
            <w:r w:rsidRPr="00F740D9">
              <w:rPr>
                <w:rFonts w:ascii="Book Antiqua" w:eastAsia="PMingLiU" w:hAnsi="Book Antiqua" w:cs="PMingLiU"/>
                <w:color w:val="000000" w:themeColor="text1"/>
                <w:kern w:val="0"/>
                <w:szCs w:val="24"/>
              </w:rPr>
              <w:t>(9%)</w:t>
            </w:r>
          </w:p>
        </w:tc>
        <w:tc>
          <w:tcPr>
            <w:tcW w:w="900" w:type="dxa"/>
            <w:shd w:val="clear" w:color="auto" w:fill="auto"/>
            <w:noWrap/>
            <w:vAlign w:val="center"/>
            <w:hideMark/>
          </w:tcPr>
          <w:p w14:paraId="20B7D1E3"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0.049</w:t>
            </w:r>
          </w:p>
        </w:tc>
      </w:tr>
      <w:tr w:rsidR="00AF289B" w:rsidRPr="00F740D9" w14:paraId="4A0705E3" w14:textId="77777777" w:rsidTr="00AF289B">
        <w:trPr>
          <w:trHeight w:val="315"/>
        </w:trPr>
        <w:tc>
          <w:tcPr>
            <w:tcW w:w="3321" w:type="dxa"/>
            <w:shd w:val="clear" w:color="auto" w:fill="auto"/>
            <w:noWrap/>
            <w:vAlign w:val="center"/>
            <w:hideMark/>
          </w:tcPr>
          <w:p w14:paraId="43C78B9D" w14:textId="77777777" w:rsidR="00AF289B" w:rsidRPr="00F740D9" w:rsidRDefault="00AF289B" w:rsidP="00BE6C9D">
            <w:pPr>
              <w:widowControl/>
              <w:snapToGrid w:val="0"/>
              <w:spacing w:line="360" w:lineRule="auto"/>
              <w:ind w:firstLineChars="100" w:firstLine="240"/>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Peritoneum</w:t>
            </w:r>
          </w:p>
        </w:tc>
        <w:tc>
          <w:tcPr>
            <w:tcW w:w="2660" w:type="dxa"/>
            <w:shd w:val="clear" w:color="auto" w:fill="auto"/>
            <w:noWrap/>
            <w:vAlign w:val="center"/>
            <w:hideMark/>
          </w:tcPr>
          <w:p w14:paraId="5943D815"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4</w:t>
            </w:r>
            <w:r w:rsidRPr="00F740D9">
              <w:rPr>
                <w:rFonts w:ascii="Book Antiqua" w:eastAsia="PMingLiU" w:hAnsi="Book Antiqua" w:cs="PMingLiU"/>
                <w:color w:val="000000" w:themeColor="text1"/>
                <w:kern w:val="0"/>
                <w:szCs w:val="24"/>
                <w:lang w:eastAsia="zh-CN"/>
              </w:rPr>
              <w:t xml:space="preserve"> </w:t>
            </w:r>
            <w:r w:rsidRPr="00F740D9">
              <w:rPr>
                <w:rFonts w:ascii="Book Antiqua" w:eastAsia="PMingLiU" w:hAnsi="Book Antiqua" w:cs="PMingLiU"/>
                <w:color w:val="000000" w:themeColor="text1"/>
                <w:kern w:val="0"/>
                <w:szCs w:val="24"/>
              </w:rPr>
              <w:t>(5%)</w:t>
            </w:r>
          </w:p>
        </w:tc>
        <w:tc>
          <w:tcPr>
            <w:tcW w:w="2421" w:type="dxa"/>
            <w:shd w:val="clear" w:color="auto" w:fill="auto"/>
            <w:noWrap/>
            <w:vAlign w:val="center"/>
            <w:hideMark/>
          </w:tcPr>
          <w:p w14:paraId="1AC57380"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8</w:t>
            </w:r>
            <w:r w:rsidRPr="00F740D9">
              <w:rPr>
                <w:rFonts w:ascii="Book Antiqua" w:eastAsia="PMingLiU" w:hAnsi="Book Antiqua" w:cs="PMingLiU"/>
                <w:color w:val="000000" w:themeColor="text1"/>
                <w:kern w:val="0"/>
                <w:szCs w:val="24"/>
                <w:lang w:eastAsia="zh-CN"/>
              </w:rPr>
              <w:t xml:space="preserve"> </w:t>
            </w:r>
            <w:r w:rsidRPr="00F740D9">
              <w:rPr>
                <w:rFonts w:ascii="Book Antiqua" w:eastAsia="PMingLiU" w:hAnsi="Book Antiqua" w:cs="PMingLiU"/>
                <w:color w:val="000000" w:themeColor="text1"/>
                <w:kern w:val="0"/>
                <w:szCs w:val="24"/>
              </w:rPr>
              <w:t>(13%)</w:t>
            </w:r>
          </w:p>
        </w:tc>
        <w:tc>
          <w:tcPr>
            <w:tcW w:w="900" w:type="dxa"/>
            <w:shd w:val="clear" w:color="auto" w:fill="auto"/>
            <w:noWrap/>
            <w:vAlign w:val="center"/>
            <w:hideMark/>
          </w:tcPr>
          <w:p w14:paraId="23ECAF1F"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0.11</w:t>
            </w:r>
          </w:p>
        </w:tc>
      </w:tr>
      <w:tr w:rsidR="00AF289B" w:rsidRPr="00F740D9" w14:paraId="65C51532" w14:textId="77777777" w:rsidTr="00AF289B">
        <w:trPr>
          <w:trHeight w:val="315"/>
        </w:trPr>
        <w:tc>
          <w:tcPr>
            <w:tcW w:w="3321" w:type="dxa"/>
            <w:shd w:val="clear" w:color="auto" w:fill="auto"/>
            <w:noWrap/>
            <w:vAlign w:val="center"/>
            <w:hideMark/>
          </w:tcPr>
          <w:p w14:paraId="0A79B633" w14:textId="77777777" w:rsidR="00AF289B" w:rsidRPr="00F740D9" w:rsidRDefault="00AF289B" w:rsidP="00BE6C9D">
            <w:pPr>
              <w:widowControl/>
              <w:snapToGrid w:val="0"/>
              <w:spacing w:line="360" w:lineRule="auto"/>
              <w:ind w:firstLineChars="100" w:firstLine="240"/>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Adrenal</w:t>
            </w:r>
          </w:p>
        </w:tc>
        <w:tc>
          <w:tcPr>
            <w:tcW w:w="2660" w:type="dxa"/>
            <w:shd w:val="clear" w:color="auto" w:fill="auto"/>
            <w:noWrap/>
            <w:vAlign w:val="center"/>
            <w:hideMark/>
          </w:tcPr>
          <w:p w14:paraId="7A4F891B"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5</w:t>
            </w:r>
            <w:r w:rsidRPr="00F740D9">
              <w:rPr>
                <w:rFonts w:ascii="Book Antiqua" w:eastAsia="PMingLiU" w:hAnsi="Book Antiqua" w:cs="PMingLiU"/>
                <w:color w:val="000000" w:themeColor="text1"/>
                <w:kern w:val="0"/>
                <w:szCs w:val="24"/>
                <w:lang w:eastAsia="zh-CN"/>
              </w:rPr>
              <w:t xml:space="preserve"> </w:t>
            </w:r>
            <w:r w:rsidRPr="00F740D9">
              <w:rPr>
                <w:rFonts w:ascii="Book Antiqua" w:eastAsia="PMingLiU" w:hAnsi="Book Antiqua" w:cs="PMingLiU"/>
                <w:color w:val="000000" w:themeColor="text1"/>
                <w:kern w:val="0"/>
                <w:szCs w:val="24"/>
              </w:rPr>
              <w:t>(6%)</w:t>
            </w:r>
          </w:p>
        </w:tc>
        <w:tc>
          <w:tcPr>
            <w:tcW w:w="2421" w:type="dxa"/>
            <w:shd w:val="clear" w:color="auto" w:fill="auto"/>
            <w:noWrap/>
            <w:vAlign w:val="center"/>
            <w:hideMark/>
          </w:tcPr>
          <w:p w14:paraId="584BD50E"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6</w:t>
            </w:r>
            <w:r w:rsidRPr="00F740D9">
              <w:rPr>
                <w:rFonts w:ascii="Book Antiqua" w:eastAsia="PMingLiU" w:hAnsi="Book Antiqua" w:cs="PMingLiU"/>
                <w:color w:val="000000" w:themeColor="text1"/>
                <w:kern w:val="0"/>
                <w:szCs w:val="24"/>
                <w:lang w:eastAsia="zh-CN"/>
              </w:rPr>
              <w:t xml:space="preserve"> </w:t>
            </w:r>
            <w:r w:rsidRPr="00F740D9">
              <w:rPr>
                <w:rFonts w:ascii="Book Antiqua" w:eastAsia="PMingLiU" w:hAnsi="Book Antiqua" w:cs="PMingLiU"/>
                <w:color w:val="000000" w:themeColor="text1"/>
                <w:kern w:val="0"/>
                <w:szCs w:val="24"/>
              </w:rPr>
              <w:t>(9%)</w:t>
            </w:r>
          </w:p>
        </w:tc>
        <w:tc>
          <w:tcPr>
            <w:tcW w:w="900" w:type="dxa"/>
            <w:shd w:val="clear" w:color="auto" w:fill="auto"/>
            <w:noWrap/>
            <w:vAlign w:val="center"/>
            <w:hideMark/>
          </w:tcPr>
          <w:p w14:paraId="70396ADA"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0.50</w:t>
            </w:r>
          </w:p>
        </w:tc>
      </w:tr>
      <w:tr w:rsidR="00AF289B" w:rsidRPr="00F740D9" w14:paraId="4A8B79A7" w14:textId="77777777" w:rsidTr="00AF289B">
        <w:trPr>
          <w:trHeight w:val="315"/>
        </w:trPr>
        <w:tc>
          <w:tcPr>
            <w:tcW w:w="3321" w:type="dxa"/>
            <w:shd w:val="clear" w:color="auto" w:fill="auto"/>
            <w:noWrap/>
            <w:vAlign w:val="center"/>
            <w:hideMark/>
          </w:tcPr>
          <w:p w14:paraId="54CAFD7F" w14:textId="77777777" w:rsidR="00AF289B" w:rsidRPr="00F740D9" w:rsidRDefault="00AF289B" w:rsidP="00BE6C9D">
            <w:pPr>
              <w:widowControl/>
              <w:snapToGrid w:val="0"/>
              <w:spacing w:line="360" w:lineRule="auto"/>
              <w:ind w:firstLineChars="100" w:firstLine="240"/>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Lymph node</w:t>
            </w:r>
          </w:p>
        </w:tc>
        <w:tc>
          <w:tcPr>
            <w:tcW w:w="2660" w:type="dxa"/>
            <w:shd w:val="clear" w:color="auto" w:fill="auto"/>
            <w:noWrap/>
            <w:vAlign w:val="center"/>
            <w:hideMark/>
          </w:tcPr>
          <w:p w14:paraId="0A6BE547"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6</w:t>
            </w:r>
            <w:r w:rsidRPr="00F740D9">
              <w:rPr>
                <w:rFonts w:ascii="Book Antiqua" w:eastAsia="PMingLiU" w:hAnsi="Book Antiqua" w:cs="PMingLiU"/>
                <w:color w:val="000000" w:themeColor="text1"/>
                <w:kern w:val="0"/>
                <w:szCs w:val="24"/>
                <w:lang w:eastAsia="zh-CN"/>
              </w:rPr>
              <w:t xml:space="preserve"> </w:t>
            </w:r>
            <w:r w:rsidRPr="00F740D9">
              <w:rPr>
                <w:rFonts w:ascii="Book Antiqua" w:eastAsia="PMingLiU" w:hAnsi="Book Antiqua" w:cs="PMingLiU"/>
                <w:color w:val="000000" w:themeColor="text1"/>
                <w:kern w:val="0"/>
                <w:szCs w:val="24"/>
              </w:rPr>
              <w:t>(8%)</w:t>
            </w:r>
          </w:p>
        </w:tc>
        <w:tc>
          <w:tcPr>
            <w:tcW w:w="2421" w:type="dxa"/>
            <w:shd w:val="clear" w:color="auto" w:fill="auto"/>
            <w:noWrap/>
            <w:vAlign w:val="center"/>
            <w:hideMark/>
          </w:tcPr>
          <w:p w14:paraId="68479D19"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4</w:t>
            </w:r>
            <w:r w:rsidRPr="00F740D9">
              <w:rPr>
                <w:rFonts w:ascii="Book Antiqua" w:eastAsia="PMingLiU" w:hAnsi="Book Antiqua" w:cs="PMingLiU"/>
                <w:color w:val="000000" w:themeColor="text1"/>
                <w:kern w:val="0"/>
                <w:szCs w:val="24"/>
                <w:lang w:eastAsia="zh-CN"/>
              </w:rPr>
              <w:t xml:space="preserve"> </w:t>
            </w:r>
            <w:r w:rsidRPr="00F740D9">
              <w:rPr>
                <w:rFonts w:ascii="Book Antiqua" w:eastAsia="PMingLiU" w:hAnsi="Book Antiqua" w:cs="PMingLiU"/>
                <w:color w:val="000000" w:themeColor="text1"/>
                <w:kern w:val="0"/>
                <w:szCs w:val="24"/>
              </w:rPr>
              <w:t>(6%)</w:t>
            </w:r>
          </w:p>
        </w:tc>
        <w:tc>
          <w:tcPr>
            <w:tcW w:w="900" w:type="dxa"/>
            <w:shd w:val="clear" w:color="auto" w:fill="auto"/>
            <w:noWrap/>
            <w:vAlign w:val="center"/>
            <w:hideMark/>
          </w:tcPr>
          <w:p w14:paraId="1E62ACCA"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0.75</w:t>
            </w:r>
          </w:p>
        </w:tc>
      </w:tr>
      <w:tr w:rsidR="00AF289B" w:rsidRPr="00F740D9" w14:paraId="2D616EB1" w14:textId="77777777" w:rsidTr="00AF289B">
        <w:trPr>
          <w:trHeight w:val="315"/>
        </w:trPr>
        <w:tc>
          <w:tcPr>
            <w:tcW w:w="3321" w:type="dxa"/>
            <w:shd w:val="clear" w:color="auto" w:fill="auto"/>
            <w:noWrap/>
            <w:vAlign w:val="center"/>
            <w:hideMark/>
          </w:tcPr>
          <w:p w14:paraId="63C6E551" w14:textId="77777777" w:rsidR="00AF289B" w:rsidRPr="00F740D9" w:rsidRDefault="00AF289B" w:rsidP="00BE6C9D">
            <w:pPr>
              <w:widowControl/>
              <w:snapToGrid w:val="0"/>
              <w:spacing w:line="360" w:lineRule="auto"/>
              <w:ind w:firstLineChars="100" w:firstLine="240"/>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AFP upon recurrence (ng/mL)</w:t>
            </w:r>
          </w:p>
        </w:tc>
        <w:tc>
          <w:tcPr>
            <w:tcW w:w="2660" w:type="dxa"/>
            <w:shd w:val="clear" w:color="auto" w:fill="auto"/>
            <w:noWrap/>
            <w:vAlign w:val="center"/>
            <w:hideMark/>
          </w:tcPr>
          <w:p w14:paraId="6058329C"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14</w:t>
            </w:r>
            <w:r w:rsidRPr="00F740D9">
              <w:rPr>
                <w:rFonts w:ascii="Book Antiqua" w:eastAsia="PMingLiU" w:hAnsi="Book Antiqua" w:cs="PMingLiU"/>
                <w:color w:val="000000" w:themeColor="text1"/>
                <w:kern w:val="0"/>
                <w:szCs w:val="24"/>
                <w:lang w:eastAsia="zh-CN"/>
              </w:rPr>
              <w:t xml:space="preserve"> </w:t>
            </w:r>
            <w:r w:rsidRPr="00F740D9">
              <w:rPr>
                <w:rFonts w:ascii="Book Antiqua" w:eastAsia="PMingLiU" w:hAnsi="Book Antiqua" w:cs="PMingLiU"/>
                <w:color w:val="000000" w:themeColor="text1"/>
                <w:kern w:val="0"/>
                <w:szCs w:val="24"/>
              </w:rPr>
              <w:t>(4-139)</w:t>
            </w:r>
          </w:p>
        </w:tc>
        <w:tc>
          <w:tcPr>
            <w:tcW w:w="2421" w:type="dxa"/>
            <w:shd w:val="clear" w:color="auto" w:fill="auto"/>
            <w:noWrap/>
            <w:vAlign w:val="center"/>
            <w:hideMark/>
          </w:tcPr>
          <w:p w14:paraId="329A70E0"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32</w:t>
            </w:r>
            <w:r w:rsidRPr="00F740D9">
              <w:rPr>
                <w:rFonts w:ascii="Book Antiqua" w:eastAsia="PMingLiU" w:hAnsi="Book Antiqua" w:cs="PMingLiU"/>
                <w:color w:val="000000" w:themeColor="text1"/>
                <w:kern w:val="0"/>
                <w:szCs w:val="24"/>
                <w:lang w:eastAsia="zh-CN"/>
              </w:rPr>
              <w:t xml:space="preserve"> </w:t>
            </w:r>
            <w:r w:rsidRPr="00F740D9">
              <w:rPr>
                <w:rFonts w:ascii="Book Antiqua" w:eastAsia="PMingLiU" w:hAnsi="Book Antiqua" w:cs="PMingLiU"/>
                <w:color w:val="000000" w:themeColor="text1"/>
                <w:kern w:val="0"/>
                <w:szCs w:val="24"/>
              </w:rPr>
              <w:t>(6-855)</w:t>
            </w:r>
          </w:p>
        </w:tc>
        <w:tc>
          <w:tcPr>
            <w:tcW w:w="900" w:type="dxa"/>
            <w:shd w:val="clear" w:color="auto" w:fill="auto"/>
            <w:noWrap/>
            <w:vAlign w:val="center"/>
            <w:hideMark/>
          </w:tcPr>
          <w:p w14:paraId="69E911EC"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0.19</w:t>
            </w:r>
          </w:p>
        </w:tc>
      </w:tr>
      <w:tr w:rsidR="00AF289B" w:rsidRPr="00F740D9" w14:paraId="6E5BE287" w14:textId="77777777" w:rsidTr="00AF289B">
        <w:trPr>
          <w:trHeight w:val="315"/>
        </w:trPr>
        <w:tc>
          <w:tcPr>
            <w:tcW w:w="9302" w:type="dxa"/>
            <w:gridSpan w:val="4"/>
            <w:shd w:val="clear" w:color="auto" w:fill="auto"/>
            <w:noWrap/>
            <w:vAlign w:val="center"/>
            <w:hideMark/>
          </w:tcPr>
          <w:p w14:paraId="0DE03B9E" w14:textId="77777777" w:rsidR="00AF289B" w:rsidRPr="00F740D9" w:rsidRDefault="00AF289B" w:rsidP="00BE6C9D">
            <w:pPr>
              <w:widowControl/>
              <w:snapToGrid w:val="0"/>
              <w:spacing w:line="360" w:lineRule="auto"/>
              <w:jc w:val="both"/>
              <w:rPr>
                <w:rFonts w:ascii="Book Antiqua" w:eastAsia="Times New Roman" w:hAnsi="Book Antiqua" w:cs="Times New Roman"/>
                <w:color w:val="000000" w:themeColor="text1"/>
                <w:kern w:val="0"/>
                <w:szCs w:val="24"/>
              </w:rPr>
            </w:pPr>
            <w:r w:rsidRPr="00F740D9">
              <w:rPr>
                <w:rFonts w:ascii="Book Antiqua" w:eastAsia="PMingLiU" w:hAnsi="Book Antiqua" w:cs="PMingLiU"/>
                <w:color w:val="000000" w:themeColor="text1"/>
                <w:kern w:val="0"/>
                <w:szCs w:val="24"/>
              </w:rPr>
              <w:t>Immunosuppression</w:t>
            </w:r>
          </w:p>
        </w:tc>
      </w:tr>
      <w:tr w:rsidR="00AF289B" w:rsidRPr="00F740D9" w14:paraId="0E0D0B08" w14:textId="77777777" w:rsidTr="00AF289B">
        <w:trPr>
          <w:trHeight w:val="315"/>
        </w:trPr>
        <w:tc>
          <w:tcPr>
            <w:tcW w:w="3321" w:type="dxa"/>
            <w:shd w:val="clear" w:color="auto" w:fill="auto"/>
            <w:noWrap/>
            <w:vAlign w:val="center"/>
            <w:hideMark/>
          </w:tcPr>
          <w:p w14:paraId="560E55D8" w14:textId="77777777" w:rsidR="00AF289B" w:rsidRPr="00F740D9" w:rsidRDefault="00AF289B" w:rsidP="00BE6C9D">
            <w:pPr>
              <w:widowControl/>
              <w:snapToGrid w:val="0"/>
              <w:spacing w:line="360" w:lineRule="auto"/>
              <w:ind w:firstLineChars="100" w:firstLine="240"/>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Calcineurin Inhibitor</w:t>
            </w:r>
          </w:p>
        </w:tc>
        <w:tc>
          <w:tcPr>
            <w:tcW w:w="2660" w:type="dxa"/>
            <w:shd w:val="clear" w:color="auto" w:fill="auto"/>
            <w:noWrap/>
            <w:vAlign w:val="center"/>
            <w:hideMark/>
          </w:tcPr>
          <w:p w14:paraId="7F002298"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49</w:t>
            </w:r>
            <w:r w:rsidRPr="00F740D9">
              <w:rPr>
                <w:rFonts w:ascii="Book Antiqua" w:eastAsia="PMingLiU" w:hAnsi="Book Antiqua" w:cs="PMingLiU"/>
                <w:color w:val="000000" w:themeColor="text1"/>
                <w:kern w:val="0"/>
                <w:szCs w:val="24"/>
                <w:lang w:eastAsia="zh-CN"/>
              </w:rPr>
              <w:t xml:space="preserve"> </w:t>
            </w:r>
            <w:r w:rsidRPr="00F740D9">
              <w:rPr>
                <w:rFonts w:ascii="Book Antiqua" w:eastAsia="PMingLiU" w:hAnsi="Book Antiqua" w:cs="PMingLiU"/>
                <w:color w:val="000000" w:themeColor="text1"/>
                <w:kern w:val="0"/>
                <w:szCs w:val="24"/>
              </w:rPr>
              <w:t>(62%)</w:t>
            </w:r>
          </w:p>
        </w:tc>
        <w:tc>
          <w:tcPr>
            <w:tcW w:w="2421" w:type="dxa"/>
            <w:shd w:val="clear" w:color="auto" w:fill="auto"/>
            <w:noWrap/>
            <w:vAlign w:val="center"/>
            <w:hideMark/>
          </w:tcPr>
          <w:p w14:paraId="433C2D56"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62</w:t>
            </w:r>
            <w:r w:rsidRPr="00F740D9">
              <w:rPr>
                <w:rFonts w:ascii="Book Antiqua" w:eastAsia="PMingLiU" w:hAnsi="Book Antiqua" w:cs="PMingLiU"/>
                <w:color w:val="000000" w:themeColor="text1"/>
                <w:kern w:val="0"/>
                <w:szCs w:val="24"/>
                <w:lang w:eastAsia="zh-CN"/>
              </w:rPr>
              <w:t xml:space="preserve"> </w:t>
            </w:r>
            <w:r w:rsidRPr="00F740D9">
              <w:rPr>
                <w:rFonts w:ascii="Book Antiqua" w:eastAsia="PMingLiU" w:hAnsi="Book Antiqua" w:cs="PMingLiU"/>
                <w:color w:val="000000" w:themeColor="text1"/>
                <w:kern w:val="0"/>
                <w:szCs w:val="24"/>
              </w:rPr>
              <w:t>(97%)</w:t>
            </w:r>
          </w:p>
        </w:tc>
        <w:tc>
          <w:tcPr>
            <w:tcW w:w="900" w:type="dxa"/>
            <w:shd w:val="clear" w:color="auto" w:fill="auto"/>
            <w:noWrap/>
            <w:vAlign w:val="center"/>
            <w:hideMark/>
          </w:tcPr>
          <w:p w14:paraId="76A4097E"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&lt; 0.001</w:t>
            </w:r>
          </w:p>
        </w:tc>
      </w:tr>
      <w:tr w:rsidR="00AF289B" w:rsidRPr="00F740D9" w14:paraId="1056D517" w14:textId="77777777" w:rsidTr="00AF289B">
        <w:trPr>
          <w:trHeight w:val="315"/>
        </w:trPr>
        <w:tc>
          <w:tcPr>
            <w:tcW w:w="3321" w:type="dxa"/>
            <w:shd w:val="clear" w:color="auto" w:fill="auto"/>
            <w:noWrap/>
            <w:vAlign w:val="center"/>
            <w:hideMark/>
          </w:tcPr>
          <w:p w14:paraId="256CE6E2" w14:textId="77777777" w:rsidR="00AF289B" w:rsidRPr="00F740D9" w:rsidRDefault="00AF289B" w:rsidP="00BE6C9D">
            <w:pPr>
              <w:widowControl/>
              <w:snapToGrid w:val="0"/>
              <w:spacing w:line="360" w:lineRule="auto"/>
              <w:ind w:firstLineChars="100" w:firstLine="240"/>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 xml:space="preserve">Tacrolimus level </w:t>
            </w:r>
          </w:p>
        </w:tc>
        <w:tc>
          <w:tcPr>
            <w:tcW w:w="2660" w:type="dxa"/>
            <w:shd w:val="clear" w:color="auto" w:fill="auto"/>
            <w:noWrap/>
            <w:vAlign w:val="center"/>
            <w:hideMark/>
          </w:tcPr>
          <w:p w14:paraId="5DE22FAF"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3.0</w:t>
            </w:r>
            <w:r w:rsidRPr="00F740D9">
              <w:rPr>
                <w:rFonts w:ascii="Book Antiqua" w:eastAsia="PMingLiU" w:hAnsi="Book Antiqua" w:cs="PMingLiU"/>
                <w:color w:val="000000" w:themeColor="text1"/>
                <w:kern w:val="0"/>
                <w:szCs w:val="24"/>
                <w:lang w:eastAsia="zh-CN"/>
              </w:rPr>
              <w:t xml:space="preserve"> </w:t>
            </w:r>
            <w:r w:rsidRPr="00F740D9">
              <w:rPr>
                <w:rFonts w:ascii="Book Antiqua" w:eastAsia="PMingLiU" w:hAnsi="Book Antiqua" w:cs="PMingLiU"/>
                <w:color w:val="000000" w:themeColor="text1"/>
                <w:kern w:val="0"/>
                <w:szCs w:val="24"/>
              </w:rPr>
              <w:t>(0-4.9)</w:t>
            </w:r>
          </w:p>
        </w:tc>
        <w:tc>
          <w:tcPr>
            <w:tcW w:w="2421" w:type="dxa"/>
            <w:shd w:val="clear" w:color="auto" w:fill="auto"/>
            <w:noWrap/>
            <w:vAlign w:val="center"/>
            <w:hideMark/>
          </w:tcPr>
          <w:p w14:paraId="494C46A2"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5.2</w:t>
            </w:r>
            <w:r w:rsidRPr="00F740D9">
              <w:rPr>
                <w:rFonts w:ascii="Book Antiqua" w:eastAsia="PMingLiU" w:hAnsi="Book Antiqua" w:cs="PMingLiU"/>
                <w:color w:val="000000" w:themeColor="text1"/>
                <w:kern w:val="0"/>
                <w:szCs w:val="24"/>
                <w:lang w:eastAsia="zh-CN"/>
              </w:rPr>
              <w:t xml:space="preserve"> </w:t>
            </w:r>
            <w:r w:rsidRPr="00F740D9">
              <w:rPr>
                <w:rFonts w:ascii="Book Antiqua" w:eastAsia="PMingLiU" w:hAnsi="Book Antiqua" w:cs="PMingLiU"/>
                <w:color w:val="000000" w:themeColor="text1"/>
                <w:kern w:val="0"/>
                <w:szCs w:val="24"/>
              </w:rPr>
              <w:t>(3.7-6.1)</w:t>
            </w:r>
          </w:p>
        </w:tc>
        <w:tc>
          <w:tcPr>
            <w:tcW w:w="900" w:type="dxa"/>
            <w:shd w:val="clear" w:color="auto" w:fill="auto"/>
            <w:noWrap/>
            <w:vAlign w:val="center"/>
            <w:hideMark/>
          </w:tcPr>
          <w:p w14:paraId="0E3E8A93"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0.03</w:t>
            </w:r>
          </w:p>
        </w:tc>
      </w:tr>
      <w:tr w:rsidR="00AF289B" w:rsidRPr="00F740D9" w14:paraId="2F5E11E8" w14:textId="77777777" w:rsidTr="00AF289B">
        <w:trPr>
          <w:trHeight w:val="315"/>
        </w:trPr>
        <w:tc>
          <w:tcPr>
            <w:tcW w:w="9302" w:type="dxa"/>
            <w:gridSpan w:val="4"/>
            <w:shd w:val="clear" w:color="auto" w:fill="auto"/>
            <w:noWrap/>
            <w:vAlign w:val="center"/>
            <w:hideMark/>
          </w:tcPr>
          <w:p w14:paraId="6E3982DC" w14:textId="77777777" w:rsidR="00AF289B" w:rsidRPr="00F740D9" w:rsidRDefault="00AF289B" w:rsidP="00BE6C9D">
            <w:pPr>
              <w:widowControl/>
              <w:snapToGrid w:val="0"/>
              <w:spacing w:line="360" w:lineRule="auto"/>
              <w:jc w:val="both"/>
              <w:rPr>
                <w:rFonts w:ascii="Book Antiqua" w:eastAsia="Times New Roman" w:hAnsi="Book Antiqua" w:cs="Times New Roman"/>
                <w:color w:val="000000" w:themeColor="text1"/>
                <w:kern w:val="0"/>
                <w:szCs w:val="24"/>
              </w:rPr>
            </w:pPr>
            <w:r w:rsidRPr="00F740D9">
              <w:rPr>
                <w:rFonts w:ascii="Book Antiqua" w:eastAsia="PMingLiU" w:hAnsi="Book Antiqua" w:cs="PMingLiU"/>
                <w:color w:val="000000" w:themeColor="text1"/>
                <w:kern w:val="0"/>
                <w:szCs w:val="24"/>
              </w:rPr>
              <w:t>Treatment</w:t>
            </w:r>
          </w:p>
        </w:tc>
      </w:tr>
      <w:tr w:rsidR="00AF289B" w:rsidRPr="00F740D9" w14:paraId="00FC523C" w14:textId="77777777" w:rsidTr="00AF289B">
        <w:trPr>
          <w:trHeight w:val="315"/>
        </w:trPr>
        <w:tc>
          <w:tcPr>
            <w:tcW w:w="3321" w:type="dxa"/>
            <w:shd w:val="clear" w:color="auto" w:fill="auto"/>
            <w:noWrap/>
            <w:vAlign w:val="center"/>
            <w:hideMark/>
          </w:tcPr>
          <w:p w14:paraId="46E1BEFB" w14:textId="77777777" w:rsidR="00AF289B" w:rsidRPr="00F740D9" w:rsidRDefault="00AF289B" w:rsidP="00BE6C9D">
            <w:pPr>
              <w:widowControl/>
              <w:snapToGrid w:val="0"/>
              <w:spacing w:line="360" w:lineRule="auto"/>
              <w:ind w:firstLineChars="100" w:firstLine="240"/>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 xml:space="preserve">Surgery </w:t>
            </w:r>
          </w:p>
        </w:tc>
        <w:tc>
          <w:tcPr>
            <w:tcW w:w="2660" w:type="dxa"/>
            <w:shd w:val="clear" w:color="auto" w:fill="auto"/>
            <w:noWrap/>
            <w:vAlign w:val="center"/>
            <w:hideMark/>
          </w:tcPr>
          <w:p w14:paraId="5D688AE2"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22</w:t>
            </w:r>
            <w:r w:rsidRPr="00F740D9">
              <w:rPr>
                <w:rFonts w:ascii="Book Antiqua" w:eastAsia="PMingLiU" w:hAnsi="Book Antiqua" w:cs="PMingLiU"/>
                <w:color w:val="000000" w:themeColor="text1"/>
                <w:kern w:val="0"/>
                <w:szCs w:val="24"/>
                <w:lang w:eastAsia="zh-CN"/>
              </w:rPr>
              <w:t xml:space="preserve"> </w:t>
            </w:r>
            <w:r w:rsidRPr="00F740D9">
              <w:rPr>
                <w:rFonts w:ascii="Book Antiqua" w:eastAsia="PMingLiU" w:hAnsi="Book Antiqua" w:cs="PMingLiU"/>
                <w:color w:val="000000" w:themeColor="text1"/>
                <w:kern w:val="0"/>
                <w:szCs w:val="24"/>
              </w:rPr>
              <w:t>(28%)</w:t>
            </w:r>
          </w:p>
        </w:tc>
        <w:tc>
          <w:tcPr>
            <w:tcW w:w="2421" w:type="dxa"/>
            <w:shd w:val="clear" w:color="auto" w:fill="auto"/>
            <w:noWrap/>
            <w:vAlign w:val="center"/>
            <w:hideMark/>
          </w:tcPr>
          <w:p w14:paraId="0EA4E8EE"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11</w:t>
            </w:r>
            <w:r w:rsidRPr="00F740D9">
              <w:rPr>
                <w:rFonts w:ascii="Book Antiqua" w:eastAsia="PMingLiU" w:hAnsi="Book Antiqua" w:cs="PMingLiU"/>
                <w:color w:val="000000" w:themeColor="text1"/>
                <w:kern w:val="0"/>
                <w:szCs w:val="24"/>
                <w:lang w:eastAsia="zh-CN"/>
              </w:rPr>
              <w:t xml:space="preserve"> </w:t>
            </w:r>
            <w:r w:rsidRPr="00F740D9">
              <w:rPr>
                <w:rFonts w:ascii="Book Antiqua" w:eastAsia="PMingLiU" w:hAnsi="Book Antiqua" w:cs="PMingLiU"/>
                <w:color w:val="000000" w:themeColor="text1"/>
                <w:kern w:val="0"/>
                <w:szCs w:val="24"/>
              </w:rPr>
              <w:t>(17%)</w:t>
            </w:r>
          </w:p>
        </w:tc>
        <w:tc>
          <w:tcPr>
            <w:tcW w:w="900" w:type="dxa"/>
            <w:shd w:val="clear" w:color="auto" w:fill="auto"/>
            <w:noWrap/>
            <w:vAlign w:val="center"/>
            <w:hideMark/>
          </w:tcPr>
          <w:p w14:paraId="6788AA5B"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0.13</w:t>
            </w:r>
          </w:p>
        </w:tc>
      </w:tr>
      <w:tr w:rsidR="00AF289B" w:rsidRPr="00F740D9" w14:paraId="6718A2D9" w14:textId="77777777" w:rsidTr="00AF289B">
        <w:trPr>
          <w:trHeight w:val="315"/>
        </w:trPr>
        <w:tc>
          <w:tcPr>
            <w:tcW w:w="3321" w:type="dxa"/>
            <w:shd w:val="clear" w:color="auto" w:fill="auto"/>
            <w:noWrap/>
            <w:vAlign w:val="center"/>
            <w:hideMark/>
          </w:tcPr>
          <w:p w14:paraId="6AEB6DDC" w14:textId="77777777" w:rsidR="00AF289B" w:rsidRPr="00F740D9" w:rsidRDefault="00AF289B" w:rsidP="00BE6C9D">
            <w:pPr>
              <w:widowControl/>
              <w:snapToGrid w:val="0"/>
              <w:spacing w:line="360" w:lineRule="auto"/>
              <w:ind w:firstLineChars="100" w:firstLine="240"/>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RFA</w:t>
            </w:r>
          </w:p>
        </w:tc>
        <w:tc>
          <w:tcPr>
            <w:tcW w:w="2660" w:type="dxa"/>
            <w:shd w:val="clear" w:color="auto" w:fill="auto"/>
            <w:noWrap/>
            <w:vAlign w:val="center"/>
            <w:hideMark/>
          </w:tcPr>
          <w:p w14:paraId="64E27540"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7</w:t>
            </w:r>
            <w:r w:rsidRPr="00F740D9">
              <w:rPr>
                <w:rFonts w:ascii="Book Antiqua" w:eastAsia="PMingLiU" w:hAnsi="Book Antiqua" w:cs="PMingLiU"/>
                <w:color w:val="000000" w:themeColor="text1"/>
                <w:kern w:val="0"/>
                <w:szCs w:val="24"/>
                <w:lang w:eastAsia="zh-CN"/>
              </w:rPr>
              <w:t xml:space="preserve"> </w:t>
            </w:r>
            <w:r w:rsidRPr="00F740D9">
              <w:rPr>
                <w:rFonts w:ascii="Book Antiqua" w:eastAsia="PMingLiU" w:hAnsi="Book Antiqua" w:cs="PMingLiU"/>
                <w:color w:val="000000" w:themeColor="text1"/>
                <w:kern w:val="0"/>
                <w:szCs w:val="24"/>
              </w:rPr>
              <w:t>(9%)</w:t>
            </w:r>
          </w:p>
        </w:tc>
        <w:tc>
          <w:tcPr>
            <w:tcW w:w="2421" w:type="dxa"/>
            <w:shd w:val="clear" w:color="auto" w:fill="auto"/>
            <w:noWrap/>
            <w:vAlign w:val="center"/>
            <w:hideMark/>
          </w:tcPr>
          <w:p w14:paraId="5EB90605"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6</w:t>
            </w:r>
            <w:r w:rsidRPr="00F740D9">
              <w:rPr>
                <w:rFonts w:ascii="Book Antiqua" w:eastAsia="PMingLiU" w:hAnsi="Book Antiqua" w:cs="PMingLiU"/>
                <w:color w:val="000000" w:themeColor="text1"/>
                <w:kern w:val="0"/>
                <w:szCs w:val="24"/>
                <w:lang w:eastAsia="zh-CN"/>
              </w:rPr>
              <w:t xml:space="preserve"> </w:t>
            </w:r>
            <w:r w:rsidRPr="00F740D9">
              <w:rPr>
                <w:rFonts w:ascii="Book Antiqua" w:eastAsia="PMingLiU" w:hAnsi="Book Antiqua" w:cs="PMingLiU"/>
                <w:color w:val="000000" w:themeColor="text1"/>
                <w:kern w:val="0"/>
                <w:szCs w:val="24"/>
              </w:rPr>
              <w:t>(9%)</w:t>
            </w:r>
          </w:p>
        </w:tc>
        <w:tc>
          <w:tcPr>
            <w:tcW w:w="900" w:type="dxa"/>
            <w:shd w:val="clear" w:color="auto" w:fill="auto"/>
            <w:noWrap/>
            <w:vAlign w:val="center"/>
            <w:hideMark/>
          </w:tcPr>
          <w:p w14:paraId="7B28CBA0"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0.89</w:t>
            </w:r>
          </w:p>
        </w:tc>
      </w:tr>
      <w:tr w:rsidR="00AF289B" w:rsidRPr="00F740D9" w14:paraId="713BA734" w14:textId="77777777" w:rsidTr="00AF289B">
        <w:trPr>
          <w:trHeight w:val="315"/>
        </w:trPr>
        <w:tc>
          <w:tcPr>
            <w:tcW w:w="3321" w:type="dxa"/>
            <w:shd w:val="clear" w:color="auto" w:fill="auto"/>
            <w:noWrap/>
            <w:vAlign w:val="center"/>
            <w:hideMark/>
          </w:tcPr>
          <w:p w14:paraId="372C4410" w14:textId="77777777" w:rsidR="00AF289B" w:rsidRPr="00F740D9" w:rsidRDefault="00AF289B" w:rsidP="00BE6C9D">
            <w:pPr>
              <w:widowControl/>
              <w:snapToGrid w:val="0"/>
              <w:spacing w:line="360" w:lineRule="auto"/>
              <w:ind w:firstLineChars="100" w:firstLine="240"/>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TACE</w:t>
            </w:r>
          </w:p>
        </w:tc>
        <w:tc>
          <w:tcPr>
            <w:tcW w:w="2660" w:type="dxa"/>
            <w:shd w:val="clear" w:color="auto" w:fill="auto"/>
            <w:noWrap/>
            <w:vAlign w:val="center"/>
            <w:hideMark/>
          </w:tcPr>
          <w:p w14:paraId="383BDC80"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19</w:t>
            </w:r>
            <w:r w:rsidRPr="00F740D9">
              <w:rPr>
                <w:rFonts w:ascii="Book Antiqua" w:eastAsia="PMingLiU" w:hAnsi="Book Antiqua" w:cs="PMingLiU"/>
                <w:color w:val="000000" w:themeColor="text1"/>
                <w:kern w:val="0"/>
                <w:szCs w:val="24"/>
                <w:lang w:eastAsia="zh-CN"/>
              </w:rPr>
              <w:t xml:space="preserve"> </w:t>
            </w:r>
            <w:r w:rsidRPr="00F740D9">
              <w:rPr>
                <w:rFonts w:ascii="Book Antiqua" w:eastAsia="PMingLiU" w:hAnsi="Book Antiqua" w:cs="PMingLiU"/>
                <w:color w:val="000000" w:themeColor="text1"/>
                <w:kern w:val="0"/>
                <w:szCs w:val="24"/>
              </w:rPr>
              <w:t>(24%)</w:t>
            </w:r>
          </w:p>
        </w:tc>
        <w:tc>
          <w:tcPr>
            <w:tcW w:w="2421" w:type="dxa"/>
            <w:shd w:val="clear" w:color="auto" w:fill="auto"/>
            <w:noWrap/>
            <w:vAlign w:val="center"/>
            <w:hideMark/>
          </w:tcPr>
          <w:p w14:paraId="6B86E74D"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10</w:t>
            </w:r>
            <w:r w:rsidRPr="00F740D9">
              <w:rPr>
                <w:rFonts w:ascii="Book Antiqua" w:eastAsia="PMingLiU" w:hAnsi="Book Antiqua" w:cs="PMingLiU"/>
                <w:color w:val="000000" w:themeColor="text1"/>
                <w:kern w:val="0"/>
                <w:szCs w:val="24"/>
                <w:lang w:eastAsia="zh-CN"/>
              </w:rPr>
              <w:t xml:space="preserve"> </w:t>
            </w:r>
            <w:r w:rsidRPr="00F740D9">
              <w:rPr>
                <w:rFonts w:ascii="Book Antiqua" w:eastAsia="PMingLiU" w:hAnsi="Book Antiqua" w:cs="PMingLiU"/>
                <w:color w:val="000000" w:themeColor="text1"/>
                <w:kern w:val="0"/>
                <w:szCs w:val="24"/>
              </w:rPr>
              <w:t>(16%)</w:t>
            </w:r>
          </w:p>
        </w:tc>
        <w:tc>
          <w:tcPr>
            <w:tcW w:w="900" w:type="dxa"/>
            <w:shd w:val="clear" w:color="auto" w:fill="auto"/>
            <w:noWrap/>
            <w:vAlign w:val="center"/>
            <w:hideMark/>
          </w:tcPr>
          <w:p w14:paraId="316455C8"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0.23</w:t>
            </w:r>
          </w:p>
        </w:tc>
      </w:tr>
      <w:tr w:rsidR="00AF289B" w:rsidRPr="00F740D9" w14:paraId="6DDA2967" w14:textId="77777777" w:rsidTr="00AF289B">
        <w:trPr>
          <w:trHeight w:val="315"/>
        </w:trPr>
        <w:tc>
          <w:tcPr>
            <w:tcW w:w="3321" w:type="dxa"/>
            <w:shd w:val="clear" w:color="auto" w:fill="auto"/>
            <w:noWrap/>
            <w:vAlign w:val="center"/>
            <w:hideMark/>
          </w:tcPr>
          <w:p w14:paraId="188A7605" w14:textId="77777777" w:rsidR="00AF289B" w:rsidRPr="00F740D9" w:rsidRDefault="00AF289B" w:rsidP="00BE6C9D">
            <w:pPr>
              <w:widowControl/>
              <w:snapToGrid w:val="0"/>
              <w:spacing w:line="360" w:lineRule="auto"/>
              <w:ind w:firstLineChars="100" w:firstLine="240"/>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Radiotherapy</w:t>
            </w:r>
          </w:p>
        </w:tc>
        <w:tc>
          <w:tcPr>
            <w:tcW w:w="2660" w:type="dxa"/>
            <w:shd w:val="clear" w:color="auto" w:fill="auto"/>
            <w:noWrap/>
            <w:vAlign w:val="center"/>
            <w:hideMark/>
          </w:tcPr>
          <w:p w14:paraId="12DE68AC"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31</w:t>
            </w:r>
            <w:r w:rsidRPr="00F740D9">
              <w:rPr>
                <w:rFonts w:ascii="Book Antiqua" w:eastAsia="PMingLiU" w:hAnsi="Book Antiqua" w:cs="PMingLiU"/>
                <w:color w:val="000000" w:themeColor="text1"/>
                <w:kern w:val="0"/>
                <w:szCs w:val="24"/>
                <w:lang w:eastAsia="zh-CN"/>
              </w:rPr>
              <w:t xml:space="preserve"> </w:t>
            </w:r>
            <w:r w:rsidRPr="00F740D9">
              <w:rPr>
                <w:rFonts w:ascii="Book Antiqua" w:eastAsia="PMingLiU" w:hAnsi="Book Antiqua" w:cs="PMingLiU"/>
                <w:color w:val="000000" w:themeColor="text1"/>
                <w:kern w:val="0"/>
                <w:szCs w:val="24"/>
              </w:rPr>
              <w:t>(39%)</w:t>
            </w:r>
          </w:p>
        </w:tc>
        <w:tc>
          <w:tcPr>
            <w:tcW w:w="2421" w:type="dxa"/>
            <w:shd w:val="clear" w:color="auto" w:fill="auto"/>
            <w:noWrap/>
            <w:vAlign w:val="center"/>
            <w:hideMark/>
          </w:tcPr>
          <w:p w14:paraId="79625391"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14</w:t>
            </w:r>
            <w:r w:rsidRPr="00F740D9">
              <w:rPr>
                <w:rFonts w:ascii="Book Antiqua" w:eastAsia="PMingLiU" w:hAnsi="Book Antiqua" w:cs="PMingLiU"/>
                <w:color w:val="000000" w:themeColor="text1"/>
                <w:kern w:val="0"/>
                <w:szCs w:val="24"/>
                <w:lang w:eastAsia="zh-CN"/>
              </w:rPr>
              <w:t xml:space="preserve"> </w:t>
            </w:r>
            <w:r w:rsidRPr="00F740D9">
              <w:rPr>
                <w:rFonts w:ascii="Book Antiqua" w:eastAsia="PMingLiU" w:hAnsi="Book Antiqua" w:cs="PMingLiU"/>
                <w:color w:val="000000" w:themeColor="text1"/>
                <w:kern w:val="0"/>
                <w:szCs w:val="24"/>
              </w:rPr>
              <w:t>(22%)</w:t>
            </w:r>
          </w:p>
        </w:tc>
        <w:tc>
          <w:tcPr>
            <w:tcW w:w="900" w:type="dxa"/>
            <w:shd w:val="clear" w:color="auto" w:fill="auto"/>
            <w:noWrap/>
            <w:vAlign w:val="center"/>
            <w:hideMark/>
          </w:tcPr>
          <w:p w14:paraId="4C2CCDA6"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0.03</w:t>
            </w:r>
          </w:p>
        </w:tc>
      </w:tr>
      <w:tr w:rsidR="00AF289B" w:rsidRPr="00F740D9" w14:paraId="3224806C" w14:textId="77777777" w:rsidTr="00AF289B">
        <w:trPr>
          <w:trHeight w:val="315"/>
        </w:trPr>
        <w:tc>
          <w:tcPr>
            <w:tcW w:w="3321" w:type="dxa"/>
            <w:shd w:val="clear" w:color="auto" w:fill="auto"/>
            <w:noWrap/>
            <w:vAlign w:val="center"/>
            <w:hideMark/>
          </w:tcPr>
          <w:p w14:paraId="657334EC" w14:textId="77777777" w:rsidR="00AF289B" w:rsidRPr="00F740D9" w:rsidRDefault="00AF289B" w:rsidP="00BE6C9D">
            <w:pPr>
              <w:widowControl/>
              <w:snapToGrid w:val="0"/>
              <w:spacing w:line="360" w:lineRule="auto"/>
              <w:ind w:firstLineChars="100" w:firstLine="240"/>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Targeted therapy</w:t>
            </w:r>
          </w:p>
        </w:tc>
        <w:tc>
          <w:tcPr>
            <w:tcW w:w="2660" w:type="dxa"/>
            <w:shd w:val="clear" w:color="auto" w:fill="auto"/>
            <w:noWrap/>
            <w:vAlign w:val="center"/>
            <w:hideMark/>
          </w:tcPr>
          <w:p w14:paraId="0FC24024"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47</w:t>
            </w:r>
            <w:r w:rsidRPr="00F740D9">
              <w:rPr>
                <w:rFonts w:ascii="Book Antiqua" w:eastAsia="PMingLiU" w:hAnsi="Book Antiqua" w:cs="PMingLiU"/>
                <w:color w:val="000000" w:themeColor="text1"/>
                <w:kern w:val="0"/>
                <w:szCs w:val="24"/>
                <w:lang w:eastAsia="zh-CN"/>
              </w:rPr>
              <w:t xml:space="preserve"> </w:t>
            </w:r>
            <w:r w:rsidRPr="00F740D9">
              <w:rPr>
                <w:rFonts w:ascii="Book Antiqua" w:eastAsia="PMingLiU" w:hAnsi="Book Antiqua" w:cs="PMingLiU"/>
                <w:color w:val="000000" w:themeColor="text1"/>
                <w:kern w:val="0"/>
                <w:szCs w:val="24"/>
              </w:rPr>
              <w:t>(59%)</w:t>
            </w:r>
          </w:p>
        </w:tc>
        <w:tc>
          <w:tcPr>
            <w:tcW w:w="2421" w:type="dxa"/>
            <w:shd w:val="clear" w:color="auto" w:fill="auto"/>
            <w:noWrap/>
            <w:vAlign w:val="center"/>
            <w:hideMark/>
          </w:tcPr>
          <w:p w14:paraId="2A2368F7"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15</w:t>
            </w:r>
            <w:r w:rsidRPr="00F740D9">
              <w:rPr>
                <w:rFonts w:ascii="Book Antiqua" w:eastAsia="PMingLiU" w:hAnsi="Book Antiqua" w:cs="PMingLiU"/>
                <w:color w:val="000000" w:themeColor="text1"/>
                <w:kern w:val="0"/>
                <w:szCs w:val="24"/>
                <w:lang w:eastAsia="zh-CN"/>
              </w:rPr>
              <w:t xml:space="preserve"> </w:t>
            </w:r>
            <w:r w:rsidRPr="00F740D9">
              <w:rPr>
                <w:rFonts w:ascii="Book Antiqua" w:eastAsia="PMingLiU" w:hAnsi="Book Antiqua" w:cs="PMingLiU"/>
                <w:color w:val="000000" w:themeColor="text1"/>
                <w:kern w:val="0"/>
                <w:szCs w:val="24"/>
              </w:rPr>
              <w:t>(23%)</w:t>
            </w:r>
          </w:p>
        </w:tc>
        <w:tc>
          <w:tcPr>
            <w:tcW w:w="900" w:type="dxa"/>
            <w:shd w:val="clear" w:color="auto" w:fill="auto"/>
            <w:noWrap/>
            <w:vAlign w:val="center"/>
            <w:hideMark/>
          </w:tcPr>
          <w:p w14:paraId="2B7E94F0"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&lt; 0.001</w:t>
            </w:r>
          </w:p>
        </w:tc>
      </w:tr>
      <w:tr w:rsidR="00AF289B" w:rsidRPr="00F740D9" w14:paraId="72933137" w14:textId="77777777" w:rsidTr="00AF289B">
        <w:trPr>
          <w:trHeight w:val="315"/>
        </w:trPr>
        <w:tc>
          <w:tcPr>
            <w:tcW w:w="3321" w:type="dxa"/>
            <w:shd w:val="clear" w:color="auto" w:fill="auto"/>
            <w:noWrap/>
            <w:vAlign w:val="center"/>
            <w:hideMark/>
          </w:tcPr>
          <w:p w14:paraId="3D5F82C8" w14:textId="77777777" w:rsidR="00AF289B" w:rsidRPr="00F740D9" w:rsidRDefault="00AF289B" w:rsidP="00BE6C9D">
            <w:pPr>
              <w:widowControl/>
              <w:snapToGrid w:val="0"/>
              <w:spacing w:line="360" w:lineRule="auto"/>
              <w:ind w:firstLineChars="100" w:firstLine="240"/>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Immunotherapy</w:t>
            </w:r>
          </w:p>
        </w:tc>
        <w:tc>
          <w:tcPr>
            <w:tcW w:w="2660" w:type="dxa"/>
            <w:shd w:val="clear" w:color="auto" w:fill="auto"/>
            <w:noWrap/>
            <w:vAlign w:val="center"/>
            <w:hideMark/>
          </w:tcPr>
          <w:p w14:paraId="1428FA71"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2</w:t>
            </w:r>
            <w:r w:rsidRPr="00F740D9">
              <w:rPr>
                <w:rFonts w:ascii="Book Antiqua" w:eastAsia="PMingLiU" w:hAnsi="Book Antiqua" w:cs="PMingLiU"/>
                <w:color w:val="000000" w:themeColor="text1"/>
                <w:kern w:val="0"/>
                <w:szCs w:val="24"/>
                <w:lang w:eastAsia="zh-CN"/>
              </w:rPr>
              <w:t xml:space="preserve"> </w:t>
            </w:r>
            <w:r w:rsidRPr="00F740D9">
              <w:rPr>
                <w:rFonts w:ascii="Book Antiqua" w:eastAsia="PMingLiU" w:hAnsi="Book Antiqua" w:cs="PMingLiU"/>
                <w:color w:val="000000" w:themeColor="text1"/>
                <w:kern w:val="0"/>
                <w:szCs w:val="24"/>
              </w:rPr>
              <w:t>(3%)</w:t>
            </w:r>
          </w:p>
        </w:tc>
        <w:tc>
          <w:tcPr>
            <w:tcW w:w="2421" w:type="dxa"/>
            <w:shd w:val="clear" w:color="auto" w:fill="auto"/>
            <w:noWrap/>
            <w:vAlign w:val="center"/>
            <w:hideMark/>
          </w:tcPr>
          <w:p w14:paraId="031C74FB"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0</w:t>
            </w:r>
            <w:r w:rsidRPr="00F740D9">
              <w:rPr>
                <w:rFonts w:ascii="Book Antiqua" w:eastAsia="PMingLiU" w:hAnsi="Book Antiqua" w:cs="PMingLiU"/>
                <w:color w:val="000000" w:themeColor="text1"/>
                <w:kern w:val="0"/>
                <w:szCs w:val="24"/>
                <w:lang w:eastAsia="zh-CN"/>
              </w:rPr>
              <w:t xml:space="preserve"> </w:t>
            </w:r>
            <w:r w:rsidRPr="00F740D9">
              <w:rPr>
                <w:rFonts w:ascii="Book Antiqua" w:eastAsia="PMingLiU" w:hAnsi="Book Antiqua" w:cs="PMingLiU"/>
                <w:color w:val="000000" w:themeColor="text1"/>
                <w:kern w:val="0"/>
                <w:szCs w:val="24"/>
              </w:rPr>
              <w:t>(0%)</w:t>
            </w:r>
          </w:p>
        </w:tc>
        <w:tc>
          <w:tcPr>
            <w:tcW w:w="900" w:type="dxa"/>
            <w:shd w:val="clear" w:color="auto" w:fill="auto"/>
            <w:noWrap/>
            <w:vAlign w:val="center"/>
            <w:hideMark/>
          </w:tcPr>
          <w:p w14:paraId="75C06FF0"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0.18</w:t>
            </w:r>
          </w:p>
        </w:tc>
      </w:tr>
      <w:tr w:rsidR="00F740D9" w:rsidRPr="00F740D9" w14:paraId="7E480980" w14:textId="77777777" w:rsidTr="00AF289B">
        <w:trPr>
          <w:trHeight w:val="315"/>
        </w:trPr>
        <w:tc>
          <w:tcPr>
            <w:tcW w:w="3321" w:type="dxa"/>
            <w:shd w:val="clear" w:color="auto" w:fill="auto"/>
            <w:noWrap/>
            <w:vAlign w:val="center"/>
            <w:hideMark/>
          </w:tcPr>
          <w:p w14:paraId="13D3F276" w14:textId="77777777" w:rsidR="00AF289B" w:rsidRPr="00F740D9" w:rsidRDefault="00AF289B" w:rsidP="00BE6C9D">
            <w:pPr>
              <w:widowControl/>
              <w:snapToGrid w:val="0"/>
              <w:spacing w:line="360" w:lineRule="auto"/>
              <w:ind w:firstLineChars="100" w:firstLine="240"/>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Supportive</w:t>
            </w:r>
          </w:p>
        </w:tc>
        <w:tc>
          <w:tcPr>
            <w:tcW w:w="2660" w:type="dxa"/>
            <w:shd w:val="clear" w:color="auto" w:fill="auto"/>
            <w:noWrap/>
            <w:vAlign w:val="center"/>
            <w:hideMark/>
          </w:tcPr>
          <w:p w14:paraId="45094680"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3</w:t>
            </w:r>
            <w:r w:rsidRPr="00F740D9">
              <w:rPr>
                <w:rFonts w:ascii="Book Antiqua" w:eastAsia="PMingLiU" w:hAnsi="Book Antiqua" w:cs="PMingLiU"/>
                <w:color w:val="000000" w:themeColor="text1"/>
                <w:kern w:val="0"/>
                <w:szCs w:val="24"/>
                <w:lang w:eastAsia="zh-CN"/>
              </w:rPr>
              <w:t xml:space="preserve"> </w:t>
            </w:r>
            <w:r w:rsidRPr="00F740D9">
              <w:rPr>
                <w:rFonts w:ascii="Book Antiqua" w:eastAsia="PMingLiU" w:hAnsi="Book Antiqua" w:cs="PMingLiU"/>
                <w:color w:val="000000" w:themeColor="text1"/>
                <w:kern w:val="0"/>
                <w:szCs w:val="24"/>
              </w:rPr>
              <w:t>(4%)</w:t>
            </w:r>
          </w:p>
        </w:tc>
        <w:tc>
          <w:tcPr>
            <w:tcW w:w="2421" w:type="dxa"/>
            <w:shd w:val="clear" w:color="auto" w:fill="auto"/>
            <w:noWrap/>
            <w:vAlign w:val="center"/>
            <w:hideMark/>
          </w:tcPr>
          <w:p w14:paraId="0FE267BB"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23</w:t>
            </w:r>
            <w:r w:rsidRPr="00F740D9">
              <w:rPr>
                <w:rFonts w:ascii="Book Antiqua" w:eastAsia="PMingLiU" w:hAnsi="Book Antiqua" w:cs="PMingLiU"/>
                <w:color w:val="000000" w:themeColor="text1"/>
                <w:kern w:val="0"/>
                <w:szCs w:val="24"/>
                <w:lang w:eastAsia="zh-CN"/>
              </w:rPr>
              <w:t xml:space="preserve"> </w:t>
            </w:r>
            <w:r w:rsidRPr="00F740D9">
              <w:rPr>
                <w:rFonts w:ascii="Book Antiqua" w:eastAsia="PMingLiU" w:hAnsi="Book Antiqua" w:cs="PMingLiU"/>
                <w:color w:val="000000" w:themeColor="text1"/>
                <w:kern w:val="0"/>
                <w:szCs w:val="24"/>
              </w:rPr>
              <w:t>(36%)</w:t>
            </w:r>
          </w:p>
        </w:tc>
        <w:tc>
          <w:tcPr>
            <w:tcW w:w="900" w:type="dxa"/>
            <w:shd w:val="clear" w:color="auto" w:fill="auto"/>
            <w:noWrap/>
            <w:vAlign w:val="center"/>
            <w:hideMark/>
          </w:tcPr>
          <w:p w14:paraId="7BB2327E" w14:textId="77777777" w:rsidR="00AF289B" w:rsidRPr="00F740D9" w:rsidRDefault="00AF289B" w:rsidP="00BE6C9D">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&lt; 0.001</w:t>
            </w:r>
          </w:p>
        </w:tc>
      </w:tr>
    </w:tbl>
    <w:p w14:paraId="47A965D4" w14:textId="56E6AC72" w:rsidR="00AF289B" w:rsidRDefault="00771EAB" w:rsidP="00BE6C9D">
      <w:pPr>
        <w:widowControl/>
        <w:snapToGrid w:val="0"/>
        <w:spacing w:line="360" w:lineRule="auto"/>
        <w:jc w:val="both"/>
        <w:rPr>
          <w:rFonts w:ascii="Book Antiqua" w:eastAsia="DengXian" w:hAnsi="Book Antiqua"/>
          <w:color w:val="000000" w:themeColor="text1"/>
          <w:szCs w:val="24"/>
          <w:lang w:eastAsia="zh-CN"/>
        </w:rPr>
      </w:pPr>
      <w:r w:rsidRPr="00F740D9">
        <w:rPr>
          <w:rFonts w:ascii="Book Antiqua" w:hAnsi="Book Antiqua"/>
          <w:color w:val="000000" w:themeColor="text1"/>
          <w:szCs w:val="24"/>
          <w:lang w:eastAsia="zh-CN"/>
        </w:rPr>
        <w:t xml:space="preserve">AFP: </w:t>
      </w:r>
      <w:r w:rsidRPr="00F740D9">
        <w:rPr>
          <w:rFonts w:ascii="Book Antiqua" w:hAnsi="Book Antiqua"/>
          <w:color w:val="000000" w:themeColor="text1"/>
          <w:szCs w:val="24"/>
        </w:rPr>
        <w:t xml:space="preserve">Alpha-fetoprotein; </w:t>
      </w:r>
      <w:r w:rsidRPr="00F740D9">
        <w:rPr>
          <w:rFonts w:ascii="Book Antiqua" w:hAnsi="Book Antiqua"/>
          <w:color w:val="000000" w:themeColor="text1"/>
          <w:szCs w:val="24"/>
          <w:lang w:eastAsia="zh-CN"/>
        </w:rPr>
        <w:t xml:space="preserve">RFA: Radiofrequency ablation; </w:t>
      </w:r>
      <w:r w:rsidRPr="00F740D9">
        <w:rPr>
          <w:rFonts w:ascii="Book Antiqua" w:hAnsi="Book Antiqua"/>
          <w:color w:val="000000" w:themeColor="text1"/>
          <w:szCs w:val="24"/>
        </w:rPr>
        <w:t>TACE: Trans-arterial chemoembolization; mTOR: Mammalian target of rapamycin.</w:t>
      </w:r>
    </w:p>
    <w:p w14:paraId="4793EB3E" w14:textId="77777777" w:rsidR="00701A09" w:rsidRDefault="00701A09" w:rsidP="00BE6C9D">
      <w:pPr>
        <w:widowControl/>
        <w:snapToGrid w:val="0"/>
        <w:spacing w:line="360" w:lineRule="auto"/>
        <w:jc w:val="both"/>
        <w:rPr>
          <w:rFonts w:ascii="Book Antiqua" w:eastAsia="DengXian" w:hAnsi="Book Antiqua"/>
          <w:color w:val="000000" w:themeColor="text1"/>
          <w:szCs w:val="24"/>
          <w:lang w:eastAsia="zh-CN"/>
        </w:rPr>
      </w:pPr>
    </w:p>
    <w:p w14:paraId="10B4731B" w14:textId="75B09485" w:rsidR="00701A09" w:rsidRPr="00701A09" w:rsidRDefault="00701A09" w:rsidP="00BE6C9D">
      <w:pPr>
        <w:widowControl/>
        <w:snapToGrid w:val="0"/>
        <w:spacing w:line="360" w:lineRule="auto"/>
        <w:jc w:val="both"/>
        <w:rPr>
          <w:rFonts w:ascii="Book Antiqua" w:eastAsia="DengXian" w:hAnsi="Book Antiqua"/>
          <w:color w:val="000000" w:themeColor="text1"/>
          <w:szCs w:val="24"/>
          <w:lang w:eastAsia="zh-CN"/>
        </w:rPr>
      </w:pPr>
      <w:r w:rsidRPr="00F740D9">
        <w:rPr>
          <w:rFonts w:ascii="Book Antiqua" w:hAnsi="Book Antiqua"/>
          <w:b/>
          <w:bCs/>
          <w:color w:val="000000" w:themeColor="text1"/>
          <w:szCs w:val="24"/>
        </w:rPr>
        <w:t>Table 3 Survival analysis</w:t>
      </w:r>
    </w:p>
    <w:p w14:paraId="38C1A284" w14:textId="77777777" w:rsidR="00771EAB" w:rsidRPr="00701A09" w:rsidRDefault="00771EAB" w:rsidP="00BE6C9D">
      <w:pPr>
        <w:widowControl/>
        <w:snapToGrid w:val="0"/>
        <w:spacing w:line="360" w:lineRule="auto"/>
        <w:jc w:val="both"/>
        <w:rPr>
          <w:rFonts w:ascii="Book Antiqua" w:eastAsia="DengXian" w:hAnsi="Book Antiqua"/>
          <w:color w:val="000000" w:themeColor="text1"/>
          <w:szCs w:val="24"/>
          <w:lang w:eastAsia="zh-CN"/>
        </w:rPr>
      </w:pPr>
    </w:p>
    <w:p w14:paraId="355D6E25" w14:textId="121EEDC2" w:rsidR="00771EAB" w:rsidRPr="00701A09" w:rsidRDefault="00771EAB" w:rsidP="00701A09">
      <w:pPr>
        <w:widowControl/>
        <w:snapToGrid w:val="0"/>
        <w:spacing w:line="360" w:lineRule="auto"/>
        <w:rPr>
          <w:rFonts w:ascii="Book Antiqua" w:eastAsia="DengXian" w:hAnsi="Book Antiqua"/>
          <w:b/>
          <w:bCs/>
          <w:color w:val="000000" w:themeColor="text1"/>
          <w:szCs w:val="24"/>
          <w:lang w:eastAsia="zh-CN"/>
        </w:rPr>
      </w:pPr>
    </w:p>
    <w:p w14:paraId="47B59F96" w14:textId="6DE1FFCB" w:rsidR="00AF289B" w:rsidRPr="00F740D9" w:rsidRDefault="00AF289B" w:rsidP="00BE6C9D">
      <w:pPr>
        <w:snapToGrid w:val="0"/>
        <w:spacing w:line="360" w:lineRule="auto"/>
        <w:jc w:val="both"/>
        <w:rPr>
          <w:rFonts w:ascii="Book Antiqua" w:eastAsia="PMingLiU" w:hAnsi="Book Antiqua" w:cs="PMingLiU"/>
          <w:b/>
          <w:bCs/>
          <w:color w:val="000000" w:themeColor="text1"/>
          <w:kern w:val="0"/>
          <w:szCs w:val="24"/>
        </w:rPr>
      </w:pPr>
    </w:p>
    <w:tbl>
      <w:tblPr>
        <w:tblpPr w:leftFromText="180" w:rightFromText="180" w:vertAnchor="page" w:horzAnchor="margin" w:tblpXSpec="center" w:tblpY="1873"/>
        <w:tblW w:w="11462" w:type="dxa"/>
        <w:tblBorders>
          <w:top w:val="single" w:sz="4" w:space="0" w:color="auto"/>
          <w:bottom w:val="single" w:sz="4" w:space="0" w:color="auto"/>
        </w:tblBorders>
        <w:tblCellMar>
          <w:left w:w="28" w:type="dxa"/>
          <w:right w:w="28" w:type="dxa"/>
        </w:tblCellMar>
        <w:tblLook w:val="04A0" w:firstRow="1" w:lastRow="0" w:firstColumn="1" w:lastColumn="0" w:noHBand="0" w:noVBand="1"/>
      </w:tblPr>
      <w:tblGrid>
        <w:gridCol w:w="3720"/>
        <w:gridCol w:w="1138"/>
        <w:gridCol w:w="2763"/>
        <w:gridCol w:w="1120"/>
        <w:gridCol w:w="2721"/>
      </w:tblGrid>
      <w:tr w:rsidR="00FC4970" w:rsidRPr="00F740D9" w14:paraId="06114F01" w14:textId="77777777" w:rsidTr="00FC4970">
        <w:trPr>
          <w:trHeight w:val="315"/>
        </w:trPr>
        <w:tc>
          <w:tcPr>
            <w:tcW w:w="3720" w:type="dxa"/>
            <w:vMerge w:val="restart"/>
            <w:tcBorders>
              <w:top w:val="single" w:sz="4" w:space="0" w:color="auto"/>
            </w:tcBorders>
            <w:shd w:val="clear" w:color="auto" w:fill="auto"/>
            <w:noWrap/>
            <w:vAlign w:val="center"/>
            <w:hideMark/>
          </w:tcPr>
          <w:p w14:paraId="1C4E6BC3" w14:textId="77777777" w:rsidR="00FC4970" w:rsidRPr="00F740D9" w:rsidRDefault="00FC4970" w:rsidP="00FC4970">
            <w:pPr>
              <w:widowControl/>
              <w:snapToGrid w:val="0"/>
              <w:spacing w:line="360" w:lineRule="auto"/>
              <w:jc w:val="both"/>
              <w:rPr>
                <w:rFonts w:ascii="Book Antiqua" w:eastAsia="Times New Roman" w:hAnsi="Book Antiqua" w:cs="Times New Roman"/>
                <w:b/>
                <w:bCs/>
                <w:color w:val="000000" w:themeColor="text1"/>
                <w:kern w:val="0"/>
                <w:szCs w:val="24"/>
              </w:rPr>
            </w:pPr>
          </w:p>
        </w:tc>
        <w:tc>
          <w:tcPr>
            <w:tcW w:w="3901" w:type="dxa"/>
            <w:gridSpan w:val="2"/>
            <w:tcBorders>
              <w:top w:val="single" w:sz="4" w:space="0" w:color="auto"/>
              <w:bottom w:val="single" w:sz="4" w:space="0" w:color="auto"/>
            </w:tcBorders>
            <w:shd w:val="clear" w:color="auto" w:fill="auto"/>
            <w:noWrap/>
            <w:vAlign w:val="center"/>
            <w:hideMark/>
          </w:tcPr>
          <w:p w14:paraId="0788E65E" w14:textId="77777777" w:rsidR="00FC4970" w:rsidRPr="00F740D9" w:rsidRDefault="00FC4970" w:rsidP="00FC4970">
            <w:pPr>
              <w:widowControl/>
              <w:snapToGrid w:val="0"/>
              <w:spacing w:line="360" w:lineRule="auto"/>
              <w:jc w:val="both"/>
              <w:rPr>
                <w:rFonts w:ascii="Book Antiqua" w:eastAsia="PMingLiU" w:hAnsi="Book Antiqua" w:cs="PMingLiU"/>
                <w:b/>
                <w:bCs/>
                <w:color w:val="000000" w:themeColor="text1"/>
                <w:kern w:val="0"/>
                <w:szCs w:val="24"/>
              </w:rPr>
            </w:pPr>
            <w:r w:rsidRPr="00F740D9">
              <w:rPr>
                <w:rFonts w:ascii="Book Antiqua" w:eastAsia="PMingLiU" w:hAnsi="Book Antiqua" w:cs="PMingLiU"/>
                <w:b/>
                <w:bCs/>
                <w:color w:val="000000" w:themeColor="text1"/>
                <w:kern w:val="0"/>
                <w:szCs w:val="24"/>
              </w:rPr>
              <w:t>Univariate</w:t>
            </w:r>
          </w:p>
        </w:tc>
        <w:tc>
          <w:tcPr>
            <w:tcW w:w="3841" w:type="dxa"/>
            <w:gridSpan w:val="2"/>
            <w:tcBorders>
              <w:top w:val="single" w:sz="4" w:space="0" w:color="auto"/>
              <w:bottom w:val="single" w:sz="4" w:space="0" w:color="auto"/>
            </w:tcBorders>
            <w:shd w:val="clear" w:color="auto" w:fill="auto"/>
            <w:noWrap/>
            <w:vAlign w:val="center"/>
            <w:hideMark/>
          </w:tcPr>
          <w:p w14:paraId="29FA656A" w14:textId="77777777" w:rsidR="00FC4970" w:rsidRPr="00F740D9" w:rsidRDefault="00FC4970" w:rsidP="00FC4970">
            <w:pPr>
              <w:widowControl/>
              <w:snapToGrid w:val="0"/>
              <w:spacing w:line="360" w:lineRule="auto"/>
              <w:jc w:val="both"/>
              <w:rPr>
                <w:rFonts w:ascii="Book Antiqua" w:eastAsia="PMingLiU" w:hAnsi="Book Antiqua" w:cs="PMingLiU"/>
                <w:b/>
                <w:bCs/>
                <w:color w:val="000000" w:themeColor="text1"/>
                <w:kern w:val="0"/>
                <w:szCs w:val="24"/>
              </w:rPr>
            </w:pPr>
            <w:r w:rsidRPr="00F740D9">
              <w:rPr>
                <w:rFonts w:ascii="Book Antiqua" w:eastAsia="PMingLiU" w:hAnsi="Book Antiqua" w:cs="PMingLiU"/>
                <w:b/>
                <w:bCs/>
                <w:color w:val="000000" w:themeColor="text1"/>
                <w:kern w:val="0"/>
                <w:szCs w:val="24"/>
              </w:rPr>
              <w:t>Multivariate</w:t>
            </w:r>
          </w:p>
        </w:tc>
      </w:tr>
      <w:tr w:rsidR="00FC4970" w:rsidRPr="00F740D9" w14:paraId="6FC80761" w14:textId="77777777" w:rsidTr="00FC4970">
        <w:trPr>
          <w:trHeight w:val="315"/>
        </w:trPr>
        <w:tc>
          <w:tcPr>
            <w:tcW w:w="3720" w:type="dxa"/>
            <w:vMerge/>
            <w:tcBorders>
              <w:bottom w:val="single" w:sz="4" w:space="0" w:color="auto"/>
            </w:tcBorders>
            <w:shd w:val="clear" w:color="auto" w:fill="auto"/>
            <w:noWrap/>
            <w:vAlign w:val="center"/>
            <w:hideMark/>
          </w:tcPr>
          <w:p w14:paraId="61109561" w14:textId="77777777" w:rsidR="00FC4970" w:rsidRPr="00F740D9" w:rsidRDefault="00FC4970" w:rsidP="00FC4970">
            <w:pPr>
              <w:widowControl/>
              <w:snapToGrid w:val="0"/>
              <w:spacing w:line="360" w:lineRule="auto"/>
              <w:jc w:val="both"/>
              <w:rPr>
                <w:rFonts w:ascii="Book Antiqua" w:eastAsia="Times New Roman" w:hAnsi="Book Antiqua" w:cs="Times New Roman"/>
                <w:b/>
                <w:bCs/>
                <w:color w:val="000000" w:themeColor="text1"/>
                <w:kern w:val="0"/>
                <w:szCs w:val="24"/>
              </w:rPr>
            </w:pPr>
          </w:p>
        </w:tc>
        <w:tc>
          <w:tcPr>
            <w:tcW w:w="1138" w:type="dxa"/>
            <w:tcBorders>
              <w:top w:val="single" w:sz="4" w:space="0" w:color="auto"/>
              <w:bottom w:val="single" w:sz="4" w:space="0" w:color="auto"/>
            </w:tcBorders>
            <w:shd w:val="clear" w:color="auto" w:fill="auto"/>
            <w:noWrap/>
            <w:vAlign w:val="center"/>
            <w:hideMark/>
          </w:tcPr>
          <w:p w14:paraId="543F9709" w14:textId="14AC3B04" w:rsidR="00FC4970" w:rsidRPr="00F740D9" w:rsidRDefault="00FC4970" w:rsidP="00FC4970">
            <w:pPr>
              <w:widowControl/>
              <w:snapToGrid w:val="0"/>
              <w:spacing w:line="360" w:lineRule="auto"/>
              <w:jc w:val="both"/>
              <w:rPr>
                <w:rFonts w:ascii="Book Antiqua" w:eastAsia="PMingLiU" w:hAnsi="Book Antiqua" w:cs="PMingLiU"/>
                <w:b/>
                <w:bCs/>
                <w:color w:val="000000" w:themeColor="text1"/>
                <w:kern w:val="0"/>
                <w:szCs w:val="24"/>
              </w:rPr>
            </w:pPr>
            <w:r w:rsidRPr="00F740D9">
              <w:rPr>
                <w:rFonts w:ascii="Book Antiqua" w:eastAsia="PMingLiU" w:hAnsi="Book Antiqua" w:cs="PMingLiU"/>
                <w:b/>
                <w:bCs/>
                <w:i/>
                <w:iCs/>
                <w:color w:val="000000" w:themeColor="text1"/>
                <w:kern w:val="0"/>
                <w:szCs w:val="24"/>
              </w:rPr>
              <w:t>P</w:t>
            </w:r>
            <w:r w:rsidR="00AA795C">
              <w:rPr>
                <w:rFonts w:ascii="Book Antiqua" w:eastAsia="PMingLiU" w:hAnsi="Book Antiqua" w:cs="PMingLiU"/>
                <w:b/>
                <w:bCs/>
                <w:i/>
                <w:iCs/>
                <w:color w:val="000000" w:themeColor="text1"/>
                <w:kern w:val="0"/>
                <w:szCs w:val="24"/>
              </w:rPr>
              <w:t xml:space="preserve"> </w:t>
            </w:r>
            <w:r w:rsidRPr="00F740D9">
              <w:rPr>
                <w:rFonts w:ascii="Book Antiqua" w:eastAsia="PMingLiU" w:hAnsi="Book Antiqua" w:cs="PMingLiU"/>
                <w:b/>
                <w:bCs/>
                <w:color w:val="000000" w:themeColor="text1"/>
                <w:kern w:val="0"/>
                <w:szCs w:val="24"/>
              </w:rPr>
              <w:t>value</w:t>
            </w:r>
          </w:p>
        </w:tc>
        <w:tc>
          <w:tcPr>
            <w:tcW w:w="2763" w:type="dxa"/>
            <w:tcBorders>
              <w:top w:val="single" w:sz="4" w:space="0" w:color="auto"/>
              <w:bottom w:val="single" w:sz="4" w:space="0" w:color="auto"/>
            </w:tcBorders>
            <w:shd w:val="clear" w:color="auto" w:fill="auto"/>
            <w:noWrap/>
            <w:vAlign w:val="center"/>
            <w:hideMark/>
          </w:tcPr>
          <w:p w14:paraId="26920438" w14:textId="77777777" w:rsidR="00FC4970" w:rsidRPr="00F740D9" w:rsidRDefault="00FC4970" w:rsidP="00FC4970">
            <w:pPr>
              <w:widowControl/>
              <w:snapToGrid w:val="0"/>
              <w:spacing w:line="360" w:lineRule="auto"/>
              <w:jc w:val="both"/>
              <w:rPr>
                <w:rFonts w:ascii="Book Antiqua" w:eastAsia="PMingLiU" w:hAnsi="Book Antiqua" w:cs="PMingLiU"/>
                <w:b/>
                <w:bCs/>
                <w:color w:val="000000" w:themeColor="text1"/>
                <w:kern w:val="0"/>
                <w:szCs w:val="24"/>
              </w:rPr>
            </w:pPr>
            <w:r w:rsidRPr="00F740D9">
              <w:rPr>
                <w:rFonts w:ascii="Book Antiqua" w:eastAsia="PMingLiU" w:hAnsi="Book Antiqua" w:cs="PMingLiU"/>
                <w:b/>
                <w:bCs/>
                <w:color w:val="000000" w:themeColor="text1"/>
                <w:kern w:val="0"/>
                <w:szCs w:val="24"/>
              </w:rPr>
              <w:t>OR</w:t>
            </w:r>
            <w:r w:rsidRPr="00F740D9">
              <w:rPr>
                <w:rFonts w:ascii="Book Antiqua" w:eastAsia="PMingLiU" w:hAnsi="Book Antiqua" w:cs="PMingLiU"/>
                <w:b/>
                <w:bCs/>
                <w:color w:val="000000" w:themeColor="text1"/>
                <w:kern w:val="0"/>
                <w:szCs w:val="24"/>
                <w:lang w:eastAsia="zh-CN"/>
              </w:rPr>
              <w:t xml:space="preserve"> </w:t>
            </w:r>
            <w:r w:rsidRPr="00F740D9">
              <w:rPr>
                <w:rFonts w:ascii="Book Antiqua" w:eastAsia="PMingLiU" w:hAnsi="Book Antiqua" w:cs="PMingLiU"/>
                <w:b/>
                <w:bCs/>
                <w:color w:val="000000" w:themeColor="text1"/>
                <w:kern w:val="0"/>
                <w:szCs w:val="24"/>
              </w:rPr>
              <w:t>(95%CI)</w:t>
            </w:r>
          </w:p>
        </w:tc>
        <w:tc>
          <w:tcPr>
            <w:tcW w:w="1120" w:type="dxa"/>
            <w:tcBorders>
              <w:top w:val="single" w:sz="4" w:space="0" w:color="auto"/>
              <w:bottom w:val="single" w:sz="4" w:space="0" w:color="auto"/>
            </w:tcBorders>
            <w:shd w:val="clear" w:color="auto" w:fill="auto"/>
            <w:noWrap/>
            <w:vAlign w:val="center"/>
            <w:hideMark/>
          </w:tcPr>
          <w:p w14:paraId="4AB8AAEA" w14:textId="0DCDD27C" w:rsidR="00FC4970" w:rsidRPr="00F740D9" w:rsidRDefault="00FC4970" w:rsidP="00FC4970">
            <w:pPr>
              <w:widowControl/>
              <w:snapToGrid w:val="0"/>
              <w:spacing w:line="360" w:lineRule="auto"/>
              <w:jc w:val="both"/>
              <w:rPr>
                <w:rFonts w:ascii="Book Antiqua" w:eastAsia="PMingLiU" w:hAnsi="Book Antiqua" w:cs="PMingLiU"/>
                <w:b/>
                <w:bCs/>
                <w:color w:val="000000" w:themeColor="text1"/>
                <w:kern w:val="0"/>
                <w:szCs w:val="24"/>
              </w:rPr>
            </w:pPr>
            <w:r w:rsidRPr="00F740D9">
              <w:rPr>
                <w:rFonts w:ascii="Book Antiqua" w:eastAsia="PMingLiU" w:hAnsi="Book Antiqua" w:cs="PMingLiU"/>
                <w:b/>
                <w:bCs/>
                <w:i/>
                <w:iCs/>
                <w:color w:val="000000" w:themeColor="text1"/>
                <w:kern w:val="0"/>
                <w:szCs w:val="24"/>
              </w:rPr>
              <w:t>P</w:t>
            </w:r>
            <w:r w:rsidR="00AA795C">
              <w:rPr>
                <w:rFonts w:ascii="Book Antiqua" w:eastAsia="PMingLiU" w:hAnsi="Book Antiqua" w:cs="PMingLiU"/>
                <w:b/>
                <w:bCs/>
                <w:i/>
                <w:iCs/>
                <w:color w:val="000000" w:themeColor="text1"/>
                <w:kern w:val="0"/>
                <w:szCs w:val="24"/>
              </w:rPr>
              <w:t xml:space="preserve"> </w:t>
            </w:r>
            <w:r w:rsidRPr="00F740D9">
              <w:rPr>
                <w:rFonts w:ascii="Book Antiqua" w:eastAsia="PMingLiU" w:hAnsi="Book Antiqua" w:cs="PMingLiU"/>
                <w:b/>
                <w:bCs/>
                <w:color w:val="000000" w:themeColor="text1"/>
                <w:kern w:val="0"/>
                <w:szCs w:val="24"/>
              </w:rPr>
              <w:t>value</w:t>
            </w:r>
          </w:p>
        </w:tc>
        <w:tc>
          <w:tcPr>
            <w:tcW w:w="2721" w:type="dxa"/>
            <w:tcBorders>
              <w:top w:val="single" w:sz="4" w:space="0" w:color="auto"/>
              <w:bottom w:val="single" w:sz="4" w:space="0" w:color="auto"/>
            </w:tcBorders>
            <w:shd w:val="clear" w:color="auto" w:fill="auto"/>
            <w:noWrap/>
            <w:vAlign w:val="center"/>
            <w:hideMark/>
          </w:tcPr>
          <w:p w14:paraId="2981B34B" w14:textId="77777777" w:rsidR="00FC4970" w:rsidRPr="00F740D9" w:rsidRDefault="00FC4970" w:rsidP="00FC4970">
            <w:pPr>
              <w:widowControl/>
              <w:snapToGrid w:val="0"/>
              <w:spacing w:line="360" w:lineRule="auto"/>
              <w:jc w:val="both"/>
              <w:rPr>
                <w:rFonts w:ascii="Book Antiqua" w:eastAsia="PMingLiU" w:hAnsi="Book Antiqua" w:cs="PMingLiU"/>
                <w:b/>
                <w:bCs/>
                <w:color w:val="000000" w:themeColor="text1"/>
                <w:kern w:val="0"/>
                <w:szCs w:val="24"/>
              </w:rPr>
            </w:pPr>
            <w:r w:rsidRPr="00F740D9">
              <w:rPr>
                <w:rFonts w:ascii="Book Antiqua" w:eastAsia="PMingLiU" w:hAnsi="Book Antiqua" w:cs="PMingLiU"/>
                <w:b/>
                <w:bCs/>
                <w:color w:val="000000" w:themeColor="text1"/>
                <w:kern w:val="0"/>
                <w:szCs w:val="24"/>
              </w:rPr>
              <w:t>OR</w:t>
            </w:r>
            <w:r w:rsidRPr="00F740D9">
              <w:rPr>
                <w:rFonts w:ascii="Book Antiqua" w:eastAsia="PMingLiU" w:hAnsi="Book Antiqua" w:cs="PMingLiU"/>
                <w:b/>
                <w:bCs/>
                <w:color w:val="000000" w:themeColor="text1"/>
                <w:kern w:val="0"/>
                <w:szCs w:val="24"/>
                <w:lang w:eastAsia="zh-CN"/>
              </w:rPr>
              <w:t xml:space="preserve"> </w:t>
            </w:r>
            <w:r w:rsidRPr="00F740D9">
              <w:rPr>
                <w:rFonts w:ascii="Book Antiqua" w:eastAsia="PMingLiU" w:hAnsi="Book Antiqua" w:cs="PMingLiU"/>
                <w:b/>
                <w:bCs/>
                <w:color w:val="000000" w:themeColor="text1"/>
                <w:kern w:val="0"/>
                <w:szCs w:val="24"/>
              </w:rPr>
              <w:t>(95%CI)</w:t>
            </w:r>
          </w:p>
        </w:tc>
      </w:tr>
      <w:tr w:rsidR="00FC4970" w:rsidRPr="00F740D9" w14:paraId="314F40F7" w14:textId="77777777" w:rsidTr="00FC4970">
        <w:trPr>
          <w:trHeight w:val="315"/>
        </w:trPr>
        <w:tc>
          <w:tcPr>
            <w:tcW w:w="3720" w:type="dxa"/>
            <w:tcBorders>
              <w:top w:val="single" w:sz="4" w:space="0" w:color="auto"/>
            </w:tcBorders>
            <w:shd w:val="clear" w:color="auto" w:fill="auto"/>
            <w:noWrap/>
            <w:vAlign w:val="center"/>
            <w:hideMark/>
          </w:tcPr>
          <w:p w14:paraId="67D00AD9" w14:textId="77777777" w:rsidR="00FC4970" w:rsidRPr="00F740D9" w:rsidRDefault="00FC4970" w:rsidP="00FC4970">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Date of recurrence</w:t>
            </w:r>
          </w:p>
        </w:tc>
        <w:tc>
          <w:tcPr>
            <w:tcW w:w="1138" w:type="dxa"/>
            <w:tcBorders>
              <w:top w:val="single" w:sz="4" w:space="0" w:color="auto"/>
            </w:tcBorders>
            <w:shd w:val="clear" w:color="auto" w:fill="auto"/>
            <w:noWrap/>
            <w:vAlign w:val="center"/>
            <w:hideMark/>
          </w:tcPr>
          <w:p w14:paraId="333D155A" w14:textId="77777777" w:rsidR="00FC4970" w:rsidRPr="00F740D9" w:rsidRDefault="00FC4970" w:rsidP="00FC4970">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0.006</w:t>
            </w:r>
          </w:p>
        </w:tc>
        <w:tc>
          <w:tcPr>
            <w:tcW w:w="2763" w:type="dxa"/>
            <w:tcBorders>
              <w:top w:val="single" w:sz="4" w:space="0" w:color="auto"/>
            </w:tcBorders>
            <w:shd w:val="clear" w:color="auto" w:fill="auto"/>
            <w:noWrap/>
            <w:vAlign w:val="center"/>
            <w:hideMark/>
          </w:tcPr>
          <w:p w14:paraId="4968F476" w14:textId="77777777" w:rsidR="00FC4970" w:rsidRPr="00F740D9" w:rsidRDefault="00FC4970" w:rsidP="00FC4970">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1.00</w:t>
            </w:r>
            <w:r w:rsidRPr="00F740D9">
              <w:rPr>
                <w:rFonts w:ascii="Book Antiqua" w:eastAsia="PMingLiU" w:hAnsi="Book Antiqua" w:cs="PMingLiU"/>
                <w:color w:val="000000" w:themeColor="text1"/>
                <w:kern w:val="0"/>
                <w:szCs w:val="24"/>
                <w:lang w:eastAsia="zh-CN"/>
              </w:rPr>
              <w:t xml:space="preserve"> </w:t>
            </w:r>
            <w:r w:rsidRPr="00F740D9">
              <w:rPr>
                <w:rFonts w:ascii="Book Antiqua" w:eastAsia="PMingLiU" w:hAnsi="Book Antiqua" w:cs="PMingLiU"/>
                <w:color w:val="000000" w:themeColor="text1"/>
                <w:kern w:val="0"/>
                <w:szCs w:val="24"/>
              </w:rPr>
              <w:t>(1.00-1.00)</w:t>
            </w:r>
          </w:p>
        </w:tc>
        <w:tc>
          <w:tcPr>
            <w:tcW w:w="1120" w:type="dxa"/>
            <w:tcBorders>
              <w:top w:val="single" w:sz="4" w:space="0" w:color="auto"/>
            </w:tcBorders>
            <w:shd w:val="clear" w:color="auto" w:fill="auto"/>
            <w:noWrap/>
            <w:vAlign w:val="center"/>
            <w:hideMark/>
          </w:tcPr>
          <w:p w14:paraId="5A7739BE" w14:textId="77777777" w:rsidR="00FC4970" w:rsidRPr="00F740D9" w:rsidRDefault="00FC4970" w:rsidP="00FC4970">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0.79</w:t>
            </w:r>
          </w:p>
        </w:tc>
        <w:tc>
          <w:tcPr>
            <w:tcW w:w="2721" w:type="dxa"/>
            <w:tcBorders>
              <w:top w:val="single" w:sz="4" w:space="0" w:color="auto"/>
            </w:tcBorders>
            <w:shd w:val="clear" w:color="auto" w:fill="auto"/>
            <w:noWrap/>
            <w:vAlign w:val="center"/>
            <w:hideMark/>
          </w:tcPr>
          <w:p w14:paraId="2AEF16ED" w14:textId="77777777" w:rsidR="00FC4970" w:rsidRPr="00F740D9" w:rsidRDefault="00FC4970" w:rsidP="00FC4970">
            <w:pPr>
              <w:widowControl/>
              <w:snapToGrid w:val="0"/>
              <w:spacing w:line="360" w:lineRule="auto"/>
              <w:jc w:val="both"/>
              <w:rPr>
                <w:rFonts w:ascii="Book Antiqua" w:eastAsia="Times New Roman" w:hAnsi="Book Antiqua" w:cs="Times New Roman"/>
                <w:color w:val="000000" w:themeColor="text1"/>
                <w:kern w:val="0"/>
                <w:szCs w:val="24"/>
              </w:rPr>
            </w:pPr>
          </w:p>
        </w:tc>
      </w:tr>
      <w:tr w:rsidR="00FC4970" w:rsidRPr="00F740D9" w14:paraId="65C7CB3A" w14:textId="77777777" w:rsidTr="00FC4970">
        <w:trPr>
          <w:trHeight w:val="315"/>
        </w:trPr>
        <w:tc>
          <w:tcPr>
            <w:tcW w:w="3720" w:type="dxa"/>
            <w:shd w:val="clear" w:color="auto" w:fill="auto"/>
            <w:noWrap/>
            <w:vAlign w:val="center"/>
            <w:hideMark/>
          </w:tcPr>
          <w:p w14:paraId="487C066B" w14:textId="6ABF5765" w:rsidR="00FC4970" w:rsidRPr="00F740D9" w:rsidRDefault="00FC4970" w:rsidP="00FC4970">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Age at recurrence</w:t>
            </w:r>
            <w:r w:rsidR="00BE271A">
              <w:rPr>
                <w:rFonts w:ascii="Book Antiqua" w:eastAsia="PMingLiU" w:hAnsi="Book Antiqua" w:cs="PMingLiU"/>
                <w:color w:val="000000" w:themeColor="text1"/>
                <w:kern w:val="0"/>
                <w:szCs w:val="24"/>
              </w:rPr>
              <w:t xml:space="preserve"> (years)</w:t>
            </w:r>
          </w:p>
        </w:tc>
        <w:tc>
          <w:tcPr>
            <w:tcW w:w="1138" w:type="dxa"/>
            <w:shd w:val="clear" w:color="auto" w:fill="auto"/>
            <w:noWrap/>
            <w:vAlign w:val="center"/>
            <w:hideMark/>
          </w:tcPr>
          <w:p w14:paraId="590F03AC" w14:textId="77777777" w:rsidR="00FC4970" w:rsidRPr="00F740D9" w:rsidRDefault="00FC4970" w:rsidP="00FC4970">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0.93</w:t>
            </w:r>
          </w:p>
        </w:tc>
        <w:tc>
          <w:tcPr>
            <w:tcW w:w="2763" w:type="dxa"/>
            <w:shd w:val="clear" w:color="auto" w:fill="auto"/>
            <w:noWrap/>
            <w:vAlign w:val="center"/>
            <w:hideMark/>
          </w:tcPr>
          <w:p w14:paraId="300CBE4B" w14:textId="77777777" w:rsidR="00FC4970" w:rsidRPr="00F740D9" w:rsidRDefault="00FC4970" w:rsidP="00FC4970">
            <w:pPr>
              <w:widowControl/>
              <w:snapToGrid w:val="0"/>
              <w:spacing w:line="360" w:lineRule="auto"/>
              <w:jc w:val="both"/>
              <w:rPr>
                <w:rFonts w:ascii="Book Antiqua" w:eastAsia="Times New Roman" w:hAnsi="Book Antiqua" w:cs="Times New Roman"/>
                <w:color w:val="000000" w:themeColor="text1"/>
                <w:kern w:val="0"/>
                <w:szCs w:val="24"/>
              </w:rPr>
            </w:pPr>
          </w:p>
        </w:tc>
        <w:tc>
          <w:tcPr>
            <w:tcW w:w="1120" w:type="dxa"/>
            <w:shd w:val="clear" w:color="auto" w:fill="auto"/>
            <w:noWrap/>
            <w:vAlign w:val="center"/>
            <w:hideMark/>
          </w:tcPr>
          <w:p w14:paraId="73ED10CB" w14:textId="77777777" w:rsidR="00FC4970" w:rsidRPr="00F740D9" w:rsidRDefault="00FC4970" w:rsidP="00FC4970">
            <w:pPr>
              <w:widowControl/>
              <w:snapToGrid w:val="0"/>
              <w:spacing w:line="360" w:lineRule="auto"/>
              <w:jc w:val="both"/>
              <w:rPr>
                <w:rFonts w:ascii="Book Antiqua" w:eastAsia="Times New Roman" w:hAnsi="Book Antiqua" w:cs="Times New Roman"/>
                <w:color w:val="000000" w:themeColor="text1"/>
                <w:kern w:val="0"/>
                <w:szCs w:val="24"/>
              </w:rPr>
            </w:pPr>
          </w:p>
        </w:tc>
        <w:tc>
          <w:tcPr>
            <w:tcW w:w="2721" w:type="dxa"/>
            <w:shd w:val="clear" w:color="auto" w:fill="auto"/>
            <w:noWrap/>
            <w:vAlign w:val="center"/>
            <w:hideMark/>
          </w:tcPr>
          <w:p w14:paraId="68AA3BDF" w14:textId="77777777" w:rsidR="00FC4970" w:rsidRPr="00F740D9" w:rsidRDefault="00FC4970" w:rsidP="00FC4970">
            <w:pPr>
              <w:widowControl/>
              <w:snapToGrid w:val="0"/>
              <w:spacing w:line="360" w:lineRule="auto"/>
              <w:jc w:val="both"/>
              <w:rPr>
                <w:rFonts w:ascii="Book Antiqua" w:eastAsia="Times New Roman" w:hAnsi="Book Antiqua" w:cs="Times New Roman"/>
                <w:color w:val="000000" w:themeColor="text1"/>
                <w:kern w:val="0"/>
                <w:szCs w:val="24"/>
              </w:rPr>
            </w:pPr>
          </w:p>
        </w:tc>
      </w:tr>
      <w:tr w:rsidR="00FC4970" w:rsidRPr="00F740D9" w14:paraId="0800E8E1" w14:textId="77777777" w:rsidTr="00FC4970">
        <w:trPr>
          <w:trHeight w:val="315"/>
        </w:trPr>
        <w:tc>
          <w:tcPr>
            <w:tcW w:w="3720" w:type="dxa"/>
            <w:shd w:val="clear" w:color="auto" w:fill="auto"/>
            <w:noWrap/>
            <w:vAlign w:val="center"/>
            <w:hideMark/>
          </w:tcPr>
          <w:p w14:paraId="3CCC5B85" w14:textId="77777777" w:rsidR="00FC4970" w:rsidRPr="00F740D9" w:rsidRDefault="00FC4970" w:rsidP="00FC4970">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Time from transplant</w:t>
            </w:r>
          </w:p>
        </w:tc>
        <w:tc>
          <w:tcPr>
            <w:tcW w:w="1138" w:type="dxa"/>
            <w:shd w:val="clear" w:color="auto" w:fill="auto"/>
            <w:noWrap/>
            <w:vAlign w:val="center"/>
            <w:hideMark/>
          </w:tcPr>
          <w:p w14:paraId="06DFC2EE" w14:textId="77777777" w:rsidR="00FC4970" w:rsidRPr="00F740D9" w:rsidRDefault="00FC4970" w:rsidP="00FC4970">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&lt; 0.001</w:t>
            </w:r>
          </w:p>
        </w:tc>
        <w:tc>
          <w:tcPr>
            <w:tcW w:w="2763" w:type="dxa"/>
            <w:shd w:val="clear" w:color="auto" w:fill="auto"/>
            <w:noWrap/>
            <w:vAlign w:val="center"/>
            <w:hideMark/>
          </w:tcPr>
          <w:p w14:paraId="5145CE1F" w14:textId="77777777" w:rsidR="00FC4970" w:rsidRPr="00F740D9" w:rsidRDefault="00FC4970" w:rsidP="00FC4970">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0.977</w:t>
            </w:r>
            <w:r w:rsidRPr="00F740D9">
              <w:rPr>
                <w:rFonts w:ascii="Book Antiqua" w:eastAsia="PMingLiU" w:hAnsi="Book Antiqua" w:cs="PMingLiU"/>
                <w:color w:val="000000" w:themeColor="text1"/>
                <w:kern w:val="0"/>
                <w:szCs w:val="24"/>
                <w:lang w:eastAsia="zh-CN"/>
              </w:rPr>
              <w:t xml:space="preserve"> </w:t>
            </w:r>
            <w:r w:rsidRPr="00F740D9">
              <w:rPr>
                <w:rFonts w:ascii="Book Antiqua" w:eastAsia="PMingLiU" w:hAnsi="Book Antiqua" w:cs="PMingLiU"/>
                <w:color w:val="000000" w:themeColor="text1"/>
                <w:kern w:val="0"/>
                <w:szCs w:val="24"/>
              </w:rPr>
              <w:t>(0.966-0.988)</w:t>
            </w:r>
          </w:p>
        </w:tc>
        <w:tc>
          <w:tcPr>
            <w:tcW w:w="1120" w:type="dxa"/>
            <w:shd w:val="clear" w:color="auto" w:fill="auto"/>
            <w:noWrap/>
            <w:vAlign w:val="center"/>
            <w:hideMark/>
          </w:tcPr>
          <w:p w14:paraId="7E0154CC" w14:textId="77777777" w:rsidR="00FC4970" w:rsidRPr="00F740D9" w:rsidRDefault="00FC4970" w:rsidP="00FC4970">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0.001</w:t>
            </w:r>
          </w:p>
        </w:tc>
        <w:tc>
          <w:tcPr>
            <w:tcW w:w="2721" w:type="dxa"/>
            <w:shd w:val="clear" w:color="auto" w:fill="auto"/>
            <w:noWrap/>
            <w:vAlign w:val="center"/>
            <w:hideMark/>
          </w:tcPr>
          <w:p w14:paraId="141F18A3" w14:textId="77777777" w:rsidR="00FC4970" w:rsidRPr="00F740D9" w:rsidRDefault="00FC4970" w:rsidP="00FC4970">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0.977</w:t>
            </w:r>
            <w:r w:rsidRPr="00F740D9">
              <w:rPr>
                <w:rFonts w:ascii="Book Antiqua" w:eastAsia="PMingLiU" w:hAnsi="Book Antiqua" w:cs="PMingLiU"/>
                <w:color w:val="000000" w:themeColor="text1"/>
                <w:kern w:val="0"/>
                <w:szCs w:val="24"/>
                <w:lang w:eastAsia="zh-CN"/>
              </w:rPr>
              <w:t xml:space="preserve"> </w:t>
            </w:r>
            <w:r w:rsidRPr="00F740D9">
              <w:rPr>
                <w:rFonts w:ascii="Book Antiqua" w:eastAsia="PMingLiU" w:hAnsi="Book Antiqua" w:cs="PMingLiU"/>
                <w:color w:val="000000" w:themeColor="text1"/>
                <w:kern w:val="0"/>
                <w:szCs w:val="24"/>
              </w:rPr>
              <w:t>(0.963-0.991)</w:t>
            </w:r>
          </w:p>
        </w:tc>
      </w:tr>
      <w:tr w:rsidR="00FC4970" w:rsidRPr="00F740D9" w14:paraId="1D6F22E5" w14:textId="77777777" w:rsidTr="00FC4970">
        <w:trPr>
          <w:trHeight w:val="315"/>
        </w:trPr>
        <w:tc>
          <w:tcPr>
            <w:tcW w:w="3720" w:type="dxa"/>
            <w:shd w:val="clear" w:color="auto" w:fill="auto"/>
            <w:noWrap/>
            <w:vAlign w:val="center"/>
            <w:hideMark/>
          </w:tcPr>
          <w:p w14:paraId="25F2B40A" w14:textId="77777777" w:rsidR="00FC4970" w:rsidRPr="00F740D9" w:rsidRDefault="00FC4970" w:rsidP="00FC4970">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Number of tumours</w:t>
            </w:r>
          </w:p>
        </w:tc>
        <w:tc>
          <w:tcPr>
            <w:tcW w:w="1138" w:type="dxa"/>
            <w:shd w:val="clear" w:color="auto" w:fill="auto"/>
            <w:noWrap/>
            <w:vAlign w:val="center"/>
            <w:hideMark/>
          </w:tcPr>
          <w:p w14:paraId="6AF1B53A" w14:textId="77777777" w:rsidR="00FC4970" w:rsidRPr="00F740D9" w:rsidRDefault="00FC4970" w:rsidP="00FC4970">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&lt; 0.001</w:t>
            </w:r>
          </w:p>
        </w:tc>
        <w:tc>
          <w:tcPr>
            <w:tcW w:w="2763" w:type="dxa"/>
            <w:shd w:val="clear" w:color="auto" w:fill="auto"/>
            <w:noWrap/>
            <w:vAlign w:val="center"/>
            <w:hideMark/>
          </w:tcPr>
          <w:p w14:paraId="55C26ADB" w14:textId="77777777" w:rsidR="00FC4970" w:rsidRPr="00F740D9" w:rsidRDefault="00FC4970" w:rsidP="00FC4970">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1.01</w:t>
            </w:r>
            <w:r w:rsidRPr="00F740D9">
              <w:rPr>
                <w:rFonts w:ascii="Book Antiqua" w:eastAsia="PMingLiU" w:hAnsi="Book Antiqua" w:cs="PMingLiU"/>
                <w:color w:val="000000" w:themeColor="text1"/>
                <w:kern w:val="0"/>
                <w:szCs w:val="24"/>
                <w:lang w:eastAsia="zh-CN"/>
              </w:rPr>
              <w:t xml:space="preserve"> </w:t>
            </w:r>
            <w:r w:rsidRPr="00F740D9">
              <w:rPr>
                <w:rFonts w:ascii="Book Antiqua" w:eastAsia="PMingLiU" w:hAnsi="Book Antiqua" w:cs="PMingLiU"/>
                <w:color w:val="000000" w:themeColor="text1"/>
                <w:kern w:val="0"/>
                <w:szCs w:val="24"/>
              </w:rPr>
              <w:t>(1.01-1.02)</w:t>
            </w:r>
          </w:p>
        </w:tc>
        <w:tc>
          <w:tcPr>
            <w:tcW w:w="1120" w:type="dxa"/>
            <w:shd w:val="clear" w:color="auto" w:fill="auto"/>
            <w:noWrap/>
            <w:vAlign w:val="center"/>
            <w:hideMark/>
          </w:tcPr>
          <w:p w14:paraId="1E8A25E8" w14:textId="77777777" w:rsidR="00FC4970" w:rsidRPr="00F740D9" w:rsidRDefault="00FC4970" w:rsidP="00FC4970">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0.33</w:t>
            </w:r>
          </w:p>
        </w:tc>
        <w:tc>
          <w:tcPr>
            <w:tcW w:w="2721" w:type="dxa"/>
            <w:shd w:val="clear" w:color="auto" w:fill="auto"/>
            <w:noWrap/>
            <w:vAlign w:val="center"/>
            <w:hideMark/>
          </w:tcPr>
          <w:p w14:paraId="34DD00A9" w14:textId="77777777" w:rsidR="00FC4970" w:rsidRPr="00F740D9" w:rsidRDefault="00FC4970" w:rsidP="00FC4970">
            <w:pPr>
              <w:widowControl/>
              <w:snapToGrid w:val="0"/>
              <w:spacing w:line="360" w:lineRule="auto"/>
              <w:jc w:val="both"/>
              <w:rPr>
                <w:rFonts w:ascii="Book Antiqua" w:eastAsia="Times New Roman" w:hAnsi="Book Antiqua" w:cs="Times New Roman"/>
                <w:color w:val="000000" w:themeColor="text1"/>
                <w:kern w:val="0"/>
                <w:szCs w:val="24"/>
              </w:rPr>
            </w:pPr>
          </w:p>
        </w:tc>
      </w:tr>
      <w:tr w:rsidR="00FC4970" w:rsidRPr="00F740D9" w14:paraId="5992CD02" w14:textId="77777777" w:rsidTr="00FC4970">
        <w:trPr>
          <w:trHeight w:val="315"/>
        </w:trPr>
        <w:tc>
          <w:tcPr>
            <w:tcW w:w="3720" w:type="dxa"/>
            <w:shd w:val="clear" w:color="auto" w:fill="auto"/>
            <w:noWrap/>
            <w:vAlign w:val="center"/>
            <w:hideMark/>
          </w:tcPr>
          <w:p w14:paraId="4B9A7A51" w14:textId="77777777" w:rsidR="00FC4970" w:rsidRPr="00F740D9" w:rsidRDefault="00FC4970" w:rsidP="00FC4970">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Size of largest tumour</w:t>
            </w:r>
          </w:p>
        </w:tc>
        <w:tc>
          <w:tcPr>
            <w:tcW w:w="1138" w:type="dxa"/>
            <w:shd w:val="clear" w:color="auto" w:fill="auto"/>
            <w:noWrap/>
            <w:vAlign w:val="center"/>
            <w:hideMark/>
          </w:tcPr>
          <w:p w14:paraId="00534813" w14:textId="77777777" w:rsidR="00FC4970" w:rsidRPr="00F740D9" w:rsidRDefault="00FC4970" w:rsidP="00FC4970">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0.02</w:t>
            </w:r>
          </w:p>
        </w:tc>
        <w:tc>
          <w:tcPr>
            <w:tcW w:w="2763" w:type="dxa"/>
            <w:shd w:val="clear" w:color="auto" w:fill="auto"/>
            <w:noWrap/>
            <w:vAlign w:val="center"/>
            <w:hideMark/>
          </w:tcPr>
          <w:p w14:paraId="1600C1CB" w14:textId="77777777" w:rsidR="00FC4970" w:rsidRPr="00F740D9" w:rsidRDefault="00FC4970" w:rsidP="00FC4970">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1.11</w:t>
            </w:r>
            <w:r w:rsidRPr="00F740D9">
              <w:rPr>
                <w:rFonts w:ascii="Book Antiqua" w:eastAsia="PMingLiU" w:hAnsi="Book Antiqua" w:cs="PMingLiU"/>
                <w:color w:val="000000" w:themeColor="text1"/>
                <w:kern w:val="0"/>
                <w:szCs w:val="24"/>
                <w:lang w:eastAsia="zh-CN"/>
              </w:rPr>
              <w:t xml:space="preserve"> </w:t>
            </w:r>
            <w:r w:rsidRPr="00F740D9">
              <w:rPr>
                <w:rFonts w:ascii="Book Antiqua" w:eastAsia="PMingLiU" w:hAnsi="Book Antiqua" w:cs="PMingLiU"/>
                <w:color w:val="000000" w:themeColor="text1"/>
                <w:kern w:val="0"/>
                <w:szCs w:val="24"/>
              </w:rPr>
              <w:t>(1.02-1.20)</w:t>
            </w:r>
          </w:p>
        </w:tc>
        <w:tc>
          <w:tcPr>
            <w:tcW w:w="1120" w:type="dxa"/>
            <w:shd w:val="clear" w:color="auto" w:fill="auto"/>
            <w:noWrap/>
            <w:vAlign w:val="center"/>
            <w:hideMark/>
          </w:tcPr>
          <w:p w14:paraId="361747C3" w14:textId="77777777" w:rsidR="00FC4970" w:rsidRPr="00F740D9" w:rsidRDefault="00FC4970" w:rsidP="00FC4970">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0.02</w:t>
            </w:r>
          </w:p>
        </w:tc>
        <w:tc>
          <w:tcPr>
            <w:tcW w:w="2721" w:type="dxa"/>
            <w:shd w:val="clear" w:color="auto" w:fill="auto"/>
            <w:noWrap/>
            <w:vAlign w:val="center"/>
            <w:hideMark/>
          </w:tcPr>
          <w:p w14:paraId="3628E2D5" w14:textId="77777777" w:rsidR="00FC4970" w:rsidRPr="00F740D9" w:rsidRDefault="00FC4970" w:rsidP="00FC4970">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1.13</w:t>
            </w:r>
            <w:r w:rsidRPr="00F740D9">
              <w:rPr>
                <w:rFonts w:ascii="Book Antiqua" w:eastAsia="PMingLiU" w:hAnsi="Book Antiqua" w:cs="PMingLiU"/>
                <w:color w:val="000000" w:themeColor="text1"/>
                <w:kern w:val="0"/>
                <w:szCs w:val="24"/>
                <w:lang w:eastAsia="zh-CN"/>
              </w:rPr>
              <w:t xml:space="preserve"> </w:t>
            </w:r>
            <w:r w:rsidRPr="00F740D9">
              <w:rPr>
                <w:rFonts w:ascii="Book Antiqua" w:eastAsia="PMingLiU" w:hAnsi="Book Antiqua" w:cs="PMingLiU"/>
                <w:color w:val="000000" w:themeColor="text1"/>
                <w:kern w:val="0"/>
                <w:szCs w:val="24"/>
              </w:rPr>
              <w:t>(1.02-1.24)</w:t>
            </w:r>
          </w:p>
        </w:tc>
      </w:tr>
      <w:tr w:rsidR="00FC4970" w:rsidRPr="00F740D9" w14:paraId="0A868F97" w14:textId="77777777" w:rsidTr="00FC4970">
        <w:trPr>
          <w:trHeight w:val="315"/>
        </w:trPr>
        <w:tc>
          <w:tcPr>
            <w:tcW w:w="3720" w:type="dxa"/>
            <w:shd w:val="clear" w:color="auto" w:fill="auto"/>
            <w:noWrap/>
            <w:vAlign w:val="center"/>
            <w:hideMark/>
          </w:tcPr>
          <w:p w14:paraId="6FCFB870" w14:textId="77777777" w:rsidR="00FC4970" w:rsidRPr="00F740D9" w:rsidRDefault="00FC4970" w:rsidP="00FC4970">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Number of organs involved</w:t>
            </w:r>
          </w:p>
        </w:tc>
        <w:tc>
          <w:tcPr>
            <w:tcW w:w="1138" w:type="dxa"/>
            <w:shd w:val="clear" w:color="auto" w:fill="auto"/>
            <w:noWrap/>
            <w:vAlign w:val="center"/>
            <w:hideMark/>
          </w:tcPr>
          <w:p w14:paraId="0EE3A46A" w14:textId="77777777" w:rsidR="00FC4970" w:rsidRPr="00F740D9" w:rsidRDefault="00FC4970" w:rsidP="00FC4970">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0.01</w:t>
            </w:r>
          </w:p>
        </w:tc>
        <w:tc>
          <w:tcPr>
            <w:tcW w:w="2763" w:type="dxa"/>
            <w:shd w:val="clear" w:color="auto" w:fill="auto"/>
            <w:noWrap/>
            <w:vAlign w:val="center"/>
            <w:hideMark/>
          </w:tcPr>
          <w:p w14:paraId="4E273692" w14:textId="77777777" w:rsidR="00FC4970" w:rsidRPr="00F740D9" w:rsidRDefault="00FC4970" w:rsidP="00FC4970">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1.14</w:t>
            </w:r>
            <w:r w:rsidRPr="00F740D9">
              <w:rPr>
                <w:rFonts w:ascii="Book Antiqua" w:eastAsia="PMingLiU" w:hAnsi="Book Antiqua" w:cs="PMingLiU"/>
                <w:color w:val="000000" w:themeColor="text1"/>
                <w:kern w:val="0"/>
                <w:szCs w:val="24"/>
                <w:lang w:eastAsia="zh-CN"/>
              </w:rPr>
              <w:t xml:space="preserve"> </w:t>
            </w:r>
            <w:r w:rsidRPr="00F740D9">
              <w:rPr>
                <w:rFonts w:ascii="Book Antiqua" w:eastAsia="PMingLiU" w:hAnsi="Book Antiqua" w:cs="PMingLiU"/>
                <w:color w:val="000000" w:themeColor="text1"/>
                <w:kern w:val="0"/>
                <w:szCs w:val="24"/>
              </w:rPr>
              <w:t>(1.11-1.89)</w:t>
            </w:r>
          </w:p>
        </w:tc>
        <w:tc>
          <w:tcPr>
            <w:tcW w:w="1120" w:type="dxa"/>
            <w:shd w:val="clear" w:color="auto" w:fill="auto"/>
            <w:noWrap/>
            <w:vAlign w:val="center"/>
            <w:hideMark/>
          </w:tcPr>
          <w:p w14:paraId="5165647E" w14:textId="77777777" w:rsidR="00FC4970" w:rsidRPr="00F740D9" w:rsidRDefault="00FC4970" w:rsidP="00FC4970">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0.27</w:t>
            </w:r>
          </w:p>
        </w:tc>
        <w:tc>
          <w:tcPr>
            <w:tcW w:w="2721" w:type="dxa"/>
            <w:shd w:val="clear" w:color="auto" w:fill="auto"/>
            <w:noWrap/>
            <w:vAlign w:val="center"/>
            <w:hideMark/>
          </w:tcPr>
          <w:p w14:paraId="39CD0D5E" w14:textId="77777777" w:rsidR="00FC4970" w:rsidRPr="00F740D9" w:rsidRDefault="00FC4970" w:rsidP="00FC4970">
            <w:pPr>
              <w:widowControl/>
              <w:snapToGrid w:val="0"/>
              <w:spacing w:line="360" w:lineRule="auto"/>
              <w:jc w:val="both"/>
              <w:rPr>
                <w:rFonts w:ascii="Book Antiqua" w:eastAsia="Times New Roman" w:hAnsi="Book Antiqua" w:cs="Times New Roman"/>
                <w:color w:val="000000" w:themeColor="text1"/>
                <w:kern w:val="0"/>
                <w:szCs w:val="24"/>
              </w:rPr>
            </w:pPr>
          </w:p>
        </w:tc>
      </w:tr>
      <w:tr w:rsidR="00FC4970" w:rsidRPr="00F740D9" w14:paraId="02D6CB96" w14:textId="77777777" w:rsidTr="00FC4970">
        <w:trPr>
          <w:trHeight w:val="315"/>
        </w:trPr>
        <w:tc>
          <w:tcPr>
            <w:tcW w:w="11462" w:type="dxa"/>
            <w:gridSpan w:val="5"/>
            <w:shd w:val="clear" w:color="auto" w:fill="auto"/>
            <w:noWrap/>
            <w:vAlign w:val="center"/>
            <w:hideMark/>
          </w:tcPr>
          <w:p w14:paraId="673F4F6C" w14:textId="77777777" w:rsidR="00FC4970" w:rsidRPr="00F740D9" w:rsidRDefault="00FC4970" w:rsidP="00FC4970">
            <w:pPr>
              <w:widowControl/>
              <w:snapToGrid w:val="0"/>
              <w:spacing w:line="360" w:lineRule="auto"/>
              <w:jc w:val="both"/>
              <w:rPr>
                <w:rFonts w:ascii="Book Antiqua" w:eastAsia="Times New Roman" w:hAnsi="Book Antiqua" w:cs="Times New Roman"/>
                <w:color w:val="000000" w:themeColor="text1"/>
                <w:kern w:val="0"/>
                <w:szCs w:val="24"/>
              </w:rPr>
            </w:pPr>
            <w:r w:rsidRPr="00F740D9">
              <w:rPr>
                <w:rFonts w:ascii="Book Antiqua" w:eastAsia="PMingLiU" w:hAnsi="Book Antiqua" w:cs="PMingLiU"/>
                <w:color w:val="000000" w:themeColor="text1"/>
                <w:kern w:val="0"/>
                <w:szCs w:val="24"/>
              </w:rPr>
              <w:t>Site of recurrence</w:t>
            </w:r>
          </w:p>
        </w:tc>
      </w:tr>
      <w:tr w:rsidR="00FC4970" w:rsidRPr="00F740D9" w14:paraId="228E465F" w14:textId="77777777" w:rsidTr="00FC4970">
        <w:trPr>
          <w:trHeight w:val="315"/>
        </w:trPr>
        <w:tc>
          <w:tcPr>
            <w:tcW w:w="3720" w:type="dxa"/>
            <w:shd w:val="clear" w:color="auto" w:fill="auto"/>
            <w:noWrap/>
            <w:vAlign w:val="center"/>
            <w:hideMark/>
          </w:tcPr>
          <w:p w14:paraId="054CFBCF" w14:textId="77777777" w:rsidR="00FC4970" w:rsidRPr="00F740D9" w:rsidRDefault="00FC4970" w:rsidP="00FC4970">
            <w:pPr>
              <w:widowControl/>
              <w:snapToGrid w:val="0"/>
              <w:spacing w:line="360" w:lineRule="auto"/>
              <w:ind w:firstLineChars="100" w:firstLine="240"/>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Liver</w:t>
            </w:r>
          </w:p>
        </w:tc>
        <w:tc>
          <w:tcPr>
            <w:tcW w:w="1138" w:type="dxa"/>
            <w:shd w:val="clear" w:color="auto" w:fill="auto"/>
            <w:noWrap/>
            <w:vAlign w:val="center"/>
            <w:hideMark/>
          </w:tcPr>
          <w:p w14:paraId="7564DE29" w14:textId="77777777" w:rsidR="00FC4970" w:rsidRPr="00F740D9" w:rsidRDefault="00FC4970" w:rsidP="00FC4970">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0.01</w:t>
            </w:r>
          </w:p>
        </w:tc>
        <w:tc>
          <w:tcPr>
            <w:tcW w:w="2763" w:type="dxa"/>
            <w:shd w:val="clear" w:color="auto" w:fill="auto"/>
            <w:noWrap/>
            <w:vAlign w:val="center"/>
            <w:hideMark/>
          </w:tcPr>
          <w:p w14:paraId="39ABB0F0" w14:textId="77777777" w:rsidR="00FC4970" w:rsidRPr="00F740D9" w:rsidRDefault="00FC4970" w:rsidP="00FC4970">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1.62</w:t>
            </w:r>
            <w:r w:rsidRPr="00F740D9">
              <w:rPr>
                <w:rFonts w:ascii="Book Antiqua" w:eastAsia="PMingLiU" w:hAnsi="Book Antiqua" w:cs="PMingLiU"/>
                <w:color w:val="000000" w:themeColor="text1"/>
                <w:kern w:val="0"/>
                <w:szCs w:val="24"/>
                <w:lang w:eastAsia="zh-CN"/>
              </w:rPr>
              <w:t xml:space="preserve"> </w:t>
            </w:r>
            <w:r w:rsidRPr="00F740D9">
              <w:rPr>
                <w:rFonts w:ascii="Book Antiqua" w:eastAsia="PMingLiU" w:hAnsi="Book Antiqua" w:cs="PMingLiU"/>
                <w:color w:val="000000" w:themeColor="text1"/>
                <w:kern w:val="0"/>
                <w:szCs w:val="24"/>
              </w:rPr>
              <w:t>(1.13-2.31)</w:t>
            </w:r>
          </w:p>
        </w:tc>
        <w:tc>
          <w:tcPr>
            <w:tcW w:w="1120" w:type="dxa"/>
            <w:shd w:val="clear" w:color="auto" w:fill="auto"/>
            <w:noWrap/>
            <w:vAlign w:val="center"/>
            <w:hideMark/>
          </w:tcPr>
          <w:p w14:paraId="0AAFC108" w14:textId="77777777" w:rsidR="00FC4970" w:rsidRPr="00F740D9" w:rsidRDefault="00FC4970" w:rsidP="00FC4970">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0.01</w:t>
            </w:r>
          </w:p>
        </w:tc>
        <w:tc>
          <w:tcPr>
            <w:tcW w:w="2721" w:type="dxa"/>
            <w:shd w:val="clear" w:color="auto" w:fill="auto"/>
            <w:noWrap/>
            <w:vAlign w:val="center"/>
            <w:hideMark/>
          </w:tcPr>
          <w:p w14:paraId="138CFB38" w14:textId="77777777" w:rsidR="00FC4970" w:rsidRPr="00F740D9" w:rsidRDefault="00FC4970" w:rsidP="00FC4970">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1.92</w:t>
            </w:r>
            <w:r w:rsidRPr="00F740D9">
              <w:rPr>
                <w:rFonts w:ascii="Book Antiqua" w:eastAsia="PMingLiU" w:hAnsi="Book Antiqua" w:cs="PMingLiU"/>
                <w:color w:val="000000" w:themeColor="text1"/>
                <w:kern w:val="0"/>
                <w:szCs w:val="24"/>
                <w:lang w:eastAsia="zh-CN"/>
              </w:rPr>
              <w:t xml:space="preserve"> </w:t>
            </w:r>
            <w:r w:rsidRPr="00F740D9">
              <w:rPr>
                <w:rFonts w:ascii="Book Antiqua" w:eastAsia="PMingLiU" w:hAnsi="Book Antiqua" w:cs="PMingLiU"/>
                <w:color w:val="000000" w:themeColor="text1"/>
                <w:kern w:val="0"/>
                <w:szCs w:val="24"/>
              </w:rPr>
              <w:t>(1.14-3.25)</w:t>
            </w:r>
          </w:p>
        </w:tc>
      </w:tr>
      <w:tr w:rsidR="00FC4970" w:rsidRPr="00F740D9" w14:paraId="65E011D3" w14:textId="77777777" w:rsidTr="00FC4970">
        <w:trPr>
          <w:trHeight w:val="315"/>
        </w:trPr>
        <w:tc>
          <w:tcPr>
            <w:tcW w:w="3720" w:type="dxa"/>
            <w:shd w:val="clear" w:color="auto" w:fill="auto"/>
            <w:noWrap/>
            <w:vAlign w:val="center"/>
            <w:hideMark/>
          </w:tcPr>
          <w:p w14:paraId="472E78BD" w14:textId="77777777" w:rsidR="00FC4970" w:rsidRPr="00F740D9" w:rsidRDefault="00FC4970" w:rsidP="00FC4970">
            <w:pPr>
              <w:widowControl/>
              <w:snapToGrid w:val="0"/>
              <w:spacing w:line="360" w:lineRule="auto"/>
              <w:ind w:firstLineChars="100" w:firstLine="240"/>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Lung</w:t>
            </w:r>
          </w:p>
        </w:tc>
        <w:tc>
          <w:tcPr>
            <w:tcW w:w="1138" w:type="dxa"/>
            <w:shd w:val="clear" w:color="auto" w:fill="auto"/>
            <w:noWrap/>
            <w:vAlign w:val="center"/>
            <w:hideMark/>
          </w:tcPr>
          <w:p w14:paraId="5CDAB669" w14:textId="77777777" w:rsidR="00FC4970" w:rsidRPr="00F740D9" w:rsidRDefault="00FC4970" w:rsidP="00FC4970">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0.43</w:t>
            </w:r>
          </w:p>
        </w:tc>
        <w:tc>
          <w:tcPr>
            <w:tcW w:w="2763" w:type="dxa"/>
            <w:shd w:val="clear" w:color="auto" w:fill="auto"/>
            <w:noWrap/>
            <w:vAlign w:val="center"/>
            <w:hideMark/>
          </w:tcPr>
          <w:p w14:paraId="4D94CC7C" w14:textId="77777777" w:rsidR="00FC4970" w:rsidRPr="00F740D9" w:rsidRDefault="00FC4970" w:rsidP="00FC4970">
            <w:pPr>
              <w:widowControl/>
              <w:snapToGrid w:val="0"/>
              <w:spacing w:line="360" w:lineRule="auto"/>
              <w:jc w:val="both"/>
              <w:rPr>
                <w:rFonts w:ascii="Book Antiqua" w:eastAsia="Times New Roman" w:hAnsi="Book Antiqua" w:cs="Times New Roman"/>
                <w:color w:val="000000" w:themeColor="text1"/>
                <w:kern w:val="0"/>
                <w:szCs w:val="24"/>
              </w:rPr>
            </w:pPr>
          </w:p>
        </w:tc>
        <w:tc>
          <w:tcPr>
            <w:tcW w:w="1120" w:type="dxa"/>
            <w:shd w:val="clear" w:color="auto" w:fill="auto"/>
            <w:noWrap/>
            <w:vAlign w:val="center"/>
            <w:hideMark/>
          </w:tcPr>
          <w:p w14:paraId="607591ED" w14:textId="77777777" w:rsidR="00FC4970" w:rsidRPr="00F740D9" w:rsidRDefault="00FC4970" w:rsidP="00FC4970">
            <w:pPr>
              <w:widowControl/>
              <w:snapToGrid w:val="0"/>
              <w:spacing w:line="360" w:lineRule="auto"/>
              <w:jc w:val="both"/>
              <w:rPr>
                <w:rFonts w:ascii="Book Antiqua" w:eastAsia="Times New Roman" w:hAnsi="Book Antiqua" w:cs="Times New Roman"/>
                <w:color w:val="000000" w:themeColor="text1"/>
                <w:kern w:val="0"/>
                <w:szCs w:val="24"/>
              </w:rPr>
            </w:pPr>
          </w:p>
        </w:tc>
        <w:tc>
          <w:tcPr>
            <w:tcW w:w="2721" w:type="dxa"/>
            <w:shd w:val="clear" w:color="auto" w:fill="auto"/>
            <w:noWrap/>
            <w:vAlign w:val="center"/>
            <w:hideMark/>
          </w:tcPr>
          <w:p w14:paraId="196C2BFC" w14:textId="77777777" w:rsidR="00FC4970" w:rsidRPr="00F740D9" w:rsidRDefault="00FC4970" w:rsidP="00FC4970">
            <w:pPr>
              <w:widowControl/>
              <w:snapToGrid w:val="0"/>
              <w:spacing w:line="360" w:lineRule="auto"/>
              <w:jc w:val="both"/>
              <w:rPr>
                <w:rFonts w:ascii="Book Antiqua" w:eastAsia="Times New Roman" w:hAnsi="Book Antiqua" w:cs="Times New Roman"/>
                <w:color w:val="000000" w:themeColor="text1"/>
                <w:kern w:val="0"/>
                <w:szCs w:val="24"/>
              </w:rPr>
            </w:pPr>
          </w:p>
        </w:tc>
      </w:tr>
      <w:tr w:rsidR="00FC4970" w:rsidRPr="00F740D9" w14:paraId="7D2E062E" w14:textId="77777777" w:rsidTr="00FC4970">
        <w:trPr>
          <w:trHeight w:val="315"/>
        </w:trPr>
        <w:tc>
          <w:tcPr>
            <w:tcW w:w="3720" w:type="dxa"/>
            <w:shd w:val="clear" w:color="auto" w:fill="auto"/>
            <w:noWrap/>
            <w:vAlign w:val="center"/>
            <w:hideMark/>
          </w:tcPr>
          <w:p w14:paraId="6018BD18" w14:textId="77777777" w:rsidR="00FC4970" w:rsidRPr="00F740D9" w:rsidRDefault="00FC4970" w:rsidP="00FC4970">
            <w:pPr>
              <w:widowControl/>
              <w:snapToGrid w:val="0"/>
              <w:spacing w:line="360" w:lineRule="auto"/>
              <w:ind w:firstLineChars="100" w:firstLine="240"/>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Bone</w:t>
            </w:r>
          </w:p>
        </w:tc>
        <w:tc>
          <w:tcPr>
            <w:tcW w:w="1138" w:type="dxa"/>
            <w:shd w:val="clear" w:color="auto" w:fill="auto"/>
            <w:noWrap/>
            <w:vAlign w:val="center"/>
            <w:hideMark/>
          </w:tcPr>
          <w:p w14:paraId="301B1BB5" w14:textId="77777777" w:rsidR="00FC4970" w:rsidRPr="00F740D9" w:rsidRDefault="00FC4970" w:rsidP="00FC4970">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0.17</w:t>
            </w:r>
          </w:p>
        </w:tc>
        <w:tc>
          <w:tcPr>
            <w:tcW w:w="2763" w:type="dxa"/>
            <w:shd w:val="clear" w:color="auto" w:fill="auto"/>
            <w:noWrap/>
            <w:vAlign w:val="center"/>
            <w:hideMark/>
          </w:tcPr>
          <w:p w14:paraId="1B02CE5D" w14:textId="77777777" w:rsidR="00FC4970" w:rsidRPr="00F740D9" w:rsidRDefault="00FC4970" w:rsidP="00FC4970">
            <w:pPr>
              <w:widowControl/>
              <w:snapToGrid w:val="0"/>
              <w:spacing w:line="360" w:lineRule="auto"/>
              <w:jc w:val="both"/>
              <w:rPr>
                <w:rFonts w:ascii="Book Antiqua" w:eastAsia="Times New Roman" w:hAnsi="Book Antiqua" w:cs="Times New Roman"/>
                <w:color w:val="000000" w:themeColor="text1"/>
                <w:kern w:val="0"/>
                <w:szCs w:val="24"/>
              </w:rPr>
            </w:pPr>
          </w:p>
        </w:tc>
        <w:tc>
          <w:tcPr>
            <w:tcW w:w="1120" w:type="dxa"/>
            <w:shd w:val="clear" w:color="auto" w:fill="auto"/>
            <w:noWrap/>
            <w:vAlign w:val="center"/>
            <w:hideMark/>
          </w:tcPr>
          <w:p w14:paraId="55B396EE" w14:textId="77777777" w:rsidR="00FC4970" w:rsidRPr="00F740D9" w:rsidRDefault="00FC4970" w:rsidP="00FC4970">
            <w:pPr>
              <w:widowControl/>
              <w:snapToGrid w:val="0"/>
              <w:spacing w:line="360" w:lineRule="auto"/>
              <w:jc w:val="both"/>
              <w:rPr>
                <w:rFonts w:ascii="Book Antiqua" w:eastAsia="Times New Roman" w:hAnsi="Book Antiqua" w:cs="Times New Roman"/>
                <w:color w:val="000000" w:themeColor="text1"/>
                <w:kern w:val="0"/>
                <w:szCs w:val="24"/>
              </w:rPr>
            </w:pPr>
          </w:p>
        </w:tc>
        <w:tc>
          <w:tcPr>
            <w:tcW w:w="2721" w:type="dxa"/>
            <w:shd w:val="clear" w:color="auto" w:fill="auto"/>
            <w:noWrap/>
            <w:vAlign w:val="center"/>
            <w:hideMark/>
          </w:tcPr>
          <w:p w14:paraId="65B21DCC" w14:textId="77777777" w:rsidR="00FC4970" w:rsidRPr="00F740D9" w:rsidRDefault="00FC4970" w:rsidP="00FC4970">
            <w:pPr>
              <w:widowControl/>
              <w:snapToGrid w:val="0"/>
              <w:spacing w:line="360" w:lineRule="auto"/>
              <w:jc w:val="both"/>
              <w:rPr>
                <w:rFonts w:ascii="Book Antiqua" w:eastAsia="Times New Roman" w:hAnsi="Book Antiqua" w:cs="Times New Roman"/>
                <w:color w:val="000000" w:themeColor="text1"/>
                <w:kern w:val="0"/>
                <w:szCs w:val="24"/>
              </w:rPr>
            </w:pPr>
          </w:p>
        </w:tc>
      </w:tr>
      <w:tr w:rsidR="00FC4970" w:rsidRPr="00F740D9" w14:paraId="373BE75F" w14:textId="77777777" w:rsidTr="00FC4970">
        <w:trPr>
          <w:trHeight w:val="315"/>
        </w:trPr>
        <w:tc>
          <w:tcPr>
            <w:tcW w:w="3720" w:type="dxa"/>
            <w:shd w:val="clear" w:color="auto" w:fill="auto"/>
            <w:noWrap/>
            <w:vAlign w:val="center"/>
            <w:hideMark/>
          </w:tcPr>
          <w:p w14:paraId="69B00234" w14:textId="77777777" w:rsidR="00FC4970" w:rsidRPr="00F740D9" w:rsidRDefault="00FC4970" w:rsidP="00FC4970">
            <w:pPr>
              <w:widowControl/>
              <w:snapToGrid w:val="0"/>
              <w:spacing w:line="360" w:lineRule="auto"/>
              <w:ind w:firstLineChars="100" w:firstLine="240"/>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Peritoneal</w:t>
            </w:r>
          </w:p>
        </w:tc>
        <w:tc>
          <w:tcPr>
            <w:tcW w:w="1138" w:type="dxa"/>
            <w:shd w:val="clear" w:color="auto" w:fill="auto"/>
            <w:noWrap/>
            <w:vAlign w:val="center"/>
            <w:hideMark/>
          </w:tcPr>
          <w:p w14:paraId="20516986" w14:textId="77777777" w:rsidR="00FC4970" w:rsidRPr="00F740D9" w:rsidRDefault="00FC4970" w:rsidP="00FC4970">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0.46</w:t>
            </w:r>
          </w:p>
        </w:tc>
        <w:tc>
          <w:tcPr>
            <w:tcW w:w="2763" w:type="dxa"/>
            <w:shd w:val="clear" w:color="auto" w:fill="auto"/>
            <w:noWrap/>
            <w:vAlign w:val="center"/>
            <w:hideMark/>
          </w:tcPr>
          <w:p w14:paraId="6E49EAFB" w14:textId="77777777" w:rsidR="00FC4970" w:rsidRPr="00F740D9" w:rsidRDefault="00FC4970" w:rsidP="00FC4970">
            <w:pPr>
              <w:widowControl/>
              <w:snapToGrid w:val="0"/>
              <w:spacing w:line="360" w:lineRule="auto"/>
              <w:jc w:val="both"/>
              <w:rPr>
                <w:rFonts w:ascii="Book Antiqua" w:eastAsia="Times New Roman" w:hAnsi="Book Antiqua" w:cs="Times New Roman"/>
                <w:color w:val="000000" w:themeColor="text1"/>
                <w:kern w:val="0"/>
                <w:szCs w:val="24"/>
              </w:rPr>
            </w:pPr>
          </w:p>
        </w:tc>
        <w:tc>
          <w:tcPr>
            <w:tcW w:w="1120" w:type="dxa"/>
            <w:shd w:val="clear" w:color="auto" w:fill="auto"/>
            <w:noWrap/>
            <w:vAlign w:val="center"/>
            <w:hideMark/>
          </w:tcPr>
          <w:p w14:paraId="24C88CF5" w14:textId="77777777" w:rsidR="00FC4970" w:rsidRPr="00F740D9" w:rsidRDefault="00FC4970" w:rsidP="00FC4970">
            <w:pPr>
              <w:widowControl/>
              <w:snapToGrid w:val="0"/>
              <w:spacing w:line="360" w:lineRule="auto"/>
              <w:jc w:val="both"/>
              <w:rPr>
                <w:rFonts w:ascii="Book Antiqua" w:eastAsia="Times New Roman" w:hAnsi="Book Antiqua" w:cs="Times New Roman"/>
                <w:color w:val="000000" w:themeColor="text1"/>
                <w:kern w:val="0"/>
                <w:szCs w:val="24"/>
              </w:rPr>
            </w:pPr>
          </w:p>
        </w:tc>
        <w:tc>
          <w:tcPr>
            <w:tcW w:w="2721" w:type="dxa"/>
            <w:shd w:val="clear" w:color="auto" w:fill="auto"/>
            <w:noWrap/>
            <w:vAlign w:val="center"/>
            <w:hideMark/>
          </w:tcPr>
          <w:p w14:paraId="3CD44A87" w14:textId="77777777" w:rsidR="00FC4970" w:rsidRPr="00F740D9" w:rsidRDefault="00FC4970" w:rsidP="00FC4970">
            <w:pPr>
              <w:widowControl/>
              <w:snapToGrid w:val="0"/>
              <w:spacing w:line="360" w:lineRule="auto"/>
              <w:jc w:val="both"/>
              <w:rPr>
                <w:rFonts w:ascii="Book Antiqua" w:eastAsia="Times New Roman" w:hAnsi="Book Antiqua" w:cs="Times New Roman"/>
                <w:color w:val="000000" w:themeColor="text1"/>
                <w:kern w:val="0"/>
                <w:szCs w:val="24"/>
              </w:rPr>
            </w:pPr>
          </w:p>
        </w:tc>
      </w:tr>
      <w:tr w:rsidR="00FC4970" w:rsidRPr="00F740D9" w14:paraId="0D2ECE3D" w14:textId="77777777" w:rsidTr="00FC4970">
        <w:trPr>
          <w:trHeight w:val="315"/>
        </w:trPr>
        <w:tc>
          <w:tcPr>
            <w:tcW w:w="3720" w:type="dxa"/>
            <w:shd w:val="clear" w:color="auto" w:fill="auto"/>
            <w:noWrap/>
            <w:vAlign w:val="center"/>
            <w:hideMark/>
          </w:tcPr>
          <w:p w14:paraId="1028088C" w14:textId="77777777" w:rsidR="00FC4970" w:rsidRPr="00F740D9" w:rsidRDefault="00FC4970" w:rsidP="00FC4970">
            <w:pPr>
              <w:widowControl/>
              <w:snapToGrid w:val="0"/>
              <w:spacing w:line="360" w:lineRule="auto"/>
              <w:ind w:firstLineChars="100" w:firstLine="240"/>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Adrenal</w:t>
            </w:r>
          </w:p>
        </w:tc>
        <w:tc>
          <w:tcPr>
            <w:tcW w:w="1138" w:type="dxa"/>
            <w:shd w:val="clear" w:color="auto" w:fill="auto"/>
            <w:noWrap/>
            <w:vAlign w:val="center"/>
            <w:hideMark/>
          </w:tcPr>
          <w:p w14:paraId="6ADC9EF3" w14:textId="77777777" w:rsidR="00FC4970" w:rsidRPr="00F740D9" w:rsidRDefault="00FC4970" w:rsidP="00FC4970">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0.52</w:t>
            </w:r>
          </w:p>
        </w:tc>
        <w:tc>
          <w:tcPr>
            <w:tcW w:w="2763" w:type="dxa"/>
            <w:shd w:val="clear" w:color="auto" w:fill="auto"/>
            <w:noWrap/>
            <w:vAlign w:val="center"/>
            <w:hideMark/>
          </w:tcPr>
          <w:p w14:paraId="2CCAC40B" w14:textId="77777777" w:rsidR="00FC4970" w:rsidRPr="00F740D9" w:rsidRDefault="00FC4970" w:rsidP="00FC4970">
            <w:pPr>
              <w:widowControl/>
              <w:snapToGrid w:val="0"/>
              <w:spacing w:line="360" w:lineRule="auto"/>
              <w:jc w:val="both"/>
              <w:rPr>
                <w:rFonts w:ascii="Book Antiqua" w:eastAsia="Times New Roman" w:hAnsi="Book Antiqua" w:cs="Times New Roman"/>
                <w:color w:val="000000" w:themeColor="text1"/>
                <w:kern w:val="0"/>
                <w:szCs w:val="24"/>
              </w:rPr>
            </w:pPr>
          </w:p>
        </w:tc>
        <w:tc>
          <w:tcPr>
            <w:tcW w:w="1120" w:type="dxa"/>
            <w:shd w:val="clear" w:color="auto" w:fill="auto"/>
            <w:noWrap/>
            <w:vAlign w:val="center"/>
            <w:hideMark/>
          </w:tcPr>
          <w:p w14:paraId="79CFA5E5" w14:textId="77777777" w:rsidR="00FC4970" w:rsidRPr="00F740D9" w:rsidRDefault="00FC4970" w:rsidP="00FC4970">
            <w:pPr>
              <w:widowControl/>
              <w:snapToGrid w:val="0"/>
              <w:spacing w:line="360" w:lineRule="auto"/>
              <w:jc w:val="both"/>
              <w:rPr>
                <w:rFonts w:ascii="Book Antiqua" w:eastAsia="Times New Roman" w:hAnsi="Book Antiqua" w:cs="Times New Roman"/>
                <w:color w:val="000000" w:themeColor="text1"/>
                <w:kern w:val="0"/>
                <w:szCs w:val="24"/>
              </w:rPr>
            </w:pPr>
          </w:p>
        </w:tc>
        <w:tc>
          <w:tcPr>
            <w:tcW w:w="2721" w:type="dxa"/>
            <w:shd w:val="clear" w:color="auto" w:fill="auto"/>
            <w:noWrap/>
            <w:vAlign w:val="center"/>
            <w:hideMark/>
          </w:tcPr>
          <w:p w14:paraId="2E1C4278" w14:textId="77777777" w:rsidR="00FC4970" w:rsidRPr="00F740D9" w:rsidRDefault="00FC4970" w:rsidP="00FC4970">
            <w:pPr>
              <w:widowControl/>
              <w:snapToGrid w:val="0"/>
              <w:spacing w:line="360" w:lineRule="auto"/>
              <w:jc w:val="both"/>
              <w:rPr>
                <w:rFonts w:ascii="Book Antiqua" w:eastAsia="Times New Roman" w:hAnsi="Book Antiqua" w:cs="Times New Roman"/>
                <w:color w:val="000000" w:themeColor="text1"/>
                <w:kern w:val="0"/>
                <w:szCs w:val="24"/>
              </w:rPr>
            </w:pPr>
          </w:p>
        </w:tc>
      </w:tr>
      <w:tr w:rsidR="00FC4970" w:rsidRPr="00F740D9" w14:paraId="054E779E" w14:textId="77777777" w:rsidTr="00FC4970">
        <w:trPr>
          <w:trHeight w:val="315"/>
        </w:trPr>
        <w:tc>
          <w:tcPr>
            <w:tcW w:w="3720" w:type="dxa"/>
            <w:shd w:val="clear" w:color="auto" w:fill="auto"/>
            <w:noWrap/>
            <w:vAlign w:val="center"/>
            <w:hideMark/>
          </w:tcPr>
          <w:p w14:paraId="57AAA910" w14:textId="77777777" w:rsidR="00FC4970" w:rsidRPr="00F740D9" w:rsidRDefault="00FC4970" w:rsidP="00FC4970">
            <w:pPr>
              <w:widowControl/>
              <w:snapToGrid w:val="0"/>
              <w:spacing w:line="360" w:lineRule="auto"/>
              <w:ind w:firstLineChars="100" w:firstLine="240"/>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Lymph node</w:t>
            </w:r>
          </w:p>
        </w:tc>
        <w:tc>
          <w:tcPr>
            <w:tcW w:w="1138" w:type="dxa"/>
            <w:shd w:val="clear" w:color="auto" w:fill="auto"/>
            <w:noWrap/>
            <w:vAlign w:val="center"/>
            <w:hideMark/>
          </w:tcPr>
          <w:p w14:paraId="4924BFC6" w14:textId="77777777" w:rsidR="00FC4970" w:rsidRPr="00F740D9" w:rsidRDefault="00FC4970" w:rsidP="00FC4970">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0.49</w:t>
            </w:r>
          </w:p>
        </w:tc>
        <w:tc>
          <w:tcPr>
            <w:tcW w:w="2763" w:type="dxa"/>
            <w:shd w:val="clear" w:color="auto" w:fill="auto"/>
            <w:noWrap/>
            <w:vAlign w:val="center"/>
            <w:hideMark/>
          </w:tcPr>
          <w:p w14:paraId="21DDFD87" w14:textId="77777777" w:rsidR="00FC4970" w:rsidRPr="00F740D9" w:rsidRDefault="00FC4970" w:rsidP="00FC4970">
            <w:pPr>
              <w:widowControl/>
              <w:snapToGrid w:val="0"/>
              <w:spacing w:line="360" w:lineRule="auto"/>
              <w:jc w:val="both"/>
              <w:rPr>
                <w:rFonts w:ascii="Book Antiqua" w:eastAsia="Times New Roman" w:hAnsi="Book Antiqua" w:cs="Times New Roman"/>
                <w:color w:val="000000" w:themeColor="text1"/>
                <w:kern w:val="0"/>
                <w:szCs w:val="24"/>
              </w:rPr>
            </w:pPr>
          </w:p>
        </w:tc>
        <w:tc>
          <w:tcPr>
            <w:tcW w:w="1120" w:type="dxa"/>
            <w:shd w:val="clear" w:color="auto" w:fill="auto"/>
            <w:noWrap/>
            <w:vAlign w:val="center"/>
            <w:hideMark/>
          </w:tcPr>
          <w:p w14:paraId="5C53DB6A" w14:textId="77777777" w:rsidR="00FC4970" w:rsidRPr="00F740D9" w:rsidRDefault="00FC4970" w:rsidP="00FC4970">
            <w:pPr>
              <w:widowControl/>
              <w:snapToGrid w:val="0"/>
              <w:spacing w:line="360" w:lineRule="auto"/>
              <w:jc w:val="both"/>
              <w:rPr>
                <w:rFonts w:ascii="Book Antiqua" w:eastAsia="Times New Roman" w:hAnsi="Book Antiqua" w:cs="Times New Roman"/>
                <w:color w:val="000000" w:themeColor="text1"/>
                <w:kern w:val="0"/>
                <w:szCs w:val="24"/>
              </w:rPr>
            </w:pPr>
          </w:p>
        </w:tc>
        <w:tc>
          <w:tcPr>
            <w:tcW w:w="2721" w:type="dxa"/>
            <w:shd w:val="clear" w:color="auto" w:fill="auto"/>
            <w:noWrap/>
            <w:vAlign w:val="center"/>
            <w:hideMark/>
          </w:tcPr>
          <w:p w14:paraId="18155444" w14:textId="77777777" w:rsidR="00FC4970" w:rsidRPr="00F740D9" w:rsidRDefault="00FC4970" w:rsidP="00FC4970">
            <w:pPr>
              <w:widowControl/>
              <w:snapToGrid w:val="0"/>
              <w:spacing w:line="360" w:lineRule="auto"/>
              <w:jc w:val="both"/>
              <w:rPr>
                <w:rFonts w:ascii="Book Antiqua" w:eastAsia="Times New Roman" w:hAnsi="Book Antiqua" w:cs="Times New Roman"/>
                <w:color w:val="000000" w:themeColor="text1"/>
                <w:kern w:val="0"/>
                <w:szCs w:val="24"/>
              </w:rPr>
            </w:pPr>
          </w:p>
        </w:tc>
      </w:tr>
      <w:tr w:rsidR="00FC4970" w:rsidRPr="00F740D9" w14:paraId="37B9348F" w14:textId="77777777" w:rsidTr="00FC4970">
        <w:trPr>
          <w:trHeight w:val="315"/>
        </w:trPr>
        <w:tc>
          <w:tcPr>
            <w:tcW w:w="3720" w:type="dxa"/>
            <w:shd w:val="clear" w:color="auto" w:fill="auto"/>
            <w:noWrap/>
            <w:vAlign w:val="center"/>
            <w:hideMark/>
          </w:tcPr>
          <w:p w14:paraId="2E4FA3BE" w14:textId="77777777" w:rsidR="00FC4970" w:rsidRPr="00F740D9" w:rsidRDefault="00FC4970" w:rsidP="00FC4970">
            <w:pPr>
              <w:widowControl/>
              <w:snapToGrid w:val="0"/>
              <w:spacing w:line="360" w:lineRule="auto"/>
              <w:ind w:firstLineChars="100" w:firstLine="240"/>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AFP upon recurrence</w:t>
            </w:r>
          </w:p>
        </w:tc>
        <w:tc>
          <w:tcPr>
            <w:tcW w:w="1138" w:type="dxa"/>
            <w:shd w:val="clear" w:color="auto" w:fill="auto"/>
            <w:noWrap/>
            <w:vAlign w:val="center"/>
            <w:hideMark/>
          </w:tcPr>
          <w:p w14:paraId="40498478" w14:textId="77777777" w:rsidR="00FC4970" w:rsidRPr="00F740D9" w:rsidRDefault="00FC4970" w:rsidP="00FC4970">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0.02</w:t>
            </w:r>
          </w:p>
        </w:tc>
        <w:tc>
          <w:tcPr>
            <w:tcW w:w="2763" w:type="dxa"/>
            <w:shd w:val="clear" w:color="auto" w:fill="auto"/>
            <w:noWrap/>
            <w:vAlign w:val="center"/>
            <w:hideMark/>
          </w:tcPr>
          <w:p w14:paraId="5F6BBE44" w14:textId="77777777" w:rsidR="00FC4970" w:rsidRPr="00F740D9" w:rsidRDefault="00FC4970" w:rsidP="00FC4970">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1.00</w:t>
            </w:r>
            <w:r w:rsidRPr="00F740D9">
              <w:rPr>
                <w:rFonts w:ascii="Book Antiqua" w:eastAsia="PMingLiU" w:hAnsi="Book Antiqua" w:cs="PMingLiU"/>
                <w:color w:val="000000" w:themeColor="text1"/>
                <w:kern w:val="0"/>
                <w:szCs w:val="24"/>
                <w:lang w:eastAsia="zh-CN"/>
              </w:rPr>
              <w:t xml:space="preserve"> </w:t>
            </w:r>
            <w:r w:rsidRPr="00F740D9">
              <w:rPr>
                <w:rFonts w:ascii="Book Antiqua" w:eastAsia="PMingLiU" w:hAnsi="Book Antiqua" w:cs="PMingLiU"/>
                <w:color w:val="000000" w:themeColor="text1"/>
                <w:kern w:val="0"/>
                <w:szCs w:val="24"/>
              </w:rPr>
              <w:t>(1.00-1.00)</w:t>
            </w:r>
          </w:p>
        </w:tc>
        <w:tc>
          <w:tcPr>
            <w:tcW w:w="1120" w:type="dxa"/>
            <w:shd w:val="clear" w:color="auto" w:fill="auto"/>
            <w:noWrap/>
            <w:vAlign w:val="center"/>
            <w:hideMark/>
          </w:tcPr>
          <w:p w14:paraId="436F2C44" w14:textId="77777777" w:rsidR="00FC4970" w:rsidRPr="00F740D9" w:rsidRDefault="00FC4970" w:rsidP="00FC4970">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0.02</w:t>
            </w:r>
          </w:p>
        </w:tc>
        <w:tc>
          <w:tcPr>
            <w:tcW w:w="2721" w:type="dxa"/>
            <w:shd w:val="clear" w:color="auto" w:fill="auto"/>
            <w:noWrap/>
            <w:vAlign w:val="center"/>
            <w:hideMark/>
          </w:tcPr>
          <w:p w14:paraId="1B020652" w14:textId="77777777" w:rsidR="00FC4970" w:rsidRPr="00F740D9" w:rsidRDefault="00FC4970" w:rsidP="00FC4970">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1.00</w:t>
            </w:r>
            <w:r w:rsidRPr="00F740D9">
              <w:rPr>
                <w:rFonts w:ascii="Book Antiqua" w:eastAsia="PMingLiU" w:hAnsi="Book Antiqua" w:cs="PMingLiU"/>
                <w:color w:val="000000" w:themeColor="text1"/>
                <w:kern w:val="0"/>
                <w:szCs w:val="24"/>
                <w:lang w:eastAsia="zh-CN"/>
              </w:rPr>
              <w:t xml:space="preserve"> </w:t>
            </w:r>
            <w:r w:rsidRPr="00F740D9">
              <w:rPr>
                <w:rFonts w:ascii="Book Antiqua" w:eastAsia="PMingLiU" w:hAnsi="Book Antiqua" w:cs="PMingLiU"/>
                <w:color w:val="000000" w:themeColor="text1"/>
                <w:kern w:val="0"/>
                <w:szCs w:val="24"/>
              </w:rPr>
              <w:t>(1.00-1.00)</w:t>
            </w:r>
          </w:p>
        </w:tc>
      </w:tr>
      <w:tr w:rsidR="00FC4970" w:rsidRPr="00F740D9" w14:paraId="510003B5" w14:textId="77777777" w:rsidTr="00FC4970">
        <w:trPr>
          <w:trHeight w:val="315"/>
        </w:trPr>
        <w:tc>
          <w:tcPr>
            <w:tcW w:w="11462" w:type="dxa"/>
            <w:gridSpan w:val="5"/>
            <w:shd w:val="clear" w:color="auto" w:fill="auto"/>
            <w:noWrap/>
            <w:vAlign w:val="center"/>
            <w:hideMark/>
          </w:tcPr>
          <w:p w14:paraId="57221156" w14:textId="77777777" w:rsidR="00FC4970" w:rsidRPr="00F740D9" w:rsidRDefault="00FC4970" w:rsidP="00FC4970">
            <w:pPr>
              <w:widowControl/>
              <w:snapToGrid w:val="0"/>
              <w:spacing w:line="360" w:lineRule="auto"/>
              <w:jc w:val="both"/>
              <w:rPr>
                <w:rFonts w:ascii="Book Antiqua" w:eastAsia="Times New Roman" w:hAnsi="Book Antiqua" w:cs="Times New Roman"/>
                <w:color w:val="000000" w:themeColor="text1"/>
                <w:kern w:val="0"/>
                <w:szCs w:val="24"/>
              </w:rPr>
            </w:pPr>
            <w:r w:rsidRPr="00F740D9">
              <w:rPr>
                <w:rFonts w:ascii="Book Antiqua" w:eastAsia="PMingLiU" w:hAnsi="Book Antiqua" w:cs="PMingLiU"/>
                <w:color w:val="000000" w:themeColor="text1"/>
                <w:kern w:val="0"/>
                <w:szCs w:val="24"/>
              </w:rPr>
              <w:t>Immunosuppression after recurrence</w:t>
            </w:r>
          </w:p>
        </w:tc>
      </w:tr>
      <w:tr w:rsidR="00FC4970" w:rsidRPr="00F740D9" w14:paraId="49A3A91F" w14:textId="77777777" w:rsidTr="00FC4970">
        <w:trPr>
          <w:trHeight w:val="315"/>
        </w:trPr>
        <w:tc>
          <w:tcPr>
            <w:tcW w:w="3720" w:type="dxa"/>
            <w:shd w:val="clear" w:color="auto" w:fill="auto"/>
            <w:noWrap/>
            <w:vAlign w:val="center"/>
            <w:hideMark/>
          </w:tcPr>
          <w:p w14:paraId="089B0D13" w14:textId="77777777" w:rsidR="00FC4970" w:rsidRPr="00F740D9" w:rsidRDefault="00FC4970" w:rsidP="00FC4970">
            <w:pPr>
              <w:widowControl/>
              <w:snapToGrid w:val="0"/>
              <w:spacing w:line="360" w:lineRule="auto"/>
              <w:ind w:firstLineChars="100" w:firstLine="240"/>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mTOR inhibitor</w:t>
            </w:r>
          </w:p>
        </w:tc>
        <w:tc>
          <w:tcPr>
            <w:tcW w:w="1138" w:type="dxa"/>
            <w:shd w:val="clear" w:color="auto" w:fill="auto"/>
            <w:noWrap/>
            <w:vAlign w:val="center"/>
            <w:hideMark/>
          </w:tcPr>
          <w:p w14:paraId="3F514EF8" w14:textId="77777777" w:rsidR="00FC4970" w:rsidRPr="00F740D9" w:rsidRDefault="00FC4970" w:rsidP="00FC4970">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&lt; 0.001</w:t>
            </w:r>
          </w:p>
        </w:tc>
        <w:tc>
          <w:tcPr>
            <w:tcW w:w="2763" w:type="dxa"/>
            <w:shd w:val="clear" w:color="auto" w:fill="auto"/>
            <w:noWrap/>
            <w:vAlign w:val="center"/>
            <w:hideMark/>
          </w:tcPr>
          <w:p w14:paraId="2D4F5B5C" w14:textId="77777777" w:rsidR="00FC4970" w:rsidRPr="00F740D9" w:rsidRDefault="00FC4970" w:rsidP="00FC4970">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0.485</w:t>
            </w:r>
            <w:r w:rsidRPr="00F740D9">
              <w:rPr>
                <w:rFonts w:ascii="Book Antiqua" w:eastAsia="PMingLiU" w:hAnsi="Book Antiqua" w:cs="PMingLiU"/>
                <w:color w:val="000000" w:themeColor="text1"/>
                <w:kern w:val="0"/>
                <w:szCs w:val="24"/>
                <w:lang w:eastAsia="zh-CN"/>
              </w:rPr>
              <w:t xml:space="preserve"> </w:t>
            </w:r>
            <w:r w:rsidRPr="00F740D9">
              <w:rPr>
                <w:rFonts w:ascii="Book Antiqua" w:eastAsia="PMingLiU" w:hAnsi="Book Antiqua" w:cs="PMingLiU"/>
                <w:color w:val="000000" w:themeColor="text1"/>
                <w:kern w:val="0"/>
                <w:szCs w:val="24"/>
              </w:rPr>
              <w:t>(0.339-0.695)</w:t>
            </w:r>
          </w:p>
        </w:tc>
        <w:tc>
          <w:tcPr>
            <w:tcW w:w="1120" w:type="dxa"/>
            <w:shd w:val="clear" w:color="auto" w:fill="auto"/>
            <w:noWrap/>
            <w:vAlign w:val="center"/>
            <w:hideMark/>
          </w:tcPr>
          <w:p w14:paraId="5870950A" w14:textId="77777777" w:rsidR="00FC4970" w:rsidRPr="00F740D9" w:rsidRDefault="00FC4970" w:rsidP="00FC4970">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0.04</w:t>
            </w:r>
          </w:p>
        </w:tc>
        <w:tc>
          <w:tcPr>
            <w:tcW w:w="2721" w:type="dxa"/>
            <w:shd w:val="clear" w:color="auto" w:fill="auto"/>
            <w:noWrap/>
            <w:vAlign w:val="center"/>
            <w:hideMark/>
          </w:tcPr>
          <w:p w14:paraId="72127872" w14:textId="77777777" w:rsidR="00FC4970" w:rsidRPr="00F740D9" w:rsidRDefault="00FC4970" w:rsidP="00FC4970">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0.482</w:t>
            </w:r>
            <w:r w:rsidRPr="00F740D9">
              <w:rPr>
                <w:rFonts w:ascii="Book Antiqua" w:eastAsia="PMingLiU" w:hAnsi="Book Antiqua" w:cs="PMingLiU"/>
                <w:color w:val="000000" w:themeColor="text1"/>
                <w:kern w:val="0"/>
                <w:szCs w:val="24"/>
                <w:lang w:eastAsia="zh-CN"/>
              </w:rPr>
              <w:t xml:space="preserve"> </w:t>
            </w:r>
            <w:r w:rsidRPr="00F740D9">
              <w:rPr>
                <w:rFonts w:ascii="Book Antiqua" w:eastAsia="PMingLiU" w:hAnsi="Book Antiqua" w:cs="PMingLiU"/>
                <w:color w:val="000000" w:themeColor="text1"/>
                <w:kern w:val="0"/>
                <w:szCs w:val="24"/>
              </w:rPr>
              <w:t>(0.241-0.966)</w:t>
            </w:r>
          </w:p>
        </w:tc>
      </w:tr>
      <w:tr w:rsidR="00FC4970" w:rsidRPr="00F740D9" w14:paraId="647E9650" w14:textId="77777777" w:rsidTr="00FC4970">
        <w:trPr>
          <w:trHeight w:val="315"/>
        </w:trPr>
        <w:tc>
          <w:tcPr>
            <w:tcW w:w="3720" w:type="dxa"/>
            <w:shd w:val="clear" w:color="auto" w:fill="auto"/>
            <w:noWrap/>
            <w:vAlign w:val="center"/>
            <w:hideMark/>
          </w:tcPr>
          <w:p w14:paraId="269BDFE8" w14:textId="77777777" w:rsidR="00FC4970" w:rsidRPr="00F740D9" w:rsidRDefault="00FC4970" w:rsidP="00FC4970">
            <w:pPr>
              <w:widowControl/>
              <w:snapToGrid w:val="0"/>
              <w:spacing w:line="360" w:lineRule="auto"/>
              <w:ind w:firstLineChars="100" w:firstLine="240"/>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Calcineurin Inhibitor</w:t>
            </w:r>
          </w:p>
        </w:tc>
        <w:tc>
          <w:tcPr>
            <w:tcW w:w="1138" w:type="dxa"/>
            <w:shd w:val="clear" w:color="auto" w:fill="auto"/>
            <w:noWrap/>
            <w:vAlign w:val="center"/>
            <w:hideMark/>
          </w:tcPr>
          <w:p w14:paraId="44E9925C" w14:textId="77777777" w:rsidR="00FC4970" w:rsidRPr="00F740D9" w:rsidRDefault="00FC4970" w:rsidP="00FC4970">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0.07</w:t>
            </w:r>
          </w:p>
        </w:tc>
        <w:tc>
          <w:tcPr>
            <w:tcW w:w="2763" w:type="dxa"/>
            <w:shd w:val="clear" w:color="auto" w:fill="auto"/>
            <w:noWrap/>
            <w:vAlign w:val="center"/>
            <w:hideMark/>
          </w:tcPr>
          <w:p w14:paraId="4FA0AD69" w14:textId="77777777" w:rsidR="00FC4970" w:rsidRPr="00F740D9" w:rsidRDefault="00FC4970" w:rsidP="00FC4970">
            <w:pPr>
              <w:widowControl/>
              <w:snapToGrid w:val="0"/>
              <w:spacing w:line="360" w:lineRule="auto"/>
              <w:jc w:val="both"/>
              <w:rPr>
                <w:rFonts w:ascii="Book Antiqua" w:eastAsia="Times New Roman" w:hAnsi="Book Antiqua" w:cs="Times New Roman"/>
                <w:color w:val="000000" w:themeColor="text1"/>
                <w:kern w:val="0"/>
                <w:szCs w:val="24"/>
              </w:rPr>
            </w:pPr>
          </w:p>
        </w:tc>
        <w:tc>
          <w:tcPr>
            <w:tcW w:w="1120" w:type="dxa"/>
            <w:shd w:val="clear" w:color="auto" w:fill="auto"/>
            <w:noWrap/>
            <w:vAlign w:val="center"/>
            <w:hideMark/>
          </w:tcPr>
          <w:p w14:paraId="622974C0" w14:textId="77777777" w:rsidR="00FC4970" w:rsidRPr="00F740D9" w:rsidRDefault="00FC4970" w:rsidP="00FC4970">
            <w:pPr>
              <w:widowControl/>
              <w:snapToGrid w:val="0"/>
              <w:spacing w:line="360" w:lineRule="auto"/>
              <w:jc w:val="both"/>
              <w:rPr>
                <w:rFonts w:ascii="Book Antiqua" w:eastAsia="Times New Roman" w:hAnsi="Book Antiqua" w:cs="Times New Roman"/>
                <w:color w:val="000000" w:themeColor="text1"/>
                <w:kern w:val="0"/>
                <w:szCs w:val="24"/>
              </w:rPr>
            </w:pPr>
          </w:p>
        </w:tc>
        <w:tc>
          <w:tcPr>
            <w:tcW w:w="2721" w:type="dxa"/>
            <w:shd w:val="clear" w:color="auto" w:fill="auto"/>
            <w:noWrap/>
            <w:vAlign w:val="center"/>
            <w:hideMark/>
          </w:tcPr>
          <w:p w14:paraId="6B70E142" w14:textId="77777777" w:rsidR="00FC4970" w:rsidRPr="00F740D9" w:rsidRDefault="00FC4970" w:rsidP="00FC4970">
            <w:pPr>
              <w:widowControl/>
              <w:snapToGrid w:val="0"/>
              <w:spacing w:line="360" w:lineRule="auto"/>
              <w:jc w:val="both"/>
              <w:rPr>
                <w:rFonts w:ascii="Book Antiqua" w:eastAsia="Times New Roman" w:hAnsi="Book Antiqua" w:cs="Times New Roman"/>
                <w:color w:val="000000" w:themeColor="text1"/>
                <w:kern w:val="0"/>
                <w:szCs w:val="24"/>
              </w:rPr>
            </w:pPr>
          </w:p>
        </w:tc>
      </w:tr>
      <w:tr w:rsidR="00FC4970" w:rsidRPr="00F740D9" w14:paraId="0C5E3F0C" w14:textId="77777777" w:rsidTr="00FC4970">
        <w:trPr>
          <w:trHeight w:val="315"/>
        </w:trPr>
        <w:tc>
          <w:tcPr>
            <w:tcW w:w="3720" w:type="dxa"/>
            <w:shd w:val="clear" w:color="auto" w:fill="auto"/>
            <w:noWrap/>
            <w:vAlign w:val="center"/>
            <w:hideMark/>
          </w:tcPr>
          <w:p w14:paraId="67596648" w14:textId="0E2A4D90" w:rsidR="00FC4970" w:rsidRPr="00F740D9" w:rsidRDefault="00FC4970" w:rsidP="00701A09">
            <w:pPr>
              <w:widowControl/>
              <w:snapToGrid w:val="0"/>
              <w:spacing w:line="360" w:lineRule="auto"/>
              <w:ind w:firstLineChars="100" w:firstLine="240"/>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Tacrolimus trough (</w:t>
            </w:r>
            <w:r w:rsidR="00701A09">
              <w:rPr>
                <w:rFonts w:ascii="Book Antiqua" w:eastAsia="PMingLiU" w:hAnsi="Book Antiqua" w:cs="PMingLiU"/>
                <w:color w:val="000000" w:themeColor="text1"/>
                <w:kern w:val="0"/>
                <w:szCs w:val="24"/>
              </w:rPr>
              <w:t>μ</w:t>
            </w:r>
            <w:r w:rsidRPr="00F740D9">
              <w:rPr>
                <w:rFonts w:ascii="Book Antiqua" w:eastAsia="PMingLiU" w:hAnsi="Book Antiqua" w:cs="PMingLiU"/>
                <w:color w:val="000000" w:themeColor="text1"/>
                <w:kern w:val="0"/>
                <w:szCs w:val="24"/>
              </w:rPr>
              <w:t>g/L)</w:t>
            </w:r>
          </w:p>
        </w:tc>
        <w:tc>
          <w:tcPr>
            <w:tcW w:w="1138" w:type="dxa"/>
            <w:shd w:val="clear" w:color="auto" w:fill="auto"/>
            <w:noWrap/>
            <w:vAlign w:val="center"/>
            <w:hideMark/>
          </w:tcPr>
          <w:p w14:paraId="6BB5D595" w14:textId="77777777" w:rsidR="00FC4970" w:rsidRPr="00F740D9" w:rsidRDefault="00FC4970" w:rsidP="00FC4970">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0.002</w:t>
            </w:r>
          </w:p>
        </w:tc>
        <w:tc>
          <w:tcPr>
            <w:tcW w:w="2763" w:type="dxa"/>
            <w:shd w:val="clear" w:color="auto" w:fill="auto"/>
            <w:noWrap/>
            <w:vAlign w:val="center"/>
            <w:hideMark/>
          </w:tcPr>
          <w:p w14:paraId="39CFB7E1" w14:textId="77777777" w:rsidR="00FC4970" w:rsidRPr="00F740D9" w:rsidRDefault="00FC4970" w:rsidP="00FC4970">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1.13</w:t>
            </w:r>
            <w:r w:rsidRPr="00F740D9">
              <w:rPr>
                <w:rFonts w:ascii="Book Antiqua" w:eastAsia="PMingLiU" w:hAnsi="Book Antiqua" w:cs="PMingLiU"/>
                <w:color w:val="000000" w:themeColor="text1"/>
                <w:kern w:val="0"/>
                <w:szCs w:val="24"/>
                <w:lang w:eastAsia="zh-CN"/>
              </w:rPr>
              <w:t xml:space="preserve"> </w:t>
            </w:r>
            <w:r w:rsidRPr="00F740D9">
              <w:rPr>
                <w:rFonts w:ascii="Book Antiqua" w:eastAsia="PMingLiU" w:hAnsi="Book Antiqua" w:cs="PMingLiU"/>
                <w:color w:val="000000" w:themeColor="text1"/>
                <w:kern w:val="0"/>
                <w:szCs w:val="24"/>
              </w:rPr>
              <w:t>(1.04-1.22)</w:t>
            </w:r>
          </w:p>
        </w:tc>
        <w:tc>
          <w:tcPr>
            <w:tcW w:w="1120" w:type="dxa"/>
            <w:shd w:val="clear" w:color="auto" w:fill="auto"/>
            <w:noWrap/>
            <w:vAlign w:val="center"/>
            <w:hideMark/>
          </w:tcPr>
          <w:p w14:paraId="70CE0B3A" w14:textId="77777777" w:rsidR="00FC4970" w:rsidRPr="00F740D9" w:rsidRDefault="00FC4970" w:rsidP="00FC4970">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0.16</w:t>
            </w:r>
          </w:p>
        </w:tc>
        <w:tc>
          <w:tcPr>
            <w:tcW w:w="2721" w:type="dxa"/>
            <w:shd w:val="clear" w:color="auto" w:fill="auto"/>
            <w:noWrap/>
            <w:vAlign w:val="center"/>
            <w:hideMark/>
          </w:tcPr>
          <w:p w14:paraId="2B919DC4" w14:textId="77777777" w:rsidR="00FC4970" w:rsidRPr="00F740D9" w:rsidRDefault="00FC4970" w:rsidP="00FC4970">
            <w:pPr>
              <w:widowControl/>
              <w:snapToGrid w:val="0"/>
              <w:spacing w:line="360" w:lineRule="auto"/>
              <w:jc w:val="both"/>
              <w:rPr>
                <w:rFonts w:ascii="Book Antiqua" w:eastAsia="Times New Roman" w:hAnsi="Book Antiqua" w:cs="Times New Roman"/>
                <w:color w:val="000000" w:themeColor="text1"/>
                <w:kern w:val="0"/>
                <w:szCs w:val="24"/>
              </w:rPr>
            </w:pPr>
          </w:p>
        </w:tc>
      </w:tr>
      <w:tr w:rsidR="00FC4970" w:rsidRPr="00F740D9" w14:paraId="64CCFAE2" w14:textId="77777777" w:rsidTr="00FC4970">
        <w:trPr>
          <w:trHeight w:val="315"/>
        </w:trPr>
        <w:tc>
          <w:tcPr>
            <w:tcW w:w="11462" w:type="dxa"/>
            <w:gridSpan w:val="5"/>
            <w:shd w:val="clear" w:color="auto" w:fill="auto"/>
            <w:noWrap/>
            <w:vAlign w:val="center"/>
            <w:hideMark/>
          </w:tcPr>
          <w:p w14:paraId="16A576D8" w14:textId="77777777" w:rsidR="00FC4970" w:rsidRPr="00F740D9" w:rsidRDefault="00FC4970" w:rsidP="00FC4970">
            <w:pPr>
              <w:widowControl/>
              <w:snapToGrid w:val="0"/>
              <w:spacing w:line="360" w:lineRule="auto"/>
              <w:jc w:val="both"/>
              <w:rPr>
                <w:rFonts w:ascii="Book Antiqua" w:eastAsia="Times New Roman" w:hAnsi="Book Antiqua" w:cs="Times New Roman"/>
                <w:color w:val="000000" w:themeColor="text1"/>
                <w:kern w:val="0"/>
                <w:szCs w:val="24"/>
              </w:rPr>
            </w:pPr>
            <w:r w:rsidRPr="00F740D9">
              <w:rPr>
                <w:rFonts w:ascii="Book Antiqua" w:eastAsia="PMingLiU" w:hAnsi="Book Antiqua" w:cs="PMingLiU"/>
                <w:color w:val="000000" w:themeColor="text1"/>
                <w:kern w:val="0"/>
                <w:szCs w:val="24"/>
              </w:rPr>
              <w:t>Treatment</w:t>
            </w:r>
          </w:p>
        </w:tc>
      </w:tr>
      <w:tr w:rsidR="00FC4970" w:rsidRPr="00F740D9" w14:paraId="15E78137" w14:textId="77777777" w:rsidTr="00FC4970">
        <w:trPr>
          <w:trHeight w:val="315"/>
        </w:trPr>
        <w:tc>
          <w:tcPr>
            <w:tcW w:w="3720" w:type="dxa"/>
            <w:shd w:val="clear" w:color="auto" w:fill="auto"/>
            <w:noWrap/>
            <w:vAlign w:val="center"/>
            <w:hideMark/>
          </w:tcPr>
          <w:p w14:paraId="26C195B5" w14:textId="77777777" w:rsidR="00FC4970" w:rsidRPr="00F740D9" w:rsidRDefault="00FC4970" w:rsidP="00FC4970">
            <w:pPr>
              <w:widowControl/>
              <w:snapToGrid w:val="0"/>
              <w:spacing w:line="360" w:lineRule="auto"/>
              <w:ind w:firstLineChars="100" w:firstLine="240"/>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 xml:space="preserve">Surgery </w:t>
            </w:r>
          </w:p>
        </w:tc>
        <w:tc>
          <w:tcPr>
            <w:tcW w:w="1138" w:type="dxa"/>
            <w:shd w:val="clear" w:color="auto" w:fill="auto"/>
            <w:noWrap/>
            <w:vAlign w:val="center"/>
            <w:hideMark/>
          </w:tcPr>
          <w:p w14:paraId="6B98FFEB" w14:textId="77777777" w:rsidR="00FC4970" w:rsidRPr="00F740D9" w:rsidRDefault="00FC4970" w:rsidP="00FC4970">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&lt; 0.001</w:t>
            </w:r>
          </w:p>
        </w:tc>
        <w:tc>
          <w:tcPr>
            <w:tcW w:w="2763" w:type="dxa"/>
            <w:shd w:val="clear" w:color="auto" w:fill="auto"/>
            <w:noWrap/>
            <w:vAlign w:val="center"/>
            <w:hideMark/>
          </w:tcPr>
          <w:p w14:paraId="679EB8EE" w14:textId="77777777" w:rsidR="00FC4970" w:rsidRPr="00F740D9" w:rsidRDefault="00FC4970" w:rsidP="00FC4970">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0.380</w:t>
            </w:r>
            <w:r w:rsidRPr="00F740D9">
              <w:rPr>
                <w:rFonts w:ascii="Book Antiqua" w:eastAsia="PMingLiU" w:hAnsi="Book Antiqua" w:cs="PMingLiU"/>
                <w:color w:val="000000" w:themeColor="text1"/>
                <w:kern w:val="0"/>
                <w:szCs w:val="24"/>
                <w:lang w:eastAsia="zh-CN"/>
              </w:rPr>
              <w:t xml:space="preserve"> </w:t>
            </w:r>
            <w:r w:rsidRPr="00F740D9">
              <w:rPr>
                <w:rFonts w:ascii="Book Antiqua" w:eastAsia="PMingLiU" w:hAnsi="Book Antiqua" w:cs="PMingLiU"/>
                <w:color w:val="000000" w:themeColor="text1"/>
                <w:kern w:val="0"/>
                <w:szCs w:val="24"/>
              </w:rPr>
              <w:t>(0.240-0.601)</w:t>
            </w:r>
          </w:p>
        </w:tc>
        <w:tc>
          <w:tcPr>
            <w:tcW w:w="1120" w:type="dxa"/>
            <w:shd w:val="clear" w:color="auto" w:fill="auto"/>
            <w:noWrap/>
            <w:vAlign w:val="center"/>
            <w:hideMark/>
          </w:tcPr>
          <w:p w14:paraId="4F29654A" w14:textId="77777777" w:rsidR="00FC4970" w:rsidRPr="00F740D9" w:rsidRDefault="00FC4970" w:rsidP="00FC4970">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0.22</w:t>
            </w:r>
          </w:p>
        </w:tc>
        <w:tc>
          <w:tcPr>
            <w:tcW w:w="2721" w:type="dxa"/>
            <w:shd w:val="clear" w:color="auto" w:fill="auto"/>
            <w:noWrap/>
            <w:vAlign w:val="center"/>
            <w:hideMark/>
          </w:tcPr>
          <w:p w14:paraId="021FB821" w14:textId="77777777" w:rsidR="00FC4970" w:rsidRPr="00F740D9" w:rsidRDefault="00FC4970" w:rsidP="00FC4970">
            <w:pPr>
              <w:widowControl/>
              <w:snapToGrid w:val="0"/>
              <w:spacing w:line="360" w:lineRule="auto"/>
              <w:jc w:val="both"/>
              <w:rPr>
                <w:rFonts w:ascii="Book Antiqua" w:eastAsia="Times New Roman" w:hAnsi="Book Antiqua" w:cs="Times New Roman"/>
                <w:color w:val="000000" w:themeColor="text1"/>
                <w:kern w:val="0"/>
                <w:szCs w:val="24"/>
              </w:rPr>
            </w:pPr>
          </w:p>
        </w:tc>
      </w:tr>
      <w:tr w:rsidR="00FC4970" w:rsidRPr="00F740D9" w14:paraId="6BBA6746" w14:textId="77777777" w:rsidTr="00FC4970">
        <w:trPr>
          <w:trHeight w:val="315"/>
        </w:trPr>
        <w:tc>
          <w:tcPr>
            <w:tcW w:w="3720" w:type="dxa"/>
            <w:shd w:val="clear" w:color="auto" w:fill="auto"/>
            <w:noWrap/>
            <w:vAlign w:val="center"/>
            <w:hideMark/>
          </w:tcPr>
          <w:p w14:paraId="6D54C970" w14:textId="77777777" w:rsidR="00FC4970" w:rsidRPr="00F740D9" w:rsidRDefault="00FC4970" w:rsidP="00FC4970">
            <w:pPr>
              <w:widowControl/>
              <w:snapToGrid w:val="0"/>
              <w:spacing w:line="360" w:lineRule="auto"/>
              <w:ind w:firstLineChars="100" w:firstLine="240"/>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RFA</w:t>
            </w:r>
          </w:p>
        </w:tc>
        <w:tc>
          <w:tcPr>
            <w:tcW w:w="1138" w:type="dxa"/>
            <w:shd w:val="clear" w:color="auto" w:fill="auto"/>
            <w:noWrap/>
            <w:vAlign w:val="center"/>
            <w:hideMark/>
          </w:tcPr>
          <w:p w14:paraId="68C0AFD7" w14:textId="77777777" w:rsidR="00FC4970" w:rsidRPr="00F740D9" w:rsidRDefault="00FC4970" w:rsidP="00FC4970">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0.16</w:t>
            </w:r>
          </w:p>
        </w:tc>
        <w:tc>
          <w:tcPr>
            <w:tcW w:w="2763" w:type="dxa"/>
            <w:shd w:val="clear" w:color="auto" w:fill="auto"/>
            <w:noWrap/>
            <w:vAlign w:val="center"/>
            <w:hideMark/>
          </w:tcPr>
          <w:p w14:paraId="4326C982" w14:textId="77777777" w:rsidR="00FC4970" w:rsidRPr="00F740D9" w:rsidRDefault="00FC4970" w:rsidP="00FC4970">
            <w:pPr>
              <w:widowControl/>
              <w:snapToGrid w:val="0"/>
              <w:spacing w:line="360" w:lineRule="auto"/>
              <w:jc w:val="both"/>
              <w:rPr>
                <w:rFonts w:ascii="Book Antiqua" w:eastAsia="Times New Roman" w:hAnsi="Book Antiqua" w:cs="Times New Roman"/>
                <w:color w:val="000000" w:themeColor="text1"/>
                <w:kern w:val="0"/>
                <w:szCs w:val="24"/>
              </w:rPr>
            </w:pPr>
          </w:p>
        </w:tc>
        <w:tc>
          <w:tcPr>
            <w:tcW w:w="1120" w:type="dxa"/>
            <w:shd w:val="clear" w:color="auto" w:fill="auto"/>
            <w:noWrap/>
            <w:vAlign w:val="center"/>
            <w:hideMark/>
          </w:tcPr>
          <w:p w14:paraId="420D6A7A" w14:textId="77777777" w:rsidR="00FC4970" w:rsidRPr="00F740D9" w:rsidRDefault="00FC4970" w:rsidP="00FC4970">
            <w:pPr>
              <w:widowControl/>
              <w:snapToGrid w:val="0"/>
              <w:spacing w:line="360" w:lineRule="auto"/>
              <w:jc w:val="both"/>
              <w:rPr>
                <w:rFonts w:ascii="Book Antiqua" w:eastAsia="Times New Roman" w:hAnsi="Book Antiqua" w:cs="Times New Roman"/>
                <w:color w:val="000000" w:themeColor="text1"/>
                <w:kern w:val="0"/>
                <w:szCs w:val="24"/>
              </w:rPr>
            </w:pPr>
          </w:p>
        </w:tc>
        <w:tc>
          <w:tcPr>
            <w:tcW w:w="2721" w:type="dxa"/>
            <w:shd w:val="clear" w:color="auto" w:fill="auto"/>
            <w:noWrap/>
            <w:vAlign w:val="center"/>
            <w:hideMark/>
          </w:tcPr>
          <w:p w14:paraId="17BA9387" w14:textId="77777777" w:rsidR="00FC4970" w:rsidRPr="00F740D9" w:rsidRDefault="00FC4970" w:rsidP="00FC4970">
            <w:pPr>
              <w:widowControl/>
              <w:snapToGrid w:val="0"/>
              <w:spacing w:line="360" w:lineRule="auto"/>
              <w:jc w:val="both"/>
              <w:rPr>
                <w:rFonts w:ascii="Book Antiqua" w:eastAsia="Times New Roman" w:hAnsi="Book Antiqua" w:cs="Times New Roman"/>
                <w:color w:val="000000" w:themeColor="text1"/>
                <w:kern w:val="0"/>
                <w:szCs w:val="24"/>
              </w:rPr>
            </w:pPr>
          </w:p>
        </w:tc>
      </w:tr>
      <w:tr w:rsidR="00FC4970" w:rsidRPr="00F740D9" w14:paraId="55FE01FD" w14:textId="77777777" w:rsidTr="00FC4970">
        <w:trPr>
          <w:trHeight w:val="315"/>
        </w:trPr>
        <w:tc>
          <w:tcPr>
            <w:tcW w:w="3720" w:type="dxa"/>
            <w:shd w:val="clear" w:color="auto" w:fill="auto"/>
            <w:noWrap/>
            <w:vAlign w:val="center"/>
            <w:hideMark/>
          </w:tcPr>
          <w:p w14:paraId="6918E256" w14:textId="77777777" w:rsidR="00FC4970" w:rsidRPr="00F740D9" w:rsidRDefault="00FC4970" w:rsidP="00FC4970">
            <w:pPr>
              <w:widowControl/>
              <w:snapToGrid w:val="0"/>
              <w:spacing w:line="360" w:lineRule="auto"/>
              <w:ind w:firstLineChars="100" w:firstLine="240"/>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TACE</w:t>
            </w:r>
          </w:p>
        </w:tc>
        <w:tc>
          <w:tcPr>
            <w:tcW w:w="1138" w:type="dxa"/>
            <w:shd w:val="clear" w:color="auto" w:fill="auto"/>
            <w:noWrap/>
            <w:vAlign w:val="center"/>
            <w:hideMark/>
          </w:tcPr>
          <w:p w14:paraId="7AAFEB75" w14:textId="77777777" w:rsidR="00FC4970" w:rsidRPr="00F740D9" w:rsidRDefault="00FC4970" w:rsidP="00FC4970">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0.32</w:t>
            </w:r>
          </w:p>
        </w:tc>
        <w:tc>
          <w:tcPr>
            <w:tcW w:w="2763" w:type="dxa"/>
            <w:shd w:val="clear" w:color="auto" w:fill="auto"/>
            <w:noWrap/>
            <w:vAlign w:val="center"/>
            <w:hideMark/>
          </w:tcPr>
          <w:p w14:paraId="49E8EF20" w14:textId="77777777" w:rsidR="00FC4970" w:rsidRPr="00F740D9" w:rsidRDefault="00FC4970" w:rsidP="00FC4970">
            <w:pPr>
              <w:widowControl/>
              <w:snapToGrid w:val="0"/>
              <w:spacing w:line="360" w:lineRule="auto"/>
              <w:jc w:val="both"/>
              <w:rPr>
                <w:rFonts w:ascii="Book Antiqua" w:eastAsia="Times New Roman" w:hAnsi="Book Antiqua" w:cs="Times New Roman"/>
                <w:color w:val="000000" w:themeColor="text1"/>
                <w:kern w:val="0"/>
                <w:szCs w:val="24"/>
              </w:rPr>
            </w:pPr>
          </w:p>
        </w:tc>
        <w:tc>
          <w:tcPr>
            <w:tcW w:w="1120" w:type="dxa"/>
            <w:shd w:val="clear" w:color="auto" w:fill="auto"/>
            <w:noWrap/>
            <w:vAlign w:val="center"/>
            <w:hideMark/>
          </w:tcPr>
          <w:p w14:paraId="082A6FC7" w14:textId="77777777" w:rsidR="00FC4970" w:rsidRPr="00F740D9" w:rsidRDefault="00FC4970" w:rsidP="00FC4970">
            <w:pPr>
              <w:widowControl/>
              <w:snapToGrid w:val="0"/>
              <w:spacing w:line="360" w:lineRule="auto"/>
              <w:jc w:val="both"/>
              <w:rPr>
                <w:rFonts w:ascii="Book Antiqua" w:eastAsia="Times New Roman" w:hAnsi="Book Antiqua" w:cs="Times New Roman"/>
                <w:color w:val="000000" w:themeColor="text1"/>
                <w:kern w:val="0"/>
                <w:szCs w:val="24"/>
              </w:rPr>
            </w:pPr>
          </w:p>
        </w:tc>
        <w:tc>
          <w:tcPr>
            <w:tcW w:w="2721" w:type="dxa"/>
            <w:shd w:val="clear" w:color="auto" w:fill="auto"/>
            <w:noWrap/>
            <w:vAlign w:val="center"/>
            <w:hideMark/>
          </w:tcPr>
          <w:p w14:paraId="5F0ECDE7" w14:textId="77777777" w:rsidR="00FC4970" w:rsidRPr="00F740D9" w:rsidRDefault="00FC4970" w:rsidP="00FC4970">
            <w:pPr>
              <w:widowControl/>
              <w:snapToGrid w:val="0"/>
              <w:spacing w:line="360" w:lineRule="auto"/>
              <w:jc w:val="both"/>
              <w:rPr>
                <w:rFonts w:ascii="Book Antiqua" w:eastAsia="Times New Roman" w:hAnsi="Book Antiqua" w:cs="Times New Roman"/>
                <w:color w:val="000000" w:themeColor="text1"/>
                <w:kern w:val="0"/>
                <w:szCs w:val="24"/>
              </w:rPr>
            </w:pPr>
          </w:p>
        </w:tc>
      </w:tr>
      <w:tr w:rsidR="00FC4970" w:rsidRPr="00F740D9" w14:paraId="26ABCEB8" w14:textId="77777777" w:rsidTr="00FC4970">
        <w:trPr>
          <w:trHeight w:val="315"/>
        </w:trPr>
        <w:tc>
          <w:tcPr>
            <w:tcW w:w="3720" w:type="dxa"/>
            <w:shd w:val="clear" w:color="auto" w:fill="auto"/>
            <w:noWrap/>
            <w:vAlign w:val="center"/>
            <w:hideMark/>
          </w:tcPr>
          <w:p w14:paraId="0C9F3668" w14:textId="77777777" w:rsidR="00FC4970" w:rsidRPr="00F740D9" w:rsidRDefault="00FC4970" w:rsidP="00FC4970">
            <w:pPr>
              <w:widowControl/>
              <w:snapToGrid w:val="0"/>
              <w:spacing w:line="360" w:lineRule="auto"/>
              <w:ind w:firstLineChars="100" w:firstLine="240"/>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Radiotherapy</w:t>
            </w:r>
          </w:p>
        </w:tc>
        <w:tc>
          <w:tcPr>
            <w:tcW w:w="1138" w:type="dxa"/>
            <w:shd w:val="clear" w:color="auto" w:fill="auto"/>
            <w:noWrap/>
            <w:vAlign w:val="center"/>
            <w:hideMark/>
          </w:tcPr>
          <w:p w14:paraId="52F6F20C" w14:textId="77777777" w:rsidR="00FC4970" w:rsidRPr="00F740D9" w:rsidRDefault="00FC4970" w:rsidP="00FC4970">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0.90</w:t>
            </w:r>
          </w:p>
        </w:tc>
        <w:tc>
          <w:tcPr>
            <w:tcW w:w="2763" w:type="dxa"/>
            <w:shd w:val="clear" w:color="auto" w:fill="auto"/>
            <w:noWrap/>
            <w:vAlign w:val="center"/>
            <w:hideMark/>
          </w:tcPr>
          <w:p w14:paraId="66B08E06" w14:textId="77777777" w:rsidR="00FC4970" w:rsidRPr="00F740D9" w:rsidRDefault="00FC4970" w:rsidP="00FC4970">
            <w:pPr>
              <w:widowControl/>
              <w:snapToGrid w:val="0"/>
              <w:spacing w:line="360" w:lineRule="auto"/>
              <w:jc w:val="both"/>
              <w:rPr>
                <w:rFonts w:ascii="Book Antiqua" w:eastAsia="Times New Roman" w:hAnsi="Book Antiqua" w:cs="Times New Roman"/>
                <w:color w:val="000000" w:themeColor="text1"/>
                <w:kern w:val="0"/>
                <w:szCs w:val="24"/>
              </w:rPr>
            </w:pPr>
          </w:p>
        </w:tc>
        <w:tc>
          <w:tcPr>
            <w:tcW w:w="1120" w:type="dxa"/>
            <w:shd w:val="clear" w:color="auto" w:fill="auto"/>
            <w:noWrap/>
            <w:vAlign w:val="center"/>
            <w:hideMark/>
          </w:tcPr>
          <w:p w14:paraId="1E4569F4" w14:textId="77777777" w:rsidR="00FC4970" w:rsidRPr="00F740D9" w:rsidRDefault="00FC4970" w:rsidP="00FC4970">
            <w:pPr>
              <w:widowControl/>
              <w:snapToGrid w:val="0"/>
              <w:spacing w:line="360" w:lineRule="auto"/>
              <w:jc w:val="both"/>
              <w:rPr>
                <w:rFonts w:ascii="Book Antiqua" w:eastAsia="Times New Roman" w:hAnsi="Book Antiqua" w:cs="Times New Roman"/>
                <w:color w:val="000000" w:themeColor="text1"/>
                <w:kern w:val="0"/>
                <w:szCs w:val="24"/>
              </w:rPr>
            </w:pPr>
          </w:p>
        </w:tc>
        <w:tc>
          <w:tcPr>
            <w:tcW w:w="2721" w:type="dxa"/>
            <w:shd w:val="clear" w:color="auto" w:fill="auto"/>
            <w:noWrap/>
            <w:vAlign w:val="center"/>
            <w:hideMark/>
          </w:tcPr>
          <w:p w14:paraId="67FE6D16" w14:textId="77777777" w:rsidR="00FC4970" w:rsidRPr="00F740D9" w:rsidRDefault="00FC4970" w:rsidP="00FC4970">
            <w:pPr>
              <w:widowControl/>
              <w:snapToGrid w:val="0"/>
              <w:spacing w:line="360" w:lineRule="auto"/>
              <w:jc w:val="both"/>
              <w:rPr>
                <w:rFonts w:ascii="Book Antiqua" w:eastAsia="Times New Roman" w:hAnsi="Book Antiqua" w:cs="Times New Roman"/>
                <w:color w:val="000000" w:themeColor="text1"/>
                <w:kern w:val="0"/>
                <w:szCs w:val="24"/>
              </w:rPr>
            </w:pPr>
          </w:p>
        </w:tc>
      </w:tr>
      <w:tr w:rsidR="00FC4970" w:rsidRPr="00F740D9" w14:paraId="4B7DDBCA" w14:textId="77777777" w:rsidTr="00FC4970">
        <w:trPr>
          <w:trHeight w:val="315"/>
        </w:trPr>
        <w:tc>
          <w:tcPr>
            <w:tcW w:w="3720" w:type="dxa"/>
            <w:shd w:val="clear" w:color="auto" w:fill="auto"/>
            <w:noWrap/>
            <w:vAlign w:val="center"/>
            <w:hideMark/>
          </w:tcPr>
          <w:p w14:paraId="282627A3" w14:textId="77777777" w:rsidR="00FC4970" w:rsidRPr="00F740D9" w:rsidRDefault="00FC4970" w:rsidP="00FC4970">
            <w:pPr>
              <w:widowControl/>
              <w:snapToGrid w:val="0"/>
              <w:spacing w:line="360" w:lineRule="auto"/>
              <w:ind w:firstLineChars="100" w:firstLine="240"/>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Targeted therapy</w:t>
            </w:r>
          </w:p>
        </w:tc>
        <w:tc>
          <w:tcPr>
            <w:tcW w:w="1138" w:type="dxa"/>
            <w:shd w:val="clear" w:color="auto" w:fill="auto"/>
            <w:noWrap/>
            <w:vAlign w:val="center"/>
            <w:hideMark/>
          </w:tcPr>
          <w:p w14:paraId="5ACB53EE" w14:textId="77777777" w:rsidR="00FC4970" w:rsidRPr="00F740D9" w:rsidRDefault="00FC4970" w:rsidP="00FC4970">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0.97</w:t>
            </w:r>
          </w:p>
        </w:tc>
        <w:tc>
          <w:tcPr>
            <w:tcW w:w="2763" w:type="dxa"/>
            <w:shd w:val="clear" w:color="auto" w:fill="auto"/>
            <w:noWrap/>
            <w:vAlign w:val="center"/>
            <w:hideMark/>
          </w:tcPr>
          <w:p w14:paraId="455FC8BF" w14:textId="77777777" w:rsidR="00FC4970" w:rsidRPr="00F740D9" w:rsidRDefault="00FC4970" w:rsidP="00FC4970">
            <w:pPr>
              <w:widowControl/>
              <w:snapToGrid w:val="0"/>
              <w:spacing w:line="360" w:lineRule="auto"/>
              <w:jc w:val="both"/>
              <w:rPr>
                <w:rFonts w:ascii="Book Antiqua" w:eastAsia="Times New Roman" w:hAnsi="Book Antiqua" w:cs="Times New Roman"/>
                <w:color w:val="000000" w:themeColor="text1"/>
                <w:kern w:val="0"/>
                <w:szCs w:val="24"/>
              </w:rPr>
            </w:pPr>
          </w:p>
        </w:tc>
        <w:tc>
          <w:tcPr>
            <w:tcW w:w="1120" w:type="dxa"/>
            <w:shd w:val="clear" w:color="auto" w:fill="auto"/>
            <w:noWrap/>
            <w:vAlign w:val="center"/>
            <w:hideMark/>
          </w:tcPr>
          <w:p w14:paraId="06A527D3" w14:textId="77777777" w:rsidR="00FC4970" w:rsidRPr="00F740D9" w:rsidRDefault="00FC4970" w:rsidP="00FC4970">
            <w:pPr>
              <w:widowControl/>
              <w:snapToGrid w:val="0"/>
              <w:spacing w:line="360" w:lineRule="auto"/>
              <w:jc w:val="both"/>
              <w:rPr>
                <w:rFonts w:ascii="Book Antiqua" w:eastAsia="Times New Roman" w:hAnsi="Book Antiqua" w:cs="Times New Roman"/>
                <w:color w:val="000000" w:themeColor="text1"/>
                <w:kern w:val="0"/>
                <w:szCs w:val="24"/>
              </w:rPr>
            </w:pPr>
          </w:p>
        </w:tc>
        <w:tc>
          <w:tcPr>
            <w:tcW w:w="2721" w:type="dxa"/>
            <w:shd w:val="clear" w:color="auto" w:fill="auto"/>
            <w:noWrap/>
            <w:vAlign w:val="center"/>
            <w:hideMark/>
          </w:tcPr>
          <w:p w14:paraId="08F5745D" w14:textId="77777777" w:rsidR="00FC4970" w:rsidRPr="00F740D9" w:rsidRDefault="00FC4970" w:rsidP="00FC4970">
            <w:pPr>
              <w:widowControl/>
              <w:snapToGrid w:val="0"/>
              <w:spacing w:line="360" w:lineRule="auto"/>
              <w:jc w:val="both"/>
              <w:rPr>
                <w:rFonts w:ascii="Book Antiqua" w:eastAsia="Times New Roman" w:hAnsi="Book Antiqua" w:cs="Times New Roman"/>
                <w:color w:val="000000" w:themeColor="text1"/>
                <w:kern w:val="0"/>
                <w:szCs w:val="24"/>
              </w:rPr>
            </w:pPr>
          </w:p>
        </w:tc>
      </w:tr>
      <w:tr w:rsidR="00FC4970" w:rsidRPr="00F740D9" w14:paraId="3F964BC3" w14:textId="77777777" w:rsidTr="00FC4970">
        <w:trPr>
          <w:trHeight w:val="315"/>
        </w:trPr>
        <w:tc>
          <w:tcPr>
            <w:tcW w:w="3720" w:type="dxa"/>
            <w:shd w:val="clear" w:color="auto" w:fill="auto"/>
            <w:noWrap/>
            <w:vAlign w:val="center"/>
            <w:hideMark/>
          </w:tcPr>
          <w:p w14:paraId="3665C394" w14:textId="77777777" w:rsidR="00FC4970" w:rsidRPr="00F740D9" w:rsidRDefault="00FC4970" w:rsidP="00FC4970">
            <w:pPr>
              <w:widowControl/>
              <w:snapToGrid w:val="0"/>
              <w:spacing w:line="360" w:lineRule="auto"/>
              <w:ind w:firstLineChars="100" w:firstLine="240"/>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Immunotherapy</w:t>
            </w:r>
          </w:p>
        </w:tc>
        <w:tc>
          <w:tcPr>
            <w:tcW w:w="1138" w:type="dxa"/>
            <w:shd w:val="clear" w:color="auto" w:fill="auto"/>
            <w:noWrap/>
            <w:vAlign w:val="center"/>
            <w:hideMark/>
          </w:tcPr>
          <w:p w14:paraId="790CCD85" w14:textId="77777777" w:rsidR="00FC4970" w:rsidRPr="00F740D9" w:rsidRDefault="00FC4970" w:rsidP="00FC4970">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0.80</w:t>
            </w:r>
          </w:p>
        </w:tc>
        <w:tc>
          <w:tcPr>
            <w:tcW w:w="2763" w:type="dxa"/>
            <w:shd w:val="clear" w:color="auto" w:fill="auto"/>
            <w:noWrap/>
            <w:vAlign w:val="center"/>
            <w:hideMark/>
          </w:tcPr>
          <w:p w14:paraId="7B354F77" w14:textId="77777777" w:rsidR="00FC4970" w:rsidRPr="00F740D9" w:rsidRDefault="00FC4970" w:rsidP="00FC4970">
            <w:pPr>
              <w:widowControl/>
              <w:snapToGrid w:val="0"/>
              <w:spacing w:line="360" w:lineRule="auto"/>
              <w:jc w:val="both"/>
              <w:rPr>
                <w:rFonts w:ascii="Book Antiqua" w:eastAsia="Times New Roman" w:hAnsi="Book Antiqua" w:cs="Times New Roman"/>
                <w:color w:val="000000" w:themeColor="text1"/>
                <w:kern w:val="0"/>
                <w:szCs w:val="24"/>
              </w:rPr>
            </w:pPr>
          </w:p>
        </w:tc>
        <w:tc>
          <w:tcPr>
            <w:tcW w:w="1120" w:type="dxa"/>
            <w:shd w:val="clear" w:color="auto" w:fill="auto"/>
            <w:noWrap/>
            <w:vAlign w:val="center"/>
            <w:hideMark/>
          </w:tcPr>
          <w:p w14:paraId="473674A7" w14:textId="77777777" w:rsidR="00FC4970" w:rsidRPr="00F740D9" w:rsidRDefault="00FC4970" w:rsidP="00FC4970">
            <w:pPr>
              <w:widowControl/>
              <w:snapToGrid w:val="0"/>
              <w:spacing w:line="360" w:lineRule="auto"/>
              <w:jc w:val="both"/>
              <w:rPr>
                <w:rFonts w:ascii="Book Antiqua" w:eastAsia="Times New Roman" w:hAnsi="Book Antiqua" w:cs="Times New Roman"/>
                <w:color w:val="000000" w:themeColor="text1"/>
                <w:kern w:val="0"/>
                <w:szCs w:val="24"/>
              </w:rPr>
            </w:pPr>
          </w:p>
        </w:tc>
        <w:tc>
          <w:tcPr>
            <w:tcW w:w="2721" w:type="dxa"/>
            <w:shd w:val="clear" w:color="auto" w:fill="auto"/>
            <w:noWrap/>
            <w:vAlign w:val="center"/>
            <w:hideMark/>
          </w:tcPr>
          <w:p w14:paraId="0F25FE37" w14:textId="77777777" w:rsidR="00FC4970" w:rsidRPr="00F740D9" w:rsidRDefault="00FC4970" w:rsidP="00FC4970">
            <w:pPr>
              <w:widowControl/>
              <w:snapToGrid w:val="0"/>
              <w:spacing w:line="360" w:lineRule="auto"/>
              <w:jc w:val="both"/>
              <w:rPr>
                <w:rFonts w:ascii="Book Antiqua" w:eastAsia="Times New Roman" w:hAnsi="Book Antiqua" w:cs="Times New Roman"/>
                <w:color w:val="000000" w:themeColor="text1"/>
                <w:kern w:val="0"/>
                <w:szCs w:val="24"/>
              </w:rPr>
            </w:pPr>
          </w:p>
        </w:tc>
      </w:tr>
      <w:tr w:rsidR="00FC4970" w:rsidRPr="00F740D9" w14:paraId="454DEC87" w14:textId="77777777" w:rsidTr="00FC4970">
        <w:trPr>
          <w:trHeight w:val="315"/>
        </w:trPr>
        <w:tc>
          <w:tcPr>
            <w:tcW w:w="3720" w:type="dxa"/>
            <w:shd w:val="clear" w:color="auto" w:fill="auto"/>
            <w:noWrap/>
            <w:vAlign w:val="center"/>
            <w:hideMark/>
          </w:tcPr>
          <w:p w14:paraId="03E55222" w14:textId="77777777" w:rsidR="00FC4970" w:rsidRPr="00F740D9" w:rsidRDefault="00FC4970" w:rsidP="00FC4970">
            <w:pPr>
              <w:widowControl/>
              <w:snapToGrid w:val="0"/>
              <w:spacing w:line="360" w:lineRule="auto"/>
              <w:ind w:firstLineChars="100" w:firstLine="240"/>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Supportive</w:t>
            </w:r>
          </w:p>
        </w:tc>
        <w:tc>
          <w:tcPr>
            <w:tcW w:w="1138" w:type="dxa"/>
            <w:shd w:val="clear" w:color="auto" w:fill="auto"/>
            <w:noWrap/>
            <w:vAlign w:val="center"/>
            <w:hideMark/>
          </w:tcPr>
          <w:p w14:paraId="0F8C911C" w14:textId="77777777" w:rsidR="00FC4970" w:rsidRPr="00F740D9" w:rsidRDefault="00FC4970" w:rsidP="00FC4970">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&lt; 0.001</w:t>
            </w:r>
          </w:p>
        </w:tc>
        <w:tc>
          <w:tcPr>
            <w:tcW w:w="2763" w:type="dxa"/>
            <w:shd w:val="clear" w:color="auto" w:fill="auto"/>
            <w:noWrap/>
            <w:vAlign w:val="center"/>
            <w:hideMark/>
          </w:tcPr>
          <w:p w14:paraId="1EA79FD6" w14:textId="77777777" w:rsidR="00FC4970" w:rsidRPr="00F740D9" w:rsidRDefault="00FC4970" w:rsidP="00FC4970">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2.34</w:t>
            </w:r>
            <w:r w:rsidRPr="00F740D9">
              <w:rPr>
                <w:rFonts w:ascii="Book Antiqua" w:eastAsia="PMingLiU" w:hAnsi="Book Antiqua" w:cs="PMingLiU"/>
                <w:color w:val="000000" w:themeColor="text1"/>
                <w:kern w:val="0"/>
                <w:szCs w:val="24"/>
                <w:lang w:eastAsia="zh-CN"/>
              </w:rPr>
              <w:t xml:space="preserve"> </w:t>
            </w:r>
            <w:r w:rsidRPr="00F740D9">
              <w:rPr>
                <w:rFonts w:ascii="Book Antiqua" w:eastAsia="PMingLiU" w:hAnsi="Book Antiqua" w:cs="PMingLiU"/>
                <w:color w:val="000000" w:themeColor="text1"/>
                <w:kern w:val="0"/>
                <w:szCs w:val="24"/>
              </w:rPr>
              <w:t>(1.49-3.67)</w:t>
            </w:r>
          </w:p>
        </w:tc>
        <w:tc>
          <w:tcPr>
            <w:tcW w:w="1120" w:type="dxa"/>
            <w:shd w:val="clear" w:color="auto" w:fill="auto"/>
            <w:noWrap/>
            <w:vAlign w:val="center"/>
            <w:hideMark/>
          </w:tcPr>
          <w:p w14:paraId="1FABA538" w14:textId="77777777" w:rsidR="00FC4970" w:rsidRPr="00F740D9" w:rsidRDefault="00FC4970" w:rsidP="00FC4970">
            <w:pPr>
              <w:widowControl/>
              <w:snapToGrid w:val="0"/>
              <w:spacing w:line="360" w:lineRule="auto"/>
              <w:jc w:val="both"/>
              <w:rPr>
                <w:rFonts w:ascii="Book Antiqua" w:eastAsia="PMingLiU" w:hAnsi="Book Antiqua" w:cs="PMingLiU"/>
                <w:color w:val="000000" w:themeColor="text1"/>
                <w:kern w:val="0"/>
                <w:szCs w:val="24"/>
              </w:rPr>
            </w:pPr>
            <w:r w:rsidRPr="00F740D9">
              <w:rPr>
                <w:rFonts w:ascii="Book Antiqua" w:eastAsia="PMingLiU" w:hAnsi="Book Antiqua" w:cs="PMingLiU"/>
                <w:color w:val="000000" w:themeColor="text1"/>
                <w:kern w:val="0"/>
                <w:szCs w:val="24"/>
              </w:rPr>
              <w:t>0.73</w:t>
            </w:r>
          </w:p>
        </w:tc>
        <w:tc>
          <w:tcPr>
            <w:tcW w:w="2721" w:type="dxa"/>
            <w:shd w:val="clear" w:color="auto" w:fill="auto"/>
            <w:noWrap/>
            <w:vAlign w:val="center"/>
            <w:hideMark/>
          </w:tcPr>
          <w:p w14:paraId="16EE0BF8" w14:textId="77777777" w:rsidR="00FC4970" w:rsidRPr="00F740D9" w:rsidRDefault="00FC4970" w:rsidP="00FC4970">
            <w:pPr>
              <w:widowControl/>
              <w:snapToGrid w:val="0"/>
              <w:spacing w:line="360" w:lineRule="auto"/>
              <w:jc w:val="both"/>
              <w:rPr>
                <w:rFonts w:ascii="Book Antiqua" w:eastAsia="Times New Roman" w:hAnsi="Book Antiqua" w:cs="Times New Roman"/>
                <w:color w:val="000000" w:themeColor="text1"/>
                <w:kern w:val="0"/>
                <w:szCs w:val="24"/>
              </w:rPr>
            </w:pPr>
          </w:p>
        </w:tc>
      </w:tr>
    </w:tbl>
    <w:p w14:paraId="0D57E610" w14:textId="6752A037" w:rsidR="00FC4970" w:rsidRPr="00FC4970" w:rsidRDefault="00FC4970" w:rsidP="00FC4970">
      <w:pPr>
        <w:snapToGrid w:val="0"/>
        <w:spacing w:line="360" w:lineRule="auto"/>
        <w:jc w:val="both"/>
        <w:rPr>
          <w:rFonts w:ascii="Book Antiqua" w:hAnsi="Book Antiqua"/>
          <w:color w:val="000000" w:themeColor="text1"/>
          <w:szCs w:val="24"/>
          <w:lang w:eastAsia="zh-CN"/>
        </w:rPr>
      </w:pPr>
      <w:r w:rsidRPr="00F740D9">
        <w:rPr>
          <w:rFonts w:ascii="Book Antiqua" w:hAnsi="Book Antiqua"/>
          <w:color w:val="000000" w:themeColor="text1"/>
          <w:szCs w:val="24"/>
          <w:lang w:eastAsia="zh-CN"/>
        </w:rPr>
        <w:t xml:space="preserve">AFP: </w:t>
      </w:r>
      <w:r w:rsidRPr="00F740D9">
        <w:rPr>
          <w:rFonts w:ascii="Book Antiqua" w:hAnsi="Book Antiqua"/>
          <w:color w:val="000000" w:themeColor="text1"/>
          <w:szCs w:val="24"/>
        </w:rPr>
        <w:t xml:space="preserve">Alpha-fetoprotein; </w:t>
      </w:r>
      <w:r w:rsidRPr="00F740D9">
        <w:rPr>
          <w:rFonts w:ascii="Book Antiqua" w:hAnsi="Book Antiqua"/>
          <w:color w:val="000000" w:themeColor="text1"/>
          <w:szCs w:val="24"/>
          <w:lang w:eastAsia="zh-CN"/>
        </w:rPr>
        <w:t xml:space="preserve">RFA: Radiofrequency ablation; TACE: </w:t>
      </w:r>
      <w:r w:rsidRPr="00F740D9">
        <w:rPr>
          <w:rFonts w:ascii="Book Antiqua" w:hAnsi="Book Antiqua"/>
          <w:color w:val="000000" w:themeColor="text1"/>
          <w:szCs w:val="24"/>
        </w:rPr>
        <w:t>Trans-arterial chemoembolization; mTOR: Mammalian target of rapamycin.</w:t>
      </w:r>
    </w:p>
    <w:sectPr w:rsidR="00FC4970" w:rsidRPr="00FC497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E5C31" w14:textId="77777777" w:rsidR="000A0984" w:rsidRDefault="000A0984" w:rsidP="00354597">
      <w:r>
        <w:separator/>
      </w:r>
    </w:p>
  </w:endnote>
  <w:endnote w:type="continuationSeparator" w:id="0">
    <w:p w14:paraId="521AB3AE" w14:textId="77777777" w:rsidR="000A0984" w:rsidRDefault="000A0984" w:rsidP="00354597">
      <w:r>
        <w:continuationSeparator/>
      </w:r>
    </w:p>
  </w:endnote>
  <w:endnote w:type="continuationNotice" w:id="1">
    <w:p w14:paraId="7C5E4749" w14:textId="77777777" w:rsidR="000A0984" w:rsidRDefault="000A09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幼圆">
    <w:altName w:val="微软雅黑"/>
    <w:panose1 w:val="020B0604020202020204"/>
    <w:charset w:val="86"/>
    <w:family w:val="modern"/>
    <w:pitch w:val="fixed"/>
    <w:sig w:usb0="00000001" w:usb1="080E0000" w:usb2="00000010" w:usb3="00000000" w:csb0="00040000"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decorative"/>
    <w:pitch w:val="variable"/>
    <w:sig w:usb0="00000003" w:usb1="10000000" w:usb2="00000000" w:usb3="00000000" w:csb0="80000001" w:csb1="00000000"/>
  </w:font>
  <w:font w:name="MS Mincho">
    <w:altName w:val="ＭＳ 明朝"/>
    <w:panose1 w:val="02020609040205080304"/>
    <w:charset w:val="80"/>
    <w:family w:val="modern"/>
    <w:notTrueType/>
    <w:pitch w:val="fixed"/>
    <w:sig w:usb0="00000001" w:usb1="08070000" w:usb2="00000010" w:usb3="00000000" w:csb0="00020000" w:csb1="00000000"/>
  </w:font>
  <w:font w:name="TimesNewRomanPS-BoldItalicMT">
    <w:panose1 w:val="020B0604020202020204"/>
    <w:charset w:val="00"/>
    <w:family w:val="roman"/>
    <w:pitch w:val="default"/>
    <w:sig w:usb0="00000000" w:usb1="00000000" w:usb2="00000010"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7FBB2" w14:textId="77777777" w:rsidR="000A0984" w:rsidRDefault="000A0984" w:rsidP="00354597">
      <w:r>
        <w:separator/>
      </w:r>
    </w:p>
  </w:footnote>
  <w:footnote w:type="continuationSeparator" w:id="0">
    <w:p w14:paraId="64C3E04A" w14:textId="77777777" w:rsidR="000A0984" w:rsidRDefault="000A0984" w:rsidP="00354597">
      <w:r>
        <w:continuationSeparator/>
      </w:r>
    </w:p>
  </w:footnote>
  <w:footnote w:type="continuationNotice" w:id="1">
    <w:p w14:paraId="603D1A79" w14:textId="77777777" w:rsidR="000A0984" w:rsidRDefault="000A098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3279"/>
    <w:rsid w:val="000034ED"/>
    <w:rsid w:val="0000354E"/>
    <w:rsid w:val="000113BD"/>
    <w:rsid w:val="0001791B"/>
    <w:rsid w:val="00034014"/>
    <w:rsid w:val="000365E1"/>
    <w:rsid w:val="00037F16"/>
    <w:rsid w:val="00043C12"/>
    <w:rsid w:val="000653CC"/>
    <w:rsid w:val="00066D67"/>
    <w:rsid w:val="00067A20"/>
    <w:rsid w:val="00073CFA"/>
    <w:rsid w:val="00077B33"/>
    <w:rsid w:val="000A0984"/>
    <w:rsid w:val="000A7866"/>
    <w:rsid w:val="000A78AC"/>
    <w:rsid w:val="000B1DD6"/>
    <w:rsid w:val="000C5E9F"/>
    <w:rsid w:val="000C6B5F"/>
    <w:rsid w:val="000D71C3"/>
    <w:rsid w:val="000E2666"/>
    <w:rsid w:val="000E5218"/>
    <w:rsid w:val="000E5A77"/>
    <w:rsid w:val="000E6A25"/>
    <w:rsid w:val="000F102D"/>
    <w:rsid w:val="000F54F5"/>
    <w:rsid w:val="000F7AAA"/>
    <w:rsid w:val="000F7DEA"/>
    <w:rsid w:val="00103B81"/>
    <w:rsid w:val="00114765"/>
    <w:rsid w:val="00123CA2"/>
    <w:rsid w:val="00127B94"/>
    <w:rsid w:val="00145789"/>
    <w:rsid w:val="00150B4A"/>
    <w:rsid w:val="0015441E"/>
    <w:rsid w:val="001647B6"/>
    <w:rsid w:val="0016787B"/>
    <w:rsid w:val="001705FD"/>
    <w:rsid w:val="001710FA"/>
    <w:rsid w:val="001763A7"/>
    <w:rsid w:val="00191D55"/>
    <w:rsid w:val="001A1AA8"/>
    <w:rsid w:val="001A38AC"/>
    <w:rsid w:val="001B0220"/>
    <w:rsid w:val="001B0A76"/>
    <w:rsid w:val="001B2046"/>
    <w:rsid w:val="001C3F15"/>
    <w:rsid w:val="001C7FF2"/>
    <w:rsid w:val="001D3A80"/>
    <w:rsid w:val="001D3CBF"/>
    <w:rsid w:val="001E27CE"/>
    <w:rsid w:val="001E7E01"/>
    <w:rsid w:val="001F6626"/>
    <w:rsid w:val="00200F3A"/>
    <w:rsid w:val="00201449"/>
    <w:rsid w:val="00207706"/>
    <w:rsid w:val="002116C9"/>
    <w:rsid w:val="00215D2B"/>
    <w:rsid w:val="002242F1"/>
    <w:rsid w:val="0022517A"/>
    <w:rsid w:val="00233B5E"/>
    <w:rsid w:val="00244736"/>
    <w:rsid w:val="00261749"/>
    <w:rsid w:val="0028559C"/>
    <w:rsid w:val="0029167D"/>
    <w:rsid w:val="0029351F"/>
    <w:rsid w:val="002A2D42"/>
    <w:rsid w:val="002B3975"/>
    <w:rsid w:val="002B4C97"/>
    <w:rsid w:val="002C54C0"/>
    <w:rsid w:val="002C689B"/>
    <w:rsid w:val="002E55E2"/>
    <w:rsid w:val="00306159"/>
    <w:rsid w:val="00312771"/>
    <w:rsid w:val="00322AD9"/>
    <w:rsid w:val="00323789"/>
    <w:rsid w:val="00330510"/>
    <w:rsid w:val="0033234F"/>
    <w:rsid w:val="00340C55"/>
    <w:rsid w:val="00351F5F"/>
    <w:rsid w:val="00352CE6"/>
    <w:rsid w:val="00354597"/>
    <w:rsid w:val="003563FB"/>
    <w:rsid w:val="0036277B"/>
    <w:rsid w:val="0036583F"/>
    <w:rsid w:val="003717E8"/>
    <w:rsid w:val="00372910"/>
    <w:rsid w:val="003760F6"/>
    <w:rsid w:val="00397895"/>
    <w:rsid w:val="003A0DAE"/>
    <w:rsid w:val="003A3795"/>
    <w:rsid w:val="003B1DDB"/>
    <w:rsid w:val="003B6C55"/>
    <w:rsid w:val="003C6249"/>
    <w:rsid w:val="003D02B6"/>
    <w:rsid w:val="003D23FF"/>
    <w:rsid w:val="003E094D"/>
    <w:rsid w:val="003E16F6"/>
    <w:rsid w:val="003E5F49"/>
    <w:rsid w:val="003F32B7"/>
    <w:rsid w:val="0041012E"/>
    <w:rsid w:val="004117FC"/>
    <w:rsid w:val="00411FDA"/>
    <w:rsid w:val="00417C5F"/>
    <w:rsid w:val="00420608"/>
    <w:rsid w:val="00425DE2"/>
    <w:rsid w:val="00432B53"/>
    <w:rsid w:val="0043327D"/>
    <w:rsid w:val="004350B1"/>
    <w:rsid w:val="00443105"/>
    <w:rsid w:val="00444F54"/>
    <w:rsid w:val="00445C34"/>
    <w:rsid w:val="00445C40"/>
    <w:rsid w:val="0045357E"/>
    <w:rsid w:val="00457012"/>
    <w:rsid w:val="00457CF9"/>
    <w:rsid w:val="0046012B"/>
    <w:rsid w:val="00461C25"/>
    <w:rsid w:val="004643F2"/>
    <w:rsid w:val="0047090F"/>
    <w:rsid w:val="00481E6F"/>
    <w:rsid w:val="004853EF"/>
    <w:rsid w:val="00495714"/>
    <w:rsid w:val="004A26B4"/>
    <w:rsid w:val="004A3706"/>
    <w:rsid w:val="004A4EC4"/>
    <w:rsid w:val="004A59FD"/>
    <w:rsid w:val="004A6DD8"/>
    <w:rsid w:val="004B1DA5"/>
    <w:rsid w:val="004B7599"/>
    <w:rsid w:val="004E2A15"/>
    <w:rsid w:val="004E71E8"/>
    <w:rsid w:val="004F2849"/>
    <w:rsid w:val="004F58EE"/>
    <w:rsid w:val="00510429"/>
    <w:rsid w:val="00522222"/>
    <w:rsid w:val="00524EF1"/>
    <w:rsid w:val="00532A3B"/>
    <w:rsid w:val="00533526"/>
    <w:rsid w:val="0054059E"/>
    <w:rsid w:val="005452DB"/>
    <w:rsid w:val="0055265D"/>
    <w:rsid w:val="005543F5"/>
    <w:rsid w:val="00560811"/>
    <w:rsid w:val="00566DC8"/>
    <w:rsid w:val="005845EA"/>
    <w:rsid w:val="0059321F"/>
    <w:rsid w:val="005A0CC6"/>
    <w:rsid w:val="005A30BF"/>
    <w:rsid w:val="005B32A5"/>
    <w:rsid w:val="005B4031"/>
    <w:rsid w:val="005C11D5"/>
    <w:rsid w:val="005C720C"/>
    <w:rsid w:val="005D6F2D"/>
    <w:rsid w:val="005E350D"/>
    <w:rsid w:val="005E4413"/>
    <w:rsid w:val="005F62A7"/>
    <w:rsid w:val="006022F3"/>
    <w:rsid w:val="00603593"/>
    <w:rsid w:val="00607B52"/>
    <w:rsid w:val="0061726E"/>
    <w:rsid w:val="006174DE"/>
    <w:rsid w:val="00621EBF"/>
    <w:rsid w:val="00621FDC"/>
    <w:rsid w:val="006250CB"/>
    <w:rsid w:val="00651770"/>
    <w:rsid w:val="00651CC7"/>
    <w:rsid w:val="00661880"/>
    <w:rsid w:val="00683934"/>
    <w:rsid w:val="00686225"/>
    <w:rsid w:val="0069322C"/>
    <w:rsid w:val="006A0E07"/>
    <w:rsid w:val="006A3531"/>
    <w:rsid w:val="006B60F3"/>
    <w:rsid w:val="006C152D"/>
    <w:rsid w:val="006C1EC6"/>
    <w:rsid w:val="006D3C33"/>
    <w:rsid w:val="006E261F"/>
    <w:rsid w:val="006E3810"/>
    <w:rsid w:val="006E582F"/>
    <w:rsid w:val="006E7111"/>
    <w:rsid w:val="006F0B47"/>
    <w:rsid w:val="00701A09"/>
    <w:rsid w:val="0070543E"/>
    <w:rsid w:val="00711499"/>
    <w:rsid w:val="00711F0E"/>
    <w:rsid w:val="00712A0B"/>
    <w:rsid w:val="0071471B"/>
    <w:rsid w:val="00714772"/>
    <w:rsid w:val="00731DC4"/>
    <w:rsid w:val="00734395"/>
    <w:rsid w:val="00741894"/>
    <w:rsid w:val="0074312B"/>
    <w:rsid w:val="0075254D"/>
    <w:rsid w:val="007567FC"/>
    <w:rsid w:val="007613F3"/>
    <w:rsid w:val="00763D58"/>
    <w:rsid w:val="00770282"/>
    <w:rsid w:val="00771EAB"/>
    <w:rsid w:val="0079022A"/>
    <w:rsid w:val="0079048F"/>
    <w:rsid w:val="00794336"/>
    <w:rsid w:val="007946E6"/>
    <w:rsid w:val="00796EA9"/>
    <w:rsid w:val="007A56E4"/>
    <w:rsid w:val="007B302F"/>
    <w:rsid w:val="007C0AA2"/>
    <w:rsid w:val="007C6286"/>
    <w:rsid w:val="007D6CB7"/>
    <w:rsid w:val="007D77DC"/>
    <w:rsid w:val="007E3C5E"/>
    <w:rsid w:val="007F2CA2"/>
    <w:rsid w:val="007F7081"/>
    <w:rsid w:val="0080761F"/>
    <w:rsid w:val="008103EB"/>
    <w:rsid w:val="008132FB"/>
    <w:rsid w:val="0081501C"/>
    <w:rsid w:val="0081782A"/>
    <w:rsid w:val="00831F87"/>
    <w:rsid w:val="00832B26"/>
    <w:rsid w:val="0084059E"/>
    <w:rsid w:val="008454C6"/>
    <w:rsid w:val="008523E0"/>
    <w:rsid w:val="00853569"/>
    <w:rsid w:val="00874E93"/>
    <w:rsid w:val="0088152D"/>
    <w:rsid w:val="008838C1"/>
    <w:rsid w:val="00884E4D"/>
    <w:rsid w:val="00886B94"/>
    <w:rsid w:val="008924F2"/>
    <w:rsid w:val="008A1D89"/>
    <w:rsid w:val="008A3951"/>
    <w:rsid w:val="008A575E"/>
    <w:rsid w:val="008A5F37"/>
    <w:rsid w:val="008A7CBD"/>
    <w:rsid w:val="008B5E30"/>
    <w:rsid w:val="008B669A"/>
    <w:rsid w:val="008C1D57"/>
    <w:rsid w:val="008C5DDC"/>
    <w:rsid w:val="008E67AF"/>
    <w:rsid w:val="008F18D0"/>
    <w:rsid w:val="008F1EF4"/>
    <w:rsid w:val="008F525B"/>
    <w:rsid w:val="00907271"/>
    <w:rsid w:val="0091254B"/>
    <w:rsid w:val="00920A96"/>
    <w:rsid w:val="009253A1"/>
    <w:rsid w:val="009353BE"/>
    <w:rsid w:val="00937FD2"/>
    <w:rsid w:val="00944DDD"/>
    <w:rsid w:val="00946B39"/>
    <w:rsid w:val="009540FF"/>
    <w:rsid w:val="00963319"/>
    <w:rsid w:val="00963B03"/>
    <w:rsid w:val="0096519F"/>
    <w:rsid w:val="00973F74"/>
    <w:rsid w:val="00982A62"/>
    <w:rsid w:val="00995F55"/>
    <w:rsid w:val="009B3340"/>
    <w:rsid w:val="009B51F4"/>
    <w:rsid w:val="009C24E4"/>
    <w:rsid w:val="009C4530"/>
    <w:rsid w:val="009D3D5F"/>
    <w:rsid w:val="009D7E8D"/>
    <w:rsid w:val="009F3091"/>
    <w:rsid w:val="009F67DC"/>
    <w:rsid w:val="00A00D8D"/>
    <w:rsid w:val="00A01D08"/>
    <w:rsid w:val="00A1099E"/>
    <w:rsid w:val="00A11988"/>
    <w:rsid w:val="00A228B7"/>
    <w:rsid w:val="00A27D37"/>
    <w:rsid w:val="00A311EB"/>
    <w:rsid w:val="00A324FE"/>
    <w:rsid w:val="00A33727"/>
    <w:rsid w:val="00A343B1"/>
    <w:rsid w:val="00A3477F"/>
    <w:rsid w:val="00A34D65"/>
    <w:rsid w:val="00A409C0"/>
    <w:rsid w:val="00A42F24"/>
    <w:rsid w:val="00A5142B"/>
    <w:rsid w:val="00A811DB"/>
    <w:rsid w:val="00A81452"/>
    <w:rsid w:val="00A84A25"/>
    <w:rsid w:val="00A85831"/>
    <w:rsid w:val="00A86A11"/>
    <w:rsid w:val="00A94C7C"/>
    <w:rsid w:val="00A96B95"/>
    <w:rsid w:val="00AA023A"/>
    <w:rsid w:val="00AA1762"/>
    <w:rsid w:val="00AA3279"/>
    <w:rsid w:val="00AA3288"/>
    <w:rsid w:val="00AA3E18"/>
    <w:rsid w:val="00AA795C"/>
    <w:rsid w:val="00AB36EC"/>
    <w:rsid w:val="00AD0189"/>
    <w:rsid w:val="00AD3822"/>
    <w:rsid w:val="00AF289B"/>
    <w:rsid w:val="00AF42D6"/>
    <w:rsid w:val="00B01F05"/>
    <w:rsid w:val="00B020E0"/>
    <w:rsid w:val="00B10030"/>
    <w:rsid w:val="00B101C9"/>
    <w:rsid w:val="00B12E99"/>
    <w:rsid w:val="00B22957"/>
    <w:rsid w:val="00B26D04"/>
    <w:rsid w:val="00B3409B"/>
    <w:rsid w:val="00B41EAB"/>
    <w:rsid w:val="00B52007"/>
    <w:rsid w:val="00B5233B"/>
    <w:rsid w:val="00B570F3"/>
    <w:rsid w:val="00B65AED"/>
    <w:rsid w:val="00B75168"/>
    <w:rsid w:val="00B84797"/>
    <w:rsid w:val="00B85050"/>
    <w:rsid w:val="00B90133"/>
    <w:rsid w:val="00B9449F"/>
    <w:rsid w:val="00BC140E"/>
    <w:rsid w:val="00BD04AB"/>
    <w:rsid w:val="00BD1B8B"/>
    <w:rsid w:val="00BE271A"/>
    <w:rsid w:val="00BE6C9D"/>
    <w:rsid w:val="00BE78A5"/>
    <w:rsid w:val="00C0116C"/>
    <w:rsid w:val="00C10905"/>
    <w:rsid w:val="00C11E17"/>
    <w:rsid w:val="00C231A4"/>
    <w:rsid w:val="00C27042"/>
    <w:rsid w:val="00C355B7"/>
    <w:rsid w:val="00C51B6B"/>
    <w:rsid w:val="00C51F0B"/>
    <w:rsid w:val="00C5223F"/>
    <w:rsid w:val="00C52601"/>
    <w:rsid w:val="00C54127"/>
    <w:rsid w:val="00C6569A"/>
    <w:rsid w:val="00C735B1"/>
    <w:rsid w:val="00C8260A"/>
    <w:rsid w:val="00C966DD"/>
    <w:rsid w:val="00C9728A"/>
    <w:rsid w:val="00CC453F"/>
    <w:rsid w:val="00CC595F"/>
    <w:rsid w:val="00CC64C1"/>
    <w:rsid w:val="00CC7614"/>
    <w:rsid w:val="00CC7626"/>
    <w:rsid w:val="00CD1202"/>
    <w:rsid w:val="00CE65F5"/>
    <w:rsid w:val="00CF3039"/>
    <w:rsid w:val="00D02878"/>
    <w:rsid w:val="00D07586"/>
    <w:rsid w:val="00D20324"/>
    <w:rsid w:val="00D246EF"/>
    <w:rsid w:val="00D36991"/>
    <w:rsid w:val="00D37087"/>
    <w:rsid w:val="00D44C3A"/>
    <w:rsid w:val="00D47A99"/>
    <w:rsid w:val="00D50AE2"/>
    <w:rsid w:val="00D525D5"/>
    <w:rsid w:val="00D52A43"/>
    <w:rsid w:val="00D5602F"/>
    <w:rsid w:val="00D6003A"/>
    <w:rsid w:val="00D864C3"/>
    <w:rsid w:val="00D90309"/>
    <w:rsid w:val="00D91FFC"/>
    <w:rsid w:val="00D93431"/>
    <w:rsid w:val="00DA65C7"/>
    <w:rsid w:val="00DB72C9"/>
    <w:rsid w:val="00DC38BA"/>
    <w:rsid w:val="00DD2784"/>
    <w:rsid w:val="00DE01F1"/>
    <w:rsid w:val="00DE1165"/>
    <w:rsid w:val="00DF1C1B"/>
    <w:rsid w:val="00DF23CD"/>
    <w:rsid w:val="00E0033C"/>
    <w:rsid w:val="00E044BF"/>
    <w:rsid w:val="00E06A09"/>
    <w:rsid w:val="00E109F5"/>
    <w:rsid w:val="00E10F23"/>
    <w:rsid w:val="00E11EE2"/>
    <w:rsid w:val="00E12810"/>
    <w:rsid w:val="00E13AC6"/>
    <w:rsid w:val="00E15CDF"/>
    <w:rsid w:val="00E16835"/>
    <w:rsid w:val="00E443C6"/>
    <w:rsid w:val="00E74B1C"/>
    <w:rsid w:val="00E83878"/>
    <w:rsid w:val="00E8530E"/>
    <w:rsid w:val="00E87397"/>
    <w:rsid w:val="00E93406"/>
    <w:rsid w:val="00E967BA"/>
    <w:rsid w:val="00EA6B46"/>
    <w:rsid w:val="00EB0415"/>
    <w:rsid w:val="00EB68EB"/>
    <w:rsid w:val="00EC3F03"/>
    <w:rsid w:val="00EC6E41"/>
    <w:rsid w:val="00ED7DC9"/>
    <w:rsid w:val="00EE243A"/>
    <w:rsid w:val="00EE58CF"/>
    <w:rsid w:val="00EE6138"/>
    <w:rsid w:val="00F016B5"/>
    <w:rsid w:val="00F24319"/>
    <w:rsid w:val="00F255B2"/>
    <w:rsid w:val="00F277D5"/>
    <w:rsid w:val="00F3239B"/>
    <w:rsid w:val="00F45283"/>
    <w:rsid w:val="00F458B0"/>
    <w:rsid w:val="00F5689F"/>
    <w:rsid w:val="00F651DA"/>
    <w:rsid w:val="00F65509"/>
    <w:rsid w:val="00F67102"/>
    <w:rsid w:val="00F70628"/>
    <w:rsid w:val="00F740D9"/>
    <w:rsid w:val="00F7571D"/>
    <w:rsid w:val="00F800DC"/>
    <w:rsid w:val="00F90DBD"/>
    <w:rsid w:val="00F917AC"/>
    <w:rsid w:val="00FA67C0"/>
    <w:rsid w:val="00FB458A"/>
    <w:rsid w:val="00FC088D"/>
    <w:rsid w:val="00FC4970"/>
    <w:rsid w:val="00FC6297"/>
    <w:rsid w:val="00FC6CB4"/>
    <w:rsid w:val="00FF34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41900"/>
  <w15:docId w15:val="{C3648E03-746F-B642-B822-5D8623D5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4597"/>
    <w:pPr>
      <w:tabs>
        <w:tab w:val="center" w:pos="4153"/>
        <w:tab w:val="right" w:pos="8306"/>
      </w:tabs>
      <w:snapToGrid w:val="0"/>
    </w:pPr>
    <w:rPr>
      <w:sz w:val="20"/>
      <w:szCs w:val="20"/>
    </w:rPr>
  </w:style>
  <w:style w:type="character" w:customStyle="1" w:styleId="a4">
    <w:name w:val="页眉 字符"/>
    <w:basedOn w:val="a0"/>
    <w:link w:val="a3"/>
    <w:uiPriority w:val="99"/>
    <w:rsid w:val="00354597"/>
    <w:rPr>
      <w:sz w:val="20"/>
      <w:szCs w:val="20"/>
    </w:rPr>
  </w:style>
  <w:style w:type="paragraph" w:styleId="a5">
    <w:name w:val="footer"/>
    <w:basedOn w:val="a"/>
    <w:link w:val="a6"/>
    <w:uiPriority w:val="99"/>
    <w:unhideWhenUsed/>
    <w:rsid w:val="00354597"/>
    <w:pPr>
      <w:tabs>
        <w:tab w:val="center" w:pos="4153"/>
        <w:tab w:val="right" w:pos="8306"/>
      </w:tabs>
      <w:snapToGrid w:val="0"/>
    </w:pPr>
    <w:rPr>
      <w:sz w:val="20"/>
      <w:szCs w:val="20"/>
    </w:rPr>
  </w:style>
  <w:style w:type="character" w:customStyle="1" w:styleId="a6">
    <w:name w:val="页脚 字符"/>
    <w:basedOn w:val="a0"/>
    <w:link w:val="a5"/>
    <w:uiPriority w:val="99"/>
    <w:rsid w:val="00354597"/>
    <w:rPr>
      <w:sz w:val="20"/>
      <w:szCs w:val="20"/>
    </w:rPr>
  </w:style>
  <w:style w:type="paragraph" w:styleId="a7">
    <w:name w:val="Balloon Text"/>
    <w:basedOn w:val="a"/>
    <w:link w:val="a8"/>
    <w:uiPriority w:val="99"/>
    <w:semiHidden/>
    <w:unhideWhenUsed/>
    <w:rsid w:val="008C5DDC"/>
    <w:rPr>
      <w:rFonts w:asciiTheme="majorHAnsi" w:eastAsiaTheme="majorEastAsia" w:hAnsiTheme="majorHAnsi" w:cstheme="majorBidi"/>
      <w:sz w:val="18"/>
      <w:szCs w:val="18"/>
    </w:rPr>
  </w:style>
  <w:style w:type="character" w:customStyle="1" w:styleId="a8">
    <w:name w:val="批注框文本 字符"/>
    <w:basedOn w:val="a0"/>
    <w:link w:val="a7"/>
    <w:uiPriority w:val="99"/>
    <w:semiHidden/>
    <w:rsid w:val="008C5DDC"/>
    <w:rPr>
      <w:rFonts w:asciiTheme="majorHAnsi" w:eastAsiaTheme="majorEastAsia" w:hAnsiTheme="majorHAnsi" w:cstheme="majorBidi"/>
      <w:sz w:val="18"/>
      <w:szCs w:val="18"/>
    </w:rPr>
  </w:style>
  <w:style w:type="character" w:styleId="a9">
    <w:name w:val="annotation reference"/>
    <w:basedOn w:val="a0"/>
    <w:uiPriority w:val="99"/>
    <w:unhideWhenUsed/>
    <w:qFormat/>
    <w:rsid w:val="006250CB"/>
    <w:rPr>
      <w:sz w:val="21"/>
      <w:szCs w:val="21"/>
    </w:rPr>
  </w:style>
  <w:style w:type="paragraph" w:styleId="aa">
    <w:name w:val="annotation text"/>
    <w:basedOn w:val="a"/>
    <w:link w:val="ab"/>
    <w:uiPriority w:val="99"/>
    <w:unhideWhenUsed/>
    <w:qFormat/>
    <w:rsid w:val="006250CB"/>
  </w:style>
  <w:style w:type="character" w:customStyle="1" w:styleId="ab">
    <w:name w:val="批注文字 字符"/>
    <w:basedOn w:val="a0"/>
    <w:link w:val="aa"/>
    <w:uiPriority w:val="99"/>
    <w:semiHidden/>
    <w:rsid w:val="006250CB"/>
  </w:style>
  <w:style w:type="paragraph" w:styleId="ac">
    <w:name w:val="annotation subject"/>
    <w:basedOn w:val="aa"/>
    <w:next w:val="aa"/>
    <w:link w:val="ad"/>
    <w:uiPriority w:val="99"/>
    <w:semiHidden/>
    <w:unhideWhenUsed/>
    <w:rsid w:val="006250CB"/>
    <w:rPr>
      <w:b/>
      <w:bCs/>
    </w:rPr>
  </w:style>
  <w:style w:type="character" w:customStyle="1" w:styleId="ad">
    <w:name w:val="批注主题 字符"/>
    <w:basedOn w:val="ab"/>
    <w:link w:val="ac"/>
    <w:uiPriority w:val="99"/>
    <w:semiHidden/>
    <w:rsid w:val="006250CB"/>
    <w:rPr>
      <w:b/>
      <w:bCs/>
    </w:rPr>
  </w:style>
  <w:style w:type="character" w:customStyle="1" w:styleId="1">
    <w:name w:val="批注文字 字符1"/>
    <w:basedOn w:val="a0"/>
    <w:uiPriority w:val="99"/>
    <w:qFormat/>
    <w:rsid w:val="006250CB"/>
    <w:rPr>
      <w:rFonts w:eastAsiaTheme="minorEastAsia"/>
      <w:kern w:val="2"/>
      <w:sz w:val="21"/>
    </w:rPr>
  </w:style>
  <w:style w:type="paragraph" w:customStyle="1" w:styleId="Default">
    <w:name w:val="Default"/>
    <w:rsid w:val="00F740D9"/>
    <w:pPr>
      <w:widowControl w:val="0"/>
      <w:autoSpaceDE w:val="0"/>
      <w:autoSpaceDN w:val="0"/>
      <w:adjustRightInd w:val="0"/>
    </w:pPr>
    <w:rPr>
      <w:rFonts w:ascii="Book Antiqua" w:hAnsi="Book Antiqua" w:cs="Book Antiqua"/>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70320">
      <w:bodyDiv w:val="1"/>
      <w:marLeft w:val="0"/>
      <w:marRight w:val="0"/>
      <w:marTop w:val="0"/>
      <w:marBottom w:val="0"/>
      <w:divBdr>
        <w:top w:val="none" w:sz="0" w:space="0" w:color="auto"/>
        <w:left w:val="none" w:sz="0" w:space="0" w:color="auto"/>
        <w:bottom w:val="none" w:sz="0" w:space="0" w:color="auto"/>
        <w:right w:val="none" w:sz="0" w:space="0" w:color="auto"/>
      </w:divBdr>
    </w:div>
    <w:div w:id="153448228">
      <w:bodyDiv w:val="1"/>
      <w:marLeft w:val="0"/>
      <w:marRight w:val="0"/>
      <w:marTop w:val="0"/>
      <w:marBottom w:val="0"/>
      <w:divBdr>
        <w:top w:val="none" w:sz="0" w:space="0" w:color="auto"/>
        <w:left w:val="none" w:sz="0" w:space="0" w:color="auto"/>
        <w:bottom w:val="none" w:sz="0" w:space="0" w:color="auto"/>
        <w:right w:val="none" w:sz="0" w:space="0" w:color="auto"/>
      </w:divBdr>
    </w:div>
    <w:div w:id="164630330">
      <w:bodyDiv w:val="1"/>
      <w:marLeft w:val="0"/>
      <w:marRight w:val="0"/>
      <w:marTop w:val="0"/>
      <w:marBottom w:val="0"/>
      <w:divBdr>
        <w:top w:val="none" w:sz="0" w:space="0" w:color="auto"/>
        <w:left w:val="none" w:sz="0" w:space="0" w:color="auto"/>
        <w:bottom w:val="none" w:sz="0" w:space="0" w:color="auto"/>
        <w:right w:val="none" w:sz="0" w:space="0" w:color="auto"/>
      </w:divBdr>
    </w:div>
    <w:div w:id="255943294">
      <w:bodyDiv w:val="1"/>
      <w:marLeft w:val="0"/>
      <w:marRight w:val="0"/>
      <w:marTop w:val="0"/>
      <w:marBottom w:val="0"/>
      <w:divBdr>
        <w:top w:val="none" w:sz="0" w:space="0" w:color="auto"/>
        <w:left w:val="none" w:sz="0" w:space="0" w:color="auto"/>
        <w:bottom w:val="none" w:sz="0" w:space="0" w:color="auto"/>
        <w:right w:val="none" w:sz="0" w:space="0" w:color="auto"/>
      </w:divBdr>
    </w:div>
    <w:div w:id="415398126">
      <w:bodyDiv w:val="1"/>
      <w:marLeft w:val="0"/>
      <w:marRight w:val="0"/>
      <w:marTop w:val="0"/>
      <w:marBottom w:val="0"/>
      <w:divBdr>
        <w:top w:val="none" w:sz="0" w:space="0" w:color="auto"/>
        <w:left w:val="none" w:sz="0" w:space="0" w:color="auto"/>
        <w:bottom w:val="none" w:sz="0" w:space="0" w:color="auto"/>
        <w:right w:val="none" w:sz="0" w:space="0" w:color="auto"/>
      </w:divBdr>
    </w:div>
    <w:div w:id="438837385">
      <w:bodyDiv w:val="1"/>
      <w:marLeft w:val="0"/>
      <w:marRight w:val="0"/>
      <w:marTop w:val="0"/>
      <w:marBottom w:val="0"/>
      <w:divBdr>
        <w:top w:val="none" w:sz="0" w:space="0" w:color="auto"/>
        <w:left w:val="none" w:sz="0" w:space="0" w:color="auto"/>
        <w:bottom w:val="none" w:sz="0" w:space="0" w:color="auto"/>
        <w:right w:val="none" w:sz="0" w:space="0" w:color="auto"/>
      </w:divBdr>
    </w:div>
    <w:div w:id="468206235">
      <w:bodyDiv w:val="1"/>
      <w:marLeft w:val="0"/>
      <w:marRight w:val="0"/>
      <w:marTop w:val="0"/>
      <w:marBottom w:val="0"/>
      <w:divBdr>
        <w:top w:val="none" w:sz="0" w:space="0" w:color="auto"/>
        <w:left w:val="none" w:sz="0" w:space="0" w:color="auto"/>
        <w:bottom w:val="none" w:sz="0" w:space="0" w:color="auto"/>
        <w:right w:val="none" w:sz="0" w:space="0" w:color="auto"/>
      </w:divBdr>
    </w:div>
    <w:div w:id="470287431">
      <w:bodyDiv w:val="1"/>
      <w:marLeft w:val="0"/>
      <w:marRight w:val="0"/>
      <w:marTop w:val="0"/>
      <w:marBottom w:val="0"/>
      <w:divBdr>
        <w:top w:val="none" w:sz="0" w:space="0" w:color="auto"/>
        <w:left w:val="none" w:sz="0" w:space="0" w:color="auto"/>
        <w:bottom w:val="none" w:sz="0" w:space="0" w:color="auto"/>
        <w:right w:val="none" w:sz="0" w:space="0" w:color="auto"/>
      </w:divBdr>
    </w:div>
    <w:div w:id="576525534">
      <w:bodyDiv w:val="1"/>
      <w:marLeft w:val="0"/>
      <w:marRight w:val="0"/>
      <w:marTop w:val="0"/>
      <w:marBottom w:val="0"/>
      <w:divBdr>
        <w:top w:val="none" w:sz="0" w:space="0" w:color="auto"/>
        <w:left w:val="none" w:sz="0" w:space="0" w:color="auto"/>
        <w:bottom w:val="none" w:sz="0" w:space="0" w:color="auto"/>
        <w:right w:val="none" w:sz="0" w:space="0" w:color="auto"/>
      </w:divBdr>
    </w:div>
    <w:div w:id="659962466">
      <w:bodyDiv w:val="1"/>
      <w:marLeft w:val="0"/>
      <w:marRight w:val="0"/>
      <w:marTop w:val="0"/>
      <w:marBottom w:val="0"/>
      <w:divBdr>
        <w:top w:val="none" w:sz="0" w:space="0" w:color="auto"/>
        <w:left w:val="none" w:sz="0" w:space="0" w:color="auto"/>
        <w:bottom w:val="none" w:sz="0" w:space="0" w:color="auto"/>
        <w:right w:val="none" w:sz="0" w:space="0" w:color="auto"/>
      </w:divBdr>
    </w:div>
    <w:div w:id="669060254">
      <w:bodyDiv w:val="1"/>
      <w:marLeft w:val="0"/>
      <w:marRight w:val="0"/>
      <w:marTop w:val="0"/>
      <w:marBottom w:val="0"/>
      <w:divBdr>
        <w:top w:val="none" w:sz="0" w:space="0" w:color="auto"/>
        <w:left w:val="none" w:sz="0" w:space="0" w:color="auto"/>
        <w:bottom w:val="none" w:sz="0" w:space="0" w:color="auto"/>
        <w:right w:val="none" w:sz="0" w:space="0" w:color="auto"/>
      </w:divBdr>
    </w:div>
    <w:div w:id="809395360">
      <w:bodyDiv w:val="1"/>
      <w:marLeft w:val="0"/>
      <w:marRight w:val="0"/>
      <w:marTop w:val="0"/>
      <w:marBottom w:val="0"/>
      <w:divBdr>
        <w:top w:val="none" w:sz="0" w:space="0" w:color="auto"/>
        <w:left w:val="none" w:sz="0" w:space="0" w:color="auto"/>
        <w:bottom w:val="none" w:sz="0" w:space="0" w:color="auto"/>
        <w:right w:val="none" w:sz="0" w:space="0" w:color="auto"/>
      </w:divBdr>
    </w:div>
    <w:div w:id="828792505">
      <w:bodyDiv w:val="1"/>
      <w:marLeft w:val="0"/>
      <w:marRight w:val="0"/>
      <w:marTop w:val="0"/>
      <w:marBottom w:val="0"/>
      <w:divBdr>
        <w:top w:val="none" w:sz="0" w:space="0" w:color="auto"/>
        <w:left w:val="none" w:sz="0" w:space="0" w:color="auto"/>
        <w:bottom w:val="none" w:sz="0" w:space="0" w:color="auto"/>
        <w:right w:val="none" w:sz="0" w:space="0" w:color="auto"/>
      </w:divBdr>
    </w:div>
    <w:div w:id="866143979">
      <w:bodyDiv w:val="1"/>
      <w:marLeft w:val="0"/>
      <w:marRight w:val="0"/>
      <w:marTop w:val="0"/>
      <w:marBottom w:val="0"/>
      <w:divBdr>
        <w:top w:val="none" w:sz="0" w:space="0" w:color="auto"/>
        <w:left w:val="none" w:sz="0" w:space="0" w:color="auto"/>
        <w:bottom w:val="none" w:sz="0" w:space="0" w:color="auto"/>
        <w:right w:val="none" w:sz="0" w:space="0" w:color="auto"/>
      </w:divBdr>
    </w:div>
    <w:div w:id="893928194">
      <w:bodyDiv w:val="1"/>
      <w:marLeft w:val="0"/>
      <w:marRight w:val="0"/>
      <w:marTop w:val="0"/>
      <w:marBottom w:val="0"/>
      <w:divBdr>
        <w:top w:val="none" w:sz="0" w:space="0" w:color="auto"/>
        <w:left w:val="none" w:sz="0" w:space="0" w:color="auto"/>
        <w:bottom w:val="none" w:sz="0" w:space="0" w:color="auto"/>
        <w:right w:val="none" w:sz="0" w:space="0" w:color="auto"/>
      </w:divBdr>
    </w:div>
    <w:div w:id="926353966">
      <w:bodyDiv w:val="1"/>
      <w:marLeft w:val="0"/>
      <w:marRight w:val="0"/>
      <w:marTop w:val="0"/>
      <w:marBottom w:val="0"/>
      <w:divBdr>
        <w:top w:val="none" w:sz="0" w:space="0" w:color="auto"/>
        <w:left w:val="none" w:sz="0" w:space="0" w:color="auto"/>
        <w:bottom w:val="none" w:sz="0" w:space="0" w:color="auto"/>
        <w:right w:val="none" w:sz="0" w:space="0" w:color="auto"/>
      </w:divBdr>
    </w:div>
    <w:div w:id="950088902">
      <w:bodyDiv w:val="1"/>
      <w:marLeft w:val="0"/>
      <w:marRight w:val="0"/>
      <w:marTop w:val="0"/>
      <w:marBottom w:val="0"/>
      <w:divBdr>
        <w:top w:val="none" w:sz="0" w:space="0" w:color="auto"/>
        <w:left w:val="none" w:sz="0" w:space="0" w:color="auto"/>
        <w:bottom w:val="none" w:sz="0" w:space="0" w:color="auto"/>
        <w:right w:val="none" w:sz="0" w:space="0" w:color="auto"/>
      </w:divBdr>
    </w:div>
    <w:div w:id="1015614533">
      <w:bodyDiv w:val="1"/>
      <w:marLeft w:val="0"/>
      <w:marRight w:val="0"/>
      <w:marTop w:val="0"/>
      <w:marBottom w:val="0"/>
      <w:divBdr>
        <w:top w:val="none" w:sz="0" w:space="0" w:color="auto"/>
        <w:left w:val="none" w:sz="0" w:space="0" w:color="auto"/>
        <w:bottom w:val="none" w:sz="0" w:space="0" w:color="auto"/>
        <w:right w:val="none" w:sz="0" w:space="0" w:color="auto"/>
      </w:divBdr>
    </w:div>
    <w:div w:id="1046493300">
      <w:bodyDiv w:val="1"/>
      <w:marLeft w:val="0"/>
      <w:marRight w:val="0"/>
      <w:marTop w:val="0"/>
      <w:marBottom w:val="0"/>
      <w:divBdr>
        <w:top w:val="none" w:sz="0" w:space="0" w:color="auto"/>
        <w:left w:val="none" w:sz="0" w:space="0" w:color="auto"/>
        <w:bottom w:val="none" w:sz="0" w:space="0" w:color="auto"/>
        <w:right w:val="none" w:sz="0" w:space="0" w:color="auto"/>
      </w:divBdr>
    </w:div>
    <w:div w:id="1049767186">
      <w:bodyDiv w:val="1"/>
      <w:marLeft w:val="0"/>
      <w:marRight w:val="0"/>
      <w:marTop w:val="0"/>
      <w:marBottom w:val="0"/>
      <w:divBdr>
        <w:top w:val="none" w:sz="0" w:space="0" w:color="auto"/>
        <w:left w:val="none" w:sz="0" w:space="0" w:color="auto"/>
        <w:bottom w:val="none" w:sz="0" w:space="0" w:color="auto"/>
        <w:right w:val="none" w:sz="0" w:space="0" w:color="auto"/>
      </w:divBdr>
    </w:div>
    <w:div w:id="1090739894">
      <w:bodyDiv w:val="1"/>
      <w:marLeft w:val="0"/>
      <w:marRight w:val="0"/>
      <w:marTop w:val="0"/>
      <w:marBottom w:val="0"/>
      <w:divBdr>
        <w:top w:val="none" w:sz="0" w:space="0" w:color="auto"/>
        <w:left w:val="none" w:sz="0" w:space="0" w:color="auto"/>
        <w:bottom w:val="none" w:sz="0" w:space="0" w:color="auto"/>
        <w:right w:val="none" w:sz="0" w:space="0" w:color="auto"/>
      </w:divBdr>
    </w:div>
    <w:div w:id="1222525466">
      <w:bodyDiv w:val="1"/>
      <w:marLeft w:val="0"/>
      <w:marRight w:val="0"/>
      <w:marTop w:val="0"/>
      <w:marBottom w:val="0"/>
      <w:divBdr>
        <w:top w:val="none" w:sz="0" w:space="0" w:color="auto"/>
        <w:left w:val="none" w:sz="0" w:space="0" w:color="auto"/>
        <w:bottom w:val="none" w:sz="0" w:space="0" w:color="auto"/>
        <w:right w:val="none" w:sz="0" w:space="0" w:color="auto"/>
      </w:divBdr>
    </w:div>
    <w:div w:id="1273711394">
      <w:bodyDiv w:val="1"/>
      <w:marLeft w:val="0"/>
      <w:marRight w:val="0"/>
      <w:marTop w:val="0"/>
      <w:marBottom w:val="0"/>
      <w:divBdr>
        <w:top w:val="none" w:sz="0" w:space="0" w:color="auto"/>
        <w:left w:val="none" w:sz="0" w:space="0" w:color="auto"/>
        <w:bottom w:val="none" w:sz="0" w:space="0" w:color="auto"/>
        <w:right w:val="none" w:sz="0" w:space="0" w:color="auto"/>
      </w:divBdr>
    </w:div>
    <w:div w:id="1312519794">
      <w:bodyDiv w:val="1"/>
      <w:marLeft w:val="0"/>
      <w:marRight w:val="0"/>
      <w:marTop w:val="0"/>
      <w:marBottom w:val="0"/>
      <w:divBdr>
        <w:top w:val="none" w:sz="0" w:space="0" w:color="auto"/>
        <w:left w:val="none" w:sz="0" w:space="0" w:color="auto"/>
        <w:bottom w:val="none" w:sz="0" w:space="0" w:color="auto"/>
        <w:right w:val="none" w:sz="0" w:space="0" w:color="auto"/>
      </w:divBdr>
    </w:div>
    <w:div w:id="1327711117">
      <w:bodyDiv w:val="1"/>
      <w:marLeft w:val="0"/>
      <w:marRight w:val="0"/>
      <w:marTop w:val="0"/>
      <w:marBottom w:val="0"/>
      <w:divBdr>
        <w:top w:val="none" w:sz="0" w:space="0" w:color="auto"/>
        <w:left w:val="none" w:sz="0" w:space="0" w:color="auto"/>
        <w:bottom w:val="none" w:sz="0" w:space="0" w:color="auto"/>
        <w:right w:val="none" w:sz="0" w:space="0" w:color="auto"/>
      </w:divBdr>
    </w:div>
    <w:div w:id="1402168106">
      <w:bodyDiv w:val="1"/>
      <w:marLeft w:val="0"/>
      <w:marRight w:val="0"/>
      <w:marTop w:val="0"/>
      <w:marBottom w:val="0"/>
      <w:divBdr>
        <w:top w:val="none" w:sz="0" w:space="0" w:color="auto"/>
        <w:left w:val="none" w:sz="0" w:space="0" w:color="auto"/>
        <w:bottom w:val="none" w:sz="0" w:space="0" w:color="auto"/>
        <w:right w:val="none" w:sz="0" w:space="0" w:color="auto"/>
      </w:divBdr>
    </w:div>
    <w:div w:id="1483040979">
      <w:bodyDiv w:val="1"/>
      <w:marLeft w:val="0"/>
      <w:marRight w:val="0"/>
      <w:marTop w:val="0"/>
      <w:marBottom w:val="0"/>
      <w:divBdr>
        <w:top w:val="none" w:sz="0" w:space="0" w:color="auto"/>
        <w:left w:val="none" w:sz="0" w:space="0" w:color="auto"/>
        <w:bottom w:val="none" w:sz="0" w:space="0" w:color="auto"/>
        <w:right w:val="none" w:sz="0" w:space="0" w:color="auto"/>
      </w:divBdr>
    </w:div>
    <w:div w:id="1498570021">
      <w:bodyDiv w:val="1"/>
      <w:marLeft w:val="0"/>
      <w:marRight w:val="0"/>
      <w:marTop w:val="0"/>
      <w:marBottom w:val="0"/>
      <w:divBdr>
        <w:top w:val="none" w:sz="0" w:space="0" w:color="auto"/>
        <w:left w:val="none" w:sz="0" w:space="0" w:color="auto"/>
        <w:bottom w:val="none" w:sz="0" w:space="0" w:color="auto"/>
        <w:right w:val="none" w:sz="0" w:space="0" w:color="auto"/>
      </w:divBdr>
    </w:div>
    <w:div w:id="1534659737">
      <w:bodyDiv w:val="1"/>
      <w:marLeft w:val="0"/>
      <w:marRight w:val="0"/>
      <w:marTop w:val="0"/>
      <w:marBottom w:val="0"/>
      <w:divBdr>
        <w:top w:val="none" w:sz="0" w:space="0" w:color="auto"/>
        <w:left w:val="none" w:sz="0" w:space="0" w:color="auto"/>
        <w:bottom w:val="none" w:sz="0" w:space="0" w:color="auto"/>
        <w:right w:val="none" w:sz="0" w:space="0" w:color="auto"/>
      </w:divBdr>
    </w:div>
    <w:div w:id="1637948366">
      <w:bodyDiv w:val="1"/>
      <w:marLeft w:val="0"/>
      <w:marRight w:val="0"/>
      <w:marTop w:val="0"/>
      <w:marBottom w:val="0"/>
      <w:divBdr>
        <w:top w:val="none" w:sz="0" w:space="0" w:color="auto"/>
        <w:left w:val="none" w:sz="0" w:space="0" w:color="auto"/>
        <w:bottom w:val="none" w:sz="0" w:space="0" w:color="auto"/>
        <w:right w:val="none" w:sz="0" w:space="0" w:color="auto"/>
      </w:divBdr>
    </w:div>
    <w:div w:id="1758021178">
      <w:bodyDiv w:val="1"/>
      <w:marLeft w:val="0"/>
      <w:marRight w:val="0"/>
      <w:marTop w:val="0"/>
      <w:marBottom w:val="0"/>
      <w:divBdr>
        <w:top w:val="none" w:sz="0" w:space="0" w:color="auto"/>
        <w:left w:val="none" w:sz="0" w:space="0" w:color="auto"/>
        <w:bottom w:val="none" w:sz="0" w:space="0" w:color="auto"/>
        <w:right w:val="none" w:sz="0" w:space="0" w:color="auto"/>
      </w:divBdr>
    </w:div>
    <w:div w:id="1827477498">
      <w:bodyDiv w:val="1"/>
      <w:marLeft w:val="0"/>
      <w:marRight w:val="0"/>
      <w:marTop w:val="0"/>
      <w:marBottom w:val="0"/>
      <w:divBdr>
        <w:top w:val="none" w:sz="0" w:space="0" w:color="auto"/>
        <w:left w:val="none" w:sz="0" w:space="0" w:color="auto"/>
        <w:bottom w:val="none" w:sz="0" w:space="0" w:color="auto"/>
        <w:right w:val="none" w:sz="0" w:space="0" w:color="auto"/>
      </w:divBdr>
    </w:div>
    <w:div w:id="1827938746">
      <w:bodyDiv w:val="1"/>
      <w:marLeft w:val="0"/>
      <w:marRight w:val="0"/>
      <w:marTop w:val="0"/>
      <w:marBottom w:val="0"/>
      <w:divBdr>
        <w:top w:val="none" w:sz="0" w:space="0" w:color="auto"/>
        <w:left w:val="none" w:sz="0" w:space="0" w:color="auto"/>
        <w:bottom w:val="none" w:sz="0" w:space="0" w:color="auto"/>
        <w:right w:val="none" w:sz="0" w:space="0" w:color="auto"/>
      </w:divBdr>
    </w:div>
    <w:div w:id="1907372402">
      <w:bodyDiv w:val="1"/>
      <w:marLeft w:val="0"/>
      <w:marRight w:val="0"/>
      <w:marTop w:val="0"/>
      <w:marBottom w:val="0"/>
      <w:divBdr>
        <w:top w:val="none" w:sz="0" w:space="0" w:color="auto"/>
        <w:left w:val="none" w:sz="0" w:space="0" w:color="auto"/>
        <w:bottom w:val="none" w:sz="0" w:space="0" w:color="auto"/>
        <w:right w:val="none" w:sz="0" w:space="0" w:color="auto"/>
      </w:divBdr>
    </w:div>
    <w:div w:id="1920551291">
      <w:bodyDiv w:val="1"/>
      <w:marLeft w:val="0"/>
      <w:marRight w:val="0"/>
      <w:marTop w:val="0"/>
      <w:marBottom w:val="0"/>
      <w:divBdr>
        <w:top w:val="none" w:sz="0" w:space="0" w:color="auto"/>
        <w:left w:val="none" w:sz="0" w:space="0" w:color="auto"/>
        <w:bottom w:val="none" w:sz="0" w:space="0" w:color="auto"/>
        <w:right w:val="none" w:sz="0" w:space="0" w:color="auto"/>
      </w:divBdr>
    </w:div>
    <w:div w:id="1950506337">
      <w:bodyDiv w:val="1"/>
      <w:marLeft w:val="0"/>
      <w:marRight w:val="0"/>
      <w:marTop w:val="0"/>
      <w:marBottom w:val="0"/>
      <w:divBdr>
        <w:top w:val="none" w:sz="0" w:space="0" w:color="auto"/>
        <w:left w:val="none" w:sz="0" w:space="0" w:color="auto"/>
        <w:bottom w:val="none" w:sz="0" w:space="0" w:color="auto"/>
        <w:right w:val="none" w:sz="0" w:space="0" w:color="auto"/>
      </w:divBdr>
    </w:div>
    <w:div w:id="2011829549">
      <w:bodyDiv w:val="1"/>
      <w:marLeft w:val="0"/>
      <w:marRight w:val="0"/>
      <w:marTop w:val="0"/>
      <w:marBottom w:val="0"/>
      <w:divBdr>
        <w:top w:val="none" w:sz="0" w:space="0" w:color="auto"/>
        <w:left w:val="none" w:sz="0" w:space="0" w:color="auto"/>
        <w:bottom w:val="none" w:sz="0" w:space="0" w:color="auto"/>
        <w:right w:val="none" w:sz="0" w:space="0" w:color="auto"/>
      </w:divBdr>
    </w:div>
    <w:div w:id="2046827818">
      <w:bodyDiv w:val="1"/>
      <w:marLeft w:val="0"/>
      <w:marRight w:val="0"/>
      <w:marTop w:val="0"/>
      <w:marBottom w:val="0"/>
      <w:divBdr>
        <w:top w:val="none" w:sz="0" w:space="0" w:color="auto"/>
        <w:left w:val="none" w:sz="0" w:space="0" w:color="auto"/>
        <w:bottom w:val="none" w:sz="0" w:space="0" w:color="auto"/>
        <w:right w:val="none" w:sz="0" w:space="0" w:color="auto"/>
      </w:divBdr>
    </w:div>
    <w:div w:id="2080518638">
      <w:bodyDiv w:val="1"/>
      <w:marLeft w:val="0"/>
      <w:marRight w:val="0"/>
      <w:marTop w:val="0"/>
      <w:marBottom w:val="0"/>
      <w:divBdr>
        <w:top w:val="none" w:sz="0" w:space="0" w:color="auto"/>
        <w:left w:val="none" w:sz="0" w:space="0" w:color="auto"/>
        <w:bottom w:val="none" w:sz="0" w:space="0" w:color="auto"/>
        <w:right w:val="none" w:sz="0" w:space="0" w:color="auto"/>
      </w:divBdr>
    </w:div>
    <w:div w:id="2101751823">
      <w:bodyDiv w:val="1"/>
      <w:marLeft w:val="0"/>
      <w:marRight w:val="0"/>
      <w:marTop w:val="0"/>
      <w:marBottom w:val="0"/>
      <w:divBdr>
        <w:top w:val="none" w:sz="0" w:space="0" w:color="auto"/>
        <w:left w:val="none" w:sz="0" w:space="0" w:color="auto"/>
        <w:bottom w:val="none" w:sz="0" w:space="0" w:color="auto"/>
        <w:right w:val="none" w:sz="0" w:space="0" w:color="auto"/>
      </w:divBdr>
    </w:div>
    <w:div w:id="211343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80717-7B4D-4B04-870E-C91C31304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26822</Words>
  <Characters>152892</Characters>
  <Application>Microsoft Office Word</Application>
  <DocSecurity>0</DocSecurity>
  <Lines>1274</Lines>
  <Paragraphs>358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 Au</dc:creator>
  <cp:lastModifiedBy>마 유림</cp:lastModifiedBy>
  <cp:revision>3</cp:revision>
  <dcterms:created xsi:type="dcterms:W3CDTF">2020-03-29T17:35:00Z</dcterms:created>
  <dcterms:modified xsi:type="dcterms:W3CDTF">2020-03-31T03:32:00Z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65902618-9472-3c63-ad4b-4e45582f3ac9</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